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372EAE">
      <w:pPr>
        <w:bidi w:val="0"/>
        <w:jc w:val="center"/>
        <w:rPr>
          <w:b/>
          <w:bCs/>
          <w:color w:val="auto"/>
          <w:spacing w:val="32"/>
          <w:sz w:val="44"/>
          <w:szCs w:val="44"/>
        </w:rPr>
      </w:pPr>
      <w:bookmarkStart w:id="0" w:name="_Toc29952"/>
      <w:bookmarkStart w:id="1" w:name="_Toc26648"/>
      <w:r>
        <w:rPr>
          <w:rFonts w:hint="eastAsia" w:eastAsia="方正小标宋_GBK"/>
          <w:color w:val="auto"/>
          <w:spacing w:val="32"/>
          <w:sz w:val="44"/>
          <w:szCs w:val="44"/>
          <w:lang w:val="en-US" w:eastAsia="zh-CN"/>
        </w:rPr>
        <w:t>文</w:t>
      </w:r>
      <w:r>
        <w:rPr>
          <w:rFonts w:eastAsia="方正小标宋_GBK"/>
          <w:color w:val="auto"/>
          <w:spacing w:val="32"/>
          <w:sz w:val="44"/>
          <w:szCs w:val="44"/>
        </w:rPr>
        <w:t>山市政府采购和出让中心政府采购</w:t>
      </w:r>
      <w:bookmarkEnd w:id="0"/>
      <w:bookmarkEnd w:id="1"/>
    </w:p>
    <w:p w14:paraId="27A4B897">
      <w:pPr>
        <w:keepNext w:val="0"/>
        <w:keepLines w:val="0"/>
        <w:pageBreakBefore w:val="0"/>
        <w:widowControl w:val="0"/>
        <w:kinsoku/>
        <w:wordWrap/>
        <w:overflowPunct/>
        <w:topLinePunct w:val="0"/>
        <w:autoSpaceDE/>
        <w:autoSpaceDN/>
        <w:bidi w:val="0"/>
        <w:adjustRightInd/>
        <w:snapToGrid/>
        <w:spacing w:line="120" w:lineRule="auto"/>
        <w:jc w:val="center"/>
        <w:textAlignment w:val="auto"/>
        <w:rPr>
          <w:rFonts w:hint="eastAsia" w:ascii="方正小标宋_GBK" w:hAnsi="方正小标宋_GBK" w:eastAsia="方正小标宋_GBK" w:cs="方正小标宋_GBK"/>
          <w:color w:val="auto"/>
          <w:sz w:val="72"/>
          <w:szCs w:val="72"/>
          <w:u w:val="none"/>
        </w:rPr>
      </w:pPr>
      <w:bookmarkStart w:id="2" w:name="_Toc7869"/>
      <w:bookmarkStart w:id="3" w:name="_Toc20862"/>
      <w:r>
        <w:rPr>
          <w:rFonts w:hint="eastAsia" w:ascii="方正小标宋_GBK" w:hAnsi="方正小标宋_GBK" w:eastAsia="方正小标宋_GBK" w:cs="方正小标宋_GBK"/>
          <w:color w:val="auto"/>
          <w:sz w:val="72"/>
          <w:szCs w:val="72"/>
          <w:u w:val="none"/>
        </w:rPr>
        <w:t>竞</w:t>
      </w:r>
      <w:bookmarkEnd w:id="2"/>
      <w:bookmarkEnd w:id="3"/>
    </w:p>
    <w:p w14:paraId="6D179C52">
      <w:pPr>
        <w:keepNext w:val="0"/>
        <w:keepLines w:val="0"/>
        <w:pageBreakBefore w:val="0"/>
        <w:widowControl w:val="0"/>
        <w:kinsoku/>
        <w:wordWrap/>
        <w:overflowPunct/>
        <w:topLinePunct w:val="0"/>
        <w:autoSpaceDE/>
        <w:autoSpaceDN/>
        <w:bidi w:val="0"/>
        <w:adjustRightInd/>
        <w:snapToGrid/>
        <w:spacing w:line="120" w:lineRule="auto"/>
        <w:jc w:val="center"/>
        <w:textAlignment w:val="auto"/>
        <w:rPr>
          <w:rFonts w:hint="eastAsia" w:ascii="方正小标宋_GBK" w:hAnsi="方正小标宋_GBK" w:eastAsia="方正小标宋_GBK" w:cs="方正小标宋_GBK"/>
          <w:color w:val="auto"/>
          <w:sz w:val="72"/>
          <w:szCs w:val="72"/>
          <w:u w:val="none"/>
        </w:rPr>
      </w:pPr>
      <w:bookmarkStart w:id="4" w:name="_Toc23356"/>
      <w:bookmarkStart w:id="5" w:name="_Toc12081"/>
      <w:r>
        <w:rPr>
          <w:rFonts w:hint="eastAsia" w:ascii="方正小标宋_GBK" w:hAnsi="方正小标宋_GBK" w:eastAsia="方正小标宋_GBK" w:cs="方正小标宋_GBK"/>
          <w:color w:val="auto"/>
          <w:sz w:val="72"/>
          <w:szCs w:val="72"/>
          <w:u w:val="none"/>
        </w:rPr>
        <w:t>争</w:t>
      </w:r>
      <w:bookmarkEnd w:id="4"/>
      <w:bookmarkEnd w:id="5"/>
    </w:p>
    <w:p w14:paraId="3371AFE0">
      <w:pPr>
        <w:keepNext w:val="0"/>
        <w:keepLines w:val="0"/>
        <w:pageBreakBefore w:val="0"/>
        <w:widowControl w:val="0"/>
        <w:kinsoku/>
        <w:wordWrap/>
        <w:overflowPunct/>
        <w:topLinePunct w:val="0"/>
        <w:autoSpaceDE/>
        <w:autoSpaceDN/>
        <w:bidi w:val="0"/>
        <w:adjustRightInd/>
        <w:snapToGrid/>
        <w:spacing w:line="120" w:lineRule="auto"/>
        <w:jc w:val="center"/>
        <w:textAlignment w:val="auto"/>
        <w:rPr>
          <w:rFonts w:hint="eastAsia" w:ascii="方正小标宋_GBK" w:hAnsi="方正小标宋_GBK" w:eastAsia="方正小标宋_GBK" w:cs="方正小标宋_GBK"/>
          <w:color w:val="auto"/>
          <w:sz w:val="72"/>
          <w:szCs w:val="72"/>
          <w:u w:val="none"/>
        </w:rPr>
      </w:pPr>
      <w:bookmarkStart w:id="6" w:name="_Toc27349"/>
      <w:bookmarkStart w:id="7" w:name="_Toc7247"/>
      <w:r>
        <w:rPr>
          <w:rFonts w:hint="eastAsia" w:ascii="方正小标宋_GBK" w:hAnsi="方正小标宋_GBK" w:eastAsia="方正小标宋_GBK" w:cs="方正小标宋_GBK"/>
          <w:color w:val="auto"/>
          <w:sz w:val="72"/>
          <w:szCs w:val="72"/>
          <w:u w:val="none"/>
        </w:rPr>
        <w:t>性</w:t>
      </w:r>
      <w:bookmarkEnd w:id="6"/>
      <w:bookmarkEnd w:id="7"/>
    </w:p>
    <w:p w14:paraId="4EE6ACB3">
      <w:pPr>
        <w:keepNext w:val="0"/>
        <w:keepLines w:val="0"/>
        <w:pageBreakBefore w:val="0"/>
        <w:widowControl w:val="0"/>
        <w:kinsoku/>
        <w:wordWrap/>
        <w:overflowPunct/>
        <w:topLinePunct w:val="0"/>
        <w:autoSpaceDE/>
        <w:autoSpaceDN/>
        <w:bidi w:val="0"/>
        <w:adjustRightInd/>
        <w:snapToGrid/>
        <w:spacing w:line="120" w:lineRule="auto"/>
        <w:jc w:val="center"/>
        <w:textAlignment w:val="auto"/>
        <w:rPr>
          <w:rFonts w:hint="eastAsia" w:ascii="方正小标宋_GBK" w:hAnsi="方正小标宋_GBK" w:eastAsia="方正小标宋_GBK" w:cs="方正小标宋_GBK"/>
          <w:color w:val="auto"/>
          <w:sz w:val="72"/>
          <w:szCs w:val="72"/>
          <w:u w:val="none"/>
          <w:lang w:val="en-US" w:eastAsia="zh-CN"/>
        </w:rPr>
      </w:pPr>
      <w:bookmarkStart w:id="8" w:name="_Toc4701"/>
      <w:bookmarkStart w:id="9" w:name="_Toc19028"/>
      <w:r>
        <w:rPr>
          <w:rFonts w:hint="eastAsia" w:ascii="方正小标宋_GBK" w:hAnsi="方正小标宋_GBK" w:eastAsia="方正小标宋_GBK" w:cs="方正小标宋_GBK"/>
          <w:color w:val="auto"/>
          <w:sz w:val="72"/>
          <w:szCs w:val="72"/>
          <w:u w:val="none"/>
          <w:lang w:val="en-US" w:eastAsia="zh-CN"/>
        </w:rPr>
        <w:t>谈</w:t>
      </w:r>
      <w:bookmarkEnd w:id="8"/>
      <w:bookmarkEnd w:id="9"/>
    </w:p>
    <w:p w14:paraId="09ED6927">
      <w:pPr>
        <w:keepNext w:val="0"/>
        <w:keepLines w:val="0"/>
        <w:pageBreakBefore w:val="0"/>
        <w:widowControl w:val="0"/>
        <w:kinsoku/>
        <w:wordWrap/>
        <w:overflowPunct/>
        <w:topLinePunct w:val="0"/>
        <w:autoSpaceDE/>
        <w:autoSpaceDN/>
        <w:bidi w:val="0"/>
        <w:adjustRightInd/>
        <w:snapToGrid/>
        <w:spacing w:line="120" w:lineRule="auto"/>
        <w:jc w:val="center"/>
        <w:textAlignment w:val="auto"/>
        <w:rPr>
          <w:rFonts w:hint="eastAsia" w:ascii="方正小标宋_GBK" w:hAnsi="方正小标宋_GBK" w:eastAsia="方正小标宋_GBK" w:cs="方正小标宋_GBK"/>
          <w:color w:val="auto"/>
          <w:sz w:val="72"/>
          <w:szCs w:val="72"/>
          <w:u w:val="none"/>
          <w:lang w:eastAsia="zh-CN"/>
        </w:rPr>
      </w:pPr>
      <w:bookmarkStart w:id="10" w:name="_Toc16983"/>
      <w:bookmarkStart w:id="11" w:name="_Toc11706"/>
      <w:r>
        <w:rPr>
          <w:rFonts w:hint="eastAsia" w:ascii="方正小标宋_GBK" w:hAnsi="方正小标宋_GBK" w:eastAsia="方正小标宋_GBK" w:cs="方正小标宋_GBK"/>
          <w:color w:val="auto"/>
          <w:sz w:val="72"/>
          <w:szCs w:val="72"/>
          <w:u w:val="none"/>
          <w:lang w:val="en-US" w:eastAsia="zh-CN"/>
        </w:rPr>
        <w:t>判</w:t>
      </w:r>
      <w:bookmarkEnd w:id="10"/>
      <w:bookmarkEnd w:id="11"/>
    </w:p>
    <w:p w14:paraId="2C475F35">
      <w:pPr>
        <w:keepNext w:val="0"/>
        <w:keepLines w:val="0"/>
        <w:pageBreakBefore w:val="0"/>
        <w:widowControl w:val="0"/>
        <w:kinsoku/>
        <w:wordWrap/>
        <w:overflowPunct/>
        <w:topLinePunct w:val="0"/>
        <w:autoSpaceDE/>
        <w:autoSpaceDN/>
        <w:bidi w:val="0"/>
        <w:adjustRightInd/>
        <w:snapToGrid/>
        <w:spacing w:line="120" w:lineRule="auto"/>
        <w:jc w:val="center"/>
        <w:textAlignment w:val="auto"/>
        <w:rPr>
          <w:rFonts w:hint="eastAsia" w:ascii="方正小标宋_GBK" w:hAnsi="方正小标宋_GBK" w:eastAsia="方正小标宋_GBK" w:cs="方正小标宋_GBK"/>
          <w:color w:val="auto"/>
          <w:sz w:val="72"/>
          <w:szCs w:val="72"/>
          <w:u w:val="none"/>
        </w:rPr>
      </w:pPr>
      <w:bookmarkStart w:id="12" w:name="_Toc14234"/>
      <w:bookmarkStart w:id="13" w:name="_Toc23780"/>
      <w:r>
        <w:rPr>
          <w:rFonts w:hint="eastAsia" w:ascii="方正小标宋_GBK" w:hAnsi="方正小标宋_GBK" w:eastAsia="方正小标宋_GBK" w:cs="方正小标宋_GBK"/>
          <w:color w:val="auto"/>
          <w:sz w:val="72"/>
          <w:szCs w:val="72"/>
          <w:u w:val="none"/>
        </w:rPr>
        <w:t>文</w:t>
      </w:r>
      <w:bookmarkEnd w:id="12"/>
      <w:bookmarkEnd w:id="13"/>
    </w:p>
    <w:p w14:paraId="6E1658BB">
      <w:pPr>
        <w:keepNext w:val="0"/>
        <w:keepLines w:val="0"/>
        <w:pageBreakBefore w:val="0"/>
        <w:widowControl w:val="0"/>
        <w:kinsoku/>
        <w:wordWrap/>
        <w:overflowPunct/>
        <w:topLinePunct w:val="0"/>
        <w:autoSpaceDE/>
        <w:autoSpaceDN/>
        <w:bidi w:val="0"/>
        <w:adjustRightInd/>
        <w:snapToGrid/>
        <w:spacing w:line="120" w:lineRule="auto"/>
        <w:jc w:val="center"/>
        <w:textAlignment w:val="auto"/>
        <w:rPr>
          <w:color w:val="auto"/>
          <w:sz w:val="72"/>
          <w:szCs w:val="72"/>
          <w:u w:val="none"/>
        </w:rPr>
      </w:pPr>
      <w:bookmarkStart w:id="14" w:name="_Toc18544"/>
      <w:bookmarkStart w:id="15" w:name="_Toc29501"/>
      <w:r>
        <w:rPr>
          <w:rFonts w:hint="eastAsia" w:ascii="方正小标宋_GBK" w:hAnsi="方正小标宋_GBK" w:eastAsia="方正小标宋_GBK" w:cs="方正小标宋_GBK"/>
          <w:color w:val="auto"/>
          <w:sz w:val="72"/>
          <w:szCs w:val="72"/>
          <w:u w:val="none"/>
        </w:rPr>
        <w:t>件</w:t>
      </w:r>
      <w:bookmarkEnd w:id="14"/>
      <w:bookmarkEnd w:id="15"/>
    </w:p>
    <w:p w14:paraId="7D4913D9">
      <w:pPr>
        <w:bidi w:val="0"/>
        <w:jc w:val="center"/>
        <w:rPr>
          <w:rFonts w:hint="eastAsia" w:eastAsia="宋体"/>
          <w:b/>
          <w:bCs/>
          <w:color w:val="auto"/>
          <w:sz w:val="28"/>
          <w:szCs w:val="28"/>
          <w:lang w:val="en-US" w:eastAsia="zh-CN"/>
        </w:rPr>
      </w:pPr>
      <w:bookmarkStart w:id="16" w:name="_Toc3555"/>
      <w:bookmarkStart w:id="17" w:name="_Toc27256"/>
      <w:r>
        <w:rPr>
          <w:rFonts w:hint="eastAsia"/>
          <w:b/>
          <w:bCs/>
          <w:color w:val="auto"/>
          <w:sz w:val="28"/>
          <w:szCs w:val="28"/>
        </w:rPr>
        <w:t>编号：WSSZFCG</w:t>
      </w:r>
      <w:r>
        <w:rPr>
          <w:rFonts w:hint="eastAsia"/>
          <w:b/>
          <w:bCs/>
          <w:color w:val="auto"/>
          <w:sz w:val="28"/>
          <w:szCs w:val="28"/>
          <w:lang w:val="en-US" w:eastAsia="zh-CN"/>
        </w:rPr>
        <w:t>TP</w:t>
      </w:r>
      <w:r>
        <w:rPr>
          <w:rFonts w:hint="eastAsia"/>
          <w:b/>
          <w:bCs/>
          <w:color w:val="auto"/>
          <w:sz w:val="28"/>
          <w:szCs w:val="28"/>
        </w:rPr>
        <w:t>202</w:t>
      </w:r>
      <w:r>
        <w:rPr>
          <w:rFonts w:hint="eastAsia"/>
          <w:b/>
          <w:bCs/>
          <w:color w:val="auto"/>
          <w:sz w:val="28"/>
          <w:szCs w:val="28"/>
          <w:lang w:val="en-US" w:eastAsia="zh-CN"/>
        </w:rPr>
        <w:t>6</w:t>
      </w:r>
      <w:r>
        <w:rPr>
          <w:rFonts w:hint="eastAsia"/>
          <w:b/>
          <w:bCs/>
          <w:color w:val="auto"/>
          <w:sz w:val="28"/>
          <w:szCs w:val="28"/>
        </w:rPr>
        <w:t>-0</w:t>
      </w:r>
      <w:bookmarkEnd w:id="16"/>
      <w:bookmarkEnd w:id="17"/>
      <w:r>
        <w:rPr>
          <w:rFonts w:hint="eastAsia"/>
          <w:b/>
          <w:bCs/>
          <w:color w:val="auto"/>
          <w:sz w:val="28"/>
          <w:szCs w:val="28"/>
          <w:lang w:val="en-US" w:eastAsia="zh-CN"/>
        </w:rPr>
        <w:t>4</w:t>
      </w:r>
    </w:p>
    <w:p w14:paraId="0BF162EB">
      <w:pPr>
        <w:bidi w:val="0"/>
        <w:jc w:val="center"/>
        <w:rPr>
          <w:b/>
          <w:bCs/>
          <w:color w:val="auto"/>
          <w:sz w:val="28"/>
          <w:szCs w:val="28"/>
          <w:u w:val="single"/>
        </w:rPr>
      </w:pPr>
      <w:bookmarkStart w:id="18" w:name="_Toc13777"/>
      <w:bookmarkStart w:id="19" w:name="_Toc9970"/>
      <w:r>
        <w:rPr>
          <w:rFonts w:hint="eastAsia"/>
          <w:b/>
          <w:bCs/>
          <w:color w:val="auto"/>
          <w:sz w:val="28"/>
          <w:szCs w:val="28"/>
        </w:rPr>
        <w:t>采购人：</w:t>
      </w:r>
      <w:r>
        <w:rPr>
          <w:rFonts w:hint="eastAsia"/>
          <w:b/>
          <w:bCs/>
          <w:color w:val="auto"/>
          <w:sz w:val="28"/>
          <w:szCs w:val="28"/>
          <w:u w:val="single"/>
        </w:rPr>
        <w:t>文山市</w:t>
      </w:r>
      <w:r>
        <w:rPr>
          <w:rFonts w:hint="eastAsia"/>
          <w:b/>
          <w:bCs/>
          <w:color w:val="auto"/>
          <w:sz w:val="28"/>
          <w:szCs w:val="28"/>
          <w:u w:val="single"/>
          <w:lang w:val="en-US" w:eastAsia="zh-CN"/>
        </w:rPr>
        <w:t>皮肤病防治站</w:t>
      </w:r>
      <w:r>
        <w:rPr>
          <w:b/>
          <w:bCs/>
          <w:color w:val="auto"/>
          <w:sz w:val="28"/>
          <w:szCs w:val="28"/>
          <w:u w:val="single"/>
        </w:rPr>
        <w:t xml:space="preserve"> </w:t>
      </w:r>
      <w:r>
        <w:rPr>
          <w:b/>
          <w:bCs/>
          <w:color w:val="auto"/>
          <w:sz w:val="28"/>
          <w:szCs w:val="28"/>
        </w:rPr>
        <w:t>（盖章）</w:t>
      </w:r>
      <w:bookmarkEnd w:id="18"/>
      <w:bookmarkEnd w:id="19"/>
    </w:p>
    <w:p w14:paraId="5704A597">
      <w:pPr>
        <w:bidi w:val="0"/>
        <w:jc w:val="center"/>
        <w:rPr>
          <w:b/>
          <w:bCs/>
          <w:color w:val="auto"/>
          <w:sz w:val="28"/>
          <w:szCs w:val="28"/>
        </w:rPr>
      </w:pPr>
      <w:bookmarkStart w:id="20" w:name="_Toc26946"/>
      <w:bookmarkStart w:id="21" w:name="_Toc25491"/>
      <w:r>
        <w:rPr>
          <w:b/>
          <w:bCs/>
          <w:color w:val="auto"/>
          <w:sz w:val="28"/>
          <w:szCs w:val="28"/>
        </w:rPr>
        <w:t>法定代表人或委托代理人：</w:t>
      </w:r>
      <w:r>
        <w:rPr>
          <w:b/>
          <w:bCs/>
          <w:color w:val="auto"/>
          <w:sz w:val="28"/>
          <w:szCs w:val="28"/>
          <w:u w:val="single"/>
        </w:rPr>
        <w:t xml:space="preserve">         </w:t>
      </w:r>
      <w:r>
        <w:rPr>
          <w:b/>
          <w:bCs/>
          <w:color w:val="auto"/>
          <w:sz w:val="28"/>
          <w:szCs w:val="28"/>
        </w:rPr>
        <w:t>（签字或盖章）</w:t>
      </w:r>
      <w:bookmarkEnd w:id="20"/>
      <w:bookmarkEnd w:id="21"/>
    </w:p>
    <w:p w14:paraId="7248278A">
      <w:pPr>
        <w:bidi w:val="0"/>
        <w:jc w:val="center"/>
        <w:rPr>
          <w:color w:val="auto"/>
        </w:rPr>
      </w:pPr>
      <w:r>
        <w:rPr>
          <w:rFonts w:hint="eastAsia"/>
          <w:color w:val="auto"/>
          <w:lang w:val="en-US" w:eastAsia="zh-CN"/>
        </w:rPr>
        <w:t>此招标文件审核确认无异议</w:t>
      </w:r>
      <w:r>
        <w:rPr>
          <w:rFonts w:hint="eastAsia"/>
          <w:color w:val="auto"/>
          <w:lang w:eastAsia="zh-CN"/>
        </w:rPr>
        <w:t>，</w:t>
      </w:r>
      <w:r>
        <w:rPr>
          <w:rFonts w:hint="eastAsia"/>
          <w:color w:val="auto"/>
          <w:lang w:val="en-US" w:eastAsia="zh-CN"/>
        </w:rPr>
        <w:t>同意发布。</w:t>
      </w:r>
    </w:p>
    <w:p w14:paraId="01B29C28">
      <w:pPr>
        <w:pStyle w:val="32"/>
        <w:keepNext w:val="0"/>
        <w:keepLines w:val="0"/>
        <w:pageBreakBefore w:val="0"/>
        <w:widowControl w:val="0"/>
        <w:kinsoku/>
        <w:wordWrap/>
        <w:overflowPunct/>
        <w:topLinePunct w:val="0"/>
        <w:autoSpaceDE/>
        <w:autoSpaceDN/>
        <w:bidi w:val="0"/>
        <w:adjustRightInd/>
        <w:snapToGrid/>
        <w:spacing w:line="100" w:lineRule="atLeast"/>
        <w:jc w:val="center"/>
        <w:textAlignment w:val="auto"/>
        <w:rPr>
          <w:rFonts w:hint="eastAsia"/>
          <w:color w:val="auto"/>
        </w:rPr>
      </w:pPr>
    </w:p>
    <w:p w14:paraId="09D87090">
      <w:pPr>
        <w:bidi w:val="0"/>
        <w:jc w:val="center"/>
        <w:rPr>
          <w:rFonts w:hint="eastAsia" w:ascii="宋体" w:hAnsi="宋体" w:eastAsia="宋体" w:cs="宋体"/>
          <w:b/>
          <w:color w:val="auto"/>
          <w:sz w:val="21"/>
          <w:szCs w:val="21"/>
        </w:rPr>
      </w:pPr>
      <w:bookmarkStart w:id="22" w:name="_Toc23756"/>
      <w:bookmarkStart w:id="23" w:name="_Toc539"/>
      <w:r>
        <w:rPr>
          <w:rFonts w:hint="eastAsia" w:ascii="宋体" w:hAnsi="宋体" w:eastAsia="宋体" w:cs="宋体"/>
          <w:b/>
          <w:color w:val="auto"/>
          <w:sz w:val="21"/>
          <w:szCs w:val="21"/>
          <w:u w:val="single"/>
          <w:lang w:val="en-US" w:eastAsia="zh-CN"/>
        </w:rPr>
        <w:t>文山市政府采购和出让中心</w:t>
      </w:r>
      <w:r>
        <w:rPr>
          <w:rFonts w:hint="eastAsia" w:ascii="宋体" w:hAnsi="宋体" w:eastAsia="宋体" w:cs="宋体"/>
          <w:b/>
          <w:color w:val="auto"/>
          <w:sz w:val="21"/>
          <w:szCs w:val="21"/>
          <w:lang w:val="en-US" w:eastAsia="zh-CN"/>
        </w:rPr>
        <w:t>与</w:t>
      </w:r>
      <w:r>
        <w:rPr>
          <w:rFonts w:hint="eastAsia" w:ascii="宋体" w:hAnsi="宋体" w:eastAsia="宋体" w:cs="宋体"/>
          <w:b/>
          <w:color w:val="auto"/>
          <w:sz w:val="21"/>
          <w:szCs w:val="21"/>
          <w:u w:val="single"/>
          <w:lang w:val="en-US" w:eastAsia="zh-CN"/>
        </w:rPr>
        <w:t>文山市</w:t>
      </w:r>
      <w:r>
        <w:rPr>
          <w:rFonts w:hint="eastAsia" w:ascii="宋体" w:hAnsi="宋体" w:cs="宋体"/>
          <w:b/>
          <w:color w:val="auto"/>
          <w:sz w:val="21"/>
          <w:szCs w:val="21"/>
          <w:u w:val="single"/>
          <w:lang w:val="en-US" w:eastAsia="zh-CN"/>
        </w:rPr>
        <w:t>皮肤病防治站</w:t>
      </w:r>
      <w:r>
        <w:rPr>
          <w:rFonts w:hint="eastAsia" w:ascii="宋体" w:hAnsi="宋体" w:eastAsia="宋体" w:cs="宋体"/>
          <w:b/>
          <w:color w:val="auto"/>
          <w:sz w:val="21"/>
          <w:szCs w:val="21"/>
        </w:rPr>
        <w:t>共同编制</w:t>
      </w:r>
      <w:bookmarkEnd w:id="22"/>
      <w:bookmarkEnd w:id="23"/>
    </w:p>
    <w:p w14:paraId="7B979EDE">
      <w:pPr>
        <w:pageBreakBefore w:val="0"/>
        <w:widowControl w:val="0"/>
        <w:kinsoku/>
        <w:wordWrap/>
        <w:overflowPunct/>
        <w:topLinePunct w:val="0"/>
        <w:bidi w:val="0"/>
        <w:snapToGrid/>
        <w:spacing w:line="480" w:lineRule="auto"/>
        <w:ind w:right="0" w:rightChars="0" w:firstLine="0" w:firstLineChars="0"/>
        <w:jc w:val="center"/>
        <w:textAlignment w:val="auto"/>
        <w:rPr>
          <w:color w:val="auto"/>
        </w:rPr>
      </w:pPr>
      <w:r>
        <w:rPr>
          <w:rFonts w:hint="eastAsia" w:ascii="宋体"/>
          <w:b/>
          <w:bCs/>
          <w:color w:val="auto"/>
          <w:sz w:val="24"/>
        </w:rPr>
        <w:br w:type="page"/>
      </w:r>
      <w:bookmarkStart w:id="24" w:name="_Hlt101843627"/>
      <w:bookmarkEnd w:id="24"/>
      <w:bookmarkStart w:id="25" w:name="_Hlt101233737"/>
      <w:bookmarkEnd w:id="25"/>
    </w:p>
    <w:sdt>
      <w:sdtPr>
        <w:rPr>
          <w:rFonts w:ascii="宋体" w:hAnsi="宋体" w:eastAsia="宋体" w:cs="Times New Roman"/>
          <w:b/>
          <w:bCs/>
          <w:color w:val="auto"/>
          <w:kern w:val="2"/>
          <w:sz w:val="21"/>
          <w:szCs w:val="24"/>
          <w:lang w:val="en-US" w:eastAsia="zh-CN" w:bidi="ar-SA"/>
        </w:rPr>
        <w:id w:val="147469952"/>
        <w15:color w:val="DBDBDB"/>
        <w:docPartObj>
          <w:docPartGallery w:val="Table of Contents"/>
          <w:docPartUnique/>
        </w:docPartObj>
      </w:sdtPr>
      <w:sdtEndPr>
        <w:rPr>
          <w:rFonts w:ascii="宋体" w:hAnsi="宋体" w:eastAsia="宋体" w:cs="Times New Roman"/>
          <w:b/>
          <w:bCs/>
          <w:color w:val="auto"/>
          <w:kern w:val="2"/>
          <w:sz w:val="21"/>
          <w:szCs w:val="24"/>
          <w:lang w:val="en-US" w:eastAsia="zh-CN" w:bidi="ar-SA"/>
        </w:rPr>
      </w:sdtEndPr>
      <w:sdtContent>
        <w:p w14:paraId="45867A37">
          <w:pPr>
            <w:keepNext w:val="0"/>
            <w:keepLines w:val="0"/>
            <w:pageBreakBefore w:val="0"/>
            <w:widowControl/>
            <w:kinsoku/>
            <w:wordWrap/>
            <w:overflowPunct/>
            <w:topLinePunct w:val="0"/>
            <w:autoSpaceDE/>
            <w:autoSpaceDN/>
            <w:bidi w:val="0"/>
            <w:adjustRightInd/>
            <w:snapToGrid/>
            <w:spacing w:before="315" w:beforeLines="100" w:beforeAutospacing="0" w:after="0" w:afterLines="0" w:line="360" w:lineRule="exact"/>
            <w:ind w:left="0" w:leftChars="0" w:right="0" w:rightChars="0" w:firstLine="0" w:firstLineChars="0"/>
            <w:jc w:val="center"/>
            <w:textAlignment w:val="auto"/>
            <w:rPr>
              <w:rFonts w:ascii="Times New Roman" w:hAnsi="Times New Roman" w:eastAsia="宋体" w:cs="Times New Roman"/>
              <w:b/>
              <w:color w:val="auto"/>
              <w:kern w:val="2"/>
              <w:sz w:val="21"/>
              <w:szCs w:val="24"/>
              <w:lang w:val="en-US" w:eastAsia="zh-CN" w:bidi="ar-SA"/>
            </w:rPr>
          </w:pPr>
          <w:r>
            <w:rPr>
              <w:rFonts w:ascii="宋体" w:hAnsi="宋体" w:eastAsia="宋体"/>
              <w:b/>
              <w:bCs/>
              <w:color w:val="auto"/>
              <w:sz w:val="30"/>
              <w:szCs w:val="30"/>
            </w:rPr>
            <w:t>目录</w:t>
          </w:r>
          <w:r>
            <w:rPr>
              <w:color w:val="auto"/>
            </w:rPr>
            <w:fldChar w:fldCharType="begin"/>
          </w:r>
          <w:r>
            <w:rPr>
              <w:color w:val="auto"/>
            </w:rPr>
            <w:instrText xml:space="preserve">TOC \o "1-2" \h \u </w:instrText>
          </w:r>
          <w:r>
            <w:rPr>
              <w:color w:val="auto"/>
            </w:rPr>
            <w:fldChar w:fldCharType="separate"/>
          </w:r>
        </w:p>
        <w:p w14:paraId="356A8E48">
          <w:pPr>
            <w:pStyle w:val="23"/>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_Toc8023 </w:instrText>
          </w:r>
          <w:r>
            <w:rPr>
              <w:color w:val="auto"/>
            </w:rPr>
            <w:fldChar w:fldCharType="separate"/>
          </w:r>
          <w:r>
            <w:rPr>
              <w:rFonts w:hint="eastAsia" w:ascii="宋体" w:hAnsi="宋体" w:eastAsia="宋体" w:cs="宋体"/>
              <w:bCs/>
              <w:color w:val="auto"/>
              <w:szCs w:val="44"/>
            </w:rPr>
            <w:t>第一章  竞争性谈判公告</w:t>
          </w:r>
          <w:r>
            <w:rPr>
              <w:color w:val="auto"/>
            </w:rPr>
            <w:tab/>
          </w:r>
          <w:r>
            <w:rPr>
              <w:color w:val="auto"/>
            </w:rPr>
            <w:fldChar w:fldCharType="begin"/>
          </w:r>
          <w:r>
            <w:rPr>
              <w:color w:val="auto"/>
            </w:rPr>
            <w:instrText xml:space="preserve"> PAGEREF _Toc8023 \h </w:instrText>
          </w:r>
          <w:r>
            <w:rPr>
              <w:color w:val="auto"/>
            </w:rPr>
            <w:fldChar w:fldCharType="separate"/>
          </w:r>
          <w:r>
            <w:rPr>
              <w:color w:val="auto"/>
            </w:rPr>
            <w:t>3</w:t>
          </w:r>
          <w:r>
            <w:rPr>
              <w:color w:val="auto"/>
            </w:rPr>
            <w:fldChar w:fldCharType="end"/>
          </w:r>
          <w:r>
            <w:rPr>
              <w:color w:val="auto"/>
            </w:rPr>
            <w:fldChar w:fldCharType="end"/>
          </w:r>
        </w:p>
        <w:p w14:paraId="198BBB3A">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_Toc29409 </w:instrText>
          </w:r>
          <w:r>
            <w:rPr>
              <w:color w:val="auto"/>
            </w:rPr>
            <w:fldChar w:fldCharType="separate"/>
          </w:r>
          <w:r>
            <w:rPr>
              <w:rFonts w:hint="eastAsia" w:ascii="宋体" w:hAnsi="宋体" w:eastAsia="宋体" w:cs="宋体"/>
              <w:bCs w:val="0"/>
              <w:color w:val="auto"/>
              <w:szCs w:val="24"/>
            </w:rPr>
            <w:t>一、项目基本情况</w:t>
          </w:r>
          <w:r>
            <w:rPr>
              <w:color w:val="auto"/>
            </w:rPr>
            <w:tab/>
          </w:r>
          <w:r>
            <w:rPr>
              <w:color w:val="auto"/>
            </w:rPr>
            <w:fldChar w:fldCharType="begin"/>
          </w:r>
          <w:r>
            <w:rPr>
              <w:color w:val="auto"/>
            </w:rPr>
            <w:instrText xml:space="preserve"> PAGEREF _Toc29409 \h </w:instrText>
          </w:r>
          <w:r>
            <w:rPr>
              <w:color w:val="auto"/>
            </w:rPr>
            <w:fldChar w:fldCharType="separate"/>
          </w:r>
          <w:r>
            <w:rPr>
              <w:color w:val="auto"/>
            </w:rPr>
            <w:t>3</w:t>
          </w:r>
          <w:r>
            <w:rPr>
              <w:color w:val="auto"/>
            </w:rPr>
            <w:fldChar w:fldCharType="end"/>
          </w:r>
          <w:r>
            <w:rPr>
              <w:color w:val="auto"/>
            </w:rPr>
            <w:fldChar w:fldCharType="end"/>
          </w:r>
        </w:p>
        <w:p w14:paraId="017EAB44">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_Toc13426 </w:instrText>
          </w:r>
          <w:r>
            <w:rPr>
              <w:color w:val="auto"/>
            </w:rPr>
            <w:fldChar w:fldCharType="separate"/>
          </w:r>
          <w:r>
            <w:rPr>
              <w:rFonts w:hint="eastAsia" w:ascii="宋体" w:hAnsi="宋体" w:eastAsia="宋体" w:cs="宋体"/>
              <w:bCs w:val="0"/>
              <w:i w:val="0"/>
              <w:iCs w:val="0"/>
              <w:color w:val="auto"/>
              <w:szCs w:val="24"/>
            </w:rPr>
            <w:t>二、申请人的资格要求</w:t>
          </w:r>
          <w:r>
            <w:rPr>
              <w:color w:val="auto"/>
            </w:rPr>
            <w:tab/>
          </w:r>
          <w:r>
            <w:rPr>
              <w:color w:val="auto"/>
            </w:rPr>
            <w:fldChar w:fldCharType="begin"/>
          </w:r>
          <w:r>
            <w:rPr>
              <w:color w:val="auto"/>
            </w:rPr>
            <w:instrText xml:space="preserve"> PAGEREF _Toc13426 \h </w:instrText>
          </w:r>
          <w:r>
            <w:rPr>
              <w:color w:val="auto"/>
            </w:rPr>
            <w:fldChar w:fldCharType="separate"/>
          </w:r>
          <w:r>
            <w:rPr>
              <w:color w:val="auto"/>
            </w:rPr>
            <w:t>4</w:t>
          </w:r>
          <w:r>
            <w:rPr>
              <w:color w:val="auto"/>
            </w:rPr>
            <w:fldChar w:fldCharType="end"/>
          </w:r>
          <w:r>
            <w:rPr>
              <w:color w:val="auto"/>
            </w:rPr>
            <w:fldChar w:fldCharType="end"/>
          </w:r>
        </w:p>
        <w:p w14:paraId="456A2F0F">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_Toc8799 </w:instrText>
          </w:r>
          <w:r>
            <w:rPr>
              <w:color w:val="auto"/>
            </w:rPr>
            <w:fldChar w:fldCharType="separate"/>
          </w:r>
          <w:r>
            <w:rPr>
              <w:rFonts w:hint="eastAsia" w:ascii="宋体" w:hAnsi="宋体" w:eastAsia="宋体" w:cs="宋体"/>
              <w:bCs w:val="0"/>
              <w:color w:val="auto"/>
              <w:szCs w:val="24"/>
            </w:rPr>
            <w:t>三、获取采购文件</w:t>
          </w:r>
          <w:r>
            <w:rPr>
              <w:color w:val="auto"/>
            </w:rPr>
            <w:tab/>
          </w:r>
          <w:r>
            <w:rPr>
              <w:color w:val="auto"/>
            </w:rPr>
            <w:fldChar w:fldCharType="begin"/>
          </w:r>
          <w:r>
            <w:rPr>
              <w:color w:val="auto"/>
            </w:rPr>
            <w:instrText xml:space="preserve"> PAGEREF _Toc8799 \h </w:instrText>
          </w:r>
          <w:r>
            <w:rPr>
              <w:color w:val="auto"/>
            </w:rPr>
            <w:fldChar w:fldCharType="separate"/>
          </w:r>
          <w:r>
            <w:rPr>
              <w:color w:val="auto"/>
            </w:rPr>
            <w:t>5</w:t>
          </w:r>
          <w:r>
            <w:rPr>
              <w:color w:val="auto"/>
            </w:rPr>
            <w:fldChar w:fldCharType="end"/>
          </w:r>
          <w:r>
            <w:rPr>
              <w:color w:val="auto"/>
            </w:rPr>
            <w:fldChar w:fldCharType="end"/>
          </w:r>
        </w:p>
        <w:p w14:paraId="139444EE">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_Toc19241 </w:instrText>
          </w:r>
          <w:r>
            <w:rPr>
              <w:color w:val="auto"/>
            </w:rPr>
            <w:fldChar w:fldCharType="separate"/>
          </w:r>
          <w:r>
            <w:rPr>
              <w:rFonts w:hint="eastAsia" w:ascii="宋体" w:hAnsi="宋体" w:eastAsia="宋体" w:cs="宋体"/>
              <w:bCs w:val="0"/>
              <w:color w:val="auto"/>
              <w:szCs w:val="24"/>
            </w:rPr>
            <w:t>四、 响应文件提交</w:t>
          </w:r>
          <w:r>
            <w:rPr>
              <w:color w:val="auto"/>
            </w:rPr>
            <w:tab/>
          </w:r>
          <w:r>
            <w:rPr>
              <w:color w:val="auto"/>
            </w:rPr>
            <w:fldChar w:fldCharType="begin"/>
          </w:r>
          <w:r>
            <w:rPr>
              <w:color w:val="auto"/>
            </w:rPr>
            <w:instrText xml:space="preserve"> PAGEREF _Toc19241 \h </w:instrText>
          </w:r>
          <w:r>
            <w:rPr>
              <w:color w:val="auto"/>
            </w:rPr>
            <w:fldChar w:fldCharType="separate"/>
          </w:r>
          <w:r>
            <w:rPr>
              <w:color w:val="auto"/>
            </w:rPr>
            <w:t>6</w:t>
          </w:r>
          <w:r>
            <w:rPr>
              <w:color w:val="auto"/>
            </w:rPr>
            <w:fldChar w:fldCharType="end"/>
          </w:r>
          <w:r>
            <w:rPr>
              <w:color w:val="auto"/>
            </w:rPr>
            <w:fldChar w:fldCharType="end"/>
          </w:r>
        </w:p>
        <w:p w14:paraId="6B4F22B1">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_Toc6601 </w:instrText>
          </w:r>
          <w:r>
            <w:rPr>
              <w:color w:val="auto"/>
            </w:rPr>
            <w:fldChar w:fldCharType="separate"/>
          </w:r>
          <w:r>
            <w:rPr>
              <w:rFonts w:hint="eastAsia" w:ascii="宋体" w:hAnsi="宋体" w:eastAsia="宋体" w:cs="宋体"/>
              <w:bCs w:val="0"/>
              <w:color w:val="auto"/>
              <w:szCs w:val="24"/>
            </w:rPr>
            <w:t>五、开启</w:t>
          </w:r>
          <w:r>
            <w:rPr>
              <w:color w:val="auto"/>
            </w:rPr>
            <w:tab/>
          </w:r>
          <w:r>
            <w:rPr>
              <w:color w:val="auto"/>
            </w:rPr>
            <w:fldChar w:fldCharType="begin"/>
          </w:r>
          <w:r>
            <w:rPr>
              <w:color w:val="auto"/>
            </w:rPr>
            <w:instrText xml:space="preserve"> PAGEREF _Toc6601 \h </w:instrText>
          </w:r>
          <w:r>
            <w:rPr>
              <w:color w:val="auto"/>
            </w:rPr>
            <w:fldChar w:fldCharType="separate"/>
          </w:r>
          <w:r>
            <w:rPr>
              <w:color w:val="auto"/>
            </w:rPr>
            <w:t>6</w:t>
          </w:r>
          <w:r>
            <w:rPr>
              <w:color w:val="auto"/>
            </w:rPr>
            <w:fldChar w:fldCharType="end"/>
          </w:r>
          <w:r>
            <w:rPr>
              <w:color w:val="auto"/>
            </w:rPr>
            <w:fldChar w:fldCharType="end"/>
          </w:r>
        </w:p>
        <w:p w14:paraId="04121340">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_Toc12510 </w:instrText>
          </w:r>
          <w:r>
            <w:rPr>
              <w:color w:val="auto"/>
            </w:rPr>
            <w:fldChar w:fldCharType="separate"/>
          </w:r>
          <w:r>
            <w:rPr>
              <w:rFonts w:hint="eastAsia" w:ascii="宋体" w:hAnsi="宋体" w:eastAsia="宋体" w:cs="宋体"/>
              <w:bCs w:val="0"/>
              <w:color w:val="auto"/>
              <w:szCs w:val="24"/>
            </w:rPr>
            <w:t>六、公告期限</w:t>
          </w:r>
          <w:r>
            <w:rPr>
              <w:color w:val="auto"/>
            </w:rPr>
            <w:tab/>
          </w:r>
          <w:r>
            <w:rPr>
              <w:color w:val="auto"/>
            </w:rPr>
            <w:fldChar w:fldCharType="begin"/>
          </w:r>
          <w:r>
            <w:rPr>
              <w:color w:val="auto"/>
            </w:rPr>
            <w:instrText xml:space="preserve"> PAGEREF _Toc12510 \h </w:instrText>
          </w:r>
          <w:r>
            <w:rPr>
              <w:color w:val="auto"/>
            </w:rPr>
            <w:fldChar w:fldCharType="separate"/>
          </w:r>
          <w:r>
            <w:rPr>
              <w:color w:val="auto"/>
            </w:rPr>
            <w:t>7</w:t>
          </w:r>
          <w:r>
            <w:rPr>
              <w:color w:val="auto"/>
            </w:rPr>
            <w:fldChar w:fldCharType="end"/>
          </w:r>
          <w:r>
            <w:rPr>
              <w:color w:val="auto"/>
            </w:rPr>
            <w:fldChar w:fldCharType="end"/>
          </w:r>
        </w:p>
        <w:p w14:paraId="707602D5">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_Toc2292 </w:instrText>
          </w:r>
          <w:r>
            <w:rPr>
              <w:color w:val="auto"/>
            </w:rPr>
            <w:fldChar w:fldCharType="separate"/>
          </w:r>
          <w:r>
            <w:rPr>
              <w:rFonts w:hint="eastAsia" w:ascii="宋体" w:hAnsi="宋体" w:eastAsia="宋体" w:cs="宋体"/>
              <w:bCs w:val="0"/>
              <w:color w:val="auto"/>
              <w:szCs w:val="24"/>
            </w:rPr>
            <w:t>七、其他补充事宜</w:t>
          </w:r>
          <w:r>
            <w:rPr>
              <w:color w:val="auto"/>
            </w:rPr>
            <w:tab/>
          </w:r>
          <w:r>
            <w:rPr>
              <w:color w:val="auto"/>
            </w:rPr>
            <w:fldChar w:fldCharType="begin"/>
          </w:r>
          <w:r>
            <w:rPr>
              <w:color w:val="auto"/>
            </w:rPr>
            <w:instrText xml:space="preserve"> PAGEREF _Toc2292 \h </w:instrText>
          </w:r>
          <w:r>
            <w:rPr>
              <w:color w:val="auto"/>
            </w:rPr>
            <w:fldChar w:fldCharType="separate"/>
          </w:r>
          <w:r>
            <w:rPr>
              <w:color w:val="auto"/>
            </w:rPr>
            <w:t>7</w:t>
          </w:r>
          <w:r>
            <w:rPr>
              <w:color w:val="auto"/>
            </w:rPr>
            <w:fldChar w:fldCharType="end"/>
          </w:r>
          <w:r>
            <w:rPr>
              <w:color w:val="auto"/>
            </w:rPr>
            <w:fldChar w:fldCharType="end"/>
          </w:r>
        </w:p>
        <w:p w14:paraId="2E6B7504">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_Toc30243 </w:instrText>
          </w:r>
          <w:r>
            <w:rPr>
              <w:color w:val="auto"/>
            </w:rPr>
            <w:fldChar w:fldCharType="separate"/>
          </w:r>
          <w:r>
            <w:rPr>
              <w:rFonts w:hint="eastAsia" w:ascii="宋体" w:hAnsi="宋体" w:eastAsia="宋体" w:cs="宋体"/>
              <w:bCs w:val="0"/>
              <w:color w:val="auto"/>
              <w:szCs w:val="24"/>
            </w:rPr>
            <w:t>八、凡对本次采购提出询问，请按以下方式联系</w:t>
          </w:r>
          <w:r>
            <w:rPr>
              <w:color w:val="auto"/>
            </w:rPr>
            <w:tab/>
          </w:r>
          <w:r>
            <w:rPr>
              <w:color w:val="auto"/>
            </w:rPr>
            <w:fldChar w:fldCharType="begin"/>
          </w:r>
          <w:r>
            <w:rPr>
              <w:color w:val="auto"/>
            </w:rPr>
            <w:instrText xml:space="preserve"> PAGEREF _Toc30243 \h </w:instrText>
          </w:r>
          <w:r>
            <w:rPr>
              <w:color w:val="auto"/>
            </w:rPr>
            <w:fldChar w:fldCharType="separate"/>
          </w:r>
          <w:r>
            <w:rPr>
              <w:color w:val="auto"/>
            </w:rPr>
            <w:t>7</w:t>
          </w:r>
          <w:r>
            <w:rPr>
              <w:color w:val="auto"/>
            </w:rPr>
            <w:fldChar w:fldCharType="end"/>
          </w:r>
          <w:r>
            <w:rPr>
              <w:color w:val="auto"/>
            </w:rPr>
            <w:fldChar w:fldCharType="end"/>
          </w:r>
        </w:p>
        <w:p w14:paraId="1621B8CB">
          <w:pPr>
            <w:pStyle w:val="23"/>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_Toc9712 </w:instrText>
          </w:r>
          <w:r>
            <w:rPr>
              <w:color w:val="auto"/>
            </w:rPr>
            <w:fldChar w:fldCharType="separate"/>
          </w:r>
          <w:r>
            <w:rPr>
              <w:rFonts w:hint="eastAsia" w:ascii="宋体" w:hAnsi="宋体" w:eastAsia="宋体" w:cs="宋体"/>
              <w:bCs/>
              <w:color w:val="auto"/>
              <w:szCs w:val="44"/>
            </w:rPr>
            <w:t xml:space="preserve">第二章  </w:t>
          </w:r>
          <w:r>
            <w:rPr>
              <w:rFonts w:hint="eastAsia" w:ascii="宋体" w:hAnsi="宋体" w:eastAsia="宋体" w:cs="宋体"/>
              <w:bCs/>
              <w:color w:val="auto"/>
              <w:szCs w:val="44"/>
              <w:lang w:val="en-US" w:eastAsia="zh-CN"/>
            </w:rPr>
            <w:t>谈判</w:t>
          </w:r>
          <w:r>
            <w:rPr>
              <w:rFonts w:hint="eastAsia" w:ascii="宋体" w:hAnsi="宋体" w:eastAsia="宋体" w:cs="宋体"/>
              <w:bCs/>
              <w:color w:val="auto"/>
              <w:szCs w:val="44"/>
            </w:rPr>
            <w:t>须知</w:t>
          </w:r>
          <w:r>
            <w:rPr>
              <w:color w:val="auto"/>
            </w:rPr>
            <w:tab/>
          </w:r>
          <w:r>
            <w:rPr>
              <w:color w:val="auto"/>
            </w:rPr>
            <w:fldChar w:fldCharType="begin"/>
          </w:r>
          <w:r>
            <w:rPr>
              <w:color w:val="auto"/>
            </w:rPr>
            <w:instrText xml:space="preserve"> PAGEREF _Toc9712 \h </w:instrText>
          </w:r>
          <w:r>
            <w:rPr>
              <w:color w:val="auto"/>
            </w:rPr>
            <w:fldChar w:fldCharType="separate"/>
          </w:r>
          <w:r>
            <w:rPr>
              <w:color w:val="auto"/>
            </w:rPr>
            <w:t>7</w:t>
          </w:r>
          <w:r>
            <w:rPr>
              <w:color w:val="auto"/>
            </w:rPr>
            <w:fldChar w:fldCharType="end"/>
          </w:r>
          <w:r>
            <w:rPr>
              <w:color w:val="auto"/>
            </w:rPr>
            <w:fldChar w:fldCharType="end"/>
          </w:r>
        </w:p>
        <w:p w14:paraId="12A9E563">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_Toc26988 </w:instrText>
          </w:r>
          <w:r>
            <w:rPr>
              <w:color w:val="auto"/>
            </w:rPr>
            <w:fldChar w:fldCharType="separate"/>
          </w:r>
          <w:r>
            <w:rPr>
              <w:rFonts w:hint="eastAsia" w:ascii="宋体" w:hAnsi="宋体" w:eastAsia="宋体" w:cs="宋体"/>
              <w:bCs/>
              <w:color w:val="auto"/>
              <w:szCs w:val="32"/>
              <w:highlight w:val="none"/>
            </w:rPr>
            <w:t>一、供应商须知</w:t>
          </w:r>
          <w:r>
            <w:rPr>
              <w:rFonts w:hint="eastAsia" w:ascii="宋体" w:hAnsi="宋体" w:eastAsia="宋体" w:cs="宋体"/>
              <w:bCs/>
              <w:color w:val="auto"/>
              <w:szCs w:val="32"/>
              <w:highlight w:val="none"/>
              <w:lang w:val="en-US" w:eastAsia="zh-CN"/>
            </w:rPr>
            <w:t>前</w:t>
          </w:r>
          <w:r>
            <w:rPr>
              <w:rFonts w:hint="eastAsia" w:ascii="宋体" w:hAnsi="宋体" w:eastAsia="宋体" w:cs="宋体"/>
              <w:bCs/>
              <w:color w:val="auto"/>
              <w:szCs w:val="32"/>
              <w:highlight w:val="none"/>
            </w:rPr>
            <w:t>附表</w:t>
          </w:r>
          <w:r>
            <w:rPr>
              <w:color w:val="auto"/>
            </w:rPr>
            <w:tab/>
          </w:r>
          <w:r>
            <w:rPr>
              <w:color w:val="auto"/>
            </w:rPr>
            <w:fldChar w:fldCharType="begin"/>
          </w:r>
          <w:r>
            <w:rPr>
              <w:color w:val="auto"/>
            </w:rPr>
            <w:instrText xml:space="preserve"> PAGEREF _Toc26988 \h </w:instrText>
          </w:r>
          <w:r>
            <w:rPr>
              <w:color w:val="auto"/>
            </w:rPr>
            <w:fldChar w:fldCharType="separate"/>
          </w:r>
          <w:r>
            <w:rPr>
              <w:color w:val="auto"/>
            </w:rPr>
            <w:t>7</w:t>
          </w:r>
          <w:r>
            <w:rPr>
              <w:color w:val="auto"/>
            </w:rPr>
            <w:fldChar w:fldCharType="end"/>
          </w:r>
          <w:r>
            <w:rPr>
              <w:color w:val="auto"/>
            </w:rPr>
            <w:fldChar w:fldCharType="end"/>
          </w:r>
        </w:p>
        <w:p w14:paraId="4D0B153A">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_Toc15231 </w:instrText>
          </w:r>
          <w:r>
            <w:rPr>
              <w:color w:val="auto"/>
            </w:rPr>
            <w:fldChar w:fldCharType="separate"/>
          </w:r>
          <w:r>
            <w:rPr>
              <w:rFonts w:hint="eastAsia" w:ascii="宋体" w:hAnsi="宋体" w:eastAsia="宋体" w:cs="宋体"/>
              <w:bCs w:val="0"/>
              <w:color w:val="auto"/>
              <w:szCs w:val="32"/>
              <w:lang w:val="en-US" w:eastAsia="zh-CN"/>
            </w:rPr>
            <w:t>二、</w:t>
          </w:r>
          <w:r>
            <w:rPr>
              <w:rFonts w:hint="eastAsia" w:ascii="宋体" w:hAnsi="宋体" w:eastAsia="宋体" w:cs="宋体"/>
              <w:bCs w:val="0"/>
              <w:color w:val="auto"/>
              <w:szCs w:val="32"/>
            </w:rPr>
            <w:t>总  则</w:t>
          </w:r>
          <w:r>
            <w:rPr>
              <w:color w:val="auto"/>
            </w:rPr>
            <w:tab/>
          </w:r>
          <w:r>
            <w:rPr>
              <w:color w:val="auto"/>
            </w:rPr>
            <w:fldChar w:fldCharType="begin"/>
          </w:r>
          <w:r>
            <w:rPr>
              <w:color w:val="auto"/>
            </w:rPr>
            <w:instrText xml:space="preserve"> PAGEREF _Toc15231 \h </w:instrText>
          </w:r>
          <w:r>
            <w:rPr>
              <w:color w:val="auto"/>
            </w:rPr>
            <w:fldChar w:fldCharType="separate"/>
          </w:r>
          <w:r>
            <w:rPr>
              <w:color w:val="auto"/>
            </w:rPr>
            <w:t>16</w:t>
          </w:r>
          <w:r>
            <w:rPr>
              <w:color w:val="auto"/>
            </w:rPr>
            <w:fldChar w:fldCharType="end"/>
          </w:r>
          <w:r>
            <w:rPr>
              <w:color w:val="auto"/>
            </w:rPr>
            <w:fldChar w:fldCharType="end"/>
          </w:r>
        </w:p>
        <w:p w14:paraId="40E2ABF0">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_Toc28709 </w:instrText>
          </w:r>
          <w:r>
            <w:rPr>
              <w:color w:val="auto"/>
            </w:rPr>
            <w:fldChar w:fldCharType="separate"/>
          </w:r>
          <w:r>
            <w:rPr>
              <w:rFonts w:hint="eastAsia" w:ascii="宋体" w:hAnsi="宋体" w:eastAsia="宋体" w:cs="宋体"/>
              <w:bCs/>
              <w:color w:val="auto"/>
              <w:szCs w:val="32"/>
            </w:rPr>
            <w:t>三、</w:t>
          </w:r>
          <w:r>
            <w:rPr>
              <w:rFonts w:hint="eastAsia" w:ascii="宋体" w:hAnsi="宋体" w:eastAsia="宋体" w:cs="宋体"/>
              <w:bCs/>
              <w:color w:val="auto"/>
              <w:szCs w:val="32"/>
              <w:lang w:eastAsia="zh-CN"/>
            </w:rPr>
            <w:t>谈判文件</w:t>
          </w:r>
          <w:r>
            <w:rPr>
              <w:color w:val="auto"/>
            </w:rPr>
            <w:tab/>
          </w:r>
          <w:r>
            <w:rPr>
              <w:color w:val="auto"/>
            </w:rPr>
            <w:fldChar w:fldCharType="begin"/>
          </w:r>
          <w:r>
            <w:rPr>
              <w:color w:val="auto"/>
            </w:rPr>
            <w:instrText xml:space="preserve"> PAGEREF _Toc28709 \h </w:instrText>
          </w:r>
          <w:r>
            <w:rPr>
              <w:color w:val="auto"/>
            </w:rPr>
            <w:fldChar w:fldCharType="separate"/>
          </w:r>
          <w:r>
            <w:rPr>
              <w:color w:val="auto"/>
            </w:rPr>
            <w:t>20</w:t>
          </w:r>
          <w:r>
            <w:rPr>
              <w:color w:val="auto"/>
            </w:rPr>
            <w:fldChar w:fldCharType="end"/>
          </w:r>
          <w:r>
            <w:rPr>
              <w:color w:val="auto"/>
            </w:rPr>
            <w:fldChar w:fldCharType="end"/>
          </w:r>
        </w:p>
        <w:p w14:paraId="0E99CC78">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_Toc4164 </w:instrText>
          </w:r>
          <w:r>
            <w:rPr>
              <w:color w:val="auto"/>
            </w:rPr>
            <w:fldChar w:fldCharType="separate"/>
          </w:r>
          <w:r>
            <w:rPr>
              <w:rFonts w:hint="eastAsia" w:ascii="宋体" w:hAnsi="宋体" w:eastAsia="宋体" w:cs="宋体"/>
              <w:bCs/>
              <w:color w:val="auto"/>
              <w:szCs w:val="32"/>
            </w:rPr>
            <w:t>四、响应文件</w:t>
          </w:r>
          <w:r>
            <w:rPr>
              <w:color w:val="auto"/>
            </w:rPr>
            <w:tab/>
          </w:r>
          <w:r>
            <w:rPr>
              <w:color w:val="auto"/>
            </w:rPr>
            <w:fldChar w:fldCharType="begin"/>
          </w:r>
          <w:r>
            <w:rPr>
              <w:color w:val="auto"/>
            </w:rPr>
            <w:instrText xml:space="preserve"> PAGEREF _Toc4164 \h </w:instrText>
          </w:r>
          <w:r>
            <w:rPr>
              <w:color w:val="auto"/>
            </w:rPr>
            <w:fldChar w:fldCharType="separate"/>
          </w:r>
          <w:r>
            <w:rPr>
              <w:color w:val="auto"/>
            </w:rPr>
            <w:t>22</w:t>
          </w:r>
          <w:r>
            <w:rPr>
              <w:color w:val="auto"/>
            </w:rPr>
            <w:fldChar w:fldCharType="end"/>
          </w:r>
          <w:r>
            <w:rPr>
              <w:color w:val="auto"/>
            </w:rPr>
            <w:fldChar w:fldCharType="end"/>
          </w:r>
        </w:p>
        <w:p w14:paraId="008307E7">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_Toc31140 </w:instrText>
          </w:r>
          <w:r>
            <w:rPr>
              <w:color w:val="auto"/>
            </w:rPr>
            <w:fldChar w:fldCharType="separate"/>
          </w:r>
          <w:r>
            <w:rPr>
              <w:rFonts w:hint="eastAsia" w:ascii="宋体" w:hAnsi="宋体" w:eastAsia="宋体" w:cs="宋体"/>
              <w:bCs/>
              <w:color w:val="auto"/>
              <w:szCs w:val="32"/>
            </w:rPr>
            <w:t>五、</w:t>
          </w:r>
          <w:r>
            <w:rPr>
              <w:rFonts w:hint="eastAsia" w:ascii="宋体" w:hAnsi="宋体" w:eastAsia="宋体" w:cs="宋体"/>
              <w:bCs/>
              <w:color w:val="auto"/>
              <w:szCs w:val="32"/>
              <w:lang w:eastAsia="zh-CN"/>
            </w:rPr>
            <w:t>谈判</w:t>
          </w:r>
          <w:r>
            <w:rPr>
              <w:rFonts w:hint="eastAsia" w:ascii="宋体" w:hAnsi="宋体" w:eastAsia="宋体" w:cs="宋体"/>
              <w:bCs/>
              <w:color w:val="auto"/>
              <w:szCs w:val="32"/>
            </w:rPr>
            <w:t>及评审过程</w:t>
          </w:r>
          <w:r>
            <w:rPr>
              <w:color w:val="auto"/>
            </w:rPr>
            <w:tab/>
          </w:r>
          <w:r>
            <w:rPr>
              <w:color w:val="auto"/>
            </w:rPr>
            <w:fldChar w:fldCharType="begin"/>
          </w:r>
          <w:r>
            <w:rPr>
              <w:color w:val="auto"/>
            </w:rPr>
            <w:instrText xml:space="preserve"> PAGEREF _Toc31140 \h </w:instrText>
          </w:r>
          <w:r>
            <w:rPr>
              <w:color w:val="auto"/>
            </w:rPr>
            <w:fldChar w:fldCharType="separate"/>
          </w:r>
          <w:r>
            <w:rPr>
              <w:color w:val="auto"/>
            </w:rPr>
            <w:t>24</w:t>
          </w:r>
          <w:r>
            <w:rPr>
              <w:color w:val="auto"/>
            </w:rPr>
            <w:fldChar w:fldCharType="end"/>
          </w:r>
          <w:r>
            <w:rPr>
              <w:color w:val="auto"/>
            </w:rPr>
            <w:fldChar w:fldCharType="end"/>
          </w:r>
        </w:p>
        <w:p w14:paraId="1EAF756D">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_Toc5240 </w:instrText>
          </w:r>
          <w:r>
            <w:rPr>
              <w:color w:val="auto"/>
            </w:rPr>
            <w:fldChar w:fldCharType="separate"/>
          </w:r>
          <w:r>
            <w:rPr>
              <w:rFonts w:hint="eastAsia" w:ascii="宋体" w:hAnsi="宋体" w:eastAsia="宋体" w:cs="宋体"/>
              <w:bCs/>
              <w:color w:val="auto"/>
              <w:szCs w:val="32"/>
            </w:rPr>
            <w:t>六、成交事项</w:t>
          </w:r>
          <w:r>
            <w:rPr>
              <w:color w:val="auto"/>
            </w:rPr>
            <w:tab/>
          </w:r>
          <w:r>
            <w:rPr>
              <w:color w:val="auto"/>
            </w:rPr>
            <w:fldChar w:fldCharType="begin"/>
          </w:r>
          <w:r>
            <w:rPr>
              <w:color w:val="auto"/>
            </w:rPr>
            <w:instrText xml:space="preserve"> PAGEREF _Toc5240 \h </w:instrText>
          </w:r>
          <w:r>
            <w:rPr>
              <w:color w:val="auto"/>
            </w:rPr>
            <w:fldChar w:fldCharType="separate"/>
          </w:r>
          <w:r>
            <w:rPr>
              <w:color w:val="auto"/>
            </w:rPr>
            <w:t>25</w:t>
          </w:r>
          <w:r>
            <w:rPr>
              <w:color w:val="auto"/>
            </w:rPr>
            <w:fldChar w:fldCharType="end"/>
          </w:r>
          <w:r>
            <w:rPr>
              <w:color w:val="auto"/>
            </w:rPr>
            <w:fldChar w:fldCharType="end"/>
          </w:r>
        </w:p>
        <w:p w14:paraId="30499368">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_Toc25238 </w:instrText>
          </w:r>
          <w:r>
            <w:rPr>
              <w:color w:val="auto"/>
            </w:rPr>
            <w:fldChar w:fldCharType="separate"/>
          </w:r>
          <w:r>
            <w:rPr>
              <w:rFonts w:hint="eastAsia" w:ascii="宋体" w:hAnsi="宋体" w:eastAsia="宋体" w:cs="宋体"/>
              <w:bCs/>
              <w:color w:val="auto"/>
              <w:szCs w:val="32"/>
            </w:rPr>
            <w:t>七、合同事项</w:t>
          </w:r>
          <w:r>
            <w:rPr>
              <w:color w:val="auto"/>
            </w:rPr>
            <w:tab/>
          </w:r>
          <w:r>
            <w:rPr>
              <w:color w:val="auto"/>
            </w:rPr>
            <w:fldChar w:fldCharType="begin"/>
          </w:r>
          <w:r>
            <w:rPr>
              <w:color w:val="auto"/>
            </w:rPr>
            <w:instrText xml:space="preserve"> PAGEREF _Toc25238 \h </w:instrText>
          </w:r>
          <w:r>
            <w:rPr>
              <w:color w:val="auto"/>
            </w:rPr>
            <w:fldChar w:fldCharType="separate"/>
          </w:r>
          <w:r>
            <w:rPr>
              <w:color w:val="auto"/>
            </w:rPr>
            <w:t>26</w:t>
          </w:r>
          <w:r>
            <w:rPr>
              <w:color w:val="auto"/>
            </w:rPr>
            <w:fldChar w:fldCharType="end"/>
          </w:r>
          <w:r>
            <w:rPr>
              <w:color w:val="auto"/>
            </w:rPr>
            <w:fldChar w:fldCharType="end"/>
          </w:r>
        </w:p>
        <w:p w14:paraId="7ED5FA19">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_Toc29213 </w:instrText>
          </w:r>
          <w:r>
            <w:rPr>
              <w:color w:val="auto"/>
            </w:rPr>
            <w:fldChar w:fldCharType="separate"/>
          </w:r>
          <w:r>
            <w:rPr>
              <w:rFonts w:hint="eastAsia" w:ascii="宋体" w:hAnsi="宋体" w:eastAsia="宋体" w:cs="宋体"/>
              <w:bCs/>
              <w:color w:val="auto"/>
              <w:szCs w:val="32"/>
            </w:rPr>
            <w:t>八、</w:t>
          </w:r>
          <w:r>
            <w:rPr>
              <w:rFonts w:hint="eastAsia" w:ascii="宋体" w:hAnsi="宋体" w:eastAsia="宋体" w:cs="宋体"/>
              <w:bCs/>
              <w:color w:val="auto"/>
              <w:szCs w:val="32"/>
              <w:lang w:eastAsia="zh-CN"/>
            </w:rPr>
            <w:t>谈判</w:t>
          </w:r>
          <w:r>
            <w:rPr>
              <w:rFonts w:hint="eastAsia" w:ascii="宋体" w:hAnsi="宋体" w:eastAsia="宋体" w:cs="宋体"/>
              <w:bCs/>
              <w:color w:val="auto"/>
              <w:szCs w:val="32"/>
            </w:rPr>
            <w:t>纪律要求</w:t>
          </w:r>
          <w:r>
            <w:rPr>
              <w:color w:val="auto"/>
            </w:rPr>
            <w:tab/>
          </w:r>
          <w:r>
            <w:rPr>
              <w:color w:val="auto"/>
            </w:rPr>
            <w:fldChar w:fldCharType="begin"/>
          </w:r>
          <w:r>
            <w:rPr>
              <w:color w:val="auto"/>
            </w:rPr>
            <w:instrText xml:space="preserve"> PAGEREF _Toc29213 \h </w:instrText>
          </w:r>
          <w:r>
            <w:rPr>
              <w:color w:val="auto"/>
            </w:rPr>
            <w:fldChar w:fldCharType="separate"/>
          </w:r>
          <w:r>
            <w:rPr>
              <w:color w:val="auto"/>
            </w:rPr>
            <w:t>29</w:t>
          </w:r>
          <w:r>
            <w:rPr>
              <w:color w:val="auto"/>
            </w:rPr>
            <w:fldChar w:fldCharType="end"/>
          </w:r>
          <w:r>
            <w:rPr>
              <w:color w:val="auto"/>
            </w:rPr>
            <w:fldChar w:fldCharType="end"/>
          </w:r>
        </w:p>
        <w:p w14:paraId="29A862D1">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_Toc5328 </w:instrText>
          </w:r>
          <w:r>
            <w:rPr>
              <w:color w:val="auto"/>
            </w:rPr>
            <w:fldChar w:fldCharType="separate"/>
          </w:r>
          <w:r>
            <w:rPr>
              <w:rFonts w:hint="eastAsia" w:ascii="宋体" w:hAnsi="宋体" w:eastAsia="宋体" w:cs="宋体"/>
              <w:bCs/>
              <w:color w:val="auto"/>
              <w:szCs w:val="32"/>
            </w:rPr>
            <w:t>九、询问、质疑和投诉</w:t>
          </w:r>
          <w:r>
            <w:rPr>
              <w:color w:val="auto"/>
            </w:rPr>
            <w:tab/>
          </w:r>
          <w:r>
            <w:rPr>
              <w:color w:val="auto"/>
            </w:rPr>
            <w:fldChar w:fldCharType="begin"/>
          </w:r>
          <w:r>
            <w:rPr>
              <w:color w:val="auto"/>
            </w:rPr>
            <w:instrText xml:space="preserve"> PAGEREF _Toc5328 \h </w:instrText>
          </w:r>
          <w:r>
            <w:rPr>
              <w:color w:val="auto"/>
            </w:rPr>
            <w:fldChar w:fldCharType="separate"/>
          </w:r>
          <w:r>
            <w:rPr>
              <w:color w:val="auto"/>
            </w:rPr>
            <w:t>30</w:t>
          </w:r>
          <w:r>
            <w:rPr>
              <w:color w:val="auto"/>
            </w:rPr>
            <w:fldChar w:fldCharType="end"/>
          </w:r>
          <w:r>
            <w:rPr>
              <w:color w:val="auto"/>
            </w:rPr>
            <w:fldChar w:fldCharType="end"/>
          </w:r>
        </w:p>
        <w:p w14:paraId="3DA08C2F">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_Toc15378 </w:instrText>
          </w:r>
          <w:r>
            <w:rPr>
              <w:color w:val="auto"/>
            </w:rPr>
            <w:fldChar w:fldCharType="separate"/>
          </w:r>
          <w:r>
            <w:rPr>
              <w:rFonts w:hint="eastAsia" w:ascii="宋体" w:hAnsi="宋体" w:eastAsia="宋体" w:cs="宋体"/>
              <w:bCs/>
              <w:color w:val="auto"/>
              <w:szCs w:val="32"/>
            </w:rPr>
            <w:t xml:space="preserve">十、 </w:t>
          </w:r>
          <w:r>
            <w:rPr>
              <w:rFonts w:hint="eastAsia" w:ascii="宋体" w:hAnsi="宋体" w:eastAsia="宋体" w:cs="宋体"/>
              <w:bCs/>
              <w:color w:val="auto"/>
              <w:szCs w:val="32"/>
              <w:lang w:eastAsia="zh-CN"/>
            </w:rPr>
            <w:t>其他</w:t>
          </w:r>
          <w:r>
            <w:rPr>
              <w:color w:val="auto"/>
            </w:rPr>
            <w:tab/>
          </w:r>
          <w:r>
            <w:rPr>
              <w:color w:val="auto"/>
            </w:rPr>
            <w:fldChar w:fldCharType="begin"/>
          </w:r>
          <w:r>
            <w:rPr>
              <w:color w:val="auto"/>
            </w:rPr>
            <w:instrText xml:space="preserve"> PAGEREF _Toc15378 \h </w:instrText>
          </w:r>
          <w:r>
            <w:rPr>
              <w:color w:val="auto"/>
            </w:rPr>
            <w:fldChar w:fldCharType="separate"/>
          </w:r>
          <w:r>
            <w:rPr>
              <w:color w:val="auto"/>
            </w:rPr>
            <w:t>31</w:t>
          </w:r>
          <w:r>
            <w:rPr>
              <w:color w:val="auto"/>
            </w:rPr>
            <w:fldChar w:fldCharType="end"/>
          </w:r>
          <w:r>
            <w:rPr>
              <w:color w:val="auto"/>
            </w:rPr>
            <w:fldChar w:fldCharType="end"/>
          </w:r>
        </w:p>
        <w:p w14:paraId="3DA64A75">
          <w:pPr>
            <w:pStyle w:val="23"/>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_Toc20140 </w:instrText>
          </w:r>
          <w:r>
            <w:rPr>
              <w:color w:val="auto"/>
            </w:rPr>
            <w:fldChar w:fldCharType="separate"/>
          </w:r>
          <w:r>
            <w:rPr>
              <w:rFonts w:hint="eastAsia" w:ascii="宋体" w:hAnsi="宋体" w:eastAsia="宋体" w:cs="宋体"/>
              <w:bCs w:val="0"/>
              <w:color w:val="auto"/>
              <w:szCs w:val="44"/>
            </w:rPr>
            <w:t>第</w:t>
          </w:r>
          <w:r>
            <w:rPr>
              <w:rFonts w:hint="eastAsia" w:ascii="宋体" w:hAnsi="宋体" w:eastAsia="宋体" w:cs="宋体"/>
              <w:bCs w:val="0"/>
              <w:color w:val="auto"/>
              <w:szCs w:val="44"/>
              <w:lang w:val="en-US" w:eastAsia="zh-CN"/>
            </w:rPr>
            <w:t>三</w:t>
          </w:r>
          <w:r>
            <w:rPr>
              <w:rFonts w:hint="eastAsia" w:ascii="宋体" w:hAnsi="宋体" w:eastAsia="宋体" w:cs="宋体"/>
              <w:bCs w:val="0"/>
              <w:color w:val="auto"/>
              <w:szCs w:val="44"/>
            </w:rPr>
            <w:t xml:space="preserve">章  </w:t>
          </w:r>
          <w:r>
            <w:rPr>
              <w:rFonts w:hint="eastAsia" w:ascii="宋体" w:hAnsi="宋体" w:eastAsia="宋体" w:cs="宋体"/>
              <w:bCs w:val="0"/>
              <w:color w:val="auto"/>
              <w:szCs w:val="44"/>
              <w:lang w:val="en-US" w:eastAsia="zh-CN"/>
            </w:rPr>
            <w:t>项目需求</w:t>
          </w:r>
          <w:r>
            <w:rPr>
              <w:color w:val="auto"/>
            </w:rPr>
            <w:tab/>
          </w:r>
          <w:r>
            <w:rPr>
              <w:color w:val="auto"/>
            </w:rPr>
            <w:fldChar w:fldCharType="begin"/>
          </w:r>
          <w:r>
            <w:rPr>
              <w:color w:val="auto"/>
            </w:rPr>
            <w:instrText xml:space="preserve"> PAGEREF _Toc20140 \h </w:instrText>
          </w:r>
          <w:r>
            <w:rPr>
              <w:color w:val="auto"/>
            </w:rPr>
            <w:fldChar w:fldCharType="separate"/>
          </w:r>
          <w:r>
            <w:rPr>
              <w:color w:val="auto"/>
            </w:rPr>
            <w:t>38</w:t>
          </w:r>
          <w:r>
            <w:rPr>
              <w:color w:val="auto"/>
            </w:rPr>
            <w:fldChar w:fldCharType="end"/>
          </w:r>
          <w:r>
            <w:rPr>
              <w:color w:val="auto"/>
            </w:rPr>
            <w:fldChar w:fldCharType="end"/>
          </w:r>
        </w:p>
        <w:p w14:paraId="6F02FF1A">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_Toc6768 </w:instrText>
          </w:r>
          <w:r>
            <w:rPr>
              <w:color w:val="auto"/>
            </w:rPr>
            <w:fldChar w:fldCharType="separate"/>
          </w:r>
          <w:r>
            <w:rPr>
              <w:rFonts w:hint="eastAsia"/>
              <w:color w:val="auto"/>
              <w:szCs w:val="28"/>
            </w:rPr>
            <w:t>一、 项目概况</w:t>
          </w:r>
          <w:r>
            <w:rPr>
              <w:color w:val="auto"/>
            </w:rPr>
            <w:tab/>
          </w:r>
          <w:r>
            <w:rPr>
              <w:color w:val="auto"/>
            </w:rPr>
            <w:fldChar w:fldCharType="begin"/>
          </w:r>
          <w:r>
            <w:rPr>
              <w:color w:val="auto"/>
            </w:rPr>
            <w:instrText xml:space="preserve"> PAGEREF _Toc6768 \h </w:instrText>
          </w:r>
          <w:r>
            <w:rPr>
              <w:color w:val="auto"/>
            </w:rPr>
            <w:fldChar w:fldCharType="separate"/>
          </w:r>
          <w:r>
            <w:rPr>
              <w:color w:val="auto"/>
            </w:rPr>
            <w:t>38</w:t>
          </w:r>
          <w:r>
            <w:rPr>
              <w:color w:val="auto"/>
            </w:rPr>
            <w:fldChar w:fldCharType="end"/>
          </w:r>
          <w:r>
            <w:rPr>
              <w:color w:val="auto"/>
            </w:rPr>
            <w:fldChar w:fldCharType="end"/>
          </w:r>
        </w:p>
        <w:p w14:paraId="16380215">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_Toc5726 </w:instrText>
          </w:r>
          <w:r>
            <w:rPr>
              <w:color w:val="auto"/>
            </w:rPr>
            <w:fldChar w:fldCharType="separate"/>
          </w:r>
          <w:r>
            <w:rPr>
              <w:rFonts w:hint="eastAsia"/>
              <w:color w:val="auto"/>
              <w:szCs w:val="28"/>
              <w:lang w:val="en-US" w:eastAsia="zh-CN"/>
            </w:rPr>
            <w:t>二、</w:t>
          </w:r>
          <w:r>
            <w:rPr>
              <w:rFonts w:hint="eastAsia"/>
              <w:color w:val="auto"/>
              <w:szCs w:val="28"/>
            </w:rPr>
            <w:t>采购内容</w:t>
          </w:r>
          <w:r>
            <w:rPr>
              <w:color w:val="auto"/>
            </w:rPr>
            <w:tab/>
          </w:r>
          <w:r>
            <w:rPr>
              <w:color w:val="auto"/>
            </w:rPr>
            <w:fldChar w:fldCharType="begin"/>
          </w:r>
          <w:r>
            <w:rPr>
              <w:color w:val="auto"/>
            </w:rPr>
            <w:instrText xml:space="preserve"> PAGEREF _Toc5726 \h </w:instrText>
          </w:r>
          <w:r>
            <w:rPr>
              <w:color w:val="auto"/>
            </w:rPr>
            <w:fldChar w:fldCharType="separate"/>
          </w:r>
          <w:r>
            <w:rPr>
              <w:color w:val="auto"/>
            </w:rPr>
            <w:t>38</w:t>
          </w:r>
          <w:r>
            <w:rPr>
              <w:color w:val="auto"/>
            </w:rPr>
            <w:fldChar w:fldCharType="end"/>
          </w:r>
          <w:r>
            <w:rPr>
              <w:color w:val="auto"/>
            </w:rPr>
            <w:fldChar w:fldCharType="end"/>
          </w:r>
        </w:p>
        <w:p w14:paraId="6B5A9C5C">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_Toc1810 </w:instrText>
          </w:r>
          <w:r>
            <w:rPr>
              <w:color w:val="auto"/>
            </w:rPr>
            <w:fldChar w:fldCharType="separate"/>
          </w:r>
          <w:r>
            <w:rPr>
              <w:rFonts w:hint="eastAsia"/>
              <w:color w:val="auto"/>
              <w:szCs w:val="28"/>
              <w:lang w:val="en-US" w:eastAsia="zh-CN"/>
            </w:rPr>
            <w:t>三、技术参数及要求</w:t>
          </w:r>
          <w:r>
            <w:rPr>
              <w:color w:val="auto"/>
            </w:rPr>
            <w:tab/>
          </w:r>
          <w:r>
            <w:rPr>
              <w:color w:val="auto"/>
            </w:rPr>
            <w:fldChar w:fldCharType="begin"/>
          </w:r>
          <w:r>
            <w:rPr>
              <w:color w:val="auto"/>
            </w:rPr>
            <w:instrText xml:space="preserve"> PAGEREF _Toc1810 \h </w:instrText>
          </w:r>
          <w:r>
            <w:rPr>
              <w:color w:val="auto"/>
            </w:rPr>
            <w:fldChar w:fldCharType="separate"/>
          </w:r>
          <w:r>
            <w:rPr>
              <w:color w:val="auto"/>
            </w:rPr>
            <w:t>39</w:t>
          </w:r>
          <w:r>
            <w:rPr>
              <w:color w:val="auto"/>
            </w:rPr>
            <w:fldChar w:fldCharType="end"/>
          </w:r>
          <w:r>
            <w:rPr>
              <w:color w:val="auto"/>
            </w:rPr>
            <w:fldChar w:fldCharType="end"/>
          </w:r>
        </w:p>
        <w:p w14:paraId="00DF1A70">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_Toc16615 </w:instrText>
          </w:r>
          <w:r>
            <w:rPr>
              <w:color w:val="auto"/>
            </w:rPr>
            <w:fldChar w:fldCharType="separate"/>
          </w:r>
          <w:r>
            <w:rPr>
              <w:rFonts w:hint="eastAsia"/>
              <w:color w:val="auto"/>
              <w:szCs w:val="28"/>
              <w:lang w:val="en-US" w:eastAsia="zh-CN"/>
            </w:rPr>
            <w:t>四、商务要求</w:t>
          </w:r>
          <w:r>
            <w:rPr>
              <w:color w:val="auto"/>
            </w:rPr>
            <w:tab/>
          </w:r>
          <w:r>
            <w:rPr>
              <w:color w:val="auto"/>
            </w:rPr>
            <w:fldChar w:fldCharType="begin"/>
          </w:r>
          <w:r>
            <w:rPr>
              <w:color w:val="auto"/>
            </w:rPr>
            <w:instrText xml:space="preserve"> PAGEREF _Toc16615 \h </w:instrText>
          </w:r>
          <w:r>
            <w:rPr>
              <w:color w:val="auto"/>
            </w:rPr>
            <w:fldChar w:fldCharType="separate"/>
          </w:r>
          <w:r>
            <w:rPr>
              <w:color w:val="auto"/>
            </w:rPr>
            <w:t>43</w:t>
          </w:r>
          <w:r>
            <w:rPr>
              <w:color w:val="auto"/>
            </w:rPr>
            <w:fldChar w:fldCharType="end"/>
          </w:r>
          <w:r>
            <w:rPr>
              <w:color w:val="auto"/>
            </w:rPr>
            <w:fldChar w:fldCharType="end"/>
          </w:r>
        </w:p>
        <w:p w14:paraId="38B4E7AD">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_Toc837 </w:instrText>
          </w:r>
          <w:r>
            <w:rPr>
              <w:color w:val="auto"/>
            </w:rPr>
            <w:fldChar w:fldCharType="separate"/>
          </w:r>
          <w:r>
            <w:rPr>
              <w:rFonts w:hint="eastAsia"/>
              <w:color w:val="auto"/>
              <w:szCs w:val="28"/>
              <w:lang w:val="en-US" w:eastAsia="zh-CN"/>
            </w:rPr>
            <w:t>五、可实质性变动的实质性要求</w:t>
          </w:r>
          <w:r>
            <w:rPr>
              <w:color w:val="auto"/>
            </w:rPr>
            <w:tab/>
          </w:r>
          <w:r>
            <w:rPr>
              <w:color w:val="auto"/>
            </w:rPr>
            <w:fldChar w:fldCharType="begin"/>
          </w:r>
          <w:r>
            <w:rPr>
              <w:color w:val="auto"/>
            </w:rPr>
            <w:instrText xml:space="preserve"> PAGEREF _Toc837 \h </w:instrText>
          </w:r>
          <w:r>
            <w:rPr>
              <w:color w:val="auto"/>
            </w:rPr>
            <w:fldChar w:fldCharType="separate"/>
          </w:r>
          <w:r>
            <w:rPr>
              <w:color w:val="auto"/>
            </w:rPr>
            <w:t>48</w:t>
          </w:r>
          <w:r>
            <w:rPr>
              <w:color w:val="auto"/>
            </w:rPr>
            <w:fldChar w:fldCharType="end"/>
          </w:r>
          <w:r>
            <w:rPr>
              <w:color w:val="auto"/>
            </w:rPr>
            <w:fldChar w:fldCharType="end"/>
          </w:r>
        </w:p>
        <w:p w14:paraId="2DB1FAA5">
          <w:pPr>
            <w:pStyle w:val="23"/>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_Toc29063 </w:instrText>
          </w:r>
          <w:r>
            <w:rPr>
              <w:color w:val="auto"/>
            </w:rPr>
            <w:fldChar w:fldCharType="separate"/>
          </w:r>
          <w:r>
            <w:rPr>
              <w:rFonts w:hint="eastAsia"/>
              <w:color w:val="auto"/>
              <w:lang w:eastAsia="zh-CN"/>
            </w:rPr>
            <w:t>第四章</w:t>
          </w:r>
          <w:r>
            <w:rPr>
              <w:rFonts w:hint="eastAsia"/>
              <w:color w:val="auto"/>
            </w:rPr>
            <w:t xml:space="preserve">  政府采购合同（草案）</w:t>
          </w:r>
          <w:r>
            <w:rPr>
              <w:color w:val="auto"/>
            </w:rPr>
            <w:tab/>
          </w:r>
          <w:r>
            <w:rPr>
              <w:color w:val="auto"/>
            </w:rPr>
            <w:fldChar w:fldCharType="begin"/>
          </w:r>
          <w:r>
            <w:rPr>
              <w:color w:val="auto"/>
            </w:rPr>
            <w:instrText xml:space="preserve"> PAGEREF _Toc29063 \h </w:instrText>
          </w:r>
          <w:r>
            <w:rPr>
              <w:color w:val="auto"/>
            </w:rPr>
            <w:fldChar w:fldCharType="separate"/>
          </w:r>
          <w:r>
            <w:rPr>
              <w:color w:val="auto"/>
            </w:rPr>
            <w:t>48</w:t>
          </w:r>
          <w:r>
            <w:rPr>
              <w:color w:val="auto"/>
            </w:rPr>
            <w:fldChar w:fldCharType="end"/>
          </w:r>
          <w:r>
            <w:rPr>
              <w:color w:val="auto"/>
            </w:rPr>
            <w:fldChar w:fldCharType="end"/>
          </w:r>
        </w:p>
        <w:p w14:paraId="0EDA0DDE">
          <w:pPr>
            <w:pStyle w:val="23"/>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_Toc14306 </w:instrText>
          </w:r>
          <w:r>
            <w:rPr>
              <w:color w:val="auto"/>
            </w:rPr>
            <w:fldChar w:fldCharType="separate"/>
          </w:r>
          <w:r>
            <w:rPr>
              <w:rFonts w:hint="eastAsia" w:ascii="宋体" w:hAnsi="宋体" w:eastAsia="宋体" w:cs="宋体"/>
              <w:color w:val="auto"/>
              <w:szCs w:val="44"/>
              <w:highlight w:val="none"/>
              <w:lang w:val="en-US" w:eastAsia="zh-CN"/>
            </w:rPr>
            <w:t>第五章</w:t>
          </w:r>
          <w:r>
            <w:rPr>
              <w:rFonts w:hint="eastAsia" w:ascii="宋体" w:hAnsi="宋体" w:eastAsia="宋体" w:cs="宋体"/>
              <w:color w:val="auto"/>
              <w:szCs w:val="44"/>
              <w:highlight w:val="none"/>
            </w:rPr>
            <w:t xml:space="preserve"> 评审方法</w:t>
          </w:r>
          <w:r>
            <w:rPr>
              <w:color w:val="auto"/>
            </w:rPr>
            <w:tab/>
          </w:r>
          <w:r>
            <w:rPr>
              <w:color w:val="auto"/>
            </w:rPr>
            <w:fldChar w:fldCharType="begin"/>
          </w:r>
          <w:r>
            <w:rPr>
              <w:color w:val="auto"/>
            </w:rPr>
            <w:instrText xml:space="preserve"> PAGEREF _Toc14306 \h </w:instrText>
          </w:r>
          <w:r>
            <w:rPr>
              <w:color w:val="auto"/>
            </w:rPr>
            <w:fldChar w:fldCharType="separate"/>
          </w:r>
          <w:r>
            <w:rPr>
              <w:color w:val="auto"/>
            </w:rPr>
            <w:t>52</w:t>
          </w:r>
          <w:r>
            <w:rPr>
              <w:color w:val="auto"/>
            </w:rPr>
            <w:fldChar w:fldCharType="end"/>
          </w:r>
          <w:r>
            <w:rPr>
              <w:color w:val="auto"/>
            </w:rPr>
            <w:fldChar w:fldCharType="end"/>
          </w:r>
        </w:p>
        <w:p w14:paraId="5830ED79">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_Toc24031 </w:instrText>
          </w:r>
          <w:r>
            <w:rPr>
              <w:color w:val="auto"/>
            </w:rPr>
            <w:fldChar w:fldCharType="separate"/>
          </w:r>
          <w:r>
            <w:rPr>
              <w:rFonts w:hint="eastAsia"/>
              <w:color w:val="auto"/>
              <w:szCs w:val="24"/>
              <w:lang w:val="en-US" w:eastAsia="zh-CN"/>
            </w:rPr>
            <w:t>一、总则</w:t>
          </w:r>
          <w:r>
            <w:rPr>
              <w:color w:val="auto"/>
            </w:rPr>
            <w:tab/>
          </w:r>
          <w:r>
            <w:rPr>
              <w:color w:val="auto"/>
            </w:rPr>
            <w:fldChar w:fldCharType="begin"/>
          </w:r>
          <w:r>
            <w:rPr>
              <w:color w:val="auto"/>
            </w:rPr>
            <w:instrText xml:space="preserve"> PAGEREF _Toc24031 \h </w:instrText>
          </w:r>
          <w:r>
            <w:rPr>
              <w:color w:val="auto"/>
            </w:rPr>
            <w:fldChar w:fldCharType="separate"/>
          </w:r>
          <w:r>
            <w:rPr>
              <w:color w:val="auto"/>
            </w:rPr>
            <w:t>52</w:t>
          </w:r>
          <w:r>
            <w:rPr>
              <w:color w:val="auto"/>
            </w:rPr>
            <w:fldChar w:fldCharType="end"/>
          </w:r>
          <w:r>
            <w:rPr>
              <w:color w:val="auto"/>
            </w:rPr>
            <w:fldChar w:fldCharType="end"/>
          </w:r>
        </w:p>
        <w:p w14:paraId="022DD560">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_Toc15211 </w:instrText>
          </w:r>
          <w:r>
            <w:rPr>
              <w:color w:val="auto"/>
            </w:rPr>
            <w:fldChar w:fldCharType="separate"/>
          </w:r>
          <w:r>
            <w:rPr>
              <w:rFonts w:hint="eastAsia" w:ascii="宋体" w:hAnsi="宋体" w:eastAsia="宋体" w:cs="宋体"/>
              <w:bCs w:val="0"/>
              <w:color w:val="auto"/>
              <w:szCs w:val="24"/>
              <w:highlight w:val="none"/>
              <w:lang w:val="en-US" w:eastAsia="zh-CN"/>
            </w:rPr>
            <w:t>二、 谈判程序</w:t>
          </w:r>
          <w:r>
            <w:rPr>
              <w:color w:val="auto"/>
            </w:rPr>
            <w:tab/>
          </w:r>
          <w:r>
            <w:rPr>
              <w:color w:val="auto"/>
            </w:rPr>
            <w:fldChar w:fldCharType="begin"/>
          </w:r>
          <w:r>
            <w:rPr>
              <w:color w:val="auto"/>
            </w:rPr>
            <w:instrText xml:space="preserve"> PAGEREF _Toc15211 \h </w:instrText>
          </w:r>
          <w:r>
            <w:rPr>
              <w:color w:val="auto"/>
            </w:rPr>
            <w:fldChar w:fldCharType="separate"/>
          </w:r>
          <w:r>
            <w:rPr>
              <w:color w:val="auto"/>
            </w:rPr>
            <w:t>53</w:t>
          </w:r>
          <w:r>
            <w:rPr>
              <w:color w:val="auto"/>
            </w:rPr>
            <w:fldChar w:fldCharType="end"/>
          </w:r>
          <w:r>
            <w:rPr>
              <w:color w:val="auto"/>
            </w:rPr>
            <w:fldChar w:fldCharType="end"/>
          </w:r>
        </w:p>
        <w:p w14:paraId="310E6CA3">
          <w:pPr>
            <w:pStyle w:val="23"/>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_Toc17454 </w:instrText>
          </w:r>
          <w:r>
            <w:rPr>
              <w:color w:val="auto"/>
            </w:rPr>
            <w:fldChar w:fldCharType="separate"/>
          </w:r>
          <w:r>
            <w:rPr>
              <w:rFonts w:hint="eastAsia"/>
              <w:color w:val="auto"/>
              <w:lang w:eastAsia="zh-CN"/>
            </w:rPr>
            <w:t>第六章</w:t>
          </w:r>
          <w:r>
            <w:rPr>
              <w:rFonts w:hint="eastAsia"/>
              <w:color w:val="auto"/>
            </w:rPr>
            <w:t xml:space="preserve">  响应文件格式</w:t>
          </w:r>
          <w:r>
            <w:rPr>
              <w:color w:val="auto"/>
            </w:rPr>
            <w:tab/>
          </w:r>
          <w:r>
            <w:rPr>
              <w:color w:val="auto"/>
            </w:rPr>
            <w:fldChar w:fldCharType="begin"/>
          </w:r>
          <w:r>
            <w:rPr>
              <w:color w:val="auto"/>
            </w:rPr>
            <w:instrText xml:space="preserve"> PAGEREF _Toc17454 \h </w:instrText>
          </w:r>
          <w:r>
            <w:rPr>
              <w:color w:val="auto"/>
            </w:rPr>
            <w:fldChar w:fldCharType="separate"/>
          </w:r>
          <w:r>
            <w:rPr>
              <w:color w:val="auto"/>
            </w:rPr>
            <w:t>69</w:t>
          </w:r>
          <w:r>
            <w:rPr>
              <w:color w:val="auto"/>
            </w:rPr>
            <w:fldChar w:fldCharType="end"/>
          </w:r>
          <w:r>
            <w:rPr>
              <w:color w:val="auto"/>
            </w:rPr>
            <w:fldChar w:fldCharType="end"/>
          </w:r>
        </w:p>
        <w:p w14:paraId="47D55C34">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_Toc21985 </w:instrText>
          </w:r>
          <w:r>
            <w:rPr>
              <w:color w:val="auto"/>
            </w:rPr>
            <w:fldChar w:fldCharType="separate"/>
          </w:r>
          <w:r>
            <w:rPr>
              <w:rFonts w:hint="eastAsia" w:ascii="宋体" w:hAnsi="宋体" w:eastAsia="宋体" w:cs="宋体"/>
              <w:bCs/>
              <w:color w:val="auto"/>
              <w:kern w:val="2"/>
              <w:szCs w:val="24"/>
              <w:lang w:val="en-US" w:eastAsia="zh-CN" w:bidi="ar-SA"/>
            </w:rPr>
            <w:t>一、报价要求响应文件</w:t>
          </w:r>
          <w:r>
            <w:rPr>
              <w:color w:val="auto"/>
            </w:rPr>
            <w:tab/>
          </w:r>
          <w:r>
            <w:rPr>
              <w:color w:val="auto"/>
            </w:rPr>
            <w:fldChar w:fldCharType="begin"/>
          </w:r>
          <w:r>
            <w:rPr>
              <w:color w:val="auto"/>
            </w:rPr>
            <w:instrText xml:space="preserve"> PAGEREF _Toc21985 \h </w:instrText>
          </w:r>
          <w:r>
            <w:rPr>
              <w:color w:val="auto"/>
            </w:rPr>
            <w:fldChar w:fldCharType="separate"/>
          </w:r>
          <w:r>
            <w:rPr>
              <w:color w:val="auto"/>
            </w:rPr>
            <w:t>71</w:t>
          </w:r>
          <w:r>
            <w:rPr>
              <w:color w:val="auto"/>
            </w:rPr>
            <w:fldChar w:fldCharType="end"/>
          </w:r>
          <w:r>
            <w:rPr>
              <w:color w:val="auto"/>
            </w:rPr>
            <w:fldChar w:fldCharType="end"/>
          </w:r>
        </w:p>
        <w:p w14:paraId="18B62859">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_Toc11328 </w:instrText>
          </w:r>
          <w:r>
            <w:rPr>
              <w:color w:val="auto"/>
            </w:rPr>
            <w:fldChar w:fldCharType="separate"/>
          </w:r>
          <w:r>
            <w:rPr>
              <w:rFonts w:hint="eastAsia"/>
              <w:color w:val="auto"/>
              <w:szCs w:val="24"/>
              <w:lang w:val="en-US" w:eastAsia="zh-CN"/>
            </w:rPr>
            <w:t>二、资格证明文件</w:t>
          </w:r>
          <w:r>
            <w:rPr>
              <w:color w:val="auto"/>
            </w:rPr>
            <w:tab/>
          </w:r>
          <w:r>
            <w:rPr>
              <w:color w:val="auto"/>
            </w:rPr>
            <w:fldChar w:fldCharType="begin"/>
          </w:r>
          <w:r>
            <w:rPr>
              <w:color w:val="auto"/>
            </w:rPr>
            <w:instrText xml:space="preserve"> PAGEREF _Toc11328 \h </w:instrText>
          </w:r>
          <w:r>
            <w:rPr>
              <w:color w:val="auto"/>
            </w:rPr>
            <w:fldChar w:fldCharType="separate"/>
          </w:r>
          <w:r>
            <w:rPr>
              <w:color w:val="auto"/>
            </w:rPr>
            <w:t>74</w:t>
          </w:r>
          <w:r>
            <w:rPr>
              <w:color w:val="auto"/>
            </w:rPr>
            <w:fldChar w:fldCharType="end"/>
          </w:r>
          <w:r>
            <w:rPr>
              <w:color w:val="auto"/>
            </w:rPr>
            <w:fldChar w:fldCharType="end"/>
          </w:r>
        </w:p>
        <w:p w14:paraId="3D25F069">
          <w:pPr>
            <w:pStyle w:val="28"/>
            <w:keepNext w:val="0"/>
            <w:keepLines w:val="0"/>
            <w:pageBreakBefore w:val="0"/>
            <w:tabs>
              <w:tab w:val="right" w:leader="dot" w:pos="8845"/>
            </w:tabs>
            <w:kinsoku/>
            <w:wordWrap/>
            <w:overflowPunct/>
            <w:topLinePunct w:val="0"/>
            <w:autoSpaceDE/>
            <w:autoSpaceDN/>
            <w:bidi w:val="0"/>
            <w:adjustRightInd/>
            <w:snapToGrid/>
            <w:spacing w:line="360" w:lineRule="exact"/>
            <w:textAlignment w:val="auto"/>
            <w:rPr>
              <w:color w:val="auto"/>
            </w:rPr>
          </w:pPr>
          <w:r>
            <w:rPr>
              <w:color w:val="auto"/>
            </w:rPr>
            <w:fldChar w:fldCharType="begin"/>
          </w:r>
          <w:r>
            <w:rPr>
              <w:color w:val="auto"/>
            </w:rPr>
            <w:instrText xml:space="preserve"> HYPERLINK \l _Toc6250 </w:instrText>
          </w:r>
          <w:r>
            <w:rPr>
              <w:color w:val="auto"/>
            </w:rPr>
            <w:fldChar w:fldCharType="separate"/>
          </w:r>
          <w:r>
            <w:rPr>
              <w:rFonts w:hint="eastAsia" w:ascii="宋体" w:hAnsi="宋体" w:eastAsia="宋体" w:cs="宋体"/>
              <w:bCs w:val="0"/>
              <w:color w:val="auto"/>
              <w:szCs w:val="24"/>
              <w:lang w:val="en-US" w:eastAsia="zh-CN"/>
            </w:rPr>
            <w:t>三、商务技术响应文件</w:t>
          </w:r>
          <w:r>
            <w:rPr>
              <w:color w:val="auto"/>
            </w:rPr>
            <w:tab/>
          </w:r>
          <w:r>
            <w:rPr>
              <w:color w:val="auto"/>
            </w:rPr>
            <w:fldChar w:fldCharType="begin"/>
          </w:r>
          <w:r>
            <w:rPr>
              <w:color w:val="auto"/>
            </w:rPr>
            <w:instrText xml:space="preserve"> PAGEREF _Toc6250 \h </w:instrText>
          </w:r>
          <w:r>
            <w:rPr>
              <w:color w:val="auto"/>
            </w:rPr>
            <w:fldChar w:fldCharType="separate"/>
          </w:r>
          <w:r>
            <w:rPr>
              <w:color w:val="auto"/>
            </w:rPr>
            <w:t>78</w:t>
          </w:r>
          <w:r>
            <w:rPr>
              <w:color w:val="auto"/>
            </w:rPr>
            <w:fldChar w:fldCharType="end"/>
          </w:r>
          <w:r>
            <w:rPr>
              <w:color w:val="auto"/>
            </w:rPr>
            <w:fldChar w:fldCharType="end"/>
          </w:r>
        </w:p>
        <w:p w14:paraId="5761A09A">
          <w:pPr>
            <w:keepNext w:val="0"/>
            <w:keepLines w:val="0"/>
            <w:pageBreakBefore w:val="0"/>
            <w:widowControl/>
            <w:kinsoku/>
            <w:wordWrap/>
            <w:overflowPunct/>
            <w:topLinePunct w:val="0"/>
            <w:autoSpaceDE/>
            <w:autoSpaceDN/>
            <w:bidi w:val="0"/>
            <w:adjustRightInd/>
            <w:snapToGrid/>
            <w:spacing w:before="0" w:beforeLines="0" w:beforeAutospacing="0" w:after="0" w:afterLines="0" w:line="360" w:lineRule="exact"/>
            <w:ind w:left="0" w:leftChars="0" w:right="0" w:rightChars="0" w:firstLine="0" w:firstLineChars="0"/>
            <w:jc w:val="center"/>
            <w:textAlignment w:val="auto"/>
            <w:rPr>
              <w:rFonts w:hint="eastAsia" w:ascii="宋体" w:hAnsi="宋体" w:eastAsia="宋体" w:cs="宋体"/>
              <w:b/>
              <w:bCs/>
              <w:color w:val="auto"/>
              <w:sz w:val="44"/>
              <w:szCs w:val="44"/>
            </w:rPr>
          </w:pPr>
          <w:r>
            <w:rPr>
              <w:b/>
              <w:color w:val="auto"/>
            </w:rPr>
            <w:fldChar w:fldCharType="end"/>
          </w:r>
          <w:bookmarkStart w:id="26" w:name="_Toc29271_WPSOffice_Level1"/>
          <w:bookmarkStart w:id="27" w:name="_Toc6366"/>
        </w:p>
      </w:sdtContent>
    </w:sdt>
    <w:p w14:paraId="591D7889">
      <w:pPr>
        <w:pStyle w:val="30"/>
        <w:keepNext w:val="0"/>
        <w:keepLines w:val="0"/>
        <w:pageBreakBefore w:val="0"/>
        <w:kinsoku/>
        <w:wordWrap/>
        <w:overflowPunct/>
        <w:topLinePunct w:val="0"/>
        <w:autoSpaceDE/>
        <w:autoSpaceDN/>
        <w:bidi w:val="0"/>
        <w:adjustRightInd/>
        <w:snapToGrid/>
        <w:spacing w:line="560" w:lineRule="exact"/>
        <w:ind w:firstLine="1760" w:firstLineChars="400"/>
        <w:jc w:val="both"/>
        <w:textAlignment w:val="auto"/>
        <w:outlineLvl w:val="0"/>
        <w:rPr>
          <w:rFonts w:hint="eastAsia" w:ascii="宋体" w:hAnsi="宋体" w:eastAsia="宋体" w:cs="宋体"/>
          <w:color w:val="auto"/>
          <w:sz w:val="24"/>
          <w:szCs w:val="24"/>
        </w:rPr>
      </w:pPr>
      <w:bookmarkStart w:id="28" w:name="_Toc8023"/>
      <w:r>
        <w:rPr>
          <w:rFonts w:hint="eastAsia" w:ascii="宋体" w:hAnsi="宋体" w:eastAsia="宋体" w:cs="宋体"/>
          <w:b/>
          <w:bCs/>
          <w:color w:val="auto"/>
          <w:sz w:val="44"/>
          <w:szCs w:val="44"/>
        </w:rPr>
        <w:t xml:space="preserve">第一章  </w:t>
      </w:r>
      <w:bookmarkStart w:id="29" w:name="_Toc28359011"/>
      <w:bookmarkStart w:id="30" w:name="_Toc35393797"/>
      <w:r>
        <w:rPr>
          <w:rFonts w:hint="eastAsia" w:ascii="宋体" w:hAnsi="宋体" w:eastAsia="宋体" w:cs="宋体"/>
          <w:b/>
          <w:bCs/>
          <w:color w:val="auto"/>
          <w:sz w:val="44"/>
          <w:szCs w:val="44"/>
        </w:rPr>
        <w:t>竞争性谈判公告</w:t>
      </w:r>
      <w:bookmarkEnd w:id="26"/>
      <w:bookmarkEnd w:id="27"/>
      <w:bookmarkEnd w:id="28"/>
      <w:bookmarkEnd w:id="29"/>
      <w:bookmarkEnd w:id="30"/>
    </w:p>
    <w:p w14:paraId="4D786890">
      <w:pPr>
        <w:pageBreakBefore w:val="0"/>
        <w:pBdr>
          <w:top w:val="single" w:color="auto" w:sz="4" w:space="1"/>
          <w:left w:val="single" w:color="auto" w:sz="4" w:space="4"/>
          <w:bottom w:val="single" w:color="auto" w:sz="4" w:space="1"/>
          <w:right w:val="single" w:color="auto" w:sz="4" w:space="4"/>
        </w:pBdr>
        <w:kinsoku/>
        <w:overflowPunct/>
        <w:topLinePunct w:val="0"/>
        <w:bidi w:val="0"/>
        <w:spacing w:line="560" w:lineRule="exact"/>
        <w:ind w:firstLine="480" w:firstLineChars="20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项目概况</w:t>
      </w:r>
    </w:p>
    <w:p w14:paraId="19570A22">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60" w:lineRule="exact"/>
        <w:ind w:firstLine="720" w:firstLineChars="300"/>
        <w:textAlignment w:val="auto"/>
        <w:rPr>
          <w:rFonts w:hint="eastAsia" w:asciiTheme="minorEastAsia" w:hAnsiTheme="minorEastAsia" w:eastAsiaTheme="minorEastAsia" w:cstheme="minorEastAsia"/>
          <w:color w:val="auto"/>
          <w:sz w:val="24"/>
          <w:szCs w:val="24"/>
        </w:rPr>
      </w:pPr>
      <w:bookmarkStart w:id="31" w:name="_Toc35393629"/>
      <w:bookmarkStart w:id="32" w:name="_Toc23997"/>
      <w:bookmarkStart w:id="33" w:name="_Toc35393798"/>
      <w:bookmarkStart w:id="34" w:name="_Toc28359012"/>
      <w:bookmarkStart w:id="35" w:name="_Toc8815"/>
      <w:bookmarkStart w:id="36" w:name="_Toc28359089"/>
      <w:bookmarkStart w:id="37" w:name="_Toc16734_WPSOffice_Level2"/>
      <w:r>
        <w:rPr>
          <w:rFonts w:hint="eastAsia" w:asciiTheme="minorEastAsia" w:hAnsiTheme="minorEastAsia" w:eastAsiaTheme="minorEastAsia" w:cstheme="minorEastAsia"/>
          <w:color w:val="auto"/>
          <w:sz w:val="24"/>
          <w:szCs w:val="24"/>
          <w:u w:val="single"/>
        </w:rPr>
        <w:t>文山市</w:t>
      </w:r>
      <w:r>
        <w:rPr>
          <w:rFonts w:hint="eastAsia" w:asciiTheme="minorEastAsia" w:hAnsiTheme="minorEastAsia" w:eastAsiaTheme="minorEastAsia" w:cstheme="minorEastAsia"/>
          <w:color w:val="auto"/>
          <w:sz w:val="24"/>
          <w:szCs w:val="24"/>
          <w:u w:val="single"/>
          <w:lang w:val="en-US" w:eastAsia="zh-CN"/>
        </w:rPr>
        <w:t>皮肤病防治站医用电梯安装及改造</w:t>
      </w:r>
      <w:r>
        <w:rPr>
          <w:rFonts w:hint="eastAsia" w:asciiTheme="minorEastAsia" w:hAnsiTheme="minorEastAsia" w:eastAsiaTheme="minorEastAsia" w:cstheme="minorEastAsia"/>
          <w:color w:val="auto"/>
          <w:sz w:val="24"/>
          <w:szCs w:val="24"/>
          <w:u w:val="single"/>
        </w:rPr>
        <w:t>采购项目</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u w:val="single"/>
          <w:lang w:val="en-US" w:eastAsia="zh-CN"/>
        </w:rPr>
        <w:t>三次</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rPr>
        <w:t>的潜在投标人应在</w:t>
      </w:r>
      <w:r>
        <w:rPr>
          <w:rFonts w:hint="eastAsia" w:asciiTheme="minorEastAsia" w:hAnsiTheme="minorEastAsia" w:eastAsiaTheme="minorEastAsia" w:cstheme="minorEastAsia"/>
          <w:color w:val="auto"/>
          <w:sz w:val="24"/>
          <w:szCs w:val="24"/>
          <w:lang w:val="en-US" w:eastAsia="zh-CN"/>
        </w:rPr>
        <w:t>政采云平台</w:t>
      </w:r>
      <w:r>
        <w:rPr>
          <w:rFonts w:hint="eastAsia" w:asciiTheme="minorEastAsia" w:hAnsiTheme="minorEastAsia" w:eastAsiaTheme="minorEastAsia" w:cstheme="minorEastAsia"/>
          <w:color w:val="auto"/>
          <w:sz w:val="24"/>
          <w:szCs w:val="24"/>
        </w:rPr>
        <w:t>凭企业数字证书进行报名后（</w:t>
      </w:r>
      <w:r>
        <w:rPr>
          <w:rFonts w:hint="eastAsia" w:asciiTheme="minorEastAsia" w:hAnsiTheme="minorEastAsia" w:eastAsiaTheme="minorEastAsia" w:cstheme="minorEastAsia"/>
          <w:color w:val="auto"/>
          <w:sz w:val="24"/>
          <w:szCs w:val="24"/>
          <w:u w:val="none"/>
          <w:lang w:eastAsia="zh-CN"/>
        </w:rPr>
        <w:t>网址：</w:t>
      </w:r>
      <w:r>
        <w:rPr>
          <w:rStyle w:val="38"/>
          <w:rFonts w:hint="eastAsia" w:asciiTheme="minorEastAsia" w:hAnsiTheme="minorEastAsia" w:eastAsiaTheme="minorEastAsia" w:cstheme="minorEastAsia"/>
          <w:color w:val="auto"/>
          <w:sz w:val="24"/>
          <w:szCs w:val="24"/>
        </w:rPr>
        <w:fldChar w:fldCharType="begin"/>
      </w:r>
      <w:r>
        <w:rPr>
          <w:rStyle w:val="38"/>
          <w:rFonts w:hint="eastAsia" w:asciiTheme="minorEastAsia" w:hAnsiTheme="minorEastAsia" w:eastAsiaTheme="minorEastAsia" w:cstheme="minorEastAsia"/>
          <w:color w:val="auto"/>
          <w:sz w:val="24"/>
          <w:szCs w:val="24"/>
        </w:rPr>
        <w:instrText xml:space="preserve"> HYPERLINK "http://ggzy.yn.gov.cn/#/homePage）获取招标文件，并于" </w:instrText>
      </w:r>
      <w:r>
        <w:rPr>
          <w:rStyle w:val="38"/>
          <w:rFonts w:hint="eastAsia" w:asciiTheme="minorEastAsia" w:hAnsiTheme="minorEastAsia" w:eastAsiaTheme="minorEastAsia" w:cstheme="minorEastAsia"/>
          <w:color w:val="auto"/>
          <w:sz w:val="24"/>
          <w:szCs w:val="24"/>
        </w:rPr>
        <w:fldChar w:fldCharType="separate"/>
      </w:r>
      <w:r>
        <w:rPr>
          <w:rStyle w:val="38"/>
          <w:rFonts w:hint="eastAsia" w:asciiTheme="minorEastAsia" w:hAnsiTheme="minorEastAsia" w:eastAsiaTheme="minorEastAsia" w:cstheme="minorEastAsia"/>
          <w:color w:val="auto"/>
          <w:sz w:val="24"/>
          <w:szCs w:val="24"/>
        </w:rPr>
        <w:t>http://ggzy.yn.gov.cn/#/homePage</w:t>
      </w:r>
      <w:r>
        <w:rPr>
          <w:rStyle w:val="38"/>
          <w:rFonts w:hint="eastAsia" w:asciiTheme="minorEastAsia" w:hAnsiTheme="minorEastAsia" w:eastAsiaTheme="minorEastAsia" w:cstheme="minorEastAsia"/>
          <w:color w:val="auto"/>
          <w:sz w:val="24"/>
          <w:szCs w:val="24"/>
          <w:lang w:val="en-US" w:eastAsia="zh-CN"/>
        </w:rPr>
        <w:t>）</w:t>
      </w:r>
      <w:r>
        <w:rPr>
          <w:rStyle w:val="38"/>
          <w:rFonts w:hint="eastAsia" w:asciiTheme="minorEastAsia" w:hAnsiTheme="minorEastAsia" w:eastAsiaTheme="minorEastAsia" w:cstheme="minorEastAsia"/>
          <w:color w:val="auto"/>
          <w:sz w:val="24"/>
          <w:szCs w:val="24"/>
        </w:rPr>
        <w:t>获取</w:t>
      </w:r>
      <w:r>
        <w:rPr>
          <w:rStyle w:val="38"/>
          <w:rFonts w:hint="eastAsia" w:asciiTheme="minorEastAsia" w:hAnsiTheme="minorEastAsia" w:eastAsiaTheme="minorEastAsia" w:cstheme="minorEastAsia"/>
          <w:color w:val="auto"/>
          <w:sz w:val="24"/>
          <w:szCs w:val="24"/>
          <w:lang w:val="en-US" w:eastAsia="zh-CN"/>
        </w:rPr>
        <w:t>谈判</w:t>
      </w:r>
      <w:r>
        <w:rPr>
          <w:rStyle w:val="38"/>
          <w:rFonts w:hint="eastAsia" w:asciiTheme="minorEastAsia" w:hAnsiTheme="minorEastAsia" w:eastAsiaTheme="minorEastAsia" w:cstheme="minorEastAsia"/>
          <w:color w:val="auto"/>
          <w:sz w:val="24"/>
          <w:szCs w:val="24"/>
        </w:rPr>
        <w:t>文件，并于</w:t>
      </w:r>
      <w:r>
        <w:rPr>
          <w:rStyle w:val="38"/>
          <w:rFonts w:hint="eastAsia" w:asciiTheme="minorEastAsia" w:hAnsiTheme="minorEastAsia" w:eastAsiaTheme="minorEastAsia" w:cstheme="minorEastAsia"/>
          <w:color w:val="auto"/>
          <w:sz w:val="24"/>
          <w:szCs w:val="24"/>
        </w:rPr>
        <w:fldChar w:fldCharType="end"/>
      </w:r>
      <w:r>
        <w:rPr>
          <w:rFonts w:hint="eastAsia" w:asciiTheme="minorEastAsia" w:hAnsiTheme="minorEastAsia" w:eastAsiaTheme="minorEastAsia" w:cstheme="minorEastAsia"/>
          <w:b/>
          <w:bCs/>
          <w:color w:val="auto"/>
          <w:sz w:val="24"/>
          <w:szCs w:val="24"/>
          <w:u w:val="single"/>
          <w:lang w:val="en-US" w:eastAsia="zh-CN"/>
        </w:rPr>
        <w:t>2026</w:t>
      </w:r>
      <w:r>
        <w:rPr>
          <w:rFonts w:hint="eastAsia" w:asciiTheme="minorEastAsia" w:hAnsiTheme="minorEastAsia" w:eastAsiaTheme="minorEastAsia" w:cstheme="minorEastAsia"/>
          <w:b/>
          <w:bCs/>
          <w:color w:val="auto"/>
          <w:sz w:val="24"/>
          <w:szCs w:val="24"/>
          <w:u w:val="single"/>
        </w:rPr>
        <w:t>年</w:t>
      </w:r>
      <w:r>
        <w:rPr>
          <w:rFonts w:hint="eastAsia" w:asciiTheme="minorEastAsia" w:hAnsiTheme="minorEastAsia" w:eastAsiaTheme="minorEastAsia" w:cstheme="minorEastAsia"/>
          <w:b/>
          <w:bCs/>
          <w:color w:val="auto"/>
          <w:sz w:val="24"/>
          <w:szCs w:val="24"/>
          <w:u w:val="single"/>
          <w:lang w:val="en-US" w:eastAsia="zh-CN"/>
        </w:rPr>
        <w:t xml:space="preserve">10 </w:t>
      </w:r>
      <w:r>
        <w:rPr>
          <w:rFonts w:hint="eastAsia" w:asciiTheme="minorEastAsia" w:hAnsiTheme="minorEastAsia" w:eastAsiaTheme="minorEastAsia" w:cstheme="minorEastAsia"/>
          <w:b/>
          <w:bCs/>
          <w:color w:val="auto"/>
          <w:sz w:val="24"/>
          <w:szCs w:val="24"/>
          <w:u w:val="single"/>
        </w:rPr>
        <w:t>月</w:t>
      </w:r>
      <w:r>
        <w:rPr>
          <w:rFonts w:hint="eastAsia" w:asciiTheme="minorEastAsia" w:hAnsiTheme="minorEastAsia" w:eastAsiaTheme="minorEastAsia" w:cstheme="minorEastAsia"/>
          <w:b/>
          <w:bCs/>
          <w:color w:val="auto"/>
          <w:sz w:val="24"/>
          <w:szCs w:val="24"/>
          <w:u w:val="single"/>
          <w:lang w:val="en-US" w:eastAsia="zh-CN"/>
        </w:rPr>
        <w:t xml:space="preserve">19 </w:t>
      </w:r>
      <w:r>
        <w:rPr>
          <w:rFonts w:hint="eastAsia" w:asciiTheme="minorEastAsia" w:hAnsiTheme="minorEastAsia" w:eastAsiaTheme="minorEastAsia" w:cstheme="minorEastAsia"/>
          <w:b/>
          <w:bCs/>
          <w:color w:val="auto"/>
          <w:sz w:val="24"/>
          <w:szCs w:val="24"/>
          <w:u w:val="single"/>
        </w:rPr>
        <w:t>日</w:t>
      </w:r>
      <w:r>
        <w:rPr>
          <w:rFonts w:hint="eastAsia" w:asciiTheme="minorEastAsia" w:hAnsiTheme="minorEastAsia" w:eastAsiaTheme="minorEastAsia" w:cstheme="minorEastAsia"/>
          <w:b/>
          <w:bCs/>
          <w:color w:val="auto"/>
          <w:sz w:val="24"/>
          <w:szCs w:val="24"/>
          <w:u w:val="single"/>
          <w:lang w:val="en-US" w:eastAsia="zh-CN"/>
        </w:rPr>
        <w:t>15</w:t>
      </w:r>
      <w:r>
        <w:rPr>
          <w:rFonts w:hint="eastAsia" w:asciiTheme="minorEastAsia" w:hAnsiTheme="minorEastAsia" w:eastAsiaTheme="minorEastAsia" w:cstheme="minorEastAsia"/>
          <w:b/>
          <w:bCs/>
          <w:color w:val="auto"/>
          <w:sz w:val="24"/>
          <w:szCs w:val="24"/>
          <w:u w:val="single"/>
        </w:rPr>
        <w:t>点</w:t>
      </w:r>
      <w:r>
        <w:rPr>
          <w:rFonts w:hint="eastAsia" w:asciiTheme="minorEastAsia" w:hAnsiTheme="minorEastAsia" w:eastAsiaTheme="minorEastAsia" w:cstheme="minorEastAsia"/>
          <w:b/>
          <w:bCs/>
          <w:color w:val="auto"/>
          <w:sz w:val="24"/>
          <w:szCs w:val="24"/>
          <w:u w:val="single"/>
          <w:lang w:val="en-US" w:eastAsia="zh-CN"/>
        </w:rPr>
        <w:t>00</w:t>
      </w:r>
      <w:r>
        <w:rPr>
          <w:rFonts w:hint="eastAsia" w:asciiTheme="minorEastAsia" w:hAnsiTheme="minorEastAsia" w:eastAsiaTheme="minorEastAsia" w:cstheme="minorEastAsia"/>
          <w:b/>
          <w:bCs/>
          <w:color w:val="auto"/>
          <w:sz w:val="24"/>
          <w:szCs w:val="24"/>
          <w:u w:val="single"/>
        </w:rPr>
        <w:t>分</w:t>
      </w:r>
      <w:r>
        <w:rPr>
          <w:rFonts w:hint="eastAsia" w:asciiTheme="minorEastAsia" w:hAnsiTheme="minorEastAsia" w:eastAsiaTheme="minorEastAsia" w:cstheme="minorEastAsia"/>
          <w:bCs/>
          <w:color w:val="auto"/>
          <w:sz w:val="24"/>
          <w:szCs w:val="24"/>
          <w:u w:val="single"/>
        </w:rPr>
        <w:t>（</w:t>
      </w:r>
      <w:r>
        <w:rPr>
          <w:rFonts w:hint="eastAsia" w:asciiTheme="minorEastAsia" w:hAnsiTheme="minorEastAsia" w:eastAsiaTheme="minorEastAsia" w:cstheme="minorEastAsia"/>
          <w:bCs/>
          <w:color w:val="auto"/>
          <w:sz w:val="24"/>
          <w:szCs w:val="24"/>
        </w:rPr>
        <w:t>北京时间）前递交投标文件</w:t>
      </w:r>
      <w:r>
        <w:rPr>
          <w:rFonts w:hint="eastAsia" w:asciiTheme="minorEastAsia" w:hAnsiTheme="minorEastAsia" w:eastAsiaTheme="minorEastAsia" w:cstheme="minorEastAsia"/>
          <w:color w:val="auto"/>
          <w:sz w:val="24"/>
          <w:szCs w:val="24"/>
        </w:rPr>
        <w:t>。</w:t>
      </w:r>
    </w:p>
    <w:p w14:paraId="7DB415F3">
      <w:pPr>
        <w:pStyle w:val="3"/>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color w:val="auto"/>
          <w:sz w:val="24"/>
          <w:szCs w:val="24"/>
        </w:rPr>
      </w:pPr>
      <w:bookmarkStart w:id="38" w:name="_Toc20855"/>
      <w:bookmarkStart w:id="39" w:name="_Toc29409"/>
      <w:r>
        <w:rPr>
          <w:rFonts w:hint="eastAsia" w:ascii="宋体" w:hAnsi="宋体" w:eastAsia="宋体" w:cs="宋体"/>
          <w:b/>
          <w:bCs w:val="0"/>
          <w:color w:val="auto"/>
          <w:sz w:val="24"/>
          <w:szCs w:val="24"/>
        </w:rPr>
        <w:t>一、项目基本情况</w:t>
      </w:r>
      <w:bookmarkEnd w:id="31"/>
      <w:bookmarkEnd w:id="32"/>
      <w:bookmarkEnd w:id="33"/>
      <w:bookmarkEnd w:id="34"/>
      <w:bookmarkEnd w:id="35"/>
      <w:bookmarkEnd w:id="36"/>
      <w:bookmarkEnd w:id="37"/>
      <w:bookmarkEnd w:id="38"/>
      <w:bookmarkEnd w:id="39"/>
    </w:p>
    <w:p w14:paraId="6EFF0219">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项目编号：WSSZFCG</w:t>
      </w:r>
      <w:r>
        <w:rPr>
          <w:rFonts w:hint="eastAsia" w:ascii="宋体" w:hAnsi="宋体" w:eastAsia="宋体" w:cs="宋体"/>
          <w:color w:val="auto"/>
          <w:sz w:val="24"/>
          <w:szCs w:val="24"/>
          <w:lang w:val="en-US" w:eastAsia="zh-CN"/>
        </w:rPr>
        <w:t>TP</w:t>
      </w:r>
      <w:r>
        <w:rPr>
          <w:rFonts w:hint="eastAsia" w:ascii="宋体" w:hAnsi="宋体" w:eastAsia="宋体" w:cs="宋体"/>
          <w:color w:val="auto"/>
          <w:sz w:val="24"/>
          <w:szCs w:val="24"/>
        </w:rPr>
        <w:t>202</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-0</w:t>
      </w:r>
      <w:r>
        <w:rPr>
          <w:rFonts w:hint="eastAsia" w:ascii="宋体" w:hAnsi="宋体" w:cs="宋体"/>
          <w:color w:val="auto"/>
          <w:sz w:val="24"/>
          <w:szCs w:val="24"/>
          <w:lang w:val="en-US" w:eastAsia="zh-CN"/>
        </w:rPr>
        <w:t>4</w:t>
      </w:r>
    </w:p>
    <w:p w14:paraId="74AED0E7">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项目名称：文山市</w:t>
      </w:r>
      <w:r>
        <w:rPr>
          <w:rFonts w:hint="eastAsia" w:ascii="宋体" w:hAnsi="宋体" w:eastAsia="宋体" w:cs="宋体"/>
          <w:color w:val="auto"/>
          <w:sz w:val="24"/>
          <w:szCs w:val="24"/>
          <w:lang w:val="en-US" w:eastAsia="zh-CN"/>
        </w:rPr>
        <w:t>皮肤病防治站</w:t>
      </w:r>
      <w:r>
        <w:rPr>
          <w:rFonts w:hint="eastAsia" w:ascii="宋体" w:hAnsi="宋体" w:cs="宋体"/>
          <w:color w:val="auto"/>
          <w:sz w:val="24"/>
          <w:szCs w:val="24"/>
          <w:lang w:val="en-US" w:eastAsia="zh-CN"/>
        </w:rPr>
        <w:t>医用</w:t>
      </w:r>
      <w:r>
        <w:rPr>
          <w:rFonts w:hint="eastAsia" w:ascii="宋体" w:hAnsi="宋体" w:eastAsia="宋体" w:cs="宋体"/>
          <w:color w:val="auto"/>
          <w:sz w:val="24"/>
          <w:szCs w:val="24"/>
          <w:lang w:val="en-US" w:eastAsia="zh-CN"/>
        </w:rPr>
        <w:t>电梯</w:t>
      </w:r>
      <w:r>
        <w:rPr>
          <w:rFonts w:hint="eastAsia" w:ascii="宋体" w:hAnsi="宋体" w:cs="宋体"/>
          <w:color w:val="auto"/>
          <w:sz w:val="24"/>
          <w:szCs w:val="24"/>
          <w:lang w:val="en-US" w:eastAsia="zh-CN"/>
        </w:rPr>
        <w:t>安装及改造</w:t>
      </w:r>
      <w:r>
        <w:rPr>
          <w:rFonts w:hint="eastAsia" w:ascii="宋体" w:hAnsi="宋体" w:eastAsia="宋体" w:cs="宋体"/>
          <w:color w:val="auto"/>
          <w:sz w:val="24"/>
          <w:szCs w:val="24"/>
        </w:rPr>
        <w:t>采购项目</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三次</w:t>
      </w:r>
      <w:r>
        <w:rPr>
          <w:rFonts w:hint="eastAsia" w:ascii="宋体" w:hAnsi="宋体" w:cs="宋体"/>
          <w:color w:val="auto"/>
          <w:sz w:val="24"/>
          <w:szCs w:val="24"/>
          <w:lang w:eastAsia="zh-CN"/>
        </w:rPr>
        <w:t>）</w:t>
      </w:r>
    </w:p>
    <w:p w14:paraId="16DD5A21">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b/>
          <w:bCs/>
          <w:color w:val="auto"/>
          <w:sz w:val="24"/>
          <w:szCs w:val="24"/>
        </w:rPr>
      </w:pPr>
      <w:r>
        <w:rPr>
          <w:rFonts w:hint="eastAsia" w:ascii="宋体" w:hAnsi="宋体" w:eastAsia="宋体" w:cs="宋体"/>
          <w:color w:val="auto"/>
          <w:sz w:val="24"/>
          <w:szCs w:val="24"/>
        </w:rPr>
        <w:t>采购方式</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rPr>
        <w:t>竞争性谈判</w:t>
      </w:r>
    </w:p>
    <w:p w14:paraId="0194156E">
      <w:pPr>
        <w:pageBreakBefore w:val="0"/>
        <w:kinsoku/>
        <w:wordWrap/>
        <w:overflowPunct/>
        <w:topLinePunct w:val="0"/>
        <w:autoSpaceDE/>
        <w:autoSpaceDN/>
        <w:bidi w:val="0"/>
        <w:spacing w:line="560" w:lineRule="exact"/>
        <w:ind w:left="0" w:leftChars="0" w:firstLine="480" w:firstLineChars="200"/>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rPr>
        <w:t>预算金额：</w:t>
      </w:r>
      <w:r>
        <w:rPr>
          <w:rFonts w:hint="eastAsia" w:ascii="宋体" w:hAnsi="宋体" w:cs="宋体"/>
          <w:b/>
          <w:bCs/>
          <w:color w:val="auto"/>
          <w:sz w:val="24"/>
          <w:szCs w:val="24"/>
          <w:lang w:val="en-US" w:eastAsia="zh-CN"/>
        </w:rPr>
        <w:t>30</w:t>
      </w:r>
      <w:r>
        <w:rPr>
          <w:rFonts w:hint="eastAsia" w:ascii="宋体" w:hAnsi="宋体" w:eastAsia="宋体" w:cs="宋体"/>
          <w:b/>
          <w:bCs/>
          <w:color w:val="auto"/>
          <w:sz w:val="24"/>
          <w:szCs w:val="24"/>
          <w:lang w:val="en-US" w:eastAsia="zh-CN"/>
        </w:rPr>
        <w:t>万元</w:t>
      </w:r>
      <w:r>
        <w:rPr>
          <w:rFonts w:hint="eastAsia" w:ascii="宋体" w:hAnsi="宋体" w:cs="宋体"/>
          <w:b/>
          <w:bCs/>
          <w:color w:val="auto"/>
          <w:sz w:val="24"/>
          <w:szCs w:val="24"/>
          <w:lang w:val="en-US" w:eastAsia="zh-CN"/>
        </w:rPr>
        <w:t>（包含电梯设备、土建、外挂井道、电力及装修。）</w:t>
      </w:r>
    </w:p>
    <w:p w14:paraId="0B3C2E10">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最高限价</w:t>
      </w: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30</w:t>
      </w:r>
      <w:r>
        <w:rPr>
          <w:rFonts w:hint="eastAsia" w:ascii="宋体" w:hAnsi="宋体" w:eastAsia="宋体" w:cs="宋体"/>
          <w:b/>
          <w:bCs/>
          <w:color w:val="auto"/>
          <w:sz w:val="24"/>
          <w:szCs w:val="24"/>
          <w:lang w:val="en-US" w:eastAsia="zh-CN"/>
        </w:rPr>
        <w:t>万元</w:t>
      </w:r>
    </w:p>
    <w:p w14:paraId="559FE9A5">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采购需求</w:t>
      </w:r>
      <w:r>
        <w:rPr>
          <w:rFonts w:hint="eastAsia" w:ascii="宋体" w:hAnsi="宋体" w:eastAsia="宋体" w:cs="宋体"/>
          <w:color w:val="auto"/>
          <w:sz w:val="24"/>
          <w:szCs w:val="24"/>
          <w:lang w:eastAsia="zh-CN"/>
        </w:rPr>
        <w:t>：</w:t>
      </w:r>
    </w:p>
    <w:tbl>
      <w:tblPr>
        <w:tblStyle w:val="33"/>
        <w:tblW w:w="9584" w:type="dxa"/>
        <w:tblInd w:w="40" w:type="dxa"/>
        <w:tblLayout w:type="fixed"/>
        <w:tblCellMar>
          <w:top w:w="0" w:type="dxa"/>
          <w:left w:w="108" w:type="dxa"/>
          <w:bottom w:w="0" w:type="dxa"/>
          <w:right w:w="108" w:type="dxa"/>
        </w:tblCellMar>
      </w:tblPr>
      <w:tblGrid>
        <w:gridCol w:w="915"/>
        <w:gridCol w:w="2306"/>
        <w:gridCol w:w="1838"/>
        <w:gridCol w:w="1537"/>
        <w:gridCol w:w="1913"/>
        <w:gridCol w:w="1075"/>
      </w:tblGrid>
      <w:tr w14:paraId="510E0DFB">
        <w:tblPrEx>
          <w:tblCellMar>
            <w:top w:w="0" w:type="dxa"/>
            <w:left w:w="108" w:type="dxa"/>
            <w:bottom w:w="0" w:type="dxa"/>
            <w:right w:w="108" w:type="dxa"/>
          </w:tblCellMar>
        </w:tblPrEx>
        <w:trPr>
          <w:trHeight w:val="412" w:hRule="atLeast"/>
        </w:trPr>
        <w:tc>
          <w:tcPr>
            <w:tcW w:w="915" w:type="dxa"/>
            <w:tcBorders>
              <w:top w:val="single" w:color="000000" w:sz="4" w:space="0"/>
              <w:left w:val="single" w:color="000000" w:sz="4" w:space="0"/>
              <w:bottom w:val="single" w:color="auto" w:sz="4" w:space="0"/>
              <w:right w:val="single" w:color="000000" w:sz="4" w:space="0"/>
            </w:tcBorders>
            <w:noWrap w:val="0"/>
            <w:vAlign w:val="center"/>
          </w:tcPr>
          <w:p w14:paraId="7497B08F">
            <w:pPr>
              <w:pageBreakBefore w:val="0"/>
              <w:widowControl w:val="0"/>
              <w:kinsoku/>
              <w:wordWrap/>
              <w:overflowPunct/>
              <w:topLinePunct w:val="0"/>
              <w:autoSpaceDE/>
              <w:autoSpaceDN/>
              <w:bidi w:val="0"/>
              <w:spacing w:line="560" w:lineRule="exact"/>
              <w:ind w:right="0" w:right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306" w:type="dxa"/>
            <w:tcBorders>
              <w:top w:val="single" w:color="000000" w:sz="4" w:space="0"/>
              <w:left w:val="single" w:color="000000" w:sz="4" w:space="0"/>
              <w:bottom w:val="single" w:color="auto" w:sz="4" w:space="0"/>
              <w:right w:val="single" w:color="000000" w:sz="4" w:space="0"/>
            </w:tcBorders>
            <w:noWrap w:val="0"/>
            <w:vAlign w:val="center"/>
          </w:tcPr>
          <w:p w14:paraId="77D01B0B">
            <w:pPr>
              <w:pageBreakBefore w:val="0"/>
              <w:widowControl w:val="0"/>
              <w:kinsoku/>
              <w:wordWrap/>
              <w:overflowPunct/>
              <w:topLinePunct w:val="0"/>
              <w:autoSpaceDE/>
              <w:autoSpaceDN/>
              <w:bidi w:val="0"/>
              <w:spacing w:line="560" w:lineRule="exact"/>
              <w:ind w:right="0" w:right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货物</w:t>
            </w:r>
            <w:r>
              <w:rPr>
                <w:rFonts w:hint="eastAsia" w:ascii="宋体" w:hAnsi="宋体" w:eastAsia="宋体" w:cs="宋体"/>
                <w:color w:val="auto"/>
                <w:sz w:val="24"/>
                <w:szCs w:val="24"/>
              </w:rPr>
              <w:t>名称</w:t>
            </w:r>
          </w:p>
        </w:tc>
        <w:tc>
          <w:tcPr>
            <w:tcW w:w="1838" w:type="dxa"/>
            <w:tcBorders>
              <w:top w:val="single" w:color="000000" w:sz="4" w:space="0"/>
              <w:left w:val="nil"/>
              <w:bottom w:val="single" w:color="auto" w:sz="4" w:space="0"/>
              <w:right w:val="single" w:color="000000" w:sz="4" w:space="0"/>
            </w:tcBorders>
            <w:noWrap w:val="0"/>
            <w:vAlign w:val="center"/>
          </w:tcPr>
          <w:p w14:paraId="7A5FD994">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1537" w:type="dxa"/>
            <w:tcBorders>
              <w:top w:val="single" w:color="000000" w:sz="4" w:space="0"/>
              <w:left w:val="nil"/>
              <w:bottom w:val="single" w:color="auto" w:sz="4" w:space="0"/>
              <w:right w:val="single" w:color="000000" w:sz="4" w:space="0"/>
            </w:tcBorders>
            <w:noWrap w:val="0"/>
            <w:vAlign w:val="center"/>
          </w:tcPr>
          <w:p w14:paraId="0D81B04A">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w:t>
            </w:r>
          </w:p>
        </w:tc>
        <w:tc>
          <w:tcPr>
            <w:tcW w:w="1913" w:type="dxa"/>
            <w:tcBorders>
              <w:top w:val="single" w:color="000000" w:sz="4" w:space="0"/>
              <w:left w:val="nil"/>
              <w:bottom w:val="single" w:color="auto" w:sz="4" w:space="0"/>
              <w:right w:val="single" w:color="000000" w:sz="4" w:space="0"/>
            </w:tcBorders>
            <w:noWrap w:val="0"/>
            <w:vAlign w:val="center"/>
          </w:tcPr>
          <w:p w14:paraId="32CC715D">
            <w:pPr>
              <w:pageBreakBefore w:val="0"/>
              <w:widowControl w:val="0"/>
              <w:kinsoku/>
              <w:wordWrap/>
              <w:overflowPunct/>
              <w:topLinePunct w:val="0"/>
              <w:autoSpaceDE/>
              <w:autoSpaceDN/>
              <w:bidi w:val="0"/>
              <w:spacing w:line="560" w:lineRule="exact"/>
              <w:ind w:right="0" w:rightChars="0"/>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所属行业</w:t>
            </w:r>
          </w:p>
        </w:tc>
        <w:tc>
          <w:tcPr>
            <w:tcW w:w="1075" w:type="dxa"/>
            <w:tcBorders>
              <w:top w:val="single" w:color="000000" w:sz="4" w:space="0"/>
              <w:left w:val="nil"/>
              <w:bottom w:val="single" w:color="auto" w:sz="4" w:space="0"/>
              <w:right w:val="single" w:color="000000" w:sz="4" w:space="0"/>
            </w:tcBorders>
            <w:noWrap w:val="0"/>
            <w:vAlign w:val="center"/>
          </w:tcPr>
          <w:p w14:paraId="26D13409">
            <w:pPr>
              <w:pageBreakBefore w:val="0"/>
              <w:widowControl w:val="0"/>
              <w:kinsoku/>
              <w:wordWrap/>
              <w:overflowPunct/>
              <w:topLinePunct w:val="0"/>
              <w:autoSpaceDE/>
              <w:autoSpaceDN/>
              <w:bidi w:val="0"/>
              <w:spacing w:line="560" w:lineRule="exact"/>
              <w:ind w:right="0" w:rightChars="0"/>
              <w:jc w:val="center"/>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备注</w:t>
            </w:r>
          </w:p>
        </w:tc>
      </w:tr>
      <w:tr w14:paraId="39FA7A3F">
        <w:tblPrEx>
          <w:tblCellMar>
            <w:top w:w="0" w:type="dxa"/>
            <w:left w:w="108" w:type="dxa"/>
            <w:bottom w:w="0" w:type="dxa"/>
            <w:right w:w="108" w:type="dxa"/>
          </w:tblCellMar>
        </w:tblPrEx>
        <w:trPr>
          <w:trHeight w:val="581"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0A9455F">
            <w:pPr>
              <w:pageBreakBefore w:val="0"/>
              <w:widowControl w:val="0"/>
              <w:numPr>
                <w:ilvl w:val="0"/>
                <w:numId w:val="0"/>
              </w:numPr>
              <w:kinsoku/>
              <w:wordWrap/>
              <w:overflowPunct/>
              <w:topLinePunct w:val="0"/>
              <w:autoSpaceDE/>
              <w:autoSpaceDN/>
              <w:bidi w:val="0"/>
              <w:spacing w:line="560" w:lineRule="exact"/>
              <w:ind w:right="0" w:rightChars="0" w:firstLine="240" w:firstLineChars="100"/>
              <w:jc w:val="both"/>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p>
        </w:tc>
        <w:tc>
          <w:tcPr>
            <w:tcW w:w="230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BAF4734">
            <w:pPr>
              <w:keepNext w:val="0"/>
              <w:keepLines w:val="0"/>
              <w:widowControl/>
              <w:suppressLineNumbers w:val="0"/>
              <w:jc w:val="center"/>
              <w:textAlignment w:val="center"/>
              <w:rPr>
                <w:rFonts w:hint="default" w:ascii="宋体" w:hAnsi="宋体" w:eastAsia="宋体" w:cs="宋体"/>
                <w:color w:val="auto"/>
                <w:sz w:val="24"/>
                <w:szCs w:val="24"/>
                <w:lang w:val="en-US" w:eastAsia="zh-CN"/>
              </w:rPr>
            </w:pPr>
            <w:r>
              <w:rPr>
                <w:rFonts w:hint="default" w:ascii="Times New Roman" w:hAnsi="Times New Roman" w:eastAsia="方正仿宋_GBK" w:cs="Times New Roman"/>
                <w:color w:val="auto"/>
                <w:sz w:val="28"/>
                <w:szCs w:val="28"/>
              </w:rPr>
              <w:t>医用电梯</w:t>
            </w:r>
          </w:p>
        </w:tc>
        <w:tc>
          <w:tcPr>
            <w:tcW w:w="183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74B0EDA">
            <w:pPr>
              <w:keepNext w:val="0"/>
              <w:keepLines w:val="0"/>
              <w:widowControl/>
              <w:suppressLineNumbers w:val="0"/>
              <w:ind w:firstLine="720" w:firstLineChars="300"/>
              <w:jc w:val="both"/>
              <w:textAlignment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p>
        </w:tc>
        <w:tc>
          <w:tcPr>
            <w:tcW w:w="153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EE23152">
            <w:pPr>
              <w:keepNext w:val="0"/>
              <w:keepLines w:val="0"/>
              <w:widowControl/>
              <w:suppressLineNumbers w:val="0"/>
              <w:jc w:val="center"/>
              <w:textAlignment w:val="center"/>
              <w:rPr>
                <w:rFonts w:hint="eastAsia" w:ascii="Times New Roman" w:hAnsi="Times New Roman" w:eastAsia="方正仿宋_GBK" w:cs="Times New Roman"/>
                <w:color w:val="auto"/>
                <w:sz w:val="28"/>
                <w:szCs w:val="28"/>
                <w:lang w:eastAsia="zh-CN"/>
              </w:rPr>
            </w:pPr>
            <w:r>
              <w:rPr>
                <w:rFonts w:hint="eastAsia" w:ascii="Times New Roman" w:hAnsi="Times New Roman" w:eastAsia="方正仿宋_GBK" w:cs="Times New Roman"/>
                <w:color w:val="auto"/>
                <w:sz w:val="28"/>
                <w:szCs w:val="28"/>
                <w:lang w:val="en-US" w:eastAsia="zh-CN"/>
              </w:rPr>
              <w:t>台</w:t>
            </w:r>
          </w:p>
        </w:tc>
        <w:tc>
          <w:tcPr>
            <w:tcW w:w="1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4877AF">
            <w:pPr>
              <w:keepNext w:val="0"/>
              <w:keepLines w:val="0"/>
              <w:widowControl/>
              <w:suppressLineNumbers w:val="0"/>
              <w:jc w:val="center"/>
              <w:textAlignment w:val="center"/>
              <w:rPr>
                <w:rFonts w:hint="eastAsia" w:ascii="Times New Roman" w:hAnsi="Times New Roman" w:eastAsia="方正仿宋_GBK" w:cs="Times New Roman"/>
                <w:color w:val="auto"/>
                <w:sz w:val="28"/>
                <w:szCs w:val="28"/>
                <w:lang w:val="en-US" w:eastAsia="zh-CN"/>
              </w:rPr>
            </w:pPr>
            <w:r>
              <w:rPr>
                <w:rFonts w:hint="eastAsia" w:eastAsia="方正仿宋_GBK" w:cs="Times New Roman"/>
                <w:color w:val="auto"/>
                <w:sz w:val="28"/>
                <w:szCs w:val="28"/>
                <w:highlight w:val="none"/>
                <w:lang w:val="en-US" w:eastAsia="zh-CN"/>
              </w:rPr>
              <w:t>工业</w:t>
            </w:r>
          </w:p>
        </w:tc>
        <w:tc>
          <w:tcPr>
            <w:tcW w:w="107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98D582B">
            <w:pPr>
              <w:keepNext w:val="0"/>
              <w:keepLines w:val="0"/>
              <w:widowControl/>
              <w:suppressLineNumbers w:val="0"/>
              <w:jc w:val="center"/>
              <w:textAlignment w:val="center"/>
              <w:rPr>
                <w:rFonts w:hint="eastAsia" w:ascii="Times New Roman" w:hAnsi="Times New Roman" w:eastAsia="方正仿宋_GBK" w:cs="Times New Roman"/>
                <w:color w:val="auto"/>
                <w:sz w:val="28"/>
                <w:szCs w:val="28"/>
              </w:rPr>
            </w:pPr>
          </w:p>
        </w:tc>
      </w:tr>
    </w:tbl>
    <w:p w14:paraId="6A17CA4E">
      <w:pPr>
        <w:pStyle w:val="7"/>
        <w:spacing w:line="400" w:lineRule="exact"/>
        <w:ind w:firstLine="480" w:firstLineChars="200"/>
        <w:rPr>
          <w:rFonts w:hint="eastAsia" w:ascii="宋体" w:hAnsi="宋体" w:eastAsia="宋体" w:cs="宋体"/>
          <w:color w:val="auto"/>
          <w:sz w:val="24"/>
          <w:szCs w:val="24"/>
          <w:highlight w:val="none"/>
        </w:rPr>
      </w:pPr>
      <w:bookmarkStart w:id="40" w:name="_Toc11667"/>
    </w:p>
    <w:p w14:paraId="335B9C8E">
      <w:pPr>
        <w:pStyle w:val="7"/>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eastAsia="宋体"/>
          <w:color w:val="auto"/>
          <w:lang w:eastAsia="zh-CN"/>
        </w:rPr>
      </w:pPr>
      <w:r>
        <w:rPr>
          <w:rFonts w:hint="eastAsia" w:ascii="宋体" w:hAnsi="宋体" w:eastAsia="宋体" w:cs="宋体"/>
          <w:color w:val="auto"/>
          <w:sz w:val="24"/>
          <w:szCs w:val="24"/>
          <w:highlight w:val="none"/>
        </w:rPr>
        <w:t>合同履行期限：</w:t>
      </w:r>
      <w:bookmarkEnd w:id="40"/>
      <w:r>
        <w:rPr>
          <w:rFonts w:hint="eastAsia" w:ascii="宋体" w:hAnsi="宋体" w:eastAsia="宋体" w:cs="宋体"/>
          <w:color w:val="auto"/>
          <w:sz w:val="24"/>
          <w:szCs w:val="24"/>
          <w:highlight w:val="none"/>
          <w:lang w:eastAsia="zh-CN"/>
        </w:rPr>
        <w:t>自合同签订之日起</w:t>
      </w:r>
      <w:r>
        <w:rPr>
          <w:rFonts w:hint="eastAsia" w:ascii="宋体" w:hAnsi="宋体" w:cs="宋体"/>
          <w:color w:val="auto"/>
          <w:sz w:val="24"/>
          <w:szCs w:val="24"/>
          <w:highlight w:val="none"/>
          <w:lang w:val="en-US" w:eastAsia="zh-CN"/>
        </w:rPr>
        <w:t>40个日历</w:t>
      </w:r>
      <w:r>
        <w:rPr>
          <w:rFonts w:hint="eastAsia" w:ascii="宋体" w:hAnsi="宋体" w:eastAsia="宋体" w:cs="宋体"/>
          <w:color w:val="auto"/>
          <w:sz w:val="24"/>
          <w:szCs w:val="24"/>
          <w:highlight w:val="none"/>
          <w:lang w:val="en-US" w:eastAsia="zh-CN"/>
        </w:rPr>
        <w:t>天内</w:t>
      </w:r>
      <w:r>
        <w:rPr>
          <w:rFonts w:hint="eastAsia" w:ascii="宋体" w:hAnsi="宋体" w:cs="宋体"/>
          <w:color w:val="auto"/>
          <w:sz w:val="24"/>
          <w:szCs w:val="24"/>
          <w:highlight w:val="none"/>
          <w:lang w:val="en-US" w:eastAsia="zh-CN"/>
        </w:rPr>
        <w:t>完成现场土建及外挂井道施工，并完成电梯设备到货</w:t>
      </w:r>
      <w:r>
        <w:rPr>
          <w:rFonts w:hint="eastAsia" w:ascii="宋体" w:hAnsi="宋体" w:eastAsia="宋体" w:cs="宋体"/>
          <w:color w:val="auto"/>
          <w:sz w:val="24"/>
          <w:szCs w:val="24"/>
          <w:highlight w:val="none"/>
          <w:lang w:val="en-US" w:eastAsia="zh-CN"/>
        </w:rPr>
        <w:t>；安装调试工作须于20</w:t>
      </w:r>
      <w:r>
        <w:rPr>
          <w:rFonts w:hint="eastAsia" w:ascii="宋体" w:hAnsi="宋体" w:cs="宋体"/>
          <w:color w:val="auto"/>
          <w:sz w:val="24"/>
          <w:szCs w:val="24"/>
          <w:highlight w:val="none"/>
          <w:lang w:val="en-US" w:eastAsia="zh-CN"/>
        </w:rPr>
        <w:t>个日历</w:t>
      </w:r>
      <w:r>
        <w:rPr>
          <w:rFonts w:hint="eastAsia" w:ascii="宋体" w:hAnsi="宋体" w:eastAsia="宋体" w:cs="宋体"/>
          <w:color w:val="auto"/>
          <w:sz w:val="24"/>
          <w:szCs w:val="24"/>
          <w:highlight w:val="none"/>
          <w:lang w:val="en-US" w:eastAsia="zh-CN"/>
        </w:rPr>
        <w:t>天内全部完成。</w:t>
      </w:r>
    </w:p>
    <w:p w14:paraId="2048A9A5">
      <w:pPr>
        <w:pStyle w:val="7"/>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付款方式及期限：</w:t>
      </w:r>
      <w:r>
        <w:rPr>
          <w:rFonts w:hint="eastAsia" w:ascii="宋体" w:hAnsi="宋体" w:cs="宋体"/>
          <w:color w:val="auto"/>
          <w:sz w:val="24"/>
          <w:szCs w:val="24"/>
          <w:highlight w:val="none"/>
          <w:lang w:eastAsia="zh-CN"/>
        </w:rPr>
        <w:t>合同签订后，待</w:t>
      </w:r>
      <w:r>
        <w:rPr>
          <w:rFonts w:hint="default" w:ascii="宋体" w:hAnsi="宋体" w:cs="宋体"/>
          <w:color w:val="auto"/>
          <w:sz w:val="24"/>
          <w:szCs w:val="24"/>
          <w:highlight w:val="none"/>
          <w:lang w:val="en-US" w:eastAsia="zh-CN"/>
        </w:rPr>
        <w:t>土建及</w:t>
      </w:r>
      <w:r>
        <w:rPr>
          <w:rFonts w:hint="eastAsia" w:ascii="宋体" w:hAnsi="宋体" w:cs="宋体"/>
          <w:color w:val="auto"/>
          <w:sz w:val="24"/>
          <w:szCs w:val="24"/>
          <w:highlight w:val="none"/>
          <w:lang w:val="en-US" w:eastAsia="zh-CN"/>
        </w:rPr>
        <w:t>外挂</w:t>
      </w:r>
      <w:r>
        <w:rPr>
          <w:rFonts w:hint="default" w:ascii="宋体" w:hAnsi="宋体" w:cs="宋体"/>
          <w:color w:val="auto"/>
          <w:sz w:val="24"/>
          <w:szCs w:val="24"/>
          <w:highlight w:val="none"/>
          <w:lang w:val="en-US" w:eastAsia="zh-CN"/>
        </w:rPr>
        <w:t>井道施工</w:t>
      </w:r>
      <w:r>
        <w:rPr>
          <w:rFonts w:hint="eastAsia" w:ascii="宋体" w:hAnsi="宋体" w:cs="宋体"/>
          <w:color w:val="auto"/>
          <w:sz w:val="24"/>
          <w:szCs w:val="24"/>
          <w:highlight w:val="none"/>
          <w:lang w:val="en-US" w:eastAsia="zh-CN"/>
        </w:rPr>
        <w:t>完成、</w:t>
      </w:r>
      <w:r>
        <w:rPr>
          <w:rFonts w:hint="eastAsia" w:ascii="宋体" w:hAnsi="宋体" w:cs="宋体"/>
          <w:color w:val="auto"/>
          <w:sz w:val="24"/>
          <w:szCs w:val="24"/>
          <w:highlight w:val="none"/>
          <w:lang w:eastAsia="zh-CN"/>
        </w:rPr>
        <w:t>电梯设备到货并经采购人开箱验收合格，且成交供应商开具合法有效发票后7个工作日内，支付合同总价款的</w:t>
      </w:r>
      <w:r>
        <w:rPr>
          <w:rFonts w:hint="eastAsia" w:ascii="宋体" w:hAnsi="宋体" w:cs="宋体"/>
          <w:color w:val="auto"/>
          <w:sz w:val="24"/>
          <w:szCs w:val="24"/>
          <w:highlight w:val="none"/>
          <w:lang w:val="en-US" w:eastAsia="zh-CN"/>
        </w:rPr>
        <w:t>40</w:t>
      </w:r>
      <w:r>
        <w:rPr>
          <w:rFonts w:hint="eastAsia" w:ascii="宋体" w:hAnsi="宋体" w:cs="宋体"/>
          <w:color w:val="auto"/>
          <w:sz w:val="24"/>
          <w:szCs w:val="24"/>
          <w:highlight w:val="none"/>
          <w:lang w:eastAsia="zh-CN"/>
        </w:rPr>
        <w:t>%；待电梯安装调试完毕、通过特种设备监督检验并取得使用标志、完成最终综合竣工验收合格，且成交供应商开具合法有效发票后1个月内，支付合同总价款的</w:t>
      </w:r>
      <w:r>
        <w:rPr>
          <w:rFonts w:hint="eastAsia" w:ascii="宋体" w:hAnsi="宋体" w:cs="宋体"/>
          <w:color w:val="auto"/>
          <w:sz w:val="24"/>
          <w:szCs w:val="24"/>
          <w:highlight w:val="none"/>
          <w:lang w:val="en-US" w:eastAsia="zh-CN"/>
        </w:rPr>
        <w:t>60</w:t>
      </w:r>
      <w:r>
        <w:rPr>
          <w:rFonts w:hint="eastAsia" w:ascii="宋体" w:hAnsi="宋体" w:cs="宋体"/>
          <w:color w:val="auto"/>
          <w:sz w:val="24"/>
          <w:szCs w:val="24"/>
          <w:highlight w:val="none"/>
          <w:lang w:eastAsia="zh-CN"/>
        </w:rPr>
        <w:t>%。</w:t>
      </w:r>
    </w:p>
    <w:p w14:paraId="2CB5EEDB">
      <w:pPr>
        <w:pStyle w:val="7"/>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交货地点：文山市皮肤病防治站（文山市龙海路89号）</w:t>
      </w:r>
      <w:r>
        <w:rPr>
          <w:rFonts w:hint="eastAsia" w:ascii="宋体" w:hAnsi="宋体" w:cs="宋体"/>
          <w:color w:val="auto"/>
          <w:sz w:val="24"/>
          <w:szCs w:val="24"/>
          <w:highlight w:val="none"/>
          <w:lang w:val="en-US" w:eastAsia="zh-CN"/>
        </w:rPr>
        <w:t>。</w:t>
      </w:r>
      <w:r>
        <w:rPr>
          <w:rFonts w:hint="eastAsia" w:ascii="宋体" w:hAnsi="宋体" w:cs="宋体"/>
          <w:b w:val="0"/>
          <w:bCs/>
          <w:color w:val="auto"/>
          <w:sz w:val="24"/>
          <w:szCs w:val="24"/>
          <w:vertAlign w:val="baseline"/>
          <w:lang w:val="en-US" w:eastAsia="zh-CN"/>
        </w:rPr>
        <w:t xml:space="preserve"> </w:t>
      </w:r>
      <w:r>
        <w:rPr>
          <w:rFonts w:hint="eastAsia" w:ascii="宋体" w:hAnsi="宋体" w:cs="宋体"/>
          <w:color w:val="auto"/>
          <w:sz w:val="24"/>
          <w:szCs w:val="24"/>
          <w:highlight w:val="none"/>
          <w:lang w:val="en-US" w:eastAsia="zh-CN"/>
        </w:rPr>
        <w:t xml:space="preserve">    </w:t>
      </w:r>
    </w:p>
    <w:p w14:paraId="6D82DF10">
      <w:pPr>
        <w:pStyle w:val="7"/>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rPr>
        <w:t>接受联合体。</w:t>
      </w:r>
    </w:p>
    <w:p w14:paraId="70D9DB23">
      <w:pPr>
        <w:pStyle w:val="3"/>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b/>
          <w:bCs w:val="0"/>
          <w:i w:val="0"/>
          <w:iCs w:val="0"/>
          <w:color w:val="auto"/>
          <w:sz w:val="24"/>
          <w:szCs w:val="24"/>
        </w:rPr>
      </w:pPr>
      <w:bookmarkStart w:id="41" w:name="_Toc5431"/>
      <w:bookmarkStart w:id="42" w:name="_Toc35393799"/>
      <w:bookmarkStart w:id="43" w:name="_Toc13426"/>
      <w:bookmarkStart w:id="44" w:name="_Toc14536_WPSOffice_Level2"/>
      <w:bookmarkStart w:id="45" w:name="_Toc35393630"/>
      <w:bookmarkStart w:id="46" w:name="_Toc4231"/>
      <w:bookmarkStart w:id="47" w:name="_Toc28359090"/>
      <w:bookmarkStart w:id="48" w:name="_Toc28359013"/>
      <w:bookmarkStart w:id="49" w:name="_Toc28444"/>
      <w:r>
        <w:rPr>
          <w:rFonts w:hint="eastAsia" w:ascii="宋体" w:hAnsi="宋体" w:eastAsia="宋体" w:cs="宋体"/>
          <w:b/>
          <w:bCs w:val="0"/>
          <w:i w:val="0"/>
          <w:iCs w:val="0"/>
          <w:color w:val="auto"/>
          <w:sz w:val="24"/>
          <w:szCs w:val="24"/>
        </w:rPr>
        <w:t>二、申请人的资格要求</w:t>
      </w:r>
      <w:bookmarkEnd w:id="41"/>
      <w:bookmarkEnd w:id="42"/>
      <w:bookmarkEnd w:id="43"/>
      <w:bookmarkEnd w:id="44"/>
      <w:bookmarkEnd w:id="45"/>
      <w:bookmarkEnd w:id="46"/>
      <w:bookmarkEnd w:id="47"/>
      <w:bookmarkEnd w:id="48"/>
      <w:bookmarkEnd w:id="49"/>
    </w:p>
    <w:p w14:paraId="5C50B50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1.满足《中华人民共和国政府采购法》第二十二条规定；符合《中华人民共和国政府采购法实施条例》第十八条规定</w:t>
      </w:r>
      <w:r>
        <w:rPr>
          <w:rFonts w:hint="eastAsia" w:ascii="宋体" w:hAnsi="宋体" w:eastAsia="宋体" w:cs="宋体"/>
          <w:color w:val="auto"/>
          <w:sz w:val="24"/>
          <w:szCs w:val="24"/>
          <w:lang w:eastAsia="zh-CN"/>
        </w:rPr>
        <w:t>。</w:t>
      </w:r>
    </w:p>
    <w:p w14:paraId="3FDBF19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rPr>
          <w:rFonts w:hint="eastAsia" w:ascii="宋体" w:hAnsi="宋体" w:cs="宋体"/>
          <w:color w:val="auto"/>
          <w:sz w:val="24"/>
          <w:szCs w:val="24"/>
          <w:lang w:eastAsia="zh-CN"/>
        </w:rPr>
      </w:pPr>
      <w:bookmarkStart w:id="50" w:name="_Toc28359091"/>
      <w:bookmarkStart w:id="51" w:name="_Toc28359014"/>
      <w:r>
        <w:rPr>
          <w:rFonts w:hint="eastAsia" w:ascii="宋体" w:hAnsi="宋体" w:eastAsia="宋体" w:cs="宋体"/>
          <w:color w:val="auto"/>
          <w:sz w:val="24"/>
          <w:szCs w:val="24"/>
        </w:rPr>
        <w:t>2.落实政府采购政策需满足的资格要求：</w:t>
      </w:r>
      <w:r>
        <w:rPr>
          <w:rFonts w:hint="eastAsia" w:ascii="宋体" w:hAnsi="宋体" w:cs="宋体"/>
          <w:color w:val="auto"/>
          <w:sz w:val="24"/>
          <w:szCs w:val="24"/>
          <w:lang w:eastAsia="zh-CN"/>
        </w:rPr>
        <w:t>无。</w:t>
      </w:r>
    </w:p>
    <w:p w14:paraId="40C7B95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3.本项目的特定资格要求：</w:t>
      </w:r>
    </w:p>
    <w:p w14:paraId="084B31A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rPr>
          <w:rFonts w:hint="default" w:ascii="宋体" w:hAnsi="宋体" w:eastAsia="宋体" w:cs="宋体"/>
          <w:color w:val="auto"/>
          <w:sz w:val="24"/>
          <w:szCs w:val="24"/>
        </w:rPr>
      </w:pPr>
      <w:r>
        <w:rPr>
          <w:rFonts w:hint="default" w:ascii="宋体" w:hAnsi="宋体" w:eastAsia="宋体" w:cs="宋体"/>
          <w:color w:val="auto"/>
          <w:sz w:val="24"/>
          <w:szCs w:val="24"/>
        </w:rPr>
        <w:t>（1）响应供应商为制造商的，应具备有效期内的《中华人民共和国特种设备制造许可证》曳引驱动乘客电梯制造B级及以上资质和《中华人民共和国特种设备安装改造维修许可证》乘客电梯安装、改造、维修B级及以上资质；若响应供应商为新版证书，只需提供《中华人民共和国特种设备生产许可证》电梯制造(含安装、修理、改造):曳引驱动乘客电梯(含消防员电梯)B级及以上资质、曳引驱动载货电梯和强制驱动载货电梯(含防爆电梯中的载货电梯)不分等级</w:t>
      </w:r>
      <w:r>
        <w:rPr>
          <w:rFonts w:hint="eastAsia" w:ascii="宋体" w:hAnsi="宋体" w:cs="宋体"/>
          <w:color w:val="auto"/>
          <w:sz w:val="24"/>
          <w:szCs w:val="24"/>
          <w:lang w:eastAsia="zh-CN"/>
        </w:rPr>
        <w:t>。</w:t>
      </w:r>
    </w:p>
    <w:p w14:paraId="49E6DF7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rPr>
          <w:rFonts w:hint="default" w:ascii="宋体" w:hAnsi="宋体" w:eastAsia="宋体" w:cs="宋体"/>
          <w:color w:val="auto"/>
          <w:sz w:val="24"/>
          <w:szCs w:val="24"/>
          <w:highlight w:val="none"/>
        </w:rPr>
      </w:pPr>
      <w:r>
        <w:rPr>
          <w:rFonts w:hint="default" w:ascii="宋体" w:hAnsi="宋体" w:eastAsia="宋体" w:cs="宋体"/>
          <w:color w:val="auto"/>
          <w:sz w:val="24"/>
          <w:szCs w:val="24"/>
        </w:rPr>
        <w:t>（2）响应供应商为代理商的，应具备有效期内的《中华人民共和国特种设备安装改造维修许可证》乘客电梯安装B级及以上资质或新版证书《中华人民共和国特种设备生产许可证》电梯安装(含修理)</w:t>
      </w:r>
      <w:r>
        <w:rPr>
          <w:rFonts w:hint="eastAsia" w:ascii="宋体" w:hAnsi="宋体" w:cs="宋体"/>
          <w:color w:val="auto"/>
          <w:sz w:val="24"/>
          <w:szCs w:val="24"/>
          <w:lang w:eastAsia="zh-CN"/>
        </w:rPr>
        <w:t>，</w:t>
      </w:r>
      <w:r>
        <w:rPr>
          <w:rFonts w:hint="default" w:ascii="宋体" w:hAnsi="宋体" w:eastAsia="宋体" w:cs="宋体"/>
          <w:color w:val="auto"/>
          <w:sz w:val="24"/>
          <w:szCs w:val="24"/>
        </w:rPr>
        <w:t>同时还应满足以下要求：投标设备制造商应具备有效期内的《中华人民共和国特种设备制造许可证》曳引驱动乘客电梯制造B级及以上，同时具有《中华人民共和国特种设备安装改造维修许可证》乘客电梯安装B级及以上资质或新版《中华人民共和国特种设备生产许可证》电梯制造(含安装、修理、改造)</w:t>
      </w:r>
      <w:r>
        <w:rPr>
          <w:rFonts w:hint="default" w:ascii="宋体" w:hAnsi="宋体" w:eastAsia="宋体" w:cs="宋体"/>
          <w:color w:val="auto"/>
          <w:sz w:val="24"/>
          <w:szCs w:val="24"/>
          <w:highlight w:val="none"/>
        </w:rPr>
        <w:t>:曳引驱动乘客电梯(含消防员电梯)B级及以上资质、曳引驱动载货电梯和强制驱动载货电梯(含防爆电梯中的载货电梯)不分等级。</w:t>
      </w:r>
    </w:p>
    <w:p w14:paraId="600BBEE8">
      <w:pPr>
        <w:pStyle w:val="3"/>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color w:val="auto"/>
          <w:sz w:val="24"/>
          <w:szCs w:val="24"/>
        </w:rPr>
      </w:pPr>
      <w:bookmarkStart w:id="52" w:name="_Toc35393800"/>
      <w:bookmarkStart w:id="53" w:name="_Toc29504_WPSOffice_Level2"/>
      <w:bookmarkStart w:id="54" w:name="_Toc336"/>
      <w:bookmarkStart w:id="55" w:name="_Toc8799"/>
      <w:bookmarkStart w:id="56" w:name="_Toc29942"/>
      <w:bookmarkStart w:id="57" w:name="_Toc4135"/>
      <w:bookmarkStart w:id="58" w:name="_Toc35393631"/>
      <w:r>
        <w:rPr>
          <w:rFonts w:hint="eastAsia" w:ascii="宋体" w:hAnsi="宋体" w:eastAsia="宋体" w:cs="宋体"/>
          <w:b/>
          <w:bCs w:val="0"/>
          <w:color w:val="auto"/>
          <w:sz w:val="24"/>
          <w:szCs w:val="24"/>
        </w:rPr>
        <w:t>三、获取采购文件</w:t>
      </w:r>
      <w:bookmarkEnd w:id="50"/>
      <w:bookmarkEnd w:id="51"/>
      <w:bookmarkEnd w:id="52"/>
      <w:bookmarkEnd w:id="53"/>
      <w:bookmarkEnd w:id="54"/>
      <w:bookmarkEnd w:id="55"/>
      <w:bookmarkEnd w:id="56"/>
      <w:bookmarkEnd w:id="57"/>
      <w:bookmarkEnd w:id="58"/>
    </w:p>
    <w:p w14:paraId="04F25729">
      <w:pPr>
        <w:pageBreakBefore w:val="0"/>
        <w:widowControl w:val="0"/>
        <w:kinsoku/>
        <w:overflowPunct/>
        <w:topLinePunct w:val="0"/>
        <w:autoSpaceDE/>
        <w:autoSpaceDN/>
        <w:bidi w:val="0"/>
        <w:spacing w:beforeAutospacing="0" w:line="560" w:lineRule="exact"/>
        <w:ind w:left="0" w:leftChars="0" w:right="0" w:rightChars="0" w:firstLine="540"/>
        <w:textAlignment w:val="auto"/>
        <w:rPr>
          <w:rFonts w:hint="eastAsia" w:asciiTheme="minorEastAsia" w:hAnsiTheme="minorEastAsia" w:eastAsiaTheme="minorEastAsia" w:cstheme="minorEastAsia"/>
          <w:b/>
          <w:bCs/>
          <w:color w:val="auto"/>
          <w:sz w:val="24"/>
          <w:szCs w:val="24"/>
          <w:lang w:eastAsia="zh-CN"/>
        </w:rPr>
      </w:pPr>
      <w:r>
        <w:rPr>
          <w:rFonts w:hint="eastAsia" w:ascii="宋体" w:hAnsi="宋体" w:eastAsia="宋体" w:cs="宋体"/>
          <w:color w:val="auto"/>
          <w:sz w:val="24"/>
          <w:szCs w:val="24"/>
        </w:rPr>
        <w:t>时间：</w:t>
      </w:r>
      <w:r>
        <w:rPr>
          <w:rFonts w:hint="eastAsia" w:ascii="宋体" w:hAnsi="宋体" w:eastAsia="宋体" w:cs="宋体"/>
          <w:b/>
          <w:bCs/>
          <w:color w:val="auto"/>
          <w:sz w:val="28"/>
          <w:szCs w:val="28"/>
          <w:u w:val="single"/>
          <w:lang w:val="en-US" w:eastAsia="zh-CN"/>
        </w:rPr>
        <w:t>自本</w:t>
      </w:r>
      <w:r>
        <w:rPr>
          <w:rFonts w:hint="eastAsia" w:ascii="宋体" w:hAnsi="宋体" w:cs="宋体"/>
          <w:b/>
          <w:bCs/>
          <w:color w:val="auto"/>
          <w:sz w:val="28"/>
          <w:szCs w:val="28"/>
          <w:u w:val="single"/>
          <w:lang w:val="en-US" w:eastAsia="zh-CN"/>
        </w:rPr>
        <w:t>公告</w:t>
      </w:r>
      <w:r>
        <w:rPr>
          <w:rFonts w:hint="eastAsia" w:ascii="宋体" w:hAnsi="宋体" w:eastAsia="宋体" w:cs="宋体"/>
          <w:b/>
          <w:bCs/>
          <w:color w:val="auto"/>
          <w:sz w:val="28"/>
          <w:szCs w:val="28"/>
          <w:u w:val="single"/>
          <w:lang w:val="en-US" w:eastAsia="zh-CN"/>
        </w:rPr>
        <w:t>发布之日起</w:t>
      </w:r>
      <w:r>
        <w:rPr>
          <w:rFonts w:hint="eastAsia" w:ascii="宋体" w:hAnsi="宋体" w:eastAsia="宋体" w:cs="宋体"/>
          <w:b/>
          <w:bCs/>
          <w:color w:val="auto"/>
          <w:sz w:val="28"/>
          <w:szCs w:val="28"/>
        </w:rPr>
        <w:t>至</w:t>
      </w:r>
      <w:r>
        <w:rPr>
          <w:rFonts w:hint="eastAsia" w:ascii="宋体" w:hAnsi="宋体" w:eastAsia="宋体" w:cs="宋体"/>
          <w:b/>
          <w:bCs/>
          <w:color w:val="auto"/>
          <w:sz w:val="28"/>
          <w:szCs w:val="28"/>
          <w:u w:val="single"/>
          <w:lang w:val="en-US" w:eastAsia="zh-CN"/>
        </w:rPr>
        <w:t>202</w:t>
      </w:r>
      <w:r>
        <w:rPr>
          <w:rFonts w:hint="eastAsia" w:ascii="宋体" w:hAnsi="宋体" w:cs="宋体"/>
          <w:b/>
          <w:bCs/>
          <w:color w:val="auto"/>
          <w:sz w:val="28"/>
          <w:szCs w:val="28"/>
          <w:u w:val="single"/>
          <w:lang w:val="en-US" w:eastAsia="zh-CN"/>
        </w:rPr>
        <w:t>6年10</w:t>
      </w:r>
      <w:r>
        <w:rPr>
          <w:rFonts w:hint="eastAsia" w:ascii="宋体" w:hAnsi="宋体" w:eastAsia="宋体" w:cs="宋体"/>
          <w:b/>
          <w:bCs/>
          <w:color w:val="auto"/>
          <w:sz w:val="28"/>
          <w:szCs w:val="28"/>
          <w:u w:val="single"/>
        </w:rPr>
        <w:t>月</w:t>
      </w:r>
      <w:r>
        <w:rPr>
          <w:rFonts w:hint="eastAsia" w:ascii="宋体" w:hAnsi="宋体" w:cs="宋体"/>
          <w:b/>
          <w:bCs/>
          <w:color w:val="auto"/>
          <w:sz w:val="28"/>
          <w:szCs w:val="28"/>
          <w:u w:val="single"/>
          <w:lang w:val="en-US" w:eastAsia="zh-CN"/>
        </w:rPr>
        <w:t xml:space="preserve">16 </w:t>
      </w:r>
      <w:r>
        <w:rPr>
          <w:rFonts w:hint="eastAsia" w:ascii="宋体" w:hAnsi="宋体" w:eastAsia="宋体" w:cs="宋体"/>
          <w:b/>
          <w:bCs/>
          <w:color w:val="auto"/>
          <w:sz w:val="28"/>
          <w:szCs w:val="28"/>
          <w:u w:val="single"/>
        </w:rPr>
        <w:t>日</w:t>
      </w:r>
      <w:r>
        <w:rPr>
          <w:rFonts w:hint="eastAsia" w:ascii="宋体" w:hAnsi="宋体" w:eastAsia="宋体" w:cs="宋体"/>
          <w:b/>
          <w:bCs/>
          <w:color w:val="auto"/>
          <w:sz w:val="28"/>
          <w:szCs w:val="28"/>
        </w:rPr>
        <w:t>（北京时间，法定节假日除外）</w:t>
      </w:r>
      <w:r>
        <w:rPr>
          <w:rFonts w:hint="eastAsia" w:asciiTheme="minorEastAsia" w:hAnsiTheme="minorEastAsia" w:eastAsiaTheme="minorEastAsia" w:cstheme="minorEastAsia"/>
          <w:color w:val="auto"/>
          <w:sz w:val="24"/>
          <w:szCs w:val="24"/>
          <w:lang w:eastAsia="zh-CN"/>
        </w:rPr>
        <w:t>。</w:t>
      </w:r>
    </w:p>
    <w:p w14:paraId="2A770A38">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bookmarkStart w:id="59" w:name="_Toc28359015"/>
      <w:bookmarkStart w:id="60" w:name="_Toc28359092"/>
      <w:bookmarkStart w:id="61" w:name="_Toc35393632"/>
      <w:bookmarkStart w:id="62" w:name="_Toc14115_WPSOffice_Level2"/>
      <w:bookmarkStart w:id="63" w:name="_Toc35393801"/>
      <w:r>
        <w:rPr>
          <w:rFonts w:hint="eastAsia" w:ascii="宋体" w:hAnsi="宋体" w:eastAsia="宋体" w:cs="宋体"/>
          <w:color w:val="auto"/>
          <w:sz w:val="24"/>
          <w:szCs w:val="24"/>
        </w:rPr>
        <w:t>地点：</w:t>
      </w:r>
      <w:r>
        <w:rPr>
          <w:rFonts w:hint="eastAsia" w:ascii="宋体" w:hAnsi="宋体" w:eastAsia="宋体" w:cs="宋体"/>
          <w:color w:val="auto"/>
          <w:sz w:val="24"/>
          <w:szCs w:val="24"/>
          <w:lang w:val="en-US" w:eastAsia="zh-CN"/>
        </w:rPr>
        <w:t>政府采购云平台（政采云）</w:t>
      </w:r>
    </w:p>
    <w:p w14:paraId="1248FC8B">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方式：（1）凡有意参加者，须注册政采云平台账号并登录办理数字证书（CA</w:t>
      </w:r>
      <w:r>
        <w:rPr>
          <w:rFonts w:hint="eastAsia" w:ascii="宋体" w:hAnsi="宋体" w:eastAsia="宋体" w:cs="宋体"/>
          <w:color w:val="auto"/>
          <w:sz w:val="24"/>
          <w:szCs w:val="24"/>
          <w:lang w:val="en-US" w:eastAsia="zh-CN"/>
        </w:rPr>
        <w:t>认证</w:t>
      </w:r>
      <w:r>
        <w:rPr>
          <w:rFonts w:hint="eastAsia" w:ascii="宋体" w:hAnsi="宋体" w:eastAsia="宋体" w:cs="宋体"/>
          <w:color w:val="auto"/>
          <w:sz w:val="24"/>
          <w:szCs w:val="24"/>
        </w:rPr>
        <w:t>），</w:t>
      </w:r>
    </w:p>
    <w:p w14:paraId="3A22C3F4">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CA数字证书服务热线 </w:t>
      </w:r>
    </w:p>
    <w:p w14:paraId="546CD192">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汇信CA：0571-88350735</w:t>
      </w:r>
    </w:p>
    <w:p w14:paraId="32AB1A49">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云南CA:4006727666</w:t>
      </w:r>
    </w:p>
    <w:p w14:paraId="5E05C860">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云南壹证通：4000040628</w:t>
      </w:r>
    </w:p>
    <w:p w14:paraId="48B56A16">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福建CA：0591-87760022</w:t>
      </w:r>
    </w:p>
    <w:p w14:paraId="52ECEB58">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办理CA数字证书</w:t>
      </w:r>
      <w:r>
        <w:rPr>
          <w:rFonts w:hint="eastAsia" w:ascii="宋体" w:hAnsi="宋体" w:cs="宋体"/>
          <w:color w:val="auto"/>
          <w:sz w:val="24"/>
          <w:szCs w:val="24"/>
          <w:lang w:eastAsia="zh-CN"/>
        </w:rPr>
        <w:t>：</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登录政采云平台</w:t>
      </w:r>
      <w:r>
        <w:rPr>
          <w:rFonts w:hint="eastAsia" w:ascii="宋体" w:hAnsi="宋体" w:cs="宋体"/>
          <w:color w:val="auto"/>
          <w:sz w:val="24"/>
          <w:szCs w:val="24"/>
          <w:lang w:eastAsia="zh-CN"/>
        </w:rPr>
        <w:t>－</w:t>
      </w:r>
      <w:r>
        <w:rPr>
          <w:rFonts w:hint="eastAsia" w:ascii="宋体" w:hAnsi="宋体" w:eastAsia="宋体" w:cs="宋体"/>
          <w:color w:val="auto"/>
          <w:sz w:val="24"/>
          <w:szCs w:val="24"/>
        </w:rPr>
        <w:t>操作指南—入驻与配置—CA管理，按照程序要求办理。</w:t>
      </w:r>
    </w:p>
    <w:p w14:paraId="6488CBFF">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注册和绑定：</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登录政采云平台</w:t>
      </w:r>
      <w:r>
        <w:rPr>
          <w:rFonts w:hint="eastAsia" w:ascii="宋体" w:hAnsi="宋体" w:cs="宋体"/>
          <w:color w:val="auto"/>
          <w:sz w:val="24"/>
          <w:szCs w:val="24"/>
          <w:lang w:eastAsia="zh-CN"/>
        </w:rPr>
        <w:t>－</w:t>
      </w:r>
      <w:r>
        <w:rPr>
          <w:rFonts w:hint="eastAsia" w:ascii="宋体" w:hAnsi="宋体" w:eastAsia="宋体" w:cs="宋体"/>
          <w:color w:val="auto"/>
          <w:sz w:val="24"/>
          <w:szCs w:val="24"/>
        </w:rPr>
        <w:t>操作指南—入驻与配置—</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注册入驻与配置。</w:t>
      </w:r>
    </w:p>
    <w:p w14:paraId="1868CF63">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驱动、客户端下载：</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登录政采云平台—我的工作台-CA管理—给当前账号绑定CA—选择对应CA—下载驱动—客户端&amp;驱动下载。相关驱动及客户端网址（https://customer.zcygov.cn/CA-driver-download?utm=web-ca-front.3ddc8fbb.0.0.6389de80d15111ee8160d911f316cf0d</w:t>
      </w:r>
      <w:r>
        <w:rPr>
          <w:rFonts w:hint="eastAsia" w:ascii="宋体" w:hAnsi="宋体" w:cs="宋体"/>
          <w:color w:val="auto"/>
          <w:sz w:val="24"/>
          <w:szCs w:val="24"/>
          <w:lang w:eastAsia="zh-CN"/>
        </w:rPr>
        <w:t>);</w:t>
      </w:r>
    </w:p>
    <w:p w14:paraId="7ACEC74C">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注：投标人如之前已在云南 CA注册并办理过企业数字证书（CA认证）的，直接绑定即可，无需重复办理。</w:t>
      </w:r>
    </w:p>
    <w:p w14:paraId="537C9240">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售价：</w:t>
      </w:r>
      <w:r>
        <w:rPr>
          <w:rFonts w:hint="eastAsia" w:ascii="宋体" w:hAnsi="宋体" w:eastAsia="宋体" w:cs="宋体"/>
          <w:color w:val="auto"/>
          <w:sz w:val="24"/>
          <w:szCs w:val="24"/>
          <w:lang w:val="en-US" w:eastAsia="zh-CN"/>
        </w:rPr>
        <w:t>0元</w:t>
      </w:r>
    </w:p>
    <w:p w14:paraId="7AF89E9D">
      <w:pPr>
        <w:pStyle w:val="3"/>
        <w:pageBreakBefore w:val="0"/>
        <w:widowControl w:val="0"/>
        <w:numPr>
          <w:ilvl w:val="0"/>
          <w:numId w:val="1"/>
        </w:numPr>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color w:val="auto"/>
          <w:sz w:val="24"/>
          <w:szCs w:val="24"/>
        </w:rPr>
      </w:pPr>
      <w:bookmarkStart w:id="64" w:name="_Toc10358"/>
      <w:bookmarkStart w:id="65" w:name="_Toc20262"/>
      <w:bookmarkStart w:id="66" w:name="_Toc19241"/>
      <w:bookmarkStart w:id="67" w:name="_Toc15168"/>
      <w:r>
        <w:rPr>
          <w:rFonts w:hint="eastAsia" w:ascii="宋体" w:hAnsi="宋体" w:eastAsia="宋体" w:cs="宋体"/>
          <w:b/>
          <w:bCs w:val="0"/>
          <w:color w:val="auto"/>
          <w:sz w:val="24"/>
          <w:szCs w:val="24"/>
        </w:rPr>
        <w:t>响应文件提交</w:t>
      </w:r>
      <w:bookmarkEnd w:id="59"/>
      <w:bookmarkEnd w:id="60"/>
      <w:bookmarkEnd w:id="61"/>
      <w:bookmarkEnd w:id="62"/>
      <w:bookmarkEnd w:id="63"/>
      <w:bookmarkEnd w:id="64"/>
      <w:bookmarkEnd w:id="65"/>
      <w:bookmarkEnd w:id="66"/>
      <w:bookmarkEnd w:id="67"/>
    </w:p>
    <w:p w14:paraId="3F23CF16">
      <w:pPr>
        <w:pageBreakBefore w:val="0"/>
        <w:widowControl w:val="0"/>
        <w:kinsoku/>
        <w:wordWrap/>
        <w:overflowPunct/>
        <w:topLinePunct w:val="0"/>
        <w:autoSpaceDE/>
        <w:autoSpaceDN/>
        <w:bidi w:val="0"/>
        <w:adjustRightInd/>
        <w:snapToGrid/>
        <w:spacing w:beforeAutospacing="0" w:line="560" w:lineRule="exact"/>
        <w:ind w:firstLine="480" w:firstLineChars="200"/>
        <w:textAlignment w:val="auto"/>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u w:val="none"/>
          <w:lang w:val="en-US" w:eastAsia="zh-CN"/>
        </w:rPr>
        <w:t>截止时间（开标时间）：</w:t>
      </w:r>
      <w:r>
        <w:rPr>
          <w:rFonts w:hint="eastAsia" w:asciiTheme="minorEastAsia" w:hAnsiTheme="minorEastAsia" w:eastAsiaTheme="minorEastAsia" w:cstheme="minorEastAsia"/>
          <w:b/>
          <w:bCs w:val="0"/>
          <w:color w:val="auto"/>
          <w:sz w:val="24"/>
          <w:szCs w:val="24"/>
          <w:u w:val="single"/>
          <w:lang w:val="en-US" w:eastAsia="zh-CN"/>
        </w:rPr>
        <w:t>2026</w:t>
      </w:r>
      <w:r>
        <w:rPr>
          <w:rFonts w:hint="eastAsia" w:asciiTheme="minorEastAsia" w:hAnsiTheme="minorEastAsia" w:eastAsiaTheme="minorEastAsia" w:cstheme="minorEastAsia"/>
          <w:b/>
          <w:bCs w:val="0"/>
          <w:color w:val="auto"/>
          <w:sz w:val="24"/>
          <w:szCs w:val="24"/>
          <w:u w:val="single"/>
        </w:rPr>
        <w:t>年</w:t>
      </w:r>
      <w:r>
        <w:rPr>
          <w:rFonts w:hint="eastAsia" w:asciiTheme="minorEastAsia" w:hAnsiTheme="minorEastAsia" w:eastAsiaTheme="minorEastAsia" w:cstheme="minorEastAsia"/>
          <w:b/>
          <w:bCs w:val="0"/>
          <w:color w:val="auto"/>
          <w:sz w:val="24"/>
          <w:szCs w:val="24"/>
          <w:u w:val="single"/>
          <w:lang w:val="en-US" w:eastAsia="zh-CN"/>
        </w:rPr>
        <w:t>10</w:t>
      </w:r>
      <w:r>
        <w:rPr>
          <w:rFonts w:hint="eastAsia" w:asciiTheme="minorEastAsia" w:hAnsiTheme="minorEastAsia" w:eastAsiaTheme="minorEastAsia" w:cstheme="minorEastAsia"/>
          <w:b/>
          <w:bCs w:val="0"/>
          <w:color w:val="auto"/>
          <w:sz w:val="24"/>
          <w:szCs w:val="24"/>
          <w:u w:val="single"/>
        </w:rPr>
        <w:t>月</w:t>
      </w:r>
      <w:r>
        <w:rPr>
          <w:rFonts w:hint="eastAsia" w:asciiTheme="minorEastAsia" w:hAnsiTheme="minorEastAsia" w:eastAsiaTheme="minorEastAsia" w:cstheme="minorEastAsia"/>
          <w:b/>
          <w:bCs w:val="0"/>
          <w:color w:val="auto"/>
          <w:sz w:val="24"/>
          <w:szCs w:val="24"/>
          <w:u w:val="single"/>
          <w:lang w:val="en-US" w:eastAsia="zh-CN"/>
        </w:rPr>
        <w:t>19</w:t>
      </w:r>
      <w:r>
        <w:rPr>
          <w:rFonts w:hint="eastAsia" w:asciiTheme="minorEastAsia" w:hAnsiTheme="minorEastAsia" w:eastAsiaTheme="minorEastAsia" w:cstheme="minorEastAsia"/>
          <w:b/>
          <w:bCs w:val="0"/>
          <w:color w:val="auto"/>
          <w:sz w:val="24"/>
          <w:szCs w:val="24"/>
          <w:u w:val="single"/>
        </w:rPr>
        <w:t>日</w:t>
      </w:r>
      <w:r>
        <w:rPr>
          <w:rFonts w:hint="eastAsia" w:asciiTheme="minorEastAsia" w:hAnsiTheme="minorEastAsia" w:eastAsiaTheme="minorEastAsia" w:cstheme="minorEastAsia"/>
          <w:b/>
          <w:bCs w:val="0"/>
          <w:color w:val="auto"/>
          <w:sz w:val="24"/>
          <w:szCs w:val="24"/>
          <w:u w:val="single"/>
          <w:lang w:val="en-US" w:eastAsia="zh-CN"/>
        </w:rPr>
        <w:t>15</w:t>
      </w:r>
      <w:r>
        <w:rPr>
          <w:rFonts w:hint="eastAsia" w:asciiTheme="minorEastAsia" w:hAnsiTheme="minorEastAsia" w:eastAsiaTheme="minorEastAsia" w:cstheme="minorEastAsia"/>
          <w:b/>
          <w:bCs w:val="0"/>
          <w:color w:val="auto"/>
          <w:sz w:val="24"/>
          <w:szCs w:val="24"/>
          <w:u w:val="single"/>
        </w:rPr>
        <w:t>点</w:t>
      </w:r>
      <w:r>
        <w:rPr>
          <w:rFonts w:hint="eastAsia" w:asciiTheme="minorEastAsia" w:hAnsiTheme="minorEastAsia" w:eastAsiaTheme="minorEastAsia" w:cstheme="minorEastAsia"/>
          <w:b/>
          <w:bCs w:val="0"/>
          <w:color w:val="auto"/>
          <w:sz w:val="24"/>
          <w:szCs w:val="24"/>
          <w:u w:val="single"/>
          <w:lang w:val="en-US" w:eastAsia="zh-CN"/>
        </w:rPr>
        <w:t>00</w:t>
      </w:r>
      <w:r>
        <w:rPr>
          <w:rFonts w:hint="eastAsia" w:asciiTheme="minorEastAsia" w:hAnsiTheme="minorEastAsia" w:eastAsiaTheme="minorEastAsia" w:cstheme="minorEastAsia"/>
          <w:b/>
          <w:bCs w:val="0"/>
          <w:color w:val="auto"/>
          <w:sz w:val="24"/>
          <w:szCs w:val="24"/>
          <w:u w:val="single"/>
        </w:rPr>
        <w:t>分</w:t>
      </w:r>
      <w:r>
        <w:rPr>
          <w:rFonts w:hint="eastAsia" w:asciiTheme="minorEastAsia" w:hAnsiTheme="minorEastAsia" w:eastAsiaTheme="minorEastAsia" w:cstheme="minorEastAsia"/>
          <w:b/>
          <w:bCs w:val="0"/>
          <w:color w:val="auto"/>
          <w:sz w:val="24"/>
          <w:szCs w:val="24"/>
        </w:rPr>
        <w:t>（北京时间）</w:t>
      </w:r>
    </w:p>
    <w:p w14:paraId="0CD8F29E">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地点：电子响应文件通过网上递交；</w:t>
      </w:r>
    </w:p>
    <w:p w14:paraId="22BB804C">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（1）响应文件提交方式：本项目全流程电子化，通过“政采云”平台（http</w:t>
      </w:r>
      <w:r>
        <w:rPr>
          <w:rFonts w:hint="eastAsia" w:ascii="宋体" w:hAnsi="宋体" w:cs="宋体"/>
          <w:color w:val="auto"/>
          <w:sz w:val="24"/>
          <w:szCs w:val="24"/>
          <w:lang w:val="en-US" w:eastAsia="zh-CN"/>
        </w:rPr>
        <w:t>:</w:t>
      </w:r>
      <w:r>
        <w:rPr>
          <w:rFonts w:hint="default" w:ascii="宋体" w:hAnsi="宋体" w:eastAsia="宋体" w:cs="宋体"/>
          <w:color w:val="auto"/>
          <w:sz w:val="24"/>
          <w:szCs w:val="24"/>
          <w:lang w:val="en-US" w:eastAsia="zh-CN"/>
        </w:rPr>
        <w:t>//www.zcygov.cn）实行在线电子响应，</w:t>
      </w:r>
      <w:bookmarkStart w:id="68" w:name="OLE_LINK86"/>
      <w:r>
        <w:rPr>
          <w:rFonts w:hint="default" w:ascii="宋体" w:hAnsi="宋体" w:eastAsia="宋体" w:cs="宋体"/>
          <w:color w:val="auto"/>
          <w:sz w:val="24"/>
          <w:szCs w:val="24"/>
          <w:lang w:val="en-US" w:eastAsia="zh-CN"/>
        </w:rPr>
        <w:t>投标人</w:t>
      </w:r>
      <w:bookmarkEnd w:id="68"/>
      <w:r>
        <w:rPr>
          <w:rFonts w:hint="default" w:ascii="宋体" w:hAnsi="宋体" w:eastAsia="宋体" w:cs="宋体"/>
          <w:color w:val="auto"/>
          <w:sz w:val="24"/>
          <w:szCs w:val="24"/>
          <w:lang w:val="en-US" w:eastAsia="zh-CN"/>
        </w:rPr>
        <w:t>应先安装“政采云电子交易客户端”（请自行前往“政采云”平台进行下载），并按照本项目采购文件和“政采云”平台的要求编制、加密后在投标截止时间前通过网络上传至“政采云”平台，投标人在“政采云”平台提交电子版响应文件时，请填写参加远程采购活动经办人联系方式。</w:t>
      </w:r>
    </w:p>
    <w:p w14:paraId="08D5BEC9">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（2）未进行网上注册并办理数字证书（CA认证）的投标人将无法参与本项目政府采购活动，投标人应尽早完成电子交易平台上的数字证书（CA认证）办理，并在首次响应文件提交截止时间前提交响应文件。</w:t>
      </w:r>
    </w:p>
    <w:p w14:paraId="5D7AA626">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（3）为确保网上操作合法、有效和安全，请投标人确保在电子响应过程中能够对相关数据电文进行加密和使用电子签章，妥善保管 数字证书（CA认证）并使用有效的数字证书（CA认证）参与整个采购活动。</w:t>
      </w:r>
    </w:p>
    <w:p w14:paraId="5973CEE6">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color w:val="auto"/>
        </w:rPr>
      </w:pPr>
      <w:r>
        <w:rPr>
          <w:rFonts w:hint="default" w:ascii="宋体" w:hAnsi="宋体" w:eastAsia="宋体" w:cs="宋体"/>
          <w:color w:val="auto"/>
          <w:sz w:val="24"/>
          <w:szCs w:val="24"/>
          <w:lang w:val="en-US" w:eastAsia="zh-CN"/>
        </w:rPr>
        <w:t>注：投标人应当在首次响应文件提交截止时间前完成电子响应文件的上传、递交</w:t>
      </w:r>
      <w:r>
        <w:rPr>
          <w:rFonts w:hint="eastAsia" w:ascii="宋体" w:hAnsi="宋体" w:cs="宋体"/>
          <w:color w:val="auto"/>
          <w:sz w:val="24"/>
          <w:szCs w:val="24"/>
          <w:lang w:val="en-US" w:eastAsia="zh-CN"/>
        </w:rPr>
        <w:t>，在</w:t>
      </w:r>
      <w:r>
        <w:rPr>
          <w:rFonts w:hint="default" w:ascii="宋体" w:hAnsi="宋体" w:eastAsia="宋体" w:cs="宋体"/>
          <w:color w:val="auto"/>
          <w:sz w:val="24"/>
          <w:szCs w:val="24"/>
          <w:lang w:val="en-US" w:eastAsia="zh-CN"/>
        </w:rPr>
        <w:t>响应文件提交截止时间前可以补充、修改或者撤回响应文件。补充或者修改响应文件的，应当先行撤回原文件，补充、修改后重新上传、递交。响应截止时</w:t>
      </w:r>
      <w:r>
        <w:rPr>
          <w:rFonts w:hint="eastAsia" w:ascii="宋体" w:hAnsi="宋体" w:cs="宋体"/>
          <w:color w:val="auto"/>
          <w:sz w:val="24"/>
          <w:szCs w:val="24"/>
          <w:lang w:val="en-US" w:eastAsia="zh-CN"/>
        </w:rPr>
        <w:t>间之</w:t>
      </w:r>
      <w:r>
        <w:rPr>
          <w:rFonts w:hint="default" w:ascii="宋体" w:hAnsi="宋体" w:eastAsia="宋体" w:cs="宋体"/>
          <w:color w:val="auto"/>
          <w:sz w:val="24"/>
          <w:szCs w:val="24"/>
          <w:lang w:val="en-US" w:eastAsia="zh-CN"/>
        </w:rPr>
        <w:t>前未完成上传、递交的，视为撤回响应文件。响应文件提交截止时间以后上传递交的响应文件的，“政采云”平台将予以拒收。</w:t>
      </w:r>
    </w:p>
    <w:p w14:paraId="069DE255">
      <w:pPr>
        <w:pStyle w:val="3"/>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color w:val="auto"/>
          <w:sz w:val="24"/>
          <w:szCs w:val="24"/>
        </w:rPr>
      </w:pPr>
      <w:bookmarkStart w:id="69" w:name="_Toc20804_WPSOffice_Level2"/>
      <w:bookmarkStart w:id="70" w:name="_Toc28359016"/>
      <w:bookmarkStart w:id="71" w:name="_Toc35393802"/>
      <w:bookmarkStart w:id="72" w:name="_Toc32178"/>
      <w:bookmarkStart w:id="73" w:name="_Toc35393633"/>
      <w:bookmarkStart w:id="74" w:name="_Toc9730"/>
      <w:bookmarkStart w:id="75" w:name="_Toc28359093"/>
      <w:bookmarkStart w:id="76" w:name="_Toc25849"/>
      <w:bookmarkStart w:id="77" w:name="_Toc6601"/>
      <w:r>
        <w:rPr>
          <w:rFonts w:hint="eastAsia" w:ascii="宋体" w:hAnsi="宋体" w:eastAsia="宋体" w:cs="宋体"/>
          <w:b/>
          <w:bCs w:val="0"/>
          <w:color w:val="auto"/>
          <w:sz w:val="24"/>
          <w:szCs w:val="24"/>
        </w:rPr>
        <w:t>五、开启</w:t>
      </w:r>
      <w:bookmarkEnd w:id="69"/>
      <w:bookmarkEnd w:id="70"/>
      <w:bookmarkEnd w:id="71"/>
      <w:bookmarkEnd w:id="72"/>
      <w:bookmarkEnd w:id="73"/>
      <w:bookmarkEnd w:id="74"/>
      <w:bookmarkEnd w:id="75"/>
      <w:bookmarkEnd w:id="76"/>
      <w:bookmarkEnd w:id="77"/>
    </w:p>
    <w:p w14:paraId="6E0C569F">
      <w:pPr>
        <w:pageBreakBefore w:val="0"/>
        <w:kinsoku/>
        <w:wordWrap/>
        <w:overflowPunct/>
        <w:topLinePunct w:val="0"/>
        <w:autoSpaceDE/>
        <w:autoSpaceDN/>
        <w:bidi w:val="0"/>
        <w:spacing w:line="560" w:lineRule="exact"/>
        <w:ind w:firstLine="480" w:firstLineChars="200"/>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时间：</w:t>
      </w:r>
      <w:r>
        <w:rPr>
          <w:rFonts w:hint="eastAsia" w:asciiTheme="minorEastAsia" w:hAnsiTheme="minorEastAsia" w:eastAsiaTheme="minorEastAsia" w:cstheme="minorEastAsia"/>
          <w:b/>
          <w:bCs/>
          <w:color w:val="auto"/>
          <w:sz w:val="24"/>
          <w:szCs w:val="24"/>
          <w:lang w:val="en-US" w:eastAsia="zh-CN"/>
        </w:rPr>
        <w:t>2026</w:t>
      </w:r>
      <w:r>
        <w:rPr>
          <w:rFonts w:hint="eastAsia" w:asciiTheme="minorEastAsia" w:hAnsiTheme="minorEastAsia" w:eastAsiaTheme="minorEastAsia" w:cstheme="minorEastAsia"/>
          <w:b/>
          <w:bCs/>
          <w:color w:val="auto"/>
          <w:sz w:val="24"/>
          <w:szCs w:val="24"/>
        </w:rPr>
        <w:t>年</w:t>
      </w:r>
      <w:r>
        <w:rPr>
          <w:rFonts w:hint="eastAsia" w:asciiTheme="minorEastAsia" w:hAnsiTheme="minorEastAsia" w:eastAsiaTheme="minorEastAsia" w:cstheme="minorEastAsia"/>
          <w:b/>
          <w:bCs/>
          <w:color w:val="auto"/>
          <w:sz w:val="24"/>
          <w:szCs w:val="24"/>
          <w:lang w:val="en-US" w:eastAsia="zh-CN"/>
        </w:rPr>
        <w:t>10</w:t>
      </w:r>
      <w:r>
        <w:rPr>
          <w:rFonts w:hint="eastAsia" w:asciiTheme="minorEastAsia" w:hAnsiTheme="minorEastAsia" w:eastAsiaTheme="minorEastAsia" w:cstheme="minorEastAsia"/>
          <w:b/>
          <w:bCs/>
          <w:color w:val="auto"/>
          <w:sz w:val="24"/>
          <w:szCs w:val="24"/>
        </w:rPr>
        <w:t>月</w:t>
      </w:r>
      <w:r>
        <w:rPr>
          <w:rFonts w:hint="eastAsia" w:asciiTheme="minorEastAsia" w:hAnsiTheme="minorEastAsia" w:eastAsiaTheme="minorEastAsia" w:cstheme="minorEastAsia"/>
          <w:b/>
          <w:bCs/>
          <w:color w:val="auto"/>
          <w:sz w:val="24"/>
          <w:szCs w:val="24"/>
          <w:lang w:val="en-US" w:eastAsia="zh-CN"/>
        </w:rPr>
        <w:t>19</w:t>
      </w:r>
      <w:r>
        <w:rPr>
          <w:rFonts w:hint="eastAsia" w:asciiTheme="minorEastAsia" w:hAnsiTheme="minorEastAsia" w:eastAsiaTheme="minorEastAsia" w:cstheme="minorEastAsia"/>
          <w:b/>
          <w:bCs/>
          <w:color w:val="auto"/>
          <w:sz w:val="24"/>
          <w:szCs w:val="24"/>
        </w:rPr>
        <w:t xml:space="preserve">日 </w:t>
      </w:r>
      <w:r>
        <w:rPr>
          <w:rFonts w:hint="eastAsia" w:asciiTheme="minorEastAsia" w:hAnsiTheme="minorEastAsia" w:eastAsiaTheme="minorEastAsia" w:cstheme="minorEastAsia"/>
          <w:b/>
          <w:bCs/>
          <w:color w:val="auto"/>
          <w:sz w:val="24"/>
          <w:szCs w:val="24"/>
          <w:lang w:val="en-US" w:eastAsia="zh-CN"/>
        </w:rPr>
        <w:t>15</w:t>
      </w:r>
      <w:r>
        <w:rPr>
          <w:rFonts w:hint="eastAsia" w:asciiTheme="minorEastAsia" w:hAnsiTheme="minorEastAsia" w:eastAsiaTheme="minorEastAsia" w:cstheme="minorEastAsia"/>
          <w:b/>
          <w:bCs/>
          <w:color w:val="auto"/>
          <w:sz w:val="24"/>
          <w:szCs w:val="24"/>
        </w:rPr>
        <w:t>点</w:t>
      </w:r>
      <w:r>
        <w:rPr>
          <w:rFonts w:hint="eastAsia" w:asciiTheme="minorEastAsia" w:hAnsiTheme="minorEastAsia" w:eastAsiaTheme="minorEastAsia" w:cstheme="minorEastAsia"/>
          <w:b/>
          <w:bCs/>
          <w:color w:val="auto"/>
          <w:sz w:val="24"/>
          <w:szCs w:val="24"/>
          <w:lang w:val="en-US" w:eastAsia="zh-CN"/>
        </w:rPr>
        <w:t>00</w:t>
      </w:r>
      <w:r>
        <w:rPr>
          <w:rFonts w:hint="eastAsia" w:asciiTheme="minorEastAsia" w:hAnsiTheme="minorEastAsia" w:eastAsiaTheme="minorEastAsia" w:cstheme="minorEastAsia"/>
          <w:b/>
          <w:bCs/>
          <w:color w:val="auto"/>
          <w:sz w:val="24"/>
          <w:szCs w:val="24"/>
        </w:rPr>
        <w:t>分（北京时间）</w:t>
      </w:r>
    </w:p>
    <w:p w14:paraId="6200F27A">
      <w:pPr>
        <w:pageBreakBefore w:val="0"/>
        <w:kinsoku/>
        <w:wordWrap/>
        <w:overflowPunct/>
        <w:topLinePunct w:val="0"/>
        <w:autoSpaceDE/>
        <w:autoSpaceDN/>
        <w:bidi w:val="0"/>
        <w:spacing w:beforeAutospacing="0" w:afterAutospacing="0" w:line="560" w:lineRule="exact"/>
        <w:ind w:firstLine="480"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地点：</w:t>
      </w:r>
      <w:bookmarkStart w:id="78" w:name="OLE_LINK2"/>
      <w:r>
        <w:rPr>
          <w:rFonts w:hint="eastAsia" w:asciiTheme="minorEastAsia" w:hAnsiTheme="minorEastAsia" w:eastAsiaTheme="minorEastAsia" w:cstheme="minorEastAsia"/>
          <w:b/>
          <w:bCs/>
          <w:color w:val="auto"/>
          <w:sz w:val="24"/>
          <w:szCs w:val="24"/>
          <w:highlight w:val="none"/>
          <w:lang w:val="en-US" w:eastAsia="zh-CN"/>
        </w:rPr>
        <w:t>文山市华龙北路2号文山州政务服务中心大楼四楼</w:t>
      </w:r>
      <w:bookmarkEnd w:id="78"/>
      <w:r>
        <w:rPr>
          <w:rFonts w:hint="eastAsia" w:asciiTheme="minorEastAsia" w:hAnsiTheme="minorEastAsia" w:eastAsiaTheme="minorEastAsia" w:cstheme="minorEastAsia"/>
          <w:b/>
          <w:bCs/>
          <w:color w:val="auto"/>
          <w:sz w:val="24"/>
          <w:szCs w:val="24"/>
          <w:highlight w:val="none"/>
          <w:lang w:val="en-US" w:eastAsia="zh-CN"/>
        </w:rPr>
        <w:t>政府采购开标厅。</w:t>
      </w:r>
    </w:p>
    <w:p w14:paraId="525BF153">
      <w:pPr>
        <w:pageBreakBefore w:val="0"/>
        <w:kinsoku/>
        <w:wordWrap/>
        <w:overflowPunct/>
        <w:topLinePunct w:val="0"/>
        <w:autoSpaceDE/>
        <w:autoSpaceDN/>
        <w:bidi w:val="0"/>
        <w:spacing w:beforeAutospacing="0" w:afterAutospacing="0" w:line="560" w:lineRule="exact"/>
        <w:ind w:firstLine="480" w:firstLineChars="200"/>
        <w:textAlignment w:val="auto"/>
        <w:rPr>
          <w:rFonts w:hint="eastAsia" w:asciiTheme="minorEastAsia" w:hAnsiTheme="minorEastAsia" w:eastAsiaTheme="minorEastAsia" w:cstheme="minorEastAsia"/>
          <w:bCs/>
          <w:color w:val="auto"/>
          <w:sz w:val="24"/>
          <w:szCs w:val="24"/>
          <w:highlight w:val="yellow"/>
          <w:u w:val="single"/>
        </w:rPr>
      </w:pPr>
      <w:r>
        <w:rPr>
          <w:rFonts w:hint="eastAsia" w:asciiTheme="minorEastAsia" w:hAnsiTheme="minorEastAsia" w:eastAsiaTheme="minorEastAsia" w:cstheme="minorEastAsia"/>
          <w:b/>
          <w:bCs/>
          <w:color w:val="auto"/>
          <w:sz w:val="24"/>
          <w:szCs w:val="24"/>
          <w:highlight w:val="none"/>
          <w:lang w:val="en-US" w:eastAsia="zh-CN"/>
        </w:rPr>
        <w:t>特别提醒：</w:t>
      </w:r>
      <w:r>
        <w:rPr>
          <w:rFonts w:hint="eastAsia" w:asciiTheme="minorEastAsia" w:hAnsiTheme="minorEastAsia" w:eastAsiaTheme="minorEastAsia" w:cstheme="minorEastAsia"/>
          <w:color w:val="auto"/>
          <w:sz w:val="24"/>
          <w:szCs w:val="24"/>
          <w:highlight w:val="none"/>
          <w:lang w:val="en-US" w:eastAsia="zh-CN"/>
        </w:rPr>
        <w:t>本项目全程电子化，开标时进行远程解密，投标人应在采购代理机构下达远程解密命令30分钟内，完成对电子响应文件的所有远程解密操作，否则视为响应无效。</w:t>
      </w:r>
    </w:p>
    <w:p w14:paraId="3DBF19E8">
      <w:pPr>
        <w:pStyle w:val="3"/>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color w:val="auto"/>
          <w:sz w:val="24"/>
          <w:szCs w:val="24"/>
        </w:rPr>
      </w:pPr>
      <w:bookmarkStart w:id="79" w:name="_Toc28359094"/>
      <w:bookmarkStart w:id="80" w:name="_Toc32406"/>
      <w:bookmarkStart w:id="81" w:name="_Toc28359017"/>
      <w:bookmarkStart w:id="82" w:name="_Toc30183"/>
      <w:bookmarkStart w:id="83" w:name="_Toc9652"/>
      <w:bookmarkStart w:id="84" w:name="_Toc21104_WPSOffice_Level2"/>
      <w:bookmarkStart w:id="85" w:name="_Toc12510"/>
      <w:bookmarkStart w:id="86" w:name="_Toc35393634"/>
      <w:bookmarkStart w:id="87" w:name="_Toc35393803"/>
      <w:r>
        <w:rPr>
          <w:rFonts w:hint="eastAsia" w:ascii="宋体" w:hAnsi="宋体" w:eastAsia="宋体" w:cs="宋体"/>
          <w:b/>
          <w:bCs w:val="0"/>
          <w:color w:val="auto"/>
          <w:sz w:val="24"/>
          <w:szCs w:val="24"/>
        </w:rPr>
        <w:t>六、公告期限</w:t>
      </w:r>
      <w:bookmarkEnd w:id="79"/>
      <w:bookmarkEnd w:id="80"/>
      <w:bookmarkEnd w:id="81"/>
      <w:bookmarkEnd w:id="82"/>
      <w:bookmarkEnd w:id="83"/>
      <w:bookmarkEnd w:id="84"/>
      <w:bookmarkEnd w:id="85"/>
      <w:bookmarkEnd w:id="86"/>
      <w:bookmarkEnd w:id="87"/>
    </w:p>
    <w:p w14:paraId="4E2FD784">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自本公告发布之日起3个工作日。</w:t>
      </w:r>
    </w:p>
    <w:p w14:paraId="520A2644">
      <w:pPr>
        <w:pStyle w:val="3"/>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color w:val="auto"/>
          <w:sz w:val="24"/>
          <w:szCs w:val="24"/>
        </w:rPr>
      </w:pPr>
      <w:bookmarkStart w:id="88" w:name="_Toc6209"/>
      <w:bookmarkStart w:id="89" w:name="_Toc35393804"/>
      <w:bookmarkStart w:id="90" w:name="_Toc2292"/>
      <w:bookmarkStart w:id="91" w:name="_Toc14985"/>
      <w:bookmarkStart w:id="92" w:name="_Toc11518"/>
      <w:bookmarkStart w:id="93" w:name="_Toc7540_WPSOffice_Level2"/>
      <w:bookmarkStart w:id="94" w:name="_Toc35393635"/>
      <w:r>
        <w:rPr>
          <w:rFonts w:hint="eastAsia" w:ascii="宋体" w:hAnsi="宋体" w:eastAsia="宋体" w:cs="宋体"/>
          <w:b/>
          <w:bCs w:val="0"/>
          <w:color w:val="auto"/>
          <w:sz w:val="24"/>
          <w:szCs w:val="24"/>
        </w:rPr>
        <w:t>七、其他补充事宜</w:t>
      </w:r>
      <w:bookmarkEnd w:id="88"/>
      <w:bookmarkEnd w:id="89"/>
      <w:bookmarkEnd w:id="90"/>
      <w:bookmarkEnd w:id="91"/>
      <w:bookmarkEnd w:id="92"/>
      <w:bookmarkEnd w:id="93"/>
      <w:bookmarkEnd w:id="94"/>
    </w:p>
    <w:p w14:paraId="1A8B0572">
      <w:pPr>
        <w:pStyle w:val="32"/>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1.投标保证金：无需缴纳</w:t>
      </w:r>
    </w:p>
    <w:p w14:paraId="27EFABE2">
      <w:pPr>
        <w:pStyle w:val="32"/>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2.相关信息发布媒体</w:t>
      </w:r>
    </w:p>
    <w:p w14:paraId="10225C53">
      <w:pPr>
        <w:pStyle w:val="32"/>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sz w:val="24"/>
          <w:szCs w:val="24"/>
          <w:lang w:val="en-US" w:eastAsia="zh-CN"/>
        </w:rPr>
      </w:pPr>
      <w:bookmarkStart w:id="95" w:name="OLE_LINK150"/>
      <w:bookmarkStart w:id="96" w:name="_Toc35393805"/>
      <w:bookmarkStart w:id="97" w:name="_Toc28359095"/>
      <w:bookmarkStart w:id="98" w:name="_Toc26082"/>
      <w:bookmarkStart w:id="99" w:name="_Toc28960"/>
      <w:bookmarkStart w:id="100" w:name="_Toc35393636"/>
      <w:bookmarkStart w:id="101" w:name="_Toc22850_WPSOffice_Level2"/>
      <w:bookmarkStart w:id="102" w:name="_Toc28359018"/>
      <w:r>
        <w:rPr>
          <w:rFonts w:hint="eastAsia" w:ascii="宋体" w:hAnsi="宋体" w:eastAsia="宋体" w:cs="宋体"/>
          <w:color w:val="auto"/>
          <w:sz w:val="24"/>
          <w:szCs w:val="24"/>
          <w:lang w:val="en-US" w:eastAsia="zh-CN"/>
        </w:rPr>
        <w:t>本次采购的相关信息同时在“云南省政府采购网”“文山市人民政府网”发布，请各投标人在递交响应文件前注意查阅，以获取最新信息。</w:t>
      </w:r>
    </w:p>
    <w:bookmarkEnd w:id="95"/>
    <w:p w14:paraId="7CE67214">
      <w:pPr>
        <w:pStyle w:val="3"/>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color w:val="auto"/>
          <w:sz w:val="24"/>
          <w:szCs w:val="24"/>
        </w:rPr>
      </w:pPr>
      <w:bookmarkStart w:id="103" w:name="_Toc28775"/>
      <w:bookmarkStart w:id="104" w:name="_Toc30243"/>
      <w:r>
        <w:rPr>
          <w:rFonts w:hint="eastAsia" w:ascii="宋体" w:hAnsi="宋体" w:eastAsia="宋体" w:cs="宋体"/>
          <w:b/>
          <w:bCs w:val="0"/>
          <w:color w:val="auto"/>
          <w:sz w:val="24"/>
          <w:szCs w:val="24"/>
        </w:rPr>
        <w:t>八、凡对本次采购提出询问，请按以下方式联系</w:t>
      </w:r>
      <w:bookmarkEnd w:id="96"/>
      <w:bookmarkEnd w:id="97"/>
      <w:bookmarkEnd w:id="98"/>
      <w:bookmarkEnd w:id="99"/>
      <w:bookmarkEnd w:id="100"/>
      <w:bookmarkEnd w:id="101"/>
      <w:bookmarkEnd w:id="102"/>
      <w:bookmarkEnd w:id="103"/>
      <w:bookmarkEnd w:id="104"/>
    </w:p>
    <w:p w14:paraId="5E9C05D8">
      <w:pPr>
        <w:pageBreakBefore w:val="0"/>
        <w:widowControl w:val="0"/>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1.采购人信息</w:t>
      </w:r>
    </w:p>
    <w:p w14:paraId="3A8DBDAB">
      <w:pPr>
        <w:pageBreakBefore w:val="0"/>
        <w:widowControl w:val="0"/>
        <w:numPr>
          <w:ilvl w:val="0"/>
          <w:numId w:val="0"/>
        </w:numPr>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名    称：</w:t>
      </w:r>
      <w:r>
        <w:rPr>
          <w:rFonts w:hint="eastAsia" w:ascii="宋体" w:hAnsi="宋体" w:eastAsia="宋体" w:cs="宋体"/>
          <w:color w:val="auto"/>
          <w:sz w:val="24"/>
          <w:szCs w:val="24"/>
        </w:rPr>
        <w:t>文山市</w:t>
      </w:r>
      <w:r>
        <w:rPr>
          <w:rFonts w:hint="eastAsia" w:ascii="宋体" w:hAnsi="宋体" w:eastAsia="宋体" w:cs="宋体"/>
          <w:color w:val="auto"/>
          <w:sz w:val="24"/>
          <w:szCs w:val="24"/>
          <w:lang w:val="en-US" w:eastAsia="zh-CN"/>
        </w:rPr>
        <w:t>皮肤病防治站　　　　　　　　　</w:t>
      </w:r>
    </w:p>
    <w:p w14:paraId="65215673">
      <w:pPr>
        <w:pageBreakBefore w:val="0"/>
        <w:widowControl w:val="0"/>
        <w:numPr>
          <w:ilvl w:val="0"/>
          <w:numId w:val="0"/>
        </w:numPr>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地    址：</w:t>
      </w:r>
      <w:r>
        <w:rPr>
          <w:rFonts w:hint="eastAsia" w:ascii="宋体" w:hAnsi="宋体" w:eastAsia="宋体" w:cs="宋体"/>
          <w:color w:val="auto"/>
          <w:sz w:val="24"/>
          <w:szCs w:val="24"/>
          <w:highlight w:val="none"/>
          <w:lang w:val="en-US" w:eastAsia="zh-CN"/>
        </w:rPr>
        <w:t>文山市</w:t>
      </w:r>
      <w:r>
        <w:rPr>
          <w:rFonts w:hint="eastAsia" w:ascii="宋体" w:hAnsi="宋体" w:cs="宋体"/>
          <w:color w:val="auto"/>
          <w:sz w:val="24"/>
          <w:szCs w:val="24"/>
          <w:highlight w:val="none"/>
          <w:lang w:val="en-US" w:eastAsia="zh-CN"/>
        </w:rPr>
        <w:t>新平街道里布嘎社区龙欢路76号</w:t>
      </w:r>
      <w:r>
        <w:rPr>
          <w:rFonts w:hint="eastAsia" w:ascii="宋体" w:hAnsi="宋体" w:eastAsia="宋体" w:cs="宋体"/>
          <w:color w:val="auto"/>
          <w:sz w:val="24"/>
          <w:szCs w:val="24"/>
          <w:highlight w:val="none"/>
          <w:lang w:val="en-US" w:eastAsia="zh-CN"/>
        </w:rPr>
        <w:t>　　　　　　　　　　</w:t>
      </w:r>
    </w:p>
    <w:p w14:paraId="44AE76F2">
      <w:pPr>
        <w:pageBreakBefore w:val="0"/>
        <w:widowControl w:val="0"/>
        <w:numPr>
          <w:ilvl w:val="0"/>
          <w:numId w:val="0"/>
        </w:numPr>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联系方式：0876-</w:t>
      </w:r>
      <w:r>
        <w:rPr>
          <w:rFonts w:hint="eastAsia" w:ascii="宋体" w:hAnsi="宋体" w:cs="宋体"/>
          <w:color w:val="auto"/>
          <w:sz w:val="24"/>
          <w:szCs w:val="24"/>
          <w:highlight w:val="none"/>
          <w:lang w:val="en-US" w:eastAsia="zh-CN"/>
        </w:rPr>
        <w:t>3032056</w:t>
      </w:r>
      <w:r>
        <w:rPr>
          <w:rFonts w:hint="eastAsia" w:ascii="宋体" w:hAnsi="宋体" w:eastAsia="宋体" w:cs="宋体"/>
          <w:color w:val="auto"/>
          <w:sz w:val="24"/>
          <w:szCs w:val="24"/>
          <w:highlight w:val="none"/>
          <w:lang w:val="en-US" w:eastAsia="zh-CN"/>
        </w:rPr>
        <w:t>　</w:t>
      </w:r>
      <w:r>
        <w:rPr>
          <w:rFonts w:hint="eastAsia" w:ascii="宋体" w:hAnsi="宋体" w:eastAsia="宋体" w:cs="宋体"/>
          <w:color w:val="auto"/>
          <w:sz w:val="24"/>
          <w:szCs w:val="24"/>
          <w:lang w:val="en-US" w:eastAsia="zh-CN"/>
        </w:rPr>
        <w:t>　　</w:t>
      </w:r>
      <w:r>
        <w:rPr>
          <w:rFonts w:hint="eastAsia" w:ascii="宋体" w:hAnsi="宋体" w:eastAsia="宋体" w:cs="宋体"/>
          <w:color w:val="auto"/>
          <w:sz w:val="24"/>
          <w:szCs w:val="24"/>
          <w:highlight w:val="none"/>
        </w:rPr>
        <w:t xml:space="preserve">　　 　　　 </w:t>
      </w:r>
      <w:bookmarkStart w:id="105" w:name="_Toc35393638"/>
      <w:bookmarkStart w:id="106" w:name="_Toc35393807"/>
      <w:bookmarkStart w:id="107" w:name="_Toc28359020"/>
      <w:bookmarkStart w:id="108" w:name="_Toc28359097"/>
    </w:p>
    <w:bookmarkEnd w:id="105"/>
    <w:bookmarkEnd w:id="106"/>
    <w:bookmarkEnd w:id="107"/>
    <w:bookmarkEnd w:id="108"/>
    <w:p w14:paraId="40D6FFC6">
      <w:pPr>
        <w:pageBreakBefore w:val="0"/>
        <w:widowControl w:val="0"/>
        <w:numPr>
          <w:ilvl w:val="0"/>
          <w:numId w:val="2"/>
        </w:numPr>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采购代理机构信息</w:t>
      </w:r>
    </w:p>
    <w:p w14:paraId="0B4781CD">
      <w:pPr>
        <w:pageBreakBefore w:val="0"/>
        <w:widowControl w:val="0"/>
        <w:numPr>
          <w:ilvl w:val="0"/>
          <w:numId w:val="0"/>
        </w:numPr>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名    称：</w:t>
      </w:r>
      <w:r>
        <w:rPr>
          <w:rFonts w:hint="eastAsia" w:ascii="宋体" w:hAnsi="宋体" w:eastAsia="宋体" w:cs="宋体"/>
          <w:color w:val="auto"/>
          <w:sz w:val="24"/>
          <w:szCs w:val="24"/>
          <w:lang w:val="en-US" w:eastAsia="zh-CN"/>
        </w:rPr>
        <w:t>文山市政府采购和出让中心</w:t>
      </w:r>
      <w:r>
        <w:rPr>
          <w:rFonts w:hint="eastAsia" w:ascii="宋体" w:hAnsi="宋体" w:eastAsia="宋体" w:cs="宋体"/>
          <w:color w:val="auto"/>
          <w:sz w:val="24"/>
          <w:szCs w:val="24"/>
        </w:rPr>
        <w:t>　　　　　　　　　　　</w:t>
      </w:r>
    </w:p>
    <w:p w14:paraId="7E2002EC">
      <w:pPr>
        <w:pageBreakBefore w:val="0"/>
        <w:widowControl w:val="0"/>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lang w:val="en-US" w:eastAsia="zh-CN"/>
        </w:rPr>
        <w:t>文山市华龙北路2号文山州政务服务中心大楼四楼409室</w:t>
      </w:r>
      <w:r>
        <w:rPr>
          <w:rFonts w:hint="eastAsia" w:ascii="宋体" w:hAnsi="宋体" w:eastAsia="宋体" w:cs="宋体"/>
          <w:color w:val="auto"/>
          <w:sz w:val="24"/>
          <w:szCs w:val="24"/>
        </w:rPr>
        <w:t>　　　　　　　　　　　　</w:t>
      </w:r>
    </w:p>
    <w:p w14:paraId="4389652C">
      <w:pPr>
        <w:pageBreakBefore w:val="0"/>
        <w:widowControl w:val="0"/>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lang w:val="en-US" w:eastAsia="zh-CN"/>
        </w:rPr>
        <w:t>0876-3023253</w:t>
      </w:r>
      <w:r>
        <w:rPr>
          <w:rFonts w:hint="eastAsia" w:ascii="宋体" w:hAnsi="宋体" w:eastAsia="宋体" w:cs="宋体"/>
          <w:color w:val="auto"/>
          <w:sz w:val="24"/>
          <w:szCs w:val="24"/>
        </w:rPr>
        <w:t>　　　　　　　　　　　　</w:t>
      </w:r>
    </w:p>
    <w:p w14:paraId="3E73BA46">
      <w:pPr>
        <w:pageBreakBefore w:val="0"/>
        <w:widowControl w:val="0"/>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bookmarkStart w:id="109" w:name="_Toc35393639"/>
      <w:bookmarkStart w:id="110" w:name="_Toc28359098"/>
      <w:bookmarkStart w:id="111" w:name="_Toc35393808"/>
      <w:bookmarkStart w:id="112" w:name="_Toc28359021"/>
      <w:r>
        <w:rPr>
          <w:rFonts w:hint="eastAsia" w:ascii="宋体" w:hAnsi="宋体" w:eastAsia="宋体" w:cs="宋体"/>
          <w:color w:val="auto"/>
          <w:sz w:val="24"/>
          <w:szCs w:val="24"/>
        </w:rPr>
        <w:t>3.项目联系方式</w:t>
      </w:r>
      <w:bookmarkEnd w:id="109"/>
      <w:bookmarkEnd w:id="110"/>
      <w:bookmarkEnd w:id="111"/>
      <w:bookmarkEnd w:id="112"/>
    </w:p>
    <w:p w14:paraId="00FA49C4">
      <w:pPr>
        <w:pageBreakBefore w:val="0"/>
        <w:widowControl w:val="0"/>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项目联系人：</w:t>
      </w:r>
      <w:r>
        <w:rPr>
          <w:rFonts w:hint="eastAsia" w:ascii="宋体" w:hAnsi="宋体" w:cs="宋体"/>
          <w:color w:val="auto"/>
          <w:sz w:val="24"/>
          <w:szCs w:val="24"/>
          <w:lang w:val="en-US" w:eastAsia="zh-CN"/>
        </w:rPr>
        <w:t>董红丽</w:t>
      </w:r>
      <w:r>
        <w:rPr>
          <w:rFonts w:hint="eastAsia" w:ascii="宋体" w:hAnsi="宋体" w:eastAsia="宋体" w:cs="宋体"/>
          <w:color w:val="auto"/>
          <w:sz w:val="24"/>
          <w:szCs w:val="24"/>
        </w:rPr>
        <w:t>　　　　　　　　　　</w:t>
      </w:r>
    </w:p>
    <w:p w14:paraId="50759D23">
      <w:pPr>
        <w:pStyle w:val="30"/>
        <w:keepNext w:val="0"/>
        <w:keepLines w:val="0"/>
        <w:pageBreakBefore w:val="0"/>
        <w:kinsoku/>
        <w:wordWrap/>
        <w:overflowPunct/>
        <w:topLinePunct w:val="0"/>
        <w:autoSpaceDE/>
        <w:autoSpaceDN/>
        <w:bidi w:val="0"/>
        <w:adjustRightInd/>
        <w:snapToGrid/>
        <w:spacing w:line="560" w:lineRule="exact"/>
        <w:jc w:val="center"/>
        <w:textAlignment w:val="auto"/>
        <w:outlineLvl w:val="0"/>
        <w:rPr>
          <w:rFonts w:hint="eastAsia" w:ascii="宋体" w:hAnsi="宋体" w:eastAsia="宋体" w:cs="宋体"/>
          <w:color w:val="auto"/>
          <w:sz w:val="44"/>
          <w:szCs w:val="44"/>
        </w:rPr>
      </w:pPr>
      <w:bookmarkStart w:id="113" w:name="_Toc30087"/>
      <w:bookmarkStart w:id="114" w:name="_Toc30200_WPSOffice_Level1"/>
      <w:bookmarkStart w:id="115" w:name="_Toc18932"/>
      <w:bookmarkStart w:id="116" w:name="_Toc9712"/>
      <w:bookmarkStart w:id="117" w:name="_Toc13163"/>
      <w:r>
        <w:rPr>
          <w:rFonts w:hint="eastAsia" w:ascii="宋体" w:hAnsi="宋体" w:eastAsia="宋体" w:cs="宋体"/>
          <w:b/>
          <w:bCs/>
          <w:color w:val="auto"/>
          <w:sz w:val="44"/>
          <w:szCs w:val="44"/>
        </w:rPr>
        <w:t xml:space="preserve">第二章  </w:t>
      </w:r>
      <w:r>
        <w:rPr>
          <w:rFonts w:hint="eastAsia" w:ascii="宋体" w:hAnsi="宋体" w:eastAsia="宋体" w:cs="宋体"/>
          <w:b/>
          <w:bCs/>
          <w:color w:val="auto"/>
          <w:sz w:val="44"/>
          <w:szCs w:val="44"/>
          <w:lang w:val="en-US" w:eastAsia="zh-CN"/>
        </w:rPr>
        <w:t>谈判</w:t>
      </w:r>
      <w:r>
        <w:rPr>
          <w:rFonts w:hint="eastAsia" w:ascii="宋体" w:hAnsi="宋体" w:eastAsia="宋体" w:cs="宋体"/>
          <w:b/>
          <w:bCs/>
          <w:color w:val="auto"/>
          <w:sz w:val="44"/>
          <w:szCs w:val="44"/>
        </w:rPr>
        <w:t>须知</w:t>
      </w:r>
      <w:bookmarkEnd w:id="113"/>
      <w:bookmarkEnd w:id="114"/>
      <w:bookmarkEnd w:id="115"/>
      <w:bookmarkEnd w:id="116"/>
      <w:bookmarkEnd w:id="117"/>
    </w:p>
    <w:p w14:paraId="4932B4ED">
      <w:pPr>
        <w:pStyle w:val="3"/>
        <w:keepNext w:val="0"/>
        <w:keepLines w:val="0"/>
        <w:pageBreakBefore w:val="0"/>
        <w:widowControl w:val="0"/>
        <w:kinsoku/>
        <w:wordWrap/>
        <w:overflowPunct/>
        <w:topLinePunct w:val="0"/>
        <w:autoSpaceDE/>
        <w:autoSpaceDN/>
        <w:bidi w:val="0"/>
        <w:adjustRightInd/>
        <w:snapToGrid/>
        <w:spacing w:before="0" w:after="0" w:line="560" w:lineRule="exact"/>
        <w:ind w:firstLine="640" w:firstLineChars="200"/>
        <w:jc w:val="left"/>
        <w:textAlignment w:val="auto"/>
        <w:rPr>
          <w:rFonts w:hint="eastAsia" w:ascii="宋体" w:hAnsi="宋体" w:eastAsia="宋体" w:cs="宋体"/>
          <w:b w:val="0"/>
          <w:bCs w:val="0"/>
          <w:color w:val="auto"/>
          <w:sz w:val="32"/>
          <w:szCs w:val="32"/>
          <w:highlight w:val="none"/>
        </w:rPr>
      </w:pPr>
      <w:bookmarkStart w:id="118" w:name="_Toc22845"/>
      <w:bookmarkStart w:id="119" w:name="_Toc26988"/>
      <w:bookmarkStart w:id="120" w:name="_Toc31584_WPSOffice_Level2"/>
      <w:bookmarkStart w:id="121" w:name="_Toc25345"/>
      <w:bookmarkStart w:id="122" w:name="_Toc10852"/>
      <w:r>
        <w:rPr>
          <w:rFonts w:hint="eastAsia" w:ascii="宋体" w:hAnsi="宋体" w:eastAsia="宋体" w:cs="宋体"/>
          <w:b/>
          <w:bCs/>
          <w:color w:val="auto"/>
          <w:sz w:val="32"/>
          <w:szCs w:val="32"/>
          <w:highlight w:val="none"/>
        </w:rPr>
        <w:t>一、供应商须知</w:t>
      </w:r>
      <w:r>
        <w:rPr>
          <w:rFonts w:hint="eastAsia" w:ascii="宋体" w:hAnsi="宋体" w:eastAsia="宋体" w:cs="宋体"/>
          <w:b/>
          <w:bCs/>
          <w:color w:val="auto"/>
          <w:sz w:val="32"/>
          <w:szCs w:val="32"/>
          <w:highlight w:val="none"/>
          <w:lang w:val="en-US" w:eastAsia="zh-CN"/>
        </w:rPr>
        <w:t>前</w:t>
      </w:r>
      <w:r>
        <w:rPr>
          <w:rFonts w:hint="eastAsia" w:ascii="宋体" w:hAnsi="宋体" w:eastAsia="宋体" w:cs="宋体"/>
          <w:b/>
          <w:bCs/>
          <w:color w:val="auto"/>
          <w:sz w:val="32"/>
          <w:szCs w:val="32"/>
          <w:highlight w:val="none"/>
        </w:rPr>
        <w:t>附表</w:t>
      </w:r>
      <w:bookmarkEnd w:id="118"/>
      <w:bookmarkEnd w:id="119"/>
      <w:bookmarkEnd w:id="120"/>
      <w:bookmarkEnd w:id="121"/>
      <w:bookmarkEnd w:id="122"/>
    </w:p>
    <w:tbl>
      <w:tblPr>
        <w:tblStyle w:val="33"/>
        <w:tblW w:w="0" w:type="auto"/>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855"/>
        <w:gridCol w:w="2591"/>
        <w:gridCol w:w="6803"/>
      </w:tblGrid>
      <w:tr w14:paraId="4AE6A1E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tblHeader/>
          <w:jc w:val="center"/>
        </w:trPr>
        <w:tc>
          <w:tcPr>
            <w:tcW w:w="855" w:type="dxa"/>
            <w:noWrap w:val="0"/>
            <w:vAlign w:val="center"/>
          </w:tcPr>
          <w:p w14:paraId="6A135776">
            <w:pPr>
              <w:pStyle w:val="70"/>
              <w:keepNext w:val="0"/>
              <w:keepLines w:val="0"/>
              <w:pageBreakBefore w:val="0"/>
              <w:widowControl w:val="0"/>
              <w:kinsoku/>
              <w:wordWrap/>
              <w:overflowPunct/>
              <w:topLinePunct w:val="0"/>
              <w:bidi w:val="0"/>
              <w:spacing w:line="560" w:lineRule="exact"/>
              <w:ind w:left="9"/>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序号 </w:t>
            </w:r>
          </w:p>
        </w:tc>
        <w:tc>
          <w:tcPr>
            <w:tcW w:w="2591" w:type="dxa"/>
            <w:noWrap w:val="0"/>
            <w:vAlign w:val="center"/>
          </w:tcPr>
          <w:p w14:paraId="6F4A21BF">
            <w:pPr>
              <w:pStyle w:val="70"/>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应知事项 </w:t>
            </w:r>
          </w:p>
        </w:tc>
        <w:tc>
          <w:tcPr>
            <w:tcW w:w="6803" w:type="dxa"/>
            <w:noWrap w:val="0"/>
            <w:vAlign w:val="center"/>
          </w:tcPr>
          <w:p w14:paraId="560A22F5">
            <w:pPr>
              <w:pStyle w:val="70"/>
              <w:keepNext w:val="0"/>
              <w:keepLines w:val="0"/>
              <w:pageBreakBefore w:val="0"/>
              <w:widowControl w:val="0"/>
              <w:kinsoku/>
              <w:wordWrap/>
              <w:overflowPunct/>
              <w:topLinePunct w:val="0"/>
              <w:bidi w:val="0"/>
              <w:spacing w:line="560" w:lineRule="exact"/>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说明和要求</w:t>
            </w:r>
          </w:p>
        </w:tc>
      </w:tr>
      <w:tr w14:paraId="43DF81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500AD983">
            <w:pPr>
              <w:pStyle w:val="70"/>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2591" w:type="dxa"/>
            <w:noWrap w:val="0"/>
            <w:vAlign w:val="center"/>
          </w:tcPr>
          <w:p w14:paraId="2065FE10">
            <w:pPr>
              <w:pStyle w:val="70"/>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★采购预算</w:t>
            </w:r>
          </w:p>
          <w:p w14:paraId="08A77753">
            <w:pPr>
              <w:pStyle w:val="70"/>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（实质性要求）</w:t>
            </w:r>
          </w:p>
        </w:tc>
        <w:tc>
          <w:tcPr>
            <w:tcW w:w="6803" w:type="dxa"/>
            <w:noWrap w:val="0"/>
            <w:vAlign w:val="top"/>
          </w:tcPr>
          <w:p w14:paraId="6128CC1D">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cs="宋体"/>
                <w:b/>
                <w:bCs/>
                <w:color w:val="auto"/>
                <w:sz w:val="24"/>
                <w:szCs w:val="24"/>
                <w:highlight w:val="none"/>
                <w:lang w:val="zh-CN" w:eastAsia="zh-CN"/>
              </w:rPr>
            </w:pPr>
            <w:r>
              <w:rPr>
                <w:rFonts w:hint="eastAsia" w:ascii="宋体" w:hAnsi="宋体" w:eastAsia="宋体" w:cs="宋体"/>
                <w:color w:val="auto"/>
                <w:sz w:val="24"/>
                <w:szCs w:val="24"/>
                <w:highlight w:val="none"/>
                <w:lang w:val="zh-CN"/>
              </w:rPr>
              <w:t>采购预算：</w:t>
            </w:r>
            <w:r>
              <w:rPr>
                <w:rFonts w:hint="eastAsia" w:cs="宋体"/>
                <w:b/>
                <w:bCs/>
                <w:color w:val="auto"/>
                <w:sz w:val="24"/>
                <w:szCs w:val="24"/>
                <w:highlight w:val="none"/>
                <w:u w:val="single"/>
                <w:lang w:val="en-US" w:eastAsia="zh-CN"/>
              </w:rPr>
              <w:t>30</w:t>
            </w:r>
            <w:r>
              <w:rPr>
                <w:rFonts w:hint="eastAsia" w:eastAsia="宋体" w:cs="宋体"/>
                <w:b/>
                <w:bCs/>
                <w:color w:val="auto"/>
                <w:sz w:val="24"/>
                <w:szCs w:val="24"/>
                <w:highlight w:val="none"/>
                <w:lang w:val="en-US" w:eastAsia="zh-CN"/>
              </w:rPr>
              <w:t>万</w:t>
            </w:r>
            <w:r>
              <w:rPr>
                <w:rFonts w:hint="eastAsia" w:ascii="宋体" w:hAnsi="宋体" w:eastAsia="宋体" w:cs="宋体"/>
                <w:b/>
                <w:bCs/>
                <w:color w:val="auto"/>
                <w:sz w:val="24"/>
                <w:szCs w:val="24"/>
                <w:highlight w:val="none"/>
                <w:lang w:val="zh-CN"/>
              </w:rPr>
              <w:t>元</w:t>
            </w:r>
            <w:r>
              <w:rPr>
                <w:rFonts w:hint="eastAsia" w:cs="宋体"/>
                <w:b/>
                <w:bCs/>
                <w:color w:val="auto"/>
                <w:sz w:val="24"/>
                <w:szCs w:val="24"/>
                <w:highlight w:val="none"/>
                <w:lang w:val="zh-CN"/>
              </w:rPr>
              <w:t>（</w:t>
            </w:r>
            <w:r>
              <w:rPr>
                <w:rFonts w:hint="eastAsia" w:ascii="宋体" w:hAnsi="宋体" w:cs="宋体"/>
                <w:b/>
                <w:bCs/>
                <w:color w:val="auto"/>
                <w:sz w:val="24"/>
                <w:szCs w:val="24"/>
                <w:lang w:val="en-US" w:eastAsia="zh-CN"/>
              </w:rPr>
              <w:t>包含电梯设备、土建、外挂井道、电力及装修</w:t>
            </w:r>
            <w:r>
              <w:rPr>
                <w:rFonts w:hint="eastAsia" w:cs="宋体"/>
                <w:b/>
                <w:bCs/>
                <w:color w:val="auto"/>
                <w:sz w:val="24"/>
                <w:szCs w:val="24"/>
                <w:lang w:val="en-US" w:eastAsia="zh-CN"/>
              </w:rPr>
              <w:t>）</w:t>
            </w:r>
          </w:p>
          <w:p w14:paraId="3FD8445D">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rPr>
              <w:t>超过采购预算的报价无效。</w:t>
            </w:r>
          </w:p>
        </w:tc>
      </w:tr>
      <w:tr w14:paraId="5BB62A0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693E6C5F">
            <w:pPr>
              <w:pStyle w:val="70"/>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w:t>
            </w:r>
          </w:p>
        </w:tc>
        <w:tc>
          <w:tcPr>
            <w:tcW w:w="2591" w:type="dxa"/>
            <w:noWrap w:val="0"/>
            <w:vAlign w:val="center"/>
          </w:tcPr>
          <w:p w14:paraId="034B005A">
            <w:pPr>
              <w:pStyle w:val="70"/>
              <w:keepNext w:val="0"/>
              <w:keepLines w:val="0"/>
              <w:pageBreakBefore w:val="0"/>
              <w:widowControl w:val="0"/>
              <w:kinsoku/>
              <w:wordWrap/>
              <w:overflowPunct/>
              <w:topLinePunct w:val="0"/>
              <w:bidi w:val="0"/>
              <w:spacing w:line="560" w:lineRule="exact"/>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★最高限价</w:t>
            </w:r>
          </w:p>
          <w:p w14:paraId="2E058D23">
            <w:pPr>
              <w:pStyle w:val="70"/>
              <w:keepNext w:val="0"/>
              <w:keepLines w:val="0"/>
              <w:pageBreakBefore w:val="0"/>
              <w:widowControl w:val="0"/>
              <w:kinsoku/>
              <w:wordWrap/>
              <w:overflowPunct/>
              <w:topLinePunct w:val="0"/>
              <w:bidi w:val="0"/>
              <w:spacing w:line="560" w:lineRule="exact"/>
              <w:jc w:val="center"/>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（实质性要求）</w:t>
            </w:r>
          </w:p>
        </w:tc>
        <w:tc>
          <w:tcPr>
            <w:tcW w:w="6803" w:type="dxa"/>
            <w:noWrap w:val="0"/>
            <w:vAlign w:val="center"/>
          </w:tcPr>
          <w:p w14:paraId="7ADFCC94">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eastAsia="宋体" w:cs="宋体"/>
                <w:b/>
                <w:bCs/>
                <w:color w:val="auto"/>
                <w:sz w:val="24"/>
                <w:szCs w:val="24"/>
                <w:highlight w:val="none"/>
                <w:lang w:val="zh-CN" w:eastAsia="zh-CN"/>
              </w:rPr>
            </w:pPr>
            <w:r>
              <w:rPr>
                <w:rFonts w:hint="eastAsia" w:ascii="宋体" w:hAnsi="宋体" w:eastAsia="宋体" w:cs="宋体"/>
                <w:b w:val="0"/>
                <w:bCs/>
                <w:color w:val="auto"/>
                <w:kern w:val="2"/>
                <w:sz w:val="24"/>
                <w:szCs w:val="24"/>
                <w:highlight w:val="none"/>
              </w:rPr>
              <w:t>本项目最高限价为人民币</w:t>
            </w:r>
            <w:r>
              <w:rPr>
                <w:rFonts w:hint="eastAsia" w:cs="宋体"/>
                <w:b/>
                <w:bCs w:val="0"/>
                <w:color w:val="auto"/>
                <w:sz w:val="24"/>
                <w:szCs w:val="24"/>
                <w:highlight w:val="none"/>
                <w:u w:val="single"/>
                <w:lang w:val="en-US" w:eastAsia="zh-CN"/>
              </w:rPr>
              <w:t xml:space="preserve"> 30 </w:t>
            </w:r>
            <w:r>
              <w:rPr>
                <w:rFonts w:hint="eastAsia" w:ascii="宋体" w:hAnsi="宋体" w:eastAsia="宋体" w:cs="宋体"/>
                <w:b/>
                <w:bCs w:val="0"/>
                <w:color w:val="auto"/>
                <w:sz w:val="24"/>
                <w:szCs w:val="24"/>
                <w:highlight w:val="none"/>
              </w:rPr>
              <w:t>万元</w:t>
            </w:r>
            <w:r>
              <w:rPr>
                <w:rFonts w:hint="eastAsia" w:cs="宋体"/>
                <w:b/>
                <w:bCs w:val="0"/>
                <w:color w:val="auto"/>
                <w:sz w:val="24"/>
                <w:szCs w:val="24"/>
                <w:highlight w:val="none"/>
                <w:lang w:eastAsia="zh-CN"/>
              </w:rPr>
              <w:t>，</w:t>
            </w:r>
          </w:p>
          <w:p w14:paraId="64B18C42">
            <w:pPr>
              <w:pStyle w:val="70"/>
              <w:keepNext w:val="0"/>
              <w:keepLines w:val="0"/>
              <w:pageBreakBefore w:val="0"/>
              <w:widowControl w:val="0"/>
              <w:kinsoku/>
              <w:wordWrap/>
              <w:overflowPunct/>
              <w:topLinePunct w:val="0"/>
              <w:bidi w:val="0"/>
              <w:spacing w:line="560" w:lineRule="exact"/>
              <w:ind w:left="0" w:leftChars="0" w:firstLine="208" w:firstLineChars="87"/>
              <w:textAlignment w:val="auto"/>
              <w:rPr>
                <w:rFonts w:hint="eastAsia" w:ascii="宋体" w:hAnsi="宋体" w:eastAsia="宋体" w:cs="宋体"/>
                <w:b/>
                <w:color w:val="auto"/>
                <w:sz w:val="24"/>
                <w:szCs w:val="24"/>
                <w:highlight w:val="none"/>
                <w:lang w:val="zh-CN" w:eastAsia="zh-CN" w:bidi="ar-SA"/>
              </w:rPr>
            </w:pPr>
            <w:r>
              <w:rPr>
                <w:rFonts w:hint="eastAsia" w:ascii="宋体" w:hAnsi="宋体" w:eastAsia="宋体" w:cs="宋体"/>
                <w:b w:val="0"/>
                <w:bCs/>
                <w:color w:val="auto"/>
                <w:kern w:val="2"/>
                <w:sz w:val="24"/>
                <w:szCs w:val="24"/>
                <w:highlight w:val="none"/>
              </w:rPr>
              <w:t>供应商</w:t>
            </w:r>
            <w:r>
              <w:rPr>
                <w:rFonts w:hint="default" w:ascii="宋体" w:hAnsi="宋体" w:eastAsia="宋体" w:cs="宋体"/>
                <w:b w:val="0"/>
                <w:bCs/>
                <w:color w:val="auto"/>
                <w:kern w:val="2"/>
                <w:sz w:val="24"/>
                <w:szCs w:val="24"/>
                <w:highlight w:val="none"/>
              </w:rPr>
              <w:t>报价高于最高限价的则</w:t>
            </w:r>
            <w:r>
              <w:rPr>
                <w:rFonts w:hint="eastAsia" w:ascii="宋体" w:hAnsi="宋体" w:eastAsia="宋体" w:cs="宋体"/>
                <w:b w:val="0"/>
                <w:bCs/>
                <w:color w:val="auto"/>
                <w:kern w:val="2"/>
                <w:sz w:val="24"/>
                <w:szCs w:val="24"/>
                <w:highlight w:val="none"/>
              </w:rPr>
              <w:t>其响应文件将按</w:t>
            </w:r>
            <w:r>
              <w:rPr>
                <w:rFonts w:hint="eastAsia" w:ascii="宋体" w:hAnsi="宋体" w:eastAsia="宋体" w:cs="宋体"/>
                <w:b/>
                <w:bCs w:val="0"/>
                <w:color w:val="auto"/>
                <w:kern w:val="2"/>
                <w:sz w:val="24"/>
                <w:szCs w:val="24"/>
                <w:highlight w:val="none"/>
              </w:rPr>
              <w:t>无效</w:t>
            </w:r>
            <w:r>
              <w:rPr>
                <w:rFonts w:hint="eastAsia" w:ascii="宋体" w:hAnsi="宋体" w:eastAsia="宋体" w:cs="宋体"/>
                <w:b w:val="0"/>
                <w:bCs/>
                <w:color w:val="auto"/>
                <w:kern w:val="2"/>
                <w:sz w:val="24"/>
                <w:szCs w:val="24"/>
                <w:highlight w:val="none"/>
              </w:rPr>
              <w:t>响应文件处理。</w:t>
            </w:r>
          </w:p>
        </w:tc>
      </w:tr>
      <w:tr w14:paraId="4CA011C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516C9CB0">
            <w:pPr>
              <w:pStyle w:val="70"/>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p>
        </w:tc>
        <w:tc>
          <w:tcPr>
            <w:tcW w:w="2591" w:type="dxa"/>
            <w:noWrap w:val="0"/>
            <w:vAlign w:val="center"/>
          </w:tcPr>
          <w:p w14:paraId="55A342B2">
            <w:pPr>
              <w:pStyle w:val="70"/>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严禁参加本次采购活动的供应商</w:t>
            </w:r>
          </w:p>
        </w:tc>
        <w:tc>
          <w:tcPr>
            <w:tcW w:w="6803" w:type="dxa"/>
            <w:noWrap w:val="0"/>
            <w:vAlign w:val="center"/>
          </w:tcPr>
          <w:p w14:paraId="66E96BDC">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（1）为采购项目提供整体设计、规范编制或者项目管理、监理、检测等服务的供应商，不得参加本采购项目。</w:t>
            </w:r>
          </w:p>
          <w:p w14:paraId="3AEB89D2">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单位负责人为同一人或者存在直接控股、管理关系的不同供应商，不得参加同一合同项下的政府采购活动。</w:t>
            </w:r>
          </w:p>
          <w:p w14:paraId="55865B1B">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根据《关于在政府采购活动中查询及使用信用记录有关问题的通知》（财库〔2016〕125号）的要求，采购人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采购代理机构将通过“信用中国”网站（www.creditchina.gov.cn）、“中国政府采购网”网站（www.ccgp.gov.cn）等渠道查询供应商在采购公告发布之日前的信用记录并保存信用记录结果网页截图，拒绝列入失信被执行人</w:t>
            </w:r>
            <w:r>
              <w:rPr>
                <w:rFonts w:hint="eastAsia" w:ascii="宋体" w:hAnsi="宋体" w:eastAsia="宋体" w:cs="宋体"/>
                <w:color w:val="auto"/>
                <w:sz w:val="24"/>
                <w:szCs w:val="24"/>
                <w:highlight w:val="none"/>
                <w:lang w:val="en-US" w:eastAsia="zh-CN"/>
              </w:rPr>
              <w:t>名单</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重大税收违法失信主体</w:t>
            </w:r>
            <w:r>
              <w:rPr>
                <w:rFonts w:hint="eastAsia" w:ascii="宋体" w:hAnsi="宋体" w:eastAsia="宋体" w:cs="宋体"/>
                <w:color w:val="auto"/>
                <w:sz w:val="24"/>
                <w:szCs w:val="24"/>
                <w:highlight w:val="none"/>
              </w:rPr>
              <w:t>、政府采购严重违法失信行为记录名单中的供应商报名参加本项目的采购活动（以联合体形式参加本项目采购活动，联合体成员存在不良信用记录的，视同联合体存在不良信用记录）。</w:t>
            </w:r>
          </w:p>
        </w:tc>
      </w:tr>
      <w:tr w14:paraId="27C3349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71EA650F">
            <w:pPr>
              <w:pStyle w:val="70"/>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4</w:t>
            </w:r>
          </w:p>
        </w:tc>
        <w:tc>
          <w:tcPr>
            <w:tcW w:w="2591" w:type="dxa"/>
            <w:noWrap w:val="0"/>
            <w:vAlign w:val="center"/>
          </w:tcPr>
          <w:p w14:paraId="1F16B5E9">
            <w:pPr>
              <w:pStyle w:val="70"/>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rPr>
              <w:t>联合体</w:t>
            </w:r>
            <w:r>
              <w:rPr>
                <w:rFonts w:hint="eastAsia" w:ascii="宋体" w:hAnsi="宋体" w:eastAsia="宋体" w:cs="宋体"/>
                <w:color w:val="auto"/>
                <w:sz w:val="24"/>
                <w:szCs w:val="24"/>
                <w:lang w:val="en-US" w:eastAsia="zh-CN"/>
              </w:rPr>
              <w:t>谈判</w:t>
            </w:r>
          </w:p>
        </w:tc>
        <w:tc>
          <w:tcPr>
            <w:tcW w:w="6803" w:type="dxa"/>
            <w:noWrap w:val="0"/>
            <w:vAlign w:val="center"/>
          </w:tcPr>
          <w:p w14:paraId="1339AD4E">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lang w:val="zh-CN" w:eastAsia="zh-CN"/>
              </w:rPr>
            </w:pPr>
            <w:r>
              <w:rPr>
                <w:rFonts w:hint="eastAsia" w:eastAsia="宋体" w:cs="宋体"/>
                <w:b w:val="0"/>
                <w:bCs w:val="0"/>
                <w:i w:val="0"/>
                <w:iCs w:val="0"/>
                <w:color w:val="auto"/>
                <w:sz w:val="24"/>
                <w:szCs w:val="24"/>
                <w:u w:val="single"/>
                <w:lang w:val="en-US" w:eastAsia="zh-CN"/>
              </w:rPr>
              <w:t>本项目</w:t>
            </w:r>
            <w:r>
              <w:rPr>
                <w:rFonts w:hint="eastAsia" w:eastAsia="宋体" w:cs="宋体"/>
                <w:b/>
                <w:bCs/>
                <w:i w:val="0"/>
                <w:iCs w:val="0"/>
                <w:color w:val="auto"/>
                <w:sz w:val="24"/>
                <w:szCs w:val="24"/>
                <w:u w:val="single"/>
                <w:lang w:val="en-US" w:eastAsia="zh-CN"/>
              </w:rPr>
              <w:t>不允许</w:t>
            </w:r>
            <w:r>
              <w:rPr>
                <w:rFonts w:hint="eastAsia" w:ascii="宋体" w:hAnsi="宋体" w:eastAsia="宋体" w:cs="宋体"/>
                <w:i w:val="0"/>
                <w:iCs w:val="0"/>
                <w:color w:val="auto"/>
                <w:sz w:val="24"/>
                <w:szCs w:val="24"/>
                <w:lang w:val="zh-CN"/>
              </w:rPr>
              <w:t>联合体</w:t>
            </w:r>
            <w:r>
              <w:rPr>
                <w:rFonts w:hint="eastAsia" w:ascii="宋体" w:hAnsi="宋体" w:eastAsia="宋体" w:cs="宋体"/>
                <w:i w:val="0"/>
                <w:iCs w:val="0"/>
                <w:color w:val="auto"/>
                <w:sz w:val="24"/>
                <w:szCs w:val="24"/>
                <w:lang w:val="en-US" w:eastAsia="zh-CN"/>
              </w:rPr>
              <w:t>谈判</w:t>
            </w:r>
          </w:p>
        </w:tc>
      </w:tr>
      <w:tr w14:paraId="4EC74D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vMerge w:val="restart"/>
            <w:noWrap w:val="0"/>
            <w:vAlign w:val="center"/>
          </w:tcPr>
          <w:p w14:paraId="2C39942D">
            <w:pPr>
              <w:pStyle w:val="70"/>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5</w:t>
            </w:r>
          </w:p>
        </w:tc>
        <w:tc>
          <w:tcPr>
            <w:tcW w:w="2591" w:type="dxa"/>
            <w:vMerge w:val="restart"/>
            <w:noWrap w:val="0"/>
            <w:vAlign w:val="center"/>
          </w:tcPr>
          <w:p w14:paraId="7FCFDFC6">
            <w:pPr>
              <w:pStyle w:val="70"/>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小微企业（监狱企业、残疾人福利性单位视同小微企业）价格扣除</w:t>
            </w:r>
          </w:p>
          <w:p w14:paraId="6F4DB124">
            <w:pPr>
              <w:pStyle w:val="70"/>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auto"/>
                <w:sz w:val="24"/>
                <w:szCs w:val="24"/>
                <w:lang w:val="zh-CN"/>
              </w:rPr>
            </w:pPr>
          </w:p>
        </w:tc>
        <w:tc>
          <w:tcPr>
            <w:tcW w:w="6803" w:type="dxa"/>
            <w:noWrap w:val="0"/>
            <w:vAlign w:val="top"/>
          </w:tcPr>
          <w:p w14:paraId="03F0134A">
            <w:pPr>
              <w:keepNext w:val="0"/>
              <w:keepLines w:val="0"/>
              <w:pageBreakBefore w:val="0"/>
              <w:widowControl w:val="0"/>
              <w:kinsoku/>
              <w:wordWrap/>
              <w:overflowPunct/>
              <w:topLinePunct w:val="0"/>
              <w:bidi w:val="0"/>
              <w:spacing w:line="560" w:lineRule="exact"/>
              <w:ind w:left="105" w:leftChars="50" w:right="105" w:rightChars="5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b w:val="0"/>
                <w:bCs/>
                <w:color w:val="auto"/>
                <w:sz w:val="24"/>
                <w:szCs w:val="24"/>
                <w:lang w:val="en-US" w:eastAsia="zh-CN"/>
              </w:rPr>
              <w:t>5.1 □</w:t>
            </w:r>
            <w:r>
              <w:rPr>
                <w:rFonts w:hint="eastAsia" w:ascii="宋体" w:hAnsi="宋体" w:eastAsia="宋体" w:cs="宋体"/>
                <w:b w:val="0"/>
                <w:bCs/>
                <w:color w:val="auto"/>
                <w:sz w:val="24"/>
                <w:szCs w:val="24"/>
              </w:rPr>
              <w:t>本项目专门面向中小企业，不进行价格扣除</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（专门面向中小企业采购，供应商需出具《中小企业声明函》）</w:t>
            </w:r>
          </w:p>
        </w:tc>
      </w:tr>
      <w:tr w14:paraId="670871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vMerge w:val="continue"/>
            <w:noWrap w:val="0"/>
            <w:vAlign w:val="center"/>
          </w:tcPr>
          <w:p w14:paraId="2A08D0DE">
            <w:pPr>
              <w:pStyle w:val="70"/>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auto"/>
                <w:sz w:val="24"/>
                <w:szCs w:val="24"/>
                <w:lang w:val="zh-CN"/>
              </w:rPr>
            </w:pPr>
          </w:p>
        </w:tc>
        <w:tc>
          <w:tcPr>
            <w:tcW w:w="2591" w:type="dxa"/>
            <w:vMerge w:val="continue"/>
            <w:noWrap w:val="0"/>
            <w:vAlign w:val="center"/>
          </w:tcPr>
          <w:p w14:paraId="531CF19D">
            <w:pPr>
              <w:pStyle w:val="70"/>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auto"/>
                <w:sz w:val="24"/>
                <w:szCs w:val="24"/>
                <w:lang w:val="zh-CN"/>
              </w:rPr>
            </w:pPr>
          </w:p>
        </w:tc>
        <w:tc>
          <w:tcPr>
            <w:tcW w:w="6803" w:type="dxa"/>
            <w:noWrap w:val="0"/>
            <w:vAlign w:val="top"/>
          </w:tcPr>
          <w:p w14:paraId="6F5ABAFC">
            <w:pPr>
              <w:keepNext w:val="0"/>
              <w:keepLines w:val="0"/>
              <w:pageBreakBefore w:val="0"/>
              <w:widowControl w:val="0"/>
              <w:numPr>
                <w:ilvl w:val="0"/>
                <w:numId w:val="0"/>
              </w:numPr>
              <w:kinsoku/>
              <w:wordWrap/>
              <w:overflowPunct/>
              <w:topLinePunct w:val="0"/>
              <w:bidi w:val="0"/>
              <w:spacing w:line="560" w:lineRule="exact"/>
              <w:ind w:left="14" w:leftChars="7" w:right="105" w:rightChars="50" w:firstLine="256" w:firstLineChars="107"/>
              <w:textAlignment w:val="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5.2 </w:t>
            </w:r>
            <w:r>
              <w:rPr>
                <w:rFonts w:hint="eastAsia" w:ascii="宋体" w:hAnsi="宋体" w:eastAsia="宋体" w:cs="宋体"/>
                <w:b w:val="0"/>
                <w:bCs/>
                <w:color w:val="auto"/>
                <w:sz w:val="24"/>
                <w:szCs w:val="24"/>
                <w:highlight w:val="none"/>
                <w:lang w:val="en-US" w:eastAsia="zh-CN"/>
              </w:rPr>
              <w:sym w:font="Wingdings" w:char="00FE"/>
            </w:r>
            <w:r>
              <w:rPr>
                <w:rFonts w:hint="eastAsia" w:ascii="宋体" w:hAnsi="宋体" w:eastAsia="宋体" w:cs="宋体"/>
                <w:b w:val="0"/>
                <w:bCs/>
                <w:color w:val="auto"/>
                <w:sz w:val="24"/>
                <w:szCs w:val="24"/>
                <w:highlight w:val="none"/>
              </w:rPr>
              <w:t>本项目</w:t>
            </w:r>
            <w:r>
              <w:rPr>
                <w:rFonts w:hint="eastAsia" w:ascii="宋体" w:hAnsi="宋体" w:eastAsia="宋体" w:cs="宋体"/>
                <w:b w:val="0"/>
                <w:bCs/>
                <w:color w:val="auto"/>
                <w:sz w:val="24"/>
                <w:szCs w:val="24"/>
                <w:highlight w:val="none"/>
                <w:lang w:val="en-US" w:eastAsia="zh-CN"/>
              </w:rPr>
              <w:t>非</w:t>
            </w:r>
            <w:r>
              <w:rPr>
                <w:rFonts w:hint="eastAsia" w:ascii="宋体" w:hAnsi="宋体" w:eastAsia="宋体" w:cs="宋体"/>
                <w:b w:val="0"/>
                <w:bCs/>
                <w:color w:val="auto"/>
                <w:sz w:val="24"/>
                <w:szCs w:val="24"/>
                <w:highlight w:val="none"/>
              </w:rPr>
              <w:t>专门面向中小企业采购，小型、微型企业应出具《中小企业声明函》，对报价给予</w:t>
            </w:r>
            <w:r>
              <w:rPr>
                <w:rFonts w:hint="eastAsia" w:ascii="宋体" w:hAnsi="宋体" w:eastAsia="宋体" w:cs="宋体"/>
                <w:b/>
                <w:bCs w:val="0"/>
                <w:color w:val="auto"/>
                <w:sz w:val="24"/>
                <w:szCs w:val="24"/>
                <w:highlight w:val="none"/>
                <w:u w:val="single"/>
                <w:lang w:val="en-US" w:eastAsia="zh-CN"/>
              </w:rPr>
              <w:t>10%</w:t>
            </w:r>
            <w:r>
              <w:rPr>
                <w:rFonts w:hint="eastAsia" w:ascii="宋体" w:hAnsi="宋体" w:eastAsia="宋体" w:cs="宋体"/>
                <w:b w:val="0"/>
                <w:bCs/>
                <w:color w:val="auto"/>
                <w:sz w:val="24"/>
                <w:szCs w:val="24"/>
                <w:highlight w:val="none"/>
              </w:rPr>
              <w:t>的扣除，用扣除后的价格参与评审</w:t>
            </w:r>
            <w:r>
              <w:rPr>
                <w:rFonts w:hint="eastAsia" w:ascii="宋体" w:hAnsi="宋体" w:eastAsia="宋体" w:cs="宋体"/>
                <w:b w:val="0"/>
                <w:bCs/>
                <w:color w:val="auto"/>
                <w:sz w:val="24"/>
                <w:szCs w:val="24"/>
                <w:highlight w:val="none"/>
                <w:lang w:eastAsia="zh-CN"/>
              </w:rPr>
              <w:t>；</w:t>
            </w:r>
          </w:p>
          <w:p w14:paraId="162FCC6A">
            <w:pPr>
              <w:keepNext w:val="0"/>
              <w:keepLines w:val="0"/>
              <w:pageBreakBefore w:val="0"/>
              <w:widowControl w:val="0"/>
              <w:numPr>
                <w:ilvl w:val="0"/>
                <w:numId w:val="0"/>
              </w:numPr>
              <w:kinsoku/>
              <w:wordWrap/>
              <w:overflowPunct/>
              <w:topLinePunct w:val="0"/>
              <w:bidi w:val="0"/>
              <w:spacing w:line="560" w:lineRule="exact"/>
              <w:ind w:right="105" w:rightChars="50"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eastAsia="zh-CN"/>
              </w:rPr>
              <w:t>）</w:t>
            </w:r>
            <w:r>
              <w:rPr>
                <w:rFonts w:hint="eastAsia" w:ascii="宋体" w:hAnsi="宋体" w:eastAsia="宋体" w:cs="宋体"/>
                <w:color w:val="auto"/>
                <w:sz w:val="24"/>
                <w:szCs w:val="24"/>
                <w:highlight w:val="none"/>
              </w:rPr>
              <w:t>参加政府采购活动的中小企业应当提供《中小企业声明函》原件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监狱企业应当提供《监狱企业证明》原件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残疾人福利性单位应当提供《残疾人福利性单位声明函》原件。供应商提供声明函内容不实的，属于提供虚假材料谋取中标、成交，依照《中华人民共和国政府采购法》等国家有关规定追究相应责任。</w:t>
            </w:r>
          </w:p>
          <w:p w14:paraId="2667245B">
            <w:pPr>
              <w:keepNext w:val="0"/>
              <w:keepLines w:val="0"/>
              <w:pageBreakBefore w:val="0"/>
              <w:widowControl w:val="0"/>
              <w:kinsoku/>
              <w:wordWrap/>
              <w:overflowPunct/>
              <w:topLinePunct w:val="0"/>
              <w:bidi w:val="0"/>
              <w:spacing w:line="560" w:lineRule="exact"/>
              <w:ind w:right="105" w:rightChars="50"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（2）若本项目接受联合体谈判</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大中型企业和</w:t>
            </w:r>
            <w:r>
              <w:rPr>
                <w:rFonts w:hint="eastAsia" w:ascii="宋体" w:hAnsi="宋体" w:eastAsia="宋体" w:cs="宋体"/>
                <w:color w:val="auto"/>
                <w:sz w:val="24"/>
                <w:szCs w:val="24"/>
                <w:highlight w:val="none"/>
                <w:lang w:val="en-US" w:eastAsia="zh-CN"/>
              </w:rPr>
              <w:t>小微</w:t>
            </w:r>
            <w:r>
              <w:rPr>
                <w:rFonts w:hint="eastAsia" w:ascii="宋体" w:hAnsi="宋体" w:eastAsia="宋体" w:cs="宋体"/>
                <w:color w:val="auto"/>
                <w:sz w:val="24"/>
                <w:szCs w:val="24"/>
                <w:highlight w:val="none"/>
              </w:rPr>
              <w:t>企业组成联合体共同参加非专门面向中小企业的政府采购活动的，联合体报价协议中约定，小微企业的合同份额占到合同总金额30%以上的，可给予联合体</w:t>
            </w:r>
            <w:r>
              <w:rPr>
                <w:rFonts w:hint="eastAsia" w:ascii="宋体" w:hAnsi="宋体" w:eastAsia="宋体" w:cs="宋体"/>
                <w:b/>
                <w:bCs/>
                <w:color w:val="auto"/>
                <w:sz w:val="24"/>
                <w:szCs w:val="24"/>
                <w:highlight w:val="none"/>
                <w:u w:val="single"/>
                <w:lang w:val="en-US" w:eastAsia="zh-CN"/>
              </w:rPr>
              <w:t>XX</w:t>
            </w:r>
            <w:r>
              <w:rPr>
                <w:rFonts w:hint="eastAsia" w:ascii="宋体" w:hAnsi="宋体" w:eastAsia="宋体" w:cs="宋体"/>
                <w:b/>
                <w:bCs/>
                <w:color w:val="auto"/>
                <w:sz w:val="24"/>
                <w:szCs w:val="24"/>
                <w:highlight w:val="none"/>
                <w:u w:val="single"/>
              </w:rPr>
              <w:t>%</w:t>
            </w:r>
            <w:r>
              <w:rPr>
                <w:rFonts w:hint="eastAsia" w:ascii="宋体" w:hAnsi="宋体" w:eastAsia="宋体" w:cs="宋体"/>
                <w:color w:val="auto"/>
                <w:sz w:val="24"/>
                <w:szCs w:val="24"/>
                <w:highlight w:val="none"/>
              </w:rPr>
              <w:t>的价格扣除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用扣除后的价格参加评审。 </w:t>
            </w:r>
          </w:p>
        </w:tc>
      </w:tr>
      <w:tr w14:paraId="1559E85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3F0F4ABA">
            <w:pPr>
              <w:pStyle w:val="70"/>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2591" w:type="dxa"/>
            <w:noWrap w:val="0"/>
            <w:vAlign w:val="center"/>
          </w:tcPr>
          <w:p w14:paraId="613586EA">
            <w:pPr>
              <w:pStyle w:val="70"/>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rPr>
              <w:t>现场考察或者召开答疑会</w:t>
            </w:r>
          </w:p>
        </w:tc>
        <w:tc>
          <w:tcPr>
            <w:tcW w:w="6803" w:type="dxa"/>
            <w:noWrap w:val="0"/>
            <w:vAlign w:val="center"/>
          </w:tcPr>
          <w:p w14:paraId="2D45EA97">
            <w:pPr>
              <w:keepNext w:val="0"/>
              <w:keepLines w:val="0"/>
              <w:pageBreakBefore w:val="0"/>
              <w:widowControl w:val="0"/>
              <w:kinsoku/>
              <w:wordWrap/>
              <w:overflowPunct/>
              <w:topLinePunct w:val="0"/>
              <w:autoSpaceDE/>
              <w:autoSpaceDN/>
              <w:bidi w:val="0"/>
              <w:adjustRightInd/>
              <w:snapToGrid/>
              <w:spacing w:line="560" w:lineRule="exact"/>
              <w:ind w:firstLine="240" w:firstLineChars="100"/>
              <w:jc w:val="both"/>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u w:val="single"/>
              </w:rPr>
              <w:t xml:space="preserve">  </w:t>
            </w:r>
            <w:r>
              <w:rPr>
                <w:rFonts w:hint="eastAsia" w:ascii="宋体" w:hAnsi="宋体" w:eastAsia="宋体" w:cs="宋体"/>
                <w:i w:val="0"/>
                <w:iCs w:val="0"/>
                <w:color w:val="auto"/>
                <w:sz w:val="24"/>
                <w:szCs w:val="24"/>
                <w:u w:val="single"/>
                <w:lang w:val="en-US" w:eastAsia="zh-CN"/>
              </w:rPr>
              <w:t>否</w:t>
            </w:r>
            <w:r>
              <w:rPr>
                <w:rFonts w:hint="eastAsia" w:ascii="宋体" w:hAnsi="宋体" w:eastAsia="宋体" w:cs="宋体"/>
                <w:i w:val="0"/>
                <w:iCs w:val="0"/>
                <w:color w:val="auto"/>
                <w:sz w:val="24"/>
                <w:szCs w:val="24"/>
                <w:u w:val="single"/>
              </w:rPr>
              <w:t xml:space="preserve">  </w:t>
            </w:r>
            <w:r>
              <w:rPr>
                <w:rFonts w:hint="eastAsia" w:ascii="宋体" w:hAnsi="宋体" w:eastAsia="宋体" w:cs="宋体"/>
                <w:i w:val="0"/>
                <w:iCs w:val="0"/>
                <w:color w:val="auto"/>
                <w:sz w:val="24"/>
                <w:szCs w:val="24"/>
              </w:rPr>
              <w:t>（是、否）</w:t>
            </w:r>
            <w:r>
              <w:rPr>
                <w:rFonts w:hint="eastAsia" w:ascii="宋体" w:hAnsi="宋体" w:eastAsia="宋体" w:cs="宋体"/>
                <w:i w:val="0"/>
                <w:iCs w:val="0"/>
                <w:color w:val="auto"/>
                <w:sz w:val="24"/>
                <w:szCs w:val="24"/>
                <w:lang w:val="en-US" w:eastAsia="zh-CN"/>
              </w:rPr>
              <w:t>组织</w:t>
            </w:r>
          </w:p>
          <w:p w14:paraId="017AB47A">
            <w:pPr>
              <w:keepNext w:val="0"/>
              <w:keepLines w:val="0"/>
              <w:pageBreakBefore w:val="0"/>
              <w:widowControl w:val="0"/>
              <w:kinsoku/>
              <w:wordWrap/>
              <w:overflowPunct/>
              <w:topLinePunct w:val="0"/>
              <w:autoSpaceDE/>
              <w:autoSpaceDN/>
              <w:bidi w:val="0"/>
              <w:adjustRightInd/>
              <w:snapToGrid/>
              <w:spacing w:line="560" w:lineRule="exact"/>
              <w:ind w:firstLine="240" w:firstLineChars="1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olor w:val="auto"/>
                <w:sz w:val="24"/>
                <w:szCs w:val="24"/>
              </w:rPr>
              <w:t>组织现场考察或者召开答疑会相关要求：</w:t>
            </w:r>
            <w:r>
              <w:rPr>
                <w:rFonts w:hint="eastAsia" w:ascii="宋体" w:hAnsi="宋体" w:eastAsia="宋体" w:cs="宋体"/>
                <w:i w:val="0"/>
                <w:iCs w:val="0"/>
                <w:color w:val="auto"/>
                <w:sz w:val="24"/>
                <w:szCs w:val="24"/>
                <w:lang w:val="en-US" w:eastAsia="zh-CN"/>
              </w:rPr>
              <w:t>XXXXX</w:t>
            </w:r>
          </w:p>
        </w:tc>
      </w:tr>
      <w:tr w14:paraId="21B46F6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30491DB3">
            <w:pPr>
              <w:pStyle w:val="70"/>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2591" w:type="dxa"/>
            <w:noWrap w:val="0"/>
            <w:vAlign w:val="center"/>
          </w:tcPr>
          <w:p w14:paraId="2EE90852">
            <w:pPr>
              <w:pStyle w:val="70"/>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样品要求</w:t>
            </w:r>
          </w:p>
        </w:tc>
        <w:tc>
          <w:tcPr>
            <w:tcW w:w="6803" w:type="dxa"/>
            <w:noWrap w:val="0"/>
            <w:vAlign w:val="center"/>
          </w:tcPr>
          <w:p w14:paraId="488BD127">
            <w:pPr>
              <w:keepNext w:val="0"/>
              <w:keepLines w:val="0"/>
              <w:pageBreakBefore w:val="0"/>
              <w:widowControl w:val="0"/>
              <w:kinsoku/>
              <w:wordWrap/>
              <w:overflowPunct/>
              <w:topLinePunct w:val="0"/>
              <w:autoSpaceDE/>
              <w:autoSpaceDN/>
              <w:bidi w:val="0"/>
              <w:adjustRightInd/>
              <w:snapToGrid/>
              <w:spacing w:line="560" w:lineRule="exact"/>
              <w:ind w:firstLine="240" w:firstLineChars="100"/>
              <w:jc w:val="both"/>
              <w:textAlignment w:val="auto"/>
              <w:rPr>
                <w:rFonts w:hint="eastAsia" w:ascii="宋体" w:hAnsi="宋体" w:eastAsia="宋体" w:cs="宋体"/>
                <w:i/>
                <w:color w:val="auto"/>
                <w:sz w:val="24"/>
                <w:szCs w:val="24"/>
              </w:rPr>
            </w:pPr>
            <w:r>
              <w:rPr>
                <w:rFonts w:hint="eastAsia" w:ascii="宋体" w:hAnsi="宋体" w:eastAsia="宋体" w:cs="宋体"/>
                <w:color w:val="auto"/>
                <w:sz w:val="24"/>
                <w:szCs w:val="24"/>
              </w:rPr>
              <w:t>是否需要提供样品：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否</w:t>
            </w:r>
            <w:r>
              <w:rPr>
                <w:rFonts w:hint="eastAsia" w:ascii="宋体" w:hAnsi="宋体" w:eastAsia="宋体" w:cs="宋体"/>
                <w:color w:val="auto"/>
                <w:sz w:val="24"/>
                <w:szCs w:val="24"/>
                <w:u w:val="single"/>
              </w:rPr>
              <w:t xml:space="preserve">  </w:t>
            </w:r>
            <w:r>
              <w:rPr>
                <w:rFonts w:hint="eastAsia" w:ascii="宋体" w:hAnsi="宋体" w:eastAsia="宋体" w:cs="宋体"/>
                <w:i w:val="0"/>
                <w:iCs/>
                <w:color w:val="auto"/>
                <w:sz w:val="24"/>
                <w:szCs w:val="24"/>
              </w:rPr>
              <w:t>（是、否）</w:t>
            </w:r>
          </w:p>
          <w:p w14:paraId="5CAC14BF">
            <w:pPr>
              <w:keepNext w:val="0"/>
              <w:keepLines w:val="0"/>
              <w:pageBreakBefore w:val="0"/>
              <w:widowControl w:val="0"/>
              <w:kinsoku/>
              <w:wordWrap/>
              <w:overflowPunct/>
              <w:topLinePunct w:val="0"/>
              <w:autoSpaceDE/>
              <w:autoSpaceDN/>
              <w:bidi w:val="0"/>
              <w:adjustRightInd/>
              <w:snapToGrid/>
              <w:spacing w:line="560" w:lineRule="exact"/>
              <w:ind w:firstLine="240" w:firstLineChars="1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提供样品要求包括：（样品的制作标准和要求、接收及退还，样品检测报告，检测机构、检测内容等内容）</w:t>
            </w:r>
          </w:p>
        </w:tc>
      </w:tr>
      <w:tr w14:paraId="5BC37ED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508F9F9E">
            <w:pPr>
              <w:pStyle w:val="70"/>
              <w:keepNext w:val="0"/>
              <w:keepLines w:val="0"/>
              <w:pageBreakBefore w:val="0"/>
              <w:widowControl w:val="0"/>
              <w:kinsoku/>
              <w:wordWrap/>
              <w:overflowPunct/>
              <w:topLinePunct w:val="0"/>
              <w:bidi w:val="0"/>
              <w:spacing w:line="560" w:lineRule="exact"/>
              <w:ind w:right="230" w:right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8</w:t>
            </w:r>
          </w:p>
        </w:tc>
        <w:tc>
          <w:tcPr>
            <w:tcW w:w="2591" w:type="dxa"/>
            <w:noWrap w:val="0"/>
            <w:vAlign w:val="center"/>
          </w:tcPr>
          <w:p w14:paraId="44852BE0">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低于成本价</w:t>
            </w:r>
          </w:p>
          <w:p w14:paraId="279F6515">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不正当竞争预防措施</w:t>
            </w:r>
          </w:p>
          <w:p w14:paraId="6040E50F">
            <w:pPr>
              <w:pStyle w:val="70"/>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auto"/>
                <w:sz w:val="24"/>
                <w:szCs w:val="24"/>
                <w:lang w:val="zh-CN"/>
              </w:rPr>
            </w:pPr>
          </w:p>
          <w:p w14:paraId="0B3C1ED4">
            <w:pPr>
              <w:pStyle w:val="70"/>
              <w:keepNext w:val="0"/>
              <w:keepLines w:val="0"/>
              <w:pageBreakBefore w:val="0"/>
              <w:widowControl w:val="0"/>
              <w:kinsoku/>
              <w:wordWrap/>
              <w:overflowPunct/>
              <w:topLinePunct w:val="0"/>
              <w:bidi w:val="0"/>
              <w:spacing w:line="560" w:lineRule="exact"/>
              <w:ind w:left="38" w:leftChars="0"/>
              <w:jc w:val="center"/>
              <w:textAlignment w:val="auto"/>
              <w:rPr>
                <w:rFonts w:hint="eastAsia" w:ascii="宋体" w:hAnsi="宋体" w:eastAsia="宋体" w:cs="宋体"/>
                <w:color w:val="auto"/>
                <w:sz w:val="24"/>
                <w:szCs w:val="24"/>
                <w:lang w:val="zh-CN" w:eastAsia="zh-CN" w:bidi="ar-SA"/>
              </w:rPr>
            </w:pPr>
          </w:p>
        </w:tc>
        <w:tc>
          <w:tcPr>
            <w:tcW w:w="6803" w:type="dxa"/>
            <w:noWrap w:val="0"/>
            <w:vAlign w:val="top"/>
          </w:tcPr>
          <w:p w14:paraId="70D3B04A">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（一）政府采购异常低价审查</w:t>
            </w:r>
          </w:p>
          <w:p w14:paraId="48CD09A9">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（1）政府采购评审中出现下列情形之一的，评审委员会应当启动异常低价投标（响应）审查程序：</w:t>
            </w:r>
          </w:p>
          <w:p w14:paraId="77935ACA">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1.投标（响应）报价低于全部通过符合性审查供应商投标（响应）报价平均值50%的，即投标（响应）报价</w:t>
            </w:r>
            <w:r>
              <w:rPr>
                <w:rFonts w:hint="eastAsia" w:cs="宋体"/>
                <w:color w:val="auto"/>
                <w:sz w:val="24"/>
                <w:szCs w:val="24"/>
                <w:lang w:val="zh-CN" w:eastAsia="zh-CN" w:bidi="ar-SA"/>
              </w:rPr>
              <w:t>〈</w:t>
            </w:r>
            <w:r>
              <w:rPr>
                <w:rFonts w:hint="eastAsia" w:ascii="宋体" w:hAnsi="宋体" w:eastAsia="宋体" w:cs="宋体"/>
                <w:color w:val="auto"/>
                <w:sz w:val="24"/>
                <w:szCs w:val="24"/>
                <w:lang w:val="zh-CN" w:eastAsia="zh-CN" w:bidi="ar-SA"/>
              </w:rPr>
              <w:t>全部通过符合性审查供应商投标（响应）报价平均值</w:t>
            </w:r>
            <w:r>
              <w:rPr>
                <w:rFonts w:hint="eastAsia" w:ascii="宋体" w:hAnsi="宋体" w:eastAsia="宋体" w:cs="宋体"/>
                <w:b/>
                <w:bCs/>
                <w:color w:val="auto"/>
                <w:sz w:val="24"/>
                <w:szCs w:val="24"/>
                <w:lang w:val="zh-CN" w:eastAsia="zh-CN" w:bidi="ar-SA"/>
              </w:rPr>
              <w:t>×50%；</w:t>
            </w:r>
          </w:p>
          <w:p w14:paraId="5091D6AF">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2.投标（响应）报价低于通过符合性审查的次低报价供应商投标（响应）报价50%的，即投标（响应）报价</w:t>
            </w:r>
            <w:r>
              <w:rPr>
                <w:rFonts w:hint="eastAsia" w:cs="宋体"/>
                <w:color w:val="auto"/>
                <w:sz w:val="24"/>
                <w:szCs w:val="24"/>
                <w:lang w:val="zh-CN" w:eastAsia="zh-CN" w:bidi="ar-SA"/>
              </w:rPr>
              <w:t>〈</w:t>
            </w:r>
            <w:r>
              <w:rPr>
                <w:rFonts w:hint="eastAsia" w:ascii="宋体" w:hAnsi="宋体" w:eastAsia="宋体" w:cs="宋体"/>
                <w:color w:val="auto"/>
                <w:sz w:val="24"/>
                <w:szCs w:val="24"/>
                <w:lang w:val="zh-CN" w:eastAsia="zh-CN" w:bidi="ar-SA"/>
              </w:rPr>
              <w:t>通过符合性审查的次低报价供应商投标（响应）报价</w:t>
            </w:r>
            <w:r>
              <w:rPr>
                <w:rFonts w:hint="eastAsia" w:ascii="宋体" w:hAnsi="宋体" w:eastAsia="宋体" w:cs="宋体"/>
                <w:b/>
                <w:bCs/>
                <w:color w:val="auto"/>
                <w:sz w:val="24"/>
                <w:szCs w:val="24"/>
                <w:lang w:val="zh-CN" w:eastAsia="zh-CN" w:bidi="ar-SA"/>
              </w:rPr>
              <w:t>×50%；</w:t>
            </w:r>
          </w:p>
          <w:p w14:paraId="14F3933E">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3.投标（响应）报价低于采购项目最高限价45%的，即投标（响应）报价</w:t>
            </w:r>
            <w:r>
              <w:rPr>
                <w:rFonts w:hint="eastAsia" w:cs="宋体"/>
                <w:color w:val="auto"/>
                <w:sz w:val="24"/>
                <w:szCs w:val="24"/>
                <w:lang w:val="en-US" w:eastAsia="zh-CN" w:bidi="ar-SA"/>
              </w:rPr>
              <w:t>＜</w:t>
            </w:r>
            <w:r>
              <w:rPr>
                <w:rFonts w:hint="eastAsia" w:ascii="宋体" w:hAnsi="宋体" w:eastAsia="宋体" w:cs="宋体"/>
                <w:color w:val="auto"/>
                <w:sz w:val="24"/>
                <w:szCs w:val="24"/>
                <w:lang w:val="zh-CN" w:eastAsia="zh-CN" w:bidi="ar-SA"/>
              </w:rPr>
              <w:t>采购项目最高限价</w:t>
            </w:r>
            <w:r>
              <w:rPr>
                <w:rFonts w:hint="eastAsia" w:ascii="宋体" w:hAnsi="宋体" w:eastAsia="宋体" w:cs="宋体"/>
                <w:b/>
                <w:bCs/>
                <w:color w:val="auto"/>
                <w:sz w:val="24"/>
                <w:szCs w:val="24"/>
                <w:lang w:val="zh-CN" w:eastAsia="zh-CN" w:bidi="ar-SA"/>
              </w:rPr>
              <w:t>×45%；</w:t>
            </w:r>
          </w:p>
          <w:p w14:paraId="113288AB">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4.评审委员会基于专业判断，认为供应商报价过低，有可能影响产品质量或者不能诚信履约的其他情形。</w:t>
            </w:r>
          </w:p>
          <w:p w14:paraId="2DA02FCC">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采购人可以结合具体项目实际情况，提高上述第1项至第3项中启动异常低价投标（响应）审查的数值标准，但是最高不得超过65%。</w:t>
            </w:r>
          </w:p>
          <w:p w14:paraId="7B64D42B">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相关法律法规对供应商报价有规定的，从其规定。</w:t>
            </w:r>
          </w:p>
          <w:p w14:paraId="6AED1D76">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1595D91">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B403A73">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评审委员会借助互联网等渠道查询相关信息的，应当严格遵守评审工作纪律，不得实施影响评审公正的行为。</w:t>
            </w:r>
          </w:p>
          <w:p w14:paraId="3358FE7C">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异常低价投标（响应）审查的启动原因、审查意见和审查结果应当在评审报告中记录，并随供应商提供的相关书面说明及证明材料，以及评审委员会有关互联网浏览、查询历史一并归档。</w:t>
            </w:r>
          </w:p>
          <w:p w14:paraId="67B08A7E">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（三）投标人书面说明应当签字确认或者加盖公章，否则无效。书面说明的签字确认，由其法定代表人/主要负责人/本人或者其授权代表签字确认。</w:t>
            </w:r>
          </w:p>
          <w:p w14:paraId="24F837E8">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四）投标人提供书面说明后，评标委员会应当结合采购项目采购需求、专业实际情况、投标人财务状况报告、与其他投标人比较情况等就投标人书面说明进行审查评价。投标人拒绝或者变相拒绝提供有效书面说明</w:t>
            </w:r>
            <w:r>
              <w:rPr>
                <w:rFonts w:hint="eastAsia" w:cs="宋体"/>
                <w:color w:val="auto"/>
                <w:sz w:val="24"/>
                <w:szCs w:val="24"/>
                <w:lang w:val="zh-CN" w:eastAsia="zh-CN" w:bidi="ar-SA"/>
              </w:rPr>
              <w:t>，或者</w:t>
            </w:r>
            <w:r>
              <w:rPr>
                <w:rFonts w:hint="eastAsia" w:ascii="宋体" w:hAnsi="宋体" w:eastAsia="宋体" w:cs="宋体"/>
                <w:color w:val="auto"/>
                <w:sz w:val="24"/>
                <w:szCs w:val="24"/>
                <w:lang w:val="zh-CN" w:eastAsia="zh-CN" w:bidi="ar-SA"/>
              </w:rPr>
              <w:t>书面说明不能证明其报价</w:t>
            </w:r>
            <w:r>
              <w:rPr>
                <w:rFonts w:hint="eastAsia" w:cs="宋体"/>
                <w:color w:val="auto"/>
                <w:sz w:val="24"/>
                <w:szCs w:val="24"/>
                <w:lang w:val="zh-CN" w:eastAsia="zh-CN" w:bidi="ar-SA"/>
              </w:rPr>
              <w:t>合理，或者</w:t>
            </w:r>
            <w:r>
              <w:rPr>
                <w:rFonts w:hint="eastAsia" w:ascii="宋体" w:hAnsi="宋体" w:eastAsia="宋体" w:cs="宋体"/>
                <w:color w:val="auto"/>
                <w:sz w:val="24"/>
                <w:szCs w:val="24"/>
                <w:lang w:val="zh-CN" w:eastAsia="zh-CN" w:bidi="ar-SA"/>
              </w:rPr>
              <w:t>未在规定时间内递交有效书面</w:t>
            </w:r>
            <w:r>
              <w:rPr>
                <w:rFonts w:hint="eastAsia" w:cs="宋体"/>
                <w:color w:val="auto"/>
                <w:sz w:val="24"/>
                <w:szCs w:val="24"/>
                <w:lang w:val="zh-CN" w:eastAsia="zh-CN" w:bidi="ar-SA"/>
              </w:rPr>
              <w:t>说明</w:t>
            </w:r>
            <w:r>
              <w:rPr>
                <w:rFonts w:hint="eastAsia" w:ascii="宋体" w:hAnsi="宋体" w:eastAsia="宋体" w:cs="宋体"/>
                <w:color w:val="auto"/>
                <w:sz w:val="24"/>
                <w:szCs w:val="24"/>
                <w:lang w:val="zh-CN" w:eastAsia="zh-CN" w:bidi="ar-SA"/>
              </w:rPr>
              <w:t>的，评标委员会应当将其投标文件</w:t>
            </w:r>
            <w:r>
              <w:rPr>
                <w:rFonts w:hint="eastAsia" w:cs="宋体"/>
                <w:color w:val="auto"/>
                <w:sz w:val="24"/>
                <w:szCs w:val="24"/>
                <w:lang w:val="zh-CN" w:eastAsia="zh-CN" w:bidi="ar-SA"/>
              </w:rPr>
              <w:t>作</w:t>
            </w:r>
            <w:r>
              <w:rPr>
                <w:rFonts w:hint="eastAsia" w:ascii="宋体" w:hAnsi="宋体" w:eastAsia="宋体" w:cs="宋体"/>
                <w:color w:val="auto"/>
                <w:sz w:val="24"/>
                <w:szCs w:val="24"/>
                <w:lang w:val="zh-CN" w:eastAsia="zh-CN" w:bidi="ar-SA"/>
              </w:rPr>
              <w:t>无效处理。</w:t>
            </w:r>
          </w:p>
          <w:p w14:paraId="46518EA1">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五）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tc>
      </w:tr>
      <w:tr w14:paraId="00352AD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26EACDEC">
            <w:pPr>
              <w:pStyle w:val="70"/>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2591" w:type="dxa"/>
            <w:noWrap w:val="0"/>
            <w:vAlign w:val="center"/>
          </w:tcPr>
          <w:p w14:paraId="1B2EEAD8">
            <w:pPr>
              <w:pStyle w:val="70"/>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情况公告</w:t>
            </w:r>
          </w:p>
        </w:tc>
        <w:tc>
          <w:tcPr>
            <w:tcW w:w="6803" w:type="dxa"/>
            <w:noWrap w:val="0"/>
            <w:vAlign w:val="center"/>
          </w:tcPr>
          <w:p w14:paraId="4CB1E9DD">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本次</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采购的相关信息（含</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公告、变更公告、补遗公告、延期公告、终止公告、成交公告等）同时在</w:t>
            </w:r>
            <w:r>
              <w:rPr>
                <w:rFonts w:hint="eastAsia" w:ascii="宋体" w:hAnsi="宋体" w:eastAsia="宋体" w:cs="宋体"/>
                <w:b/>
                <w:bCs/>
                <w:color w:val="auto"/>
                <w:sz w:val="24"/>
                <w:szCs w:val="24"/>
                <w:highlight w:val="none"/>
                <w:u w:val="single"/>
                <w:lang w:val="zh-CN"/>
              </w:rPr>
              <w:t>云南省政府采购网</w:t>
            </w:r>
            <w:r>
              <w:rPr>
                <w:rFonts w:hint="eastAsia" w:eastAsia="宋体" w:cs="宋体"/>
                <w:b/>
                <w:bCs/>
                <w:color w:val="auto"/>
                <w:sz w:val="24"/>
                <w:szCs w:val="24"/>
                <w:highlight w:val="none"/>
                <w:u w:val="single"/>
                <w:lang w:val="zh-CN"/>
              </w:rPr>
              <w:t>、</w:t>
            </w:r>
            <w:r>
              <w:rPr>
                <w:rFonts w:hint="eastAsia" w:eastAsia="宋体" w:cs="宋体"/>
                <w:b/>
                <w:bCs/>
                <w:color w:val="auto"/>
                <w:sz w:val="24"/>
                <w:szCs w:val="24"/>
                <w:highlight w:val="none"/>
                <w:u w:val="single"/>
                <w:lang w:val="en-US" w:eastAsia="zh-CN"/>
              </w:rPr>
              <w:t>文山市人民政府网</w:t>
            </w:r>
            <w:r>
              <w:rPr>
                <w:rFonts w:hint="eastAsia" w:ascii="宋体" w:hAnsi="宋体" w:eastAsia="宋体" w:cs="宋体"/>
                <w:color w:val="auto"/>
                <w:sz w:val="24"/>
                <w:szCs w:val="24"/>
                <w:highlight w:val="none"/>
                <w:lang w:val="zh-CN"/>
              </w:rPr>
              <w:t>网站发布，请各供应商在递交响应文件前随时查看，以获取最新信息。</w:t>
            </w:r>
          </w:p>
        </w:tc>
      </w:tr>
      <w:tr w14:paraId="1351F52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3D219DFA">
            <w:pPr>
              <w:pStyle w:val="70"/>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2591" w:type="dxa"/>
            <w:noWrap w:val="0"/>
            <w:vAlign w:val="center"/>
          </w:tcPr>
          <w:p w14:paraId="7687095B">
            <w:pPr>
              <w:pStyle w:val="70"/>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保证金</w:t>
            </w:r>
          </w:p>
        </w:tc>
        <w:tc>
          <w:tcPr>
            <w:tcW w:w="6803" w:type="dxa"/>
            <w:noWrap w:val="0"/>
            <w:vAlign w:val="center"/>
          </w:tcPr>
          <w:p w14:paraId="178857A4">
            <w:pPr>
              <w:pStyle w:val="70"/>
              <w:keepNext w:val="0"/>
              <w:keepLines w:val="0"/>
              <w:pageBreakBefore w:val="0"/>
              <w:widowControl w:val="0"/>
              <w:numPr>
                <w:ilvl w:val="0"/>
                <w:numId w:val="0"/>
              </w:numPr>
              <w:kinsoku/>
              <w:wordWrap/>
              <w:overflowPunct/>
              <w:topLinePunct w:val="0"/>
              <w:bidi w:val="0"/>
              <w:spacing w:line="560" w:lineRule="exact"/>
              <w:ind w:firstLine="240" w:firstLineChars="100"/>
              <w:jc w:val="both"/>
              <w:textAlignment w:val="auto"/>
              <w:rPr>
                <w:rFonts w:hint="eastAsia" w:ascii="宋体" w:hAnsi="宋体" w:eastAsia="宋体" w:cs="宋体"/>
                <w:b/>
                <w:bCs/>
                <w:color w:val="auto"/>
                <w:sz w:val="24"/>
                <w:szCs w:val="24"/>
                <w:highlight w:val="none"/>
                <w:lang w:val="zh-CN"/>
              </w:rPr>
            </w:pPr>
            <w:r>
              <w:rPr>
                <w:rFonts w:hint="eastAsia" w:ascii="宋体" w:hAnsi="宋体" w:eastAsia="宋体" w:cs="宋体"/>
                <w:b/>
                <w:bCs w:val="0"/>
                <w:color w:val="auto"/>
                <w:sz w:val="24"/>
                <w:szCs w:val="24"/>
                <w:highlight w:val="none"/>
              </w:rPr>
              <w:t>本项目</w:t>
            </w:r>
            <w:r>
              <w:rPr>
                <w:rFonts w:hint="eastAsia" w:eastAsia="宋体" w:cs="宋体"/>
                <w:b/>
                <w:bCs w:val="0"/>
                <w:color w:val="auto"/>
                <w:sz w:val="24"/>
                <w:szCs w:val="24"/>
                <w:highlight w:val="none"/>
                <w:u w:val="single"/>
                <w:lang w:val="en-US" w:eastAsia="zh-CN"/>
              </w:rPr>
              <w:t>不</w:t>
            </w:r>
            <w:r>
              <w:rPr>
                <w:rFonts w:hint="eastAsia" w:ascii="宋体" w:hAnsi="宋体" w:eastAsia="宋体" w:cs="宋体"/>
                <w:b/>
                <w:bCs w:val="0"/>
                <w:color w:val="auto"/>
                <w:sz w:val="24"/>
                <w:szCs w:val="24"/>
                <w:highlight w:val="none"/>
                <w:lang w:val="en-US" w:eastAsia="zh-CN"/>
              </w:rPr>
              <w:t>收取谈判保证金；</w:t>
            </w:r>
          </w:p>
        </w:tc>
      </w:tr>
      <w:tr w14:paraId="2564C4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6BD07F25">
            <w:pPr>
              <w:pStyle w:val="70"/>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2591" w:type="dxa"/>
            <w:noWrap w:val="0"/>
            <w:vAlign w:val="center"/>
          </w:tcPr>
          <w:p w14:paraId="2FF4265C">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履约</w:t>
            </w:r>
            <w:r>
              <w:rPr>
                <w:rFonts w:hint="eastAsia" w:ascii="宋体" w:hAnsi="宋体" w:eastAsia="宋体" w:cs="宋体"/>
                <w:color w:val="auto"/>
                <w:sz w:val="24"/>
                <w:szCs w:val="24"/>
                <w:highlight w:val="none"/>
                <w:lang w:val="zh-CN"/>
              </w:rPr>
              <w:t>保证金</w:t>
            </w:r>
          </w:p>
        </w:tc>
        <w:tc>
          <w:tcPr>
            <w:tcW w:w="6803" w:type="dxa"/>
            <w:noWrap w:val="0"/>
            <w:vAlign w:val="center"/>
          </w:tcPr>
          <w:p w14:paraId="778998B3">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val="zh-CN" w:eastAsia="zh-CN"/>
              </w:rPr>
              <w:t>项目</w:t>
            </w:r>
            <w:r>
              <w:rPr>
                <w:rFonts w:hint="eastAsia" w:ascii="宋体" w:hAnsi="宋体" w:eastAsia="宋体" w:cs="宋体"/>
                <w:color w:val="auto"/>
                <w:sz w:val="24"/>
                <w:szCs w:val="24"/>
                <w:highlight w:val="none"/>
                <w:lang w:val="en-US" w:eastAsia="zh-CN"/>
              </w:rPr>
              <w:t>不收取履约保证金，若发生违约情形，按照“第三章项目需求—违约处置”条款进行处置。</w:t>
            </w:r>
          </w:p>
        </w:tc>
      </w:tr>
      <w:tr w14:paraId="3D2144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25DD6D28">
            <w:pPr>
              <w:pStyle w:val="70"/>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w:t>
            </w:r>
          </w:p>
        </w:tc>
        <w:tc>
          <w:tcPr>
            <w:tcW w:w="2591" w:type="dxa"/>
            <w:noWrap w:val="0"/>
            <w:vAlign w:val="center"/>
          </w:tcPr>
          <w:p w14:paraId="6CBB5865">
            <w:pPr>
              <w:pStyle w:val="70"/>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对</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lang w:val="en-US" w:eastAsia="zh-CN"/>
              </w:rPr>
              <w:t>文件</w:t>
            </w:r>
            <w:r>
              <w:rPr>
                <w:rFonts w:hint="eastAsia" w:ascii="宋体" w:hAnsi="宋体" w:eastAsia="宋体" w:cs="宋体"/>
                <w:color w:val="auto"/>
                <w:sz w:val="24"/>
                <w:szCs w:val="24"/>
              </w:rPr>
              <w:t>中供应商参加本次政府采购活动应当具备的条件、项目</w:t>
            </w:r>
            <w:r>
              <w:rPr>
                <w:rFonts w:hint="eastAsia" w:ascii="宋体" w:hAnsi="宋体" w:eastAsia="宋体" w:cs="宋体"/>
                <w:color w:val="auto"/>
                <w:sz w:val="24"/>
                <w:szCs w:val="24"/>
                <w:lang w:val="en-US" w:eastAsia="zh-CN"/>
              </w:rPr>
              <w:t>需求</w:t>
            </w:r>
            <w:r>
              <w:rPr>
                <w:rFonts w:hint="eastAsia" w:ascii="宋体" w:hAnsi="宋体" w:eastAsia="宋体" w:cs="宋体"/>
                <w:color w:val="auto"/>
                <w:sz w:val="24"/>
                <w:szCs w:val="24"/>
              </w:rPr>
              <w:t>的询问、质疑</w:t>
            </w:r>
          </w:p>
        </w:tc>
        <w:tc>
          <w:tcPr>
            <w:tcW w:w="6803" w:type="dxa"/>
            <w:noWrap w:val="0"/>
            <w:vAlign w:val="center"/>
          </w:tcPr>
          <w:p w14:paraId="0BF0CA22">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向采购人提出，并由采购人按相关规定作出答复</w:t>
            </w:r>
            <w:r>
              <w:rPr>
                <w:rFonts w:hint="eastAsia" w:ascii="宋体" w:hAnsi="宋体" w:eastAsia="宋体" w:cs="宋体"/>
                <w:color w:val="auto"/>
                <w:sz w:val="24"/>
                <w:szCs w:val="24"/>
                <w:highlight w:val="none"/>
                <w:lang w:eastAsia="zh-CN"/>
              </w:rPr>
              <w:t>。</w:t>
            </w:r>
          </w:p>
          <w:p w14:paraId="2406D637">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（详见</w:t>
            </w:r>
            <w:r>
              <w:rPr>
                <w:rFonts w:hint="eastAsia" w:ascii="宋体" w:hAnsi="宋体" w:eastAsia="宋体" w:cs="宋体"/>
                <w:color w:val="auto"/>
                <w:sz w:val="24"/>
                <w:szCs w:val="24"/>
                <w:highlight w:val="none"/>
                <w:lang w:val="en-US" w:eastAsia="zh-CN"/>
              </w:rPr>
              <w:t>谈判文件</w:t>
            </w:r>
            <w:r>
              <w:rPr>
                <w:rFonts w:hint="eastAsia" w:eastAsia="宋体" w:cs="宋体"/>
                <w:color w:val="auto"/>
                <w:sz w:val="24"/>
                <w:szCs w:val="24"/>
                <w:highlight w:val="none"/>
                <w:lang w:val="en-US" w:eastAsia="zh-CN"/>
              </w:rPr>
              <w:t>第二章谈判须知第九条</w:t>
            </w:r>
            <w:r>
              <w:rPr>
                <w:rFonts w:hint="eastAsia" w:ascii="宋体" w:hAnsi="宋体" w:eastAsia="宋体" w:cs="宋体"/>
                <w:color w:val="auto"/>
                <w:sz w:val="24"/>
                <w:szCs w:val="24"/>
                <w:highlight w:val="none"/>
              </w:rPr>
              <w:t>）</w:t>
            </w:r>
          </w:p>
        </w:tc>
      </w:tr>
      <w:tr w14:paraId="519648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0D7B69CE">
            <w:pPr>
              <w:pStyle w:val="70"/>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w:t>
            </w:r>
          </w:p>
        </w:tc>
        <w:tc>
          <w:tcPr>
            <w:tcW w:w="2591" w:type="dxa"/>
            <w:noWrap w:val="0"/>
            <w:vAlign w:val="center"/>
          </w:tcPr>
          <w:p w14:paraId="0D5477CD">
            <w:pPr>
              <w:pStyle w:val="70"/>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rPr>
              <w:t>对</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lang w:val="en-US" w:eastAsia="zh-CN"/>
              </w:rPr>
              <w:t>文件</w:t>
            </w:r>
            <w:r>
              <w:rPr>
                <w:rFonts w:hint="eastAsia" w:ascii="宋体" w:hAnsi="宋体" w:eastAsia="宋体" w:cs="宋体"/>
                <w:color w:val="auto"/>
                <w:sz w:val="24"/>
                <w:szCs w:val="24"/>
              </w:rPr>
              <w:t>中的其他内容、采购过程及成交结果的询问、质疑</w:t>
            </w:r>
          </w:p>
        </w:tc>
        <w:tc>
          <w:tcPr>
            <w:tcW w:w="6803" w:type="dxa"/>
            <w:noWrap w:val="0"/>
            <w:vAlign w:val="center"/>
          </w:tcPr>
          <w:p w14:paraId="2C043086">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提出，并由</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按相关规定作出答复</w:t>
            </w:r>
            <w:r>
              <w:rPr>
                <w:rFonts w:hint="eastAsia" w:ascii="宋体" w:hAnsi="宋体" w:eastAsia="宋体" w:cs="宋体"/>
                <w:color w:val="auto"/>
                <w:sz w:val="24"/>
                <w:szCs w:val="24"/>
                <w:highlight w:val="none"/>
                <w:lang w:eastAsia="zh-CN"/>
              </w:rPr>
              <w:t>。</w:t>
            </w:r>
          </w:p>
          <w:p w14:paraId="343C2E06">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（详见</w:t>
            </w:r>
            <w:r>
              <w:rPr>
                <w:rFonts w:hint="eastAsia" w:ascii="宋体" w:hAnsi="宋体" w:eastAsia="宋体" w:cs="宋体"/>
                <w:color w:val="auto"/>
                <w:sz w:val="24"/>
                <w:szCs w:val="24"/>
                <w:highlight w:val="none"/>
                <w:lang w:val="en-US" w:eastAsia="zh-CN"/>
              </w:rPr>
              <w:t>谈判文件</w:t>
            </w:r>
            <w:r>
              <w:rPr>
                <w:rFonts w:hint="eastAsia" w:eastAsia="宋体" w:cs="宋体"/>
                <w:color w:val="auto"/>
                <w:sz w:val="24"/>
                <w:szCs w:val="24"/>
                <w:highlight w:val="none"/>
                <w:lang w:val="en-US" w:eastAsia="zh-CN"/>
              </w:rPr>
              <w:t>第二章谈判须知第九条</w:t>
            </w:r>
            <w:r>
              <w:rPr>
                <w:rFonts w:hint="eastAsia" w:ascii="宋体" w:hAnsi="宋体" w:eastAsia="宋体" w:cs="宋体"/>
                <w:color w:val="auto"/>
                <w:sz w:val="24"/>
                <w:szCs w:val="24"/>
                <w:highlight w:val="none"/>
              </w:rPr>
              <w:t>）。</w:t>
            </w:r>
          </w:p>
        </w:tc>
      </w:tr>
      <w:tr w14:paraId="74F85E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7345925F">
            <w:pPr>
              <w:pStyle w:val="70"/>
              <w:keepNext w:val="0"/>
              <w:keepLines w:val="0"/>
              <w:pageBreakBefore w:val="0"/>
              <w:widowControl w:val="0"/>
              <w:kinsoku/>
              <w:wordWrap/>
              <w:overflowPunct/>
              <w:topLinePunct w:val="0"/>
              <w:bidi w:val="0"/>
              <w:spacing w:line="560" w:lineRule="exact"/>
              <w:ind w:right="230" w:rightChars="0"/>
              <w:jc w:val="center"/>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rPr>
              <w:t>1</w:t>
            </w:r>
            <w:r>
              <w:rPr>
                <w:rFonts w:hint="eastAsia" w:ascii="宋体" w:hAnsi="宋体" w:eastAsia="宋体" w:cs="宋体"/>
                <w:color w:val="auto"/>
                <w:sz w:val="24"/>
                <w:szCs w:val="24"/>
                <w:lang w:val="en-US" w:eastAsia="zh-CN"/>
              </w:rPr>
              <w:t>4</w:t>
            </w:r>
          </w:p>
        </w:tc>
        <w:tc>
          <w:tcPr>
            <w:tcW w:w="2591" w:type="dxa"/>
            <w:noWrap w:val="0"/>
            <w:vAlign w:val="center"/>
          </w:tcPr>
          <w:p w14:paraId="461A29D1">
            <w:pPr>
              <w:pStyle w:val="70"/>
              <w:keepNext w:val="0"/>
              <w:keepLines w:val="0"/>
              <w:pageBreakBefore w:val="0"/>
              <w:widowControl w:val="0"/>
              <w:kinsoku/>
              <w:wordWrap/>
              <w:overflowPunct/>
              <w:topLinePunct w:val="0"/>
              <w:bidi w:val="0"/>
              <w:spacing w:line="560" w:lineRule="exact"/>
              <w:ind w:left="96" w:leftChars="0"/>
              <w:jc w:val="center"/>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供应商投诉</w:t>
            </w:r>
          </w:p>
        </w:tc>
        <w:tc>
          <w:tcPr>
            <w:tcW w:w="6803" w:type="dxa"/>
            <w:noWrap w:val="0"/>
            <w:vAlign w:val="center"/>
          </w:tcPr>
          <w:p w14:paraId="7C134113">
            <w:pPr>
              <w:pStyle w:val="70"/>
              <w:keepNext w:val="0"/>
              <w:keepLines w:val="0"/>
              <w:pageBreakBefore w:val="0"/>
              <w:widowControl w:val="0"/>
              <w:kinsoku/>
              <w:wordWrap/>
              <w:overflowPunct/>
              <w:topLinePunct w:val="0"/>
              <w:bidi w:val="0"/>
              <w:spacing w:line="560" w:lineRule="exact"/>
              <w:ind w:left="12" w:leftChars="6" w:firstLine="170" w:firstLineChars="71"/>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投诉受理单位：本项目同级财政部门，即</w:t>
            </w:r>
            <w:r>
              <w:rPr>
                <w:rFonts w:hint="eastAsia" w:ascii="宋体" w:hAnsi="宋体" w:eastAsia="宋体" w:cs="宋体"/>
                <w:color w:val="auto"/>
                <w:sz w:val="24"/>
                <w:szCs w:val="24"/>
                <w:lang w:val="zh-CN" w:eastAsia="zh-CN"/>
              </w:rPr>
              <w:t>文山市财政局</w:t>
            </w:r>
            <w:r>
              <w:rPr>
                <w:rFonts w:hint="eastAsia" w:ascii="宋体" w:hAnsi="宋体" w:eastAsia="宋体" w:cs="宋体"/>
                <w:color w:val="auto"/>
                <w:sz w:val="24"/>
                <w:szCs w:val="24"/>
                <w:lang w:val="zh-CN"/>
              </w:rPr>
              <w:t>。</w:t>
            </w:r>
          </w:p>
          <w:p w14:paraId="0213C0FD">
            <w:pPr>
              <w:pStyle w:val="70"/>
              <w:keepNext w:val="0"/>
              <w:keepLines w:val="0"/>
              <w:pageBreakBefore w:val="0"/>
              <w:widowControl w:val="0"/>
              <w:kinsoku/>
              <w:wordWrap/>
              <w:overflowPunct/>
              <w:topLinePunct w:val="0"/>
              <w:bidi w:val="0"/>
              <w:spacing w:line="560" w:lineRule="exact"/>
              <w:ind w:left="12" w:leftChars="6" w:firstLine="170" w:firstLineChars="71"/>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联系电话：</w:t>
            </w:r>
            <w:bookmarkStart w:id="123" w:name="OLE_LINK123"/>
            <w:r>
              <w:rPr>
                <w:rFonts w:hint="eastAsia" w:ascii="宋体" w:hAnsi="宋体" w:eastAsia="宋体" w:cs="宋体"/>
                <w:color w:val="auto"/>
                <w:sz w:val="24"/>
                <w:szCs w:val="24"/>
                <w:lang w:val="zh-CN"/>
              </w:rPr>
              <w:t>0876-3055134</w:t>
            </w:r>
            <w:r>
              <w:rPr>
                <w:rFonts w:hint="eastAsia" w:ascii="宋体" w:hAnsi="宋体" w:eastAsia="宋体" w:cs="宋体"/>
                <w:color w:val="auto"/>
                <w:sz w:val="24"/>
                <w:szCs w:val="24"/>
                <w:lang w:val="zh-CN" w:eastAsia="zh-CN"/>
              </w:rPr>
              <w:t xml:space="preserve"> </w:t>
            </w:r>
          </w:p>
          <w:bookmarkEnd w:id="123"/>
          <w:p w14:paraId="7D8B15DE">
            <w:pPr>
              <w:pStyle w:val="70"/>
              <w:keepNext w:val="0"/>
              <w:keepLines w:val="0"/>
              <w:pageBreakBefore w:val="0"/>
              <w:widowControl w:val="0"/>
              <w:kinsoku/>
              <w:wordWrap/>
              <w:overflowPunct/>
              <w:topLinePunct w:val="0"/>
              <w:bidi w:val="0"/>
              <w:spacing w:line="560" w:lineRule="exact"/>
              <w:ind w:left="12" w:leftChars="6" w:firstLine="170" w:firstLineChars="71"/>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联系地址：</w:t>
            </w:r>
            <w:r>
              <w:rPr>
                <w:rFonts w:hint="eastAsia" w:ascii="宋体" w:hAnsi="宋体" w:eastAsia="宋体" w:cs="宋体"/>
                <w:color w:val="auto"/>
                <w:sz w:val="24"/>
                <w:szCs w:val="24"/>
                <w:lang w:val="zh-CN" w:eastAsia="zh-CN"/>
              </w:rPr>
              <w:t xml:space="preserve">文山市开化北路92号 </w:t>
            </w:r>
          </w:p>
          <w:p w14:paraId="2660E697">
            <w:pPr>
              <w:pStyle w:val="70"/>
              <w:keepNext w:val="0"/>
              <w:keepLines w:val="0"/>
              <w:pageBreakBefore w:val="0"/>
              <w:widowControl w:val="0"/>
              <w:kinsoku/>
              <w:wordWrap/>
              <w:overflowPunct/>
              <w:topLinePunct w:val="0"/>
              <w:bidi w:val="0"/>
              <w:spacing w:line="560" w:lineRule="exact"/>
              <w:ind w:left="12" w:leftChars="6" w:firstLine="170" w:firstLineChars="71"/>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rPr>
              <w:t>邮政编码：</w:t>
            </w:r>
            <w:r>
              <w:rPr>
                <w:rFonts w:hint="eastAsia" w:ascii="宋体" w:hAnsi="宋体" w:eastAsia="宋体" w:cs="宋体"/>
                <w:color w:val="auto"/>
                <w:sz w:val="24"/>
                <w:szCs w:val="24"/>
                <w:lang w:val="zh-CN" w:eastAsia="zh-CN"/>
              </w:rPr>
              <w:t>663099</w:t>
            </w:r>
          </w:p>
          <w:p w14:paraId="4D8D19A4">
            <w:pPr>
              <w:pStyle w:val="70"/>
              <w:keepNext w:val="0"/>
              <w:keepLines w:val="0"/>
              <w:pageBreakBefore w:val="0"/>
              <w:widowControl w:val="0"/>
              <w:kinsoku/>
              <w:wordWrap/>
              <w:overflowPunct/>
              <w:topLinePunct w:val="0"/>
              <w:bidi w:val="0"/>
              <w:spacing w:line="560" w:lineRule="exact"/>
              <w:ind w:left="12" w:leftChars="6" w:firstLine="170" w:firstLineChars="71"/>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注：根据《中华人民共和国政府采购法实施条例》的规定，</w:t>
            </w:r>
            <w:r>
              <w:rPr>
                <w:rFonts w:hint="eastAsia" w:ascii="宋体" w:hAnsi="宋体" w:eastAsia="宋体" w:cs="宋体"/>
                <w:color w:val="auto"/>
                <w:sz w:val="24"/>
                <w:szCs w:val="24"/>
                <w:lang w:val="zh-CN" w:eastAsia="zh-CN"/>
              </w:rPr>
              <w:t>投标人</w:t>
            </w:r>
            <w:r>
              <w:rPr>
                <w:rFonts w:hint="eastAsia" w:ascii="宋体" w:hAnsi="宋体" w:eastAsia="宋体" w:cs="宋体"/>
                <w:color w:val="auto"/>
                <w:sz w:val="24"/>
                <w:szCs w:val="24"/>
                <w:lang w:val="zh-CN"/>
              </w:rPr>
              <w:t>投诉事项不得超出已质疑事项的范围。</w:t>
            </w:r>
          </w:p>
        </w:tc>
      </w:tr>
      <w:tr w14:paraId="229335B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42E62ACC">
            <w:pPr>
              <w:pStyle w:val="70"/>
              <w:keepNext w:val="0"/>
              <w:keepLines w:val="0"/>
              <w:pageBreakBefore w:val="0"/>
              <w:widowControl w:val="0"/>
              <w:kinsoku/>
              <w:wordWrap/>
              <w:overflowPunct/>
              <w:topLinePunct w:val="0"/>
              <w:bidi w:val="0"/>
              <w:spacing w:line="560" w:lineRule="exact"/>
              <w:ind w:right="230" w:rightChars="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w:t>
            </w:r>
          </w:p>
        </w:tc>
        <w:tc>
          <w:tcPr>
            <w:tcW w:w="2591" w:type="dxa"/>
            <w:noWrap w:val="0"/>
            <w:vAlign w:val="center"/>
          </w:tcPr>
          <w:p w14:paraId="51E1F547">
            <w:pPr>
              <w:keepNext w:val="0"/>
              <w:keepLines w:val="0"/>
              <w:pageBreakBefore w:val="0"/>
              <w:widowControl w:val="0"/>
              <w:tabs>
                <w:tab w:val="left" w:pos="7665"/>
              </w:tabs>
              <w:kinsoku/>
              <w:wordWrap/>
              <w:overflowPunct/>
              <w:topLinePunct w:val="0"/>
              <w:bidi w:val="0"/>
              <w:snapToGrid w:val="0"/>
              <w:spacing w:line="560" w:lineRule="exact"/>
              <w:jc w:val="center"/>
              <w:textAlignment w:val="auto"/>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sz w:val="24"/>
                <w:szCs w:val="24"/>
              </w:rPr>
              <w:t>响应文件有效期</w:t>
            </w:r>
          </w:p>
        </w:tc>
        <w:tc>
          <w:tcPr>
            <w:tcW w:w="6803" w:type="dxa"/>
            <w:noWrap w:val="0"/>
            <w:vAlign w:val="center"/>
          </w:tcPr>
          <w:p w14:paraId="28B56E8D">
            <w:pPr>
              <w:keepNext w:val="0"/>
              <w:keepLines w:val="0"/>
              <w:pageBreakBefore w:val="0"/>
              <w:widowControl w:val="0"/>
              <w:tabs>
                <w:tab w:val="left" w:pos="7665"/>
              </w:tabs>
              <w:kinsoku/>
              <w:wordWrap/>
              <w:overflowPunct/>
              <w:topLinePunct w:val="0"/>
              <w:bidi w:val="0"/>
              <w:snapToGrid w:val="0"/>
              <w:spacing w:line="560" w:lineRule="exact"/>
              <w:ind w:firstLine="240" w:firstLineChars="100"/>
              <w:textAlignment w:val="auto"/>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sz w:val="24"/>
                <w:szCs w:val="24"/>
                <w:highlight w:val="none"/>
              </w:rPr>
              <w:t>提交响应文件的截止之日起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90</w:t>
            </w:r>
            <w:r>
              <w:rPr>
                <w:rFonts w:hint="eastAsia" w:ascii="宋体" w:hAnsi="宋体" w:eastAsia="宋体" w:cs="宋体"/>
                <w:color w:val="auto"/>
                <w:sz w:val="24"/>
                <w:szCs w:val="24"/>
                <w:highlight w:val="none"/>
                <w:u w:val="none"/>
                <w:lang w:val="en-US" w:eastAsia="zh-CN"/>
              </w:rPr>
              <w:t>日历</w:t>
            </w:r>
            <w:r>
              <w:rPr>
                <w:rFonts w:hint="eastAsia" w:ascii="宋体" w:hAnsi="宋体" w:eastAsia="宋体" w:cs="宋体"/>
                <w:color w:val="auto"/>
                <w:sz w:val="24"/>
                <w:szCs w:val="24"/>
                <w:highlight w:val="none"/>
              </w:rPr>
              <w:t>天。</w:t>
            </w:r>
          </w:p>
        </w:tc>
      </w:tr>
      <w:tr w14:paraId="55C2412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09877E61">
            <w:pPr>
              <w:pStyle w:val="70"/>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16</w:t>
            </w:r>
          </w:p>
        </w:tc>
        <w:tc>
          <w:tcPr>
            <w:tcW w:w="2591" w:type="dxa"/>
            <w:noWrap w:val="0"/>
            <w:vAlign w:val="center"/>
          </w:tcPr>
          <w:p w14:paraId="43248785">
            <w:pPr>
              <w:pStyle w:val="70"/>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成交通知书领取</w:t>
            </w:r>
          </w:p>
        </w:tc>
        <w:tc>
          <w:tcPr>
            <w:tcW w:w="6803" w:type="dxa"/>
            <w:noWrap w:val="0"/>
            <w:vAlign w:val="center"/>
          </w:tcPr>
          <w:p w14:paraId="0DE14643">
            <w:pPr>
              <w:pStyle w:val="70"/>
              <w:keepNext w:val="0"/>
              <w:keepLines w:val="0"/>
              <w:pageBreakBefore w:val="0"/>
              <w:widowControl w:val="0"/>
              <w:kinsoku/>
              <w:wordWrap/>
              <w:overflowPunct/>
              <w:topLinePunct w:val="0"/>
              <w:bidi w:val="0"/>
              <w:spacing w:line="560" w:lineRule="exact"/>
              <w:ind w:left="12" w:leftChars="6" w:firstLine="228" w:firstLineChars="95"/>
              <w:textAlignment w:val="auto"/>
              <w:rPr>
                <w:rFonts w:hint="default" w:ascii="宋体" w:hAnsi="宋体" w:eastAsia="宋体" w:cs="宋体"/>
                <w:color w:val="auto"/>
                <w:sz w:val="24"/>
                <w:szCs w:val="24"/>
                <w:highlight w:val="none"/>
                <w:lang w:val="en-US"/>
              </w:rPr>
            </w:pPr>
            <w:r>
              <w:rPr>
                <w:rFonts w:hint="default" w:ascii="宋体" w:hAnsi="宋体" w:eastAsia="宋体" w:cs="宋体"/>
                <w:color w:val="auto"/>
                <w:sz w:val="24"/>
                <w:szCs w:val="24"/>
                <w:highlight w:val="none"/>
                <w:lang w:val="en-US"/>
              </w:rPr>
              <w:t>采购结果公告在云南省政府采购网上发布后，请中标</w:t>
            </w:r>
            <w:r>
              <w:rPr>
                <w:rFonts w:hint="default" w:ascii="宋体" w:hAnsi="宋体" w:eastAsia="宋体" w:cs="宋体"/>
                <w:color w:val="auto"/>
                <w:sz w:val="24"/>
                <w:szCs w:val="24"/>
                <w:highlight w:val="none"/>
                <w:lang w:val="en-US" w:eastAsia="zh-CN"/>
              </w:rPr>
              <w:t>人按以下方式领取中标通知书：</w:t>
            </w:r>
            <w:r>
              <w:rPr>
                <w:rFonts w:hint="default" w:ascii="宋体" w:hAnsi="宋体" w:eastAsia="宋体" w:cs="宋体"/>
                <w:b/>
                <w:bCs/>
                <w:color w:val="auto"/>
                <w:sz w:val="24"/>
                <w:szCs w:val="24"/>
                <w:highlight w:val="none"/>
                <w:lang w:val="en-US" w:eastAsia="zh-CN"/>
              </w:rPr>
              <w:t>“政采云”线上领取。</w:t>
            </w:r>
          </w:p>
        </w:tc>
      </w:tr>
      <w:tr w14:paraId="7C4A78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tcBorders>
              <w:top w:val="single" w:color="auto" w:sz="8" w:space="0"/>
              <w:left w:val="single" w:color="auto" w:sz="18" w:space="0"/>
              <w:bottom w:val="single" w:color="auto" w:sz="8" w:space="0"/>
              <w:right w:val="single" w:color="auto" w:sz="8" w:space="0"/>
            </w:tcBorders>
            <w:noWrap w:val="0"/>
            <w:vAlign w:val="center"/>
          </w:tcPr>
          <w:p w14:paraId="497CF3DC">
            <w:pPr>
              <w:pStyle w:val="70"/>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p>
        </w:tc>
        <w:tc>
          <w:tcPr>
            <w:tcW w:w="2591" w:type="dxa"/>
            <w:tcBorders>
              <w:top w:val="single" w:color="auto" w:sz="8" w:space="0"/>
              <w:left w:val="single" w:color="auto" w:sz="8" w:space="0"/>
              <w:bottom w:val="single" w:color="auto" w:sz="8" w:space="0"/>
              <w:right w:val="single" w:color="auto" w:sz="8" w:space="0"/>
            </w:tcBorders>
            <w:noWrap w:val="0"/>
            <w:vAlign w:val="center"/>
          </w:tcPr>
          <w:p w14:paraId="2B77314A">
            <w:pPr>
              <w:pStyle w:val="70"/>
              <w:keepNext w:val="0"/>
              <w:keepLines w:val="0"/>
              <w:pageBreakBefore w:val="0"/>
              <w:widowControl w:val="0"/>
              <w:kinsoku/>
              <w:wordWrap/>
              <w:overflowPunct/>
              <w:topLinePunct w:val="0"/>
              <w:bidi w:val="0"/>
              <w:spacing w:line="560" w:lineRule="exact"/>
              <w:ind w:left="96"/>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政府采购合同</w:t>
            </w:r>
          </w:p>
          <w:p w14:paraId="351F696D">
            <w:pPr>
              <w:pStyle w:val="70"/>
              <w:keepNext w:val="0"/>
              <w:keepLines w:val="0"/>
              <w:pageBreakBefore w:val="0"/>
              <w:widowControl w:val="0"/>
              <w:kinsoku/>
              <w:wordWrap/>
              <w:overflowPunct/>
              <w:topLinePunct w:val="0"/>
              <w:bidi w:val="0"/>
              <w:spacing w:line="560" w:lineRule="exact"/>
              <w:ind w:left="96"/>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公告备案</w:t>
            </w:r>
          </w:p>
        </w:tc>
        <w:tc>
          <w:tcPr>
            <w:tcW w:w="6803" w:type="dxa"/>
            <w:tcBorders>
              <w:top w:val="single" w:color="auto" w:sz="8" w:space="0"/>
              <w:left w:val="single" w:color="auto" w:sz="8" w:space="0"/>
              <w:bottom w:val="single" w:color="auto" w:sz="8" w:space="0"/>
              <w:right w:val="single" w:color="auto" w:sz="18" w:space="0"/>
            </w:tcBorders>
            <w:noWrap w:val="0"/>
            <w:vAlign w:val="center"/>
          </w:tcPr>
          <w:p w14:paraId="2B47700A">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1.政府采购合同签订之日起2个工作日内，采购人应将政府采购合同在云南省政府采购网进行公告；政府采购合同签订之日起7个工作日内，采购人应将政府采购合同在云南省政府采购网上自行备案。</w:t>
            </w:r>
          </w:p>
          <w:p w14:paraId="673E0B44">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2.在合同公示无异议后，由中标人或采购人代表将签订的合同送至文山市政府采购和出让中心进行存档。文山市政府采购和出让中心联系电话：0876-3023253。</w:t>
            </w:r>
          </w:p>
        </w:tc>
      </w:tr>
      <w:tr w14:paraId="33B3463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tcBorders>
              <w:top w:val="single" w:color="auto" w:sz="8" w:space="0"/>
              <w:left w:val="single" w:color="auto" w:sz="18" w:space="0"/>
              <w:bottom w:val="single" w:color="auto" w:sz="8" w:space="0"/>
              <w:right w:val="single" w:color="auto" w:sz="8" w:space="0"/>
            </w:tcBorders>
            <w:noWrap w:val="0"/>
            <w:vAlign w:val="center"/>
          </w:tcPr>
          <w:p w14:paraId="5A7A665C">
            <w:pPr>
              <w:keepNext w:val="0"/>
              <w:keepLines w:val="0"/>
              <w:pageBreakBefore w:val="0"/>
              <w:widowControl w:val="0"/>
              <w:kinsoku/>
              <w:wordWrap/>
              <w:overflowPunct/>
              <w:topLinePunct w:val="0"/>
              <w:bidi w:val="0"/>
              <w:snapToGrid w:val="0"/>
              <w:spacing w:line="560" w:lineRule="exact"/>
              <w:jc w:val="center"/>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18</w:t>
            </w:r>
          </w:p>
        </w:tc>
        <w:tc>
          <w:tcPr>
            <w:tcW w:w="2591" w:type="dxa"/>
            <w:tcBorders>
              <w:top w:val="single" w:color="auto" w:sz="8" w:space="0"/>
              <w:left w:val="single" w:color="auto" w:sz="8" w:space="0"/>
              <w:bottom w:val="single" w:color="auto" w:sz="8" w:space="0"/>
              <w:right w:val="single" w:color="auto" w:sz="8" w:space="0"/>
            </w:tcBorders>
            <w:noWrap w:val="0"/>
            <w:vAlign w:val="center"/>
          </w:tcPr>
          <w:p w14:paraId="544CA82B">
            <w:pPr>
              <w:keepNext w:val="0"/>
              <w:keepLines w:val="0"/>
              <w:pageBreakBefore w:val="0"/>
              <w:widowControl w:val="0"/>
              <w:kinsoku/>
              <w:wordWrap/>
              <w:overflowPunct/>
              <w:topLinePunct w:val="0"/>
              <w:bidi w:val="0"/>
              <w:snapToGrid w:val="0"/>
              <w:spacing w:line="560" w:lineRule="exact"/>
              <w:jc w:val="center"/>
              <w:textAlignment w:val="auto"/>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sz w:val="24"/>
                <w:szCs w:val="24"/>
              </w:rPr>
              <w:t>进口产品</w:t>
            </w:r>
          </w:p>
        </w:tc>
        <w:tc>
          <w:tcPr>
            <w:tcW w:w="6803" w:type="dxa"/>
            <w:tcBorders>
              <w:top w:val="single" w:color="auto" w:sz="8" w:space="0"/>
              <w:left w:val="single" w:color="auto" w:sz="8" w:space="0"/>
              <w:bottom w:val="single" w:color="auto" w:sz="8" w:space="0"/>
              <w:right w:val="single" w:color="auto" w:sz="18" w:space="0"/>
            </w:tcBorders>
            <w:noWrap w:val="0"/>
            <w:vAlign w:val="center"/>
          </w:tcPr>
          <w:p w14:paraId="7C437E28">
            <w:pPr>
              <w:pStyle w:val="70"/>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本项目</w:t>
            </w:r>
            <w:r>
              <w:rPr>
                <w:rFonts w:hint="default" w:ascii="宋体" w:hAnsi="宋体" w:eastAsia="宋体" w:cs="宋体"/>
                <w:b/>
                <w:bCs/>
                <w:color w:val="auto"/>
                <w:sz w:val="24"/>
                <w:szCs w:val="24"/>
                <w:highlight w:val="none"/>
                <w:u w:val="single"/>
                <w:lang w:val="en-US" w:eastAsia="zh-CN"/>
              </w:rPr>
              <w:t xml:space="preserve"> 不 </w:t>
            </w:r>
            <w:r>
              <w:rPr>
                <w:rFonts w:hint="default" w:ascii="宋体" w:hAnsi="宋体" w:eastAsia="宋体" w:cs="宋体"/>
                <w:color w:val="auto"/>
                <w:sz w:val="24"/>
                <w:szCs w:val="24"/>
                <w:highlight w:val="none"/>
                <w:lang w:val="en-US" w:eastAsia="zh-CN"/>
              </w:rPr>
              <w:t>接受进口产品</w:t>
            </w:r>
          </w:p>
          <w:p w14:paraId="4A311AB5">
            <w:pPr>
              <w:keepNext w:val="0"/>
              <w:keepLines w:val="0"/>
              <w:pageBreakBefore w:val="0"/>
              <w:widowControl w:val="0"/>
              <w:tabs>
                <w:tab w:val="left" w:pos="7665"/>
              </w:tabs>
              <w:kinsoku/>
              <w:wordWrap/>
              <w:overflowPunct/>
              <w:topLinePunct w:val="0"/>
              <w:bidi w:val="0"/>
              <w:snapToGrid w:val="0"/>
              <w:spacing w:line="560" w:lineRule="exact"/>
              <w:ind w:firstLine="240" w:firstLineChars="100"/>
              <w:textAlignment w:val="auto"/>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中未载明“允许采购进口产品”的产品，拒绝进口产品的报价。</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lang w:val="en-US" w:eastAsia="zh-CN"/>
              </w:rPr>
              <w:t>文件</w:t>
            </w:r>
            <w:r>
              <w:rPr>
                <w:rFonts w:hint="eastAsia" w:ascii="宋体" w:hAnsi="宋体" w:eastAsia="宋体" w:cs="宋体"/>
                <w:color w:val="auto"/>
                <w:sz w:val="24"/>
                <w:szCs w:val="24"/>
              </w:rPr>
              <w:t>中载明“允许采购进口产品”的产品，允许国产产品参与竞争。</w:t>
            </w:r>
          </w:p>
        </w:tc>
      </w:tr>
      <w:tr w14:paraId="6505C9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tcBorders>
              <w:top w:val="single" w:color="auto" w:sz="8" w:space="0"/>
              <w:left w:val="single" w:color="auto" w:sz="18" w:space="0"/>
              <w:bottom w:val="single" w:color="auto" w:sz="8" w:space="0"/>
              <w:right w:val="single" w:color="auto" w:sz="8" w:space="0"/>
            </w:tcBorders>
            <w:noWrap w:val="0"/>
            <w:vAlign w:val="center"/>
          </w:tcPr>
          <w:p w14:paraId="4C0D9990">
            <w:pPr>
              <w:keepNext w:val="0"/>
              <w:keepLines w:val="0"/>
              <w:pageBreakBefore w:val="0"/>
              <w:widowControl w:val="0"/>
              <w:kinsoku/>
              <w:wordWrap/>
              <w:overflowPunct/>
              <w:topLinePunct w:val="0"/>
              <w:bidi w:val="0"/>
              <w:snapToGrid w:val="0"/>
              <w:spacing w:line="56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19</w:t>
            </w:r>
          </w:p>
        </w:tc>
        <w:tc>
          <w:tcPr>
            <w:tcW w:w="2591" w:type="dxa"/>
            <w:tcBorders>
              <w:top w:val="single" w:color="auto" w:sz="8" w:space="0"/>
              <w:left w:val="single" w:color="auto" w:sz="8" w:space="0"/>
              <w:bottom w:val="single" w:color="auto" w:sz="8" w:space="0"/>
              <w:right w:val="single" w:color="auto" w:sz="8" w:space="0"/>
            </w:tcBorders>
            <w:noWrap w:val="0"/>
            <w:vAlign w:val="center"/>
          </w:tcPr>
          <w:p w14:paraId="466AC913">
            <w:pPr>
              <w:keepNext w:val="0"/>
              <w:keepLines w:val="0"/>
              <w:pageBreakBefore w:val="0"/>
              <w:widowControl w:val="0"/>
              <w:tabs>
                <w:tab w:val="left" w:pos="7665"/>
              </w:tabs>
              <w:kinsoku/>
              <w:wordWrap/>
              <w:overflowPunct/>
              <w:topLinePunct w:val="0"/>
              <w:bidi w:val="0"/>
              <w:snapToGrid w:val="0"/>
              <w:spacing w:line="56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响应文件开启方式、谈判方式</w:t>
            </w:r>
          </w:p>
        </w:tc>
        <w:tc>
          <w:tcPr>
            <w:tcW w:w="6803" w:type="dxa"/>
            <w:tcBorders>
              <w:top w:val="single" w:color="auto" w:sz="8" w:space="0"/>
              <w:left w:val="single" w:color="auto" w:sz="8" w:space="0"/>
              <w:bottom w:val="single" w:color="auto" w:sz="8" w:space="0"/>
              <w:right w:val="single" w:color="auto" w:sz="18" w:space="0"/>
            </w:tcBorders>
            <w:noWrap w:val="0"/>
            <w:vAlign w:val="center"/>
          </w:tcPr>
          <w:p w14:paraId="17BB99A7">
            <w:pPr>
              <w:keepNext w:val="0"/>
              <w:keepLines w:val="0"/>
              <w:pageBreakBefore w:val="0"/>
              <w:widowControl w:val="0"/>
              <w:tabs>
                <w:tab w:val="left" w:pos="7665"/>
              </w:tabs>
              <w:kinsoku/>
              <w:wordWrap/>
              <w:overflowPunct/>
              <w:topLinePunct w:val="0"/>
              <w:bidi w:val="0"/>
              <w:snapToGrid w:val="0"/>
              <w:spacing w:line="56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highlight w:val="none"/>
                <w:lang w:val="en-US" w:eastAsia="zh-CN"/>
              </w:rPr>
              <w:t>远程解密</w:t>
            </w:r>
          </w:p>
        </w:tc>
      </w:tr>
      <w:tr w14:paraId="45B682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tcBorders>
              <w:top w:val="single" w:color="auto" w:sz="8" w:space="0"/>
              <w:left w:val="single" w:color="auto" w:sz="18" w:space="0"/>
              <w:bottom w:val="single" w:color="auto" w:sz="8" w:space="0"/>
              <w:right w:val="single" w:color="auto" w:sz="8" w:space="0"/>
            </w:tcBorders>
            <w:noWrap w:val="0"/>
            <w:vAlign w:val="center"/>
          </w:tcPr>
          <w:p w14:paraId="46C965A1">
            <w:pPr>
              <w:keepNext w:val="0"/>
              <w:keepLines w:val="0"/>
              <w:pageBreakBefore w:val="0"/>
              <w:widowControl w:val="0"/>
              <w:kinsoku/>
              <w:wordWrap/>
              <w:overflowPunct/>
              <w:topLinePunct w:val="0"/>
              <w:bidi w:val="0"/>
              <w:snapToGrid w:val="0"/>
              <w:spacing w:line="56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w:t>
            </w:r>
          </w:p>
        </w:tc>
        <w:tc>
          <w:tcPr>
            <w:tcW w:w="2591" w:type="dxa"/>
            <w:tcBorders>
              <w:top w:val="single" w:color="auto" w:sz="8" w:space="0"/>
              <w:left w:val="single" w:color="auto" w:sz="8" w:space="0"/>
              <w:bottom w:val="single" w:color="auto" w:sz="8" w:space="0"/>
              <w:right w:val="single" w:color="auto" w:sz="8" w:space="0"/>
            </w:tcBorders>
            <w:noWrap w:val="0"/>
            <w:vAlign w:val="center"/>
          </w:tcPr>
          <w:p w14:paraId="7D0B6A78">
            <w:pPr>
              <w:keepNext w:val="0"/>
              <w:keepLines w:val="0"/>
              <w:pageBreakBefore w:val="0"/>
              <w:widowControl w:val="0"/>
              <w:tabs>
                <w:tab w:val="left" w:pos="7665"/>
              </w:tabs>
              <w:kinsoku/>
              <w:wordWrap/>
              <w:overflowPunct/>
              <w:topLinePunct w:val="0"/>
              <w:bidi w:val="0"/>
              <w:snapToGrid w:val="0"/>
              <w:spacing w:line="56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电子响应文件远程解密的时间要求</w:t>
            </w:r>
          </w:p>
        </w:tc>
        <w:tc>
          <w:tcPr>
            <w:tcW w:w="6803" w:type="dxa"/>
            <w:tcBorders>
              <w:top w:val="single" w:color="auto" w:sz="8" w:space="0"/>
              <w:left w:val="single" w:color="auto" w:sz="8" w:space="0"/>
              <w:bottom w:val="single" w:color="auto" w:sz="8" w:space="0"/>
              <w:right w:val="single" w:color="auto" w:sz="18" w:space="0"/>
            </w:tcBorders>
            <w:noWrap w:val="0"/>
            <w:vAlign w:val="center"/>
          </w:tcPr>
          <w:p w14:paraId="1A4AAF2D">
            <w:pPr>
              <w:keepNext w:val="0"/>
              <w:keepLines w:val="0"/>
              <w:pageBreakBefore w:val="0"/>
              <w:widowControl w:val="0"/>
              <w:tabs>
                <w:tab w:val="left" w:pos="7665"/>
              </w:tabs>
              <w:kinsoku/>
              <w:wordWrap/>
              <w:overflowPunct/>
              <w:topLinePunct w:val="0"/>
              <w:bidi w:val="0"/>
              <w:snapToGrid w:val="0"/>
              <w:spacing w:line="56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在采购代理机构下达远程解密命令30分钟内，供应商须完成对电子响应文件的远程解密，否则视为响应无效。</w:t>
            </w:r>
          </w:p>
        </w:tc>
      </w:tr>
      <w:tr w14:paraId="7047FDF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tcBorders>
              <w:top w:val="single" w:color="auto" w:sz="8" w:space="0"/>
              <w:left w:val="single" w:color="auto" w:sz="18" w:space="0"/>
              <w:bottom w:val="single" w:color="auto" w:sz="8" w:space="0"/>
              <w:right w:val="single" w:color="auto" w:sz="8" w:space="0"/>
            </w:tcBorders>
            <w:noWrap w:val="0"/>
            <w:vAlign w:val="center"/>
          </w:tcPr>
          <w:p w14:paraId="2AB0E24E">
            <w:pPr>
              <w:keepNext w:val="0"/>
              <w:keepLines w:val="0"/>
              <w:pageBreakBefore w:val="0"/>
              <w:widowControl w:val="0"/>
              <w:kinsoku/>
              <w:wordWrap/>
              <w:overflowPunct/>
              <w:topLinePunct w:val="0"/>
              <w:bidi w:val="0"/>
              <w:snapToGrid w:val="0"/>
              <w:spacing w:line="56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w:t>
            </w:r>
          </w:p>
        </w:tc>
        <w:tc>
          <w:tcPr>
            <w:tcW w:w="2591" w:type="dxa"/>
            <w:tcBorders>
              <w:top w:val="single" w:color="auto" w:sz="8" w:space="0"/>
              <w:left w:val="single" w:color="auto" w:sz="8" w:space="0"/>
              <w:bottom w:val="single" w:color="auto" w:sz="8" w:space="0"/>
              <w:right w:val="single" w:color="auto" w:sz="8" w:space="0"/>
            </w:tcBorders>
            <w:noWrap w:val="0"/>
            <w:vAlign w:val="center"/>
          </w:tcPr>
          <w:p w14:paraId="49A92D8C">
            <w:pPr>
              <w:keepNext w:val="0"/>
              <w:keepLines w:val="0"/>
              <w:pageBreakBefore w:val="0"/>
              <w:widowControl w:val="0"/>
              <w:tabs>
                <w:tab w:val="left" w:pos="7665"/>
              </w:tabs>
              <w:kinsoku/>
              <w:wordWrap/>
              <w:overflowPunct/>
              <w:topLinePunct w:val="0"/>
              <w:bidi w:val="0"/>
              <w:snapToGrid w:val="0"/>
              <w:spacing w:line="56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采购文件是否包含可能实质性变动的技术、服务要求以及合同草案条款内容</w:t>
            </w:r>
          </w:p>
        </w:tc>
        <w:tc>
          <w:tcPr>
            <w:tcW w:w="6803" w:type="dxa"/>
            <w:tcBorders>
              <w:top w:val="single" w:color="auto" w:sz="8" w:space="0"/>
              <w:left w:val="single" w:color="auto" w:sz="8" w:space="0"/>
              <w:bottom w:val="single" w:color="auto" w:sz="8" w:space="0"/>
              <w:right w:val="single" w:color="auto" w:sz="18" w:space="0"/>
            </w:tcBorders>
            <w:noWrap w:val="0"/>
            <w:vAlign w:val="center"/>
          </w:tcPr>
          <w:p w14:paraId="47F96E06">
            <w:pPr>
              <w:keepNext w:val="0"/>
              <w:keepLines w:val="0"/>
              <w:pageBreakBefore w:val="0"/>
              <w:widowControl w:val="0"/>
              <w:tabs>
                <w:tab w:val="left" w:pos="7665"/>
              </w:tabs>
              <w:kinsoku/>
              <w:wordWrap/>
              <w:overflowPunct/>
              <w:topLinePunct w:val="0"/>
              <w:bidi w:val="0"/>
              <w:snapToGrid w:val="0"/>
              <w:spacing w:line="56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val="en-US" w:eastAsia="zh-CN"/>
              </w:rPr>
              <w:sym w:font="Wingdings" w:char="00FE"/>
            </w:r>
            <w:r>
              <w:rPr>
                <w:rFonts w:hint="eastAsia" w:ascii="宋体" w:hAnsi="宋体" w:eastAsia="宋体" w:cs="宋体"/>
                <w:color w:val="auto"/>
                <w:sz w:val="24"/>
                <w:szCs w:val="24"/>
                <w:lang w:val="en-US" w:eastAsia="zh-CN"/>
              </w:rPr>
              <w:t>不包含</w:t>
            </w:r>
          </w:p>
          <w:p w14:paraId="7839CDD6">
            <w:pPr>
              <w:keepNext w:val="0"/>
              <w:keepLines w:val="0"/>
              <w:pageBreakBefore w:val="0"/>
              <w:widowControl w:val="0"/>
              <w:tabs>
                <w:tab w:val="left" w:pos="7665"/>
              </w:tabs>
              <w:kinsoku/>
              <w:wordWrap/>
              <w:overflowPunct/>
              <w:topLinePunct w:val="0"/>
              <w:bidi w:val="0"/>
              <w:snapToGrid w:val="0"/>
              <w:spacing w:line="56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包含，详见第三章带“◆”标注内容。</w:t>
            </w:r>
          </w:p>
        </w:tc>
      </w:tr>
      <w:tr w14:paraId="57542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tcBorders>
              <w:top w:val="single" w:color="auto" w:sz="8" w:space="0"/>
              <w:left w:val="single" w:color="auto" w:sz="18" w:space="0"/>
              <w:bottom w:val="single" w:color="auto" w:sz="8" w:space="0"/>
              <w:right w:val="single" w:color="auto" w:sz="8" w:space="0"/>
            </w:tcBorders>
            <w:noWrap w:val="0"/>
            <w:vAlign w:val="center"/>
          </w:tcPr>
          <w:p w14:paraId="04DA1BAB">
            <w:pPr>
              <w:keepNext w:val="0"/>
              <w:keepLines w:val="0"/>
              <w:pageBreakBefore w:val="0"/>
              <w:widowControl w:val="0"/>
              <w:kinsoku/>
              <w:wordWrap/>
              <w:overflowPunct/>
              <w:topLinePunct w:val="0"/>
              <w:bidi w:val="0"/>
              <w:snapToGrid w:val="0"/>
              <w:spacing w:line="560" w:lineRule="exact"/>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24</w:t>
            </w:r>
          </w:p>
        </w:tc>
        <w:tc>
          <w:tcPr>
            <w:tcW w:w="2591" w:type="dxa"/>
            <w:tcBorders>
              <w:top w:val="single" w:color="auto" w:sz="8" w:space="0"/>
              <w:left w:val="single" w:color="auto" w:sz="8" w:space="0"/>
              <w:bottom w:val="single" w:color="auto" w:sz="8" w:space="0"/>
              <w:right w:val="single" w:color="auto" w:sz="8" w:space="0"/>
            </w:tcBorders>
            <w:noWrap w:val="0"/>
            <w:vAlign w:val="center"/>
          </w:tcPr>
          <w:p w14:paraId="4ED3C643">
            <w:pPr>
              <w:keepNext w:val="0"/>
              <w:keepLines w:val="0"/>
              <w:pageBreakBefore w:val="0"/>
              <w:widowControl w:val="0"/>
              <w:tabs>
                <w:tab w:val="left" w:pos="7665"/>
              </w:tabs>
              <w:kinsoku/>
              <w:wordWrap/>
              <w:overflowPunct/>
              <w:topLinePunct w:val="0"/>
              <w:bidi w:val="0"/>
              <w:snapToGrid w:val="0"/>
              <w:spacing w:line="56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对本国产品的支持政策</w:t>
            </w:r>
          </w:p>
        </w:tc>
        <w:tc>
          <w:tcPr>
            <w:tcW w:w="6803" w:type="dxa"/>
            <w:tcBorders>
              <w:top w:val="single" w:color="auto" w:sz="8" w:space="0"/>
              <w:left w:val="single" w:color="auto" w:sz="8" w:space="0"/>
              <w:bottom w:val="single" w:color="auto" w:sz="8" w:space="0"/>
              <w:right w:val="single" w:color="auto" w:sz="18" w:space="0"/>
            </w:tcBorders>
            <w:noWrap w:val="0"/>
            <w:vAlign w:val="center"/>
          </w:tcPr>
          <w:p w14:paraId="5C31E554">
            <w:pPr>
              <w:spacing w:line="560" w:lineRule="exact"/>
              <w:ind w:right="105" w:rightChars="50" w:firstLine="240" w:firstLineChars="100"/>
              <w:rPr>
                <w:rFonts w:hint="eastAsia" w:ascii="宋体" w:hAnsi="宋体" w:cs="宋体"/>
                <w:color w:val="auto"/>
                <w:sz w:val="24"/>
                <w:szCs w:val="24"/>
              </w:rPr>
            </w:pPr>
            <w:r>
              <w:rPr>
                <w:rFonts w:hint="eastAsia" w:ascii="宋体" w:hAnsi="宋体" w:cs="宋体"/>
                <w:color w:val="auto"/>
                <w:sz w:val="24"/>
                <w:szCs w:val="24"/>
              </w:rPr>
              <w:t>（1）政府采购活动中既有本国产品又有非本国产品参与竞争的，依法对本国产品给予价格评审优惠，对本国产品的报价给予</w:t>
            </w:r>
            <w:r>
              <w:rPr>
                <w:rFonts w:hint="eastAsia" w:ascii="宋体" w:hAnsi="宋体" w:cs="宋体"/>
                <w:b/>
                <w:bCs/>
                <w:color w:val="auto"/>
                <w:sz w:val="24"/>
                <w:szCs w:val="24"/>
              </w:rPr>
              <w:t>20%</w:t>
            </w:r>
            <w:r>
              <w:rPr>
                <w:rFonts w:hint="eastAsia" w:ascii="宋体" w:hAnsi="宋体" w:cs="宋体"/>
                <w:color w:val="auto"/>
                <w:sz w:val="24"/>
                <w:szCs w:val="24"/>
              </w:rPr>
              <w:t>的价格扣除，用扣除后的价格参与评审。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38B25253">
            <w:pPr>
              <w:spacing w:line="560" w:lineRule="exact"/>
              <w:ind w:right="105" w:rightChars="50" w:firstLine="240" w:firstLineChars="100"/>
              <w:rPr>
                <w:rFonts w:hint="eastAsia" w:ascii="宋体" w:hAnsi="宋体" w:cs="宋体"/>
                <w:color w:val="auto"/>
                <w:sz w:val="24"/>
                <w:szCs w:val="24"/>
              </w:rPr>
            </w:pPr>
            <w:r>
              <w:rPr>
                <w:rFonts w:hint="eastAsia" w:ascii="宋体" w:hAnsi="宋体" w:cs="宋体"/>
                <w:color w:val="auto"/>
                <w:sz w:val="24"/>
                <w:szCs w:val="24"/>
              </w:rPr>
              <w:t>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p>
          <w:p w14:paraId="1BEB4609">
            <w:pPr>
              <w:spacing w:line="560" w:lineRule="exact"/>
              <w:ind w:right="105" w:rightChars="50" w:firstLine="240" w:firstLineChars="100"/>
              <w:rPr>
                <w:rFonts w:hint="eastAsia" w:ascii="宋体" w:hAnsi="宋体" w:cs="宋体"/>
                <w:color w:val="auto"/>
                <w:sz w:val="24"/>
                <w:szCs w:val="24"/>
              </w:rPr>
            </w:pPr>
            <w:r>
              <w:rPr>
                <w:rFonts w:hint="eastAsia" w:ascii="宋体" w:hAnsi="宋体" w:cs="宋体"/>
                <w:color w:val="auto"/>
                <w:sz w:val="24"/>
                <w:szCs w:val="24"/>
              </w:rPr>
              <w:t>（2）当采购项目或者采购包中含有多种产品，供应商为该采购项目或者采购包提供的符合本国产品标准的产品成本之和占该供应商提供的全部产品成本之和的比例达到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bCs/>
                <w:color w:val="auto"/>
                <w:sz w:val="24"/>
                <w:szCs w:val="24"/>
              </w:rPr>
              <w:t>80%以</w:t>
            </w:r>
            <w:r>
              <w:rPr>
                <w:rFonts w:hint="eastAsia" w:ascii="宋体" w:hAnsi="宋体" w:cs="宋体"/>
                <w:color w:val="auto"/>
                <w:sz w:val="24"/>
                <w:szCs w:val="24"/>
              </w:rPr>
              <w:t>上时，依法对该供应商提供的全部产品给予价格评审优惠，即对该供应商提供的全部产品的总报价给予</w:t>
            </w:r>
            <w:r>
              <w:rPr>
                <w:rFonts w:hint="eastAsia" w:ascii="宋体" w:hAnsi="宋体" w:cs="宋体"/>
                <w:b/>
                <w:bCs/>
                <w:color w:val="auto"/>
                <w:sz w:val="24"/>
                <w:szCs w:val="24"/>
              </w:rPr>
              <w:t>20%</w:t>
            </w:r>
            <w:r>
              <w:rPr>
                <w:rFonts w:hint="eastAsia" w:ascii="宋体" w:hAnsi="宋体" w:cs="宋体"/>
                <w:color w:val="auto"/>
                <w:sz w:val="24"/>
                <w:szCs w:val="24"/>
              </w:rPr>
              <w:t>的价格扣除，用扣除后的价格参与评审。</w:t>
            </w:r>
          </w:p>
          <w:p w14:paraId="776B00D4">
            <w:pPr>
              <w:spacing w:line="560" w:lineRule="exact"/>
              <w:ind w:right="105" w:rightChars="50" w:firstLine="240" w:firstLineChars="100"/>
              <w:rPr>
                <w:rFonts w:hint="eastAsia" w:ascii="宋体" w:hAnsi="宋体" w:cs="宋体"/>
                <w:color w:val="auto"/>
                <w:sz w:val="24"/>
                <w:szCs w:val="24"/>
              </w:rPr>
            </w:pPr>
            <w:r>
              <w:rPr>
                <w:rFonts w:hint="eastAsia" w:ascii="宋体" w:hAnsi="宋体" w:cs="宋体"/>
                <w:color w:val="auto"/>
                <w:sz w:val="24"/>
                <w:szCs w:val="24"/>
              </w:rPr>
              <w:t>（3）供应商对其提供的产品应出具《关于符合本国产品标准的声明函》（样式见“第</w:t>
            </w:r>
            <w:r>
              <w:rPr>
                <w:rFonts w:hint="eastAsia" w:ascii="宋体" w:hAnsi="宋体" w:cs="宋体"/>
                <w:color w:val="auto"/>
                <w:sz w:val="24"/>
                <w:szCs w:val="24"/>
                <w:lang w:val="en-US" w:eastAsia="zh-CN"/>
              </w:rPr>
              <w:t>七</w:t>
            </w:r>
            <w:r>
              <w:rPr>
                <w:rFonts w:hint="eastAsia" w:ascii="宋体" w:hAnsi="宋体" w:cs="宋体"/>
                <w:color w:val="auto"/>
                <w:sz w:val="24"/>
                <w:szCs w:val="24"/>
              </w:rPr>
              <w:t>章  投标文件格式”，以下简称《声明函》）或财政部会同有关部门规定的有关证明文件，未提供的不予认可为本国产品，不享受本国产品支持政策。</w:t>
            </w:r>
          </w:p>
          <w:p w14:paraId="1B4B9B3F">
            <w:pPr>
              <w:spacing w:line="560" w:lineRule="exact"/>
              <w:ind w:right="105" w:rightChars="50" w:firstLine="240" w:firstLineChars="100"/>
              <w:rPr>
                <w:rFonts w:hint="eastAsia" w:ascii="宋体" w:hAnsi="宋体" w:cs="宋体"/>
                <w:color w:val="auto"/>
                <w:sz w:val="24"/>
                <w:szCs w:val="24"/>
              </w:rPr>
            </w:pPr>
            <w:r>
              <w:rPr>
                <w:rFonts w:hint="eastAsia" w:ascii="宋体" w:hAnsi="宋体" w:cs="宋体"/>
                <w:color w:val="auto"/>
                <w:sz w:val="24"/>
                <w:szCs w:val="24"/>
              </w:rPr>
              <w:t>出具符合要求的《声明函》或有关证明文件的，该产品视为本国产品，供应商无需再提供其他证明材料。供应商提供虚假《声明函》、虚假证明文件谋取中标、成交的，依照《中华人民共和国政府采购法》等法律法规规定追究相应责任。</w:t>
            </w:r>
          </w:p>
          <w:p w14:paraId="1E6BC64A">
            <w:pPr>
              <w:keepNext w:val="0"/>
              <w:keepLines w:val="0"/>
              <w:pageBreakBefore w:val="0"/>
              <w:widowControl w:val="0"/>
              <w:tabs>
                <w:tab w:val="left" w:pos="7665"/>
              </w:tabs>
              <w:kinsoku/>
              <w:wordWrap/>
              <w:overflowPunct/>
              <w:topLinePunct w:val="0"/>
              <w:bidi w:val="0"/>
              <w:snapToGrid w:val="0"/>
              <w:spacing w:line="560" w:lineRule="exac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rPr>
              <w:t>（4）中标、成交供应商提供的《声明函》或有关证明文件将随中标、成交结果同时公告，接受社会监督。</w:t>
            </w:r>
          </w:p>
        </w:tc>
      </w:tr>
      <w:tr w14:paraId="4031F7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tcBorders>
              <w:top w:val="single" w:color="auto" w:sz="8" w:space="0"/>
              <w:left w:val="single" w:color="auto" w:sz="18" w:space="0"/>
              <w:bottom w:val="single" w:color="auto" w:sz="8" w:space="0"/>
              <w:right w:val="single" w:color="auto" w:sz="8" w:space="0"/>
            </w:tcBorders>
            <w:noWrap w:val="0"/>
            <w:vAlign w:val="center"/>
          </w:tcPr>
          <w:p w14:paraId="54EF440C">
            <w:pPr>
              <w:keepNext w:val="0"/>
              <w:keepLines w:val="0"/>
              <w:pageBreakBefore w:val="0"/>
              <w:widowControl w:val="0"/>
              <w:kinsoku/>
              <w:wordWrap/>
              <w:overflowPunct/>
              <w:topLinePunct w:val="0"/>
              <w:bidi w:val="0"/>
              <w:snapToGrid w:val="0"/>
              <w:spacing w:line="560" w:lineRule="exact"/>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25</w:t>
            </w:r>
          </w:p>
        </w:tc>
        <w:tc>
          <w:tcPr>
            <w:tcW w:w="2591" w:type="dxa"/>
            <w:tcBorders>
              <w:top w:val="single" w:color="auto" w:sz="8" w:space="0"/>
              <w:left w:val="single" w:color="auto" w:sz="8" w:space="0"/>
              <w:bottom w:val="single" w:color="auto" w:sz="8" w:space="0"/>
              <w:right w:val="single" w:color="auto" w:sz="8" w:space="0"/>
            </w:tcBorders>
            <w:noWrap w:val="0"/>
            <w:vAlign w:val="center"/>
          </w:tcPr>
          <w:p w14:paraId="7A443E85">
            <w:pPr>
              <w:keepNext w:val="0"/>
              <w:keepLines w:val="0"/>
              <w:pageBreakBefore w:val="0"/>
              <w:widowControl w:val="0"/>
              <w:tabs>
                <w:tab w:val="left" w:pos="7665"/>
              </w:tabs>
              <w:kinsoku/>
              <w:wordWrap/>
              <w:overflowPunct/>
              <w:topLinePunct w:val="0"/>
              <w:bidi w:val="0"/>
              <w:snapToGrid w:val="0"/>
              <w:spacing w:line="560" w:lineRule="exact"/>
              <w:jc w:val="center"/>
              <w:textAlignment w:val="auto"/>
              <w:rPr>
                <w:rFonts w:hint="eastAsia" w:ascii="宋体" w:hAnsi="宋体" w:eastAsia="宋体" w:cs="宋体"/>
                <w:color w:val="auto"/>
                <w:sz w:val="24"/>
                <w:szCs w:val="24"/>
                <w:lang w:val="en-US" w:eastAsia="zh-CN"/>
              </w:rPr>
            </w:pPr>
            <w:r>
              <w:rPr>
                <w:rFonts w:hint="eastAsia" w:cs="Times New Roman"/>
                <w:b/>
                <w:bCs/>
                <w:color w:val="auto"/>
                <w:sz w:val="24"/>
                <w:szCs w:val="24"/>
                <w:lang w:val="en-US" w:eastAsia="zh-CN"/>
              </w:rPr>
              <w:t>其他说明</w:t>
            </w:r>
          </w:p>
        </w:tc>
        <w:tc>
          <w:tcPr>
            <w:tcW w:w="6803" w:type="dxa"/>
            <w:tcBorders>
              <w:top w:val="single" w:color="auto" w:sz="8" w:space="0"/>
              <w:left w:val="single" w:color="auto" w:sz="8" w:space="0"/>
              <w:bottom w:val="single" w:color="auto" w:sz="8" w:space="0"/>
              <w:right w:val="single" w:color="auto" w:sz="18" w:space="0"/>
            </w:tcBorders>
            <w:noWrap w:val="0"/>
            <w:vAlign w:val="center"/>
          </w:tcPr>
          <w:p w14:paraId="0748FDC1">
            <w:pPr>
              <w:keepNext w:val="0"/>
              <w:keepLines w:val="0"/>
              <w:pageBreakBefore w:val="0"/>
              <w:widowControl w:val="0"/>
              <w:tabs>
                <w:tab w:val="left" w:pos="7665"/>
              </w:tabs>
              <w:kinsoku/>
              <w:wordWrap/>
              <w:overflowPunct/>
              <w:topLinePunct w:val="0"/>
              <w:bidi w:val="0"/>
              <w:snapToGrid w:val="0"/>
              <w:spacing w:line="560" w:lineRule="exact"/>
              <w:textAlignment w:val="auto"/>
              <w:rPr>
                <w:rFonts w:hint="eastAsia" w:ascii="宋体" w:hAnsi="宋体" w:eastAsia="宋体" w:cs="宋体"/>
                <w:color w:val="auto"/>
                <w:sz w:val="24"/>
                <w:szCs w:val="24"/>
                <w:lang w:val="en-US" w:eastAsia="zh-CN"/>
              </w:rPr>
            </w:pPr>
            <w:r>
              <w:rPr>
                <w:rFonts w:hint="default" w:ascii="Times New Roman" w:hAnsi="Times New Roman" w:eastAsia="宋体" w:cs="Times New Roman"/>
                <w:b/>
                <w:bCs/>
                <w:color w:val="auto"/>
                <w:sz w:val="24"/>
                <w:szCs w:val="24"/>
                <w:lang w:val="en-US" w:eastAsia="zh-CN"/>
              </w:rPr>
              <w:t>因政采云平台流程设置，为避免供应商上传</w:t>
            </w:r>
            <w:r>
              <w:rPr>
                <w:rFonts w:hint="eastAsia" w:cs="Times New Roman"/>
                <w:b/>
                <w:bCs/>
                <w:color w:val="auto"/>
                <w:sz w:val="24"/>
                <w:szCs w:val="24"/>
                <w:lang w:val="en-US" w:eastAsia="zh-CN"/>
              </w:rPr>
              <w:t>响应</w:t>
            </w:r>
            <w:r>
              <w:rPr>
                <w:rFonts w:hint="default" w:ascii="Times New Roman" w:hAnsi="Times New Roman" w:eastAsia="宋体" w:cs="Times New Roman"/>
                <w:b/>
                <w:bCs/>
                <w:color w:val="auto"/>
                <w:sz w:val="24"/>
                <w:szCs w:val="24"/>
                <w:lang w:val="en-US" w:eastAsia="zh-CN"/>
              </w:rPr>
              <w:t>文件与系统评审流程不一致，请供应商上传商务技术文件时，务必同时上传报价文件</w:t>
            </w:r>
            <w:r>
              <w:rPr>
                <w:rFonts w:hint="eastAsia" w:cs="Times New Roman"/>
                <w:b/>
                <w:bCs/>
                <w:color w:val="auto"/>
                <w:sz w:val="24"/>
                <w:szCs w:val="24"/>
                <w:lang w:val="en-US" w:eastAsia="zh-CN"/>
              </w:rPr>
              <w:t>，如不上传导致符合性审查不通过，供应商自行承担责任。</w:t>
            </w:r>
          </w:p>
        </w:tc>
      </w:tr>
    </w:tbl>
    <w:p w14:paraId="14CABA79">
      <w:pPr>
        <w:pStyle w:val="3"/>
        <w:keepNext w:val="0"/>
        <w:keepLines w:val="0"/>
        <w:pageBreakBefore w:val="0"/>
        <w:numPr>
          <w:ilvl w:val="0"/>
          <w:numId w:val="0"/>
        </w:numPr>
        <w:kinsoku/>
        <w:wordWrap/>
        <w:overflowPunct/>
        <w:topLinePunct w:val="0"/>
        <w:bidi w:val="0"/>
        <w:spacing w:before="0" w:after="0" w:line="560" w:lineRule="exact"/>
        <w:jc w:val="center"/>
        <w:rPr>
          <w:rFonts w:hint="eastAsia" w:ascii="宋体" w:hAnsi="宋体" w:eastAsia="宋体" w:cs="宋体"/>
          <w:bCs w:val="0"/>
          <w:color w:val="auto"/>
          <w:sz w:val="32"/>
          <w:szCs w:val="32"/>
        </w:rPr>
      </w:pPr>
      <w:r>
        <w:rPr>
          <w:rFonts w:hint="eastAsia" w:ascii="宋体" w:hAnsi="宋体" w:eastAsia="宋体" w:cs="宋体"/>
          <w:bCs w:val="0"/>
          <w:color w:val="auto"/>
          <w:sz w:val="24"/>
          <w:szCs w:val="24"/>
        </w:rPr>
        <w:br w:type="page"/>
      </w:r>
      <w:bookmarkStart w:id="124" w:name="_Toc3609"/>
      <w:bookmarkStart w:id="125" w:name="_Toc15231"/>
      <w:bookmarkStart w:id="126" w:name="_Toc13501_WPSOffice_Level2"/>
      <w:bookmarkStart w:id="127" w:name="_Toc24346"/>
      <w:bookmarkStart w:id="128" w:name="_Toc946"/>
      <w:r>
        <w:rPr>
          <w:rFonts w:hint="eastAsia" w:ascii="宋体" w:hAnsi="宋体" w:eastAsia="宋体" w:cs="宋体"/>
          <w:bCs w:val="0"/>
          <w:color w:val="auto"/>
          <w:sz w:val="32"/>
          <w:szCs w:val="32"/>
          <w:lang w:val="en-US" w:eastAsia="zh-CN"/>
        </w:rPr>
        <w:t>二、</w:t>
      </w:r>
      <w:r>
        <w:rPr>
          <w:rFonts w:hint="eastAsia" w:ascii="宋体" w:hAnsi="宋体" w:eastAsia="宋体" w:cs="宋体"/>
          <w:bCs w:val="0"/>
          <w:color w:val="auto"/>
          <w:sz w:val="32"/>
          <w:szCs w:val="32"/>
        </w:rPr>
        <w:t>总  则</w:t>
      </w:r>
      <w:bookmarkEnd w:id="124"/>
      <w:bookmarkEnd w:id="125"/>
      <w:bookmarkEnd w:id="126"/>
      <w:bookmarkEnd w:id="127"/>
      <w:bookmarkEnd w:id="128"/>
    </w:p>
    <w:p w14:paraId="2985A131">
      <w:pPr>
        <w:pStyle w:val="7"/>
        <w:pageBreakBefore w:val="0"/>
        <w:kinsoku/>
        <w:wordWrap/>
        <w:overflowPunct/>
        <w:topLinePunct w:val="0"/>
        <w:bidi w:val="0"/>
        <w:spacing w:line="560" w:lineRule="exact"/>
        <w:rPr>
          <w:rFonts w:hint="eastAsia" w:ascii="宋体" w:hAnsi="宋体" w:eastAsia="宋体" w:cs="宋体"/>
          <w:color w:val="auto"/>
          <w:sz w:val="24"/>
          <w:szCs w:val="24"/>
        </w:rPr>
      </w:pPr>
    </w:p>
    <w:p w14:paraId="1C8EC8B0">
      <w:pPr>
        <w:pStyle w:val="4"/>
        <w:pageBreakBefore w:val="0"/>
        <w:widowControl w:val="0"/>
        <w:kinsoku/>
        <w:wordWrap/>
        <w:overflowPunct/>
        <w:topLinePunct w:val="0"/>
        <w:autoSpaceDE/>
        <w:autoSpaceDN/>
        <w:bidi w:val="0"/>
        <w:snapToGrid/>
        <w:spacing w:before="0" w:after="0" w:line="560" w:lineRule="exact"/>
        <w:ind w:right="0" w:rightChars="0"/>
        <w:jc w:val="both"/>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适用范围</w:t>
      </w:r>
    </w:p>
    <w:p w14:paraId="22D6860B">
      <w:pPr>
        <w:keepNext w:val="0"/>
        <w:keepLines w:val="0"/>
        <w:pageBreakBefore w:val="0"/>
        <w:widowControl w:val="0"/>
        <w:tabs>
          <w:tab w:val="left" w:pos="7665"/>
        </w:tabs>
        <w:kinsoku/>
        <w:wordWrap/>
        <w:overflowPunct/>
        <w:topLinePunct w:val="0"/>
        <w:autoSpaceDE/>
        <w:autoSpaceDN/>
        <w:bidi w:val="0"/>
        <w:snapToGrid/>
        <w:spacing w:line="560" w:lineRule="exact"/>
        <w:ind w:right="0" w:rightChars="0" w:firstLine="480" w:firstLineChars="20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w:t>
      </w:r>
      <w:r>
        <w:rPr>
          <w:rFonts w:hint="eastAsia" w:ascii="宋体" w:hAnsi="宋体" w:eastAsia="宋体" w:cs="宋体"/>
          <w:color w:val="auto"/>
          <w:sz w:val="24"/>
          <w:szCs w:val="24"/>
          <w:highlight w:val="none"/>
          <w:lang w:eastAsia="zh-CN"/>
        </w:rPr>
        <w:t>谈判文件</w:t>
      </w:r>
      <w:r>
        <w:rPr>
          <w:rFonts w:hint="eastAsia" w:ascii="宋体" w:hAnsi="宋体" w:eastAsia="宋体" w:cs="宋体"/>
          <w:color w:val="auto"/>
          <w:sz w:val="24"/>
          <w:szCs w:val="24"/>
          <w:highlight w:val="none"/>
        </w:rPr>
        <w:t>仅适用于本次</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所叙述的货物采购。</w:t>
      </w:r>
    </w:p>
    <w:p w14:paraId="0458801F">
      <w:pPr>
        <w:keepNext w:val="0"/>
        <w:keepLines w:val="0"/>
        <w:pageBreakBefore w:val="0"/>
        <w:widowControl w:val="0"/>
        <w:tabs>
          <w:tab w:val="left" w:pos="7665"/>
        </w:tabs>
        <w:kinsoku/>
        <w:wordWrap/>
        <w:overflowPunct/>
        <w:topLinePunct w:val="0"/>
        <w:autoSpaceDE/>
        <w:autoSpaceDN/>
        <w:bidi w:val="0"/>
        <w:snapToGrid/>
        <w:spacing w:line="560" w:lineRule="exact"/>
        <w:ind w:right="0" w:rightChars="0" w:firstLine="480" w:firstLineChars="20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本</w:t>
      </w:r>
      <w:r>
        <w:rPr>
          <w:rFonts w:hint="eastAsia" w:ascii="宋体" w:hAnsi="宋体" w:eastAsia="宋体" w:cs="宋体"/>
          <w:color w:val="auto"/>
          <w:sz w:val="24"/>
          <w:szCs w:val="24"/>
          <w:highlight w:val="none"/>
          <w:lang w:eastAsia="zh-CN"/>
        </w:rPr>
        <w:t>谈判文件</w:t>
      </w:r>
      <w:r>
        <w:rPr>
          <w:rFonts w:hint="eastAsia" w:ascii="宋体" w:hAnsi="宋体" w:eastAsia="宋体" w:cs="宋体"/>
          <w:color w:val="auto"/>
          <w:sz w:val="24"/>
          <w:szCs w:val="24"/>
          <w:highlight w:val="none"/>
        </w:rPr>
        <w:t>的解释权归采购人和采购代理机构所有。</w:t>
      </w:r>
    </w:p>
    <w:p w14:paraId="0EDA2951">
      <w:pPr>
        <w:pStyle w:val="4"/>
        <w:pageBreakBefore w:val="0"/>
        <w:widowControl w:val="0"/>
        <w:kinsoku/>
        <w:wordWrap/>
        <w:overflowPunct/>
        <w:topLinePunct w:val="0"/>
        <w:autoSpaceDE/>
        <w:autoSpaceDN/>
        <w:bidi w:val="0"/>
        <w:snapToGrid/>
        <w:spacing w:before="0" w:after="0" w:line="560" w:lineRule="exact"/>
        <w:ind w:right="0" w:rightChars="0"/>
        <w:jc w:val="both"/>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采购主体</w:t>
      </w:r>
    </w:p>
    <w:p w14:paraId="5141F23F">
      <w:pPr>
        <w:keepNext w:val="0"/>
        <w:keepLines w:val="0"/>
        <w:pageBreakBefore w:val="0"/>
        <w:widowControl w:val="0"/>
        <w:tabs>
          <w:tab w:val="left" w:pos="7665"/>
        </w:tabs>
        <w:kinsoku/>
        <w:wordWrap/>
        <w:overflowPunct/>
        <w:topLinePunct w:val="0"/>
        <w:autoSpaceDE/>
        <w:autoSpaceDN/>
        <w:bidi w:val="0"/>
        <w:snapToGrid/>
        <w:spacing w:line="560" w:lineRule="exact"/>
        <w:ind w:right="0" w:rightChars="0" w:firstLine="480" w:firstLineChars="200"/>
        <w:jc w:val="both"/>
        <w:outlineLvl w:val="9"/>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w:t>
      </w:r>
      <w:r>
        <w:rPr>
          <w:rFonts w:hint="eastAsia" w:ascii="宋体" w:hAnsi="宋体" w:cs="宋体"/>
          <w:b/>
          <w:bCs/>
          <w:color w:val="auto"/>
          <w:sz w:val="24"/>
          <w:szCs w:val="24"/>
          <w:highlight w:val="none"/>
          <w:u w:val="single"/>
          <w:lang w:val="en-US" w:eastAsia="zh-CN"/>
        </w:rPr>
        <w:t>文山市皮肤病防治站</w:t>
      </w:r>
      <w:r>
        <w:rPr>
          <w:rFonts w:hint="eastAsia" w:ascii="宋体" w:hAnsi="宋体" w:eastAsia="宋体" w:cs="宋体"/>
          <w:color w:val="auto"/>
          <w:sz w:val="24"/>
          <w:szCs w:val="24"/>
          <w:highlight w:val="none"/>
        </w:rPr>
        <w:t>。</w:t>
      </w:r>
    </w:p>
    <w:p w14:paraId="161CE684">
      <w:pPr>
        <w:keepNext w:val="0"/>
        <w:keepLines w:val="0"/>
        <w:pageBreakBefore w:val="0"/>
        <w:widowControl w:val="0"/>
        <w:tabs>
          <w:tab w:val="left" w:pos="7665"/>
        </w:tabs>
        <w:kinsoku/>
        <w:wordWrap/>
        <w:overflowPunct/>
        <w:topLinePunct w:val="0"/>
        <w:autoSpaceDE/>
        <w:autoSpaceDN/>
        <w:bidi w:val="0"/>
        <w:snapToGrid/>
        <w:spacing w:line="560" w:lineRule="exact"/>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2.2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采购代理机构</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u w:val="single"/>
          <w:lang w:val="en-US" w:eastAsia="zh-CN"/>
        </w:rPr>
        <w:t>文山市政府采购和出让中心</w:t>
      </w:r>
      <w:r>
        <w:rPr>
          <w:rFonts w:hint="eastAsia" w:ascii="宋体" w:hAnsi="宋体" w:eastAsia="宋体" w:cs="宋体"/>
          <w:color w:val="auto"/>
          <w:sz w:val="24"/>
          <w:szCs w:val="24"/>
        </w:rPr>
        <w:t>。</w:t>
      </w:r>
    </w:p>
    <w:p w14:paraId="0600627E">
      <w:pPr>
        <w:pStyle w:val="4"/>
        <w:pageBreakBefore w:val="0"/>
        <w:widowControl w:val="0"/>
        <w:kinsoku/>
        <w:wordWrap/>
        <w:overflowPunct/>
        <w:topLinePunct w:val="0"/>
        <w:autoSpaceDE/>
        <w:autoSpaceDN/>
        <w:bidi w:val="0"/>
        <w:snapToGrid/>
        <w:spacing w:before="0" w:after="0" w:line="560" w:lineRule="exact"/>
        <w:ind w:right="0" w:rightChars="0"/>
        <w:jc w:val="both"/>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合格供应商</w:t>
      </w:r>
    </w:p>
    <w:p w14:paraId="3465F6AE">
      <w:pPr>
        <w:keepNext w:val="0"/>
        <w:keepLines w:val="0"/>
        <w:pageBreakBefore w:val="0"/>
        <w:widowControl w:val="0"/>
        <w:kinsoku/>
        <w:wordWrap/>
        <w:overflowPunct/>
        <w:topLinePunct w:val="0"/>
        <w:autoSpaceDE/>
        <w:autoSpaceDN/>
        <w:bidi w:val="0"/>
        <w:snapToGrid/>
        <w:spacing w:line="560" w:lineRule="exact"/>
        <w:ind w:right="0" w:rightChars="0" w:firstLine="480" w:firstLineChars="200"/>
        <w:jc w:val="both"/>
        <w:outlineLvl w:val="9"/>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合格供应商应具备以下条件：</w:t>
      </w:r>
    </w:p>
    <w:p w14:paraId="34D4A487">
      <w:pPr>
        <w:keepNext w:val="0"/>
        <w:keepLines w:val="0"/>
        <w:pageBreakBefore w:val="0"/>
        <w:widowControl w:val="0"/>
        <w:tabs>
          <w:tab w:val="left" w:pos="7665"/>
        </w:tabs>
        <w:kinsoku/>
        <w:wordWrap/>
        <w:overflowPunct/>
        <w:topLinePunct w:val="0"/>
        <w:autoSpaceDE/>
        <w:autoSpaceDN/>
        <w:bidi w:val="0"/>
        <w:snapToGrid/>
        <w:spacing w:line="560" w:lineRule="exact"/>
        <w:ind w:right="0" w:rightChars="0" w:firstLine="480" w:firstLineChars="200"/>
        <w:jc w:val="both"/>
        <w:outlineLvl w:val="9"/>
        <w:rPr>
          <w:rFonts w:hint="eastAsia" w:ascii="宋体" w:hAnsi="宋体" w:eastAsia="宋体" w:cs="宋体"/>
          <w:color w:val="auto"/>
          <w:spacing w:val="-4"/>
          <w:sz w:val="24"/>
          <w:szCs w:val="24"/>
        </w:rPr>
      </w:pPr>
      <w:r>
        <w:rPr>
          <w:rFonts w:hint="eastAsia" w:ascii="宋体" w:hAnsi="宋体" w:eastAsia="宋体" w:cs="宋体"/>
          <w:color w:val="auto"/>
          <w:sz w:val="24"/>
          <w:szCs w:val="24"/>
        </w:rPr>
        <w:t>3.1 具备法律法规和本采购文件规定的资格条件</w:t>
      </w:r>
      <w:r>
        <w:rPr>
          <w:rFonts w:hint="eastAsia" w:ascii="宋体" w:hAnsi="宋体" w:eastAsia="宋体" w:cs="宋体"/>
          <w:color w:val="auto"/>
          <w:spacing w:val="-4"/>
          <w:sz w:val="24"/>
          <w:szCs w:val="24"/>
        </w:rPr>
        <w:t>；</w:t>
      </w:r>
    </w:p>
    <w:p w14:paraId="21E90AED">
      <w:pPr>
        <w:keepNext w:val="0"/>
        <w:keepLines w:val="0"/>
        <w:pageBreakBefore w:val="0"/>
        <w:widowControl w:val="0"/>
        <w:tabs>
          <w:tab w:val="left" w:pos="7665"/>
        </w:tabs>
        <w:kinsoku/>
        <w:wordWrap/>
        <w:overflowPunct/>
        <w:topLinePunct w:val="0"/>
        <w:autoSpaceDE/>
        <w:autoSpaceDN/>
        <w:bidi w:val="0"/>
        <w:snapToGrid/>
        <w:spacing w:line="560" w:lineRule="exact"/>
        <w:ind w:right="0" w:rightChars="0" w:firstLine="464" w:firstLineChars="200"/>
        <w:jc w:val="both"/>
        <w:outlineLvl w:val="9"/>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rPr>
        <w:t>3.2 不属于禁止参加本项目采购活动的供应商</w:t>
      </w:r>
      <w:r>
        <w:rPr>
          <w:rFonts w:hint="eastAsia" w:ascii="宋体" w:hAnsi="宋体" w:eastAsia="宋体" w:cs="宋体"/>
          <w:color w:val="auto"/>
          <w:spacing w:val="-4"/>
          <w:sz w:val="24"/>
          <w:szCs w:val="24"/>
          <w:lang w:eastAsia="zh-CN"/>
        </w:rPr>
        <w:t>：</w:t>
      </w:r>
    </w:p>
    <w:p w14:paraId="1A42DFE3">
      <w:pPr>
        <w:keepNext w:val="0"/>
        <w:keepLines w:val="0"/>
        <w:pageBreakBefore w:val="0"/>
        <w:widowControl w:val="0"/>
        <w:tabs>
          <w:tab w:val="left" w:pos="7665"/>
        </w:tabs>
        <w:kinsoku/>
        <w:wordWrap/>
        <w:overflowPunct/>
        <w:topLinePunct w:val="0"/>
        <w:autoSpaceDE/>
        <w:autoSpaceDN/>
        <w:bidi w:val="0"/>
        <w:snapToGrid/>
        <w:spacing w:line="560" w:lineRule="exact"/>
        <w:ind w:right="0" w:rightChars="0" w:firstLine="464" w:firstLineChars="20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3.3 按照规定</w:t>
      </w:r>
      <w:r>
        <w:rPr>
          <w:rFonts w:hint="eastAsia" w:ascii="宋体" w:hAnsi="宋体" w:eastAsia="宋体" w:cs="宋体"/>
          <w:color w:val="auto"/>
          <w:sz w:val="24"/>
          <w:szCs w:val="24"/>
          <w:highlight w:val="none"/>
        </w:rPr>
        <w:t>获取了</w:t>
      </w:r>
      <w:r>
        <w:rPr>
          <w:rFonts w:hint="eastAsia" w:ascii="宋体" w:hAnsi="宋体" w:eastAsia="宋体" w:cs="宋体"/>
          <w:color w:val="auto"/>
          <w:sz w:val="24"/>
          <w:szCs w:val="24"/>
          <w:highlight w:val="none"/>
          <w:lang w:eastAsia="zh-CN"/>
        </w:rPr>
        <w:t>谈判文件</w:t>
      </w:r>
      <w:r>
        <w:rPr>
          <w:rFonts w:hint="eastAsia" w:ascii="宋体" w:hAnsi="宋体" w:eastAsia="宋体" w:cs="宋体"/>
          <w:color w:val="auto"/>
          <w:sz w:val="24"/>
          <w:szCs w:val="24"/>
          <w:highlight w:val="none"/>
        </w:rPr>
        <w:t>，属于实质性参加政府采购活动的供应商。</w:t>
      </w:r>
    </w:p>
    <w:p w14:paraId="0E32CDCD">
      <w:pPr>
        <w:keepNext w:val="0"/>
        <w:keepLines w:val="0"/>
        <w:pageBreakBefore w:val="0"/>
        <w:widowControl w:val="0"/>
        <w:tabs>
          <w:tab w:val="left" w:pos="7665"/>
        </w:tabs>
        <w:kinsoku/>
        <w:wordWrap/>
        <w:overflowPunct/>
        <w:topLinePunct w:val="0"/>
        <w:autoSpaceDE/>
        <w:autoSpaceDN/>
        <w:bidi w:val="0"/>
        <w:snapToGrid/>
        <w:spacing w:line="560" w:lineRule="exact"/>
        <w:ind w:right="0" w:rightChars="0" w:firstLine="464" w:firstLineChars="200"/>
        <w:jc w:val="both"/>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3.4 </w:t>
      </w:r>
      <w:r>
        <w:rPr>
          <w:rFonts w:hint="eastAsia" w:ascii="宋体" w:hAnsi="宋体" w:eastAsia="宋体" w:cs="宋体"/>
          <w:color w:val="auto"/>
          <w:spacing w:val="-4"/>
          <w:sz w:val="24"/>
          <w:szCs w:val="24"/>
          <w:highlight w:val="none"/>
        </w:rPr>
        <w:t>若</w:t>
      </w:r>
      <w:r>
        <w:rPr>
          <w:rFonts w:hint="eastAsia" w:ascii="宋体" w:hAnsi="宋体" w:eastAsia="宋体" w:cs="宋体"/>
          <w:color w:val="auto"/>
          <w:spacing w:val="-4"/>
          <w:sz w:val="24"/>
          <w:szCs w:val="24"/>
          <w:highlight w:val="none"/>
          <w:lang w:eastAsia="zh-CN"/>
        </w:rPr>
        <w:t>本项目</w:t>
      </w:r>
      <w:r>
        <w:rPr>
          <w:rFonts w:hint="eastAsia" w:ascii="宋体" w:hAnsi="宋体" w:eastAsia="宋体" w:cs="宋体"/>
          <w:color w:val="auto"/>
          <w:spacing w:val="-4"/>
          <w:sz w:val="24"/>
          <w:szCs w:val="24"/>
          <w:highlight w:val="none"/>
        </w:rPr>
        <w:t>允许采购进口产品，</w:t>
      </w:r>
      <w:r>
        <w:rPr>
          <w:rFonts w:hint="eastAsia" w:ascii="宋体" w:hAnsi="宋体" w:eastAsia="宋体" w:cs="宋体"/>
          <w:color w:val="auto"/>
          <w:spacing w:val="-4"/>
          <w:sz w:val="24"/>
          <w:szCs w:val="24"/>
          <w:highlight w:val="none"/>
          <w:lang w:eastAsia="zh-CN"/>
        </w:rPr>
        <w:t>供应商</w:t>
      </w:r>
      <w:r>
        <w:rPr>
          <w:rFonts w:hint="eastAsia" w:ascii="宋体" w:hAnsi="宋体" w:eastAsia="宋体" w:cs="宋体"/>
          <w:color w:val="auto"/>
          <w:spacing w:val="-4"/>
          <w:sz w:val="24"/>
          <w:szCs w:val="24"/>
          <w:highlight w:val="none"/>
        </w:rPr>
        <w:t>应保证所投产品可履行合法报通关手续进入中国关境内。若</w:t>
      </w:r>
      <w:r>
        <w:rPr>
          <w:rFonts w:hint="eastAsia" w:ascii="宋体" w:hAnsi="宋体" w:eastAsia="宋体" w:cs="宋体"/>
          <w:color w:val="auto"/>
          <w:spacing w:val="-4"/>
          <w:sz w:val="24"/>
          <w:szCs w:val="24"/>
          <w:highlight w:val="none"/>
          <w:lang w:eastAsia="zh-CN"/>
        </w:rPr>
        <w:t>本项目不</w:t>
      </w:r>
      <w:r>
        <w:rPr>
          <w:rFonts w:hint="eastAsia" w:ascii="宋体" w:hAnsi="宋体" w:eastAsia="宋体" w:cs="宋体"/>
          <w:color w:val="auto"/>
          <w:spacing w:val="-4"/>
          <w:sz w:val="24"/>
          <w:szCs w:val="24"/>
          <w:highlight w:val="none"/>
        </w:rPr>
        <w:t>允许采购进口产品，如</w:t>
      </w:r>
      <w:r>
        <w:rPr>
          <w:rFonts w:hint="eastAsia" w:ascii="宋体" w:hAnsi="宋体" w:eastAsia="宋体" w:cs="宋体"/>
          <w:color w:val="auto"/>
          <w:spacing w:val="-4"/>
          <w:sz w:val="24"/>
          <w:szCs w:val="24"/>
          <w:highlight w:val="none"/>
          <w:lang w:eastAsia="zh-CN"/>
        </w:rPr>
        <w:t>供应商</w:t>
      </w:r>
      <w:r>
        <w:rPr>
          <w:rFonts w:hint="eastAsia" w:ascii="宋体" w:hAnsi="宋体" w:eastAsia="宋体" w:cs="宋体"/>
          <w:color w:val="auto"/>
          <w:spacing w:val="-4"/>
          <w:sz w:val="24"/>
          <w:szCs w:val="24"/>
          <w:highlight w:val="none"/>
        </w:rPr>
        <w:t>所投产品为进口产品，其</w:t>
      </w:r>
      <w:r>
        <w:rPr>
          <w:rFonts w:hint="eastAsia" w:ascii="宋体" w:hAnsi="宋体" w:eastAsia="宋体" w:cs="宋体"/>
          <w:color w:val="auto"/>
          <w:spacing w:val="-4"/>
          <w:sz w:val="24"/>
          <w:szCs w:val="24"/>
          <w:highlight w:val="none"/>
          <w:lang w:eastAsia="zh-CN"/>
        </w:rPr>
        <w:t>响应</w:t>
      </w:r>
      <w:r>
        <w:rPr>
          <w:rFonts w:hint="eastAsia" w:ascii="宋体" w:hAnsi="宋体" w:eastAsia="宋体" w:cs="宋体"/>
          <w:color w:val="auto"/>
          <w:spacing w:val="-4"/>
          <w:sz w:val="24"/>
          <w:szCs w:val="24"/>
          <w:highlight w:val="none"/>
        </w:rPr>
        <w:t>将被认定为</w:t>
      </w:r>
      <w:r>
        <w:rPr>
          <w:rFonts w:hint="eastAsia" w:ascii="宋体" w:hAnsi="宋体" w:eastAsia="宋体" w:cs="宋体"/>
          <w:color w:val="auto"/>
          <w:spacing w:val="-4"/>
          <w:sz w:val="24"/>
          <w:szCs w:val="24"/>
          <w:highlight w:val="none"/>
          <w:lang w:eastAsia="zh-CN"/>
        </w:rPr>
        <w:t>响应</w:t>
      </w:r>
      <w:r>
        <w:rPr>
          <w:rFonts w:hint="eastAsia" w:ascii="宋体" w:hAnsi="宋体" w:eastAsia="宋体" w:cs="宋体"/>
          <w:b/>
          <w:bCs/>
          <w:color w:val="auto"/>
          <w:spacing w:val="-4"/>
          <w:sz w:val="24"/>
          <w:szCs w:val="24"/>
          <w:highlight w:val="none"/>
        </w:rPr>
        <w:t>无效</w:t>
      </w:r>
      <w:r>
        <w:rPr>
          <w:rFonts w:hint="eastAsia" w:ascii="宋体" w:hAnsi="宋体" w:eastAsia="宋体" w:cs="宋体"/>
          <w:color w:val="auto"/>
          <w:spacing w:val="-4"/>
          <w:sz w:val="24"/>
          <w:szCs w:val="24"/>
          <w:highlight w:val="none"/>
        </w:rPr>
        <w:t>。</w:t>
      </w:r>
    </w:p>
    <w:p w14:paraId="3A51AA41">
      <w:pPr>
        <w:keepNext w:val="0"/>
        <w:keepLines w:val="0"/>
        <w:pageBreakBefore w:val="0"/>
        <w:widowControl w:val="0"/>
        <w:tabs>
          <w:tab w:val="left" w:pos="7665"/>
        </w:tabs>
        <w:kinsoku/>
        <w:wordWrap/>
        <w:overflowPunct/>
        <w:topLinePunct w:val="0"/>
        <w:autoSpaceDE/>
        <w:autoSpaceDN/>
        <w:bidi w:val="0"/>
        <w:snapToGrid/>
        <w:spacing w:line="560" w:lineRule="exact"/>
        <w:ind w:right="0" w:rightChars="0" w:firstLine="464" w:firstLineChars="20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3.5</w:t>
      </w:r>
      <w:r>
        <w:rPr>
          <w:rFonts w:hint="eastAsia" w:ascii="宋体" w:hAnsi="宋体" w:eastAsia="宋体" w:cs="宋体"/>
          <w:color w:val="auto"/>
          <w:spacing w:val="-4"/>
          <w:sz w:val="24"/>
          <w:szCs w:val="24"/>
          <w:highlight w:val="none"/>
        </w:rPr>
        <w:t xml:space="preserve"> 若</w:t>
      </w:r>
      <w:r>
        <w:rPr>
          <w:rFonts w:hint="eastAsia" w:ascii="宋体" w:hAnsi="宋体" w:eastAsia="宋体" w:cs="宋体"/>
          <w:color w:val="auto"/>
          <w:spacing w:val="-4"/>
          <w:sz w:val="24"/>
          <w:szCs w:val="24"/>
          <w:highlight w:val="none"/>
          <w:lang w:eastAsia="zh-CN"/>
        </w:rPr>
        <w:t>本项目</w:t>
      </w:r>
      <w:r>
        <w:rPr>
          <w:rFonts w:hint="eastAsia" w:ascii="宋体" w:hAnsi="宋体" w:eastAsia="宋体" w:cs="宋体"/>
          <w:color w:val="auto"/>
          <w:spacing w:val="-4"/>
          <w:sz w:val="24"/>
          <w:szCs w:val="24"/>
          <w:highlight w:val="none"/>
        </w:rPr>
        <w:t>专门面向中小企业</w:t>
      </w:r>
      <w:r>
        <w:rPr>
          <w:rFonts w:hint="eastAsia" w:ascii="宋体" w:hAnsi="宋体" w:cs="宋体"/>
          <w:color w:val="auto"/>
          <w:spacing w:val="-4"/>
          <w:sz w:val="24"/>
          <w:szCs w:val="24"/>
          <w:highlight w:val="none"/>
          <w:lang w:eastAsia="zh-CN"/>
        </w:rPr>
        <w:t>采购</w:t>
      </w:r>
      <w:r>
        <w:rPr>
          <w:rFonts w:hint="eastAsia" w:ascii="宋体" w:hAnsi="宋体" w:eastAsia="宋体" w:cs="宋体"/>
          <w:color w:val="auto"/>
          <w:spacing w:val="-4"/>
          <w:sz w:val="24"/>
          <w:szCs w:val="24"/>
          <w:highlight w:val="none"/>
        </w:rPr>
        <w:t>，如</w:t>
      </w:r>
      <w:r>
        <w:rPr>
          <w:rFonts w:hint="eastAsia" w:ascii="宋体" w:hAnsi="宋体" w:eastAsia="宋体" w:cs="宋体"/>
          <w:color w:val="auto"/>
          <w:spacing w:val="-4"/>
          <w:sz w:val="24"/>
          <w:szCs w:val="24"/>
          <w:highlight w:val="none"/>
          <w:lang w:eastAsia="zh-CN"/>
        </w:rPr>
        <w:t>供应商</w:t>
      </w:r>
      <w:r>
        <w:rPr>
          <w:rFonts w:hint="eastAsia" w:ascii="宋体" w:hAnsi="宋体" w:eastAsia="宋体" w:cs="宋体"/>
          <w:color w:val="auto"/>
          <w:spacing w:val="-4"/>
          <w:sz w:val="24"/>
          <w:szCs w:val="24"/>
          <w:highlight w:val="none"/>
        </w:rPr>
        <w:t>所投产品为非中小企业</w:t>
      </w:r>
      <w:r>
        <w:rPr>
          <w:rFonts w:hint="eastAsia" w:ascii="宋体" w:hAnsi="宋体" w:eastAsia="宋体" w:cs="宋体"/>
          <w:color w:val="auto"/>
          <w:spacing w:val="-4"/>
          <w:sz w:val="24"/>
          <w:szCs w:val="24"/>
          <w:highlight w:val="none"/>
          <w:lang w:eastAsia="zh-CN"/>
        </w:rPr>
        <w:t>制造</w:t>
      </w:r>
      <w:r>
        <w:rPr>
          <w:rFonts w:hint="eastAsia" w:ascii="宋体" w:hAnsi="宋体" w:eastAsia="宋体" w:cs="宋体"/>
          <w:color w:val="auto"/>
          <w:spacing w:val="-4"/>
          <w:sz w:val="24"/>
          <w:szCs w:val="24"/>
          <w:highlight w:val="none"/>
        </w:rPr>
        <w:t>，其</w:t>
      </w:r>
      <w:r>
        <w:rPr>
          <w:rFonts w:hint="eastAsia" w:ascii="宋体" w:hAnsi="宋体" w:eastAsia="宋体" w:cs="宋体"/>
          <w:color w:val="auto"/>
          <w:spacing w:val="-4"/>
          <w:sz w:val="24"/>
          <w:szCs w:val="24"/>
          <w:highlight w:val="none"/>
          <w:lang w:eastAsia="zh-CN"/>
        </w:rPr>
        <w:t>响应</w:t>
      </w:r>
      <w:r>
        <w:rPr>
          <w:rFonts w:hint="eastAsia" w:ascii="宋体" w:hAnsi="宋体" w:eastAsia="宋体" w:cs="宋体"/>
          <w:color w:val="auto"/>
          <w:spacing w:val="-4"/>
          <w:sz w:val="24"/>
          <w:szCs w:val="24"/>
          <w:highlight w:val="none"/>
        </w:rPr>
        <w:t>将被认定为</w:t>
      </w:r>
      <w:r>
        <w:rPr>
          <w:rFonts w:hint="eastAsia" w:ascii="宋体" w:hAnsi="宋体" w:eastAsia="宋体" w:cs="宋体"/>
          <w:color w:val="auto"/>
          <w:spacing w:val="-4"/>
          <w:sz w:val="24"/>
          <w:szCs w:val="24"/>
          <w:highlight w:val="none"/>
          <w:lang w:eastAsia="zh-CN"/>
        </w:rPr>
        <w:t>响应</w:t>
      </w:r>
      <w:r>
        <w:rPr>
          <w:rFonts w:hint="eastAsia" w:ascii="宋体" w:hAnsi="宋体" w:eastAsia="宋体" w:cs="宋体"/>
          <w:b/>
          <w:bCs/>
          <w:color w:val="auto"/>
          <w:spacing w:val="-4"/>
          <w:sz w:val="24"/>
          <w:szCs w:val="24"/>
          <w:highlight w:val="none"/>
        </w:rPr>
        <w:t>无效</w:t>
      </w:r>
      <w:r>
        <w:rPr>
          <w:rFonts w:hint="eastAsia" w:ascii="宋体" w:hAnsi="宋体" w:eastAsia="宋体" w:cs="宋体"/>
          <w:color w:val="auto"/>
          <w:spacing w:val="-4"/>
          <w:sz w:val="24"/>
          <w:szCs w:val="24"/>
          <w:highlight w:val="none"/>
        </w:rPr>
        <w:t>。</w:t>
      </w:r>
    </w:p>
    <w:p w14:paraId="47FC8335">
      <w:pPr>
        <w:pStyle w:val="4"/>
        <w:pageBreakBefore w:val="0"/>
        <w:widowControl w:val="0"/>
        <w:kinsoku/>
        <w:wordWrap/>
        <w:overflowPunct/>
        <w:topLinePunct w:val="0"/>
        <w:autoSpaceDE/>
        <w:autoSpaceDN/>
        <w:bidi w:val="0"/>
        <w:snapToGrid/>
        <w:spacing w:before="0" w:after="0" w:line="560" w:lineRule="exact"/>
        <w:ind w:right="0" w:rightChars="0"/>
        <w:jc w:val="both"/>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参加</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lang w:val="en-US" w:eastAsia="zh-CN"/>
        </w:rPr>
        <w:t>采购的</w:t>
      </w:r>
      <w:r>
        <w:rPr>
          <w:rFonts w:hint="eastAsia" w:ascii="宋体" w:hAnsi="宋体" w:eastAsia="宋体" w:cs="宋体"/>
          <w:color w:val="auto"/>
          <w:sz w:val="24"/>
          <w:szCs w:val="24"/>
        </w:rPr>
        <w:t>费用（实质性要求）</w:t>
      </w:r>
    </w:p>
    <w:p w14:paraId="06B6F462">
      <w:pPr>
        <w:keepNext w:val="0"/>
        <w:keepLines w:val="0"/>
        <w:pageBreakBefore w:val="0"/>
        <w:widowControl w:val="0"/>
        <w:kinsoku/>
        <w:wordWrap/>
        <w:overflowPunct/>
        <w:topLinePunct w:val="0"/>
        <w:autoSpaceDE/>
        <w:autoSpaceDN/>
        <w:bidi w:val="0"/>
        <w:snapToGrid/>
        <w:spacing w:line="560" w:lineRule="exact"/>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无论是否成交，供应商自行承担有关的全部费用。</w:t>
      </w:r>
    </w:p>
    <w:p w14:paraId="4624E323">
      <w:pPr>
        <w:pStyle w:val="4"/>
        <w:pageBreakBefore w:val="0"/>
        <w:widowControl w:val="0"/>
        <w:kinsoku/>
        <w:wordWrap/>
        <w:overflowPunct/>
        <w:topLinePunct w:val="0"/>
        <w:autoSpaceDE/>
        <w:autoSpaceDN/>
        <w:bidi w:val="0"/>
        <w:snapToGrid/>
        <w:spacing w:before="0" w:after="0" w:line="560" w:lineRule="exact"/>
        <w:ind w:right="0" w:rightChars="0"/>
        <w:jc w:val="both"/>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充分、公平竞争保障措施（实质性要求）</w:t>
      </w:r>
    </w:p>
    <w:p w14:paraId="4E1F3F36">
      <w:pPr>
        <w:pStyle w:val="61"/>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5.1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利害关系供应商处理。单位负责人为同一人或者存在直接控股、管理关系的不同供应商不得参加同一合同项下的政府采购活动。采购项目实行资格预审的，单位负责人为同一人或者存在直接控股、管理关系的不同供应商可以参加资格预审，但只能由供应商确定其中一家符合条件的供应商参加后续的政府采购活动，否则，其响应文件作为</w:t>
      </w:r>
      <w:r>
        <w:rPr>
          <w:rFonts w:hint="eastAsia" w:ascii="宋体" w:hAnsi="宋体" w:eastAsia="宋体" w:cs="宋体"/>
          <w:b/>
          <w:bCs/>
          <w:color w:val="auto"/>
          <w:sz w:val="24"/>
          <w:szCs w:val="24"/>
        </w:rPr>
        <w:t>无效</w:t>
      </w:r>
      <w:r>
        <w:rPr>
          <w:rFonts w:hint="eastAsia" w:ascii="宋体" w:hAnsi="宋体" w:eastAsia="宋体" w:cs="宋体"/>
          <w:color w:val="auto"/>
          <w:sz w:val="24"/>
          <w:szCs w:val="24"/>
        </w:rPr>
        <w:t>处理。</w:t>
      </w:r>
    </w:p>
    <w:p w14:paraId="579520E0">
      <w:pPr>
        <w:pStyle w:val="61"/>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5.2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利害关系授权代表处理。两家以上的供应商不得在同一合同项下的采购项目中，委托同一个自然人、同一家庭的人员、同一单位的人员作为其授权代表，否则，其响应文件作为</w:t>
      </w:r>
      <w:r>
        <w:rPr>
          <w:rFonts w:hint="eastAsia" w:ascii="宋体" w:hAnsi="宋体" w:eastAsia="宋体" w:cs="宋体"/>
          <w:b/>
          <w:bCs/>
          <w:color w:val="auto"/>
          <w:sz w:val="24"/>
          <w:szCs w:val="24"/>
        </w:rPr>
        <w:t>无效</w:t>
      </w:r>
      <w:r>
        <w:rPr>
          <w:rFonts w:hint="eastAsia" w:ascii="宋体" w:hAnsi="宋体" w:eastAsia="宋体" w:cs="宋体"/>
          <w:color w:val="auto"/>
          <w:sz w:val="24"/>
          <w:szCs w:val="24"/>
        </w:rPr>
        <w:t>处理。</w:t>
      </w:r>
    </w:p>
    <w:p w14:paraId="3DED41C8">
      <w:pPr>
        <w:pStyle w:val="61"/>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5.3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前期参与供应商处理。为采购项目提供整体设计、规范编制或者项目管理、监理、检测等服务的供应商，不得再参加该采购项目的其他采购活动。</w:t>
      </w:r>
    </w:p>
    <w:p w14:paraId="387E78E6">
      <w:pPr>
        <w:pStyle w:val="61"/>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 xml:space="preserve">4 </w:t>
      </w:r>
      <w:r>
        <w:rPr>
          <w:rFonts w:hint="eastAsia" w:ascii="宋体" w:hAnsi="宋体" w:eastAsia="宋体" w:cs="宋体"/>
          <w:color w:val="auto"/>
          <w:sz w:val="24"/>
          <w:szCs w:val="24"/>
        </w:rPr>
        <w:t>供应商实</w:t>
      </w:r>
      <w:r>
        <w:rPr>
          <w:rFonts w:hint="eastAsia" w:ascii="宋体" w:hAnsi="宋体" w:eastAsia="宋体" w:cs="宋体"/>
          <w:color w:val="auto"/>
          <w:sz w:val="24"/>
          <w:szCs w:val="24"/>
          <w:highlight w:val="none"/>
        </w:rPr>
        <w:t>际控制人或者中高级管理人员，同时是采购代理机构工作人员，不得参与本项目政府采购活动。</w:t>
      </w:r>
    </w:p>
    <w:p w14:paraId="4851D764">
      <w:pPr>
        <w:keepNext w:val="0"/>
        <w:keepLines w:val="0"/>
        <w:pageBreakBefore w:val="0"/>
        <w:widowControl w:val="0"/>
        <w:kinsoku/>
        <w:wordWrap/>
        <w:overflowPunct/>
        <w:topLinePunct w:val="0"/>
        <w:autoSpaceDE/>
        <w:autoSpaceDN/>
        <w:bidi w:val="0"/>
        <w:snapToGrid/>
        <w:spacing w:line="560" w:lineRule="exact"/>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供应商与采购代理机构存在关联关系，或者是采购代理机构的母公司或子公司，不得参加本项目政府采购活动。</w:t>
      </w:r>
    </w:p>
    <w:p w14:paraId="658CEE5D">
      <w:pPr>
        <w:pStyle w:val="61"/>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hAnsi="宋体" w:eastAsia="宋体" w:cs="宋体"/>
          <w:color w:val="auto"/>
          <w:sz w:val="24"/>
          <w:szCs w:val="24"/>
          <w:lang w:val="en-US" w:eastAsia="zh-CN"/>
        </w:rPr>
        <w:t>6</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回避。政府采购活动中，采购人员及相关人员与供应商有下列利害关系之一的，应当回避：</w:t>
      </w:r>
    </w:p>
    <w:p w14:paraId="5634B073">
      <w:pPr>
        <w:pStyle w:val="61"/>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auto"/>
          <w:sz w:val="24"/>
          <w:szCs w:val="24"/>
        </w:rPr>
      </w:pPr>
      <w:r>
        <w:rPr>
          <w:rFonts w:hint="eastAsia" w:hAnsi="宋体" w:eastAsia="宋体" w:cs="宋体"/>
          <w:color w:val="auto"/>
          <w:sz w:val="24"/>
          <w:szCs w:val="24"/>
          <w:lang w:val="en-US" w:eastAsia="zh-CN"/>
        </w:rPr>
        <w:t>5.6.1</w:t>
      </w:r>
      <w:r>
        <w:rPr>
          <w:rFonts w:hint="eastAsia" w:ascii="宋体" w:hAnsi="宋体" w:eastAsia="宋体" w:cs="宋体"/>
          <w:color w:val="auto"/>
          <w:sz w:val="24"/>
          <w:szCs w:val="24"/>
        </w:rPr>
        <w:t>参加采购活动前3年内与供应商存在劳动关系；</w:t>
      </w:r>
    </w:p>
    <w:p w14:paraId="7606CA2F">
      <w:pPr>
        <w:pStyle w:val="61"/>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auto"/>
          <w:sz w:val="24"/>
          <w:szCs w:val="24"/>
        </w:rPr>
      </w:pPr>
      <w:r>
        <w:rPr>
          <w:rFonts w:hint="eastAsia" w:hAnsi="宋体" w:eastAsia="宋体" w:cs="宋体"/>
          <w:color w:val="auto"/>
          <w:sz w:val="24"/>
          <w:szCs w:val="24"/>
          <w:lang w:val="en-US" w:eastAsia="zh-CN"/>
        </w:rPr>
        <w:t>5.6.2</w:t>
      </w:r>
      <w:r>
        <w:rPr>
          <w:rFonts w:hint="eastAsia" w:ascii="宋体" w:hAnsi="宋体" w:eastAsia="宋体" w:cs="宋体"/>
          <w:color w:val="auto"/>
          <w:sz w:val="24"/>
          <w:szCs w:val="24"/>
        </w:rPr>
        <w:t>参加采购活动前3年内担任供应商的董事、监事；</w:t>
      </w:r>
    </w:p>
    <w:p w14:paraId="3FA81F8D">
      <w:pPr>
        <w:pStyle w:val="61"/>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auto"/>
          <w:sz w:val="24"/>
          <w:szCs w:val="24"/>
        </w:rPr>
      </w:pPr>
      <w:r>
        <w:rPr>
          <w:rFonts w:hint="eastAsia" w:hAnsi="宋体" w:eastAsia="宋体" w:cs="宋体"/>
          <w:color w:val="auto"/>
          <w:sz w:val="24"/>
          <w:szCs w:val="24"/>
          <w:lang w:val="en-US" w:eastAsia="zh-CN"/>
        </w:rPr>
        <w:t>5.6.3</w:t>
      </w:r>
      <w:r>
        <w:rPr>
          <w:rFonts w:hint="eastAsia" w:ascii="宋体" w:hAnsi="宋体" w:eastAsia="宋体" w:cs="宋体"/>
          <w:color w:val="auto"/>
          <w:sz w:val="24"/>
          <w:szCs w:val="24"/>
        </w:rPr>
        <w:t>参加采购活动前3年内是供应商的控股股东或者实际控制人；</w:t>
      </w:r>
    </w:p>
    <w:p w14:paraId="45AF3FB3">
      <w:pPr>
        <w:pStyle w:val="61"/>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auto"/>
          <w:sz w:val="24"/>
          <w:szCs w:val="24"/>
          <w:highlight w:val="none"/>
        </w:rPr>
      </w:pPr>
      <w:r>
        <w:rPr>
          <w:rFonts w:hint="eastAsia" w:hAnsi="宋体" w:eastAsia="宋体" w:cs="宋体"/>
          <w:color w:val="auto"/>
          <w:sz w:val="24"/>
          <w:szCs w:val="24"/>
          <w:lang w:val="en-US" w:eastAsia="zh-CN"/>
        </w:rPr>
        <w:t>5.6.4</w:t>
      </w:r>
      <w:r>
        <w:rPr>
          <w:rFonts w:hint="eastAsia" w:ascii="宋体" w:hAnsi="宋体" w:eastAsia="宋体" w:cs="宋体"/>
          <w:color w:val="auto"/>
          <w:sz w:val="24"/>
          <w:szCs w:val="24"/>
        </w:rPr>
        <w:t>与供应商的法定代表人或者负责人有夫妻、直系血</w:t>
      </w:r>
      <w:r>
        <w:rPr>
          <w:rFonts w:hint="eastAsia" w:ascii="宋体" w:hAnsi="宋体" w:eastAsia="宋体" w:cs="宋体"/>
          <w:color w:val="auto"/>
          <w:sz w:val="24"/>
          <w:szCs w:val="24"/>
          <w:highlight w:val="none"/>
        </w:rPr>
        <w:t>亲、三代以内旁系血亲或者近姻亲关系；</w:t>
      </w:r>
    </w:p>
    <w:p w14:paraId="469BB6AE">
      <w:pPr>
        <w:pStyle w:val="61"/>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5.6.5</w:t>
      </w:r>
      <w:r>
        <w:rPr>
          <w:rFonts w:hint="eastAsia" w:ascii="宋体" w:hAnsi="宋体" w:eastAsia="宋体" w:cs="宋体"/>
          <w:color w:val="auto"/>
          <w:sz w:val="24"/>
          <w:szCs w:val="24"/>
          <w:highlight w:val="none"/>
        </w:rPr>
        <w:t>与供应商有其他可能影响政府采购活动公平、公正进行的关系。</w:t>
      </w:r>
    </w:p>
    <w:p w14:paraId="7FD4F371">
      <w:pPr>
        <w:pStyle w:val="61"/>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政府采购活动中需要依法回避的采购人员是指采购人内部负责采购项目的具体经办工作人员和直接分管采购项目的负责人，以及采购代理机构负责采购项目的具体经办工作人员和直接分管采购活动的负责人。本项目政府采购活动中需要依法回避的相关人员是指</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小组成员。</w:t>
      </w:r>
    </w:p>
    <w:p w14:paraId="7446FD7F">
      <w:pPr>
        <w:pStyle w:val="61"/>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供应商认为采购人员及相关人员与其他供应商有利害关系的，可以向采购代理机构书面提出回避申请，并说明理由。采购代理机构将及时询问被申请回避人员，有利害关系的被申请回避人员应当回避。</w:t>
      </w:r>
    </w:p>
    <w:p w14:paraId="248E4C95">
      <w:pPr>
        <w:pStyle w:val="4"/>
        <w:pageBreakBefore w:val="0"/>
        <w:widowControl w:val="0"/>
        <w:kinsoku/>
        <w:wordWrap/>
        <w:overflowPunct/>
        <w:topLinePunct w:val="0"/>
        <w:autoSpaceDE/>
        <w:autoSpaceDN/>
        <w:bidi w:val="0"/>
        <w:snapToGrid/>
        <w:spacing w:before="0" w:after="0" w:line="560" w:lineRule="exact"/>
        <w:ind w:right="0" w:rightChars="0"/>
        <w:jc w:val="both"/>
        <w:rPr>
          <w:rFonts w:hint="eastAsia" w:ascii="宋体" w:hAnsi="宋体" w:eastAsia="宋体" w:cs="宋体"/>
          <w:color w:val="auto"/>
          <w:sz w:val="24"/>
          <w:szCs w:val="24"/>
        </w:rPr>
      </w:pPr>
      <w:r>
        <w:rPr>
          <w:rFonts w:hint="eastAsia" w:ascii="宋体" w:hAnsi="宋体" w:eastAsia="宋体" w:cs="宋体"/>
          <w:color w:val="auto"/>
          <w:sz w:val="24"/>
          <w:szCs w:val="24"/>
        </w:rPr>
        <w:t>6.</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联合体</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lang w:val="en-US" w:eastAsia="zh-CN"/>
        </w:rPr>
        <w:t>要求</w:t>
      </w:r>
    </w:p>
    <w:p w14:paraId="7505B842">
      <w:pPr>
        <w:pStyle w:val="61"/>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如本项目允许联合体投标，对联合体规定如下：</w:t>
      </w:r>
    </w:p>
    <w:p w14:paraId="78516417">
      <w:pPr>
        <w:pStyle w:val="61"/>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6.1 两个以上供应商可以组成一个联合体参加</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，以一个供应商的身份参加</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。以联合体</w:t>
      </w:r>
      <w:r>
        <w:rPr>
          <w:rFonts w:hint="eastAsia" w:hAnsi="宋体" w:cs="宋体"/>
          <w:color w:val="auto"/>
          <w:sz w:val="24"/>
          <w:szCs w:val="24"/>
          <w:lang w:eastAsia="zh-CN"/>
        </w:rPr>
        <w:t>形式</w:t>
      </w:r>
      <w:r>
        <w:rPr>
          <w:rFonts w:hint="eastAsia" w:ascii="宋体" w:hAnsi="宋体" w:eastAsia="宋体" w:cs="宋体"/>
          <w:color w:val="auto"/>
          <w:sz w:val="24"/>
          <w:szCs w:val="24"/>
        </w:rPr>
        <w:t>参加</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的，联合体各方</w:t>
      </w:r>
      <w:r>
        <w:rPr>
          <w:rFonts w:hint="eastAsia" w:ascii="宋体" w:hAnsi="宋体" w:eastAsia="宋体" w:cs="宋体"/>
          <w:color w:val="auto"/>
          <w:sz w:val="24"/>
          <w:szCs w:val="24"/>
          <w:highlight w:val="none"/>
        </w:rPr>
        <w:t>均应当满足《中华人民共和国政府采购法》第二十二条规定</w:t>
      </w:r>
      <w:r>
        <w:rPr>
          <w:rFonts w:hint="eastAsia" w:ascii="宋体" w:hAnsi="宋体" w:eastAsia="宋体" w:cs="宋体"/>
          <w:color w:val="auto"/>
          <w:sz w:val="24"/>
          <w:szCs w:val="24"/>
          <w:highlight w:val="none"/>
          <w:lang w:val="en-US" w:eastAsia="zh-CN"/>
        </w:rPr>
        <w:t>的资格</w:t>
      </w:r>
      <w:r>
        <w:rPr>
          <w:rFonts w:hint="eastAsia" w:ascii="宋体" w:hAnsi="宋体" w:eastAsia="宋体" w:cs="宋体"/>
          <w:color w:val="auto"/>
          <w:sz w:val="24"/>
          <w:szCs w:val="24"/>
          <w:highlight w:val="none"/>
        </w:rPr>
        <w:t>条件，联合体各方中至少有一方符合</w:t>
      </w:r>
      <w:r>
        <w:rPr>
          <w:rFonts w:hint="eastAsia" w:ascii="宋体" w:hAnsi="宋体" w:eastAsia="宋体" w:cs="宋体"/>
          <w:color w:val="auto"/>
          <w:sz w:val="24"/>
          <w:szCs w:val="24"/>
          <w:highlight w:val="none"/>
          <w:lang w:val="en-US" w:eastAsia="zh-CN"/>
        </w:rPr>
        <w:t>本项目规定</w:t>
      </w:r>
      <w:r>
        <w:rPr>
          <w:rFonts w:hint="eastAsia" w:ascii="宋体" w:hAnsi="宋体" w:eastAsia="宋体" w:cs="宋体"/>
          <w:color w:val="auto"/>
          <w:sz w:val="24"/>
          <w:szCs w:val="24"/>
          <w:highlight w:val="none"/>
        </w:rPr>
        <w:t>的特定条件。</w:t>
      </w:r>
    </w:p>
    <w:p w14:paraId="6395428F">
      <w:pPr>
        <w:pStyle w:val="61"/>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6.2 联合体各方之间应当签订联合体共同响应协议，明确约定联合体各方承担的工作和相应的责任。联合体参加</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的，应在响应文件</w:t>
      </w:r>
      <w:r>
        <w:rPr>
          <w:rFonts w:hint="eastAsia" w:hAnsi="宋体" w:cs="宋体"/>
          <w:color w:val="auto"/>
          <w:sz w:val="24"/>
          <w:szCs w:val="24"/>
          <w:lang w:eastAsia="zh-CN"/>
        </w:rPr>
        <w:t>中提供</w:t>
      </w:r>
      <w:r>
        <w:rPr>
          <w:rFonts w:hint="eastAsia" w:ascii="宋体" w:hAnsi="宋体" w:eastAsia="宋体" w:cs="宋体"/>
          <w:color w:val="auto"/>
          <w:sz w:val="24"/>
          <w:szCs w:val="24"/>
        </w:rPr>
        <w:t>联合体协议原件。</w:t>
      </w:r>
    </w:p>
    <w:p w14:paraId="0D10862D">
      <w:pPr>
        <w:pStyle w:val="61"/>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6.3 联合体应当确定其中一个单位为</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的全权代表，负责参加</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的一切事务。</w:t>
      </w:r>
    </w:p>
    <w:p w14:paraId="2818FBB3">
      <w:pPr>
        <w:pStyle w:val="61"/>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6.4 联合体各方应当共同与采购人签订采购合同，就采购合同约定的事项对采购人承担连带责任。</w:t>
      </w:r>
    </w:p>
    <w:p w14:paraId="42BEAB8E">
      <w:pPr>
        <w:pStyle w:val="61"/>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6.5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联合体中有同类资质的供应商按照联合体分工承担相同工作的，将按照资质等级较低的供应商确定资质等级。</w:t>
      </w:r>
    </w:p>
    <w:p w14:paraId="4510B567">
      <w:pPr>
        <w:pStyle w:val="61"/>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6.6</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以联合体形式参加政府采购活动的，联合体各方不得再单独参加或者与其他供应商另外组成联合体参加同一合同项下的政府采购活动</w:t>
      </w:r>
      <w:r>
        <w:rPr>
          <w:rFonts w:hint="eastAsia" w:ascii="宋体" w:hAnsi="宋体" w:eastAsia="宋体" w:cs="宋体"/>
          <w:color w:val="auto"/>
          <w:sz w:val="24"/>
          <w:szCs w:val="24"/>
          <w:lang w:eastAsia="zh-CN"/>
        </w:rPr>
        <w:t>，否则相关响应将被认定为响应</w:t>
      </w:r>
      <w:r>
        <w:rPr>
          <w:rFonts w:hint="eastAsia" w:ascii="宋体" w:hAnsi="宋体" w:eastAsia="宋体" w:cs="宋体"/>
          <w:b/>
          <w:bCs/>
          <w:color w:val="auto"/>
          <w:sz w:val="24"/>
          <w:szCs w:val="24"/>
          <w:lang w:eastAsia="zh-CN"/>
        </w:rPr>
        <w:t>无效</w:t>
      </w:r>
      <w:r>
        <w:rPr>
          <w:rFonts w:hint="eastAsia" w:ascii="宋体" w:hAnsi="宋体" w:eastAsia="宋体" w:cs="宋体"/>
          <w:color w:val="auto"/>
          <w:sz w:val="24"/>
          <w:szCs w:val="24"/>
          <w:lang w:eastAsia="zh-CN"/>
        </w:rPr>
        <w:t>。</w:t>
      </w:r>
    </w:p>
    <w:p w14:paraId="6A4AABDF">
      <w:pPr>
        <w:pStyle w:val="61"/>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6.7 大中型企业、其他自然人、法人或者非法人组织与小型、微型企业组成联合体共同参加的，共同响应协议中应写明小型、微型企业的协议合同金额占到共同响应协议投标总金额的比例。</w:t>
      </w:r>
    </w:p>
    <w:p w14:paraId="2F332697">
      <w:pPr>
        <w:pStyle w:val="4"/>
        <w:pageBreakBefore w:val="0"/>
        <w:widowControl w:val="0"/>
        <w:kinsoku/>
        <w:wordWrap/>
        <w:overflowPunct/>
        <w:topLinePunct w:val="0"/>
        <w:autoSpaceDE/>
        <w:autoSpaceDN/>
        <w:bidi w:val="0"/>
        <w:snapToGrid/>
        <w:spacing w:before="0" w:after="0" w:line="560" w:lineRule="exact"/>
        <w:ind w:right="0" w:rightChars="0"/>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 谈判保证金</w:t>
      </w:r>
      <w:r>
        <w:rPr>
          <w:rFonts w:hint="eastAsia" w:ascii="宋体" w:hAnsi="宋体" w:cs="宋体"/>
          <w:color w:val="auto"/>
          <w:sz w:val="24"/>
          <w:szCs w:val="24"/>
          <w:lang w:val="en-US" w:eastAsia="zh-CN"/>
        </w:rPr>
        <w:t>（本项目不收取保证金）</w:t>
      </w:r>
    </w:p>
    <w:p w14:paraId="62CB2DAD">
      <w:pPr>
        <w:keepNext w:val="0"/>
        <w:keepLines w:val="0"/>
        <w:pageBreakBefore w:val="0"/>
        <w:widowControl w:val="0"/>
        <w:kinsoku/>
        <w:wordWrap/>
        <w:overflowPunct/>
        <w:topLinePunct w:val="0"/>
        <w:autoSpaceDE/>
        <w:autoSpaceDN/>
        <w:bidi w:val="0"/>
        <w:snapToGrid/>
        <w:spacing w:line="560" w:lineRule="exact"/>
        <w:ind w:right="0" w:rightChars="0" w:firstLine="470" w:firstLineChars="196"/>
        <w:jc w:val="both"/>
        <w:outlineLvl w:val="9"/>
        <w:rPr>
          <w:rFonts w:hint="eastAsia" w:ascii="宋体" w:hAnsi="宋体" w:eastAsia="宋体" w:cs="宋体"/>
          <w:color w:val="auto"/>
          <w:sz w:val="24"/>
          <w:szCs w:val="24"/>
        </w:rPr>
      </w:pPr>
      <w:bookmarkStart w:id="129" w:name="_Toc27607"/>
      <w:bookmarkStart w:id="130" w:name="_Toc1861"/>
      <w:r>
        <w:rPr>
          <w:rFonts w:hint="eastAsia" w:ascii="宋体" w:hAnsi="宋体" w:eastAsia="宋体" w:cs="宋体"/>
          <w:color w:val="auto"/>
          <w:sz w:val="24"/>
          <w:szCs w:val="24"/>
        </w:rPr>
        <w:t>7.1 供应商必须以人民币为计量单位提交</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规定数额的</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保证金。联合体</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的，可以由联合体的一方或者共同提交</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保证金，以一方名义提交</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保证金的，对联合体各方均具有约束力。</w:t>
      </w:r>
    </w:p>
    <w:p w14:paraId="654EC81A">
      <w:pPr>
        <w:keepNext w:val="0"/>
        <w:keepLines w:val="0"/>
        <w:pageBreakBefore w:val="0"/>
        <w:widowControl w:val="0"/>
        <w:kinsoku/>
        <w:wordWrap/>
        <w:overflowPunct/>
        <w:topLinePunct w:val="0"/>
        <w:autoSpaceDE/>
        <w:autoSpaceDN/>
        <w:bidi w:val="0"/>
        <w:snapToGrid/>
        <w:spacing w:line="560" w:lineRule="exact"/>
        <w:ind w:right="0" w:rightChars="0" w:firstLine="470" w:firstLineChars="196"/>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7.2 未按</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文件要求在规定时间前交纳规定数额</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保证金的响应文件</w:t>
      </w:r>
      <w:r>
        <w:rPr>
          <w:rFonts w:hint="eastAsia" w:ascii="宋体" w:hAnsi="宋体" w:eastAsia="宋体" w:cs="宋体"/>
          <w:b/>
          <w:bCs/>
          <w:color w:val="auto"/>
          <w:sz w:val="24"/>
          <w:szCs w:val="24"/>
        </w:rPr>
        <w:t>无效</w:t>
      </w:r>
      <w:r>
        <w:rPr>
          <w:rFonts w:hint="eastAsia" w:ascii="宋体" w:hAnsi="宋体" w:eastAsia="宋体" w:cs="宋体"/>
          <w:color w:val="auto"/>
          <w:sz w:val="24"/>
          <w:szCs w:val="24"/>
        </w:rPr>
        <w:t>。</w:t>
      </w:r>
    </w:p>
    <w:p w14:paraId="567C5353">
      <w:pPr>
        <w:keepNext w:val="0"/>
        <w:keepLines w:val="0"/>
        <w:pageBreakBefore w:val="0"/>
        <w:widowControl w:val="0"/>
        <w:kinsoku/>
        <w:wordWrap/>
        <w:overflowPunct/>
        <w:topLinePunct w:val="0"/>
        <w:autoSpaceDE/>
        <w:autoSpaceDN/>
        <w:bidi w:val="0"/>
        <w:snapToGrid/>
        <w:spacing w:line="560" w:lineRule="exact"/>
        <w:ind w:right="0" w:rightChars="0" w:firstLine="470" w:firstLineChars="196"/>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7.3 供应商所交纳的</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保证金不计利息。</w:t>
      </w:r>
    </w:p>
    <w:p w14:paraId="1FDFBE6B">
      <w:pPr>
        <w:keepNext w:val="0"/>
        <w:keepLines w:val="0"/>
        <w:pageBreakBefore w:val="0"/>
        <w:widowControl w:val="0"/>
        <w:kinsoku/>
        <w:wordWrap/>
        <w:overflowPunct/>
        <w:topLinePunct w:val="0"/>
        <w:autoSpaceDE/>
        <w:autoSpaceDN/>
        <w:bidi w:val="0"/>
        <w:snapToGrid/>
        <w:spacing w:line="560" w:lineRule="exact"/>
        <w:ind w:right="0" w:rightChars="0" w:firstLine="470" w:firstLineChars="196"/>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7.4 未成交供应商的</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保证金，将在成交通知书发出后五个工作日内全额退还。成交供应商的</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保证金，在合同签订生效并</w:t>
      </w:r>
      <w:r>
        <w:rPr>
          <w:rFonts w:hint="eastAsia" w:ascii="宋体" w:hAnsi="宋体" w:eastAsia="宋体" w:cs="宋体"/>
          <w:color w:val="auto"/>
          <w:sz w:val="24"/>
          <w:szCs w:val="24"/>
          <w:lang w:val="en-US" w:eastAsia="zh-CN"/>
        </w:rPr>
        <w:t>递交到采购代理机构</w:t>
      </w:r>
      <w:r>
        <w:rPr>
          <w:rFonts w:hint="eastAsia" w:ascii="宋体" w:hAnsi="宋体" w:eastAsia="宋体" w:cs="宋体"/>
          <w:color w:val="auto"/>
          <w:sz w:val="24"/>
          <w:szCs w:val="24"/>
        </w:rPr>
        <w:t>后五个工作日内全额退还。（注：①因供应商自身原因造成的保证金延迟退还，采购代理机构不承担相应责任；②供应商因涉嫌违法违规，按照规定应当不予退还保证金的，有关部门处理认定违法违规行为期间不计入退还保证金期限内。）</w:t>
      </w:r>
    </w:p>
    <w:p w14:paraId="1FAB2FF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70" w:firstLineChars="196"/>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7.5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发生下列情形之一的，采购代理机构将不予退还</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保证金：</w:t>
      </w:r>
    </w:p>
    <w:p w14:paraId="3D83A41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70" w:firstLineChars="196"/>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7.5.1</w:t>
      </w:r>
      <w:r>
        <w:rPr>
          <w:rFonts w:hint="eastAsia" w:ascii="宋体" w:hAnsi="宋体" w:eastAsia="宋体" w:cs="宋体"/>
          <w:color w:val="auto"/>
          <w:sz w:val="24"/>
          <w:szCs w:val="24"/>
        </w:rPr>
        <w:t>在</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规定的</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截止时间后撤回</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的；</w:t>
      </w:r>
    </w:p>
    <w:p w14:paraId="27EB2C7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70" w:firstLineChars="196"/>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7.5.2</w:t>
      </w:r>
      <w:r>
        <w:rPr>
          <w:rFonts w:hint="eastAsia" w:ascii="宋体" w:hAnsi="宋体" w:eastAsia="宋体" w:cs="宋体"/>
          <w:color w:val="auto"/>
          <w:sz w:val="24"/>
          <w:szCs w:val="24"/>
        </w:rPr>
        <w:t>在采购人确定成交人之前放弃成交候选资格的；</w:t>
      </w:r>
    </w:p>
    <w:p w14:paraId="4F9348C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70" w:firstLineChars="196"/>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7.5.3</w:t>
      </w:r>
      <w:r>
        <w:rPr>
          <w:rFonts w:hint="eastAsia" w:ascii="宋体" w:hAnsi="宋体" w:eastAsia="宋体" w:cs="宋体"/>
          <w:color w:val="auto"/>
          <w:sz w:val="24"/>
          <w:szCs w:val="24"/>
        </w:rPr>
        <w:t>成交后放弃成交、不领取或者不接收成交通知书的；</w:t>
      </w:r>
    </w:p>
    <w:p w14:paraId="667684A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70" w:firstLineChars="196"/>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7.5.4</w:t>
      </w:r>
      <w:r>
        <w:rPr>
          <w:rFonts w:hint="eastAsia" w:ascii="宋体" w:hAnsi="宋体" w:eastAsia="宋体" w:cs="宋体"/>
          <w:color w:val="auto"/>
          <w:sz w:val="24"/>
          <w:szCs w:val="24"/>
        </w:rPr>
        <w:t>由于成交人的原因未能按照</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的规定与采购人签订合同的；</w:t>
      </w:r>
    </w:p>
    <w:p w14:paraId="16D4D9E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70" w:firstLineChars="196"/>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7.5.5</w:t>
      </w:r>
      <w:r>
        <w:rPr>
          <w:rFonts w:hint="eastAsia" w:ascii="宋体" w:hAnsi="宋体" w:eastAsia="宋体" w:cs="宋体"/>
          <w:color w:val="auto"/>
          <w:sz w:val="24"/>
          <w:szCs w:val="24"/>
        </w:rPr>
        <w:t>由于成交人的原因未能按照</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的规定交纳履约保证金的；</w:t>
      </w:r>
    </w:p>
    <w:p w14:paraId="57A4784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70" w:firstLineChars="196"/>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7.5.6</w:t>
      </w:r>
      <w:r>
        <w:rPr>
          <w:rFonts w:hint="eastAsia" w:ascii="宋体" w:hAnsi="宋体" w:eastAsia="宋体" w:cs="宋体"/>
          <w:color w:val="auto"/>
          <w:sz w:val="24"/>
          <w:szCs w:val="24"/>
        </w:rPr>
        <w:t>供应商提供虚假资料的；</w:t>
      </w:r>
    </w:p>
    <w:p w14:paraId="08D05EFF">
      <w:pPr>
        <w:keepNext w:val="0"/>
        <w:keepLines w:val="0"/>
        <w:pageBreakBefore w:val="0"/>
        <w:widowControl w:val="0"/>
        <w:kinsoku/>
        <w:wordWrap/>
        <w:overflowPunct/>
        <w:topLinePunct w:val="0"/>
        <w:autoSpaceDE/>
        <w:autoSpaceDN/>
        <w:bidi w:val="0"/>
        <w:adjustRightInd/>
        <w:snapToGrid/>
        <w:spacing w:afterAutospacing="0" w:line="560" w:lineRule="exact"/>
        <w:ind w:left="0" w:leftChars="0" w:right="0" w:rightChars="0" w:firstLine="470" w:firstLineChars="196"/>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7.5.7</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有效期内，供应商在政府采购活动中有违法、违规、违纪行为。</w:t>
      </w:r>
    </w:p>
    <w:p w14:paraId="14E1AEA4">
      <w:pPr>
        <w:pStyle w:val="4"/>
        <w:pageBreakBefore w:val="0"/>
        <w:widowControl w:val="0"/>
        <w:kinsoku/>
        <w:wordWrap/>
        <w:overflowPunct/>
        <w:topLinePunct w:val="0"/>
        <w:autoSpaceDE/>
        <w:autoSpaceDN/>
        <w:bidi w:val="0"/>
        <w:snapToGrid/>
        <w:spacing w:before="0" w:after="0" w:line="560" w:lineRule="exact"/>
        <w:ind w:right="0" w:righ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 响应文件有效期（实质性要求）</w:t>
      </w:r>
      <w:bookmarkEnd w:id="129"/>
      <w:bookmarkEnd w:id="130"/>
    </w:p>
    <w:p w14:paraId="0F58202A">
      <w:pPr>
        <w:keepNext w:val="0"/>
        <w:keepLines w:val="0"/>
        <w:pageBreakBefore w:val="0"/>
        <w:widowControl w:val="0"/>
        <w:kinsoku/>
        <w:wordWrap/>
        <w:overflowPunct/>
        <w:topLinePunct w:val="0"/>
        <w:autoSpaceDE/>
        <w:autoSpaceDN/>
        <w:bidi w:val="0"/>
        <w:snapToGrid/>
        <w:spacing w:beforeAutospacing="0" w:line="560" w:lineRule="exact"/>
        <w:ind w:right="0" w:rightChars="0" w:firstLine="470" w:firstLineChars="196"/>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本项目响应文件有效期</w:t>
      </w:r>
      <w:r>
        <w:rPr>
          <w:rFonts w:hint="eastAsia" w:ascii="宋体" w:hAnsi="宋体" w:eastAsia="宋体" w:cs="宋体"/>
          <w:color w:val="auto"/>
          <w:sz w:val="24"/>
          <w:szCs w:val="24"/>
          <w:lang w:val="en-US" w:eastAsia="zh-CN"/>
        </w:rPr>
        <w:t>详见</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color w:val="auto"/>
          <w:sz w:val="24"/>
          <w:szCs w:val="24"/>
          <w:highlight w:val="none"/>
        </w:rPr>
        <w:t>。供</w:t>
      </w:r>
      <w:r>
        <w:rPr>
          <w:rFonts w:hint="eastAsia" w:ascii="宋体" w:hAnsi="宋体" w:eastAsia="宋体" w:cs="宋体"/>
          <w:color w:val="auto"/>
          <w:sz w:val="24"/>
          <w:szCs w:val="24"/>
        </w:rPr>
        <w:t>应商响应文件中必须载明响应文件有效期，响应文件中载明的响应文件有效期可以长于</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规定的期限，但不得短于</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规定的期限。否则，其响应文件将作为无效响应处理。</w:t>
      </w:r>
    </w:p>
    <w:p w14:paraId="627FF515">
      <w:pPr>
        <w:pStyle w:val="4"/>
        <w:pageBreakBefore w:val="0"/>
        <w:widowControl w:val="0"/>
        <w:kinsoku/>
        <w:wordWrap/>
        <w:overflowPunct/>
        <w:topLinePunct w:val="0"/>
        <w:autoSpaceDE/>
        <w:autoSpaceDN/>
        <w:bidi w:val="0"/>
        <w:snapToGrid/>
        <w:spacing w:before="0" w:after="0" w:line="560" w:lineRule="exact"/>
        <w:ind w:right="0" w:righ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 知识产权（实质性要求）</w:t>
      </w:r>
    </w:p>
    <w:p w14:paraId="4C9951ED">
      <w:pPr>
        <w:pStyle w:val="12"/>
        <w:keepNext w:val="0"/>
        <w:keepLines w:val="0"/>
        <w:pageBreakBefore w:val="0"/>
        <w:widowControl w:val="0"/>
        <w:kinsoku/>
        <w:wordWrap/>
        <w:overflowPunct/>
        <w:topLinePunct w:val="0"/>
        <w:autoSpaceDE/>
        <w:autoSpaceDN/>
        <w:bidi w:val="0"/>
        <w:snapToGrid/>
        <w:spacing w:line="560" w:lineRule="exact"/>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9.1 供应商应保证在本项目中使用的任何产品和服务（包括部分使用），不会产生因第三方提出侵犯其专利权、商标权或</w:t>
      </w:r>
      <w:r>
        <w:rPr>
          <w:rFonts w:hint="eastAsia" w:ascii="宋体" w:hAnsi="宋体" w:cs="宋体"/>
          <w:color w:val="auto"/>
          <w:sz w:val="24"/>
          <w:szCs w:val="24"/>
          <w:lang w:eastAsia="zh-CN"/>
        </w:rPr>
        <w:t>其他</w:t>
      </w:r>
      <w:r>
        <w:rPr>
          <w:rFonts w:hint="eastAsia" w:ascii="宋体" w:hAnsi="宋体" w:eastAsia="宋体" w:cs="宋体"/>
          <w:color w:val="auto"/>
          <w:sz w:val="24"/>
          <w:szCs w:val="24"/>
        </w:rPr>
        <w:t>知识产权而引起的法律和经济纠纷，如因专利权、商标权或</w:t>
      </w:r>
      <w:r>
        <w:rPr>
          <w:rFonts w:hint="eastAsia" w:ascii="宋体" w:hAnsi="宋体" w:cs="宋体"/>
          <w:color w:val="auto"/>
          <w:sz w:val="24"/>
          <w:szCs w:val="24"/>
          <w:lang w:eastAsia="zh-CN"/>
        </w:rPr>
        <w:t>其他</w:t>
      </w:r>
      <w:r>
        <w:rPr>
          <w:rFonts w:hint="eastAsia" w:ascii="宋体" w:hAnsi="宋体" w:eastAsia="宋体" w:cs="宋体"/>
          <w:color w:val="auto"/>
          <w:sz w:val="24"/>
          <w:szCs w:val="24"/>
        </w:rPr>
        <w:t>知识产权而引起法律和经济纠纷，由供应商承担所有相关责任。</w:t>
      </w:r>
    </w:p>
    <w:p w14:paraId="6A90EEAE">
      <w:pPr>
        <w:pStyle w:val="12"/>
        <w:keepNext w:val="0"/>
        <w:keepLines w:val="0"/>
        <w:pageBreakBefore w:val="0"/>
        <w:widowControl w:val="0"/>
        <w:kinsoku/>
        <w:wordWrap/>
        <w:overflowPunct/>
        <w:topLinePunct w:val="0"/>
        <w:autoSpaceDE/>
        <w:autoSpaceDN/>
        <w:bidi w:val="0"/>
        <w:snapToGrid/>
        <w:spacing w:line="560" w:lineRule="exact"/>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9.2 除非</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特别规定，采购人享有本项目实施过程中产生的知识成果及知识产权。</w:t>
      </w:r>
    </w:p>
    <w:p w14:paraId="7E83013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9.3 供应商如欲在项目实施过程中采用自有知识成果，需在响应文件中声明，</w:t>
      </w:r>
      <w:r>
        <w:rPr>
          <w:rFonts w:hint="eastAsia" w:ascii="宋体" w:hAnsi="宋体" w:cs="宋体"/>
          <w:color w:val="auto"/>
          <w:sz w:val="24"/>
          <w:szCs w:val="24"/>
          <w:lang w:eastAsia="zh-CN"/>
        </w:rPr>
        <w:t>并</w:t>
      </w:r>
      <w:r>
        <w:rPr>
          <w:rFonts w:hint="eastAsia" w:ascii="宋体" w:hAnsi="宋体" w:eastAsia="宋体" w:cs="宋体"/>
          <w:color w:val="auto"/>
          <w:sz w:val="24"/>
          <w:szCs w:val="24"/>
        </w:rPr>
        <w:t>在响应文件中载明，并提供相关知识产权证明文件。使用该知识成果后，供应商需提供开发接口和开发手册等技术文档，并承诺提供无限期技术支持，采购人享有永久使用权（含采购人委托第三方在该项目后续开发的使用权）。</w:t>
      </w:r>
    </w:p>
    <w:p w14:paraId="754CDF6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60" w:firstLineChars="192"/>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9.4 如采用供应商所不拥有的知识产权，则在报价中必须包括合法获取该知识产权的相关费用。 </w:t>
      </w:r>
    </w:p>
    <w:p w14:paraId="2136A4A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宋体" w:hAnsi="宋体" w:eastAsia="宋体" w:cs="宋体"/>
          <w:bCs/>
          <w:color w:val="auto"/>
          <w:sz w:val="24"/>
          <w:szCs w:val="24"/>
        </w:rPr>
      </w:pPr>
    </w:p>
    <w:p w14:paraId="3E92AF06">
      <w:pPr>
        <w:pStyle w:val="3"/>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right="0" w:rightChars="0"/>
        <w:jc w:val="center"/>
        <w:textAlignment w:val="auto"/>
        <w:rPr>
          <w:rFonts w:hint="eastAsia" w:ascii="宋体" w:hAnsi="宋体" w:eastAsia="宋体" w:cs="宋体"/>
          <w:bCs/>
          <w:color w:val="auto"/>
          <w:sz w:val="32"/>
          <w:szCs w:val="32"/>
        </w:rPr>
      </w:pPr>
      <w:bookmarkStart w:id="131" w:name="_Toc28709"/>
      <w:bookmarkStart w:id="132" w:name="_Toc16309"/>
      <w:bookmarkStart w:id="133" w:name="_Toc17036"/>
      <w:bookmarkStart w:id="134" w:name="_Toc4105"/>
      <w:bookmarkStart w:id="135" w:name="_Toc22362_WPSOffice_Level2"/>
      <w:r>
        <w:rPr>
          <w:rFonts w:hint="eastAsia" w:ascii="宋体" w:hAnsi="宋体" w:eastAsia="宋体" w:cs="宋体"/>
          <w:bCs/>
          <w:color w:val="auto"/>
          <w:sz w:val="32"/>
          <w:szCs w:val="32"/>
        </w:rPr>
        <w:t>三、</w:t>
      </w:r>
      <w:r>
        <w:rPr>
          <w:rFonts w:hint="eastAsia" w:ascii="宋体" w:hAnsi="宋体" w:eastAsia="宋体" w:cs="宋体"/>
          <w:bCs/>
          <w:color w:val="auto"/>
          <w:sz w:val="32"/>
          <w:szCs w:val="32"/>
          <w:lang w:eastAsia="zh-CN"/>
        </w:rPr>
        <w:t>谈判文件</w:t>
      </w:r>
      <w:bookmarkEnd w:id="131"/>
      <w:bookmarkEnd w:id="132"/>
      <w:bookmarkEnd w:id="133"/>
      <w:bookmarkEnd w:id="134"/>
      <w:bookmarkEnd w:id="135"/>
    </w:p>
    <w:p w14:paraId="3242474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p>
    <w:p w14:paraId="159ADEA9">
      <w:pPr>
        <w:pStyle w:val="4"/>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谈判文件的构成</w:t>
      </w:r>
    </w:p>
    <w:p w14:paraId="28563D8B">
      <w:pPr>
        <w:keepNext w:val="0"/>
        <w:keepLines w:val="0"/>
        <w:pageBreakBefore w:val="0"/>
        <w:widowControl w:val="0"/>
        <w:tabs>
          <w:tab w:val="left" w:pos="720"/>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谈判文件</w:t>
      </w:r>
      <w:r>
        <w:rPr>
          <w:rFonts w:hint="eastAsia" w:ascii="宋体" w:hAnsi="宋体" w:eastAsia="宋体" w:cs="宋体"/>
          <w:color w:val="auto"/>
          <w:sz w:val="24"/>
          <w:szCs w:val="24"/>
          <w:highlight w:val="none"/>
        </w:rPr>
        <w:t>是供应商准备响应文件和参加</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的依据，同时也是</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的重要依据。</w:t>
      </w:r>
      <w:r>
        <w:rPr>
          <w:rFonts w:hint="eastAsia" w:ascii="宋体" w:hAnsi="宋体" w:eastAsia="宋体" w:cs="宋体"/>
          <w:color w:val="auto"/>
          <w:sz w:val="24"/>
          <w:szCs w:val="24"/>
          <w:highlight w:val="none"/>
          <w:lang w:eastAsia="zh-CN"/>
        </w:rPr>
        <w:t>谈判文件</w:t>
      </w:r>
      <w:r>
        <w:rPr>
          <w:rFonts w:hint="eastAsia" w:ascii="宋体" w:hAnsi="宋体" w:eastAsia="宋体" w:cs="宋体"/>
          <w:color w:val="auto"/>
          <w:sz w:val="24"/>
          <w:szCs w:val="24"/>
          <w:highlight w:val="none"/>
        </w:rPr>
        <w:t>用以阐明</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项目所需的资质、技术、服务及报价等要求</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程序、有关规定和注意事项以及合同主要条款等。</w:t>
      </w:r>
    </w:p>
    <w:p w14:paraId="1D8CC52E">
      <w:pPr>
        <w:pageBreakBefore w:val="0"/>
        <w:widowControl w:val="0"/>
        <w:tabs>
          <w:tab w:val="left" w:pos="7665"/>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b/>
          <w:bCs/>
          <w:color w:val="auto"/>
          <w:sz w:val="24"/>
          <w:szCs w:val="24"/>
        </w:rPr>
        <w:t>.</w:t>
      </w:r>
      <w:r>
        <w:rPr>
          <w:rFonts w:hint="eastAsia" w:ascii="宋体" w:hAnsi="宋体" w:eastAsia="宋体" w:cs="宋体"/>
          <w:color w:val="auto"/>
          <w:sz w:val="24"/>
          <w:szCs w:val="24"/>
        </w:rPr>
        <w:t>2 供应商应认真阅读和充分理解</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中所有的事项、格式条款和规范要求。供应商应详细阅读</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的全部内容，按照</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的要求提供响应文件，并保证所提供的全部资料的真实性和有效性，一经发现有虚假行为的，将取消其参加</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或成交资格，并承担相应的法律责任。</w:t>
      </w:r>
    </w:p>
    <w:p w14:paraId="0AF83619">
      <w:pPr>
        <w:pageBreakBefore w:val="0"/>
        <w:widowControl w:val="0"/>
        <w:tabs>
          <w:tab w:val="left" w:pos="7665"/>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 要求提供的货物、采购过程及合同条款在谈判文件中均有说明，谈判文件共六章，各章的内容如下：</w:t>
      </w:r>
    </w:p>
    <w:p w14:paraId="5C3028D7">
      <w:pPr>
        <w:pageBreakBefore w:val="0"/>
        <w:widowControl w:val="0"/>
        <w:tabs>
          <w:tab w:val="left" w:pos="7665"/>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第一章  竞争性谈判公告</w:t>
      </w:r>
    </w:p>
    <w:p w14:paraId="259CADAF">
      <w:pPr>
        <w:pageBreakBefore w:val="0"/>
        <w:widowControl w:val="0"/>
        <w:tabs>
          <w:tab w:val="left" w:pos="7665"/>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第二章  谈判须知</w:t>
      </w:r>
    </w:p>
    <w:p w14:paraId="75DE3741">
      <w:pPr>
        <w:pageBreakBefore w:val="0"/>
        <w:widowControl w:val="0"/>
        <w:tabs>
          <w:tab w:val="left" w:pos="7665"/>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第三章  项目需求</w:t>
      </w:r>
    </w:p>
    <w:p w14:paraId="0BFF9E24">
      <w:pPr>
        <w:pageBreakBefore w:val="0"/>
        <w:widowControl w:val="0"/>
        <w:tabs>
          <w:tab w:val="left" w:pos="7665"/>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第四章  政府采购合同</w:t>
      </w:r>
    </w:p>
    <w:p w14:paraId="49D851C1">
      <w:pPr>
        <w:pageBreakBefore w:val="0"/>
        <w:widowControl w:val="0"/>
        <w:tabs>
          <w:tab w:val="left" w:pos="7665"/>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第五章  评审办法</w:t>
      </w:r>
    </w:p>
    <w:p w14:paraId="72838776">
      <w:pPr>
        <w:pageBreakBefore w:val="0"/>
        <w:widowControl w:val="0"/>
        <w:tabs>
          <w:tab w:val="left" w:pos="7665"/>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第六章  响应文件格式</w:t>
      </w:r>
    </w:p>
    <w:p w14:paraId="2517FD7A">
      <w:pPr>
        <w:pStyle w:val="4"/>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谈判文件的澄清和修改</w:t>
      </w:r>
    </w:p>
    <w:p w14:paraId="32383C69">
      <w:pPr>
        <w:pageBreakBefore w:val="0"/>
        <w:widowControl w:val="0"/>
        <w:tabs>
          <w:tab w:val="left" w:pos="720"/>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.1 在递交响应文件截止时间前，采购人、采购代理机构可以对</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进行澄清或者修改。</w:t>
      </w:r>
    </w:p>
    <w:p w14:paraId="0D418E24">
      <w:pPr>
        <w:pageBreakBefore w:val="0"/>
        <w:widowControl w:val="0"/>
        <w:tabs>
          <w:tab w:val="left" w:pos="720"/>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.2 澄清或者修改的内容为</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的组成部分。澄清或者修改应当在原公告发布媒体上发布澄清公告。该澄清或者修改的内容为</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的组成</w:t>
      </w:r>
      <w:r>
        <w:rPr>
          <w:rFonts w:hint="eastAsia" w:ascii="宋体" w:hAnsi="宋体" w:eastAsia="宋体" w:cs="宋体"/>
          <w:color w:val="auto"/>
          <w:sz w:val="24"/>
          <w:szCs w:val="24"/>
          <w:highlight w:val="none"/>
        </w:rPr>
        <w:t>部分，澄清或者修改的内容可能影响响应文件编制的，采购人或者采购代理机构发布公告的时间，应当在提交首次响应文件截止之日起3个工作日前；不足上述时间的，应当顺延递交响应文件的截止时间。</w:t>
      </w:r>
    </w:p>
    <w:p w14:paraId="4A9F4BF1">
      <w:pPr>
        <w:pageBreakBefore w:val="0"/>
        <w:widowControl w:val="0"/>
        <w:tabs>
          <w:tab w:val="left" w:pos="720"/>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 谈判文件中有不一致的，有澄清的部分以最终的澄清更正内容为准；未澄清的，以供应商须知前附表为准；供应商须知前附表不涉及的内容，以编排在后的最后描述为准。</w:t>
      </w:r>
    </w:p>
    <w:p w14:paraId="13ADE0C7">
      <w:pPr>
        <w:pageBreakBefore w:val="0"/>
        <w:widowControl w:val="0"/>
        <w:tabs>
          <w:tab w:val="left" w:pos="720"/>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highlight w:val="none"/>
          <w:lang w:val="en-US" w:eastAsia="zh-CN"/>
        </w:rPr>
        <w:t>.4 供应商应及时关注本项目原公告发布媒体上发布的澄清公告或修改内容并自行下载，采购人、采购代理机构不再另行通知。</w:t>
      </w:r>
    </w:p>
    <w:p w14:paraId="71E0A35B">
      <w:pPr>
        <w:pStyle w:val="4"/>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答疑会和现场考察</w:t>
      </w:r>
    </w:p>
    <w:p w14:paraId="4C9104EF">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根据采购项目和具体情况，采购人、采购代理机构认为有必要，可以在</w:t>
      </w:r>
      <w:r>
        <w:rPr>
          <w:rFonts w:hint="eastAsia" w:ascii="宋体" w:hAnsi="宋体" w:eastAsia="宋体" w:cs="宋体"/>
          <w:color w:val="auto"/>
          <w:sz w:val="24"/>
          <w:szCs w:val="24"/>
          <w:highlight w:val="none"/>
          <w:lang w:eastAsia="zh-CN"/>
        </w:rPr>
        <w:t>谈判文件</w:t>
      </w:r>
      <w:r>
        <w:rPr>
          <w:rFonts w:hint="eastAsia" w:ascii="宋体" w:hAnsi="宋体" w:eastAsia="宋体" w:cs="宋体"/>
          <w:color w:val="auto"/>
          <w:sz w:val="24"/>
          <w:szCs w:val="24"/>
          <w:highlight w:val="none"/>
        </w:rPr>
        <w:t>提供期限截止后</w:t>
      </w:r>
      <w:r>
        <w:rPr>
          <w:rFonts w:hint="eastAsia" w:ascii="宋体" w:hAnsi="宋体" w:cs="宋体"/>
          <w:color w:val="auto"/>
          <w:sz w:val="24"/>
          <w:szCs w:val="24"/>
          <w:highlight w:val="none"/>
          <w:lang w:eastAsia="zh-CN"/>
        </w:rPr>
        <w:t>、响应</w:t>
      </w:r>
      <w:r>
        <w:rPr>
          <w:rFonts w:hint="eastAsia" w:ascii="宋体" w:hAnsi="宋体" w:eastAsia="宋体" w:cs="宋体"/>
          <w:color w:val="auto"/>
          <w:sz w:val="24"/>
          <w:szCs w:val="24"/>
          <w:highlight w:val="none"/>
        </w:rPr>
        <w:t>文件提交截止前，组织已获取</w:t>
      </w:r>
      <w:r>
        <w:rPr>
          <w:rFonts w:hint="eastAsia" w:ascii="宋体" w:hAnsi="宋体" w:eastAsia="宋体" w:cs="宋体"/>
          <w:color w:val="auto"/>
          <w:sz w:val="24"/>
          <w:szCs w:val="24"/>
          <w:highlight w:val="none"/>
          <w:lang w:eastAsia="zh-CN"/>
        </w:rPr>
        <w:t>谈判文件</w:t>
      </w:r>
      <w:r>
        <w:rPr>
          <w:rFonts w:hint="eastAsia" w:ascii="宋体" w:hAnsi="宋体" w:eastAsia="宋体" w:cs="宋体"/>
          <w:color w:val="auto"/>
          <w:sz w:val="24"/>
          <w:szCs w:val="24"/>
          <w:highlight w:val="none"/>
        </w:rPr>
        <w:t>的潜在供应商</w:t>
      </w:r>
      <w:r>
        <w:rPr>
          <w:rFonts w:hint="eastAsia" w:ascii="宋体" w:hAnsi="宋体" w:cs="宋体"/>
          <w:color w:val="auto"/>
          <w:sz w:val="24"/>
          <w:szCs w:val="24"/>
          <w:highlight w:val="none"/>
          <w:lang w:eastAsia="zh-CN"/>
        </w:rPr>
        <w:t>进行现场</w:t>
      </w:r>
      <w:r>
        <w:rPr>
          <w:rFonts w:hint="eastAsia" w:ascii="宋体" w:hAnsi="宋体" w:eastAsia="宋体" w:cs="宋体"/>
          <w:color w:val="auto"/>
          <w:sz w:val="24"/>
          <w:szCs w:val="24"/>
          <w:highlight w:val="none"/>
        </w:rPr>
        <w:t>考察或者召开答疑会。</w:t>
      </w:r>
    </w:p>
    <w:p w14:paraId="1C421BA0">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采购人、采购代理机构组织现场考察或者召开答疑会的，将在</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须知前附表中约定。供应商不按照要求参加现场考察或者答疑会的，视同放弃参加现场考察或者答疑的权利，采购人、采购代理机构不再对该供应商重新组织，但也不会以此限制供应商提交响应文件</w:t>
      </w:r>
      <w:r>
        <w:rPr>
          <w:rFonts w:hint="eastAsia" w:ascii="宋体" w:hAnsi="宋体" w:cs="宋体"/>
          <w:color w:val="auto"/>
          <w:sz w:val="24"/>
          <w:szCs w:val="24"/>
          <w:highlight w:val="none"/>
          <w:lang w:eastAsia="zh-CN"/>
        </w:rPr>
        <w:t>，或者</w:t>
      </w:r>
      <w:r>
        <w:rPr>
          <w:rFonts w:hint="eastAsia" w:ascii="宋体" w:hAnsi="宋体" w:eastAsia="宋体" w:cs="宋体"/>
          <w:color w:val="auto"/>
          <w:sz w:val="24"/>
          <w:szCs w:val="24"/>
          <w:highlight w:val="none"/>
        </w:rPr>
        <w:t>以此将供应商响应文件直接作为无效处理。</w:t>
      </w:r>
    </w:p>
    <w:p w14:paraId="19C0D6F3">
      <w:pPr>
        <w:pageBreakBefore w:val="0"/>
        <w:widowControl w:val="0"/>
        <w:kinsoku/>
        <w:wordWrap/>
        <w:overflowPunct/>
        <w:topLinePunct w:val="0"/>
        <w:autoSpaceDE/>
        <w:autoSpaceDN/>
        <w:bidi w:val="0"/>
        <w:adjustRightInd w:val="0"/>
        <w:snapToGrid w:val="0"/>
        <w:spacing w:line="560" w:lineRule="exact"/>
        <w:ind w:left="0" w:leftChars="0" w:right="0" w:rightChars="0" w:firstLine="420" w:firstLineChars="175"/>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.3 供应商自行承担参加答疑会和现场考察的一切费用。</w:t>
      </w:r>
    </w:p>
    <w:p w14:paraId="7AA6FDBE">
      <w:pPr>
        <w:keepNext w:val="0"/>
        <w:keepLines w:val="0"/>
        <w:pageBreakBefore w:val="0"/>
        <w:kinsoku/>
        <w:wordWrap/>
        <w:overflowPunct/>
        <w:topLinePunct w:val="0"/>
        <w:bidi w:val="0"/>
        <w:spacing w:before="0" w:after="0" w:line="560" w:lineRule="exact"/>
        <w:jc w:val="center"/>
        <w:outlineLvl w:val="9"/>
        <w:rPr>
          <w:rFonts w:hint="eastAsia" w:ascii="宋体" w:hAnsi="宋体" w:eastAsia="宋体" w:cs="宋体"/>
          <w:bCs/>
          <w:color w:val="auto"/>
          <w:sz w:val="24"/>
          <w:szCs w:val="24"/>
        </w:rPr>
      </w:pPr>
    </w:p>
    <w:p w14:paraId="6F12B0A0">
      <w:pPr>
        <w:pStyle w:val="3"/>
        <w:keepNext w:val="0"/>
        <w:keepLines w:val="0"/>
        <w:pageBreakBefore w:val="0"/>
        <w:numPr>
          <w:ilvl w:val="0"/>
          <w:numId w:val="0"/>
        </w:numPr>
        <w:kinsoku/>
        <w:wordWrap/>
        <w:overflowPunct/>
        <w:topLinePunct w:val="0"/>
        <w:bidi w:val="0"/>
        <w:spacing w:before="0" w:after="0" w:line="560" w:lineRule="exact"/>
        <w:jc w:val="center"/>
        <w:rPr>
          <w:rFonts w:hint="eastAsia" w:ascii="宋体" w:hAnsi="宋体" w:eastAsia="宋体" w:cs="宋体"/>
          <w:bCs/>
          <w:color w:val="auto"/>
          <w:sz w:val="32"/>
          <w:szCs w:val="32"/>
        </w:rPr>
      </w:pPr>
      <w:bookmarkStart w:id="136" w:name="_Toc16664_WPSOffice_Level2"/>
      <w:bookmarkStart w:id="137" w:name="_Toc6702"/>
      <w:bookmarkStart w:id="138" w:name="_Toc11766"/>
      <w:bookmarkStart w:id="139" w:name="_Toc30656"/>
      <w:bookmarkStart w:id="140" w:name="_Toc4164"/>
      <w:r>
        <w:rPr>
          <w:rFonts w:hint="eastAsia" w:ascii="宋体" w:hAnsi="宋体" w:eastAsia="宋体" w:cs="宋体"/>
          <w:bCs/>
          <w:color w:val="auto"/>
          <w:sz w:val="32"/>
          <w:szCs w:val="32"/>
        </w:rPr>
        <w:t>四、响应文件</w:t>
      </w:r>
      <w:bookmarkEnd w:id="136"/>
      <w:bookmarkEnd w:id="137"/>
      <w:bookmarkEnd w:id="138"/>
      <w:bookmarkEnd w:id="139"/>
      <w:bookmarkEnd w:id="140"/>
    </w:p>
    <w:p w14:paraId="0C04AA64">
      <w:pPr>
        <w:keepNext w:val="0"/>
        <w:keepLines w:val="0"/>
        <w:pageBreakBefore w:val="0"/>
        <w:widowControl w:val="0"/>
        <w:kinsoku/>
        <w:wordWrap/>
        <w:overflowPunct/>
        <w:topLinePunct w:val="0"/>
        <w:bidi w:val="0"/>
        <w:snapToGrid/>
        <w:spacing w:line="560" w:lineRule="exact"/>
        <w:ind w:right="0" w:rightChars="0" w:firstLine="480" w:firstLineChars="200"/>
        <w:textAlignment w:val="auto"/>
        <w:outlineLvl w:val="9"/>
        <w:rPr>
          <w:rFonts w:hint="eastAsia" w:ascii="宋体" w:hAnsi="宋体" w:eastAsia="宋体" w:cs="宋体"/>
          <w:bCs/>
          <w:color w:val="auto"/>
          <w:sz w:val="24"/>
          <w:szCs w:val="24"/>
        </w:rPr>
      </w:pPr>
    </w:p>
    <w:p w14:paraId="2452613F">
      <w:pPr>
        <w:pStyle w:val="4"/>
        <w:pageBreakBefore w:val="0"/>
        <w:widowControl w:val="0"/>
        <w:kinsoku/>
        <w:wordWrap/>
        <w:overflowPunct/>
        <w:topLinePunct w:val="0"/>
        <w:bidi w:val="0"/>
        <w:snapToGrid/>
        <w:spacing w:before="0" w:after="0" w:line="560" w:lineRule="exact"/>
        <w:ind w:right="0" w:right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1. 响应文件的组成（实质性要求）</w:t>
      </w:r>
    </w:p>
    <w:p w14:paraId="138D5FD3">
      <w:pPr>
        <w:pStyle w:val="71"/>
        <w:keepNext w:val="0"/>
        <w:keepLines w:val="0"/>
        <w:pageBreakBefore w:val="0"/>
        <w:widowControl w:val="0"/>
        <w:tabs>
          <w:tab w:val="left" w:pos="1200"/>
        </w:tabs>
        <w:kinsoku/>
        <w:wordWrap/>
        <w:overflowPunct/>
        <w:topLinePunct w:val="0"/>
        <w:bidi w:val="0"/>
        <w:snapToGrid/>
        <w:spacing w:line="560" w:lineRule="exact"/>
        <w:ind w:right="0" w:rightChars="0" w:firstLine="560"/>
        <w:textAlignment w:val="auto"/>
        <w:outlineLvl w:val="9"/>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w:t>供应商应按照</w:t>
      </w:r>
      <w:r>
        <w:rPr>
          <w:rFonts w:hint="eastAsia" w:ascii="宋体" w:hAnsi="宋体" w:eastAsia="宋体" w:cs="宋体"/>
          <w:b w:val="0"/>
          <w:bCs w:val="0"/>
          <w:color w:val="auto"/>
          <w:sz w:val="24"/>
          <w:szCs w:val="24"/>
          <w:lang w:eastAsia="zh-CN"/>
        </w:rPr>
        <w:t>谈判文件</w:t>
      </w:r>
      <w:r>
        <w:rPr>
          <w:rFonts w:hint="eastAsia" w:ascii="宋体" w:hAnsi="宋体" w:eastAsia="宋体" w:cs="宋体"/>
          <w:b w:val="0"/>
          <w:bCs w:val="0"/>
          <w:color w:val="auto"/>
          <w:sz w:val="24"/>
          <w:szCs w:val="24"/>
        </w:rPr>
        <w:t>的规定和要求编制响应文件。</w:t>
      </w:r>
      <w:r>
        <w:rPr>
          <w:rFonts w:hint="eastAsia" w:ascii="宋体" w:hAnsi="宋体" w:eastAsia="宋体" w:cs="宋体"/>
          <w:b w:val="0"/>
          <w:bCs w:val="0"/>
          <w:color w:val="auto"/>
          <w:sz w:val="24"/>
          <w:szCs w:val="24"/>
          <w:highlight w:val="none"/>
          <w:lang w:eastAsia="zh-CN"/>
        </w:rPr>
        <w:t>本</w:t>
      </w:r>
      <w:r>
        <w:rPr>
          <w:rFonts w:hint="eastAsia" w:ascii="宋体" w:hAnsi="宋体" w:eastAsia="宋体" w:cs="宋体"/>
          <w:b w:val="0"/>
          <w:bCs w:val="0"/>
          <w:color w:val="auto"/>
          <w:sz w:val="24"/>
          <w:szCs w:val="24"/>
          <w:highlight w:val="none"/>
        </w:rPr>
        <w:t>项目所述的</w:t>
      </w:r>
      <w:r>
        <w:rPr>
          <w:rFonts w:hint="eastAsia" w:ascii="宋体" w:hAnsi="宋体" w:eastAsia="宋体" w:cs="宋体"/>
          <w:b w:val="0"/>
          <w:bCs w:val="0"/>
          <w:color w:val="auto"/>
          <w:sz w:val="24"/>
          <w:szCs w:val="24"/>
          <w:highlight w:val="none"/>
          <w:lang w:eastAsia="zh-CN"/>
        </w:rPr>
        <w:t>响应</w:t>
      </w:r>
      <w:r>
        <w:rPr>
          <w:rFonts w:hint="eastAsia" w:ascii="宋体" w:hAnsi="宋体" w:eastAsia="宋体" w:cs="宋体"/>
          <w:b w:val="0"/>
          <w:bCs w:val="0"/>
          <w:color w:val="auto"/>
          <w:sz w:val="24"/>
          <w:szCs w:val="24"/>
          <w:highlight w:val="none"/>
        </w:rPr>
        <w:t>文件</w:t>
      </w:r>
      <w:r>
        <w:rPr>
          <w:rFonts w:hint="eastAsia" w:ascii="宋体" w:hAnsi="宋体" w:eastAsia="宋体" w:cs="宋体"/>
          <w:b w:val="0"/>
          <w:bCs w:val="0"/>
          <w:color w:val="auto"/>
          <w:sz w:val="24"/>
          <w:szCs w:val="24"/>
          <w:highlight w:val="none"/>
          <w:lang w:eastAsia="zh-CN"/>
        </w:rPr>
        <w:t>是指</w:t>
      </w:r>
      <w:r>
        <w:rPr>
          <w:rFonts w:hint="eastAsia" w:ascii="宋体" w:hAnsi="宋体" w:eastAsia="宋体" w:cs="宋体"/>
          <w:b w:val="0"/>
          <w:bCs w:val="0"/>
          <w:color w:val="auto"/>
          <w:sz w:val="24"/>
          <w:szCs w:val="24"/>
          <w:highlight w:val="none"/>
        </w:rPr>
        <w:t>电子响应文件。</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编写的响应文件</w:t>
      </w:r>
      <w:r>
        <w:rPr>
          <w:rFonts w:hint="eastAsia" w:ascii="宋体" w:hAnsi="宋体" w:eastAsia="宋体" w:cs="宋体"/>
          <w:b w:val="0"/>
          <w:bCs w:val="0"/>
          <w:color w:val="auto"/>
          <w:sz w:val="24"/>
          <w:szCs w:val="24"/>
          <w:highlight w:val="none"/>
          <w:lang w:val="en-US" w:eastAsia="zh-CN"/>
        </w:rPr>
        <w:t>按</w:t>
      </w:r>
      <w:r>
        <w:rPr>
          <w:rFonts w:hint="eastAsia" w:ascii="宋体" w:hAnsi="宋体" w:eastAsia="宋体" w:cs="宋体"/>
          <w:b/>
          <w:bCs/>
          <w:color w:val="auto"/>
          <w:sz w:val="24"/>
          <w:szCs w:val="24"/>
          <w:highlight w:val="none"/>
          <w:lang w:val="en-US" w:eastAsia="zh-CN"/>
        </w:rPr>
        <w:t>谈判文件第六章响应文件格式</w:t>
      </w:r>
      <w:r>
        <w:rPr>
          <w:rFonts w:hint="eastAsia" w:ascii="宋体" w:hAnsi="宋体" w:eastAsia="宋体" w:cs="宋体"/>
          <w:b w:val="0"/>
          <w:bCs w:val="0"/>
          <w:color w:val="auto"/>
          <w:sz w:val="24"/>
          <w:szCs w:val="24"/>
          <w:highlight w:val="none"/>
          <w:lang w:val="en-US" w:eastAsia="zh-CN"/>
        </w:rPr>
        <w:t>的要求提供</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未注明可提供复印件的，</w:t>
      </w:r>
      <w:r>
        <w:rPr>
          <w:rFonts w:hint="eastAsia" w:ascii="宋体" w:hAnsi="宋体" w:eastAsia="宋体" w:cs="宋体"/>
          <w:b w:val="0"/>
          <w:bCs w:val="0"/>
          <w:color w:val="auto"/>
          <w:sz w:val="24"/>
          <w:szCs w:val="24"/>
          <w:highlight w:val="none"/>
        </w:rPr>
        <w:t>应为原件扫描件。</w:t>
      </w:r>
      <w:r>
        <w:rPr>
          <w:rFonts w:hint="eastAsia" w:ascii="宋体" w:hAnsi="宋体" w:eastAsia="宋体" w:cs="宋体"/>
          <w:color w:val="auto"/>
          <w:sz w:val="24"/>
          <w:szCs w:val="24"/>
          <w:highlight w:val="none"/>
        </w:rPr>
        <w:t>供应商编写的响应文件应包括下列部分：</w:t>
      </w:r>
    </w:p>
    <w:p w14:paraId="60CCA4BD">
      <w:pPr>
        <w:pStyle w:val="69"/>
        <w:keepNext w:val="0"/>
        <w:keepLines w:val="0"/>
        <w:pageBreakBefore w:val="0"/>
        <w:widowControl w:val="0"/>
        <w:numPr>
          <w:ilvl w:val="0"/>
          <w:numId w:val="0"/>
        </w:numPr>
        <w:tabs>
          <w:tab w:val="left" w:pos="1134"/>
        </w:tabs>
        <w:kinsoku/>
        <w:wordWrap/>
        <w:overflowPunct/>
        <w:topLinePunct w:val="0"/>
        <w:bidi w:val="0"/>
        <w:snapToGrid/>
        <w:spacing w:line="560" w:lineRule="exact"/>
        <w:ind w:left="567" w:leftChars="0" w:right="0" w:rightChars="0"/>
        <w:jc w:val="both"/>
        <w:textAlignment w:val="auto"/>
        <w:outlineLvl w:val="9"/>
        <w:rPr>
          <w:rFonts w:hint="eastAsia" w:ascii="宋体" w:hAnsi="宋体" w:eastAsia="宋体" w:cs="宋体"/>
          <w:bCs/>
          <w:color w:val="auto"/>
          <w:sz w:val="24"/>
          <w:szCs w:val="24"/>
          <w:highlight w:val="none"/>
          <w:lang w:val="en-US" w:eastAsia="zh-CN"/>
        </w:rPr>
      </w:pPr>
      <w:bookmarkStart w:id="141" w:name="_Toc5647_WPSOffice_Level2"/>
      <w:r>
        <w:rPr>
          <w:rFonts w:hint="eastAsia" w:ascii="宋体" w:hAnsi="宋体" w:eastAsia="宋体" w:cs="宋体"/>
          <w:bCs/>
          <w:color w:val="auto"/>
          <w:sz w:val="24"/>
          <w:szCs w:val="24"/>
          <w:highlight w:val="none"/>
          <w:lang w:eastAsia="zh-CN"/>
        </w:rPr>
        <w:t>一、</w:t>
      </w:r>
      <w:r>
        <w:rPr>
          <w:rFonts w:hint="eastAsia" w:ascii="宋体" w:hAnsi="宋体" w:eastAsia="宋体" w:cs="宋体"/>
          <w:bCs/>
          <w:color w:val="auto"/>
          <w:sz w:val="24"/>
          <w:szCs w:val="24"/>
          <w:highlight w:val="none"/>
        </w:rPr>
        <w:t>报价</w:t>
      </w:r>
      <w:r>
        <w:rPr>
          <w:rFonts w:hint="eastAsia" w:ascii="宋体" w:hAnsi="宋体" w:eastAsia="宋体" w:cs="宋体"/>
          <w:bCs/>
          <w:color w:val="auto"/>
          <w:sz w:val="24"/>
          <w:szCs w:val="24"/>
          <w:highlight w:val="none"/>
          <w:lang w:val="en-US" w:eastAsia="zh-CN"/>
        </w:rPr>
        <w:t>要求响应文件</w:t>
      </w:r>
      <w:bookmarkEnd w:id="141"/>
    </w:p>
    <w:p w14:paraId="5B9F749B">
      <w:pPr>
        <w:pStyle w:val="69"/>
        <w:keepNext w:val="0"/>
        <w:keepLines w:val="0"/>
        <w:pageBreakBefore w:val="0"/>
        <w:widowControl w:val="0"/>
        <w:numPr>
          <w:ilvl w:val="0"/>
          <w:numId w:val="0"/>
        </w:numPr>
        <w:tabs>
          <w:tab w:val="left" w:pos="1134"/>
        </w:tabs>
        <w:kinsoku/>
        <w:wordWrap/>
        <w:overflowPunct/>
        <w:topLinePunct w:val="0"/>
        <w:bidi w:val="0"/>
        <w:snapToGrid/>
        <w:spacing w:line="560" w:lineRule="exact"/>
        <w:ind w:left="567" w:leftChars="0" w:right="0" w:rightChars="0"/>
        <w:jc w:val="both"/>
        <w:textAlignment w:val="auto"/>
        <w:outlineLvl w:val="9"/>
        <w:rPr>
          <w:rFonts w:hint="eastAsia" w:ascii="宋体" w:hAnsi="宋体" w:eastAsia="宋体" w:cs="宋体"/>
          <w:bCs/>
          <w:color w:val="auto"/>
          <w:sz w:val="24"/>
          <w:szCs w:val="24"/>
          <w:highlight w:val="none"/>
        </w:rPr>
      </w:pPr>
      <w:bookmarkStart w:id="142" w:name="_Toc3014_WPSOffice_Level2"/>
      <w:r>
        <w:rPr>
          <w:rFonts w:hint="eastAsia" w:ascii="宋体" w:hAnsi="宋体" w:eastAsia="宋体" w:cs="宋体"/>
          <w:bCs/>
          <w:color w:val="auto"/>
          <w:sz w:val="24"/>
          <w:szCs w:val="24"/>
          <w:highlight w:val="none"/>
          <w:lang w:eastAsia="zh-CN"/>
        </w:rPr>
        <w:t>二、</w:t>
      </w:r>
      <w:r>
        <w:rPr>
          <w:rFonts w:hint="eastAsia" w:ascii="宋体" w:hAnsi="宋体" w:eastAsia="宋体" w:cs="宋体"/>
          <w:bCs/>
          <w:color w:val="auto"/>
          <w:sz w:val="24"/>
          <w:szCs w:val="24"/>
          <w:highlight w:val="none"/>
        </w:rPr>
        <w:t>资格证明文件</w:t>
      </w:r>
      <w:bookmarkEnd w:id="142"/>
    </w:p>
    <w:p w14:paraId="70A1A67F">
      <w:pPr>
        <w:pStyle w:val="69"/>
        <w:keepNext w:val="0"/>
        <w:keepLines w:val="0"/>
        <w:pageBreakBefore w:val="0"/>
        <w:widowControl w:val="0"/>
        <w:numPr>
          <w:ilvl w:val="0"/>
          <w:numId w:val="0"/>
        </w:numPr>
        <w:tabs>
          <w:tab w:val="left" w:pos="1134"/>
        </w:tabs>
        <w:kinsoku/>
        <w:wordWrap/>
        <w:overflowPunct/>
        <w:topLinePunct w:val="0"/>
        <w:bidi w:val="0"/>
        <w:snapToGrid/>
        <w:spacing w:line="560" w:lineRule="exact"/>
        <w:ind w:left="567" w:leftChars="0" w:right="0" w:rightChars="0"/>
        <w:jc w:val="both"/>
        <w:textAlignment w:val="auto"/>
        <w:outlineLvl w:val="9"/>
        <w:rPr>
          <w:rFonts w:hint="eastAsia" w:ascii="宋体" w:hAnsi="宋体" w:eastAsia="宋体" w:cs="宋体"/>
          <w:bCs/>
          <w:color w:val="auto"/>
          <w:sz w:val="24"/>
          <w:szCs w:val="24"/>
          <w:highlight w:val="none"/>
        </w:rPr>
      </w:pPr>
      <w:bookmarkStart w:id="143" w:name="_Toc2875_WPSOffice_Level2"/>
      <w:r>
        <w:rPr>
          <w:rFonts w:hint="eastAsia" w:ascii="宋体" w:hAnsi="宋体" w:eastAsia="宋体" w:cs="宋体"/>
          <w:bCs/>
          <w:color w:val="auto"/>
          <w:sz w:val="24"/>
          <w:szCs w:val="24"/>
          <w:highlight w:val="none"/>
          <w:lang w:val="en-US" w:eastAsia="zh-CN"/>
        </w:rPr>
        <w:t>三、商务及技术响应文件</w:t>
      </w:r>
      <w:bookmarkEnd w:id="143"/>
    </w:p>
    <w:p w14:paraId="51F5FFED">
      <w:pPr>
        <w:pStyle w:val="4"/>
        <w:pageBreakBefore w:val="0"/>
        <w:widowControl w:val="0"/>
        <w:kinsoku/>
        <w:wordWrap/>
        <w:overflowPunct/>
        <w:topLinePunct w:val="0"/>
        <w:bidi w:val="0"/>
        <w:snapToGrid/>
        <w:spacing w:before="0" w:after="0" w:line="560" w:lineRule="exact"/>
        <w:ind w:right="0" w:rightChars="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val="zh-CN" w:eastAsia="zh-CN"/>
        </w:rPr>
        <w:t>响应文件的语言（实质性要求）</w:t>
      </w:r>
    </w:p>
    <w:p w14:paraId="1C013624">
      <w:pPr>
        <w:keepNext w:val="0"/>
        <w:keepLines w:val="0"/>
        <w:pageBreakBefore w:val="0"/>
        <w:widowControl w:val="0"/>
        <w:kinsoku/>
        <w:wordWrap/>
        <w:overflowPunct/>
        <w:topLinePunct w:val="0"/>
        <w:bidi w:val="0"/>
        <w:snapToGrid/>
        <w:spacing w:line="560" w:lineRule="exact"/>
        <w:ind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.1 供应商提交的响应文件以及供应商与采购人、采购代理机构就有关报价的所有来往书面文件均须使用中文。响应文件中如附有外文资料，必须逐一对应翻译成中文并加盖供应商公章后附在相关外文资料后面，否则，供应商的响应文件将作为</w:t>
      </w:r>
      <w:r>
        <w:rPr>
          <w:rFonts w:hint="eastAsia" w:ascii="宋体" w:hAnsi="宋体" w:eastAsia="宋体" w:cs="宋体"/>
          <w:b/>
          <w:bCs/>
          <w:color w:val="auto"/>
          <w:sz w:val="24"/>
          <w:szCs w:val="24"/>
        </w:rPr>
        <w:t>无效</w:t>
      </w:r>
      <w:r>
        <w:rPr>
          <w:rFonts w:hint="eastAsia" w:ascii="宋体" w:hAnsi="宋体" w:eastAsia="宋体" w:cs="宋体"/>
          <w:color w:val="auto"/>
          <w:sz w:val="24"/>
          <w:szCs w:val="24"/>
        </w:rPr>
        <w:t>处理。（说明：供应商的法定代表人为外籍人士的，法定代表人的签字和护照除外。）</w:t>
      </w:r>
    </w:p>
    <w:p w14:paraId="2B21878B">
      <w:pPr>
        <w:keepNext w:val="0"/>
        <w:keepLines w:val="0"/>
        <w:pageBreakBefore w:val="0"/>
        <w:widowControl w:val="0"/>
        <w:kinsoku/>
        <w:wordWrap/>
        <w:overflowPunct/>
        <w:topLinePunct w:val="0"/>
        <w:bidi w:val="0"/>
        <w:snapToGrid/>
        <w:spacing w:line="560" w:lineRule="exact"/>
        <w:ind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.2 翻译的中文资料与外文资料如果出现差异和矛盾，以中文为准。但不能故意错误翻译，否则，供应商的响应文件将作为</w:t>
      </w:r>
      <w:r>
        <w:rPr>
          <w:rFonts w:hint="eastAsia" w:ascii="宋体" w:hAnsi="宋体" w:eastAsia="宋体" w:cs="宋体"/>
          <w:b/>
          <w:bCs/>
          <w:color w:val="auto"/>
          <w:sz w:val="24"/>
          <w:szCs w:val="24"/>
        </w:rPr>
        <w:t>无效</w:t>
      </w:r>
      <w:r>
        <w:rPr>
          <w:rFonts w:hint="eastAsia" w:ascii="宋体" w:hAnsi="宋体" w:eastAsia="宋体" w:cs="宋体"/>
          <w:color w:val="auto"/>
          <w:sz w:val="24"/>
          <w:szCs w:val="24"/>
        </w:rPr>
        <w:t>处理。</w:t>
      </w:r>
    </w:p>
    <w:p w14:paraId="6916EA6F">
      <w:pPr>
        <w:pStyle w:val="4"/>
        <w:pageBreakBefore w:val="0"/>
        <w:widowControl w:val="0"/>
        <w:kinsoku/>
        <w:wordWrap/>
        <w:overflowPunct/>
        <w:topLinePunct w:val="0"/>
        <w:bidi w:val="0"/>
        <w:snapToGrid/>
        <w:spacing w:before="0" w:after="0" w:line="560" w:lineRule="exact"/>
        <w:ind w:right="0" w:rightChars="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 xml:space="preserve">3. </w:t>
      </w:r>
      <w:r>
        <w:rPr>
          <w:rFonts w:hint="eastAsia" w:ascii="宋体" w:hAnsi="宋体" w:eastAsia="宋体" w:cs="宋体"/>
          <w:color w:val="auto"/>
          <w:sz w:val="24"/>
          <w:szCs w:val="24"/>
          <w:lang w:val="zh-CN" w:eastAsia="zh-CN"/>
        </w:rPr>
        <w:t>计量单位（实质性要求）</w:t>
      </w:r>
    </w:p>
    <w:p w14:paraId="7076CA72">
      <w:pPr>
        <w:keepNext w:val="0"/>
        <w:keepLines w:val="0"/>
        <w:pageBreakBefore w:val="0"/>
        <w:widowControl w:val="0"/>
        <w:kinsoku/>
        <w:wordWrap/>
        <w:overflowPunct/>
        <w:topLinePunct w:val="0"/>
        <w:bidi w:val="0"/>
        <w:snapToGrid/>
        <w:spacing w:line="560" w:lineRule="exact"/>
        <w:ind w:right="0" w:rightChars="0" w:firstLine="470" w:firstLineChars="196"/>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除</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中另有规定外，本次采购项目所有合同项下的报价均采用国家法定的计量单位。</w:t>
      </w:r>
    </w:p>
    <w:p w14:paraId="23B34360">
      <w:pPr>
        <w:pStyle w:val="4"/>
        <w:pageBreakBefore w:val="0"/>
        <w:widowControl w:val="0"/>
        <w:kinsoku/>
        <w:wordWrap/>
        <w:overflowPunct/>
        <w:topLinePunct w:val="0"/>
        <w:bidi w:val="0"/>
        <w:snapToGrid/>
        <w:spacing w:before="0" w:after="0" w:line="560" w:lineRule="exact"/>
        <w:ind w:right="0" w:rightChars="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val="zh-CN" w:eastAsia="zh-CN"/>
        </w:rPr>
        <w:t>. 报价货币（实质性要求）</w:t>
      </w:r>
    </w:p>
    <w:p w14:paraId="3DB33610">
      <w:pPr>
        <w:keepNext w:val="0"/>
        <w:keepLines w:val="0"/>
        <w:pageBreakBefore w:val="0"/>
        <w:widowControl w:val="0"/>
        <w:kinsoku/>
        <w:wordWrap/>
        <w:overflowPunct/>
        <w:topLinePunct w:val="0"/>
        <w:bidi w:val="0"/>
        <w:snapToGrid/>
        <w:spacing w:line="560" w:lineRule="exact"/>
        <w:ind w:right="0" w:rightChars="0" w:firstLine="468" w:firstLineChars="195"/>
        <w:textAlignment w:val="auto"/>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本次</w:t>
      </w:r>
      <w:r>
        <w:rPr>
          <w:rFonts w:hint="eastAsia" w:ascii="宋体" w:hAnsi="宋体" w:eastAsia="宋体" w:cs="宋体"/>
          <w:bCs/>
          <w:color w:val="auto"/>
          <w:sz w:val="24"/>
          <w:szCs w:val="24"/>
          <w:lang w:eastAsia="zh-CN"/>
        </w:rPr>
        <w:t>谈判</w:t>
      </w:r>
      <w:r>
        <w:rPr>
          <w:rFonts w:hint="eastAsia" w:ascii="宋体" w:hAnsi="宋体" w:eastAsia="宋体" w:cs="宋体"/>
          <w:bCs/>
          <w:color w:val="auto"/>
          <w:sz w:val="24"/>
          <w:szCs w:val="24"/>
        </w:rPr>
        <w:t>项目的</w:t>
      </w:r>
      <w:r>
        <w:rPr>
          <w:rFonts w:hint="eastAsia" w:ascii="宋体" w:hAnsi="宋体" w:eastAsia="宋体" w:cs="宋体"/>
          <w:color w:val="auto"/>
          <w:sz w:val="24"/>
          <w:szCs w:val="24"/>
        </w:rPr>
        <w:t>报价货币为</w:t>
      </w:r>
      <w:r>
        <w:rPr>
          <w:rFonts w:hint="eastAsia" w:ascii="宋体" w:hAnsi="宋体" w:eastAsia="宋体" w:cs="宋体"/>
          <w:bCs/>
          <w:color w:val="auto"/>
          <w:sz w:val="24"/>
          <w:szCs w:val="24"/>
        </w:rPr>
        <w:t>人民币，报价以</w:t>
      </w:r>
      <w:r>
        <w:rPr>
          <w:rFonts w:hint="eastAsia" w:ascii="宋体" w:hAnsi="宋体" w:eastAsia="宋体" w:cs="宋体"/>
          <w:bCs/>
          <w:color w:val="auto"/>
          <w:sz w:val="24"/>
          <w:szCs w:val="24"/>
          <w:lang w:eastAsia="zh-CN"/>
        </w:rPr>
        <w:t>谈判文件</w:t>
      </w:r>
      <w:r>
        <w:rPr>
          <w:rFonts w:hint="eastAsia" w:ascii="宋体" w:hAnsi="宋体" w:eastAsia="宋体" w:cs="宋体"/>
          <w:bCs/>
          <w:color w:val="auto"/>
          <w:sz w:val="24"/>
          <w:szCs w:val="24"/>
        </w:rPr>
        <w:t>约定为准。</w:t>
      </w:r>
    </w:p>
    <w:p w14:paraId="23AEF71A">
      <w:pPr>
        <w:pStyle w:val="4"/>
        <w:pageBreakBefore w:val="0"/>
        <w:widowControl w:val="0"/>
        <w:kinsoku/>
        <w:wordWrap/>
        <w:overflowPunct/>
        <w:topLinePunct w:val="0"/>
        <w:bidi w:val="0"/>
        <w:snapToGrid/>
        <w:spacing w:before="0" w:after="0" w:line="560" w:lineRule="exact"/>
        <w:ind w:right="0" w:rightChars="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val="zh-CN" w:eastAsia="zh-CN"/>
        </w:rPr>
        <w:t>响应文件格式</w:t>
      </w:r>
    </w:p>
    <w:p w14:paraId="486C9E97">
      <w:pPr>
        <w:keepNext w:val="0"/>
        <w:keepLines w:val="0"/>
        <w:pageBreakBefore w:val="0"/>
        <w:widowControl w:val="0"/>
        <w:kinsoku/>
        <w:wordWrap/>
        <w:overflowPunct/>
        <w:topLinePunct w:val="0"/>
        <w:bidi w:val="0"/>
        <w:snapToGrid/>
        <w:spacing w:line="560" w:lineRule="exact"/>
        <w:ind w:left="2" w:leftChars="1"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.1 供应商应执行</w:t>
      </w:r>
      <w:r>
        <w:rPr>
          <w:rFonts w:hint="eastAsia" w:ascii="宋体" w:hAnsi="宋体" w:eastAsia="宋体" w:cs="宋体"/>
          <w:b/>
          <w:bCs/>
          <w:color w:val="auto"/>
          <w:sz w:val="24"/>
          <w:szCs w:val="24"/>
          <w:lang w:eastAsia="zh-CN"/>
        </w:rPr>
        <w:t>谈判文件</w:t>
      </w:r>
      <w:r>
        <w:rPr>
          <w:rFonts w:hint="eastAsia" w:ascii="宋体" w:hAnsi="宋体" w:eastAsia="宋体" w:cs="宋体"/>
          <w:b/>
          <w:bCs/>
          <w:color w:val="auto"/>
          <w:sz w:val="24"/>
          <w:szCs w:val="24"/>
          <w:highlight w:val="none"/>
          <w:lang w:eastAsia="zh-CN"/>
        </w:rPr>
        <w:t>第六章</w:t>
      </w:r>
      <w:r>
        <w:rPr>
          <w:rFonts w:hint="eastAsia" w:ascii="宋体" w:hAnsi="宋体" w:eastAsia="宋体" w:cs="宋体"/>
          <w:color w:val="auto"/>
          <w:sz w:val="24"/>
          <w:szCs w:val="24"/>
        </w:rPr>
        <w:t>的规定要求。</w:t>
      </w:r>
    </w:p>
    <w:p w14:paraId="6FE39C57">
      <w:pPr>
        <w:keepNext w:val="0"/>
        <w:keepLines w:val="0"/>
        <w:pageBreakBefore w:val="0"/>
        <w:widowControl w:val="0"/>
        <w:kinsoku/>
        <w:wordWrap/>
        <w:overflowPunct/>
        <w:topLinePunct w:val="0"/>
        <w:bidi w:val="0"/>
        <w:snapToGrid/>
        <w:spacing w:line="560" w:lineRule="exact"/>
        <w:ind w:left="2" w:leftChars="1"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.2 对于没有格式要求的</w:t>
      </w:r>
      <w:r>
        <w:rPr>
          <w:rFonts w:hint="eastAsia" w:ascii="宋体" w:hAnsi="宋体" w:eastAsia="宋体" w:cs="宋体"/>
          <w:color w:val="auto"/>
          <w:sz w:val="24"/>
          <w:szCs w:val="24"/>
          <w:lang w:eastAsia="zh-CN"/>
        </w:rPr>
        <w:t>谈判文件</w:t>
      </w:r>
      <w:r>
        <w:rPr>
          <w:rFonts w:hint="eastAsia" w:ascii="宋体" w:hAnsi="宋体" w:cs="宋体"/>
          <w:color w:val="auto"/>
          <w:sz w:val="24"/>
          <w:szCs w:val="24"/>
          <w:lang w:eastAsia="zh-CN"/>
        </w:rPr>
        <w:t>内容，由</w:t>
      </w:r>
      <w:r>
        <w:rPr>
          <w:rFonts w:hint="eastAsia" w:ascii="宋体" w:hAnsi="宋体" w:eastAsia="宋体" w:cs="宋体"/>
          <w:color w:val="auto"/>
          <w:sz w:val="24"/>
          <w:szCs w:val="24"/>
        </w:rPr>
        <w:t>供应商自行编写。</w:t>
      </w:r>
    </w:p>
    <w:p w14:paraId="5DCB14BB">
      <w:pPr>
        <w:pStyle w:val="4"/>
        <w:pageBreakBefore w:val="0"/>
        <w:widowControl w:val="0"/>
        <w:kinsoku/>
        <w:wordWrap/>
        <w:overflowPunct/>
        <w:topLinePunct w:val="0"/>
        <w:bidi w:val="0"/>
        <w:snapToGrid/>
        <w:spacing w:before="0" w:after="0" w:line="560" w:lineRule="exact"/>
        <w:ind w:right="0" w:right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 响应文件的编制和签署</w:t>
      </w:r>
    </w:p>
    <w:p w14:paraId="2EEA8E92">
      <w:pPr>
        <w:keepNext w:val="0"/>
        <w:keepLines w:val="0"/>
        <w:pageBreakBefore w:val="0"/>
        <w:widowControl w:val="0"/>
        <w:tabs>
          <w:tab w:val="left" w:pos="1080"/>
        </w:tabs>
        <w:kinsoku/>
        <w:wordWrap/>
        <w:overflowPunct/>
        <w:topLinePunct w:val="0"/>
        <w:bidi w:val="0"/>
        <w:snapToGrid/>
        <w:spacing w:line="560" w:lineRule="exact"/>
        <w:ind w:right="0" w:rightChars="0" w:firstLine="460" w:firstLineChars="19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电子</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文件的签章和签名要求：按照</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文件格式，采用单位和个人数字证书</w:t>
      </w:r>
      <w:r>
        <w:rPr>
          <w:rFonts w:hint="eastAsia" w:ascii="宋体" w:hAnsi="宋体" w:cs="宋体"/>
          <w:color w:val="auto"/>
          <w:sz w:val="24"/>
          <w:szCs w:val="24"/>
          <w:highlight w:val="none"/>
          <w:lang w:eastAsia="zh-CN"/>
        </w:rPr>
        <w:t>进行电子</w:t>
      </w:r>
      <w:r>
        <w:rPr>
          <w:rFonts w:hint="eastAsia" w:ascii="宋体" w:hAnsi="宋体" w:eastAsia="宋体" w:cs="宋体"/>
          <w:color w:val="auto"/>
          <w:sz w:val="24"/>
          <w:szCs w:val="24"/>
          <w:highlight w:val="none"/>
        </w:rPr>
        <w:t>签章及电子签名</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文件需要企业、法定代表人电子签章及电子签名。</w:t>
      </w:r>
    </w:p>
    <w:p w14:paraId="3F6A55B0">
      <w:pPr>
        <w:keepNext w:val="0"/>
        <w:keepLines w:val="0"/>
        <w:pageBreakBefore w:val="0"/>
        <w:widowControl w:val="0"/>
        <w:tabs>
          <w:tab w:val="left" w:pos="1080"/>
        </w:tabs>
        <w:kinsoku/>
        <w:wordWrap/>
        <w:overflowPunct/>
        <w:topLinePunct w:val="0"/>
        <w:bidi w:val="0"/>
        <w:snapToGrid/>
        <w:spacing w:line="560" w:lineRule="exact"/>
        <w:ind w:right="0" w:rightChars="0" w:firstLine="460" w:firstLineChars="192"/>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 因复印、扫描、拍摄模糊，字迹潦草，表达不清，未按要求填写而导致非唯一理解，造成未实质性响应</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文件的</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w:t>
      </w:r>
      <w:r>
        <w:rPr>
          <w:rFonts w:hint="eastAsia" w:ascii="宋体" w:hAnsi="宋体" w:cs="宋体"/>
          <w:color w:val="auto"/>
          <w:sz w:val="24"/>
          <w:szCs w:val="24"/>
          <w:highlight w:val="none"/>
          <w:lang w:eastAsia="zh-CN"/>
        </w:rPr>
        <w:t>，将</w:t>
      </w:r>
      <w:r>
        <w:rPr>
          <w:rFonts w:hint="eastAsia" w:ascii="宋体" w:hAnsi="宋体" w:eastAsia="宋体" w:cs="宋体"/>
          <w:color w:val="auto"/>
          <w:sz w:val="24"/>
          <w:szCs w:val="24"/>
          <w:highlight w:val="none"/>
        </w:rPr>
        <w:t>会被认定为</w:t>
      </w:r>
      <w:r>
        <w:rPr>
          <w:rFonts w:hint="eastAsia" w:ascii="宋体" w:hAnsi="宋体" w:eastAsia="宋体" w:cs="宋体"/>
          <w:b/>
          <w:bCs/>
          <w:color w:val="auto"/>
          <w:sz w:val="24"/>
          <w:szCs w:val="24"/>
          <w:highlight w:val="none"/>
        </w:rPr>
        <w:t>无效</w:t>
      </w:r>
      <w:r>
        <w:rPr>
          <w:rFonts w:hint="eastAsia" w:ascii="宋体" w:hAnsi="宋体" w:eastAsia="宋体" w:cs="宋体"/>
          <w:color w:val="auto"/>
          <w:sz w:val="24"/>
          <w:szCs w:val="24"/>
          <w:highlight w:val="none"/>
        </w:rPr>
        <w:t>。</w:t>
      </w:r>
    </w:p>
    <w:p w14:paraId="2E094FA9">
      <w:pPr>
        <w:keepNext w:val="0"/>
        <w:keepLines w:val="0"/>
        <w:pageBreakBefore w:val="0"/>
        <w:widowControl w:val="0"/>
        <w:tabs>
          <w:tab w:val="left" w:pos="1080"/>
        </w:tabs>
        <w:kinsoku/>
        <w:wordWrap/>
        <w:overflowPunct/>
        <w:topLinePunct w:val="0"/>
        <w:bidi w:val="0"/>
        <w:snapToGrid/>
        <w:spacing w:line="560" w:lineRule="exact"/>
        <w:ind w:right="0" w:rightChars="0" w:firstLine="460" w:firstLineChars="192"/>
        <w:textAlignment w:val="auto"/>
        <w:outlineLvl w:val="9"/>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b/>
          <w:color w:val="auto"/>
          <w:sz w:val="24"/>
          <w:szCs w:val="24"/>
        </w:rPr>
        <w:t>（实质性要求）</w:t>
      </w:r>
      <w:r>
        <w:rPr>
          <w:rFonts w:hint="eastAsia" w:ascii="宋体" w:hAnsi="宋体" w:eastAsia="宋体" w:cs="宋体"/>
          <w:color w:val="auto"/>
          <w:sz w:val="24"/>
          <w:szCs w:val="24"/>
        </w:rPr>
        <w:t>响应文件应由供应商法定代表人/主要负责人/本人或其授权代表在响应文件要求的地方</w:t>
      </w:r>
      <w:r>
        <w:rPr>
          <w:rFonts w:hint="eastAsia" w:ascii="宋体" w:hAnsi="宋体" w:eastAsia="宋体" w:cs="宋体"/>
          <w:color w:val="auto"/>
          <w:sz w:val="24"/>
          <w:szCs w:val="24"/>
          <w:lang w:val="en-US" w:eastAsia="zh-CN"/>
        </w:rPr>
        <w:t>进行电子签名</w:t>
      </w:r>
      <w:r>
        <w:rPr>
          <w:rFonts w:hint="eastAsia" w:ascii="宋体" w:hAnsi="宋体" w:eastAsia="宋体" w:cs="宋体"/>
          <w:color w:val="auto"/>
          <w:sz w:val="24"/>
          <w:szCs w:val="24"/>
        </w:rPr>
        <w:t>（或加盖私人</w:t>
      </w:r>
      <w:r>
        <w:rPr>
          <w:rFonts w:hint="eastAsia" w:ascii="宋体" w:hAnsi="宋体" w:eastAsia="宋体" w:cs="宋体"/>
          <w:color w:val="auto"/>
          <w:sz w:val="24"/>
          <w:szCs w:val="24"/>
          <w:lang w:val="en-US" w:eastAsia="zh-CN"/>
        </w:rPr>
        <w:t>电子</w:t>
      </w:r>
      <w:r>
        <w:rPr>
          <w:rFonts w:hint="eastAsia" w:ascii="宋体" w:hAnsi="宋体" w:eastAsia="宋体" w:cs="宋体"/>
          <w:color w:val="auto"/>
          <w:sz w:val="24"/>
          <w:szCs w:val="24"/>
        </w:rPr>
        <w:t>印章），要求加盖公章的地方加</w:t>
      </w:r>
      <w:r>
        <w:rPr>
          <w:rFonts w:hint="eastAsia" w:ascii="宋体" w:hAnsi="宋体" w:eastAsia="宋体" w:cs="宋体"/>
          <w:color w:val="auto"/>
          <w:sz w:val="24"/>
          <w:szCs w:val="24"/>
          <w:highlight w:val="none"/>
        </w:rPr>
        <w:t>盖单位</w:t>
      </w:r>
      <w:r>
        <w:rPr>
          <w:rFonts w:hint="eastAsia" w:ascii="宋体" w:hAnsi="宋体" w:eastAsia="宋体" w:cs="宋体"/>
          <w:color w:val="auto"/>
          <w:sz w:val="24"/>
          <w:szCs w:val="24"/>
          <w:highlight w:val="none"/>
          <w:lang w:val="en-US" w:eastAsia="zh-CN"/>
        </w:rPr>
        <w:t>电子</w:t>
      </w:r>
      <w:r>
        <w:rPr>
          <w:rFonts w:hint="eastAsia" w:ascii="宋体" w:hAnsi="宋体" w:eastAsia="宋体" w:cs="宋体"/>
          <w:color w:val="auto"/>
          <w:sz w:val="24"/>
          <w:szCs w:val="24"/>
          <w:highlight w:val="none"/>
        </w:rPr>
        <w:t>公章，不得使用专用章（如经济合同章、投标专用章等）或下属单位印章代替。</w:t>
      </w:r>
    </w:p>
    <w:p w14:paraId="41C665E6">
      <w:pPr>
        <w:pStyle w:val="4"/>
        <w:pageBreakBefore w:val="0"/>
        <w:widowControl w:val="0"/>
        <w:kinsoku/>
        <w:wordWrap/>
        <w:overflowPunct/>
        <w:topLinePunct w:val="0"/>
        <w:bidi w:val="0"/>
        <w:snapToGrid/>
        <w:spacing w:before="0" w:after="0" w:line="560" w:lineRule="exact"/>
        <w:ind w:right="0" w:right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 响应文件的密封</w:t>
      </w:r>
    </w:p>
    <w:p w14:paraId="0BCAC524">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7.1 </w:t>
      </w:r>
      <w:r>
        <w:rPr>
          <w:rFonts w:hint="eastAsia" w:ascii="宋体" w:hAnsi="宋体" w:eastAsia="宋体" w:cs="宋体"/>
          <w:color w:val="auto"/>
          <w:sz w:val="24"/>
          <w:szCs w:val="24"/>
          <w:highlight w:val="none"/>
        </w:rPr>
        <w:t>网上递交的</w:t>
      </w:r>
      <w:r>
        <w:rPr>
          <w:rFonts w:hint="eastAsia" w:ascii="宋体" w:hAnsi="宋体" w:eastAsia="宋体" w:cs="宋体"/>
          <w:color w:val="auto"/>
          <w:sz w:val="24"/>
          <w:szCs w:val="24"/>
          <w:highlight w:val="none"/>
          <w:lang w:eastAsia="zh-CN"/>
        </w:rPr>
        <w:t>电子响应</w:t>
      </w:r>
      <w:r>
        <w:rPr>
          <w:rFonts w:hint="eastAsia" w:ascii="宋体" w:hAnsi="宋体" w:eastAsia="宋体" w:cs="宋体"/>
          <w:color w:val="auto"/>
          <w:sz w:val="24"/>
          <w:szCs w:val="24"/>
          <w:highlight w:val="none"/>
        </w:rPr>
        <w:t>文件需要对文件进行加密。</w:t>
      </w:r>
    </w:p>
    <w:p w14:paraId="4A91B928">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7.2 </w:t>
      </w:r>
      <w:r>
        <w:rPr>
          <w:rFonts w:hint="eastAsia" w:ascii="宋体" w:hAnsi="宋体" w:eastAsia="宋体" w:cs="宋体"/>
          <w:color w:val="auto"/>
          <w:sz w:val="24"/>
          <w:szCs w:val="24"/>
          <w:highlight w:val="none"/>
        </w:rPr>
        <w:t>供应商须在</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文件递交截止时间前完成所有</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文件的上传，网上确认电子签名。</w:t>
      </w:r>
    </w:p>
    <w:p w14:paraId="35DCBAA5">
      <w:pPr>
        <w:keepNext w:val="0"/>
        <w:keepLines w:val="0"/>
        <w:pageBreakBefore w:val="0"/>
        <w:widowControl w:val="0"/>
        <w:kinsoku/>
        <w:wordWrap/>
        <w:overflowPunct/>
        <w:topLinePunct w:val="0"/>
        <w:bidi w:val="0"/>
        <w:snapToGrid/>
        <w:spacing w:line="560" w:lineRule="exact"/>
        <w:ind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注：建议供应商上传完成后，将已上传的电子</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文件重新下载下来，用对应类型的编制工具或标书查看工具进行解密查看，确保上传的文件可以正常解密打开。</w:t>
      </w:r>
    </w:p>
    <w:p w14:paraId="0BDE7E43">
      <w:pPr>
        <w:pStyle w:val="4"/>
        <w:pageBreakBefore w:val="0"/>
        <w:widowControl w:val="0"/>
        <w:kinsoku/>
        <w:wordWrap/>
        <w:overflowPunct/>
        <w:topLinePunct w:val="0"/>
        <w:bidi w:val="0"/>
        <w:snapToGrid/>
        <w:spacing w:before="0" w:after="0" w:line="560" w:lineRule="exact"/>
        <w:ind w:right="0" w:right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 响应文件的递交</w:t>
      </w:r>
    </w:p>
    <w:p w14:paraId="6E850DD1">
      <w:pPr>
        <w:keepNext w:val="0"/>
        <w:keepLines w:val="0"/>
        <w:pageBreakBefore w:val="0"/>
        <w:widowControl w:val="0"/>
        <w:kinsoku/>
        <w:wordWrap/>
        <w:overflowPunct/>
        <w:topLinePunct w:val="0"/>
        <w:bidi w:val="0"/>
        <w:snapToGrid/>
        <w:spacing w:line="560" w:lineRule="exact"/>
        <w:ind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电子</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文件的提交不得迟于“</w:t>
      </w:r>
      <w:r>
        <w:rPr>
          <w:rFonts w:hint="eastAsia" w:ascii="宋体" w:hAnsi="宋体" w:eastAsia="宋体" w:cs="宋体"/>
          <w:b/>
          <w:bCs/>
          <w:color w:val="auto"/>
          <w:sz w:val="24"/>
          <w:szCs w:val="24"/>
          <w:highlight w:val="none"/>
          <w:lang w:val="en-US" w:eastAsia="zh-CN"/>
        </w:rPr>
        <w:t>竞争性谈判公告</w:t>
      </w:r>
      <w:r>
        <w:rPr>
          <w:rFonts w:hint="eastAsia" w:ascii="宋体" w:hAnsi="宋体" w:eastAsia="宋体" w:cs="宋体"/>
          <w:color w:val="auto"/>
          <w:sz w:val="24"/>
          <w:szCs w:val="24"/>
          <w:highlight w:val="none"/>
        </w:rPr>
        <w:t>”规定的提交截止时间。</w:t>
      </w:r>
    </w:p>
    <w:p w14:paraId="68BAF09A">
      <w:pPr>
        <w:keepNext w:val="0"/>
        <w:keepLines w:val="0"/>
        <w:pageBreakBefore w:val="0"/>
        <w:widowControl w:val="0"/>
        <w:kinsoku/>
        <w:wordWrap/>
        <w:overflowPunct/>
        <w:topLinePunct w:val="0"/>
        <w:bidi w:val="0"/>
        <w:snapToGrid/>
        <w:spacing w:line="560" w:lineRule="exact"/>
        <w:ind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供应商必须在规定时间内将电子</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上传</w:t>
      </w:r>
      <w:r>
        <w:rPr>
          <w:rFonts w:hint="eastAsia" w:ascii="宋体" w:hAnsi="宋体" w:eastAsia="宋体" w:cs="宋体"/>
          <w:color w:val="auto"/>
          <w:sz w:val="24"/>
          <w:szCs w:val="24"/>
          <w:highlight w:val="none"/>
        </w:rPr>
        <w:t>到“</w:t>
      </w:r>
      <w:r>
        <w:rPr>
          <w:rFonts w:hint="eastAsia" w:ascii="宋体" w:hAnsi="宋体" w:eastAsia="宋体" w:cs="宋体"/>
          <w:b/>
          <w:bCs/>
          <w:color w:val="auto"/>
          <w:sz w:val="24"/>
          <w:szCs w:val="24"/>
          <w:highlight w:val="none"/>
          <w:lang w:val="en-US" w:eastAsia="zh-CN"/>
        </w:rPr>
        <w:t>竞争性谈判公告</w:t>
      </w:r>
      <w:r>
        <w:rPr>
          <w:rFonts w:hint="eastAsia" w:ascii="宋体" w:hAnsi="宋体" w:eastAsia="宋体" w:cs="宋体"/>
          <w:color w:val="auto"/>
          <w:sz w:val="24"/>
          <w:szCs w:val="24"/>
          <w:highlight w:val="none"/>
        </w:rPr>
        <w:t>”规定的</w:t>
      </w:r>
      <w:r>
        <w:rPr>
          <w:rFonts w:hint="eastAsia" w:ascii="宋体" w:hAnsi="宋体" w:eastAsia="宋体" w:cs="宋体"/>
          <w:color w:val="auto"/>
          <w:sz w:val="24"/>
          <w:szCs w:val="24"/>
          <w:highlight w:val="none"/>
          <w:lang w:val="en-US" w:eastAsia="zh-CN"/>
        </w:rPr>
        <w:t>网站</w:t>
      </w:r>
      <w:r>
        <w:rPr>
          <w:rFonts w:hint="eastAsia" w:ascii="宋体" w:hAnsi="宋体" w:eastAsia="宋体" w:cs="宋体"/>
          <w:color w:val="auto"/>
          <w:sz w:val="24"/>
          <w:szCs w:val="24"/>
          <w:highlight w:val="none"/>
        </w:rPr>
        <w:t>。</w:t>
      </w:r>
    </w:p>
    <w:p w14:paraId="0FBE07FA">
      <w:pPr>
        <w:keepNext w:val="0"/>
        <w:keepLines w:val="0"/>
        <w:pageBreakBefore w:val="0"/>
        <w:widowControl w:val="0"/>
        <w:kinsoku/>
        <w:wordWrap/>
        <w:overflowPunct/>
        <w:topLinePunct w:val="0"/>
        <w:bidi w:val="0"/>
        <w:snapToGrid/>
        <w:spacing w:line="560" w:lineRule="exact"/>
        <w:ind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 xml:space="preserve"> 逾期</w:t>
      </w:r>
      <w:r>
        <w:rPr>
          <w:rFonts w:hint="eastAsia" w:ascii="宋体" w:hAnsi="宋体" w:eastAsia="宋体" w:cs="宋体"/>
          <w:color w:val="auto"/>
          <w:sz w:val="24"/>
          <w:szCs w:val="24"/>
          <w:lang w:val="en-US" w:eastAsia="zh-CN"/>
        </w:rPr>
        <w:t>上传</w:t>
      </w:r>
      <w:r>
        <w:rPr>
          <w:rFonts w:hint="eastAsia" w:ascii="宋体" w:hAnsi="宋体" w:eastAsia="宋体" w:cs="宋体"/>
          <w:color w:val="auto"/>
          <w:sz w:val="24"/>
          <w:szCs w:val="24"/>
        </w:rPr>
        <w:t>的或者未</w:t>
      </w:r>
      <w:r>
        <w:rPr>
          <w:rFonts w:hint="eastAsia" w:ascii="宋体" w:hAnsi="宋体" w:eastAsia="宋体" w:cs="宋体"/>
          <w:color w:val="auto"/>
          <w:sz w:val="24"/>
          <w:szCs w:val="24"/>
          <w:lang w:val="en-US" w:eastAsia="zh-CN"/>
        </w:rPr>
        <w:t>上传至指定项目</w:t>
      </w:r>
      <w:r>
        <w:rPr>
          <w:rFonts w:hint="eastAsia" w:ascii="宋体" w:hAnsi="宋体" w:eastAsia="宋体" w:cs="宋体"/>
          <w:color w:val="auto"/>
          <w:sz w:val="24"/>
          <w:szCs w:val="24"/>
        </w:rPr>
        <w:t>的电子</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文件，采购代理机构不予受理。</w:t>
      </w:r>
    </w:p>
    <w:p w14:paraId="5F3A288F">
      <w:pPr>
        <w:pStyle w:val="4"/>
        <w:pageBreakBefore w:val="0"/>
        <w:widowControl w:val="0"/>
        <w:kinsoku/>
        <w:wordWrap/>
        <w:overflowPunct/>
        <w:topLinePunct w:val="0"/>
        <w:bidi w:val="0"/>
        <w:snapToGrid/>
        <w:spacing w:before="0" w:after="0" w:line="560" w:lineRule="exact"/>
        <w:ind w:right="0" w:right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 响应文件的修改和撤回</w:t>
      </w:r>
    </w:p>
    <w:p w14:paraId="01F2BB5F">
      <w:pPr>
        <w:keepNext w:val="0"/>
        <w:keepLines w:val="0"/>
        <w:pageBreakBefore w:val="0"/>
        <w:widowControl w:val="0"/>
        <w:kinsoku/>
        <w:wordWrap/>
        <w:overflowPunct/>
        <w:topLinePunct w:val="0"/>
        <w:bidi w:val="0"/>
        <w:snapToGrid/>
        <w:spacing w:line="560" w:lineRule="exact"/>
        <w:ind w:right="0" w:rightChars="0" w:firstLine="480" w:firstLineChars="200"/>
        <w:textAlignment w:val="auto"/>
        <w:outlineLvl w:val="9"/>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 xml:space="preserve">9.1 </w:t>
      </w:r>
      <w:r>
        <w:rPr>
          <w:rFonts w:hint="eastAsia" w:ascii="宋体" w:hAnsi="宋体" w:eastAsia="宋体" w:cs="宋体"/>
          <w:color w:val="auto"/>
          <w:sz w:val="24"/>
          <w:szCs w:val="24"/>
        </w:rPr>
        <w:t>在规定</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文件递交截止时间前，供应商可以修改或撤回已在网上递交的电子</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文件，无须书面形式通知采购人。修改的电子</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文件应按照有关电子</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文件规定进行编制、</w:t>
      </w:r>
      <w:r>
        <w:rPr>
          <w:rFonts w:hint="eastAsia" w:ascii="宋体" w:hAnsi="宋体" w:eastAsia="宋体" w:cs="宋体"/>
          <w:color w:val="auto"/>
          <w:sz w:val="24"/>
          <w:szCs w:val="24"/>
          <w:lang w:val="en-US" w:eastAsia="zh-CN"/>
        </w:rPr>
        <w:t>上传</w:t>
      </w:r>
      <w:r>
        <w:rPr>
          <w:rFonts w:hint="eastAsia" w:ascii="宋体" w:hAnsi="宋体" w:eastAsia="宋体" w:cs="宋体"/>
          <w:color w:val="auto"/>
          <w:sz w:val="24"/>
          <w:szCs w:val="24"/>
        </w:rPr>
        <w:t>。</w:t>
      </w:r>
    </w:p>
    <w:p w14:paraId="73ED8E55">
      <w:pPr>
        <w:keepNext w:val="0"/>
        <w:keepLines w:val="0"/>
        <w:pageBreakBefore w:val="0"/>
        <w:widowControl w:val="0"/>
        <w:kinsoku/>
        <w:wordWrap/>
        <w:overflowPunct/>
        <w:topLinePunct w:val="0"/>
        <w:bidi w:val="0"/>
        <w:snapToGrid/>
        <w:spacing w:line="560" w:lineRule="exact"/>
        <w:ind w:right="0" w:rightChars="0" w:firstLine="480" w:firstLineChars="200"/>
        <w:textAlignment w:val="auto"/>
        <w:outlineLvl w:val="9"/>
        <w:rPr>
          <w:rFonts w:hint="eastAsia" w:ascii="宋体" w:hAnsi="宋体" w:eastAsia="宋体" w:cs="宋体"/>
          <w:strike/>
          <w:dstrike w:val="0"/>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xml:space="preserve"> 供应商不得在递交截止时间起至响应文件有效期期满前撤回其响应</w:t>
      </w:r>
      <w:r>
        <w:rPr>
          <w:rFonts w:hint="eastAsia" w:ascii="宋体" w:hAnsi="宋体" w:eastAsia="宋体" w:cs="宋体"/>
          <w:color w:val="auto"/>
          <w:sz w:val="24"/>
          <w:szCs w:val="24"/>
          <w:highlight w:val="none"/>
        </w:rPr>
        <w:t>文件。否则其</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保证金将按相关规定被没收。</w:t>
      </w:r>
    </w:p>
    <w:p w14:paraId="1FA5BAFF">
      <w:pPr>
        <w:keepNext w:val="0"/>
        <w:keepLines w:val="0"/>
        <w:pageBreakBefore w:val="0"/>
        <w:widowControl w:val="0"/>
        <w:kinsoku/>
        <w:wordWrap/>
        <w:overflowPunct/>
        <w:topLinePunct w:val="0"/>
        <w:bidi w:val="0"/>
        <w:snapToGrid/>
        <w:spacing w:line="560" w:lineRule="exact"/>
        <w:ind w:right="0" w:rightChars="0" w:firstLine="48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xml:space="preserve"> 供应商对其提交的响应文件的真实性、合法性承担法律责任。</w:t>
      </w:r>
    </w:p>
    <w:p w14:paraId="5D936072">
      <w:pPr>
        <w:keepNext w:val="0"/>
        <w:keepLines w:val="0"/>
        <w:pageBreakBefore w:val="0"/>
        <w:widowControl w:val="0"/>
        <w:kinsoku/>
        <w:wordWrap/>
        <w:overflowPunct/>
        <w:topLinePunct w:val="0"/>
        <w:bidi w:val="0"/>
        <w:snapToGrid/>
        <w:spacing w:line="560" w:lineRule="exact"/>
        <w:ind w:right="0" w:rightChars="0"/>
        <w:jc w:val="center"/>
        <w:textAlignment w:val="auto"/>
        <w:outlineLvl w:val="9"/>
        <w:rPr>
          <w:rFonts w:hint="eastAsia" w:ascii="宋体" w:hAnsi="宋体" w:eastAsia="宋体" w:cs="宋体"/>
          <w:color w:val="auto"/>
          <w:sz w:val="24"/>
          <w:szCs w:val="24"/>
        </w:rPr>
      </w:pPr>
    </w:p>
    <w:p w14:paraId="30E42C6C">
      <w:pPr>
        <w:pStyle w:val="3"/>
        <w:keepNext w:val="0"/>
        <w:keepLines w:val="0"/>
        <w:pageBreakBefore w:val="0"/>
        <w:widowControl w:val="0"/>
        <w:numPr>
          <w:ilvl w:val="0"/>
          <w:numId w:val="0"/>
        </w:numPr>
        <w:kinsoku/>
        <w:wordWrap/>
        <w:overflowPunct/>
        <w:topLinePunct w:val="0"/>
        <w:bidi w:val="0"/>
        <w:snapToGrid/>
        <w:spacing w:before="0" w:after="0" w:line="560" w:lineRule="exact"/>
        <w:ind w:right="0" w:rightChars="0"/>
        <w:jc w:val="center"/>
        <w:textAlignment w:val="auto"/>
        <w:rPr>
          <w:rFonts w:hint="eastAsia" w:ascii="宋体" w:hAnsi="宋体" w:eastAsia="宋体" w:cs="宋体"/>
          <w:bCs/>
          <w:color w:val="auto"/>
          <w:sz w:val="32"/>
          <w:szCs w:val="32"/>
        </w:rPr>
      </w:pPr>
      <w:bookmarkStart w:id="144" w:name="_Toc28860"/>
      <w:bookmarkStart w:id="145" w:name="_Toc28606_WPSOffice_Level2"/>
      <w:bookmarkStart w:id="146" w:name="_Toc31140"/>
      <w:bookmarkStart w:id="147" w:name="_Toc4978"/>
      <w:bookmarkStart w:id="148" w:name="_Toc14660"/>
      <w:r>
        <w:rPr>
          <w:rFonts w:hint="eastAsia" w:ascii="宋体" w:hAnsi="宋体" w:eastAsia="宋体" w:cs="宋体"/>
          <w:bCs/>
          <w:color w:val="auto"/>
          <w:sz w:val="32"/>
          <w:szCs w:val="32"/>
        </w:rPr>
        <w:t>五、</w:t>
      </w:r>
      <w:r>
        <w:rPr>
          <w:rFonts w:hint="eastAsia" w:ascii="宋体" w:hAnsi="宋体" w:eastAsia="宋体" w:cs="宋体"/>
          <w:bCs/>
          <w:color w:val="auto"/>
          <w:sz w:val="32"/>
          <w:szCs w:val="32"/>
          <w:lang w:eastAsia="zh-CN"/>
        </w:rPr>
        <w:t>谈判</w:t>
      </w:r>
      <w:r>
        <w:rPr>
          <w:rFonts w:hint="eastAsia" w:ascii="宋体" w:hAnsi="宋体" w:eastAsia="宋体" w:cs="宋体"/>
          <w:bCs/>
          <w:color w:val="auto"/>
          <w:sz w:val="32"/>
          <w:szCs w:val="32"/>
        </w:rPr>
        <w:t>及评审过程</w:t>
      </w:r>
      <w:bookmarkEnd w:id="144"/>
      <w:bookmarkEnd w:id="145"/>
      <w:bookmarkEnd w:id="146"/>
      <w:bookmarkEnd w:id="147"/>
      <w:bookmarkEnd w:id="148"/>
    </w:p>
    <w:p w14:paraId="1448A0B3">
      <w:pPr>
        <w:pStyle w:val="4"/>
        <w:pageBreakBefore w:val="0"/>
        <w:widowControl w:val="0"/>
        <w:kinsoku/>
        <w:wordWrap/>
        <w:overflowPunct/>
        <w:topLinePunct w:val="0"/>
        <w:autoSpaceDE/>
        <w:autoSpaceDN/>
        <w:bidi w:val="0"/>
        <w:adjustRightInd/>
        <w:snapToGrid/>
        <w:spacing w:before="0" w:after="0" w:line="560" w:lineRule="exact"/>
        <w:ind w:right="0" w:right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bookmarkStart w:id="149" w:name="_Toc337822233"/>
      <w:bookmarkStart w:id="150" w:name="_Toc31387"/>
      <w:r>
        <w:rPr>
          <w:rFonts w:hint="eastAsia" w:ascii="宋体" w:hAnsi="宋体" w:eastAsia="宋体" w:cs="宋体"/>
          <w:color w:val="auto"/>
          <w:sz w:val="24"/>
          <w:szCs w:val="24"/>
          <w:lang w:val="en-US" w:eastAsia="zh-CN"/>
        </w:rPr>
        <w:t xml:space="preserve"> 电子响应文件的</w:t>
      </w:r>
      <w:bookmarkEnd w:id="149"/>
      <w:bookmarkEnd w:id="150"/>
      <w:r>
        <w:rPr>
          <w:rFonts w:hint="eastAsia" w:ascii="宋体" w:hAnsi="宋体" w:eastAsia="宋体" w:cs="宋体"/>
          <w:color w:val="auto"/>
          <w:sz w:val="24"/>
          <w:szCs w:val="24"/>
          <w:lang w:val="en-US" w:eastAsia="zh-CN"/>
        </w:rPr>
        <w:t>开启</w:t>
      </w:r>
    </w:p>
    <w:p w14:paraId="5CB79F58">
      <w:pPr>
        <w:keepNext w:val="0"/>
        <w:keepLines w:val="0"/>
        <w:pageBreakBefore w:val="0"/>
        <w:widowControl w:val="0"/>
        <w:kinsoku/>
        <w:wordWrap/>
        <w:overflowPunct/>
        <w:topLinePunct w:val="0"/>
        <w:autoSpaceDE/>
        <w:autoSpaceDN/>
        <w:bidi w:val="0"/>
        <w:adjustRightInd/>
        <w:snapToGrid/>
        <w:spacing w:line="560" w:lineRule="exact"/>
        <w:ind w:right="0" w:rightChars="0"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该项目采用</w:t>
      </w:r>
      <w:r>
        <w:rPr>
          <w:rFonts w:hint="eastAsia" w:ascii="宋体" w:hAnsi="宋体" w:eastAsia="宋体" w:cs="宋体"/>
          <w:color w:val="auto"/>
          <w:sz w:val="24"/>
          <w:szCs w:val="24"/>
          <w:highlight w:val="none"/>
          <w:lang w:val="en-US" w:eastAsia="zh-CN"/>
        </w:rPr>
        <w:t>线上开启响应文件的</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采购代理机构将在“</w:t>
      </w:r>
      <w:r>
        <w:rPr>
          <w:rFonts w:hint="eastAsia" w:ascii="宋体" w:hAnsi="宋体" w:eastAsia="宋体" w:cs="宋体"/>
          <w:b/>
          <w:color w:val="auto"/>
          <w:sz w:val="24"/>
          <w:szCs w:val="24"/>
          <w:highlight w:val="none"/>
          <w:lang w:val="en-US" w:eastAsia="zh-CN"/>
        </w:rPr>
        <w:t>谈判采购公告</w:t>
      </w:r>
      <w:r>
        <w:rPr>
          <w:rFonts w:hint="eastAsia" w:ascii="宋体" w:hAnsi="宋体" w:eastAsia="宋体" w:cs="宋体"/>
          <w:color w:val="auto"/>
          <w:sz w:val="24"/>
          <w:szCs w:val="24"/>
          <w:highlight w:val="none"/>
        </w:rPr>
        <w:t>”规定的时间和地点</w:t>
      </w:r>
      <w:r>
        <w:rPr>
          <w:rFonts w:hint="eastAsia" w:ascii="宋体" w:hAnsi="宋体" w:eastAsia="宋体" w:cs="宋体"/>
          <w:color w:val="auto"/>
          <w:sz w:val="24"/>
          <w:szCs w:val="24"/>
          <w:highlight w:val="none"/>
          <w:lang w:eastAsia="zh-CN"/>
        </w:rPr>
        <w:t>对供应商的电子响应文件进行</w:t>
      </w:r>
      <w:r>
        <w:rPr>
          <w:rFonts w:hint="eastAsia" w:ascii="宋体" w:hAnsi="宋体" w:eastAsia="宋体" w:cs="宋体"/>
          <w:color w:val="auto"/>
          <w:sz w:val="24"/>
          <w:szCs w:val="24"/>
          <w:highlight w:val="none"/>
          <w:lang w:val="en-US" w:eastAsia="zh-CN"/>
        </w:rPr>
        <w:t>远程</w:t>
      </w:r>
      <w:r>
        <w:rPr>
          <w:rFonts w:hint="eastAsia" w:ascii="宋体" w:hAnsi="宋体" w:eastAsia="宋体" w:cs="宋体"/>
          <w:color w:val="auto"/>
          <w:sz w:val="24"/>
          <w:szCs w:val="24"/>
          <w:highlight w:val="none"/>
          <w:lang w:eastAsia="zh-CN"/>
        </w:rPr>
        <w:t>解密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应熟练掌握网上远程解密操作，并在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竞争性谈判公告</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规定的</w:t>
      </w:r>
      <w:r>
        <w:rPr>
          <w:rFonts w:hint="eastAsia" w:ascii="宋体" w:hAnsi="宋体" w:eastAsia="宋体" w:cs="宋体"/>
          <w:color w:val="auto"/>
          <w:sz w:val="24"/>
          <w:szCs w:val="24"/>
          <w:highlight w:val="none"/>
          <w:lang w:val="en-US" w:eastAsia="zh-CN"/>
        </w:rPr>
        <w:t>时间内</w:t>
      </w:r>
      <w:r>
        <w:rPr>
          <w:rFonts w:hint="eastAsia" w:ascii="宋体" w:hAnsi="宋体" w:eastAsia="宋体" w:cs="宋体"/>
          <w:color w:val="auto"/>
          <w:sz w:val="24"/>
          <w:szCs w:val="24"/>
          <w:highlight w:val="none"/>
        </w:rPr>
        <w:t>成功完成网上远程解密，如在规定的时间内不能成功完成网上远程解密的，则视为撤销其</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后果自负。若未在签名确认时间内完成签名确认的，则视为对本次</w:t>
      </w:r>
      <w:r>
        <w:rPr>
          <w:rFonts w:hint="eastAsia" w:ascii="宋体" w:hAnsi="宋体" w:eastAsia="宋体" w:cs="宋体"/>
          <w:color w:val="auto"/>
          <w:sz w:val="24"/>
          <w:szCs w:val="24"/>
          <w:highlight w:val="none"/>
          <w:lang w:val="en-US" w:eastAsia="zh-CN"/>
        </w:rPr>
        <w:t>开启结果</w:t>
      </w:r>
      <w:r>
        <w:rPr>
          <w:rFonts w:hint="eastAsia" w:ascii="宋体" w:hAnsi="宋体" w:eastAsia="宋体" w:cs="宋体"/>
          <w:color w:val="auto"/>
          <w:sz w:val="24"/>
          <w:szCs w:val="24"/>
          <w:highlight w:val="none"/>
        </w:rPr>
        <w:t>无异议。</w:t>
      </w:r>
      <w:r>
        <w:rPr>
          <w:rFonts w:hint="eastAsia" w:ascii="宋体" w:hAnsi="宋体" w:eastAsia="宋体" w:cs="宋体"/>
          <w:color w:val="auto"/>
          <w:sz w:val="24"/>
          <w:szCs w:val="24"/>
          <w:highlight w:val="none"/>
          <w:lang w:val="en-US" w:eastAsia="zh-CN"/>
        </w:rPr>
        <w:t xml:space="preserve"> </w:t>
      </w:r>
    </w:p>
    <w:p w14:paraId="58E46B94">
      <w:pPr>
        <w:keepNext w:val="0"/>
        <w:keepLines w:val="0"/>
        <w:pageBreakBefore w:val="0"/>
        <w:widowControl w:val="0"/>
        <w:kinsoku/>
        <w:wordWrap/>
        <w:overflowPunct/>
        <w:topLinePunct w:val="0"/>
        <w:autoSpaceDE/>
        <w:autoSpaceDN/>
        <w:bidi w:val="0"/>
        <w:adjustRightInd/>
        <w:snapToGrid/>
        <w:spacing w:line="560" w:lineRule="exact"/>
        <w:ind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若远程解密过程中出现网络故障或其他异常情况的，请及时电话联系采购代理机构或技术支持人员。</w:t>
      </w:r>
    </w:p>
    <w:p w14:paraId="0A9E7BF5">
      <w:pPr>
        <w:pStyle w:val="4"/>
        <w:pageBreakBefore w:val="0"/>
        <w:widowControl w:val="0"/>
        <w:kinsoku/>
        <w:wordWrap/>
        <w:overflowPunct/>
        <w:topLinePunct w:val="0"/>
        <w:autoSpaceDE/>
        <w:autoSpaceDN/>
        <w:bidi w:val="0"/>
        <w:adjustRightInd/>
        <w:snapToGrid/>
        <w:spacing w:before="0" w:after="0" w:line="560" w:lineRule="exact"/>
        <w:ind w:right="0" w:right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谈判评审</w:t>
      </w:r>
    </w:p>
    <w:p w14:paraId="2ED27002">
      <w:pPr>
        <w:keepNext w:val="0"/>
        <w:keepLines w:val="0"/>
        <w:pageBreakBefore w:val="0"/>
        <w:widowControl w:val="0"/>
        <w:kinsoku/>
        <w:wordWrap/>
        <w:overflowPunct/>
        <w:topLinePunct w:val="0"/>
        <w:autoSpaceDE/>
        <w:autoSpaceDN/>
        <w:bidi w:val="0"/>
        <w:adjustRightInd/>
        <w:snapToGrid/>
        <w:spacing w:line="560" w:lineRule="exact"/>
        <w:ind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谈判小组由采购人代表和评审专家共3人以上的单数组成，其中评审专家人数不得少于谈判小组成员总数的三分之二。</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小组负责本项目的</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采购活动和评审工作。</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小组的评审工作按照有关法律制度和本文件第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章的规定进行。</w:t>
      </w:r>
    </w:p>
    <w:p w14:paraId="3E5EC583">
      <w:pPr>
        <w:pStyle w:val="4"/>
        <w:pageBreakBefore w:val="0"/>
        <w:widowControl w:val="0"/>
        <w:kinsoku/>
        <w:wordWrap/>
        <w:overflowPunct/>
        <w:topLinePunct w:val="0"/>
        <w:autoSpaceDE/>
        <w:autoSpaceDN/>
        <w:bidi w:val="0"/>
        <w:adjustRightInd/>
        <w:snapToGrid/>
        <w:spacing w:before="0" w:after="0" w:line="560" w:lineRule="exact"/>
        <w:ind w:right="0" w:rightChars="0"/>
        <w:textAlignment w:val="auto"/>
        <w:rPr>
          <w:rFonts w:hint="eastAsia" w:ascii="宋体" w:hAnsi="宋体" w:eastAsia="宋体" w:cs="宋体"/>
          <w:color w:val="auto"/>
          <w:sz w:val="24"/>
          <w:szCs w:val="24"/>
          <w:lang w:val="en-US" w:eastAsia="zh-CN"/>
        </w:rPr>
      </w:pPr>
      <w:bookmarkStart w:id="151" w:name="_Toc515647786"/>
      <w:bookmarkStart w:id="152" w:name="_Toc31289"/>
      <w:bookmarkStart w:id="153" w:name="_Toc24972"/>
      <w:bookmarkStart w:id="154" w:name="_Toc2582292"/>
      <w:bookmarkStart w:id="155" w:name="_Toc532473478"/>
      <w:bookmarkStart w:id="156" w:name="_Toc520356169"/>
      <w:r>
        <w:rPr>
          <w:rFonts w:hint="eastAsia" w:ascii="宋体" w:hAnsi="宋体" w:eastAsia="宋体" w:cs="宋体"/>
          <w:color w:val="auto"/>
          <w:sz w:val="24"/>
          <w:szCs w:val="24"/>
          <w:lang w:val="en-US" w:eastAsia="zh-CN"/>
        </w:rPr>
        <w:t>3. 保密</w:t>
      </w:r>
      <w:bookmarkEnd w:id="151"/>
      <w:bookmarkEnd w:id="152"/>
      <w:bookmarkEnd w:id="153"/>
      <w:r>
        <w:rPr>
          <w:rFonts w:hint="eastAsia" w:ascii="宋体" w:hAnsi="宋体" w:eastAsia="宋体" w:cs="宋体"/>
          <w:color w:val="auto"/>
          <w:sz w:val="24"/>
          <w:szCs w:val="24"/>
          <w:lang w:val="en-US" w:eastAsia="zh-CN"/>
        </w:rPr>
        <w:t>要求</w:t>
      </w:r>
      <w:bookmarkEnd w:id="154"/>
      <w:bookmarkEnd w:id="155"/>
    </w:p>
    <w:p w14:paraId="045A2CCB">
      <w:pPr>
        <w:keepNext w:val="0"/>
        <w:keepLines w:val="0"/>
        <w:pageBreakBefore w:val="0"/>
        <w:widowControl w:val="0"/>
        <w:tabs>
          <w:tab w:val="left" w:pos="1080"/>
        </w:tabs>
        <w:kinsoku/>
        <w:wordWrap/>
        <w:overflowPunct/>
        <w:topLinePunct w:val="0"/>
        <w:autoSpaceDE/>
        <w:autoSpaceDN/>
        <w:bidi w:val="0"/>
        <w:adjustRightInd/>
        <w:snapToGrid/>
        <w:spacing w:line="560" w:lineRule="exact"/>
        <w:ind w:right="0" w:rightChars="0" w:firstLine="460" w:firstLineChars="192"/>
        <w:textAlignment w:val="auto"/>
        <w:outlineLvl w:val="9"/>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3.1 谈判将在严格保密的情况下进行。</w:t>
      </w:r>
    </w:p>
    <w:p w14:paraId="573052FF">
      <w:pPr>
        <w:keepNext w:val="0"/>
        <w:keepLines w:val="0"/>
        <w:pageBreakBefore w:val="0"/>
        <w:widowControl w:val="0"/>
        <w:tabs>
          <w:tab w:val="left" w:pos="1080"/>
        </w:tabs>
        <w:kinsoku/>
        <w:wordWrap/>
        <w:overflowPunct/>
        <w:topLinePunct w:val="0"/>
        <w:autoSpaceDE/>
        <w:autoSpaceDN/>
        <w:bidi w:val="0"/>
        <w:adjustRightInd/>
        <w:snapToGrid/>
        <w:spacing w:line="560" w:lineRule="exact"/>
        <w:ind w:right="0" w:rightChars="0" w:firstLine="460" w:firstLineChars="192"/>
        <w:textAlignment w:val="auto"/>
        <w:outlineLvl w:val="9"/>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3.2 有关人员应当遵守评审工作纪律，不得泄露评审文件、评审情况和从评审中获悉的国家秘密、商业秘密。</w:t>
      </w:r>
    </w:p>
    <w:bookmarkEnd w:id="156"/>
    <w:p w14:paraId="4B4CA738">
      <w:pPr>
        <w:pStyle w:val="3"/>
        <w:keepNext w:val="0"/>
        <w:keepLines w:val="0"/>
        <w:pageBreakBefore w:val="0"/>
        <w:numPr>
          <w:ilvl w:val="0"/>
          <w:numId w:val="0"/>
        </w:numPr>
        <w:kinsoku/>
        <w:wordWrap/>
        <w:overflowPunct/>
        <w:topLinePunct w:val="0"/>
        <w:bidi w:val="0"/>
        <w:spacing w:before="0" w:after="0" w:line="560" w:lineRule="exact"/>
        <w:jc w:val="center"/>
        <w:rPr>
          <w:rFonts w:hint="eastAsia" w:ascii="宋体" w:hAnsi="宋体" w:eastAsia="宋体" w:cs="宋体"/>
          <w:bCs/>
          <w:color w:val="auto"/>
          <w:sz w:val="32"/>
          <w:szCs w:val="32"/>
        </w:rPr>
      </w:pPr>
      <w:bookmarkStart w:id="157" w:name="_Toc5240"/>
      <w:bookmarkStart w:id="158" w:name="_Toc19322_WPSOffice_Level2"/>
      <w:bookmarkStart w:id="159" w:name="_Toc11618"/>
      <w:bookmarkStart w:id="160" w:name="_Toc6977"/>
      <w:bookmarkStart w:id="161" w:name="_Toc22115"/>
      <w:r>
        <w:rPr>
          <w:rFonts w:hint="eastAsia" w:ascii="宋体" w:hAnsi="宋体" w:eastAsia="宋体" w:cs="宋体"/>
          <w:bCs/>
          <w:color w:val="auto"/>
          <w:sz w:val="32"/>
          <w:szCs w:val="32"/>
        </w:rPr>
        <w:t>六、成交事项</w:t>
      </w:r>
      <w:bookmarkEnd w:id="157"/>
      <w:bookmarkEnd w:id="158"/>
      <w:bookmarkEnd w:id="159"/>
      <w:bookmarkEnd w:id="160"/>
      <w:bookmarkEnd w:id="161"/>
    </w:p>
    <w:p w14:paraId="2AA1EF54">
      <w:pPr>
        <w:pStyle w:val="4"/>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成交候选供应商的确定原则及标准</w:t>
      </w:r>
    </w:p>
    <w:p w14:paraId="464E6CC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除谈判小组受采购人委托直接确定成交供应商的情形外，谈判小组应当从质量和服务均能满足采购文件实质性响应要求的供应商中，按照</w:t>
      </w:r>
      <w:r>
        <w:rPr>
          <w:rFonts w:hint="eastAsia" w:ascii="宋体" w:hAnsi="宋体" w:eastAsia="宋体" w:cs="宋体"/>
          <w:b w:val="0"/>
          <w:bCs w:val="0"/>
          <w:color w:val="auto"/>
          <w:kern w:val="2"/>
          <w:sz w:val="24"/>
          <w:szCs w:val="24"/>
          <w:lang w:val="en-US" w:eastAsia="zh-CN" w:bidi="ar-SA"/>
        </w:rPr>
        <w:t>最后报价（评审价）</w:t>
      </w:r>
      <w:r>
        <w:rPr>
          <w:rFonts w:hint="eastAsia" w:ascii="宋体" w:hAnsi="宋体" w:eastAsia="宋体" w:cs="宋体"/>
          <w:b w:val="0"/>
          <w:bCs w:val="0"/>
          <w:color w:val="auto"/>
          <w:sz w:val="24"/>
          <w:szCs w:val="24"/>
          <w:lang w:val="en-US" w:eastAsia="zh-CN"/>
        </w:rPr>
        <w:t>由低到高的顺序推荐成交候选人。因落实政府采购政策进行价格调整的，以调整后的最后报价作为评审价。</w:t>
      </w:r>
    </w:p>
    <w:p w14:paraId="189F47DB">
      <w:pPr>
        <w:pStyle w:val="4"/>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确定成交供应商</w:t>
      </w:r>
    </w:p>
    <w:p w14:paraId="17652020">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b w:val="0"/>
          <w:bCs w:val="0"/>
          <w:color w:val="auto"/>
          <w:kern w:val="2"/>
          <w:sz w:val="24"/>
          <w:szCs w:val="24"/>
          <w:lang w:val="en-US" w:eastAsia="zh-CN" w:bidi="ar-SA"/>
        </w:rPr>
        <w:t>采购人将按谈判小组推荐的成交候选供应商顺序确定成交供应商</w:t>
      </w:r>
      <w:r>
        <w:rPr>
          <w:rFonts w:hint="eastAsia" w:ascii="宋体" w:hAnsi="宋体" w:cs="宋体"/>
          <w:b w:val="0"/>
          <w:bCs w:val="0"/>
          <w:color w:val="auto"/>
          <w:kern w:val="2"/>
          <w:sz w:val="24"/>
          <w:szCs w:val="24"/>
          <w:lang w:val="en-US" w:eastAsia="zh-CN" w:bidi="ar-SA"/>
        </w:rPr>
        <w:t>；或</w:t>
      </w:r>
      <w:r>
        <w:rPr>
          <w:rFonts w:hint="eastAsia" w:ascii="宋体" w:hAnsi="宋体" w:eastAsia="宋体" w:cs="宋体"/>
          <w:b w:val="0"/>
          <w:bCs w:val="0"/>
          <w:color w:val="auto"/>
          <w:kern w:val="2"/>
          <w:sz w:val="24"/>
          <w:szCs w:val="24"/>
          <w:lang w:val="en-US" w:eastAsia="zh-CN" w:bidi="ar-SA"/>
        </w:rPr>
        <w:t>采购人授权谈判小组根据供应商最后报价（评审价）排名直接确定成交供应商。</w:t>
      </w:r>
    </w:p>
    <w:p w14:paraId="67B7F10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lang w:val="en-US" w:eastAsia="zh-CN"/>
        </w:rPr>
      </w:pPr>
      <w:bookmarkStart w:id="162" w:name="_Toc520356174"/>
      <w:bookmarkStart w:id="163" w:name="_Toc19087101"/>
      <w:bookmarkStart w:id="164" w:name="_Toc8131"/>
      <w:bookmarkStart w:id="165" w:name="_Toc518923095"/>
      <w:r>
        <w:rPr>
          <w:rFonts w:hint="eastAsia" w:ascii="宋体" w:hAnsi="宋体" w:eastAsia="宋体" w:cs="宋体"/>
          <w:b w:val="0"/>
          <w:bCs w:val="0"/>
          <w:color w:val="auto"/>
          <w:sz w:val="24"/>
          <w:szCs w:val="24"/>
          <w:lang w:val="en-US" w:eastAsia="zh-CN"/>
        </w:rPr>
        <w:t>2.1 谈判小</w:t>
      </w:r>
      <w:r>
        <w:rPr>
          <w:rFonts w:hint="eastAsia" w:ascii="宋体" w:hAnsi="宋体" w:eastAsia="宋体" w:cs="宋体"/>
          <w:b w:val="0"/>
          <w:bCs w:val="0"/>
          <w:color w:val="auto"/>
          <w:sz w:val="24"/>
          <w:szCs w:val="24"/>
          <w:highlight w:val="none"/>
          <w:lang w:val="en-US" w:eastAsia="zh-CN"/>
        </w:rPr>
        <w:t>组</w:t>
      </w:r>
      <w:r>
        <w:rPr>
          <w:rFonts w:hint="eastAsia" w:ascii="宋体" w:hAnsi="宋体" w:eastAsia="宋体" w:cs="宋体"/>
          <w:b w:val="0"/>
          <w:bCs w:val="0"/>
          <w:color w:val="auto"/>
          <w:sz w:val="24"/>
          <w:szCs w:val="24"/>
          <w:lang w:val="en-US" w:eastAsia="zh-CN"/>
        </w:rPr>
        <w:t>受采购人委托推</w:t>
      </w:r>
      <w:r>
        <w:rPr>
          <w:rFonts w:hint="eastAsia" w:ascii="宋体" w:hAnsi="宋体" w:eastAsia="宋体" w:cs="宋体"/>
          <w:b w:val="0"/>
          <w:bCs w:val="0"/>
          <w:color w:val="auto"/>
          <w:sz w:val="24"/>
          <w:szCs w:val="24"/>
          <w:highlight w:val="none"/>
          <w:lang w:val="en-US" w:eastAsia="zh-CN"/>
        </w:rPr>
        <w:t>荐成交</w:t>
      </w:r>
      <w:r>
        <w:rPr>
          <w:rFonts w:hint="eastAsia" w:ascii="宋体" w:hAnsi="宋体" w:eastAsia="宋体" w:cs="宋体"/>
          <w:b w:val="0"/>
          <w:bCs w:val="0"/>
          <w:color w:val="auto"/>
          <w:sz w:val="24"/>
          <w:szCs w:val="24"/>
          <w:lang w:val="en-US" w:eastAsia="zh-CN"/>
        </w:rPr>
        <w:t>候选人的，采购人根据质量和服务均能满足采购文件实质性响应要求且最后报价（评审价）最低的原则确定成交供应商。</w:t>
      </w:r>
    </w:p>
    <w:p w14:paraId="4D70203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2.2 采购人也可书面授权谈判小组根据质量和服务均能满足采购文件实质性响应要求且最后报价（评审价）最低的原则直接确定成交供应商。</w:t>
      </w:r>
    </w:p>
    <w:p w14:paraId="4E437F12">
      <w:pPr>
        <w:pStyle w:val="4"/>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发出成交</w:t>
      </w:r>
      <w:bookmarkEnd w:id="162"/>
      <w:r>
        <w:rPr>
          <w:rFonts w:hint="eastAsia" w:ascii="宋体" w:hAnsi="宋体" w:eastAsia="宋体" w:cs="宋体"/>
          <w:color w:val="auto"/>
          <w:sz w:val="24"/>
          <w:szCs w:val="24"/>
          <w:lang w:val="en-US" w:eastAsia="zh-CN"/>
        </w:rPr>
        <w:t>通知书</w:t>
      </w:r>
      <w:bookmarkEnd w:id="163"/>
      <w:bookmarkEnd w:id="164"/>
      <w:bookmarkEnd w:id="165"/>
    </w:p>
    <w:p w14:paraId="6E71D71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color w:val="auto"/>
          <w:sz w:val="24"/>
          <w:szCs w:val="24"/>
        </w:rPr>
      </w:pPr>
      <w:r>
        <w:rPr>
          <w:rFonts w:hint="eastAsia" w:ascii="宋体" w:hAnsi="宋体" w:eastAsia="宋体" w:cs="宋体"/>
          <w:b w:val="0"/>
          <w:bCs w:val="0"/>
          <w:color w:val="auto"/>
          <w:sz w:val="24"/>
          <w:szCs w:val="24"/>
          <w:lang w:val="en-US" w:eastAsia="zh-CN"/>
        </w:rPr>
        <w:t>3.1 在响应有效期内，成交供应商确定后，采购人或者采购代理机构发布成交公告，在公告成交结果的同时，向成交供应商发出成交通知书，成交通知书是合同的组成部分。</w:t>
      </w:r>
    </w:p>
    <w:p w14:paraId="778F024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3.2 成交通知书对采购人和成交供应商均具有法律效力。成交通知书发出后，采购人无正当理由改变成交结果，或者成交供应商无正当理由放弃成交的，将承担相应的法律责任。</w:t>
      </w:r>
    </w:p>
    <w:p w14:paraId="2EC02B8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3.3 如果出现政府采购法律法规、规章制度规定的成交无效情形的，采购人/采购代理机构将以公告形式宣布发出的成交通知书无效，成交通知书将自动失效，并依法重新确定成交供应商或者重新开展采购活动。</w:t>
      </w:r>
    </w:p>
    <w:p w14:paraId="7FB394F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3.4 成交供应商应当及时领取成交通知书。领取方式：详见</w:t>
      </w:r>
      <w:r>
        <w:rPr>
          <w:rFonts w:hint="eastAsia" w:ascii="宋体" w:hAnsi="宋体" w:eastAsia="宋体" w:cs="宋体"/>
          <w:b/>
          <w:bCs/>
          <w:color w:val="auto"/>
          <w:sz w:val="24"/>
          <w:szCs w:val="24"/>
          <w:lang w:val="en-US" w:eastAsia="zh-CN"/>
        </w:rPr>
        <w:t>“供应商须知前附表”。</w:t>
      </w:r>
    </w:p>
    <w:p w14:paraId="53C67ABD">
      <w:pPr>
        <w:pStyle w:val="4"/>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r>
        <w:rPr>
          <w:rFonts w:hint="eastAsia" w:ascii="宋体" w:hAnsi="宋体" w:cs="宋体"/>
          <w:color w:val="auto"/>
          <w:sz w:val="24"/>
          <w:szCs w:val="24"/>
          <w:lang w:val="en-US" w:eastAsia="zh-CN"/>
        </w:rPr>
        <w:t xml:space="preserve"> 在采购人在</w:t>
      </w:r>
      <w:r>
        <w:rPr>
          <w:rFonts w:hint="eastAsia" w:ascii="宋体" w:hAnsi="宋体" w:eastAsia="宋体" w:cs="宋体"/>
          <w:color w:val="auto"/>
          <w:sz w:val="24"/>
          <w:szCs w:val="24"/>
          <w:lang w:val="en-US" w:eastAsia="zh-CN"/>
        </w:rPr>
        <w:t>确定成交供应商过程中，发现成交候选供应商有下列情形之一的，应当不予确定其为成交供应商：</w:t>
      </w:r>
    </w:p>
    <w:p w14:paraId="5CD691C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4.1</w:t>
      </w:r>
      <w:r>
        <w:rPr>
          <w:rFonts w:hint="eastAsia" w:ascii="宋体" w:hAnsi="宋体" w:cs="宋体"/>
          <w:b w:val="0"/>
          <w:bCs/>
          <w:color w:val="auto"/>
          <w:sz w:val="24"/>
          <w:szCs w:val="24"/>
          <w:highlight w:val="none"/>
          <w:lang w:val="en-US" w:eastAsia="zh-CN"/>
        </w:rPr>
        <w:t xml:space="preserve"> 发现</w:t>
      </w:r>
      <w:r>
        <w:rPr>
          <w:rFonts w:hint="eastAsia" w:ascii="宋体" w:hAnsi="宋体" w:eastAsia="宋体" w:cs="宋体"/>
          <w:b w:val="0"/>
          <w:bCs/>
          <w:color w:val="auto"/>
          <w:sz w:val="24"/>
          <w:szCs w:val="24"/>
          <w:highlight w:val="none"/>
        </w:rPr>
        <w:t>成交候选供应商存在禁止参加本项目采购活动的违法行为的；</w:t>
      </w:r>
    </w:p>
    <w:p w14:paraId="3AF871F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4.2</w:t>
      </w:r>
      <w:r>
        <w:rPr>
          <w:rFonts w:hint="eastAsia" w:ascii="宋体" w:hAnsi="宋体" w:cs="宋体"/>
          <w:b w:val="0"/>
          <w:bCs/>
          <w:color w:val="auto"/>
          <w:sz w:val="24"/>
          <w:szCs w:val="24"/>
          <w:highlight w:val="none"/>
          <w:lang w:val="en-US" w:eastAsia="zh-CN"/>
        </w:rPr>
        <w:t xml:space="preserve"> 成交</w:t>
      </w:r>
      <w:r>
        <w:rPr>
          <w:rFonts w:hint="eastAsia" w:ascii="宋体" w:hAnsi="宋体" w:eastAsia="宋体" w:cs="宋体"/>
          <w:b w:val="0"/>
          <w:bCs/>
          <w:color w:val="auto"/>
          <w:sz w:val="24"/>
          <w:szCs w:val="24"/>
          <w:highlight w:val="none"/>
        </w:rPr>
        <w:t>候选供应商因不可抗力，不能继续参加政府采购活动；</w:t>
      </w:r>
    </w:p>
    <w:p w14:paraId="5715B9E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4.3</w:t>
      </w:r>
      <w:r>
        <w:rPr>
          <w:rFonts w:hint="eastAsia" w:ascii="宋体" w:hAnsi="宋体" w:cs="宋体"/>
          <w:b w:val="0"/>
          <w:bCs/>
          <w:color w:val="auto"/>
          <w:sz w:val="24"/>
          <w:szCs w:val="24"/>
          <w:highlight w:val="none"/>
          <w:lang w:val="en-US" w:eastAsia="zh-CN"/>
        </w:rPr>
        <w:t xml:space="preserve"> 成交</w:t>
      </w:r>
      <w:r>
        <w:rPr>
          <w:rFonts w:hint="eastAsia" w:ascii="宋体" w:hAnsi="宋体" w:eastAsia="宋体" w:cs="宋体"/>
          <w:b w:val="0"/>
          <w:bCs/>
          <w:color w:val="auto"/>
          <w:sz w:val="24"/>
          <w:szCs w:val="24"/>
          <w:highlight w:val="none"/>
        </w:rPr>
        <w:t>候选供应商无偿赠与或者低于成本价竞争；</w:t>
      </w:r>
    </w:p>
    <w:p w14:paraId="0D68D8B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4.4</w:t>
      </w:r>
      <w:r>
        <w:rPr>
          <w:rFonts w:hint="eastAsia" w:ascii="宋体" w:hAnsi="宋体" w:cs="宋体"/>
          <w:b w:val="0"/>
          <w:bCs/>
          <w:color w:val="auto"/>
          <w:sz w:val="24"/>
          <w:szCs w:val="24"/>
          <w:highlight w:val="none"/>
          <w:lang w:val="en-US" w:eastAsia="zh-CN"/>
        </w:rPr>
        <w:t xml:space="preserve"> 成交</w:t>
      </w:r>
      <w:r>
        <w:rPr>
          <w:rFonts w:hint="eastAsia" w:ascii="宋体" w:hAnsi="宋体" w:eastAsia="宋体" w:cs="宋体"/>
          <w:b w:val="0"/>
          <w:bCs/>
          <w:color w:val="auto"/>
          <w:sz w:val="24"/>
          <w:szCs w:val="24"/>
          <w:highlight w:val="none"/>
        </w:rPr>
        <w:t>候选供应商提供虚假材料；</w:t>
      </w:r>
    </w:p>
    <w:p w14:paraId="1F6A8AB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4.5</w:t>
      </w:r>
      <w:r>
        <w:rPr>
          <w:rFonts w:hint="eastAsia" w:ascii="宋体" w:hAnsi="宋体" w:cs="宋体"/>
          <w:b w:val="0"/>
          <w:bCs/>
          <w:color w:val="auto"/>
          <w:sz w:val="24"/>
          <w:szCs w:val="24"/>
          <w:highlight w:val="none"/>
          <w:lang w:val="en-US" w:eastAsia="zh-CN"/>
        </w:rPr>
        <w:t xml:space="preserve"> 成交</w:t>
      </w:r>
      <w:r>
        <w:rPr>
          <w:rFonts w:hint="eastAsia" w:ascii="宋体" w:hAnsi="宋体" w:eastAsia="宋体" w:cs="宋体"/>
          <w:b w:val="0"/>
          <w:bCs/>
          <w:color w:val="auto"/>
          <w:sz w:val="24"/>
          <w:szCs w:val="24"/>
          <w:highlight w:val="none"/>
        </w:rPr>
        <w:t>候选供应商恶意串通。</w:t>
      </w:r>
    </w:p>
    <w:p w14:paraId="739D7A1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成交候选供应商有本条情形之一的，采购人可以确定后一位成交候选供应商为成交供应商，依次类推。无法确定成交供应商的，应当重新组织采购。</w:t>
      </w:r>
    </w:p>
    <w:p w14:paraId="5B1A635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both"/>
        <w:textAlignment w:val="auto"/>
        <w:outlineLvl w:val="9"/>
        <w:rPr>
          <w:rFonts w:hint="eastAsia" w:ascii="宋体" w:hAnsi="宋体" w:eastAsia="宋体" w:cs="宋体"/>
          <w:color w:val="auto"/>
          <w:sz w:val="24"/>
          <w:szCs w:val="24"/>
        </w:rPr>
      </w:pPr>
    </w:p>
    <w:p w14:paraId="7D821C94">
      <w:pPr>
        <w:pStyle w:val="3"/>
        <w:keepNext w:val="0"/>
        <w:keepLines w:val="0"/>
        <w:pageBreakBefore w:val="0"/>
        <w:numPr>
          <w:ilvl w:val="0"/>
          <w:numId w:val="0"/>
        </w:numPr>
        <w:kinsoku/>
        <w:wordWrap/>
        <w:overflowPunct/>
        <w:topLinePunct w:val="0"/>
        <w:bidi w:val="0"/>
        <w:spacing w:before="0" w:after="0" w:line="560" w:lineRule="exact"/>
        <w:jc w:val="center"/>
        <w:rPr>
          <w:rFonts w:hint="eastAsia" w:ascii="宋体" w:hAnsi="宋体" w:eastAsia="宋体" w:cs="宋体"/>
          <w:bCs/>
          <w:color w:val="auto"/>
          <w:sz w:val="32"/>
          <w:szCs w:val="32"/>
        </w:rPr>
      </w:pPr>
      <w:bookmarkStart w:id="166" w:name="_Toc10200"/>
      <w:bookmarkStart w:id="167" w:name="_Toc22475"/>
      <w:bookmarkStart w:id="168" w:name="_Toc18089_WPSOffice_Level2"/>
      <w:bookmarkStart w:id="169" w:name="_Toc25595"/>
      <w:bookmarkStart w:id="170" w:name="_Toc25238"/>
      <w:r>
        <w:rPr>
          <w:rFonts w:hint="eastAsia" w:ascii="宋体" w:hAnsi="宋体" w:eastAsia="宋体" w:cs="宋体"/>
          <w:bCs/>
          <w:color w:val="auto"/>
          <w:sz w:val="32"/>
          <w:szCs w:val="32"/>
        </w:rPr>
        <w:t>七、合同事项</w:t>
      </w:r>
      <w:bookmarkEnd w:id="166"/>
      <w:bookmarkEnd w:id="167"/>
      <w:bookmarkEnd w:id="168"/>
      <w:bookmarkEnd w:id="169"/>
      <w:bookmarkEnd w:id="170"/>
    </w:p>
    <w:p w14:paraId="51E3D4BD">
      <w:pPr>
        <w:keepNext w:val="0"/>
        <w:keepLines w:val="0"/>
        <w:pageBreakBefore w:val="0"/>
        <w:kinsoku/>
        <w:wordWrap/>
        <w:overflowPunct/>
        <w:topLinePunct w:val="0"/>
        <w:bidi w:val="0"/>
        <w:spacing w:before="0" w:after="0" w:line="560" w:lineRule="exact"/>
        <w:ind w:firstLine="470" w:firstLineChars="196"/>
        <w:outlineLvl w:val="9"/>
        <w:rPr>
          <w:rFonts w:hint="eastAsia" w:ascii="宋体" w:hAnsi="宋体" w:eastAsia="宋体" w:cs="宋体"/>
          <w:color w:val="auto"/>
          <w:sz w:val="24"/>
          <w:szCs w:val="24"/>
        </w:rPr>
      </w:pPr>
    </w:p>
    <w:p w14:paraId="6CA02261">
      <w:pPr>
        <w:pStyle w:val="4"/>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color w:val="auto"/>
          <w:sz w:val="24"/>
          <w:szCs w:val="24"/>
          <w:lang w:val="en-US" w:eastAsia="zh-CN"/>
        </w:rPr>
      </w:pPr>
      <w:bookmarkStart w:id="171" w:name="_Toc430773927"/>
      <w:bookmarkStart w:id="172" w:name="_Toc101174151"/>
      <w:bookmarkStart w:id="173" w:name="_Toc101338364"/>
      <w:bookmarkStart w:id="174" w:name="_Toc101250646"/>
      <w:bookmarkStart w:id="175" w:name="_Toc209847069"/>
      <w:r>
        <w:rPr>
          <w:rFonts w:hint="eastAsia" w:ascii="宋体" w:hAnsi="宋体" w:eastAsia="宋体" w:cs="宋体"/>
          <w:color w:val="auto"/>
          <w:sz w:val="24"/>
          <w:szCs w:val="24"/>
          <w:lang w:val="en-US" w:eastAsia="zh-CN"/>
        </w:rPr>
        <w:t>1. 签订合同</w:t>
      </w:r>
      <w:bookmarkEnd w:id="171"/>
      <w:bookmarkEnd w:id="172"/>
      <w:bookmarkEnd w:id="173"/>
      <w:bookmarkEnd w:id="174"/>
      <w:bookmarkEnd w:id="175"/>
    </w:p>
    <w:p w14:paraId="2F1F6AB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.1 成交供应商应在成交通知书发出之日起三十日内与采购人签订采购合同。由于成交供应商的原因逾期未与采购人签订采购合同的，将视为放弃成交，取消其成交资格并将按相关规定进行处理。</w:t>
      </w:r>
    </w:p>
    <w:p w14:paraId="3D2C09E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 xml:space="preserve">.2 </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、成交供应商提交的响应文件、</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中的报价及双方确认的澄清文件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成交通知书等均称为有法律约束力的合同组成内容。</w:t>
      </w:r>
    </w:p>
    <w:p w14:paraId="7B4A296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.3 采购人不得向成交供应商提出任何不合理的要求，作为签订合同的条件，不得与成交供应商私下订立背离合同实质性内容的任何协议，所签订的合同不得对</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文件和成交供应商响应文件确定的事项进行修改。</w:t>
      </w:r>
    </w:p>
    <w:p w14:paraId="790CDEA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 成交供应商因不可抗力原因不能履行采购合同或放弃成交的，采购人可以与排在成交供应商之后第一位的成交候选人签订采购合同，以此类推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或重新开展采购活动。拒绝签订政府采购合同的成交供应商不得参加对本项目重新开展的采购活动。</w:t>
      </w:r>
    </w:p>
    <w:p w14:paraId="2A1EC186">
      <w:pPr>
        <w:pStyle w:val="4"/>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合同分包（实质性要求）</w:t>
      </w:r>
    </w:p>
    <w:p w14:paraId="5E2B411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.1 经采购人同意，成交供应商可以依法采取分包方式履行合同，但必须在响应文件中事前载明。这种要求应当在合同签订之前征得采购人同意，并且分包供应商履行的分包项目的品牌、规格型号及技术要求等，必须与成交的一致。</w:t>
      </w:r>
    </w:p>
    <w:p w14:paraId="5D0B2FF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分包履行合同的部分应当为采购项目的非主体、非关键性工作，不属于成交供应商的主要合同义务。</w:t>
      </w:r>
    </w:p>
    <w:p w14:paraId="45AB32F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.2 采购合同实行分包履行的，成交供应商就采购项目和分包项目向采购人负责，分包供应商就分包项目承担责任。</w:t>
      </w:r>
    </w:p>
    <w:p w14:paraId="1A3F0DB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.3 中小企业依据《政府采购促进中小企业发展管理办法》（财库</w:t>
      </w:r>
      <w:r>
        <w:rPr>
          <w:rFonts w:hint="eastAsia" w:ascii="宋体" w:hAnsi="宋体" w:cs="宋体"/>
          <w:color w:val="auto"/>
          <w:sz w:val="24"/>
          <w:szCs w:val="24"/>
          <w:lang w:eastAsia="zh-CN"/>
        </w:rPr>
        <w:t>〔2020〕46号</w:t>
      </w:r>
      <w:r>
        <w:rPr>
          <w:rFonts w:hint="eastAsia" w:ascii="宋体" w:hAnsi="宋体" w:eastAsia="宋体" w:cs="宋体"/>
          <w:color w:val="auto"/>
          <w:sz w:val="24"/>
          <w:szCs w:val="24"/>
        </w:rPr>
        <w:t>）规定的政策获取政府采购合同后，小型、微型企业不得分包或转包给大型、中型企业，中型企业不得分包或转包给大型企业。</w:t>
      </w:r>
    </w:p>
    <w:p w14:paraId="02699F08">
      <w:pPr>
        <w:pStyle w:val="4"/>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合同转包（实质性要求）</w:t>
      </w:r>
    </w:p>
    <w:p w14:paraId="73FC4B0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本采购项目严禁成交供应商将任何政府采购合同义务转包。本项目所称转包，是指成交供应商将政府采购合同义务转让给第三人，并退出现有政府采购合同当事人双方的权利义务关系，受让人（即第三人）成为政府采购合同的另一方当事人的行为。</w:t>
      </w:r>
    </w:p>
    <w:p w14:paraId="3F2D749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成交供应商转包的，视同拒绝履行政府采购合同义务，将依法追究法律责任。</w:t>
      </w:r>
    </w:p>
    <w:p w14:paraId="49D11568">
      <w:pPr>
        <w:pStyle w:val="4"/>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 补充合同</w:t>
      </w:r>
    </w:p>
    <w:p w14:paraId="2A6E0A0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合同履行过程中，采购人需要追加与合同标的相同的货物或者服务的，在不改变合同其他条款的前提下，可以与成交供应商协商签订补充合同，但所有补充合同的采购金额不得超过原合同采购金额的百分之十，该补充合同应当在原政府采购合同履行过程中，不得在原政府采购合同履行结束后，且采购货物、工程和服务的名称、价格、履约方式、验收标准等必须与原政府采购合同一致。 </w:t>
      </w:r>
    </w:p>
    <w:p w14:paraId="0A088E9F">
      <w:pPr>
        <w:pStyle w:val="4"/>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 合同公告</w:t>
      </w:r>
    </w:p>
    <w:p w14:paraId="14ED704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采购人应当自政府采购合同签订（双方当事人均已签字盖章）之日起2个工作日内，将政府采购合同在</w:t>
      </w:r>
      <w:r>
        <w:rPr>
          <w:rFonts w:hint="eastAsia" w:ascii="宋体" w:hAnsi="宋体" w:eastAsia="宋体" w:cs="宋体"/>
          <w:color w:val="auto"/>
          <w:sz w:val="24"/>
          <w:szCs w:val="24"/>
          <w:lang w:eastAsia="zh-CN"/>
        </w:rPr>
        <w:t>云南</w:t>
      </w:r>
      <w:r>
        <w:rPr>
          <w:rFonts w:hint="eastAsia" w:ascii="宋体" w:hAnsi="宋体" w:eastAsia="宋体" w:cs="宋体"/>
          <w:color w:val="auto"/>
          <w:sz w:val="24"/>
          <w:szCs w:val="24"/>
          <w:lang w:val="en-US" w:eastAsia="zh-CN"/>
        </w:rPr>
        <w:t>省</w:t>
      </w:r>
      <w:r>
        <w:rPr>
          <w:rFonts w:hint="eastAsia" w:ascii="宋体" w:hAnsi="宋体" w:eastAsia="宋体" w:cs="宋体"/>
          <w:color w:val="auto"/>
          <w:sz w:val="24"/>
          <w:szCs w:val="24"/>
        </w:rPr>
        <w:t>政府采购网上公告，但政府采购合同中涉及国家秘密、商业秘密的内容除外。</w:t>
      </w:r>
      <w:r>
        <w:rPr>
          <w:rFonts w:hint="eastAsia" w:ascii="宋体" w:hAnsi="宋体" w:eastAsia="宋体" w:cs="宋体"/>
          <w:color w:val="auto"/>
          <w:sz w:val="24"/>
          <w:szCs w:val="24"/>
          <w:highlight w:val="none"/>
          <w:lang w:val="en-US" w:eastAsia="zh-CN"/>
        </w:rPr>
        <w:t>在合同公示无异议后，由成交供应商或采购人代表</w:t>
      </w:r>
      <w:r>
        <w:rPr>
          <w:rFonts w:hint="eastAsia" w:ascii="宋体" w:hAnsi="宋体" w:eastAsia="宋体" w:cs="宋体"/>
          <w:color w:val="auto"/>
          <w:sz w:val="24"/>
          <w:szCs w:val="24"/>
          <w:highlight w:val="none"/>
        </w:rPr>
        <w:t>将签订的合同送</w:t>
      </w:r>
      <w:r>
        <w:rPr>
          <w:rFonts w:hint="eastAsia" w:ascii="宋体" w:hAnsi="宋体" w:eastAsia="宋体" w:cs="宋体"/>
          <w:color w:val="auto"/>
          <w:sz w:val="24"/>
          <w:szCs w:val="24"/>
          <w:highlight w:val="none"/>
          <w:lang w:val="en-US" w:eastAsia="zh-CN"/>
        </w:rPr>
        <w:t>至“供应商须知前附表”规定的部门</w:t>
      </w:r>
      <w:r>
        <w:rPr>
          <w:rFonts w:hint="eastAsia" w:ascii="宋体" w:hAnsi="宋体" w:eastAsia="宋体" w:cs="宋体"/>
          <w:color w:val="auto"/>
          <w:sz w:val="24"/>
          <w:szCs w:val="24"/>
          <w:highlight w:val="none"/>
        </w:rPr>
        <w:t>进行</w:t>
      </w:r>
      <w:r>
        <w:rPr>
          <w:rFonts w:hint="eastAsia" w:ascii="宋体" w:hAnsi="宋体" w:eastAsia="宋体" w:cs="宋体"/>
          <w:color w:val="auto"/>
          <w:sz w:val="24"/>
          <w:szCs w:val="24"/>
          <w:highlight w:val="none"/>
          <w:lang w:val="en-US" w:eastAsia="zh-CN"/>
        </w:rPr>
        <w:t>存档</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以便于及时退还成交供应商保证金</w:t>
      </w:r>
      <w:r>
        <w:rPr>
          <w:rFonts w:hint="eastAsia" w:ascii="宋体" w:hAnsi="宋体" w:eastAsia="宋体" w:cs="宋体"/>
          <w:color w:val="auto"/>
          <w:sz w:val="24"/>
          <w:szCs w:val="24"/>
          <w:highlight w:val="none"/>
        </w:rPr>
        <w:t>。</w:t>
      </w:r>
    </w:p>
    <w:p w14:paraId="14C3BCC5">
      <w:pPr>
        <w:pStyle w:val="4"/>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 合同备案</w:t>
      </w:r>
    </w:p>
    <w:p w14:paraId="065EDC5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采购人应当将政府采购合同副本自签订（双方当事人均已签字盖章）之日起七个工作日内报同级财政部门</w:t>
      </w:r>
      <w:r>
        <w:rPr>
          <w:rFonts w:hint="eastAsia" w:ascii="宋体" w:hAnsi="宋体" w:cs="宋体"/>
          <w:color w:val="auto"/>
          <w:sz w:val="24"/>
          <w:szCs w:val="24"/>
          <w:highlight w:val="none"/>
          <w:lang w:val="en-US" w:eastAsia="zh-CN"/>
        </w:rPr>
        <w:t>及政采云上自行</w:t>
      </w:r>
      <w:r>
        <w:rPr>
          <w:rFonts w:hint="eastAsia" w:ascii="宋体" w:hAnsi="宋体" w:eastAsia="宋体" w:cs="宋体"/>
          <w:color w:val="auto"/>
          <w:sz w:val="24"/>
          <w:szCs w:val="24"/>
          <w:highlight w:val="none"/>
        </w:rPr>
        <w:t>备案。</w:t>
      </w:r>
    </w:p>
    <w:p w14:paraId="6E18622F">
      <w:pPr>
        <w:pStyle w:val="4"/>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 履行合同</w:t>
      </w:r>
    </w:p>
    <w:p w14:paraId="55F22AD7">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.1 成交供应商与采购人签订合同后，合同双方应严格执行合同条款，履行合同规定的义务，保证合同的顺利完成。</w:t>
      </w:r>
    </w:p>
    <w:p w14:paraId="47EAE6B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.2 在合同履行过程中，如发生合同纠纷，合同双方应按照《中华人民共和国民法典》的有关规定进行处理。</w:t>
      </w:r>
    </w:p>
    <w:p w14:paraId="782B4048">
      <w:pPr>
        <w:pStyle w:val="4"/>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 验收</w:t>
      </w:r>
    </w:p>
    <w:p w14:paraId="7D6FE90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highlight w:val="none"/>
        </w:rPr>
        <w:t>采购人应当按照采购合同规定的技术、服务等要求组织对供应商履约的验收，并出具验收书。验收书应当包括每一项技术、服务等要求的履约情况。采购预算金额大的采购项目、政府向社会公共提供的公共服务项目、采购人和实际使用人或者受益者分离、有质疑投诉</w:t>
      </w:r>
      <w:r>
        <w:rPr>
          <w:rFonts w:hint="eastAsia" w:ascii="宋体" w:hAnsi="宋体" w:cs="宋体"/>
          <w:color w:val="auto"/>
          <w:sz w:val="24"/>
          <w:szCs w:val="24"/>
          <w:highlight w:val="none"/>
          <w:lang w:eastAsia="zh-CN"/>
        </w:rPr>
        <w:t>举报</w:t>
      </w:r>
      <w:r>
        <w:rPr>
          <w:rFonts w:hint="eastAsia" w:ascii="宋体" w:hAnsi="宋体" w:eastAsia="宋体" w:cs="宋体"/>
          <w:color w:val="auto"/>
          <w:sz w:val="24"/>
          <w:szCs w:val="24"/>
          <w:highlight w:val="none"/>
        </w:rPr>
        <w:t>的采购项目，可以邀请国家认可的第三方检测机构或者集采机构参与履约验收工作。</w:t>
      </w:r>
    </w:p>
    <w:p w14:paraId="2E6C38D7">
      <w:pPr>
        <w:pStyle w:val="4"/>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 资金支付</w:t>
      </w:r>
    </w:p>
    <w:p w14:paraId="1E5257C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采购人按财政部门有关规定及采购合同的约定进行支付。</w:t>
      </w:r>
    </w:p>
    <w:p w14:paraId="3DD8567B">
      <w:pPr>
        <w:pStyle w:val="32"/>
        <w:rPr>
          <w:rFonts w:hint="eastAsia"/>
          <w:color w:val="auto"/>
        </w:rPr>
      </w:pPr>
    </w:p>
    <w:p w14:paraId="416E9947">
      <w:pPr>
        <w:pStyle w:val="3"/>
        <w:keepNext w:val="0"/>
        <w:keepLines w:val="0"/>
        <w:pageBreakBefore w:val="0"/>
        <w:numPr>
          <w:ilvl w:val="0"/>
          <w:numId w:val="0"/>
        </w:numPr>
        <w:kinsoku/>
        <w:wordWrap/>
        <w:overflowPunct/>
        <w:topLinePunct w:val="0"/>
        <w:bidi w:val="0"/>
        <w:spacing w:before="0" w:after="0" w:line="560" w:lineRule="exact"/>
        <w:jc w:val="center"/>
        <w:rPr>
          <w:rFonts w:hint="eastAsia" w:ascii="宋体" w:hAnsi="宋体" w:eastAsia="宋体" w:cs="宋体"/>
          <w:bCs/>
          <w:color w:val="auto"/>
          <w:sz w:val="32"/>
          <w:szCs w:val="32"/>
        </w:rPr>
      </w:pPr>
      <w:bookmarkStart w:id="176" w:name="_Toc30831"/>
      <w:bookmarkStart w:id="177" w:name="_Toc10578"/>
      <w:bookmarkStart w:id="178" w:name="_Toc29213"/>
      <w:bookmarkStart w:id="179" w:name="_Toc27495_WPSOffice_Level2"/>
      <w:bookmarkStart w:id="180" w:name="_Toc4073"/>
      <w:r>
        <w:rPr>
          <w:rFonts w:hint="eastAsia" w:ascii="宋体" w:hAnsi="宋体" w:eastAsia="宋体" w:cs="宋体"/>
          <w:bCs/>
          <w:color w:val="auto"/>
          <w:sz w:val="32"/>
          <w:szCs w:val="32"/>
        </w:rPr>
        <w:t>八、</w:t>
      </w:r>
      <w:r>
        <w:rPr>
          <w:rFonts w:hint="eastAsia" w:ascii="宋体" w:hAnsi="宋体" w:eastAsia="宋体" w:cs="宋体"/>
          <w:bCs/>
          <w:color w:val="auto"/>
          <w:sz w:val="32"/>
          <w:szCs w:val="32"/>
          <w:lang w:eastAsia="zh-CN"/>
        </w:rPr>
        <w:t>谈判</w:t>
      </w:r>
      <w:r>
        <w:rPr>
          <w:rFonts w:hint="eastAsia" w:ascii="宋体" w:hAnsi="宋体" w:eastAsia="宋体" w:cs="宋体"/>
          <w:bCs/>
          <w:color w:val="auto"/>
          <w:sz w:val="32"/>
          <w:szCs w:val="32"/>
        </w:rPr>
        <w:t>纪律要求</w:t>
      </w:r>
      <w:bookmarkEnd w:id="176"/>
      <w:bookmarkEnd w:id="177"/>
      <w:bookmarkEnd w:id="178"/>
      <w:bookmarkEnd w:id="179"/>
      <w:bookmarkEnd w:id="180"/>
    </w:p>
    <w:p w14:paraId="7C9AF4D7">
      <w:pPr>
        <w:pStyle w:val="4"/>
        <w:pageBreakBefore w:val="0"/>
        <w:widowControl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供应商不得具有的情形</w:t>
      </w:r>
    </w:p>
    <w:p w14:paraId="7BEA91DF">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供应商参加本项目</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不得有下列情形：</w:t>
      </w:r>
    </w:p>
    <w:p w14:paraId="78FCD397">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提供虚假材料谋取成交；</w:t>
      </w:r>
    </w:p>
    <w:p w14:paraId="56198D60">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采取不正当手段诋毁、排挤其他供应商；</w:t>
      </w:r>
    </w:p>
    <w:p w14:paraId="42E4E228">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1.3</w:t>
      </w:r>
      <w:r>
        <w:rPr>
          <w:rFonts w:hint="eastAsia" w:ascii="宋体" w:hAnsi="宋体" w:eastAsia="宋体" w:cs="宋体"/>
          <w:color w:val="auto"/>
          <w:sz w:val="24"/>
          <w:szCs w:val="24"/>
        </w:rPr>
        <w:t>与采购人、采购代理机构</w:t>
      </w:r>
      <w:r>
        <w:rPr>
          <w:rFonts w:hint="eastAsia" w:ascii="宋体" w:hAnsi="宋体" w:cs="宋体"/>
          <w:color w:val="auto"/>
          <w:sz w:val="24"/>
          <w:szCs w:val="24"/>
          <w:lang w:eastAsia="zh-CN"/>
        </w:rPr>
        <w:t>或</w:t>
      </w:r>
      <w:r>
        <w:rPr>
          <w:rFonts w:hint="eastAsia" w:ascii="宋体" w:hAnsi="宋体" w:eastAsia="宋体" w:cs="宋体"/>
          <w:color w:val="auto"/>
          <w:sz w:val="24"/>
          <w:szCs w:val="24"/>
        </w:rPr>
        <w:t>其他供应商恶意串通；</w:t>
      </w:r>
    </w:p>
    <w:p w14:paraId="413ED326">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向采购人、采购代理机构、</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小组成员行贿或者提供其他不正当利益；</w:t>
      </w:r>
    </w:p>
    <w:p w14:paraId="31AA9AEA">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在</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过程中与采购人、采购代理机构进行协商；</w:t>
      </w:r>
    </w:p>
    <w:p w14:paraId="46B9D903">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1.6</w:t>
      </w:r>
      <w:r>
        <w:rPr>
          <w:rFonts w:hint="eastAsia" w:ascii="宋体" w:hAnsi="宋体" w:eastAsia="宋体" w:cs="宋体"/>
          <w:color w:val="auto"/>
          <w:sz w:val="24"/>
          <w:szCs w:val="24"/>
        </w:rPr>
        <w:t>成交后无正当理由拒不与采购人签订政府采购合同；</w:t>
      </w:r>
    </w:p>
    <w:p w14:paraId="49C3D360">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1.7</w:t>
      </w:r>
      <w:r>
        <w:rPr>
          <w:rFonts w:hint="eastAsia" w:ascii="宋体" w:hAnsi="宋体" w:eastAsia="宋体" w:cs="宋体"/>
          <w:color w:val="auto"/>
          <w:sz w:val="24"/>
          <w:szCs w:val="24"/>
        </w:rPr>
        <w:t>未按照</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文件确定的事项签订政府采购合同；</w:t>
      </w:r>
    </w:p>
    <w:p w14:paraId="599B771E">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1.8</w:t>
      </w:r>
      <w:r>
        <w:rPr>
          <w:rFonts w:hint="eastAsia" w:ascii="宋体" w:hAnsi="宋体" w:eastAsia="宋体" w:cs="宋体"/>
          <w:color w:val="auto"/>
          <w:sz w:val="24"/>
          <w:szCs w:val="24"/>
        </w:rPr>
        <w:t>将政府采购合同转包或者违规分包；</w:t>
      </w:r>
    </w:p>
    <w:p w14:paraId="607DD9BB">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w:t>
      </w:r>
      <w:r>
        <w:rPr>
          <w:rFonts w:hint="eastAsia" w:ascii="宋体" w:hAnsi="宋体" w:eastAsia="宋体" w:cs="宋体"/>
          <w:color w:val="auto"/>
          <w:sz w:val="24"/>
          <w:szCs w:val="24"/>
        </w:rPr>
        <w:t>提供假冒伪劣产品；</w:t>
      </w:r>
    </w:p>
    <w:p w14:paraId="46C285C8">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1.10</w:t>
      </w:r>
      <w:r>
        <w:rPr>
          <w:rFonts w:hint="eastAsia" w:ascii="宋体" w:hAnsi="宋体" w:eastAsia="宋体" w:cs="宋体"/>
          <w:color w:val="auto"/>
          <w:sz w:val="24"/>
          <w:szCs w:val="24"/>
        </w:rPr>
        <w:t>有下列情形之一的，视为供应商串通参加本次</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采购活动：</w:t>
      </w:r>
    </w:p>
    <w:p w14:paraId="0D0AD1AC">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960" w:firstLineChars="4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1.10.1</w:t>
      </w:r>
      <w:r>
        <w:rPr>
          <w:rFonts w:hint="eastAsia" w:ascii="宋体" w:hAnsi="宋体" w:eastAsia="宋体" w:cs="宋体"/>
          <w:color w:val="auto"/>
          <w:sz w:val="24"/>
          <w:szCs w:val="24"/>
        </w:rPr>
        <w:t>不同供应商的响应文件由同一单位或者个人编制；</w:t>
      </w:r>
    </w:p>
    <w:p w14:paraId="05E3DE2E">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960" w:firstLineChars="4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1.10.2</w:t>
      </w:r>
      <w:r>
        <w:rPr>
          <w:rFonts w:hint="eastAsia" w:ascii="宋体" w:hAnsi="宋体" w:eastAsia="宋体" w:cs="宋体"/>
          <w:color w:val="auto"/>
          <w:sz w:val="24"/>
          <w:szCs w:val="24"/>
        </w:rPr>
        <w:t>不同供应商委托同一单位或者个人办理</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采购活动事宜；</w:t>
      </w:r>
    </w:p>
    <w:p w14:paraId="4888153B">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960" w:firstLineChars="4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1.10.3</w:t>
      </w:r>
      <w:r>
        <w:rPr>
          <w:rFonts w:hint="eastAsia" w:ascii="宋体" w:hAnsi="宋体" w:eastAsia="宋体" w:cs="宋体"/>
          <w:color w:val="auto"/>
          <w:sz w:val="24"/>
          <w:szCs w:val="24"/>
        </w:rPr>
        <w:t>不同供应商的响应文件载明的项目管理成员或者联系人员为同一人；</w:t>
      </w:r>
    </w:p>
    <w:p w14:paraId="2F97AE68">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960" w:firstLineChars="4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1.10.4</w:t>
      </w:r>
      <w:r>
        <w:rPr>
          <w:rFonts w:hint="eastAsia" w:ascii="宋体" w:hAnsi="宋体" w:eastAsia="宋体" w:cs="宋体"/>
          <w:color w:val="auto"/>
          <w:sz w:val="24"/>
          <w:szCs w:val="24"/>
        </w:rPr>
        <w:t>不同供应商的响应文件异常一致或者最后报价呈规律性差异；</w:t>
      </w:r>
    </w:p>
    <w:p w14:paraId="1F2466E4">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960" w:firstLineChars="4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1.10.5</w:t>
      </w:r>
      <w:r>
        <w:rPr>
          <w:rFonts w:hint="eastAsia" w:ascii="宋体" w:hAnsi="宋体" w:eastAsia="宋体" w:cs="宋体"/>
          <w:color w:val="auto"/>
          <w:sz w:val="24"/>
          <w:szCs w:val="24"/>
        </w:rPr>
        <w:t>不同供应商的响应文件相互混装；</w:t>
      </w:r>
    </w:p>
    <w:p w14:paraId="4BCD13F3">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1.11</w:t>
      </w:r>
      <w:r>
        <w:rPr>
          <w:rFonts w:hint="eastAsia" w:ascii="宋体" w:hAnsi="宋体" w:eastAsia="宋体" w:cs="宋体"/>
          <w:color w:val="auto"/>
          <w:sz w:val="24"/>
          <w:szCs w:val="24"/>
        </w:rPr>
        <w:t>擅自变更、中止或者终止政府采购合同；</w:t>
      </w:r>
    </w:p>
    <w:p w14:paraId="0BB5FE86">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1.12</w:t>
      </w:r>
      <w:r>
        <w:rPr>
          <w:rFonts w:hint="eastAsia" w:ascii="宋体" w:hAnsi="宋体" w:eastAsia="宋体" w:cs="宋体"/>
          <w:color w:val="auto"/>
          <w:sz w:val="24"/>
          <w:szCs w:val="24"/>
        </w:rPr>
        <w:t>拒绝有关部门的监督检查或者向监督检查部门提供虚假情况；</w:t>
      </w:r>
    </w:p>
    <w:p w14:paraId="2206C967">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1.13</w:t>
      </w:r>
      <w:r>
        <w:rPr>
          <w:rFonts w:hint="eastAsia" w:ascii="宋体" w:hAnsi="宋体" w:eastAsia="宋体" w:cs="宋体"/>
          <w:color w:val="auto"/>
          <w:sz w:val="24"/>
          <w:szCs w:val="24"/>
        </w:rPr>
        <w:t>法律法规规定的其他情形。</w:t>
      </w:r>
    </w:p>
    <w:p w14:paraId="0823E092">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供应商有上述情形的，按照规定追究法律责任，</w:t>
      </w:r>
      <w:r>
        <w:rPr>
          <w:rFonts w:hint="eastAsia" w:ascii="宋体" w:hAnsi="宋体" w:eastAsia="宋体" w:cs="宋体"/>
          <w:color w:val="auto"/>
          <w:sz w:val="24"/>
          <w:szCs w:val="24"/>
          <w:lang w:val="en-US" w:eastAsia="zh-CN"/>
        </w:rPr>
        <w:t>存在1.1</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1.10</w:t>
      </w:r>
      <w:r>
        <w:rPr>
          <w:rFonts w:hint="eastAsia" w:ascii="宋体" w:hAnsi="宋体" w:eastAsia="宋体" w:cs="宋体"/>
          <w:color w:val="auto"/>
          <w:sz w:val="24"/>
          <w:szCs w:val="24"/>
        </w:rPr>
        <w:t>条情形之一的，同时将取消被确认为成交供应商的资格或者认定成交无效。</w:t>
      </w:r>
    </w:p>
    <w:p w14:paraId="717A393E">
      <w:pPr>
        <w:pageBreakBefore w:val="0"/>
        <w:tabs>
          <w:tab w:val="left" w:pos="851"/>
        </w:tabs>
        <w:kinsoku/>
        <w:wordWrap/>
        <w:overflowPunct/>
        <w:topLinePunct w:val="0"/>
        <w:bidi w:val="0"/>
        <w:spacing w:line="560" w:lineRule="exact"/>
        <w:outlineLvl w:val="9"/>
        <w:rPr>
          <w:rFonts w:hint="eastAsia" w:ascii="宋体" w:hAnsi="宋体" w:eastAsia="宋体" w:cs="宋体"/>
          <w:color w:val="auto"/>
          <w:sz w:val="24"/>
          <w:szCs w:val="24"/>
        </w:rPr>
      </w:pPr>
    </w:p>
    <w:p w14:paraId="4A2A7786">
      <w:pPr>
        <w:pStyle w:val="3"/>
        <w:keepNext w:val="0"/>
        <w:keepLines w:val="0"/>
        <w:pageBreakBefore w:val="0"/>
        <w:numPr>
          <w:ilvl w:val="0"/>
          <w:numId w:val="0"/>
        </w:numPr>
        <w:kinsoku/>
        <w:wordWrap/>
        <w:overflowPunct/>
        <w:topLinePunct w:val="0"/>
        <w:bidi w:val="0"/>
        <w:spacing w:before="0" w:after="0" w:line="560" w:lineRule="exact"/>
        <w:jc w:val="center"/>
        <w:rPr>
          <w:rFonts w:hint="eastAsia" w:ascii="宋体" w:hAnsi="宋体" w:eastAsia="宋体" w:cs="宋体"/>
          <w:bCs/>
          <w:color w:val="auto"/>
          <w:sz w:val="32"/>
          <w:szCs w:val="32"/>
        </w:rPr>
      </w:pPr>
      <w:bookmarkStart w:id="181" w:name="_Toc13634"/>
      <w:bookmarkStart w:id="182" w:name="_Toc13818_WPSOffice_Level2"/>
      <w:bookmarkStart w:id="183" w:name="_Toc30782"/>
      <w:bookmarkStart w:id="184" w:name="_Toc5328"/>
      <w:bookmarkStart w:id="185" w:name="_Toc32538"/>
      <w:r>
        <w:rPr>
          <w:rFonts w:hint="eastAsia" w:ascii="宋体" w:hAnsi="宋体" w:eastAsia="宋体" w:cs="宋体"/>
          <w:bCs/>
          <w:color w:val="auto"/>
          <w:sz w:val="32"/>
          <w:szCs w:val="32"/>
        </w:rPr>
        <w:t>九、询问、质疑和投诉</w:t>
      </w:r>
      <w:bookmarkEnd w:id="181"/>
      <w:bookmarkEnd w:id="182"/>
      <w:bookmarkEnd w:id="183"/>
      <w:bookmarkEnd w:id="184"/>
      <w:bookmarkEnd w:id="185"/>
    </w:p>
    <w:p w14:paraId="600206A1">
      <w:pPr>
        <w:pageBreakBefore w:val="0"/>
        <w:widowControl w:val="0"/>
        <w:tabs>
          <w:tab w:val="left" w:pos="851"/>
        </w:tabs>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宋体" w:hAnsi="宋体" w:eastAsia="宋体" w:cs="宋体"/>
          <w:color w:val="auto"/>
          <w:sz w:val="24"/>
          <w:szCs w:val="24"/>
        </w:rPr>
      </w:pPr>
    </w:p>
    <w:p w14:paraId="50479821">
      <w:pPr>
        <w:pStyle w:val="4"/>
        <w:pageBreakBefore w:val="0"/>
        <w:widowControl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询问</w:t>
      </w:r>
    </w:p>
    <w:p w14:paraId="731478CF">
      <w:pPr>
        <w:pStyle w:val="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委托代理协议约定，供应商对参加本次政府采购活动应当具备的条件、项目技术、服务、商务及其他要求的询问，由采购人负责答复，其他内容的询问由采购代理机构负责答复，联系电话详见谈判公告。询问、质疑、投诉的接收和处理严格按照《中华人民共和国政府采购法》《中华人民共和国政府采购法实施条例</w:t>
      </w:r>
      <w:r>
        <w:rPr>
          <w:rFonts w:hint="eastAsia" w:ascii="宋体" w:hAnsi="宋体" w:cs="宋体"/>
          <w:color w:val="auto"/>
          <w:sz w:val="24"/>
          <w:szCs w:val="24"/>
          <w:lang w:val="en-US" w:eastAsia="zh-CN"/>
        </w:rPr>
        <w:t>》和</w:t>
      </w:r>
      <w:r>
        <w:rPr>
          <w:rFonts w:hint="eastAsia" w:ascii="宋体" w:hAnsi="宋体" w:eastAsia="宋体" w:cs="宋体"/>
          <w:color w:val="auto"/>
          <w:sz w:val="24"/>
          <w:szCs w:val="24"/>
          <w:lang w:val="en-US" w:eastAsia="zh-CN"/>
        </w:rPr>
        <w:t>《中华人民共和国财政部令第94号政府采购质疑和投诉办法》。</w:t>
      </w:r>
    </w:p>
    <w:p w14:paraId="5FC4B09F">
      <w:pPr>
        <w:pStyle w:val="4"/>
        <w:pageBreakBefore w:val="0"/>
        <w:widowControl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质疑</w:t>
      </w:r>
    </w:p>
    <w:p w14:paraId="3D1FBF57">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 供应商</w:t>
      </w:r>
      <w:r>
        <w:rPr>
          <w:rFonts w:hint="eastAsia" w:ascii="宋体" w:hAnsi="宋体" w:eastAsia="宋体" w:cs="宋体"/>
          <w:color w:val="auto"/>
          <w:sz w:val="24"/>
          <w:szCs w:val="24"/>
          <w:highlight w:val="none"/>
        </w:rPr>
        <w:t>认为</w:t>
      </w:r>
      <w:r>
        <w:rPr>
          <w:rFonts w:hint="eastAsia" w:ascii="宋体" w:hAnsi="宋体" w:eastAsia="宋体" w:cs="宋体"/>
          <w:color w:val="auto"/>
          <w:sz w:val="24"/>
          <w:szCs w:val="24"/>
          <w:highlight w:val="none"/>
          <w:lang w:val="en-US" w:eastAsia="zh-CN"/>
        </w:rPr>
        <w:t>谈判文件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过程和</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结果使自己的合法权益受到损害的，应当在知道或者应知其权益受到损害之日起七个工作日内，以书面形式向</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供应商须知前附表</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lang w:val="en-US" w:eastAsia="zh-CN"/>
        </w:rPr>
        <w:t>所列部门</w:t>
      </w:r>
      <w:r>
        <w:rPr>
          <w:rFonts w:hint="eastAsia" w:ascii="宋体" w:hAnsi="宋体" w:eastAsia="宋体" w:cs="宋体"/>
          <w:color w:val="auto"/>
          <w:sz w:val="24"/>
          <w:szCs w:val="24"/>
          <w:highlight w:val="none"/>
        </w:rPr>
        <w:t>提出质疑。质疑内容不得含有虚假、恶意成分。</w:t>
      </w:r>
    </w:p>
    <w:p w14:paraId="4C6A922A">
      <w:pPr>
        <w:pStyle w:val="7"/>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 提出质疑的供应商应当是</w:t>
      </w:r>
      <w:r>
        <w:rPr>
          <w:rFonts w:hint="eastAsia" w:ascii="宋体" w:hAnsi="宋体" w:cs="宋体"/>
          <w:color w:val="auto"/>
          <w:kern w:val="2"/>
          <w:sz w:val="24"/>
          <w:szCs w:val="24"/>
          <w:highlight w:val="none"/>
          <w:lang w:val="en-US" w:eastAsia="zh-CN" w:bidi="ar-SA"/>
        </w:rPr>
        <w:t>参加</w:t>
      </w:r>
      <w:r>
        <w:rPr>
          <w:rFonts w:hint="eastAsia" w:ascii="宋体" w:hAnsi="宋体" w:eastAsia="宋体" w:cs="宋体"/>
          <w:color w:val="auto"/>
          <w:kern w:val="2"/>
          <w:sz w:val="24"/>
          <w:szCs w:val="24"/>
          <w:highlight w:val="none"/>
          <w:lang w:val="en-US" w:eastAsia="zh-CN" w:bidi="ar-SA"/>
        </w:rPr>
        <w:t>本项目采购活动的供应商。依法获取可质疑采购文件的潜在供应商也可以依法提出质疑。</w:t>
      </w:r>
    </w:p>
    <w:p w14:paraId="1681CAF4">
      <w:pPr>
        <w:pStyle w:val="7"/>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2.3 </w:t>
      </w:r>
      <w:r>
        <w:rPr>
          <w:rFonts w:hint="eastAsia" w:ascii="宋体" w:hAnsi="宋体" w:eastAsia="宋体" w:cs="宋体"/>
          <w:b/>
          <w:bCs/>
          <w:color w:val="auto"/>
          <w:kern w:val="2"/>
          <w:sz w:val="24"/>
          <w:szCs w:val="24"/>
          <w:highlight w:val="none"/>
          <w:lang w:val="en-US" w:eastAsia="zh-CN" w:bidi="ar-SA"/>
        </w:rPr>
        <w:t>超出法定质疑期提交的质疑将被拒绝</w:t>
      </w:r>
      <w:r>
        <w:rPr>
          <w:rFonts w:hint="eastAsia" w:ascii="宋体" w:hAnsi="宋体" w:eastAsia="宋体" w:cs="宋体"/>
          <w:color w:val="auto"/>
          <w:kern w:val="2"/>
          <w:sz w:val="24"/>
          <w:szCs w:val="24"/>
          <w:highlight w:val="none"/>
          <w:lang w:val="en-US" w:eastAsia="zh-CN" w:bidi="ar-SA"/>
        </w:rPr>
        <w:t>。</w:t>
      </w:r>
      <w:r>
        <w:rPr>
          <w:rFonts w:hint="eastAsia" w:ascii="宋体" w:hAnsi="宋体" w:eastAsia="宋体" w:cs="宋体"/>
          <w:color w:val="auto"/>
          <w:sz w:val="24"/>
          <w:szCs w:val="24"/>
          <w:highlight w:val="none"/>
        </w:rPr>
        <w:t>提出质疑时</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必须同时提交相关证据材料和注明事实的确切来源。</w:t>
      </w:r>
      <w:r>
        <w:rPr>
          <w:rFonts w:hint="eastAsia" w:ascii="宋体" w:hAnsi="宋体" w:eastAsia="宋体" w:cs="宋体"/>
          <w:b/>
          <w:bCs/>
          <w:color w:val="auto"/>
          <w:sz w:val="24"/>
          <w:szCs w:val="24"/>
          <w:highlight w:val="none"/>
          <w:lang w:val="en-US" w:eastAsia="zh-CN"/>
        </w:rPr>
        <w:t>供应商应</w:t>
      </w:r>
      <w:r>
        <w:rPr>
          <w:rFonts w:hint="eastAsia" w:ascii="宋体" w:hAnsi="宋体" w:eastAsia="宋体" w:cs="宋体"/>
          <w:b/>
          <w:bCs/>
          <w:color w:val="auto"/>
          <w:sz w:val="24"/>
          <w:szCs w:val="24"/>
          <w:highlight w:val="none"/>
        </w:rPr>
        <w:t>在法定质疑期内一次性提出针对同一采购程序环节的质疑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否则代理机构、采购人有权拒收。</w:t>
      </w:r>
    </w:p>
    <w:p w14:paraId="2D3AF3FD">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2.4 供应商提供的质疑书（如材料中有外文资料应同时附上中文译本）应当包括以下主要内容：</w:t>
      </w:r>
    </w:p>
    <w:p w14:paraId="1CCFCAE1">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lang w:val="en-US" w:eastAsia="zh-CN"/>
        </w:rPr>
        <w:t>2.4.1</w:t>
      </w:r>
      <w:r>
        <w:rPr>
          <w:rFonts w:hint="eastAsia" w:ascii="宋体" w:hAnsi="宋体" w:eastAsia="宋体" w:cs="宋体"/>
          <w:color w:val="auto"/>
          <w:kern w:val="2"/>
          <w:sz w:val="24"/>
          <w:szCs w:val="24"/>
          <w:highlight w:val="none"/>
          <w:lang w:val="en-US" w:eastAsia="zh-CN" w:bidi="ar-SA"/>
        </w:rPr>
        <w:t>质疑项目名称；</w:t>
      </w:r>
    </w:p>
    <w:p w14:paraId="38A70607">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lang w:val="en-US" w:eastAsia="zh-CN"/>
        </w:rPr>
        <w:t>2.4.2</w:t>
      </w:r>
      <w:r>
        <w:rPr>
          <w:rFonts w:hint="eastAsia" w:ascii="宋体" w:hAnsi="宋体" w:eastAsia="宋体" w:cs="宋体"/>
          <w:color w:val="auto"/>
          <w:kern w:val="2"/>
          <w:sz w:val="24"/>
          <w:szCs w:val="24"/>
          <w:highlight w:val="none"/>
          <w:lang w:val="en-US" w:eastAsia="zh-CN" w:bidi="ar-SA"/>
        </w:rPr>
        <w:t>质疑理由及事实依据；</w:t>
      </w:r>
    </w:p>
    <w:p w14:paraId="6A7BA6B1">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lang w:val="en-US" w:eastAsia="zh-CN"/>
        </w:rPr>
        <w:t>2.4.3</w:t>
      </w:r>
      <w:r>
        <w:rPr>
          <w:rFonts w:hint="eastAsia" w:ascii="宋体" w:hAnsi="宋体" w:eastAsia="宋体" w:cs="宋体"/>
          <w:color w:val="auto"/>
          <w:kern w:val="2"/>
          <w:sz w:val="24"/>
          <w:szCs w:val="24"/>
          <w:highlight w:val="none"/>
          <w:lang w:val="en-US" w:eastAsia="zh-CN" w:bidi="ar-SA"/>
        </w:rPr>
        <w:t>质疑对象；</w:t>
      </w:r>
    </w:p>
    <w:p w14:paraId="58578AA8">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lang w:val="en-US" w:eastAsia="zh-CN"/>
        </w:rPr>
        <w:t>2.4.4</w:t>
      </w:r>
      <w:r>
        <w:rPr>
          <w:rFonts w:hint="eastAsia" w:ascii="宋体" w:hAnsi="宋体" w:eastAsia="宋体" w:cs="宋体"/>
          <w:color w:val="auto"/>
          <w:kern w:val="2"/>
          <w:sz w:val="24"/>
          <w:szCs w:val="24"/>
          <w:highlight w:val="none"/>
          <w:lang w:val="en-US" w:eastAsia="zh-CN" w:bidi="ar-SA"/>
        </w:rPr>
        <w:t>联系电话和地址；</w:t>
      </w:r>
    </w:p>
    <w:p w14:paraId="67FD296B">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2.4.5质疑的日期；</w:t>
      </w:r>
    </w:p>
    <w:p w14:paraId="5246E4A5">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2.4.6质疑人署名。</w:t>
      </w:r>
    </w:p>
    <w:p w14:paraId="1EA97A20">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质疑书实行实名制并由法定代表人或其授权代理人签字并加盖公章。质疑书参考格式可在“中国政府采购网-下载专区”下载。</w:t>
      </w:r>
    </w:p>
    <w:p w14:paraId="67652E9A">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 采购人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代理机构将在收到供应商的书面质疑后七个工作日内</w:t>
      </w:r>
      <w:r>
        <w:rPr>
          <w:rFonts w:hint="eastAsia" w:ascii="宋体" w:hAnsi="宋体" w:cs="宋体"/>
          <w:color w:val="auto"/>
          <w:sz w:val="24"/>
          <w:szCs w:val="24"/>
          <w:highlight w:val="none"/>
          <w:lang w:eastAsia="zh-CN"/>
        </w:rPr>
        <w:t>作出</w:t>
      </w:r>
      <w:r>
        <w:rPr>
          <w:rFonts w:hint="eastAsia" w:ascii="宋体" w:hAnsi="宋体" w:eastAsia="宋体" w:cs="宋体"/>
          <w:color w:val="auto"/>
          <w:sz w:val="24"/>
          <w:szCs w:val="24"/>
          <w:highlight w:val="none"/>
        </w:rPr>
        <w:t>答复，但答复的内容不涉及商业秘密。</w:t>
      </w:r>
    </w:p>
    <w:p w14:paraId="03F9B9C1">
      <w:pPr>
        <w:pStyle w:val="4"/>
        <w:pageBreakBefore w:val="0"/>
        <w:widowControl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color w:val="auto"/>
          <w:sz w:val="24"/>
          <w:szCs w:val="24"/>
          <w:lang w:val="en-US" w:eastAsia="zh-CN"/>
        </w:rPr>
      </w:pPr>
      <w:bookmarkStart w:id="186" w:name="_Toc381887528"/>
      <w:bookmarkStart w:id="187" w:name="_Toc24305"/>
      <w:bookmarkStart w:id="188" w:name="_Toc21166"/>
      <w:bookmarkStart w:id="189" w:name="_Toc481656294"/>
      <w:r>
        <w:rPr>
          <w:rFonts w:hint="eastAsia" w:ascii="宋体" w:hAnsi="宋体" w:eastAsia="宋体" w:cs="宋体"/>
          <w:color w:val="auto"/>
          <w:sz w:val="24"/>
          <w:szCs w:val="24"/>
          <w:lang w:val="en-US" w:eastAsia="zh-CN"/>
        </w:rPr>
        <w:t>3. 投诉</w:t>
      </w:r>
      <w:bookmarkEnd w:id="186"/>
      <w:bookmarkEnd w:id="187"/>
      <w:bookmarkEnd w:id="188"/>
      <w:bookmarkEnd w:id="189"/>
    </w:p>
    <w:p w14:paraId="125494F7">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highlight w:val="none"/>
        </w:rPr>
        <w:t>质疑</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val="en-US" w:eastAsia="zh-CN"/>
        </w:rPr>
        <w:t>采购人、采购</w:t>
      </w:r>
      <w:r>
        <w:rPr>
          <w:rFonts w:hint="eastAsia" w:ascii="宋体" w:hAnsi="宋体" w:eastAsia="宋体" w:cs="宋体"/>
          <w:color w:val="auto"/>
          <w:sz w:val="24"/>
          <w:szCs w:val="24"/>
          <w:highlight w:val="none"/>
        </w:rPr>
        <w:t>代理机构的答复不满意，或者</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代理机构未在规定的时间内</w:t>
      </w:r>
      <w:r>
        <w:rPr>
          <w:rFonts w:hint="eastAsia" w:ascii="宋体" w:hAnsi="宋体" w:cs="宋体"/>
          <w:color w:val="auto"/>
          <w:sz w:val="24"/>
          <w:szCs w:val="24"/>
          <w:highlight w:val="none"/>
          <w:lang w:eastAsia="zh-CN"/>
        </w:rPr>
        <w:t>作出</w:t>
      </w:r>
      <w:r>
        <w:rPr>
          <w:rFonts w:hint="eastAsia" w:ascii="宋体" w:hAnsi="宋体" w:eastAsia="宋体" w:cs="宋体"/>
          <w:color w:val="auto"/>
          <w:sz w:val="24"/>
          <w:szCs w:val="24"/>
          <w:highlight w:val="none"/>
        </w:rPr>
        <w:t>答复的，可以在答复期满后十五个工作日内书面向</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供应商须知前附表</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lang w:val="en-US" w:eastAsia="zh-CN"/>
        </w:rPr>
        <w:t>所列部门</w:t>
      </w:r>
      <w:r>
        <w:rPr>
          <w:rFonts w:hint="eastAsia" w:ascii="宋体" w:hAnsi="宋体" w:eastAsia="宋体" w:cs="宋体"/>
          <w:color w:val="auto"/>
          <w:sz w:val="24"/>
          <w:szCs w:val="24"/>
          <w:highlight w:val="none"/>
        </w:rPr>
        <w:t>投诉。供应商投诉的事项不得超出已质疑事项的范围，但基于质疑答复内容提出的投诉事项除外。</w:t>
      </w:r>
    </w:p>
    <w:p w14:paraId="2991F624">
      <w:pPr>
        <w:pStyle w:val="3"/>
        <w:keepNext w:val="0"/>
        <w:keepLines w:val="0"/>
        <w:pageBreakBefore w:val="0"/>
        <w:numPr>
          <w:ilvl w:val="0"/>
          <w:numId w:val="3"/>
        </w:numPr>
        <w:kinsoku/>
        <w:wordWrap/>
        <w:overflowPunct/>
        <w:topLinePunct w:val="0"/>
        <w:bidi w:val="0"/>
        <w:spacing w:before="0" w:after="0" w:line="560" w:lineRule="exact"/>
        <w:jc w:val="center"/>
        <w:rPr>
          <w:rFonts w:hint="eastAsia" w:ascii="宋体" w:hAnsi="宋体" w:eastAsia="宋体" w:cs="宋体"/>
          <w:bCs/>
          <w:color w:val="auto"/>
          <w:sz w:val="32"/>
          <w:szCs w:val="32"/>
        </w:rPr>
      </w:pPr>
      <w:bookmarkStart w:id="190" w:name="_Toc15378"/>
      <w:bookmarkStart w:id="191" w:name="_Toc12086"/>
      <w:bookmarkStart w:id="192" w:name="_Toc30606"/>
      <w:bookmarkStart w:id="193" w:name="_Toc31778"/>
      <w:bookmarkStart w:id="194" w:name="_Toc30918_WPSOffice_Level2"/>
      <w:r>
        <w:rPr>
          <w:rFonts w:hint="eastAsia" w:ascii="宋体" w:hAnsi="宋体" w:eastAsia="宋体" w:cs="宋体"/>
          <w:bCs/>
          <w:color w:val="auto"/>
          <w:sz w:val="32"/>
          <w:szCs w:val="32"/>
          <w:lang w:eastAsia="zh-CN"/>
        </w:rPr>
        <w:t>其他</w:t>
      </w:r>
      <w:bookmarkEnd w:id="190"/>
      <w:bookmarkEnd w:id="191"/>
      <w:bookmarkEnd w:id="192"/>
      <w:bookmarkEnd w:id="193"/>
      <w:bookmarkEnd w:id="194"/>
    </w:p>
    <w:p w14:paraId="031D07AA">
      <w:pPr>
        <w:pStyle w:val="4"/>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（实质性要求）</w:t>
      </w:r>
      <w:r>
        <w:rPr>
          <w:rFonts w:hint="eastAsia" w:ascii="宋体" w:hAnsi="宋体" w:eastAsia="宋体" w:cs="宋体"/>
          <w:b w:val="0"/>
          <w:bCs w:val="0"/>
          <w:color w:val="auto"/>
          <w:sz w:val="24"/>
          <w:szCs w:val="24"/>
          <w:lang w:val="en-US" w:eastAsia="zh-CN"/>
        </w:rPr>
        <w:t>国家或行业主管部门对供应商和采购产品的技术标准、质量标准和资格资质条件等有强制性规定的，必须符合其要求。</w:t>
      </w:r>
    </w:p>
    <w:p w14:paraId="388E4399">
      <w:pPr>
        <w:pStyle w:val="4"/>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商品包装和快递包装</w:t>
      </w:r>
    </w:p>
    <w:p w14:paraId="246068A7">
      <w:pPr>
        <w:pageBreakBefore w:val="0"/>
        <w:numPr>
          <w:ilvl w:val="0"/>
          <w:numId w:val="0"/>
        </w:numPr>
        <w:tabs>
          <w:tab w:val="left" w:pos="851"/>
        </w:tabs>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为本项目实施涉及的商品包装和快递包装，均应符合《财政部等三部门联合印发商品包装和快递包装政府采购需求标准（试行）》（财办库</w:t>
      </w:r>
      <w:r>
        <w:rPr>
          <w:rFonts w:hint="eastAsia" w:ascii="宋体" w:hAnsi="宋体" w:cs="宋体"/>
          <w:color w:val="auto"/>
          <w:sz w:val="24"/>
          <w:szCs w:val="24"/>
          <w:lang w:val="en-US" w:eastAsia="zh-CN"/>
        </w:rPr>
        <w:t>〔2020〕123号</w:t>
      </w:r>
      <w:r>
        <w:rPr>
          <w:rFonts w:hint="eastAsia" w:ascii="宋体" w:hAnsi="宋体" w:eastAsia="宋体" w:cs="宋体"/>
          <w:color w:val="auto"/>
          <w:sz w:val="24"/>
          <w:szCs w:val="24"/>
          <w:lang w:val="en-US" w:eastAsia="zh-CN"/>
        </w:rPr>
        <w:t>）的要求，包装应适应于远距离运输、防潮、防震、防锈和防野蛮装卸，以确保货物安全无损运抵指定地点。由于包装不善所引起</w:t>
      </w:r>
      <w:r>
        <w:rPr>
          <w:rFonts w:hint="eastAsia" w:ascii="宋体" w:hAnsi="宋体" w:eastAsia="宋体" w:cs="宋体"/>
          <w:color w:val="auto"/>
          <w:sz w:val="24"/>
          <w:szCs w:val="24"/>
          <w:highlight w:val="none"/>
          <w:lang w:val="en-US" w:eastAsia="zh-CN"/>
        </w:rPr>
        <w:t>的货物损失均由供应商承担。</w:t>
      </w:r>
    </w:p>
    <w:p w14:paraId="538663ED">
      <w:pPr>
        <w:pStyle w:val="4"/>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节能产品、环境标志产品</w:t>
      </w:r>
    </w:p>
    <w:p w14:paraId="69594D07">
      <w:pPr>
        <w:spacing w:line="360" w:lineRule="auto"/>
        <w:ind w:firstLine="480" w:firstLineChars="200"/>
        <w:jc w:val="left"/>
        <w:rPr>
          <w:rFonts w:hint="eastAsia" w:ascii="宋体" w:hAnsi="宋体" w:eastAsia="宋体" w:cs="宋体"/>
          <w:color w:val="auto"/>
          <w:kern w:val="0"/>
          <w:sz w:val="24"/>
          <w:szCs w:val="24"/>
        </w:rPr>
      </w:pPr>
      <w:r>
        <w:rPr>
          <w:rFonts w:hint="eastAsia" w:ascii="宋体"/>
          <w:color w:val="auto"/>
          <w:sz w:val="24"/>
          <w:szCs w:val="24"/>
          <w:lang w:val="en-US" w:eastAsia="zh-CN"/>
        </w:rPr>
        <w:t>3.1</w:t>
      </w:r>
      <w:r>
        <w:rPr>
          <w:rFonts w:hint="eastAsia" w:ascii="宋体"/>
          <w:color w:val="auto"/>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w:t>
      </w:r>
    </w:p>
    <w:p w14:paraId="68B0E4E4">
      <w:pPr>
        <w:pageBreakBefore w:val="0"/>
        <w:widowControl/>
        <w:kinsoku/>
        <w:wordWrap/>
        <w:overflowPunct/>
        <w:topLinePunct w:val="0"/>
        <w:bidi w:val="0"/>
        <w:snapToGrid/>
        <w:spacing w:line="560" w:lineRule="exact"/>
        <w:ind w:left="0" w:leftChars="0" w:right="0" w:rightChars="0" w:firstLine="480" w:firstLineChars="200"/>
        <w:jc w:val="left"/>
        <w:textAlignment w:val="auto"/>
        <w:outlineLvl w:val="9"/>
        <w:rPr>
          <w:rFonts w:ascii="宋体" w:hAnsi="宋体" w:eastAsia="宋体" w:cs="宋体"/>
          <w:color w:val="auto"/>
          <w:sz w:val="24"/>
          <w:szCs w:val="24"/>
        </w:rPr>
      </w:pPr>
      <w:r>
        <w:rPr>
          <w:rFonts w:ascii="宋体" w:hAnsi="宋体" w:eastAsia="宋体" w:cs="宋体"/>
          <w:color w:val="auto"/>
          <w:sz w:val="24"/>
          <w:szCs w:val="24"/>
        </w:rPr>
        <w:t>节能产品政府采购品目清单、环境标志产品政府采购品目清单可通过中国政府采购网（http://www.ccgp.gov.cn/）查阅。</w:t>
      </w:r>
    </w:p>
    <w:p w14:paraId="721D76DE">
      <w:pPr>
        <w:spacing w:line="360" w:lineRule="auto"/>
        <w:ind w:firstLine="480" w:firstLineChars="200"/>
        <w:jc w:val="left"/>
        <w:rPr>
          <w:rFonts w:ascii="宋体"/>
          <w:color w:val="auto"/>
          <w:sz w:val="24"/>
          <w:szCs w:val="24"/>
        </w:rPr>
      </w:pPr>
      <w:r>
        <w:rPr>
          <w:rFonts w:hint="eastAsia" w:ascii="宋体"/>
          <w:color w:val="auto"/>
          <w:sz w:val="24"/>
          <w:szCs w:val="24"/>
          <w:lang w:val="en-US" w:eastAsia="zh-CN"/>
        </w:rPr>
        <w:t>3.2</w:t>
      </w:r>
      <w:r>
        <w:rPr>
          <w:rFonts w:hint="eastAsia" w:ascii="宋体"/>
          <w:color w:val="auto"/>
          <w:sz w:val="24"/>
          <w:szCs w:val="24"/>
        </w:rPr>
        <w:t>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E62C1F4">
      <w:pPr>
        <w:spacing w:line="360" w:lineRule="auto"/>
        <w:ind w:firstLine="480" w:firstLineChars="200"/>
        <w:jc w:val="left"/>
        <w:rPr>
          <w:rFonts w:hint="eastAsia" w:ascii="宋体"/>
          <w:color w:val="auto"/>
          <w:sz w:val="24"/>
          <w:szCs w:val="24"/>
        </w:rPr>
      </w:pPr>
      <w:r>
        <w:rPr>
          <w:rFonts w:hint="eastAsia" w:ascii="宋体"/>
          <w:color w:val="auto"/>
          <w:sz w:val="24"/>
          <w:szCs w:val="24"/>
        </w:rPr>
        <w:t>其中，节能产品政府采购品目清单中以“★”标注的为政府强制采购产品，其余为优先采购产品。</w:t>
      </w:r>
    </w:p>
    <w:p w14:paraId="505AC11D">
      <w:pPr>
        <w:spacing w:line="360" w:lineRule="auto"/>
        <w:ind w:firstLine="480" w:firstLineChars="200"/>
        <w:jc w:val="left"/>
        <w:rPr>
          <w:rFonts w:ascii="宋体"/>
          <w:color w:val="auto"/>
          <w:sz w:val="24"/>
          <w:szCs w:val="24"/>
        </w:rPr>
      </w:pPr>
      <w:r>
        <w:rPr>
          <w:rFonts w:hint="eastAsia" w:ascii="宋体"/>
          <w:color w:val="auto"/>
          <w:sz w:val="24"/>
          <w:szCs w:val="24"/>
          <w:lang w:val="en-US" w:eastAsia="zh-CN"/>
        </w:rPr>
        <w:t>3.3</w:t>
      </w:r>
      <w:r>
        <w:rPr>
          <w:rFonts w:hint="eastAsia" w:ascii="宋体"/>
          <w:color w:val="auto"/>
          <w:sz w:val="24"/>
          <w:szCs w:val="24"/>
        </w:rPr>
        <w:t>市场监管总局组织建立节能产品、环境标志产品认证结果信息发布平台，公布相关认证机构和获证产品信息。政府采购节能产品、环境标志产品认证机构名录可通过中国政府采购网（http://www.ccgp.gov.cn/）查阅。</w:t>
      </w:r>
    </w:p>
    <w:p w14:paraId="34E70743">
      <w:pPr>
        <w:pStyle w:val="10"/>
        <w:rPr>
          <w:rFonts w:hint="default" w:eastAsia="宋体"/>
          <w:color w:val="auto"/>
          <w:lang w:val="en-US" w:eastAsia="zh-CN"/>
        </w:rPr>
      </w:pPr>
    </w:p>
    <w:p w14:paraId="4FFC1BED">
      <w:pPr>
        <w:pStyle w:val="4"/>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 中小企业扶持政策</w:t>
      </w:r>
    </w:p>
    <w:p w14:paraId="76AFE04E">
      <w:pPr>
        <w:pageBreakBefore w:val="0"/>
        <w:widowControl/>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4.1 对于非专门面向中小企业或小型、微型企业采购的项目，中型、小型、微型企业应当同时符合以下条件：</w:t>
      </w:r>
    </w:p>
    <w:p w14:paraId="3192FBFC">
      <w:pPr>
        <w:pageBreakBefore w:val="0"/>
        <w:widowControl/>
        <w:numPr>
          <w:ilvl w:val="0"/>
          <w:numId w:val="0"/>
        </w:numPr>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val="0"/>
          <w:bCs w:val="0"/>
          <w:color w:val="auto"/>
          <w:kern w:val="0"/>
          <w:sz w:val="24"/>
          <w:szCs w:val="24"/>
          <w:lang w:val="en-US" w:eastAsia="zh-CN"/>
        </w:rPr>
      </w:pPr>
      <w:r>
        <w:rPr>
          <w:rFonts w:hint="eastAsia" w:ascii="宋体" w:hAnsi="宋体" w:eastAsia="宋体" w:cs="宋体"/>
          <w:b w:val="0"/>
          <w:bCs w:val="0"/>
          <w:color w:val="auto"/>
          <w:kern w:val="0"/>
          <w:sz w:val="24"/>
          <w:szCs w:val="24"/>
          <w:lang w:val="en-US" w:eastAsia="zh-CN"/>
        </w:rPr>
        <w:t>4.1.1中型、小型和微型企业谈判的须提供《中小企业声明函》并对声明函的真实性负责；</w:t>
      </w:r>
    </w:p>
    <w:p w14:paraId="3BE3A7C2">
      <w:pPr>
        <w:pageBreakBefore w:val="0"/>
        <w:widowControl/>
        <w:numPr>
          <w:ilvl w:val="0"/>
          <w:numId w:val="0"/>
        </w:numPr>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val="0"/>
          <w:bCs w:val="0"/>
          <w:color w:val="auto"/>
          <w:kern w:val="0"/>
          <w:sz w:val="24"/>
          <w:szCs w:val="24"/>
          <w:lang w:val="en-US" w:eastAsia="zh-CN"/>
        </w:rPr>
      </w:pPr>
      <w:r>
        <w:rPr>
          <w:rFonts w:hint="eastAsia" w:ascii="宋体" w:hAnsi="宋体" w:eastAsia="宋体" w:cs="宋体"/>
          <w:b w:val="0"/>
          <w:bCs w:val="0"/>
          <w:color w:val="auto"/>
          <w:kern w:val="0"/>
          <w:sz w:val="24"/>
          <w:szCs w:val="24"/>
          <w:lang w:val="en-US" w:eastAsia="zh-CN"/>
        </w:rPr>
        <w:t>4.1.2按照《关于印发中小企业划型标准规定的通知》（工信部联企业〔2011〕300号）规定，供应商应符合中小企业划分标准；所称中小企业划分标准，是指国务院有关部门根据企业从业人员、营业收入、资产总额等指标制定的中小企业划型标准；</w:t>
      </w:r>
    </w:p>
    <w:p w14:paraId="50D6196F">
      <w:pPr>
        <w:pageBreakBefore w:val="0"/>
        <w:widowControl/>
        <w:numPr>
          <w:ilvl w:val="0"/>
          <w:numId w:val="0"/>
        </w:numPr>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val="0"/>
          <w:bCs w:val="0"/>
          <w:color w:val="auto"/>
          <w:kern w:val="0"/>
          <w:sz w:val="24"/>
          <w:szCs w:val="24"/>
          <w:lang w:val="en-US" w:eastAsia="zh-CN"/>
        </w:rPr>
      </w:pPr>
      <w:r>
        <w:rPr>
          <w:rFonts w:hint="eastAsia" w:ascii="宋体" w:hAnsi="宋体" w:eastAsia="宋体" w:cs="宋体"/>
          <w:b w:val="0"/>
          <w:bCs w:val="0"/>
          <w:color w:val="auto"/>
          <w:kern w:val="0"/>
          <w:sz w:val="24"/>
          <w:szCs w:val="24"/>
          <w:lang w:val="en-US" w:eastAsia="zh-CN"/>
        </w:rPr>
        <w:t>4.1.3提供本企业制造的货物、承担的工程或者服务，或者提供其他中小企业制造的货物。本项所称货物不包括使用大型企业注册商标的货物。</w:t>
      </w:r>
    </w:p>
    <w:p w14:paraId="576F90A1">
      <w:pPr>
        <w:pStyle w:val="32"/>
        <w:pageBreakBefore w:val="0"/>
        <w:kinsoku/>
        <w:wordWrap/>
        <w:overflowPunct/>
        <w:topLinePunct w:val="0"/>
        <w:bidi w:val="0"/>
        <w:snapToGrid/>
        <w:spacing w:line="560" w:lineRule="exact"/>
        <w:ind w:left="0" w:leftChars="0" w:right="0" w:rightChars="0" w:firstLine="480" w:firstLineChars="200"/>
        <w:textAlignment w:val="auto"/>
        <w:outlineLvl w:val="9"/>
        <w:rPr>
          <w:rFonts w:hint="eastAsia" w:ascii="宋体" w:hAnsi="宋体" w:eastAsia="宋体" w:cs="宋体"/>
          <w:b w:val="0"/>
          <w:bCs w:val="0"/>
          <w:color w:val="auto"/>
          <w:kern w:val="0"/>
          <w:sz w:val="24"/>
          <w:szCs w:val="24"/>
          <w:lang w:val="en-US" w:eastAsia="zh-CN"/>
        </w:rPr>
      </w:pPr>
      <w:r>
        <w:rPr>
          <w:rFonts w:hint="eastAsia" w:ascii="宋体" w:hAnsi="宋体" w:eastAsia="宋体" w:cs="宋体"/>
          <w:b w:val="0"/>
          <w:bCs w:val="0"/>
          <w:color w:val="auto"/>
          <w:kern w:val="0"/>
          <w:sz w:val="24"/>
          <w:szCs w:val="24"/>
          <w:lang w:val="en-US" w:eastAsia="zh-CN"/>
        </w:rPr>
        <w:t>4.2 小型和微型企业提供中型企业制造的货物的，视同为中型企业。</w:t>
      </w:r>
    </w:p>
    <w:p w14:paraId="672185BF">
      <w:pPr>
        <w:pStyle w:val="32"/>
        <w:pageBreakBefore w:val="0"/>
        <w:kinsoku/>
        <w:wordWrap/>
        <w:overflowPunct/>
        <w:topLinePunct w:val="0"/>
        <w:bidi w:val="0"/>
        <w:snapToGrid/>
        <w:spacing w:line="560" w:lineRule="exact"/>
        <w:ind w:left="0" w:leftChars="0" w:right="0" w:rightChars="0" w:firstLine="480" w:firstLineChars="200"/>
        <w:textAlignment w:val="auto"/>
        <w:outlineLvl w:val="9"/>
        <w:rPr>
          <w:rFonts w:hint="eastAsia" w:ascii="宋体" w:hAnsi="宋体" w:eastAsia="宋体" w:cs="宋体"/>
          <w:b w:val="0"/>
          <w:bCs w:val="0"/>
          <w:color w:val="auto"/>
          <w:kern w:val="0"/>
          <w:sz w:val="24"/>
          <w:szCs w:val="24"/>
          <w:lang w:val="en-US" w:eastAsia="zh-CN"/>
        </w:rPr>
      </w:pPr>
      <w:r>
        <w:rPr>
          <w:rFonts w:hint="eastAsia" w:ascii="宋体" w:hAnsi="宋体" w:eastAsia="宋体" w:cs="宋体"/>
          <w:b w:val="0"/>
          <w:bCs w:val="0"/>
          <w:color w:val="auto"/>
          <w:kern w:val="0"/>
          <w:sz w:val="24"/>
          <w:szCs w:val="24"/>
          <w:lang w:val="en-US" w:eastAsia="zh-CN"/>
        </w:rPr>
        <w:t>4.3 小型和微型企业提供的货物中含有中型及以上企业的产品或者大中型企业提供货物中含有小型、微型企业产品的，均不给予价格扣除。</w:t>
      </w:r>
    </w:p>
    <w:p w14:paraId="58EC3F5E">
      <w:pPr>
        <w:pStyle w:val="32"/>
        <w:pageBreakBefore w:val="0"/>
        <w:kinsoku/>
        <w:wordWrap/>
        <w:overflowPunct/>
        <w:topLinePunct w:val="0"/>
        <w:bidi w:val="0"/>
        <w:snapToGrid/>
        <w:spacing w:line="56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4.4 </w:t>
      </w:r>
      <w:r>
        <w:rPr>
          <w:rFonts w:hint="eastAsia" w:ascii="宋体" w:hAnsi="宋体" w:eastAsia="宋体" w:cs="宋体"/>
          <w:color w:val="auto"/>
          <w:sz w:val="24"/>
          <w:szCs w:val="24"/>
        </w:rPr>
        <w:t>以联合体形式参加政府采购活动，联合体各方均为中小企业的，联合体视同中小企业。其中，联合体各方均为小微企业的，联合体视同小微企业。</w:t>
      </w:r>
    </w:p>
    <w:p w14:paraId="2F3BF3E1">
      <w:pPr>
        <w:pageBreakBefore w:val="0"/>
        <w:numPr>
          <w:ilvl w:val="0"/>
          <w:numId w:val="0"/>
        </w:numPr>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4.5 </w:t>
      </w:r>
      <w:r>
        <w:rPr>
          <w:rFonts w:hint="eastAsia" w:ascii="宋体" w:hAnsi="宋体" w:eastAsia="宋体" w:cs="宋体"/>
          <w:color w:val="auto"/>
          <w:sz w:val="24"/>
          <w:szCs w:val="24"/>
        </w:rPr>
        <w:t>参加政府采购活动的中小企业应当提供《中小企业声明函》原件</w:t>
      </w:r>
      <w:r>
        <w:rPr>
          <w:rFonts w:hint="eastAsia" w:ascii="宋体" w:hAnsi="宋体" w:cs="宋体"/>
          <w:color w:val="auto"/>
          <w:sz w:val="24"/>
          <w:szCs w:val="24"/>
          <w:lang w:eastAsia="zh-CN"/>
        </w:rPr>
        <w:t>，</w:t>
      </w:r>
      <w:r>
        <w:rPr>
          <w:rFonts w:hint="eastAsia" w:ascii="宋体" w:hAnsi="宋体" w:eastAsia="宋体" w:cs="宋体"/>
          <w:color w:val="auto"/>
          <w:sz w:val="24"/>
          <w:szCs w:val="24"/>
        </w:rPr>
        <w:t>监狱企业应当提供《监狱企业证明》原件</w:t>
      </w:r>
      <w:r>
        <w:rPr>
          <w:rFonts w:hint="eastAsia" w:ascii="宋体" w:hAnsi="宋体" w:cs="宋体"/>
          <w:color w:val="auto"/>
          <w:sz w:val="24"/>
          <w:szCs w:val="24"/>
          <w:lang w:eastAsia="zh-CN"/>
        </w:rPr>
        <w:t>；</w:t>
      </w:r>
      <w:r>
        <w:rPr>
          <w:rFonts w:hint="eastAsia" w:ascii="宋体" w:hAnsi="宋体" w:eastAsia="宋体" w:cs="宋体"/>
          <w:color w:val="auto"/>
          <w:sz w:val="24"/>
          <w:szCs w:val="24"/>
        </w:rPr>
        <w:t>残疾人福利性单位应当提供《残疾人福利性单位声明函》原件。供应商按照采购文件规定提供声明函或证明内容不实的，属于提供虚假材料谋取中标、成交，依照《中华人民共和国政府采购法》等国家有关规定追究相应责任。</w:t>
      </w:r>
    </w:p>
    <w:p w14:paraId="00FFB8E9">
      <w:pPr>
        <w:pStyle w:val="4"/>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 监狱企业</w:t>
      </w:r>
    </w:p>
    <w:p w14:paraId="4922ED12">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监狱企业参与政府采购活动的，</w:t>
      </w:r>
      <w:r>
        <w:rPr>
          <w:rFonts w:hint="eastAsia" w:ascii="宋体" w:hAnsi="宋体" w:eastAsia="宋体" w:cs="宋体"/>
          <w:color w:val="auto"/>
          <w:sz w:val="24"/>
          <w:szCs w:val="24"/>
          <w:u w:val="none"/>
        </w:rPr>
        <w:t>视同小型、微型企业。</w:t>
      </w:r>
      <w:r>
        <w:rPr>
          <w:rFonts w:hint="eastAsia" w:ascii="宋体" w:hAnsi="宋体" w:eastAsia="宋体" w:cs="宋体"/>
          <w:color w:val="auto"/>
          <w:sz w:val="24"/>
          <w:szCs w:val="24"/>
        </w:rPr>
        <w:t>供应商为监狱企业的，应提供由省级以上监狱管理局、戒毒管理局（含新疆生产建设兵团）出具的属于监狱企业的证明文件</w:t>
      </w:r>
      <w:r>
        <w:rPr>
          <w:rFonts w:hint="eastAsia" w:ascii="宋体" w:hAnsi="宋体" w:eastAsia="宋体" w:cs="宋体"/>
          <w:color w:val="auto"/>
          <w:sz w:val="24"/>
          <w:szCs w:val="24"/>
          <w:lang w:val="en-US" w:eastAsia="zh-CN"/>
        </w:rPr>
        <w:t>原件扫描件，否则不予进行价格扣除</w:t>
      </w:r>
      <w:r>
        <w:rPr>
          <w:rFonts w:hint="eastAsia" w:ascii="宋体" w:hAnsi="宋体" w:eastAsia="宋体" w:cs="宋体"/>
          <w:color w:val="auto"/>
          <w:sz w:val="24"/>
          <w:szCs w:val="24"/>
        </w:rPr>
        <w:t>。供应商应对提交的属于监狱企业的证明文件的真实性负责。提交的监狱企业的证明文件不真实的，应承担相应的法律责任。</w:t>
      </w:r>
    </w:p>
    <w:p w14:paraId="6622AAB7">
      <w:pPr>
        <w:pStyle w:val="4"/>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 残疾人福利性单位</w:t>
      </w:r>
    </w:p>
    <w:p w14:paraId="106778CB">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 xml:space="preserve">6.1 </w:t>
      </w:r>
      <w:r>
        <w:rPr>
          <w:rFonts w:hint="eastAsia" w:ascii="宋体" w:hAnsi="宋体" w:eastAsia="宋体" w:cs="宋体"/>
          <w:color w:val="auto"/>
          <w:sz w:val="24"/>
          <w:szCs w:val="24"/>
          <w:u w:val="none"/>
        </w:rPr>
        <w:t>根据《财政部 民政部 中国残疾人联合会关于促进残疾人就业政府采购政策的通知》（财库</w:t>
      </w:r>
      <w:r>
        <w:rPr>
          <w:rFonts w:hint="eastAsia" w:ascii="宋体" w:hAnsi="宋体" w:cs="宋体"/>
          <w:color w:val="auto"/>
          <w:sz w:val="24"/>
          <w:szCs w:val="24"/>
          <w:u w:val="none"/>
          <w:lang w:eastAsia="zh-CN"/>
        </w:rPr>
        <w:t>〔2017〕141号</w:t>
      </w:r>
      <w:r>
        <w:rPr>
          <w:rFonts w:hint="eastAsia" w:ascii="宋体" w:hAnsi="宋体" w:eastAsia="宋体" w:cs="宋体"/>
          <w:color w:val="auto"/>
          <w:sz w:val="24"/>
          <w:szCs w:val="24"/>
          <w:u w:val="none"/>
        </w:rPr>
        <w:t>）的规定，残疾人福利性单位视同小型、微型企业。</w:t>
      </w:r>
    </w:p>
    <w:p w14:paraId="26A456C4">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b/>
          <w:bCs/>
          <w:color w:val="auto"/>
          <w:sz w:val="24"/>
          <w:szCs w:val="24"/>
          <w:lang w:val="en-GB"/>
        </w:rPr>
      </w:pPr>
      <w:r>
        <w:rPr>
          <w:rFonts w:hint="eastAsia" w:ascii="宋体" w:hAnsi="宋体" w:eastAsia="宋体" w:cs="宋体"/>
          <w:b/>
          <w:bCs/>
          <w:color w:val="auto"/>
          <w:sz w:val="24"/>
          <w:szCs w:val="24"/>
          <w:lang w:val="en-US" w:eastAsia="zh-CN"/>
        </w:rPr>
        <w:t xml:space="preserve">6.2 </w:t>
      </w:r>
      <w:r>
        <w:rPr>
          <w:rFonts w:hint="eastAsia" w:ascii="宋体" w:hAnsi="宋体" w:eastAsia="宋体" w:cs="宋体"/>
          <w:b/>
          <w:bCs/>
          <w:color w:val="auto"/>
          <w:sz w:val="24"/>
          <w:szCs w:val="24"/>
          <w:lang w:val="en-GB"/>
        </w:rPr>
        <w:t>享受政府采购支持政策的残疾人福利性单位应当同时满足以下条件：</w:t>
      </w:r>
    </w:p>
    <w:p w14:paraId="437EE70F">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GB"/>
        </w:rPr>
      </w:pPr>
      <w:r>
        <w:rPr>
          <w:rFonts w:hint="eastAsia" w:ascii="宋体" w:hAnsi="宋体" w:eastAsia="宋体" w:cs="宋体"/>
          <w:color w:val="auto"/>
          <w:sz w:val="24"/>
          <w:szCs w:val="24"/>
          <w:lang w:val="en-US" w:eastAsia="zh-CN"/>
        </w:rPr>
        <w:t xml:space="preserve">6.2.1 </w:t>
      </w:r>
      <w:r>
        <w:rPr>
          <w:rFonts w:hint="eastAsia" w:ascii="宋体" w:hAnsi="宋体" w:eastAsia="宋体" w:cs="宋体"/>
          <w:color w:val="auto"/>
          <w:sz w:val="24"/>
          <w:szCs w:val="24"/>
          <w:lang w:val="en-GB"/>
        </w:rPr>
        <w:t>安置的残疾人占本单位在职职工人数的比例不低于25%（含25%），并且安置的残疾人人数不少于10人（含10人）；</w:t>
      </w:r>
    </w:p>
    <w:p w14:paraId="245EA70A">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GB"/>
        </w:rPr>
      </w:pPr>
      <w:r>
        <w:rPr>
          <w:rFonts w:hint="eastAsia" w:ascii="宋体" w:hAnsi="宋体" w:eastAsia="宋体" w:cs="宋体"/>
          <w:color w:val="auto"/>
          <w:sz w:val="24"/>
          <w:szCs w:val="24"/>
          <w:lang w:val="en-US" w:eastAsia="zh-CN"/>
        </w:rPr>
        <w:t xml:space="preserve">6.2.2 </w:t>
      </w:r>
      <w:r>
        <w:rPr>
          <w:rFonts w:hint="eastAsia" w:ascii="宋体" w:hAnsi="宋体" w:eastAsia="宋体" w:cs="宋体"/>
          <w:color w:val="auto"/>
          <w:sz w:val="24"/>
          <w:szCs w:val="24"/>
          <w:lang w:val="en-GB"/>
        </w:rPr>
        <w:t>依法与安置的每位残疾人签订了一年以上（含一年）的劳动合同或服务协议；</w:t>
      </w:r>
    </w:p>
    <w:p w14:paraId="132EE0F7">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GB"/>
        </w:rPr>
      </w:pPr>
      <w:r>
        <w:rPr>
          <w:rFonts w:hint="eastAsia" w:ascii="宋体" w:hAnsi="宋体" w:eastAsia="宋体" w:cs="宋体"/>
          <w:color w:val="auto"/>
          <w:sz w:val="24"/>
          <w:szCs w:val="24"/>
          <w:lang w:val="en-US" w:eastAsia="zh-CN"/>
        </w:rPr>
        <w:t xml:space="preserve">6.2.3 </w:t>
      </w:r>
      <w:r>
        <w:rPr>
          <w:rFonts w:hint="eastAsia" w:ascii="宋体" w:hAnsi="宋体" w:eastAsia="宋体" w:cs="宋体"/>
          <w:color w:val="auto"/>
          <w:sz w:val="24"/>
          <w:szCs w:val="24"/>
          <w:lang w:val="en-GB"/>
        </w:rPr>
        <w:t>为安置的每位残疾人按月足额缴纳了基本养老保险、基本医疗保险、失业保险、工伤保险和生育保险等社会保险费；</w:t>
      </w:r>
    </w:p>
    <w:p w14:paraId="472783E6">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GB"/>
        </w:rPr>
      </w:pPr>
      <w:r>
        <w:rPr>
          <w:rFonts w:hint="eastAsia" w:ascii="宋体" w:hAnsi="宋体" w:eastAsia="宋体" w:cs="宋体"/>
          <w:color w:val="auto"/>
          <w:sz w:val="24"/>
          <w:szCs w:val="24"/>
          <w:lang w:val="en-US" w:eastAsia="zh-CN"/>
        </w:rPr>
        <w:t xml:space="preserve">6.2.4 </w:t>
      </w:r>
      <w:r>
        <w:rPr>
          <w:rFonts w:hint="eastAsia" w:ascii="宋体" w:hAnsi="宋体" w:eastAsia="宋体" w:cs="宋体"/>
          <w:color w:val="auto"/>
          <w:sz w:val="24"/>
          <w:szCs w:val="24"/>
          <w:lang w:val="en-GB"/>
        </w:rPr>
        <w:t>通过银行等金融机构向安置的每位残疾人，按月支付了不低于单位所在区县适用的经省级人民政府批准的月最低工资标准的工资；</w:t>
      </w:r>
    </w:p>
    <w:p w14:paraId="22C37051">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GB" w:eastAsia="zh-CN"/>
        </w:rPr>
      </w:pPr>
      <w:r>
        <w:rPr>
          <w:rFonts w:hint="eastAsia" w:ascii="宋体" w:hAnsi="宋体" w:eastAsia="宋体" w:cs="宋体"/>
          <w:color w:val="auto"/>
          <w:sz w:val="24"/>
          <w:szCs w:val="24"/>
          <w:lang w:val="en-US" w:eastAsia="zh-CN"/>
        </w:rPr>
        <w:t xml:space="preserve">6.2.5 </w:t>
      </w:r>
      <w:r>
        <w:rPr>
          <w:rFonts w:hint="eastAsia" w:ascii="宋体" w:hAnsi="宋体" w:eastAsia="宋体" w:cs="宋体"/>
          <w:color w:val="auto"/>
          <w:sz w:val="24"/>
          <w:szCs w:val="24"/>
          <w:lang w:val="en-GB"/>
        </w:rPr>
        <w:t>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auto"/>
          <w:sz w:val="24"/>
          <w:szCs w:val="24"/>
          <w:lang w:val="en-GB" w:eastAsia="zh-CN"/>
        </w:rPr>
        <w:t>。</w:t>
      </w:r>
    </w:p>
    <w:p w14:paraId="71EA1A1F">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GB"/>
        </w:rPr>
      </w:pPr>
      <w:r>
        <w:rPr>
          <w:rFonts w:hint="eastAsia" w:ascii="宋体" w:hAnsi="宋体" w:eastAsia="宋体" w:cs="宋体"/>
          <w:color w:val="auto"/>
          <w:sz w:val="24"/>
          <w:szCs w:val="24"/>
          <w:lang w:val="en-US" w:eastAsia="zh-CN"/>
        </w:rPr>
        <w:t xml:space="preserve">6.3 </w:t>
      </w:r>
      <w:r>
        <w:rPr>
          <w:rFonts w:hint="eastAsia" w:ascii="宋体" w:hAnsi="宋体" w:eastAsia="宋体" w:cs="宋体"/>
          <w:color w:val="auto"/>
          <w:sz w:val="24"/>
          <w:szCs w:val="24"/>
          <w:lang w:val="en-GB"/>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0C3D14F">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6.4 符合条件的残疾人福利性单位在参加政府采购活动时，应当提供《残疾人福利性单位声明函》（格式见第六章），并对声明的真实性负责。任何单位或者个人在政府采购活动中均不得要求残疾人福利性单位提供其他证明声明函内容的材料。</w:t>
      </w:r>
    </w:p>
    <w:p w14:paraId="3B4578F1">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GB"/>
        </w:rPr>
      </w:pPr>
      <w:r>
        <w:rPr>
          <w:rFonts w:hint="eastAsia" w:ascii="宋体" w:hAnsi="宋体" w:eastAsia="宋体" w:cs="宋体"/>
          <w:color w:val="auto"/>
          <w:sz w:val="24"/>
          <w:szCs w:val="24"/>
          <w:lang w:val="en-US" w:eastAsia="zh-CN"/>
        </w:rPr>
        <w:t>6.5 成交供应商为残疾人福利性单位的，采购人或者其委托的采购代理机构应当随中标、成交结果同时公告其《残疾人福利性单位声明函》，接受社会监督。</w:t>
      </w:r>
    </w:p>
    <w:p w14:paraId="1F08D401">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GB"/>
        </w:rPr>
      </w:pPr>
      <w:r>
        <w:rPr>
          <w:rFonts w:hint="eastAsia" w:ascii="宋体" w:hAnsi="宋体" w:eastAsia="宋体" w:cs="宋体"/>
          <w:color w:val="auto"/>
          <w:sz w:val="24"/>
          <w:szCs w:val="24"/>
          <w:lang w:val="en-US" w:eastAsia="zh-CN"/>
        </w:rPr>
        <w:t xml:space="preserve">6.6 </w:t>
      </w:r>
      <w:r>
        <w:rPr>
          <w:rFonts w:hint="eastAsia" w:ascii="宋体" w:hAnsi="宋体" w:eastAsia="宋体" w:cs="宋体"/>
          <w:color w:val="auto"/>
          <w:sz w:val="24"/>
          <w:szCs w:val="24"/>
          <w:lang w:val="en-GB"/>
        </w:rPr>
        <w:t>供应商提供的《残疾人福利性单位声明函》与事实不符的，依照</w:t>
      </w:r>
      <w:r>
        <w:rPr>
          <w:rFonts w:hint="eastAsia" w:ascii="宋体" w:hAnsi="宋体" w:cs="宋体"/>
          <w:color w:val="auto"/>
          <w:sz w:val="24"/>
          <w:szCs w:val="24"/>
          <w:lang w:val="en-GB" w:eastAsia="zh-CN"/>
        </w:rPr>
        <w:t>《中华人民共和国政府采购法》</w:t>
      </w:r>
      <w:r>
        <w:rPr>
          <w:rFonts w:hint="eastAsia" w:ascii="宋体" w:hAnsi="宋体" w:eastAsia="宋体" w:cs="宋体"/>
          <w:color w:val="auto"/>
          <w:sz w:val="24"/>
          <w:szCs w:val="24"/>
          <w:lang w:val="en-GB"/>
        </w:rPr>
        <w:t>第七十七条第一款的规定追究法律责任。</w:t>
      </w:r>
    </w:p>
    <w:p w14:paraId="21F72BE1">
      <w:pPr>
        <w:pStyle w:val="4"/>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7.本国产品支持政策</w:t>
      </w:r>
    </w:p>
    <w:p w14:paraId="3B376F41">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7.1</w:t>
      </w:r>
      <w:r>
        <w:rPr>
          <w:rFonts w:hint="eastAsia" w:ascii="宋体" w:hAnsi="宋体" w:cs="宋体"/>
          <w:color w:val="auto"/>
          <w:sz w:val="24"/>
          <w:szCs w:val="24"/>
          <w:lang w:val="en-US" w:eastAsia="zh-CN"/>
        </w:rPr>
        <w:t xml:space="preserve"> 本国</w:t>
      </w:r>
      <w:r>
        <w:rPr>
          <w:rFonts w:hint="eastAsia" w:ascii="宋体" w:hAnsi="宋体" w:eastAsia="宋体" w:cs="宋体"/>
          <w:color w:val="auto"/>
          <w:sz w:val="24"/>
          <w:szCs w:val="24"/>
          <w:lang w:val="en-US" w:eastAsia="zh-CN"/>
        </w:rPr>
        <w:t>产品应当符合以下条件：在中国境内生产；在中国境内生产的组件成本占比达到规定比例；特定产品的关键组件、关键工序符合相关要求。</w:t>
      </w:r>
    </w:p>
    <w:p w14:paraId="512448DE">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7.2</w:t>
      </w:r>
      <w:r>
        <w:rPr>
          <w:rFonts w:hint="eastAsia" w:ascii="宋体" w:hAnsi="宋体" w:cs="宋体"/>
          <w:color w:val="auto"/>
          <w:sz w:val="24"/>
          <w:szCs w:val="24"/>
          <w:lang w:val="en-US" w:eastAsia="zh-CN"/>
        </w:rPr>
        <w:t xml:space="preserve"> 本国</w:t>
      </w:r>
      <w:r>
        <w:rPr>
          <w:rFonts w:hint="eastAsia" w:ascii="宋体" w:hAnsi="宋体" w:eastAsia="宋体" w:cs="宋体"/>
          <w:color w:val="auto"/>
          <w:sz w:val="24"/>
          <w:szCs w:val="24"/>
          <w:lang w:val="en-US" w:eastAsia="zh-CN"/>
        </w:rPr>
        <w:t>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36FFCDE">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7.3</w:t>
      </w:r>
      <w:r>
        <w:rPr>
          <w:rFonts w:hint="eastAsia" w:ascii="宋体" w:hAnsi="宋体" w:cs="宋体"/>
          <w:color w:val="auto"/>
          <w:sz w:val="24"/>
          <w:szCs w:val="24"/>
          <w:lang w:val="en-US" w:eastAsia="zh-CN"/>
        </w:rPr>
        <w:t xml:space="preserve"> 对</w:t>
      </w:r>
      <w:r>
        <w:rPr>
          <w:rFonts w:hint="eastAsia" w:ascii="宋体" w:hAnsi="宋体" w:eastAsia="宋体" w:cs="宋体"/>
          <w:color w:val="auto"/>
          <w:sz w:val="24"/>
          <w:szCs w:val="24"/>
          <w:lang w:val="en-US" w:eastAsia="zh-CN"/>
        </w:rPr>
        <w:t>本国产品的支持政策</w:t>
      </w:r>
    </w:p>
    <w:p w14:paraId="675428F6">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政府采购活动中既有本国产品又有非本国产品参与竞争的，依法对本国产品给予价格评审优惠，对本国产品的报价给予</w:t>
      </w:r>
      <w:r>
        <w:rPr>
          <w:rFonts w:hint="eastAsia" w:ascii="宋体" w:hAnsi="宋体" w:eastAsia="宋体" w:cs="宋体"/>
          <w:b/>
          <w:bCs/>
          <w:color w:val="auto"/>
          <w:sz w:val="24"/>
          <w:szCs w:val="24"/>
          <w:lang w:val="en-US" w:eastAsia="zh-CN"/>
        </w:rPr>
        <w:t>20%</w:t>
      </w:r>
      <w:r>
        <w:rPr>
          <w:rFonts w:hint="eastAsia" w:ascii="宋体" w:hAnsi="宋体" w:eastAsia="宋体" w:cs="宋体"/>
          <w:color w:val="auto"/>
          <w:sz w:val="24"/>
          <w:szCs w:val="24"/>
          <w:lang w:val="en-US" w:eastAsia="zh-CN"/>
        </w:rPr>
        <w:t>的价格扣除，用扣除后的价格参与评审。</w:t>
      </w:r>
    </w:p>
    <w:p w14:paraId="12808DBD">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7BD2C71">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7.4有关证明文件</w:t>
      </w:r>
    </w:p>
    <w:p w14:paraId="6F9B4D28">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应在投标文件中出具所投产品的《关于符合本国产品标准的声明函》（样式见“第四章投标文件格式”，以下简称《声明函》）或财政部会同有关部门规定的有关证明文件。出具符合要求的《声明函》或有关证明文件的，该产品视为本国产品，供应商不再提供其他证明材料。供应商提供虚假《声明函》、虚假证明文件谋取中标、成交的，依照《中华人民共和国政府采购法》等法律法规规定追究相应责任。</w:t>
      </w:r>
    </w:p>
    <w:p w14:paraId="2D46A40C">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中标、成交供应商提供的《声明函》或有关证明文件随中标、成交结果同时公告。</w:t>
      </w:r>
    </w:p>
    <w:p w14:paraId="2121C939">
      <w:pPr>
        <w:pageBreakBefore w:val="0"/>
        <w:kinsoku/>
        <w:wordWrap/>
        <w:overflowPunct/>
        <w:topLinePunct w:val="0"/>
        <w:bidi w:val="0"/>
        <w:snapToGrid/>
        <w:spacing w:line="560" w:lineRule="exact"/>
        <w:ind w:left="0" w:leftChars="0" w:right="0" w:rightChars="0" w:firstLine="420"/>
        <w:jc w:val="left"/>
        <w:textAlignment w:val="auto"/>
        <w:outlineLvl w:val="9"/>
        <w:rPr>
          <w:rFonts w:hint="default" w:ascii="Times New Roman" w:hAnsi="Times New Roman" w:eastAsia="宋体" w:cs="Times New Roman"/>
          <w:b/>
          <w:bCs/>
          <w:color w:val="auto"/>
          <w:sz w:val="28"/>
          <w:szCs w:val="28"/>
          <w:lang w:val="en-US" w:eastAsia="zh-CN"/>
        </w:rPr>
      </w:pPr>
      <w:r>
        <w:rPr>
          <w:rFonts w:hint="eastAsia" w:ascii="宋体" w:hAnsi="宋体" w:eastAsia="宋体" w:cs="宋体"/>
          <w:color w:val="auto"/>
          <w:sz w:val="24"/>
          <w:szCs w:val="24"/>
          <w:lang w:val="en-US" w:eastAsia="zh-CN"/>
        </w:rPr>
        <w:t>注：采购文件未尽事宜，详见《国务院办公厅关于在政府采购中实施本国产品标准及相关政策的通知》（国办发〔2025〕34号）。</w:t>
      </w:r>
    </w:p>
    <w:p w14:paraId="37EC097A">
      <w:pPr>
        <w:pStyle w:val="4"/>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en-US" w:eastAsia="zh-CN"/>
        </w:rPr>
        <w:t>.</w:t>
      </w:r>
      <w:bookmarkStart w:id="195" w:name="_Toc18299"/>
      <w:r>
        <w:rPr>
          <w:rFonts w:hint="eastAsia" w:ascii="宋体" w:hAnsi="宋体" w:eastAsia="宋体" w:cs="宋体"/>
          <w:color w:val="auto"/>
          <w:sz w:val="24"/>
          <w:szCs w:val="24"/>
          <w:lang w:val="en-US" w:eastAsia="zh-CN"/>
        </w:rPr>
        <w:t xml:space="preserve"> 实质性变动</w:t>
      </w:r>
      <w:bookmarkEnd w:id="195"/>
    </w:p>
    <w:p w14:paraId="60C06D0F">
      <w:pPr>
        <w:pageBreakBefore w:val="0"/>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在谈判过程中，谈判小组可以根据谈判文件和谈判情况实质性变动采购需求中的技术、服务要求以及合同草案条款，但不得变动谈判文件中的其他内容。实质性变动的内容，须经采购人代表确认。</w:t>
      </w:r>
    </w:p>
    <w:p w14:paraId="39E6A8A7">
      <w:pPr>
        <w:pageBreakBefore w:val="0"/>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对谈判文件作出的实质性变动是谈判文件的有效组成部分，谈判小组应当及时以书面形式同时通知所有参加谈判的供应商。</w:t>
      </w:r>
    </w:p>
    <w:p w14:paraId="560CC71E">
      <w:pPr>
        <w:pageBreakBefore w:val="0"/>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bookmarkStart w:id="196" w:name="_Toc7628"/>
    </w:p>
    <w:bookmarkEnd w:id="196"/>
    <w:p w14:paraId="5B15D7A8">
      <w:pPr>
        <w:pStyle w:val="4"/>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en-US" w:eastAsia="zh-CN"/>
        </w:rPr>
        <w:t>. 电子响应文件注意事项及要求</w:t>
      </w:r>
    </w:p>
    <w:p w14:paraId="607CF246">
      <w:pPr>
        <w:pageBreakBefore w:val="0"/>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bCs/>
          <w:color w:val="auto"/>
          <w:sz w:val="24"/>
          <w:szCs w:val="24"/>
        </w:rPr>
      </w:pPr>
      <w:r>
        <w:rPr>
          <w:rFonts w:hint="eastAsia" w:ascii="宋体" w:hAnsi="宋体" w:cs="宋体"/>
          <w:b/>
          <w:bCs/>
          <w:color w:val="auto"/>
          <w:kern w:val="0"/>
          <w:sz w:val="24"/>
          <w:szCs w:val="24"/>
          <w:lang w:val="en-US" w:eastAsia="zh-CN"/>
        </w:rPr>
        <w:t>9</w:t>
      </w:r>
      <w:r>
        <w:rPr>
          <w:rFonts w:hint="eastAsia" w:ascii="宋体" w:hAnsi="宋体" w:eastAsia="宋体" w:cs="宋体"/>
          <w:b/>
          <w:bCs/>
          <w:color w:val="auto"/>
          <w:kern w:val="0"/>
          <w:sz w:val="24"/>
          <w:szCs w:val="24"/>
        </w:rPr>
        <w:t>.1</w:t>
      </w:r>
      <w:r>
        <w:rPr>
          <w:rFonts w:hint="eastAsia" w:ascii="宋体" w:hAnsi="宋体" w:eastAsia="宋体" w:cs="宋体"/>
          <w:b/>
          <w:bCs/>
          <w:color w:val="auto"/>
          <w:kern w:val="0"/>
          <w:sz w:val="24"/>
          <w:szCs w:val="24"/>
          <w:lang w:val="en-US" w:eastAsia="zh-CN"/>
        </w:rPr>
        <w:t xml:space="preserve"> </w:t>
      </w:r>
      <w:r>
        <w:rPr>
          <w:rFonts w:hint="eastAsia" w:ascii="宋体" w:hAnsi="宋体" w:eastAsia="宋体" w:cs="宋体"/>
          <w:b/>
          <w:bCs/>
          <w:color w:val="auto"/>
          <w:sz w:val="24"/>
          <w:szCs w:val="24"/>
        </w:rPr>
        <w:t>电子</w:t>
      </w:r>
      <w:r>
        <w:rPr>
          <w:rFonts w:hint="eastAsia" w:ascii="宋体" w:hAnsi="宋体" w:eastAsia="宋体" w:cs="宋体"/>
          <w:b/>
          <w:bCs/>
          <w:color w:val="auto"/>
          <w:sz w:val="24"/>
          <w:szCs w:val="24"/>
          <w:lang w:val="en-US" w:eastAsia="zh-CN"/>
        </w:rPr>
        <w:t>响应</w:t>
      </w:r>
      <w:r>
        <w:rPr>
          <w:rFonts w:hint="eastAsia" w:ascii="宋体" w:hAnsi="宋体" w:eastAsia="宋体" w:cs="宋体"/>
          <w:b/>
          <w:bCs/>
          <w:color w:val="auto"/>
          <w:sz w:val="24"/>
          <w:szCs w:val="24"/>
        </w:rPr>
        <w:t>文件的组成及要求</w:t>
      </w:r>
    </w:p>
    <w:p w14:paraId="0A378D07">
      <w:pPr>
        <w:pageBreakBefore w:val="0"/>
        <w:kinsoku/>
        <w:wordWrap/>
        <w:overflowPunct/>
        <w:topLinePunct w:val="0"/>
        <w:autoSpaceDE w:val="0"/>
        <w:autoSpaceDN w:val="0"/>
        <w:bidi w:val="0"/>
        <w:adjustRightInd w:val="0"/>
        <w:snapToGrid/>
        <w:spacing w:line="56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en-US" w:eastAsia="zh-CN"/>
        </w:rPr>
        <w:t>.1.1</w:t>
      </w:r>
      <w:r>
        <w:rPr>
          <w:rFonts w:hint="eastAsia" w:ascii="宋体" w:hAnsi="宋体" w:cs="宋体"/>
          <w:color w:val="auto"/>
          <w:sz w:val="24"/>
          <w:szCs w:val="24"/>
          <w:lang w:val="en-US" w:eastAsia="zh-CN"/>
        </w:rPr>
        <w:t xml:space="preserve"> 响应</w:t>
      </w:r>
      <w:r>
        <w:rPr>
          <w:rFonts w:hint="eastAsia" w:ascii="宋体" w:hAnsi="宋体" w:eastAsia="宋体" w:cs="宋体"/>
          <w:color w:val="auto"/>
          <w:sz w:val="24"/>
          <w:szCs w:val="24"/>
          <w:lang w:val="en-US" w:eastAsia="zh-CN"/>
        </w:rPr>
        <w:t>文件全部采用电子文档，供应商将政采云电子交易客户端下载、安装完成后，可通过账号密码或CA登录客户端进行投标文件的制作。客户端请至政采云网站（https://edu.zcygov.cn/luban/yunnan-dzjy-gys）进行查看下载。</w:t>
      </w:r>
    </w:p>
    <w:p w14:paraId="20BBEE44">
      <w:pPr>
        <w:pageBreakBefore w:val="0"/>
        <w:widowControl/>
        <w:kinsoku/>
        <w:wordWrap/>
        <w:overflowPunct/>
        <w:topLinePunct w:val="0"/>
        <w:bidi w:val="0"/>
        <w:snapToGrid/>
        <w:spacing w:line="560" w:lineRule="exact"/>
        <w:ind w:left="0" w:leftChars="0" w:right="0" w:rightChars="0" w:firstLine="435"/>
        <w:jc w:val="left"/>
        <w:textAlignment w:val="auto"/>
        <w:outlineLvl w:val="9"/>
        <w:rPr>
          <w:rFonts w:hint="eastAsia" w:ascii="宋体" w:hAnsi="宋体" w:eastAsia="宋体" w:cs="宋体"/>
          <w:b/>
          <w:bCs/>
          <w:color w:val="auto"/>
          <w:kern w:val="0"/>
          <w:sz w:val="24"/>
          <w:szCs w:val="24"/>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en-US" w:eastAsia="zh-CN"/>
        </w:rPr>
        <w:t>.1.2</w:t>
      </w:r>
      <w:r>
        <w:rPr>
          <w:rFonts w:hint="eastAsia" w:ascii="宋体" w:hAnsi="宋体" w:cs="宋体"/>
          <w:color w:val="auto"/>
          <w:sz w:val="24"/>
          <w:szCs w:val="24"/>
          <w:lang w:val="en-US" w:eastAsia="zh-CN"/>
        </w:rPr>
        <w:t xml:space="preserve"> 在</w:t>
      </w:r>
      <w:r>
        <w:rPr>
          <w:rFonts w:hint="eastAsia" w:ascii="宋体" w:hAnsi="宋体" w:eastAsia="宋体" w:cs="宋体"/>
          <w:color w:val="auto"/>
          <w:sz w:val="24"/>
          <w:szCs w:val="24"/>
        </w:rPr>
        <w:t>编制</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文件时，粘贴图片使用JPG格式的文件。</w:t>
      </w:r>
    </w:p>
    <w:p w14:paraId="40CEEDAC">
      <w:pPr>
        <w:pageBreakBefore w:val="0"/>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9</w:t>
      </w:r>
      <w:r>
        <w:rPr>
          <w:rFonts w:hint="eastAsia" w:ascii="宋体" w:hAnsi="宋体" w:eastAsia="宋体" w:cs="宋体"/>
          <w:b/>
          <w:bCs/>
          <w:color w:val="auto"/>
          <w:sz w:val="24"/>
          <w:szCs w:val="24"/>
        </w:rPr>
        <w:t>.2</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rPr>
        <w:t>电子</w:t>
      </w:r>
      <w:r>
        <w:rPr>
          <w:rFonts w:hint="eastAsia" w:ascii="宋体" w:hAnsi="宋体" w:eastAsia="宋体" w:cs="宋体"/>
          <w:b/>
          <w:bCs/>
          <w:color w:val="auto"/>
          <w:sz w:val="24"/>
          <w:szCs w:val="24"/>
          <w:lang w:val="en-US" w:eastAsia="zh-CN"/>
        </w:rPr>
        <w:t>响应</w:t>
      </w:r>
      <w:r>
        <w:rPr>
          <w:rFonts w:hint="eastAsia" w:ascii="宋体" w:hAnsi="宋体" w:eastAsia="宋体" w:cs="宋体"/>
          <w:b/>
          <w:bCs/>
          <w:color w:val="auto"/>
          <w:sz w:val="24"/>
          <w:szCs w:val="24"/>
        </w:rPr>
        <w:t>文件的修改</w:t>
      </w:r>
    </w:p>
    <w:p w14:paraId="500CA9F1">
      <w:pPr>
        <w:pageBreakBefore w:val="0"/>
        <w:kinsoku/>
        <w:wordWrap/>
        <w:overflowPunct/>
        <w:topLinePunct w:val="0"/>
        <w:bidi w:val="0"/>
        <w:snapToGrid/>
        <w:spacing w:line="56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en-US" w:eastAsia="zh-CN"/>
        </w:rPr>
        <w:t>.2.1</w:t>
      </w:r>
      <w:r>
        <w:rPr>
          <w:rFonts w:hint="eastAsia" w:ascii="宋体" w:hAnsi="宋体" w:cs="宋体"/>
          <w:color w:val="auto"/>
          <w:sz w:val="24"/>
          <w:szCs w:val="24"/>
          <w:lang w:val="en-US" w:eastAsia="zh-CN"/>
        </w:rPr>
        <w:t xml:space="preserve"> 采购</w:t>
      </w:r>
      <w:r>
        <w:rPr>
          <w:rFonts w:hint="eastAsia" w:ascii="宋体" w:hAnsi="宋体" w:eastAsia="宋体" w:cs="宋体"/>
          <w:color w:val="auto"/>
          <w:sz w:val="24"/>
          <w:szCs w:val="24"/>
          <w:lang w:val="en-US" w:eastAsia="zh-CN"/>
        </w:rPr>
        <w:t>人</w:t>
      </w:r>
      <w:r>
        <w:rPr>
          <w:rFonts w:hint="eastAsia" w:ascii="宋体" w:hAnsi="宋体" w:eastAsia="宋体" w:cs="宋体"/>
          <w:color w:val="auto"/>
          <w:sz w:val="24"/>
          <w:szCs w:val="24"/>
        </w:rPr>
        <w:t>对</w:t>
      </w:r>
      <w:r>
        <w:rPr>
          <w:rFonts w:hint="eastAsia" w:ascii="宋体" w:hAnsi="宋体" w:eastAsia="宋体" w:cs="宋体"/>
          <w:color w:val="auto"/>
          <w:sz w:val="24"/>
          <w:szCs w:val="24"/>
          <w:lang w:val="en-US" w:eastAsia="zh-CN"/>
        </w:rPr>
        <w:t>谈判文件</w:t>
      </w:r>
      <w:r>
        <w:rPr>
          <w:rFonts w:hint="eastAsia" w:ascii="宋体" w:hAnsi="宋体" w:eastAsia="宋体" w:cs="宋体"/>
          <w:color w:val="auto"/>
          <w:sz w:val="24"/>
          <w:szCs w:val="24"/>
        </w:rPr>
        <w:t>中的</w:t>
      </w:r>
      <w:r>
        <w:rPr>
          <w:rFonts w:hint="eastAsia" w:ascii="宋体" w:hAnsi="宋体" w:eastAsia="宋体" w:cs="宋体"/>
          <w:color w:val="auto"/>
          <w:sz w:val="24"/>
          <w:szCs w:val="24"/>
          <w:lang w:val="en-US" w:eastAsia="zh-CN"/>
        </w:rPr>
        <w:t>项目需求</w:t>
      </w:r>
      <w:r>
        <w:rPr>
          <w:rFonts w:hint="eastAsia" w:ascii="宋体" w:hAnsi="宋体" w:eastAsia="宋体" w:cs="宋体"/>
          <w:color w:val="auto"/>
          <w:sz w:val="24"/>
          <w:szCs w:val="24"/>
        </w:rPr>
        <w:t>、评</w:t>
      </w:r>
      <w:r>
        <w:rPr>
          <w:rFonts w:hint="eastAsia" w:ascii="宋体" w:hAnsi="宋体" w:eastAsia="宋体" w:cs="宋体"/>
          <w:color w:val="auto"/>
          <w:sz w:val="24"/>
          <w:szCs w:val="24"/>
          <w:lang w:val="en-US" w:eastAsia="zh-CN"/>
        </w:rPr>
        <w:t>审</w:t>
      </w:r>
      <w:r>
        <w:rPr>
          <w:rFonts w:hint="eastAsia" w:ascii="宋体" w:hAnsi="宋体" w:eastAsia="宋体" w:cs="宋体"/>
          <w:color w:val="auto"/>
          <w:sz w:val="24"/>
          <w:szCs w:val="24"/>
        </w:rPr>
        <w:t>办法等重要评审内容做出变更，将同时发布</w:t>
      </w:r>
      <w:r>
        <w:rPr>
          <w:rFonts w:hint="eastAsia" w:ascii="宋体" w:hAnsi="宋体" w:eastAsia="宋体" w:cs="宋体"/>
          <w:color w:val="auto"/>
          <w:sz w:val="24"/>
          <w:szCs w:val="24"/>
          <w:lang w:val="en-US" w:eastAsia="zh-CN"/>
        </w:rPr>
        <w:t>变更</w:t>
      </w:r>
      <w:r>
        <w:rPr>
          <w:rFonts w:hint="eastAsia" w:ascii="宋体" w:hAnsi="宋体" w:eastAsia="宋体" w:cs="宋体"/>
          <w:color w:val="auto"/>
          <w:sz w:val="24"/>
          <w:szCs w:val="24"/>
        </w:rPr>
        <w:t>文件进行说明以保证各</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都能重新下载并用于编制电子</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w:t>
      </w:r>
    </w:p>
    <w:p w14:paraId="325EA4E7">
      <w:pPr>
        <w:pageBreakBefore w:val="0"/>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en-US" w:eastAsia="zh-CN"/>
        </w:rPr>
        <w:t>.2.2</w:t>
      </w:r>
      <w:r>
        <w:rPr>
          <w:rFonts w:hint="eastAsia" w:ascii="宋体" w:hAnsi="宋体" w:cs="宋体"/>
          <w:color w:val="auto"/>
          <w:sz w:val="24"/>
          <w:szCs w:val="24"/>
          <w:lang w:val="en-US" w:eastAsia="zh-CN"/>
        </w:rPr>
        <w:t xml:space="preserve"> 供应商</w:t>
      </w:r>
      <w:r>
        <w:rPr>
          <w:rFonts w:hint="eastAsia" w:ascii="宋体" w:hAnsi="宋体" w:eastAsia="宋体" w:cs="宋体"/>
          <w:color w:val="auto"/>
          <w:sz w:val="24"/>
          <w:szCs w:val="24"/>
        </w:rPr>
        <w:t>应在</w:t>
      </w:r>
      <w:r>
        <w:rPr>
          <w:rFonts w:hint="eastAsia" w:ascii="宋体" w:hAnsi="宋体" w:eastAsia="宋体" w:cs="宋体"/>
          <w:color w:val="auto"/>
          <w:sz w:val="24"/>
          <w:szCs w:val="24"/>
          <w:lang w:val="en-US" w:eastAsia="zh-CN"/>
        </w:rPr>
        <w:t>响应文件递交截止</w:t>
      </w:r>
      <w:r>
        <w:rPr>
          <w:rFonts w:hint="eastAsia" w:ascii="宋体" w:hAnsi="宋体" w:eastAsia="宋体" w:cs="宋体"/>
          <w:color w:val="auto"/>
          <w:sz w:val="24"/>
          <w:szCs w:val="24"/>
        </w:rPr>
        <w:t>时间前随时</w:t>
      </w:r>
      <w:r>
        <w:rPr>
          <w:rFonts w:hint="eastAsia" w:ascii="宋体" w:hAnsi="宋体" w:eastAsia="宋体" w:cs="宋体"/>
          <w:color w:val="auto"/>
          <w:sz w:val="24"/>
          <w:szCs w:val="24"/>
          <w:lang w:val="en-US" w:eastAsia="zh-CN"/>
        </w:rPr>
        <w:t>在公告发布网站</w:t>
      </w:r>
      <w:r>
        <w:rPr>
          <w:rFonts w:hint="eastAsia" w:ascii="宋体" w:hAnsi="宋体" w:eastAsia="宋体" w:cs="宋体"/>
          <w:color w:val="auto"/>
          <w:sz w:val="24"/>
          <w:szCs w:val="24"/>
        </w:rPr>
        <w:t>中</w:t>
      </w:r>
      <w:r>
        <w:rPr>
          <w:rFonts w:hint="eastAsia" w:ascii="宋体" w:hAnsi="宋体" w:eastAsia="宋体" w:cs="宋体"/>
          <w:color w:val="auto"/>
          <w:sz w:val="24"/>
          <w:szCs w:val="24"/>
          <w:lang w:val="en-US" w:eastAsia="zh-CN"/>
        </w:rPr>
        <w:t>查看</w:t>
      </w:r>
      <w:r>
        <w:rPr>
          <w:rFonts w:hint="eastAsia" w:ascii="宋体" w:hAnsi="宋体" w:eastAsia="宋体" w:cs="宋体"/>
          <w:color w:val="auto"/>
          <w:sz w:val="24"/>
          <w:szCs w:val="24"/>
        </w:rPr>
        <w:t>有关该项目</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文件的答疑、补遗内容。</w:t>
      </w:r>
    </w:p>
    <w:p w14:paraId="5299ECDE">
      <w:pPr>
        <w:pageBreakBefore w:val="0"/>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bCs/>
          <w:color w:val="auto"/>
          <w:kern w:val="0"/>
          <w:sz w:val="24"/>
          <w:szCs w:val="24"/>
        </w:rPr>
      </w:pPr>
      <w:r>
        <w:rPr>
          <w:rFonts w:hint="eastAsia" w:ascii="宋体" w:hAnsi="宋体" w:cs="宋体"/>
          <w:color w:val="auto"/>
          <w:sz w:val="24"/>
          <w:szCs w:val="24"/>
          <w:lang w:val="en-US" w:eastAsia="zh-CN"/>
        </w:rPr>
        <w:t>9</w:t>
      </w:r>
      <w:r>
        <w:rPr>
          <w:rFonts w:hint="eastAsia" w:ascii="宋体" w:hAnsi="宋体" w:eastAsia="宋体" w:cs="宋体"/>
          <w:b/>
          <w:bCs/>
          <w:color w:val="auto"/>
          <w:kern w:val="0"/>
          <w:sz w:val="24"/>
          <w:szCs w:val="24"/>
        </w:rPr>
        <w:t>.</w:t>
      </w:r>
      <w:r>
        <w:rPr>
          <w:rFonts w:hint="eastAsia" w:ascii="宋体" w:hAnsi="宋体" w:eastAsia="宋体" w:cs="宋体"/>
          <w:b/>
          <w:bCs/>
          <w:color w:val="auto"/>
          <w:kern w:val="0"/>
          <w:sz w:val="24"/>
          <w:szCs w:val="24"/>
          <w:lang w:val="en-US" w:eastAsia="zh-CN"/>
        </w:rPr>
        <w:t>3</w:t>
      </w:r>
      <w:r>
        <w:rPr>
          <w:rFonts w:hint="eastAsia" w:ascii="宋体" w:hAnsi="宋体" w:eastAsia="宋体" w:cs="宋体"/>
          <w:b/>
          <w:bCs/>
          <w:color w:val="auto"/>
          <w:kern w:val="0"/>
          <w:sz w:val="24"/>
          <w:szCs w:val="24"/>
        </w:rPr>
        <w:t xml:space="preserve"> 电子</w:t>
      </w:r>
      <w:r>
        <w:rPr>
          <w:rFonts w:hint="eastAsia" w:ascii="宋体" w:hAnsi="宋体" w:eastAsia="宋体" w:cs="宋体"/>
          <w:b/>
          <w:bCs/>
          <w:color w:val="auto"/>
          <w:kern w:val="0"/>
          <w:sz w:val="24"/>
          <w:szCs w:val="24"/>
          <w:lang w:val="en-US" w:eastAsia="zh-CN"/>
        </w:rPr>
        <w:t>响应</w:t>
      </w:r>
      <w:r>
        <w:rPr>
          <w:rFonts w:hint="eastAsia" w:ascii="宋体" w:hAnsi="宋体" w:eastAsia="宋体" w:cs="宋体"/>
          <w:b/>
          <w:bCs/>
          <w:color w:val="auto"/>
          <w:kern w:val="0"/>
          <w:sz w:val="24"/>
          <w:szCs w:val="24"/>
        </w:rPr>
        <w:t>文件的签章和签名要求</w:t>
      </w:r>
    </w:p>
    <w:p w14:paraId="36FA502F">
      <w:pPr>
        <w:pageBreakBefore w:val="0"/>
        <w:widowControl/>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bCs/>
          <w:color w:val="auto"/>
          <w:kern w:val="0"/>
          <w:sz w:val="24"/>
          <w:szCs w:val="24"/>
        </w:rPr>
      </w:pPr>
      <w:r>
        <w:rPr>
          <w:rFonts w:hint="eastAsia" w:ascii="宋体" w:hAnsi="宋体" w:eastAsia="宋体" w:cs="宋体"/>
          <w:color w:val="auto"/>
          <w:sz w:val="24"/>
          <w:szCs w:val="24"/>
        </w:rPr>
        <w:t>按照</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文件格式，</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文件需要企业、法定代表人电子签章及电子签名。</w:t>
      </w:r>
    </w:p>
    <w:p w14:paraId="19BB7338">
      <w:pPr>
        <w:pageBreakBefore w:val="0"/>
        <w:widowControl/>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bCs/>
          <w:color w:val="auto"/>
          <w:kern w:val="0"/>
          <w:sz w:val="24"/>
          <w:szCs w:val="24"/>
        </w:rPr>
      </w:pPr>
      <w:r>
        <w:rPr>
          <w:rFonts w:hint="eastAsia" w:ascii="宋体" w:hAnsi="宋体" w:cs="宋体"/>
          <w:color w:val="auto"/>
          <w:sz w:val="24"/>
          <w:szCs w:val="24"/>
          <w:lang w:val="en-US" w:eastAsia="zh-CN"/>
        </w:rPr>
        <w:t>9</w:t>
      </w:r>
      <w:r>
        <w:rPr>
          <w:rFonts w:hint="eastAsia" w:ascii="宋体" w:hAnsi="宋体" w:eastAsia="宋体" w:cs="宋体"/>
          <w:b/>
          <w:bCs/>
          <w:color w:val="auto"/>
          <w:kern w:val="0"/>
          <w:sz w:val="24"/>
          <w:szCs w:val="24"/>
        </w:rPr>
        <w:t>.</w:t>
      </w:r>
      <w:r>
        <w:rPr>
          <w:rFonts w:hint="eastAsia" w:ascii="宋体" w:hAnsi="宋体" w:eastAsia="宋体" w:cs="宋体"/>
          <w:b/>
          <w:bCs/>
          <w:color w:val="auto"/>
          <w:kern w:val="0"/>
          <w:sz w:val="24"/>
          <w:szCs w:val="24"/>
          <w:lang w:val="en-US" w:eastAsia="zh-CN"/>
        </w:rPr>
        <w:t xml:space="preserve">4 </w:t>
      </w:r>
      <w:r>
        <w:rPr>
          <w:rFonts w:hint="eastAsia" w:ascii="宋体" w:hAnsi="宋体" w:eastAsia="宋体" w:cs="宋体"/>
          <w:b/>
          <w:bCs/>
          <w:color w:val="auto"/>
          <w:kern w:val="0"/>
          <w:sz w:val="24"/>
          <w:szCs w:val="24"/>
        </w:rPr>
        <w:t>电子</w:t>
      </w:r>
      <w:r>
        <w:rPr>
          <w:rFonts w:hint="eastAsia" w:ascii="宋体" w:hAnsi="宋体" w:eastAsia="宋体" w:cs="宋体"/>
          <w:b/>
          <w:bCs/>
          <w:color w:val="auto"/>
          <w:kern w:val="0"/>
          <w:sz w:val="24"/>
          <w:szCs w:val="24"/>
          <w:lang w:val="en-US" w:eastAsia="zh-CN"/>
        </w:rPr>
        <w:t>响应</w:t>
      </w:r>
      <w:r>
        <w:rPr>
          <w:rFonts w:hint="eastAsia" w:ascii="宋体" w:hAnsi="宋体" w:eastAsia="宋体" w:cs="宋体"/>
          <w:b/>
          <w:bCs/>
          <w:color w:val="auto"/>
          <w:kern w:val="0"/>
          <w:sz w:val="24"/>
          <w:szCs w:val="24"/>
        </w:rPr>
        <w:t>文件的递交</w:t>
      </w:r>
    </w:p>
    <w:p w14:paraId="573D32AD">
      <w:pPr>
        <w:pageBreakBefore w:val="0"/>
        <w:kinsoku/>
        <w:wordWrap/>
        <w:overflowPunct/>
        <w:topLinePunct w:val="0"/>
        <w:autoSpaceDE w:val="0"/>
        <w:autoSpaceDN w:val="0"/>
        <w:bidi w:val="0"/>
        <w:adjustRightInd w:val="0"/>
        <w:snapToGrid/>
        <w:spacing w:line="560" w:lineRule="exact"/>
        <w:ind w:left="0" w:leftChars="0" w:right="0" w:rightChars="0" w:firstLine="720" w:firstLineChars="300"/>
        <w:textAlignment w:val="auto"/>
        <w:outlineLvl w:val="9"/>
        <w:rPr>
          <w:rFonts w:hint="eastAsia" w:ascii="宋体" w:hAnsi="宋体" w:eastAsia="宋体" w:cs="宋体"/>
          <w:b/>
          <w:bCs/>
          <w:color w:val="auto"/>
          <w:kern w:val="0"/>
          <w:sz w:val="24"/>
          <w:szCs w:val="24"/>
        </w:rPr>
      </w:pPr>
      <w:r>
        <w:rPr>
          <w:rFonts w:hint="eastAsia" w:ascii="宋体" w:hAnsi="宋体" w:eastAsia="宋体" w:cs="宋体"/>
          <w:color w:val="auto"/>
          <w:sz w:val="24"/>
          <w:szCs w:val="24"/>
        </w:rPr>
        <w:t>网上递交：通过“政采云”平台（http</w:t>
      </w:r>
      <w:r>
        <w:rPr>
          <w:rFonts w:hint="eastAsia" w:ascii="宋体" w:hAnsi="宋体" w:cs="宋体"/>
          <w:color w:val="auto"/>
          <w:sz w:val="24"/>
          <w:szCs w:val="24"/>
          <w:lang w:eastAsia="zh-CN"/>
        </w:rPr>
        <w:t>:</w:t>
      </w:r>
      <w:r>
        <w:rPr>
          <w:rFonts w:hint="eastAsia" w:ascii="宋体" w:hAnsi="宋体" w:eastAsia="宋体" w:cs="宋体"/>
          <w:color w:val="auto"/>
          <w:sz w:val="24"/>
          <w:szCs w:val="24"/>
        </w:rPr>
        <w:t>//www.zcygov.cn）实行在线电子响应，供应商应先安装“政采云电子交易客户端”（请自行前往“政采云”平台进行下载），并按照本项目采购文件和“政采云”平台的要求编制、加密后在投标截止时间前通过网络上传至“政采云”平台，供应商在“政采云”平台提交电子版响应文件时，请填写参加远程采购活动经办人联系方式。</w:t>
      </w:r>
    </w:p>
    <w:p w14:paraId="5C486C2D">
      <w:pPr>
        <w:pageBreakBefore w:val="0"/>
        <w:widowControl/>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bCs/>
          <w:color w:val="auto"/>
          <w:sz w:val="24"/>
          <w:szCs w:val="24"/>
        </w:rPr>
      </w:pPr>
      <w:r>
        <w:rPr>
          <w:rFonts w:hint="eastAsia" w:ascii="宋体" w:hAnsi="宋体" w:cs="宋体"/>
          <w:color w:val="auto"/>
          <w:sz w:val="24"/>
          <w:szCs w:val="24"/>
          <w:lang w:val="en-US" w:eastAsia="zh-CN"/>
        </w:rPr>
        <w:t>9</w:t>
      </w:r>
      <w:r>
        <w:rPr>
          <w:rFonts w:hint="eastAsia" w:ascii="宋体" w:hAnsi="宋体" w:eastAsia="宋体" w:cs="宋体"/>
          <w:b/>
          <w:bCs/>
          <w:color w:val="auto"/>
          <w:kern w:val="0"/>
          <w:sz w:val="24"/>
          <w:szCs w:val="24"/>
        </w:rPr>
        <w:t>.</w:t>
      </w:r>
      <w:r>
        <w:rPr>
          <w:rFonts w:hint="eastAsia" w:ascii="宋体" w:hAnsi="宋体" w:eastAsia="宋体" w:cs="宋体"/>
          <w:b/>
          <w:bCs/>
          <w:color w:val="auto"/>
          <w:kern w:val="0"/>
          <w:sz w:val="24"/>
          <w:szCs w:val="24"/>
          <w:lang w:val="en-US" w:eastAsia="zh-CN"/>
        </w:rPr>
        <w:t xml:space="preserve">5 </w:t>
      </w:r>
      <w:r>
        <w:rPr>
          <w:rFonts w:hint="eastAsia" w:ascii="宋体" w:hAnsi="宋体" w:eastAsia="宋体" w:cs="宋体"/>
          <w:b/>
          <w:bCs/>
          <w:color w:val="auto"/>
          <w:sz w:val="24"/>
          <w:szCs w:val="24"/>
        </w:rPr>
        <w:t>电子</w:t>
      </w:r>
      <w:r>
        <w:rPr>
          <w:rFonts w:hint="eastAsia" w:ascii="宋体" w:hAnsi="宋体" w:eastAsia="宋体" w:cs="宋体"/>
          <w:b/>
          <w:bCs/>
          <w:color w:val="auto"/>
          <w:sz w:val="24"/>
          <w:szCs w:val="24"/>
          <w:lang w:val="en-US" w:eastAsia="zh-CN"/>
        </w:rPr>
        <w:t>响应</w:t>
      </w:r>
      <w:r>
        <w:rPr>
          <w:rFonts w:hint="eastAsia" w:ascii="宋体" w:hAnsi="宋体" w:eastAsia="宋体" w:cs="宋体"/>
          <w:b/>
          <w:bCs/>
          <w:color w:val="auto"/>
          <w:sz w:val="24"/>
          <w:szCs w:val="24"/>
        </w:rPr>
        <w:t>文件的修改与撤回</w:t>
      </w:r>
    </w:p>
    <w:p w14:paraId="0AB4B154">
      <w:pPr>
        <w:pageBreakBefore w:val="0"/>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en-US" w:eastAsia="zh-CN"/>
        </w:rPr>
        <w:t>.5.1</w:t>
      </w:r>
      <w:r>
        <w:rPr>
          <w:rFonts w:hint="eastAsia" w:ascii="宋体" w:hAnsi="宋体" w:cs="宋体"/>
          <w:color w:val="auto"/>
          <w:sz w:val="24"/>
          <w:szCs w:val="24"/>
          <w:lang w:val="en-US" w:eastAsia="zh-CN"/>
        </w:rPr>
        <w:t xml:space="preserve"> 在</w:t>
      </w:r>
      <w:r>
        <w:rPr>
          <w:rFonts w:hint="eastAsia" w:ascii="宋体" w:hAnsi="宋体" w:eastAsia="宋体" w:cs="宋体"/>
          <w:color w:val="auto"/>
          <w:sz w:val="24"/>
          <w:szCs w:val="24"/>
        </w:rPr>
        <w:t>规定的</w:t>
      </w:r>
      <w:r>
        <w:rPr>
          <w:rFonts w:hint="eastAsia" w:ascii="宋体" w:hAnsi="宋体" w:eastAsia="宋体" w:cs="宋体"/>
          <w:color w:val="auto"/>
          <w:sz w:val="24"/>
          <w:szCs w:val="24"/>
          <w:lang w:val="en-US" w:eastAsia="zh-CN"/>
        </w:rPr>
        <w:t>响应文件递交</w:t>
      </w:r>
      <w:r>
        <w:rPr>
          <w:rFonts w:hint="eastAsia" w:ascii="宋体" w:hAnsi="宋体" w:eastAsia="宋体" w:cs="宋体"/>
          <w:color w:val="auto"/>
          <w:sz w:val="24"/>
          <w:szCs w:val="24"/>
        </w:rPr>
        <w:t>截止时间前，</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可以修改或撤回已在网上递交的</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文件，无须书面形式通知采购人。</w:t>
      </w:r>
    </w:p>
    <w:p w14:paraId="66652E93">
      <w:pPr>
        <w:pageBreakBefore w:val="0"/>
        <w:widowControl/>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bCs/>
          <w:color w:val="auto"/>
          <w:kern w:val="0"/>
          <w:sz w:val="24"/>
          <w:szCs w:val="24"/>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en-US" w:eastAsia="zh-CN"/>
        </w:rPr>
        <w:t>.5.2</w:t>
      </w:r>
      <w:r>
        <w:rPr>
          <w:rFonts w:hint="eastAsia" w:ascii="宋体" w:hAnsi="宋体" w:cs="宋体"/>
          <w:color w:val="auto"/>
          <w:sz w:val="24"/>
          <w:szCs w:val="24"/>
          <w:lang w:val="en-US" w:eastAsia="zh-CN"/>
        </w:rPr>
        <w:t xml:space="preserve"> 修改</w:t>
      </w:r>
      <w:r>
        <w:rPr>
          <w:rFonts w:hint="eastAsia" w:ascii="宋体" w:hAnsi="宋体" w:eastAsia="宋体" w:cs="宋体"/>
          <w:color w:val="auto"/>
          <w:sz w:val="24"/>
          <w:szCs w:val="24"/>
        </w:rPr>
        <w:t>的</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文件应按照有关电子</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文件规定进行编制、密封、标记和递交。</w:t>
      </w:r>
    </w:p>
    <w:p w14:paraId="69B7EEC1">
      <w:pPr>
        <w:pageBreakBefore w:val="0"/>
        <w:widowControl/>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bCs/>
          <w:color w:val="auto"/>
          <w:kern w:val="0"/>
          <w:sz w:val="24"/>
          <w:szCs w:val="24"/>
          <w:highlight w:val="none"/>
        </w:rPr>
      </w:pPr>
      <w:r>
        <w:rPr>
          <w:rFonts w:hint="eastAsia" w:ascii="宋体" w:hAnsi="宋体" w:cs="宋体"/>
          <w:color w:val="auto"/>
          <w:sz w:val="24"/>
          <w:szCs w:val="24"/>
          <w:lang w:val="en-US" w:eastAsia="zh-CN"/>
        </w:rPr>
        <w:t>9</w:t>
      </w: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6 响应</w:t>
      </w:r>
      <w:r>
        <w:rPr>
          <w:rFonts w:hint="eastAsia" w:ascii="宋体" w:hAnsi="宋体" w:eastAsia="宋体" w:cs="宋体"/>
          <w:b/>
          <w:bCs/>
          <w:color w:val="auto"/>
          <w:kern w:val="0"/>
          <w:sz w:val="24"/>
          <w:szCs w:val="24"/>
          <w:highlight w:val="none"/>
        </w:rPr>
        <w:t>文件解密</w:t>
      </w:r>
    </w:p>
    <w:p w14:paraId="5E4E43FD">
      <w:pPr>
        <w:pageBreakBefore w:val="0"/>
        <w:kinsoku/>
        <w:wordWrap/>
        <w:overflowPunct/>
        <w:topLinePunct w:val="0"/>
        <w:bidi w:val="0"/>
        <w:snapToGrid/>
        <w:spacing w:line="560" w:lineRule="exact"/>
        <w:ind w:left="0" w:leftChars="0" w:right="0" w:rightChars="0"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t>该项目</w:t>
      </w:r>
      <w:r>
        <w:rPr>
          <w:rFonts w:hint="eastAsia" w:ascii="宋体" w:hAnsi="宋体" w:eastAsia="宋体" w:cs="宋体"/>
          <w:color w:val="auto"/>
          <w:kern w:val="0"/>
          <w:sz w:val="24"/>
          <w:szCs w:val="24"/>
          <w:highlight w:val="none"/>
          <w:u w:val="single"/>
          <w:lang w:val="en-US" w:eastAsia="zh-CN"/>
        </w:rPr>
        <w:t>响应文件的开启</w:t>
      </w:r>
      <w:r>
        <w:rPr>
          <w:rFonts w:hint="eastAsia" w:ascii="宋体" w:hAnsi="宋体" w:eastAsia="宋体" w:cs="宋体"/>
          <w:color w:val="auto"/>
          <w:kern w:val="0"/>
          <w:sz w:val="24"/>
          <w:szCs w:val="24"/>
          <w:highlight w:val="none"/>
          <w:u w:val="single"/>
        </w:rPr>
        <w:t>采用网上</w:t>
      </w:r>
      <w:r>
        <w:rPr>
          <w:rFonts w:hint="eastAsia" w:ascii="宋体" w:hAnsi="宋体" w:eastAsia="宋体" w:cs="宋体"/>
          <w:color w:val="auto"/>
          <w:kern w:val="0"/>
          <w:sz w:val="24"/>
          <w:szCs w:val="24"/>
          <w:highlight w:val="none"/>
          <w:u w:val="single"/>
          <w:lang w:val="en-US" w:eastAsia="zh-CN"/>
        </w:rPr>
        <w:t>远程解密</w:t>
      </w:r>
      <w:r>
        <w:rPr>
          <w:rFonts w:hint="eastAsia" w:ascii="宋体" w:hAnsi="宋体" w:eastAsia="宋体" w:cs="宋体"/>
          <w:color w:val="auto"/>
          <w:kern w:val="0"/>
          <w:sz w:val="24"/>
          <w:szCs w:val="24"/>
          <w:highlight w:val="none"/>
          <w:u w:val="single"/>
        </w:rPr>
        <w:t>方式，</w:t>
      </w:r>
      <w:r>
        <w:rPr>
          <w:rFonts w:hint="eastAsia" w:ascii="宋体" w:hAnsi="宋体" w:eastAsia="宋体" w:cs="宋体"/>
          <w:color w:val="auto"/>
          <w:kern w:val="0"/>
          <w:sz w:val="24"/>
          <w:szCs w:val="24"/>
          <w:highlight w:val="none"/>
        </w:rPr>
        <w:t>供应商</w:t>
      </w:r>
      <w:r>
        <w:rPr>
          <w:rFonts w:hint="eastAsia" w:ascii="宋体" w:hAnsi="宋体" w:cs="宋体"/>
          <w:color w:val="auto"/>
          <w:kern w:val="0"/>
          <w:sz w:val="24"/>
          <w:szCs w:val="24"/>
          <w:highlight w:val="none"/>
          <w:lang w:val="en-US" w:eastAsia="zh-CN"/>
        </w:rPr>
        <w:t>不用到现场</w:t>
      </w:r>
      <w:r>
        <w:rPr>
          <w:rFonts w:hint="eastAsia" w:ascii="宋体" w:hAnsi="宋体" w:eastAsia="宋体" w:cs="宋体"/>
          <w:color w:val="auto"/>
          <w:kern w:val="0"/>
          <w:sz w:val="24"/>
          <w:szCs w:val="24"/>
          <w:highlight w:val="none"/>
        </w:rPr>
        <w:t>。</w:t>
      </w:r>
    </w:p>
    <w:p w14:paraId="125A5BB9">
      <w:pPr>
        <w:pageBreakBefore w:val="0"/>
        <w:kinsoku/>
        <w:wordWrap/>
        <w:overflowPunct/>
        <w:topLinePunct w:val="0"/>
        <w:bidi w:val="0"/>
        <w:snapToGrid/>
        <w:spacing w:line="560" w:lineRule="exact"/>
        <w:ind w:left="0" w:leftChars="0" w:right="0" w:rightChars="0" w:firstLine="480" w:firstLineChars="200"/>
        <w:jc w:val="both"/>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9.7 </w:t>
      </w:r>
      <w:r>
        <w:rPr>
          <w:rFonts w:hint="eastAsia" w:ascii="宋体" w:hAnsi="宋体" w:eastAsia="宋体" w:cs="宋体"/>
          <w:b/>
          <w:bCs/>
          <w:color w:val="auto"/>
          <w:sz w:val="24"/>
          <w:szCs w:val="24"/>
        </w:rPr>
        <w:t>不同单位的</w:t>
      </w:r>
      <w:r>
        <w:rPr>
          <w:rFonts w:hint="eastAsia" w:ascii="宋体" w:hAnsi="宋体" w:eastAsia="宋体" w:cs="宋体"/>
          <w:b/>
          <w:bCs/>
          <w:color w:val="auto"/>
          <w:sz w:val="24"/>
          <w:szCs w:val="24"/>
          <w:lang w:val="en-US" w:eastAsia="zh-CN"/>
        </w:rPr>
        <w:t>响应</w:t>
      </w:r>
      <w:r>
        <w:rPr>
          <w:rFonts w:hint="eastAsia" w:ascii="宋体" w:hAnsi="宋体" w:eastAsia="宋体" w:cs="宋体"/>
          <w:b/>
          <w:bCs/>
          <w:color w:val="auto"/>
          <w:sz w:val="24"/>
          <w:szCs w:val="24"/>
        </w:rPr>
        <w:t>文件若芯片序列号、硬盘序列号、网卡序列号一致，视为由同一台电脑编制！</w:t>
      </w:r>
    </w:p>
    <w:p w14:paraId="4CDE3FB2">
      <w:pPr>
        <w:pStyle w:val="4"/>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10</w:t>
      </w:r>
      <w:r>
        <w:rPr>
          <w:rFonts w:hint="eastAsia" w:ascii="宋体" w:hAnsi="宋体" w:eastAsia="宋体" w:cs="宋体"/>
          <w:color w:val="auto"/>
          <w:sz w:val="24"/>
          <w:szCs w:val="24"/>
          <w:lang w:val="en-US" w:eastAsia="zh-CN"/>
        </w:rPr>
        <w:t>. 采购代理服务费</w:t>
      </w:r>
    </w:p>
    <w:p w14:paraId="33189DF2">
      <w:pPr>
        <w:pStyle w:val="32"/>
        <w:pageBreakBefore w:val="0"/>
        <w:kinsoku/>
        <w:wordWrap/>
        <w:overflowPunct/>
        <w:topLinePunct w:val="0"/>
        <w:bidi w:val="0"/>
        <w:snapToGrid/>
        <w:spacing w:line="560" w:lineRule="exact"/>
        <w:ind w:left="0" w:leftChars="0" w:right="0" w:rightChars="0" w:firstLine="480" w:firstLineChars="200"/>
        <w:textAlignment w:val="auto"/>
        <w:outlineLvl w:val="9"/>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本项目不收取采购代理服务费。</w:t>
      </w:r>
    </w:p>
    <w:p w14:paraId="0C90E860">
      <w:pPr>
        <w:pStyle w:val="4"/>
        <w:pageBreakBefore w:val="0"/>
        <w:numPr>
          <w:ilvl w:val="0"/>
          <w:numId w:val="4"/>
        </w:numPr>
        <w:kinsoku/>
        <w:wordWrap/>
        <w:overflowPunct/>
        <w:topLinePunct w:val="0"/>
        <w:bidi w:val="0"/>
        <w:snapToGrid/>
        <w:spacing w:before="0" w:after="0" w:line="560" w:lineRule="exact"/>
        <w:ind w:left="0" w:leftChars="0" w:right="0" w:rightChars="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本</w:t>
      </w:r>
      <w:r>
        <w:rPr>
          <w:rFonts w:hint="eastAsia" w:ascii="宋体" w:hAnsi="宋体" w:eastAsia="宋体" w:cs="宋体"/>
          <w:color w:val="auto"/>
          <w:sz w:val="24"/>
          <w:szCs w:val="24"/>
          <w:lang w:val="en-US" w:eastAsia="zh-CN"/>
        </w:rPr>
        <w:t>谈判文件中所</w:t>
      </w:r>
      <w:r>
        <w:rPr>
          <w:rFonts w:hint="eastAsia" w:ascii="宋体" w:hAnsi="宋体" w:cs="宋体"/>
          <w:color w:val="auto"/>
          <w:sz w:val="24"/>
          <w:szCs w:val="24"/>
          <w:lang w:val="en-US" w:eastAsia="zh-CN"/>
        </w:rPr>
        <w:t>引用的</w:t>
      </w:r>
      <w:r>
        <w:rPr>
          <w:rFonts w:hint="eastAsia" w:ascii="宋体" w:hAnsi="宋体" w:eastAsia="宋体" w:cs="宋体"/>
          <w:color w:val="auto"/>
          <w:sz w:val="24"/>
          <w:szCs w:val="24"/>
          <w:lang w:val="en-US" w:eastAsia="zh-CN"/>
        </w:rPr>
        <w:t>相关法律制度规定，在政府采购中有变化的，按照变化后的相关法律制度规定执行。本章规定的内容条款，在本项目递交响应文件截止时间届满后，因相关法律制度规定的变化导致不符合相关法律制度规定的，直接按照变化后的相关法律制度规定执行，本谈判文件不再</w:t>
      </w:r>
      <w:r>
        <w:rPr>
          <w:rFonts w:hint="eastAsia" w:ascii="宋体" w:hAnsi="宋体" w:cs="宋体"/>
          <w:color w:val="auto"/>
          <w:sz w:val="24"/>
          <w:szCs w:val="24"/>
          <w:lang w:val="en-US" w:eastAsia="zh-CN"/>
        </w:rPr>
        <w:t>作</w:t>
      </w:r>
      <w:r>
        <w:rPr>
          <w:rFonts w:hint="eastAsia" w:ascii="宋体" w:hAnsi="宋体" w:eastAsia="宋体" w:cs="宋体"/>
          <w:color w:val="auto"/>
          <w:sz w:val="24"/>
          <w:szCs w:val="24"/>
          <w:lang w:val="en-US" w:eastAsia="zh-CN"/>
        </w:rPr>
        <w:t>调整。</w:t>
      </w:r>
      <w:bookmarkStart w:id="197" w:name="_Toc30917"/>
      <w:bookmarkStart w:id="198" w:name="_Toc25081"/>
      <w:bookmarkStart w:id="199" w:name="_Toc11516"/>
      <w:bookmarkStart w:id="200" w:name="_Toc8709_WPSOffice_Level1"/>
      <w:bookmarkStart w:id="201" w:name="_Toc183582232"/>
      <w:bookmarkStart w:id="202" w:name="_Toc217446057"/>
      <w:bookmarkStart w:id="203" w:name="_Toc183682369"/>
    </w:p>
    <w:p w14:paraId="6BCF50FA">
      <w:pPr>
        <w:numPr>
          <w:ilvl w:val="0"/>
          <w:numId w:val="0"/>
        </w:numPr>
        <w:rPr>
          <w:rFonts w:hint="eastAsia"/>
          <w:color w:val="auto"/>
        </w:rPr>
      </w:pPr>
    </w:p>
    <w:p w14:paraId="6ED66D19">
      <w:pPr>
        <w:pStyle w:val="2"/>
        <w:pageBreakBefore w:val="0"/>
        <w:kinsoku/>
        <w:wordWrap/>
        <w:overflowPunct/>
        <w:topLinePunct w:val="0"/>
        <w:bidi w:val="0"/>
        <w:snapToGrid/>
        <w:spacing w:before="0" w:after="0" w:line="560" w:lineRule="exact"/>
        <w:ind w:left="0" w:leftChars="0" w:right="0" w:rightChars="0"/>
        <w:jc w:val="center"/>
        <w:textAlignment w:val="auto"/>
        <w:rPr>
          <w:rFonts w:hint="eastAsia" w:ascii="宋体" w:hAnsi="宋体" w:eastAsia="宋体" w:cs="宋体"/>
          <w:b/>
          <w:bCs w:val="0"/>
          <w:color w:val="auto"/>
          <w:sz w:val="44"/>
          <w:szCs w:val="44"/>
          <w:lang w:val="en-US" w:eastAsia="zh-CN"/>
        </w:rPr>
      </w:pPr>
      <w:bookmarkStart w:id="204" w:name="_Toc20140"/>
      <w:r>
        <w:rPr>
          <w:rFonts w:hint="eastAsia" w:ascii="宋体" w:hAnsi="宋体" w:eastAsia="宋体" w:cs="宋体"/>
          <w:b/>
          <w:bCs w:val="0"/>
          <w:color w:val="auto"/>
          <w:sz w:val="44"/>
          <w:szCs w:val="44"/>
        </w:rPr>
        <w:t>第</w:t>
      </w:r>
      <w:r>
        <w:rPr>
          <w:rFonts w:hint="eastAsia" w:ascii="宋体" w:hAnsi="宋体" w:eastAsia="宋体" w:cs="宋体"/>
          <w:b/>
          <w:bCs w:val="0"/>
          <w:color w:val="auto"/>
          <w:sz w:val="44"/>
          <w:szCs w:val="44"/>
          <w:lang w:val="en-US" w:eastAsia="zh-CN"/>
        </w:rPr>
        <w:t>三</w:t>
      </w:r>
      <w:r>
        <w:rPr>
          <w:rFonts w:hint="eastAsia" w:ascii="宋体" w:hAnsi="宋体" w:eastAsia="宋体" w:cs="宋体"/>
          <w:b/>
          <w:bCs w:val="0"/>
          <w:color w:val="auto"/>
          <w:sz w:val="44"/>
          <w:szCs w:val="44"/>
        </w:rPr>
        <w:t xml:space="preserve">章  </w:t>
      </w:r>
      <w:r>
        <w:rPr>
          <w:rFonts w:hint="eastAsia" w:ascii="宋体" w:hAnsi="宋体" w:eastAsia="宋体" w:cs="宋体"/>
          <w:b/>
          <w:bCs w:val="0"/>
          <w:color w:val="auto"/>
          <w:sz w:val="44"/>
          <w:szCs w:val="44"/>
          <w:lang w:val="en-US" w:eastAsia="zh-CN"/>
        </w:rPr>
        <w:t>项目需求</w:t>
      </w:r>
      <w:bookmarkEnd w:id="197"/>
      <w:bookmarkEnd w:id="198"/>
      <w:bookmarkEnd w:id="199"/>
      <w:bookmarkEnd w:id="200"/>
      <w:bookmarkEnd w:id="204"/>
    </w:p>
    <w:p w14:paraId="5D5A2724">
      <w:pPr>
        <w:pStyle w:val="14"/>
        <w:rPr>
          <w:rFonts w:hint="eastAsia"/>
          <w:color w:val="auto"/>
          <w:lang w:val="en-US" w:eastAsia="zh-CN"/>
        </w:rPr>
      </w:pPr>
    </w:p>
    <w:p w14:paraId="659C0DA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说明：下</w:t>
      </w:r>
      <w:r>
        <w:rPr>
          <w:rFonts w:hint="eastAsia" w:ascii="宋体" w:hAnsi="宋体" w:eastAsia="宋体" w:cs="宋体"/>
          <w:color w:val="auto"/>
          <w:sz w:val="24"/>
          <w:szCs w:val="24"/>
        </w:rPr>
        <w:t>述要求以及标注中：</w:t>
      </w:r>
    </w:p>
    <w:p w14:paraId="26B5DEC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带“★”条款为实质性条款，供应商必须按照采购文件的要求做出实质性响应。</w:t>
      </w:r>
    </w:p>
    <w:p w14:paraId="2A90B92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带“◆”标注的为可能实质性变动的技术、服务要求以及合同草案条款内容。</w:t>
      </w:r>
    </w:p>
    <w:p w14:paraId="2E546A4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带“※”标注的产品为供应商</w:t>
      </w:r>
      <w:r>
        <w:rPr>
          <w:rFonts w:hint="eastAsia" w:ascii="宋体" w:hAnsi="宋体" w:eastAsia="宋体" w:cs="宋体"/>
          <w:color w:val="auto"/>
          <w:sz w:val="24"/>
          <w:szCs w:val="24"/>
          <w:lang w:val="en-US" w:eastAsia="zh-CN"/>
        </w:rPr>
        <w:t>开启响应文件时</w:t>
      </w:r>
      <w:r>
        <w:rPr>
          <w:rFonts w:hint="eastAsia" w:ascii="宋体" w:hAnsi="宋体" w:eastAsia="宋体" w:cs="宋体"/>
          <w:color w:val="auto"/>
          <w:sz w:val="24"/>
          <w:szCs w:val="24"/>
        </w:rPr>
        <w:t>需提供的样品，成交后成交供应商送至采购人指定地点封存。成交供应商提交的样品与响应文件不一致的，由成交供应商承担相关法律责任。</w:t>
      </w:r>
      <w:bookmarkStart w:id="205" w:name="_Toc85122591"/>
      <w:bookmarkStart w:id="206" w:name="_Toc87449849"/>
    </w:p>
    <w:p w14:paraId="4F1A226C">
      <w:pPr>
        <w:pStyle w:val="3"/>
        <w:pageBreakBefore w:val="0"/>
        <w:widowControl w:val="0"/>
        <w:numPr>
          <w:ilvl w:val="0"/>
          <w:numId w:val="5"/>
        </w:numPr>
        <w:kinsoku/>
        <w:wordWrap/>
        <w:overflowPunct/>
        <w:topLinePunct w:val="0"/>
        <w:autoSpaceDE/>
        <w:autoSpaceDN/>
        <w:bidi w:val="0"/>
        <w:adjustRightInd/>
        <w:snapToGrid/>
        <w:spacing w:before="0" w:after="0" w:line="560" w:lineRule="exact"/>
        <w:ind w:left="0" w:leftChars="0" w:right="0" w:rightChars="0" w:firstLine="0" w:firstLineChars="0"/>
        <w:textAlignment w:val="auto"/>
        <w:rPr>
          <w:rFonts w:hint="eastAsia"/>
          <w:color w:val="auto"/>
          <w:sz w:val="28"/>
          <w:szCs w:val="28"/>
        </w:rPr>
      </w:pPr>
      <w:bookmarkStart w:id="207" w:name="_Toc1490_WPSOffice_Level2"/>
      <w:bookmarkStart w:id="208" w:name="_Toc28028"/>
      <w:bookmarkStart w:id="209" w:name="_Toc6768"/>
      <w:bookmarkStart w:id="210" w:name="_Toc4631"/>
      <w:bookmarkStart w:id="211" w:name="_Toc19274"/>
      <w:r>
        <w:rPr>
          <w:rFonts w:hint="eastAsia"/>
          <w:color w:val="auto"/>
          <w:sz w:val="28"/>
          <w:szCs w:val="28"/>
        </w:rPr>
        <w:t>项目概况</w:t>
      </w:r>
      <w:bookmarkEnd w:id="205"/>
      <w:bookmarkEnd w:id="206"/>
      <w:bookmarkEnd w:id="207"/>
      <w:bookmarkEnd w:id="208"/>
      <w:bookmarkEnd w:id="209"/>
      <w:bookmarkEnd w:id="210"/>
      <w:bookmarkEnd w:id="211"/>
    </w:p>
    <w:p w14:paraId="330EE048">
      <w:pPr>
        <w:pStyle w:val="32"/>
        <w:ind w:left="0" w:leftChars="0" w:firstLine="480" w:firstLineChars="200"/>
        <w:rPr>
          <w:rFonts w:hint="default" w:ascii="宋体" w:hAnsi="宋体" w:eastAsia="宋体" w:cs="宋体"/>
          <w:color w:val="auto"/>
          <w:sz w:val="24"/>
          <w:szCs w:val="24"/>
          <w:highlight w:val="none"/>
          <w:lang w:val="en-US" w:eastAsia="zh-CN"/>
        </w:rPr>
      </w:pPr>
      <w:bookmarkStart w:id="212" w:name="_Toc85122592"/>
      <w:bookmarkStart w:id="213" w:name="_Toc27262"/>
      <w:bookmarkStart w:id="214" w:name="_Toc87449850"/>
      <w:bookmarkStart w:id="215" w:name="_Toc1944"/>
      <w:bookmarkStart w:id="216" w:name="_Toc13178"/>
      <w:bookmarkStart w:id="217" w:name="_Toc24192_WPSOffice_Level2"/>
      <w:r>
        <w:rPr>
          <w:rFonts w:hint="eastAsia" w:ascii="宋体" w:hAnsi="宋体" w:eastAsia="宋体" w:cs="宋体"/>
          <w:color w:val="auto"/>
          <w:sz w:val="24"/>
          <w:szCs w:val="24"/>
          <w:highlight w:val="none"/>
          <w:lang w:val="en-US" w:eastAsia="zh-CN"/>
        </w:rPr>
        <w:t>文山市皮肤病防治站</w:t>
      </w:r>
      <w:r>
        <w:rPr>
          <w:rFonts w:hint="eastAsia" w:ascii="宋体" w:hAnsi="宋体" w:cs="宋体"/>
          <w:color w:val="auto"/>
          <w:sz w:val="24"/>
          <w:szCs w:val="24"/>
          <w:highlight w:val="none"/>
          <w:lang w:val="en-US" w:eastAsia="zh-CN"/>
        </w:rPr>
        <w:t>医用</w:t>
      </w:r>
      <w:r>
        <w:rPr>
          <w:rFonts w:hint="eastAsia" w:ascii="宋体" w:hAnsi="宋体" w:eastAsia="宋体" w:cs="宋体"/>
          <w:color w:val="auto"/>
          <w:sz w:val="24"/>
          <w:szCs w:val="24"/>
          <w:highlight w:val="none"/>
          <w:lang w:val="en-US" w:eastAsia="zh-CN"/>
        </w:rPr>
        <w:t>电梯</w:t>
      </w:r>
      <w:r>
        <w:rPr>
          <w:rFonts w:hint="eastAsia" w:ascii="宋体" w:hAnsi="宋体" w:cs="宋体"/>
          <w:color w:val="auto"/>
          <w:sz w:val="24"/>
          <w:szCs w:val="24"/>
          <w:highlight w:val="none"/>
          <w:lang w:val="en-US" w:eastAsia="zh-CN"/>
        </w:rPr>
        <w:t>安装及改造</w:t>
      </w:r>
      <w:r>
        <w:rPr>
          <w:rFonts w:hint="eastAsia" w:ascii="宋体" w:hAnsi="宋体" w:eastAsia="宋体" w:cs="宋体"/>
          <w:color w:val="auto"/>
          <w:sz w:val="24"/>
          <w:szCs w:val="24"/>
          <w:highlight w:val="none"/>
          <w:lang w:val="en-US" w:eastAsia="zh-CN"/>
        </w:rPr>
        <w:t>采购项目</w:t>
      </w:r>
      <w:r>
        <w:rPr>
          <w:rFonts w:hint="eastAsia" w:ascii="宋体" w:hAnsi="宋体" w:cs="宋体"/>
          <w:color w:val="auto"/>
          <w:sz w:val="24"/>
          <w:szCs w:val="24"/>
          <w:highlight w:val="none"/>
          <w:lang w:val="en-US" w:eastAsia="zh-CN"/>
        </w:rPr>
        <w:t>（三次）</w:t>
      </w:r>
    </w:p>
    <w:p w14:paraId="540B6365">
      <w:pPr>
        <w:pStyle w:val="3"/>
        <w:pageBreakBefore w:val="0"/>
        <w:widowControl w:val="0"/>
        <w:numPr>
          <w:ilvl w:val="0"/>
          <w:numId w:val="0"/>
        </w:numPr>
        <w:kinsoku/>
        <w:wordWrap/>
        <w:overflowPunct/>
        <w:topLinePunct w:val="0"/>
        <w:autoSpaceDE/>
        <w:autoSpaceDN/>
        <w:bidi w:val="0"/>
        <w:adjustRightInd/>
        <w:snapToGrid/>
        <w:spacing w:before="0" w:after="0" w:line="560" w:lineRule="exact"/>
        <w:ind w:leftChars="0" w:right="0" w:rightChars="0"/>
        <w:textAlignment w:val="auto"/>
        <w:rPr>
          <w:rFonts w:hint="eastAsia"/>
          <w:color w:val="auto"/>
          <w:sz w:val="28"/>
          <w:szCs w:val="28"/>
        </w:rPr>
      </w:pPr>
      <w:bookmarkStart w:id="218" w:name="_Toc5726"/>
      <w:r>
        <w:rPr>
          <w:rFonts w:hint="eastAsia"/>
          <w:color w:val="auto"/>
          <w:sz w:val="28"/>
          <w:szCs w:val="28"/>
          <w:lang w:val="en-US" w:eastAsia="zh-CN"/>
        </w:rPr>
        <w:t>二、</w:t>
      </w:r>
      <w:r>
        <w:rPr>
          <w:rFonts w:hint="eastAsia"/>
          <w:color w:val="auto"/>
          <w:sz w:val="28"/>
          <w:szCs w:val="28"/>
        </w:rPr>
        <w:t>采购内容</w:t>
      </w:r>
      <w:bookmarkEnd w:id="212"/>
      <w:bookmarkEnd w:id="213"/>
      <w:bookmarkEnd w:id="214"/>
      <w:bookmarkEnd w:id="215"/>
      <w:bookmarkEnd w:id="216"/>
      <w:bookmarkEnd w:id="217"/>
      <w:bookmarkEnd w:id="218"/>
    </w:p>
    <w:tbl>
      <w:tblPr>
        <w:tblStyle w:val="33"/>
        <w:tblW w:w="9584" w:type="dxa"/>
        <w:tblInd w:w="40" w:type="dxa"/>
        <w:tblLayout w:type="fixed"/>
        <w:tblCellMar>
          <w:top w:w="0" w:type="dxa"/>
          <w:left w:w="108" w:type="dxa"/>
          <w:bottom w:w="0" w:type="dxa"/>
          <w:right w:w="108" w:type="dxa"/>
        </w:tblCellMar>
      </w:tblPr>
      <w:tblGrid>
        <w:gridCol w:w="915"/>
        <w:gridCol w:w="2644"/>
        <w:gridCol w:w="1675"/>
        <w:gridCol w:w="1637"/>
        <w:gridCol w:w="1475"/>
        <w:gridCol w:w="1238"/>
      </w:tblGrid>
      <w:tr w14:paraId="3CC42D94">
        <w:tblPrEx>
          <w:tblCellMar>
            <w:top w:w="0" w:type="dxa"/>
            <w:left w:w="108" w:type="dxa"/>
            <w:bottom w:w="0" w:type="dxa"/>
            <w:right w:w="108" w:type="dxa"/>
          </w:tblCellMar>
        </w:tblPrEx>
        <w:trPr>
          <w:trHeight w:val="412" w:hRule="atLeast"/>
        </w:trPr>
        <w:tc>
          <w:tcPr>
            <w:tcW w:w="915" w:type="dxa"/>
            <w:tcBorders>
              <w:top w:val="single" w:color="000000" w:sz="4" w:space="0"/>
              <w:left w:val="single" w:color="000000" w:sz="4" w:space="0"/>
              <w:bottom w:val="single" w:color="auto" w:sz="4" w:space="0"/>
              <w:right w:val="single" w:color="000000" w:sz="4" w:space="0"/>
            </w:tcBorders>
            <w:noWrap w:val="0"/>
            <w:vAlign w:val="center"/>
          </w:tcPr>
          <w:p w14:paraId="665B58B4">
            <w:pPr>
              <w:pageBreakBefore w:val="0"/>
              <w:widowControl w:val="0"/>
              <w:kinsoku/>
              <w:wordWrap/>
              <w:overflowPunct/>
              <w:topLinePunct w:val="0"/>
              <w:autoSpaceDE/>
              <w:autoSpaceDN/>
              <w:bidi w:val="0"/>
              <w:spacing w:line="560" w:lineRule="exact"/>
              <w:ind w:right="0" w:right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644" w:type="dxa"/>
            <w:tcBorders>
              <w:top w:val="single" w:color="000000" w:sz="4" w:space="0"/>
              <w:left w:val="single" w:color="000000" w:sz="4" w:space="0"/>
              <w:bottom w:val="single" w:color="auto" w:sz="4" w:space="0"/>
              <w:right w:val="single" w:color="000000" w:sz="4" w:space="0"/>
            </w:tcBorders>
            <w:noWrap w:val="0"/>
            <w:vAlign w:val="center"/>
          </w:tcPr>
          <w:p w14:paraId="503DFCA8">
            <w:pPr>
              <w:pageBreakBefore w:val="0"/>
              <w:widowControl w:val="0"/>
              <w:kinsoku/>
              <w:wordWrap/>
              <w:overflowPunct/>
              <w:topLinePunct w:val="0"/>
              <w:autoSpaceDE/>
              <w:autoSpaceDN/>
              <w:bidi w:val="0"/>
              <w:spacing w:line="560" w:lineRule="exact"/>
              <w:ind w:right="0" w:rightChars="0" w:firstLine="720" w:firstLineChars="3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货物</w:t>
            </w:r>
            <w:r>
              <w:rPr>
                <w:rFonts w:hint="eastAsia" w:ascii="宋体" w:hAnsi="宋体" w:eastAsia="宋体" w:cs="宋体"/>
                <w:color w:val="auto"/>
                <w:sz w:val="24"/>
                <w:szCs w:val="24"/>
              </w:rPr>
              <w:t>名称</w:t>
            </w:r>
          </w:p>
        </w:tc>
        <w:tc>
          <w:tcPr>
            <w:tcW w:w="1675" w:type="dxa"/>
            <w:tcBorders>
              <w:top w:val="single" w:color="000000" w:sz="4" w:space="0"/>
              <w:left w:val="nil"/>
              <w:bottom w:val="single" w:color="auto" w:sz="4" w:space="0"/>
              <w:right w:val="single" w:color="000000" w:sz="4" w:space="0"/>
            </w:tcBorders>
            <w:noWrap w:val="0"/>
            <w:vAlign w:val="center"/>
          </w:tcPr>
          <w:p w14:paraId="211E596E">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1637" w:type="dxa"/>
            <w:tcBorders>
              <w:top w:val="single" w:color="000000" w:sz="4" w:space="0"/>
              <w:left w:val="nil"/>
              <w:bottom w:val="single" w:color="auto" w:sz="4" w:space="0"/>
              <w:right w:val="single" w:color="000000" w:sz="4" w:space="0"/>
            </w:tcBorders>
            <w:noWrap w:val="0"/>
            <w:vAlign w:val="center"/>
          </w:tcPr>
          <w:p w14:paraId="3120AB81">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w:t>
            </w:r>
          </w:p>
        </w:tc>
        <w:tc>
          <w:tcPr>
            <w:tcW w:w="1475" w:type="dxa"/>
            <w:tcBorders>
              <w:top w:val="single" w:color="000000" w:sz="4" w:space="0"/>
              <w:left w:val="nil"/>
              <w:bottom w:val="single" w:color="auto" w:sz="4" w:space="0"/>
              <w:right w:val="single" w:color="000000" w:sz="4" w:space="0"/>
            </w:tcBorders>
            <w:noWrap w:val="0"/>
            <w:vAlign w:val="center"/>
          </w:tcPr>
          <w:p w14:paraId="67E97619">
            <w:pPr>
              <w:pageBreakBefore w:val="0"/>
              <w:widowControl w:val="0"/>
              <w:kinsoku/>
              <w:wordWrap/>
              <w:overflowPunct/>
              <w:topLinePunct w:val="0"/>
              <w:autoSpaceDE/>
              <w:autoSpaceDN/>
              <w:bidi w:val="0"/>
              <w:spacing w:line="560" w:lineRule="exact"/>
              <w:ind w:right="0" w:rightChars="0"/>
              <w:jc w:val="center"/>
              <w:textAlignment w:val="auto"/>
              <w:rPr>
                <w:rFonts w:hint="default" w:ascii="宋体" w:hAnsi="宋体" w:eastAsia="宋体" w:cs="宋体"/>
                <w:color w:val="auto"/>
                <w:sz w:val="24"/>
                <w:szCs w:val="24"/>
                <w:lang w:val="en-US"/>
              </w:rPr>
            </w:pPr>
            <w:r>
              <w:rPr>
                <w:rFonts w:hint="eastAsia" w:ascii="宋体" w:hAnsi="宋体" w:cs="宋体"/>
                <w:color w:val="auto"/>
                <w:sz w:val="24"/>
                <w:szCs w:val="24"/>
                <w:lang w:val="en-US" w:eastAsia="zh-CN"/>
              </w:rPr>
              <w:t>所属行业</w:t>
            </w:r>
          </w:p>
        </w:tc>
        <w:tc>
          <w:tcPr>
            <w:tcW w:w="1238" w:type="dxa"/>
            <w:tcBorders>
              <w:top w:val="single" w:color="000000" w:sz="4" w:space="0"/>
              <w:left w:val="nil"/>
              <w:bottom w:val="single" w:color="auto" w:sz="4" w:space="0"/>
              <w:right w:val="single" w:color="000000" w:sz="4" w:space="0"/>
            </w:tcBorders>
            <w:noWrap w:val="0"/>
            <w:vAlign w:val="center"/>
          </w:tcPr>
          <w:p w14:paraId="4EE42598">
            <w:pPr>
              <w:pageBreakBefore w:val="0"/>
              <w:widowControl w:val="0"/>
              <w:kinsoku/>
              <w:wordWrap/>
              <w:overflowPunct/>
              <w:topLinePunct w:val="0"/>
              <w:autoSpaceDE/>
              <w:autoSpaceDN/>
              <w:bidi w:val="0"/>
              <w:spacing w:line="560" w:lineRule="exact"/>
              <w:ind w:right="0" w:rightChars="0"/>
              <w:jc w:val="center"/>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备注</w:t>
            </w:r>
          </w:p>
        </w:tc>
      </w:tr>
      <w:tr w14:paraId="613C1AB7">
        <w:tblPrEx>
          <w:tblCellMar>
            <w:top w:w="0" w:type="dxa"/>
            <w:left w:w="108" w:type="dxa"/>
            <w:bottom w:w="0" w:type="dxa"/>
            <w:right w:w="108" w:type="dxa"/>
          </w:tblCellMar>
        </w:tblPrEx>
        <w:trPr>
          <w:trHeight w:val="581"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6514B81">
            <w:pPr>
              <w:pageBreakBefore w:val="0"/>
              <w:widowControl w:val="0"/>
              <w:numPr>
                <w:ilvl w:val="0"/>
                <w:numId w:val="0"/>
              </w:numPr>
              <w:kinsoku/>
              <w:wordWrap/>
              <w:overflowPunct/>
              <w:topLinePunct w:val="0"/>
              <w:autoSpaceDE/>
              <w:autoSpaceDN/>
              <w:bidi w:val="0"/>
              <w:spacing w:line="560" w:lineRule="exact"/>
              <w:ind w:right="0" w:rightChars="0" w:firstLine="240" w:firstLineChars="100"/>
              <w:jc w:val="both"/>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p>
        </w:tc>
        <w:tc>
          <w:tcPr>
            <w:tcW w:w="264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D4C1A8">
            <w:pPr>
              <w:keepNext w:val="0"/>
              <w:keepLines w:val="0"/>
              <w:widowControl/>
              <w:suppressLineNumbers w:val="0"/>
              <w:jc w:val="center"/>
              <w:textAlignment w:val="center"/>
              <w:rPr>
                <w:rFonts w:hint="default" w:ascii="宋体" w:hAnsi="宋体" w:eastAsia="宋体" w:cs="宋体"/>
                <w:color w:val="auto"/>
                <w:sz w:val="24"/>
                <w:szCs w:val="24"/>
                <w:lang w:val="en-US" w:eastAsia="zh-CN"/>
              </w:rPr>
            </w:pPr>
            <w:r>
              <w:rPr>
                <w:rFonts w:hint="default" w:ascii="Times New Roman" w:hAnsi="Times New Roman" w:eastAsia="方正仿宋_GBK" w:cs="Times New Roman"/>
                <w:color w:val="auto"/>
                <w:sz w:val="28"/>
                <w:szCs w:val="28"/>
              </w:rPr>
              <w:t>医用电梯</w:t>
            </w:r>
          </w:p>
        </w:tc>
        <w:tc>
          <w:tcPr>
            <w:tcW w:w="167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7502842">
            <w:pPr>
              <w:keepNext w:val="0"/>
              <w:keepLines w:val="0"/>
              <w:widowControl/>
              <w:suppressLineNumbers w:val="0"/>
              <w:jc w:val="center"/>
              <w:textAlignment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p>
        </w:tc>
        <w:tc>
          <w:tcPr>
            <w:tcW w:w="163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012545B">
            <w:pPr>
              <w:keepNext w:val="0"/>
              <w:keepLines w:val="0"/>
              <w:widowControl/>
              <w:suppressLineNumbers w:val="0"/>
              <w:jc w:val="center"/>
              <w:textAlignment w:val="center"/>
              <w:rPr>
                <w:rFonts w:hint="eastAsia" w:ascii="宋体" w:hAnsi="宋体" w:eastAsia="宋体" w:cs="宋体"/>
                <w:color w:val="auto"/>
                <w:sz w:val="24"/>
                <w:szCs w:val="24"/>
                <w:lang w:eastAsia="zh-CN"/>
              </w:rPr>
            </w:pPr>
            <w:r>
              <w:rPr>
                <w:rFonts w:hint="eastAsia" w:ascii="方正仿宋_GBK" w:hAnsi="方正仿宋_GBK" w:eastAsia="方正仿宋_GBK" w:cs="方正仿宋_GBK"/>
                <w:color w:val="auto"/>
                <w:kern w:val="0"/>
                <w:sz w:val="28"/>
                <w:szCs w:val="28"/>
                <w:highlight w:val="none"/>
                <w:lang w:val="en-US" w:eastAsia="zh-CN"/>
              </w:rPr>
              <w:t>台</w:t>
            </w:r>
          </w:p>
        </w:tc>
        <w:tc>
          <w:tcPr>
            <w:tcW w:w="147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41B8ACB">
            <w:pPr>
              <w:pageBreakBefore w:val="0"/>
              <w:widowControl w:val="0"/>
              <w:kinsoku/>
              <w:wordWrap/>
              <w:overflowPunct/>
              <w:topLinePunct w:val="0"/>
              <w:autoSpaceDE/>
              <w:autoSpaceDN/>
              <w:bidi w:val="0"/>
              <w:spacing w:line="560" w:lineRule="exact"/>
              <w:ind w:right="0" w:rightChars="0"/>
              <w:jc w:val="center"/>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工业</w:t>
            </w:r>
          </w:p>
        </w:tc>
        <w:tc>
          <w:tcPr>
            <w:tcW w:w="123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2E8CD8">
            <w:pPr>
              <w:pageBreakBefore w:val="0"/>
              <w:widowControl w:val="0"/>
              <w:kinsoku/>
              <w:wordWrap/>
              <w:overflowPunct/>
              <w:topLinePunct w:val="0"/>
              <w:autoSpaceDE/>
              <w:autoSpaceDN/>
              <w:bidi w:val="0"/>
              <w:spacing w:line="560" w:lineRule="exact"/>
              <w:ind w:right="0" w:rightChars="0"/>
              <w:jc w:val="center"/>
              <w:textAlignment w:val="auto"/>
              <w:rPr>
                <w:rFonts w:hint="eastAsia" w:ascii="宋体" w:hAnsi="宋体" w:eastAsia="宋体" w:cs="宋体"/>
                <w:color w:val="auto"/>
                <w:sz w:val="24"/>
                <w:szCs w:val="24"/>
              </w:rPr>
            </w:pPr>
          </w:p>
        </w:tc>
      </w:tr>
    </w:tbl>
    <w:p w14:paraId="6AF2C9D7">
      <w:pPr>
        <w:pStyle w:val="32"/>
        <w:ind w:left="0" w:leftChars="0" w:firstLine="480" w:firstLineChars="200"/>
        <w:rPr>
          <w:rFonts w:hint="eastAsia" w:ascii="宋体" w:hAnsi="宋体" w:eastAsia="宋体" w:cs="宋体"/>
          <w:color w:val="auto"/>
          <w:sz w:val="24"/>
          <w:szCs w:val="24"/>
          <w:highlight w:val="none"/>
          <w:lang w:val="en-US" w:eastAsia="zh-CN"/>
        </w:rPr>
      </w:pPr>
      <w:bookmarkStart w:id="219" w:name="_Toc85122593"/>
      <w:bookmarkStart w:id="220" w:name="_Toc87449851"/>
    </w:p>
    <w:p w14:paraId="6463854E">
      <w:pPr>
        <w:pStyle w:val="14"/>
        <w:rPr>
          <w:rFonts w:hint="eastAsia"/>
          <w:color w:val="auto"/>
          <w:lang w:val="en-US" w:eastAsia="zh-CN"/>
        </w:rPr>
      </w:pPr>
    </w:p>
    <w:p w14:paraId="3340597A">
      <w:pPr>
        <w:pStyle w:val="32"/>
        <w:ind w:left="0" w:leftChars="0" w:firstLine="480" w:firstLineChars="20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根据</w:t>
      </w:r>
      <w:r>
        <w:rPr>
          <w:rFonts w:hint="eastAsia" w:ascii="宋体" w:hAnsi="宋体" w:cs="宋体"/>
          <w:color w:val="auto"/>
          <w:sz w:val="24"/>
          <w:szCs w:val="24"/>
          <w:highlight w:val="none"/>
          <w:lang w:val="en-US" w:eastAsia="zh-CN"/>
        </w:rPr>
        <w:t>《中小企业划型标准规定》</w:t>
      </w:r>
      <w:r>
        <w:rPr>
          <w:rFonts w:hint="eastAsia" w:ascii="宋体" w:hAnsi="宋体" w:eastAsia="宋体" w:cs="宋体"/>
          <w:color w:val="auto"/>
          <w:sz w:val="24"/>
          <w:szCs w:val="24"/>
          <w:highlight w:val="none"/>
          <w:lang w:val="en-US" w:eastAsia="zh-CN"/>
        </w:rPr>
        <w:t>（工信部联企业〔2011〕300号）</w:t>
      </w:r>
      <w:r>
        <w:rPr>
          <w:rFonts w:hint="eastAsia" w:ascii="宋体" w:hAnsi="宋体" w:cs="宋体"/>
          <w:color w:val="auto"/>
          <w:sz w:val="24"/>
          <w:szCs w:val="24"/>
          <w:highlight w:val="none"/>
          <w:lang w:val="en-US" w:eastAsia="zh-CN"/>
        </w:rPr>
        <w:t>，该</w:t>
      </w:r>
      <w:r>
        <w:rPr>
          <w:rFonts w:hint="eastAsia" w:ascii="宋体" w:hAnsi="宋体" w:eastAsia="宋体" w:cs="宋体"/>
          <w:color w:val="auto"/>
          <w:sz w:val="24"/>
          <w:szCs w:val="24"/>
          <w:highlight w:val="none"/>
          <w:lang w:val="en-US" w:eastAsia="zh-CN"/>
        </w:rPr>
        <w:t>项目主要标的物属于</w:t>
      </w:r>
      <w:r>
        <w:rPr>
          <w:rFonts w:hint="eastAsia" w:ascii="宋体" w:hAnsi="宋体" w:eastAsia="宋体" w:cs="宋体"/>
          <w:b/>
          <w:bCs/>
          <w:color w:val="auto"/>
          <w:sz w:val="24"/>
          <w:szCs w:val="24"/>
          <w:highlight w:val="none"/>
          <w:u w:val="single"/>
          <w:lang w:val="en-US" w:eastAsia="zh-CN"/>
        </w:rPr>
        <w:t>工业</w:t>
      </w:r>
    </w:p>
    <w:p w14:paraId="45920C31">
      <w:pPr>
        <w:pStyle w:val="32"/>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294B2EF">
      <w:pPr>
        <w:pStyle w:val="14"/>
        <w:rPr>
          <w:rFonts w:hint="eastAsia" w:ascii="宋体" w:hAnsi="宋体" w:eastAsia="宋体" w:cs="宋体"/>
          <w:color w:val="auto"/>
          <w:sz w:val="24"/>
          <w:szCs w:val="24"/>
          <w:highlight w:val="none"/>
          <w:lang w:val="en-US" w:eastAsia="zh-CN"/>
        </w:rPr>
      </w:pPr>
    </w:p>
    <w:p w14:paraId="3C9D5709">
      <w:pPr>
        <w:rPr>
          <w:rFonts w:hint="eastAsia" w:ascii="宋体" w:hAnsi="宋体" w:eastAsia="宋体" w:cs="宋体"/>
          <w:color w:val="auto"/>
          <w:sz w:val="24"/>
          <w:szCs w:val="24"/>
          <w:highlight w:val="none"/>
          <w:lang w:val="en-US" w:eastAsia="zh-CN"/>
        </w:rPr>
      </w:pPr>
    </w:p>
    <w:p w14:paraId="48687659">
      <w:pPr>
        <w:rPr>
          <w:rFonts w:hint="eastAsia" w:ascii="宋体" w:hAnsi="宋体" w:eastAsia="宋体" w:cs="宋体"/>
          <w:color w:val="auto"/>
          <w:sz w:val="24"/>
          <w:szCs w:val="24"/>
          <w:highlight w:val="none"/>
          <w:lang w:val="en-US" w:eastAsia="zh-CN"/>
        </w:rPr>
      </w:pPr>
    </w:p>
    <w:p w14:paraId="3D21C512">
      <w:pPr>
        <w:pStyle w:val="3"/>
        <w:pageBreakBefore w:val="0"/>
        <w:widowControl w:val="0"/>
        <w:numPr>
          <w:ilvl w:val="0"/>
          <w:numId w:val="0"/>
        </w:numPr>
        <w:kinsoku/>
        <w:wordWrap/>
        <w:overflowPunct/>
        <w:topLinePunct w:val="0"/>
        <w:autoSpaceDE/>
        <w:autoSpaceDN/>
        <w:bidi w:val="0"/>
        <w:adjustRightInd/>
        <w:snapToGrid/>
        <w:spacing w:before="0" w:after="0" w:line="560" w:lineRule="exact"/>
        <w:ind w:leftChars="0" w:right="0" w:rightChars="0"/>
        <w:textAlignment w:val="auto"/>
        <w:rPr>
          <w:rFonts w:hint="eastAsia"/>
          <w:color w:val="auto"/>
          <w:sz w:val="28"/>
          <w:szCs w:val="28"/>
          <w:lang w:val="en-US" w:eastAsia="zh-CN"/>
        </w:rPr>
      </w:pPr>
      <w:bookmarkStart w:id="221" w:name="_Toc1810"/>
      <w:bookmarkStart w:id="222" w:name="_Toc8231_WPSOffice_Level2"/>
      <w:bookmarkStart w:id="223" w:name="_Toc22855"/>
      <w:bookmarkStart w:id="224" w:name="_Toc5167"/>
      <w:bookmarkStart w:id="225" w:name="_Toc14458"/>
      <w:r>
        <w:rPr>
          <w:rFonts w:hint="eastAsia"/>
          <w:color w:val="auto"/>
          <w:sz w:val="28"/>
          <w:szCs w:val="28"/>
          <w:lang w:val="en-US" w:eastAsia="zh-CN"/>
        </w:rPr>
        <w:t>三、技术参数及要求</w:t>
      </w:r>
      <w:bookmarkEnd w:id="219"/>
      <w:bookmarkEnd w:id="220"/>
      <w:bookmarkEnd w:id="221"/>
      <w:bookmarkEnd w:id="222"/>
      <w:bookmarkEnd w:id="223"/>
      <w:bookmarkEnd w:id="224"/>
      <w:bookmarkEnd w:id="225"/>
    </w:p>
    <w:p w14:paraId="6F611D89">
      <w:pPr>
        <w:numPr>
          <w:ilvl w:val="0"/>
          <w:numId w:val="0"/>
        </w:numPr>
        <w:ind w:leftChars="0"/>
        <w:rPr>
          <w:rFonts w:hint="eastAsia"/>
          <w:color w:val="auto"/>
          <w:lang w:val="en-US" w:eastAsia="zh-CN"/>
        </w:rPr>
      </w:pPr>
    </w:p>
    <w:tbl>
      <w:tblPr>
        <w:tblStyle w:val="33"/>
        <w:tblW w:w="113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3"/>
        <w:gridCol w:w="909"/>
        <w:gridCol w:w="1365"/>
        <w:gridCol w:w="1699"/>
        <w:gridCol w:w="3632"/>
        <w:gridCol w:w="945"/>
        <w:gridCol w:w="780"/>
        <w:gridCol w:w="780"/>
      </w:tblGrid>
      <w:tr w14:paraId="1B0F5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273" w:type="dxa"/>
            <w:shd w:val="clear" w:color="000000" w:fill="FFFFFF"/>
            <w:noWrap w:val="0"/>
            <w:vAlign w:val="center"/>
          </w:tcPr>
          <w:p w14:paraId="39BB16D3">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货物名称</w:t>
            </w:r>
          </w:p>
        </w:tc>
        <w:tc>
          <w:tcPr>
            <w:tcW w:w="909" w:type="dxa"/>
            <w:shd w:val="clear" w:color="000000" w:fill="FFFFFF"/>
            <w:noWrap w:val="0"/>
            <w:vAlign w:val="center"/>
          </w:tcPr>
          <w:p w14:paraId="6B4B7D8C">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序号</w:t>
            </w:r>
          </w:p>
        </w:tc>
        <w:tc>
          <w:tcPr>
            <w:tcW w:w="6696" w:type="dxa"/>
            <w:gridSpan w:val="3"/>
            <w:shd w:val="clear" w:color="000000" w:fill="FFFFFF"/>
            <w:noWrap w:val="0"/>
            <w:vAlign w:val="center"/>
          </w:tcPr>
          <w:p w14:paraId="511760FB">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b/>
                <w:bCs/>
                <w:color w:val="auto"/>
                <w:kern w:val="0"/>
                <w:sz w:val="18"/>
                <w:szCs w:val="18"/>
              </w:rPr>
            </w:pPr>
            <w:r>
              <w:rPr>
                <w:rFonts w:hint="eastAsia" w:ascii="宋体" w:hAnsi="宋体" w:eastAsia="宋体" w:cs="宋体"/>
                <w:b/>
                <w:bCs/>
                <w:color w:val="auto"/>
                <w:sz w:val="24"/>
                <w:szCs w:val="24"/>
                <w:highlight w:val="none"/>
                <w:lang w:val="en-US" w:eastAsia="zh-CN"/>
              </w:rPr>
              <w:t>一般项目：规格、技术参数、性能要求</w:t>
            </w:r>
          </w:p>
        </w:tc>
        <w:tc>
          <w:tcPr>
            <w:tcW w:w="945" w:type="dxa"/>
            <w:shd w:val="clear" w:color="000000" w:fill="FFFFFF"/>
            <w:noWrap w:val="0"/>
            <w:vAlign w:val="center"/>
          </w:tcPr>
          <w:p w14:paraId="71C0E2B1">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数量</w:t>
            </w:r>
          </w:p>
        </w:tc>
        <w:tc>
          <w:tcPr>
            <w:tcW w:w="780" w:type="dxa"/>
            <w:shd w:val="clear" w:color="000000" w:fill="FFFFFF"/>
            <w:noWrap w:val="0"/>
            <w:vAlign w:val="center"/>
          </w:tcPr>
          <w:p w14:paraId="3B956CF7">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计量单位</w:t>
            </w:r>
          </w:p>
        </w:tc>
        <w:tc>
          <w:tcPr>
            <w:tcW w:w="780" w:type="dxa"/>
            <w:shd w:val="clear" w:color="000000" w:fill="FFFFFF"/>
            <w:noWrap w:val="0"/>
            <w:vAlign w:val="center"/>
          </w:tcPr>
          <w:p w14:paraId="3AEE05C3">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备注</w:t>
            </w:r>
          </w:p>
        </w:tc>
      </w:tr>
      <w:tr w14:paraId="185CD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3" w:type="dxa"/>
            <w:vMerge w:val="restart"/>
            <w:shd w:val="clear" w:color="000000" w:fill="FFFFFF"/>
            <w:noWrap w:val="0"/>
            <w:vAlign w:val="center"/>
          </w:tcPr>
          <w:p w14:paraId="00AEC280">
            <w:pPr>
              <w:keepNext w:val="0"/>
              <w:keepLines w:val="0"/>
              <w:pageBreakBefore w:val="0"/>
              <w:kinsoku/>
              <w:wordWrap/>
              <w:overflowPunct/>
              <w:topLinePunct w:val="0"/>
              <w:autoSpaceDE/>
              <w:autoSpaceDN/>
              <w:bidi w:val="0"/>
              <w:adjustRightInd/>
              <w:snapToGrid/>
              <w:spacing w:line="400" w:lineRule="atLeast"/>
              <w:jc w:val="center"/>
              <w:textAlignment w:val="auto"/>
              <w:rPr>
                <w:rFonts w:hint="eastAsia" w:eastAsia="方正仿宋_GBK" w:cs="Times New Roman"/>
                <w:color w:val="auto"/>
                <w:kern w:val="0"/>
                <w:szCs w:val="21"/>
                <w:lang w:val="en-US" w:eastAsia="zh-CN"/>
              </w:rPr>
            </w:pPr>
          </w:p>
          <w:p w14:paraId="33701139">
            <w:pPr>
              <w:keepNext w:val="0"/>
              <w:keepLines w:val="0"/>
              <w:pageBreakBefore w:val="0"/>
              <w:kinsoku/>
              <w:wordWrap/>
              <w:overflowPunct/>
              <w:topLinePunct w:val="0"/>
              <w:autoSpaceDE/>
              <w:autoSpaceDN/>
              <w:bidi w:val="0"/>
              <w:adjustRightInd/>
              <w:snapToGrid/>
              <w:spacing w:line="400" w:lineRule="atLeast"/>
              <w:jc w:val="center"/>
              <w:textAlignment w:val="auto"/>
              <w:rPr>
                <w:rFonts w:hint="eastAsia" w:eastAsia="方正仿宋_GBK" w:cs="Times New Roman"/>
                <w:color w:val="auto"/>
                <w:kern w:val="0"/>
                <w:szCs w:val="21"/>
                <w:lang w:val="en-US" w:eastAsia="zh-CN"/>
              </w:rPr>
            </w:pPr>
          </w:p>
          <w:p w14:paraId="2DDF2CCC">
            <w:pPr>
              <w:keepNext w:val="0"/>
              <w:keepLines w:val="0"/>
              <w:pageBreakBefore w:val="0"/>
              <w:kinsoku/>
              <w:wordWrap/>
              <w:overflowPunct/>
              <w:topLinePunct w:val="0"/>
              <w:autoSpaceDE/>
              <w:autoSpaceDN/>
              <w:bidi w:val="0"/>
              <w:adjustRightInd/>
              <w:snapToGrid/>
              <w:spacing w:line="400" w:lineRule="atLeast"/>
              <w:jc w:val="center"/>
              <w:textAlignment w:val="auto"/>
              <w:rPr>
                <w:rFonts w:hint="eastAsia" w:eastAsia="方正仿宋_GBK" w:cs="Times New Roman"/>
                <w:color w:val="auto"/>
                <w:kern w:val="0"/>
                <w:szCs w:val="21"/>
                <w:lang w:val="en-US" w:eastAsia="zh-CN"/>
              </w:rPr>
            </w:pPr>
          </w:p>
          <w:p w14:paraId="1D8BC482">
            <w:pPr>
              <w:keepNext w:val="0"/>
              <w:keepLines w:val="0"/>
              <w:pageBreakBefore w:val="0"/>
              <w:kinsoku/>
              <w:wordWrap/>
              <w:overflowPunct/>
              <w:topLinePunct w:val="0"/>
              <w:autoSpaceDE/>
              <w:autoSpaceDN/>
              <w:bidi w:val="0"/>
              <w:adjustRightInd/>
              <w:snapToGrid/>
              <w:spacing w:line="400" w:lineRule="atLeast"/>
              <w:jc w:val="center"/>
              <w:textAlignment w:val="auto"/>
              <w:rPr>
                <w:rFonts w:hint="eastAsia" w:eastAsia="方正仿宋_GBK" w:cs="Times New Roman"/>
                <w:color w:val="auto"/>
                <w:kern w:val="0"/>
                <w:szCs w:val="21"/>
                <w:lang w:val="en-US" w:eastAsia="zh-CN"/>
              </w:rPr>
            </w:pPr>
          </w:p>
          <w:p w14:paraId="1B907B4C">
            <w:pPr>
              <w:keepNext w:val="0"/>
              <w:keepLines w:val="0"/>
              <w:pageBreakBefore w:val="0"/>
              <w:kinsoku/>
              <w:wordWrap/>
              <w:overflowPunct/>
              <w:topLinePunct w:val="0"/>
              <w:autoSpaceDE/>
              <w:autoSpaceDN/>
              <w:bidi w:val="0"/>
              <w:adjustRightInd/>
              <w:snapToGrid/>
              <w:spacing w:line="400" w:lineRule="atLeast"/>
              <w:jc w:val="center"/>
              <w:textAlignment w:val="auto"/>
              <w:rPr>
                <w:rFonts w:hint="eastAsia" w:eastAsia="方正仿宋_GBK" w:cs="Times New Roman"/>
                <w:color w:val="auto"/>
                <w:kern w:val="0"/>
                <w:szCs w:val="21"/>
                <w:lang w:val="en-US" w:eastAsia="zh-CN"/>
              </w:rPr>
            </w:pPr>
          </w:p>
          <w:p w14:paraId="15EF59CA">
            <w:pPr>
              <w:keepNext w:val="0"/>
              <w:keepLines w:val="0"/>
              <w:pageBreakBefore w:val="0"/>
              <w:kinsoku/>
              <w:wordWrap/>
              <w:overflowPunct/>
              <w:topLinePunct w:val="0"/>
              <w:autoSpaceDE/>
              <w:autoSpaceDN/>
              <w:bidi w:val="0"/>
              <w:adjustRightInd/>
              <w:snapToGrid/>
              <w:spacing w:line="400" w:lineRule="atLeast"/>
              <w:jc w:val="center"/>
              <w:textAlignment w:val="auto"/>
              <w:rPr>
                <w:rFonts w:hint="eastAsia" w:eastAsia="方正仿宋_GBK" w:cs="Times New Roman"/>
                <w:color w:val="auto"/>
                <w:kern w:val="0"/>
                <w:szCs w:val="21"/>
                <w:lang w:val="en-US" w:eastAsia="zh-CN"/>
              </w:rPr>
            </w:pPr>
          </w:p>
          <w:p w14:paraId="0903B23F">
            <w:pPr>
              <w:keepNext w:val="0"/>
              <w:keepLines w:val="0"/>
              <w:pageBreakBefore w:val="0"/>
              <w:kinsoku/>
              <w:wordWrap/>
              <w:overflowPunct/>
              <w:topLinePunct w:val="0"/>
              <w:autoSpaceDE/>
              <w:autoSpaceDN/>
              <w:bidi w:val="0"/>
              <w:adjustRightInd/>
              <w:snapToGrid/>
              <w:spacing w:line="400" w:lineRule="atLeast"/>
              <w:jc w:val="center"/>
              <w:textAlignment w:val="auto"/>
              <w:rPr>
                <w:rFonts w:hint="eastAsia" w:eastAsia="方正仿宋_GBK" w:cs="Times New Roman"/>
                <w:color w:val="auto"/>
                <w:kern w:val="0"/>
                <w:szCs w:val="21"/>
                <w:lang w:val="en-US" w:eastAsia="zh-CN"/>
              </w:rPr>
            </w:pPr>
          </w:p>
          <w:p w14:paraId="3551FC2D">
            <w:pPr>
              <w:keepNext w:val="0"/>
              <w:keepLines w:val="0"/>
              <w:pageBreakBefore w:val="0"/>
              <w:kinsoku/>
              <w:wordWrap/>
              <w:overflowPunct/>
              <w:topLinePunct w:val="0"/>
              <w:autoSpaceDE/>
              <w:autoSpaceDN/>
              <w:bidi w:val="0"/>
              <w:adjustRightInd/>
              <w:snapToGrid/>
              <w:spacing w:line="400" w:lineRule="atLeast"/>
              <w:jc w:val="center"/>
              <w:textAlignment w:val="auto"/>
              <w:rPr>
                <w:rFonts w:hint="eastAsia" w:eastAsia="方正仿宋_GBK" w:cs="Times New Roman"/>
                <w:color w:val="auto"/>
                <w:kern w:val="0"/>
                <w:szCs w:val="21"/>
                <w:lang w:val="en-US" w:eastAsia="zh-CN"/>
              </w:rPr>
            </w:pPr>
          </w:p>
          <w:p w14:paraId="45579311">
            <w:pPr>
              <w:keepNext w:val="0"/>
              <w:keepLines w:val="0"/>
              <w:pageBreakBefore w:val="0"/>
              <w:kinsoku/>
              <w:wordWrap/>
              <w:overflowPunct/>
              <w:topLinePunct w:val="0"/>
              <w:autoSpaceDE/>
              <w:autoSpaceDN/>
              <w:bidi w:val="0"/>
              <w:adjustRightInd/>
              <w:snapToGrid/>
              <w:spacing w:line="400" w:lineRule="atLeast"/>
              <w:jc w:val="center"/>
              <w:textAlignment w:val="auto"/>
              <w:rPr>
                <w:rFonts w:hint="eastAsia" w:eastAsia="方正仿宋_GBK" w:cs="Times New Roman"/>
                <w:color w:val="auto"/>
                <w:kern w:val="0"/>
                <w:szCs w:val="21"/>
                <w:lang w:val="en-US" w:eastAsia="zh-CN"/>
              </w:rPr>
            </w:pPr>
          </w:p>
          <w:p w14:paraId="5C4AAB64">
            <w:pPr>
              <w:keepNext w:val="0"/>
              <w:keepLines w:val="0"/>
              <w:pageBreakBefore w:val="0"/>
              <w:kinsoku/>
              <w:wordWrap/>
              <w:overflowPunct/>
              <w:topLinePunct w:val="0"/>
              <w:autoSpaceDE/>
              <w:autoSpaceDN/>
              <w:bidi w:val="0"/>
              <w:adjustRightInd/>
              <w:snapToGrid/>
              <w:spacing w:line="400" w:lineRule="atLeast"/>
              <w:jc w:val="center"/>
              <w:textAlignment w:val="auto"/>
              <w:rPr>
                <w:rFonts w:hint="eastAsia" w:eastAsia="方正仿宋_GBK" w:cs="Times New Roman"/>
                <w:color w:val="auto"/>
                <w:kern w:val="0"/>
                <w:szCs w:val="21"/>
                <w:lang w:val="en-US" w:eastAsia="zh-CN"/>
              </w:rPr>
            </w:pPr>
          </w:p>
          <w:p w14:paraId="12DA26EF">
            <w:pPr>
              <w:keepNext w:val="0"/>
              <w:keepLines w:val="0"/>
              <w:pageBreakBefore w:val="0"/>
              <w:kinsoku/>
              <w:wordWrap/>
              <w:overflowPunct/>
              <w:topLinePunct w:val="0"/>
              <w:autoSpaceDE/>
              <w:autoSpaceDN/>
              <w:bidi w:val="0"/>
              <w:adjustRightInd/>
              <w:snapToGrid/>
              <w:spacing w:line="400" w:lineRule="atLeast"/>
              <w:jc w:val="center"/>
              <w:textAlignment w:val="auto"/>
              <w:rPr>
                <w:rFonts w:hint="eastAsia" w:eastAsia="方正仿宋_GBK" w:cs="Times New Roman"/>
                <w:color w:val="auto"/>
                <w:kern w:val="0"/>
                <w:szCs w:val="21"/>
                <w:lang w:val="en-US" w:eastAsia="zh-CN"/>
              </w:rPr>
            </w:pPr>
          </w:p>
          <w:p w14:paraId="5785AEEA">
            <w:pPr>
              <w:keepNext w:val="0"/>
              <w:keepLines w:val="0"/>
              <w:pageBreakBefore w:val="0"/>
              <w:kinsoku/>
              <w:wordWrap/>
              <w:overflowPunct/>
              <w:topLinePunct w:val="0"/>
              <w:autoSpaceDE/>
              <w:autoSpaceDN/>
              <w:bidi w:val="0"/>
              <w:adjustRightInd/>
              <w:snapToGrid/>
              <w:spacing w:line="400" w:lineRule="atLeast"/>
              <w:jc w:val="center"/>
              <w:textAlignment w:val="auto"/>
              <w:rPr>
                <w:rFonts w:hint="eastAsia" w:eastAsia="方正仿宋_GBK" w:cs="Times New Roman"/>
                <w:color w:val="auto"/>
                <w:kern w:val="0"/>
                <w:szCs w:val="21"/>
                <w:lang w:val="en-US" w:eastAsia="zh-CN"/>
              </w:rPr>
            </w:pPr>
          </w:p>
          <w:p w14:paraId="5ADD6591">
            <w:pPr>
              <w:keepNext w:val="0"/>
              <w:keepLines w:val="0"/>
              <w:pageBreakBefore w:val="0"/>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lang w:val="en-US" w:eastAsia="zh-CN"/>
              </w:rPr>
            </w:pPr>
            <w:r>
              <w:rPr>
                <w:rFonts w:hint="eastAsia" w:eastAsia="方正仿宋_GBK" w:cs="Times New Roman"/>
                <w:color w:val="auto"/>
                <w:kern w:val="0"/>
                <w:szCs w:val="21"/>
                <w:lang w:val="en-US" w:eastAsia="zh-CN"/>
              </w:rPr>
              <w:t>医用电梯</w:t>
            </w:r>
          </w:p>
        </w:tc>
        <w:tc>
          <w:tcPr>
            <w:tcW w:w="909" w:type="dxa"/>
            <w:vMerge w:val="restart"/>
            <w:shd w:val="clear" w:color="000000" w:fill="FFFFFF"/>
            <w:noWrap w:val="0"/>
            <w:vAlign w:val="center"/>
          </w:tcPr>
          <w:p w14:paraId="3195DE6B">
            <w:pPr>
              <w:keepNext w:val="0"/>
              <w:keepLines w:val="0"/>
              <w:pageBreakBefore w:val="0"/>
              <w:kinsoku/>
              <w:wordWrap/>
              <w:overflowPunct/>
              <w:topLinePunct w:val="0"/>
              <w:autoSpaceDE/>
              <w:autoSpaceDN/>
              <w:bidi w:val="0"/>
              <w:adjustRightInd/>
              <w:snapToGrid/>
              <w:spacing w:line="400" w:lineRule="atLeast"/>
              <w:jc w:val="center"/>
              <w:textAlignment w:val="auto"/>
              <w:rPr>
                <w:rFonts w:hint="eastAsia" w:ascii="Times New Roman" w:hAnsi="Times New Roman" w:eastAsia="方正仿宋_GBK" w:cs="Times New Roman"/>
                <w:color w:val="auto"/>
                <w:kern w:val="0"/>
                <w:szCs w:val="21"/>
                <w:lang w:val="en-US" w:eastAsia="zh-CN"/>
              </w:rPr>
            </w:pPr>
            <w:r>
              <w:rPr>
                <w:rFonts w:hint="eastAsia" w:eastAsia="方正仿宋_GBK" w:cs="Times New Roman"/>
                <w:color w:val="auto"/>
                <w:kern w:val="0"/>
                <w:szCs w:val="21"/>
                <w:lang w:val="en-US" w:eastAsia="zh-CN"/>
              </w:rPr>
              <w:t>1</w:t>
            </w:r>
          </w:p>
        </w:tc>
        <w:tc>
          <w:tcPr>
            <w:tcW w:w="1365" w:type="dxa"/>
            <w:vMerge w:val="restart"/>
            <w:shd w:val="clear" w:color="000000" w:fill="FFFFFF"/>
            <w:noWrap w:val="0"/>
            <w:vAlign w:val="center"/>
          </w:tcPr>
          <w:p w14:paraId="35A3E2F8">
            <w:pPr>
              <w:keepNext w:val="0"/>
              <w:keepLines w:val="0"/>
              <w:pageBreakBefore w:val="0"/>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r>
              <w:rPr>
                <w:rFonts w:hint="default" w:ascii="Times New Roman" w:hAnsi="Times New Roman" w:eastAsia="方正仿宋_GBK" w:cs="Times New Roman"/>
                <w:color w:val="auto"/>
                <w:kern w:val="0"/>
                <w:szCs w:val="21"/>
              </w:rPr>
              <w:t>基本参数</w:t>
            </w:r>
          </w:p>
        </w:tc>
        <w:tc>
          <w:tcPr>
            <w:tcW w:w="1699" w:type="dxa"/>
            <w:shd w:val="clear" w:color="000000" w:fill="FFFFFF"/>
            <w:noWrap w:val="0"/>
            <w:vAlign w:val="center"/>
          </w:tcPr>
          <w:p w14:paraId="66ECC71A">
            <w:pPr>
              <w:keepNext w:val="0"/>
              <w:keepLines w:val="0"/>
              <w:pageBreakBefore w:val="0"/>
              <w:widowControl/>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kern w:val="0"/>
                <w:szCs w:val="21"/>
              </w:rPr>
            </w:pPr>
            <w:r>
              <w:rPr>
                <w:rFonts w:hint="default" w:ascii="Times New Roman" w:hAnsi="Times New Roman" w:eastAsia="方正仿宋_GBK" w:cs="Times New Roman"/>
                <w:color w:val="auto"/>
                <w:szCs w:val="21"/>
              </w:rPr>
              <w:t>★</w:t>
            </w:r>
            <w:r>
              <w:rPr>
                <w:rFonts w:hint="default" w:ascii="Times New Roman" w:hAnsi="Times New Roman" w:eastAsia="方正仿宋_GBK" w:cs="Times New Roman"/>
                <w:color w:val="auto"/>
                <w:kern w:val="0"/>
                <w:szCs w:val="21"/>
              </w:rPr>
              <w:t>1.1梯型</w:t>
            </w:r>
          </w:p>
        </w:tc>
        <w:tc>
          <w:tcPr>
            <w:tcW w:w="3632" w:type="dxa"/>
            <w:shd w:val="clear" w:color="000000" w:fill="FFFFFF"/>
            <w:noWrap w:val="0"/>
            <w:vAlign w:val="center"/>
          </w:tcPr>
          <w:p w14:paraId="183C1D3A">
            <w:pPr>
              <w:keepNext w:val="0"/>
              <w:keepLines w:val="0"/>
              <w:pageBreakBefore w:val="0"/>
              <w:tabs>
                <w:tab w:val="left" w:pos="1047"/>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lang w:val="en-US" w:eastAsia="zh-CN"/>
              </w:rPr>
              <w:t>无</w:t>
            </w:r>
            <w:r>
              <w:rPr>
                <w:rFonts w:hint="default" w:ascii="Times New Roman" w:hAnsi="Times New Roman" w:eastAsia="方正仿宋_GBK" w:cs="Times New Roman"/>
                <w:color w:val="auto"/>
                <w:szCs w:val="21"/>
              </w:rPr>
              <w:t>机房电梯</w:t>
            </w:r>
          </w:p>
        </w:tc>
        <w:tc>
          <w:tcPr>
            <w:tcW w:w="945" w:type="dxa"/>
            <w:vMerge w:val="restart"/>
            <w:shd w:val="clear" w:color="000000" w:fill="FFFFFF"/>
            <w:noWrap w:val="0"/>
            <w:vAlign w:val="center"/>
          </w:tcPr>
          <w:p w14:paraId="75AE9E51">
            <w:pPr>
              <w:keepNext w:val="0"/>
              <w:keepLines w:val="0"/>
              <w:pageBreakBefore w:val="0"/>
              <w:tabs>
                <w:tab w:val="left" w:pos="1047"/>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r>
              <w:rPr>
                <w:rFonts w:hint="eastAsia" w:eastAsia="方正仿宋_GBK" w:cs="Times New Roman"/>
                <w:color w:val="auto"/>
                <w:szCs w:val="21"/>
                <w:lang w:val="en-US" w:eastAsia="zh-CN"/>
              </w:rPr>
              <w:t>1</w:t>
            </w:r>
          </w:p>
        </w:tc>
        <w:tc>
          <w:tcPr>
            <w:tcW w:w="780" w:type="dxa"/>
            <w:vMerge w:val="restart"/>
            <w:shd w:val="clear" w:color="000000" w:fill="FFFFFF"/>
            <w:noWrap w:val="0"/>
            <w:vAlign w:val="center"/>
          </w:tcPr>
          <w:p w14:paraId="3F502A74">
            <w:pPr>
              <w:keepNext w:val="0"/>
              <w:keepLines w:val="0"/>
              <w:pageBreakBefore w:val="0"/>
              <w:tabs>
                <w:tab w:val="left" w:pos="1047"/>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r>
              <w:rPr>
                <w:rFonts w:hint="eastAsia" w:eastAsia="方正仿宋_GBK" w:cs="Times New Roman"/>
                <w:color w:val="auto"/>
                <w:szCs w:val="21"/>
                <w:lang w:val="en-US" w:eastAsia="zh-CN"/>
              </w:rPr>
              <w:t>台</w:t>
            </w:r>
          </w:p>
        </w:tc>
        <w:tc>
          <w:tcPr>
            <w:tcW w:w="780" w:type="dxa"/>
            <w:vMerge w:val="restart"/>
            <w:shd w:val="clear" w:color="000000" w:fill="FFFFFF"/>
            <w:noWrap w:val="0"/>
            <w:vAlign w:val="center"/>
          </w:tcPr>
          <w:p w14:paraId="392BB638">
            <w:pPr>
              <w:keepNext w:val="0"/>
              <w:keepLines w:val="0"/>
              <w:pageBreakBefore w:val="0"/>
              <w:tabs>
                <w:tab w:val="left" w:pos="1047"/>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r>
      <w:tr w14:paraId="68F90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420922B1">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continue"/>
            <w:shd w:val="clear" w:color="000000" w:fill="FFFFFF"/>
            <w:noWrap w:val="0"/>
            <w:vAlign w:val="center"/>
          </w:tcPr>
          <w:p w14:paraId="15311E39">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365" w:type="dxa"/>
            <w:vMerge w:val="continue"/>
            <w:shd w:val="clear" w:color="000000" w:fill="FFFFFF"/>
            <w:noWrap w:val="0"/>
            <w:vAlign w:val="center"/>
          </w:tcPr>
          <w:p w14:paraId="5FD524B4">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699" w:type="dxa"/>
            <w:shd w:val="clear" w:color="000000" w:fill="FFFFFF"/>
            <w:noWrap w:val="0"/>
            <w:vAlign w:val="center"/>
          </w:tcPr>
          <w:p w14:paraId="619881F3">
            <w:pPr>
              <w:keepNext w:val="0"/>
              <w:keepLines w:val="0"/>
              <w:pageBreakBefore w:val="0"/>
              <w:widowControl/>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kern w:val="0"/>
                <w:szCs w:val="21"/>
              </w:rPr>
            </w:pPr>
            <w:r>
              <w:rPr>
                <w:rFonts w:hint="default" w:ascii="Times New Roman" w:hAnsi="Times New Roman" w:eastAsia="方正仿宋_GBK" w:cs="Times New Roman"/>
                <w:color w:val="auto"/>
                <w:szCs w:val="21"/>
              </w:rPr>
              <w:t>★</w:t>
            </w:r>
            <w:r>
              <w:rPr>
                <w:rFonts w:hint="default" w:ascii="Times New Roman" w:hAnsi="Times New Roman" w:eastAsia="方正仿宋_GBK" w:cs="Times New Roman"/>
                <w:color w:val="auto"/>
                <w:kern w:val="0"/>
                <w:szCs w:val="21"/>
              </w:rPr>
              <w:t>1.2梯种</w:t>
            </w:r>
          </w:p>
        </w:tc>
        <w:tc>
          <w:tcPr>
            <w:tcW w:w="3632" w:type="dxa"/>
            <w:shd w:val="clear" w:color="000000" w:fill="FFFFFF"/>
            <w:noWrap w:val="0"/>
            <w:vAlign w:val="center"/>
          </w:tcPr>
          <w:p w14:paraId="4899C5E0">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FF0000"/>
                <w:szCs w:val="21"/>
              </w:rPr>
            </w:pPr>
            <w:r>
              <w:rPr>
                <w:rFonts w:hint="default" w:ascii="Times New Roman" w:hAnsi="Times New Roman" w:eastAsia="方正仿宋_GBK" w:cs="Times New Roman"/>
                <w:color w:val="000000" w:themeColor="text1"/>
                <w:szCs w:val="21"/>
                <w14:textFill>
                  <w14:solidFill>
                    <w14:schemeClr w14:val="tx1"/>
                  </w14:solidFill>
                </w14:textFill>
              </w:rPr>
              <w:t>乘客（医用）电梯</w:t>
            </w:r>
          </w:p>
        </w:tc>
        <w:tc>
          <w:tcPr>
            <w:tcW w:w="945" w:type="dxa"/>
            <w:vMerge w:val="continue"/>
            <w:shd w:val="clear" w:color="000000" w:fill="FFFFFF"/>
            <w:noWrap w:val="0"/>
            <w:vAlign w:val="center"/>
          </w:tcPr>
          <w:p w14:paraId="1037AFE4">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04667F4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3DDA616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3BC10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1F73A5D4">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continue"/>
            <w:shd w:val="clear" w:color="000000" w:fill="FFFFFF"/>
            <w:noWrap w:val="0"/>
            <w:vAlign w:val="center"/>
          </w:tcPr>
          <w:p w14:paraId="0383C84F">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365" w:type="dxa"/>
            <w:vMerge w:val="continue"/>
            <w:shd w:val="clear" w:color="000000" w:fill="FFFFFF"/>
            <w:noWrap w:val="0"/>
            <w:vAlign w:val="center"/>
          </w:tcPr>
          <w:p w14:paraId="3AAB5020">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699" w:type="dxa"/>
            <w:shd w:val="clear" w:color="000000" w:fill="FFFFFF"/>
            <w:noWrap w:val="0"/>
            <w:vAlign w:val="center"/>
          </w:tcPr>
          <w:p w14:paraId="0F07020F">
            <w:pPr>
              <w:keepNext w:val="0"/>
              <w:keepLines w:val="0"/>
              <w:pageBreakBefore w:val="0"/>
              <w:widowControl/>
              <w:kinsoku/>
              <w:wordWrap/>
              <w:overflowPunct/>
              <w:topLinePunct w:val="0"/>
              <w:autoSpaceDE/>
              <w:autoSpaceDN/>
              <w:bidi w:val="0"/>
              <w:adjustRightInd/>
              <w:snapToGrid/>
              <w:spacing w:line="400" w:lineRule="atLeast"/>
              <w:jc w:val="left"/>
              <w:textAlignment w:val="auto"/>
              <w:rPr>
                <w:rFonts w:hint="eastAsia" w:ascii="Times New Roman" w:hAnsi="Times New Roman" w:eastAsia="方正仿宋_GBK" w:cs="Times New Roman"/>
                <w:color w:val="auto"/>
                <w:kern w:val="0"/>
                <w:szCs w:val="21"/>
                <w:lang w:val="en-US" w:eastAsia="zh-CN"/>
              </w:rPr>
            </w:pPr>
            <w:r>
              <w:rPr>
                <w:rFonts w:hint="default" w:ascii="Times New Roman" w:hAnsi="Times New Roman" w:eastAsia="方正仿宋_GBK" w:cs="Times New Roman"/>
                <w:color w:val="auto"/>
                <w:kern w:val="0"/>
                <w:szCs w:val="21"/>
              </w:rPr>
              <w:t>1.</w:t>
            </w:r>
            <w:r>
              <w:rPr>
                <w:rFonts w:hint="eastAsia" w:eastAsia="方正仿宋_GBK" w:cs="Times New Roman"/>
                <w:color w:val="auto"/>
                <w:kern w:val="0"/>
                <w:szCs w:val="21"/>
                <w:lang w:val="en-US" w:eastAsia="zh-CN"/>
              </w:rPr>
              <w:t>3</w:t>
            </w:r>
            <w:r>
              <w:rPr>
                <w:rFonts w:hint="default" w:ascii="Times New Roman" w:hAnsi="Times New Roman" w:eastAsia="方正仿宋_GBK" w:cs="Times New Roman"/>
                <w:color w:val="auto"/>
                <w:kern w:val="0"/>
                <w:szCs w:val="21"/>
              </w:rPr>
              <w:t>梯号</w:t>
            </w:r>
          </w:p>
        </w:tc>
        <w:tc>
          <w:tcPr>
            <w:tcW w:w="3632" w:type="dxa"/>
            <w:shd w:val="clear" w:color="000000" w:fill="FFFFFF"/>
            <w:noWrap w:val="0"/>
            <w:vAlign w:val="center"/>
          </w:tcPr>
          <w:p w14:paraId="593877FC">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lang w:val="en-US" w:eastAsia="zh-CN"/>
              </w:rPr>
              <w:t>L1</w:t>
            </w:r>
          </w:p>
        </w:tc>
        <w:tc>
          <w:tcPr>
            <w:tcW w:w="945" w:type="dxa"/>
            <w:vMerge w:val="continue"/>
            <w:shd w:val="clear" w:color="000000" w:fill="FFFFFF"/>
            <w:noWrap w:val="0"/>
            <w:vAlign w:val="center"/>
          </w:tcPr>
          <w:p w14:paraId="0A7B2DCC">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lang w:val="en-US" w:eastAsia="zh-CN"/>
              </w:rPr>
            </w:pPr>
          </w:p>
        </w:tc>
        <w:tc>
          <w:tcPr>
            <w:tcW w:w="780" w:type="dxa"/>
            <w:vMerge w:val="continue"/>
            <w:shd w:val="clear" w:color="000000" w:fill="FFFFFF"/>
            <w:noWrap w:val="0"/>
            <w:vAlign w:val="center"/>
          </w:tcPr>
          <w:p w14:paraId="7AC238A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c>
          <w:tcPr>
            <w:tcW w:w="780" w:type="dxa"/>
            <w:vMerge w:val="continue"/>
            <w:shd w:val="clear" w:color="000000" w:fill="FFFFFF"/>
            <w:noWrap w:val="0"/>
            <w:vAlign w:val="center"/>
          </w:tcPr>
          <w:p w14:paraId="77656C3A">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r>
      <w:tr w14:paraId="7E978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671C446A">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continue"/>
            <w:shd w:val="clear" w:color="000000" w:fill="FFFFFF"/>
            <w:noWrap w:val="0"/>
            <w:vAlign w:val="center"/>
          </w:tcPr>
          <w:p w14:paraId="329BBDAB">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365" w:type="dxa"/>
            <w:vMerge w:val="continue"/>
            <w:shd w:val="clear" w:color="000000" w:fill="FFFFFF"/>
            <w:noWrap w:val="0"/>
            <w:vAlign w:val="center"/>
          </w:tcPr>
          <w:p w14:paraId="04B4BD44">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699" w:type="dxa"/>
            <w:shd w:val="clear" w:color="000000" w:fill="FFFFFF"/>
            <w:noWrap w:val="0"/>
            <w:vAlign w:val="center"/>
          </w:tcPr>
          <w:p w14:paraId="03FA2822">
            <w:pPr>
              <w:keepNext w:val="0"/>
              <w:keepLines w:val="0"/>
              <w:pageBreakBefore w:val="0"/>
              <w:widowControl/>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kern w:val="0"/>
                <w:szCs w:val="21"/>
              </w:rPr>
            </w:pPr>
            <w:r>
              <w:rPr>
                <w:rFonts w:hint="default" w:ascii="Times New Roman" w:hAnsi="Times New Roman" w:eastAsia="方正仿宋_GBK" w:cs="Times New Roman"/>
                <w:color w:val="auto"/>
                <w:szCs w:val="21"/>
              </w:rPr>
              <w:t>★</w:t>
            </w:r>
            <w:r>
              <w:rPr>
                <w:rFonts w:hint="default" w:ascii="Times New Roman" w:hAnsi="Times New Roman" w:eastAsia="方正仿宋_GBK" w:cs="Times New Roman"/>
                <w:color w:val="auto"/>
                <w:kern w:val="0"/>
                <w:szCs w:val="21"/>
              </w:rPr>
              <w:t>1.</w:t>
            </w:r>
            <w:r>
              <w:rPr>
                <w:rFonts w:hint="eastAsia" w:eastAsia="方正仿宋_GBK" w:cs="Times New Roman"/>
                <w:color w:val="auto"/>
                <w:kern w:val="0"/>
                <w:szCs w:val="21"/>
                <w:lang w:val="en-US" w:eastAsia="zh-CN"/>
              </w:rPr>
              <w:t>4</w:t>
            </w:r>
            <w:r>
              <w:rPr>
                <w:rFonts w:hint="default" w:ascii="Times New Roman" w:hAnsi="Times New Roman" w:eastAsia="方正仿宋_GBK" w:cs="Times New Roman"/>
                <w:color w:val="auto"/>
                <w:kern w:val="0"/>
                <w:szCs w:val="21"/>
              </w:rPr>
              <w:t>载重</w:t>
            </w:r>
          </w:p>
        </w:tc>
        <w:tc>
          <w:tcPr>
            <w:tcW w:w="3632" w:type="dxa"/>
            <w:shd w:val="clear" w:color="000000" w:fill="FFFFFF"/>
            <w:noWrap w:val="0"/>
            <w:vAlign w:val="center"/>
          </w:tcPr>
          <w:p w14:paraId="14469BCC">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eastAsia" w:eastAsia="方正仿宋_GBK" w:cs="Times New Roman"/>
                <w:color w:val="auto"/>
                <w:szCs w:val="21"/>
                <w:lang w:val="en-US" w:eastAsia="zh-CN"/>
              </w:rPr>
              <w:t>≥</w:t>
            </w:r>
            <w:r>
              <w:rPr>
                <w:rFonts w:hint="default" w:ascii="Times New Roman" w:hAnsi="Times New Roman" w:eastAsia="方正仿宋_GBK" w:cs="Times New Roman"/>
                <w:color w:val="auto"/>
                <w:szCs w:val="21"/>
              </w:rPr>
              <w:t>1600 kg</w:t>
            </w:r>
          </w:p>
        </w:tc>
        <w:tc>
          <w:tcPr>
            <w:tcW w:w="945" w:type="dxa"/>
            <w:vMerge w:val="continue"/>
            <w:shd w:val="clear" w:color="000000" w:fill="FFFFFF"/>
            <w:noWrap w:val="0"/>
            <w:vAlign w:val="center"/>
          </w:tcPr>
          <w:p w14:paraId="61EF079F">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2128DE06">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3959BF0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60DF7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643971CE">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continue"/>
            <w:shd w:val="clear" w:color="000000" w:fill="FFFFFF"/>
            <w:noWrap w:val="0"/>
            <w:vAlign w:val="center"/>
          </w:tcPr>
          <w:p w14:paraId="3353DEA0">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365" w:type="dxa"/>
            <w:vMerge w:val="continue"/>
            <w:shd w:val="clear" w:color="000000" w:fill="FFFFFF"/>
            <w:noWrap w:val="0"/>
            <w:vAlign w:val="center"/>
          </w:tcPr>
          <w:p w14:paraId="1547B3E4">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699" w:type="dxa"/>
            <w:shd w:val="clear" w:color="000000" w:fill="FFFFFF"/>
            <w:noWrap w:val="0"/>
            <w:vAlign w:val="center"/>
          </w:tcPr>
          <w:p w14:paraId="79121EF4">
            <w:pPr>
              <w:keepNext w:val="0"/>
              <w:keepLines w:val="0"/>
              <w:pageBreakBefore w:val="0"/>
              <w:widowControl/>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kern w:val="0"/>
                <w:szCs w:val="21"/>
              </w:rPr>
            </w:pPr>
            <w:r>
              <w:rPr>
                <w:rFonts w:hint="default" w:ascii="Times New Roman" w:hAnsi="Times New Roman" w:eastAsia="方正仿宋_GBK" w:cs="Times New Roman"/>
                <w:color w:val="auto"/>
                <w:szCs w:val="21"/>
              </w:rPr>
              <w:t>★</w:t>
            </w:r>
            <w:r>
              <w:rPr>
                <w:rFonts w:hint="default" w:ascii="Times New Roman" w:hAnsi="Times New Roman" w:eastAsia="方正仿宋_GBK" w:cs="Times New Roman"/>
                <w:color w:val="auto"/>
                <w:kern w:val="0"/>
                <w:szCs w:val="21"/>
              </w:rPr>
              <w:t>1.</w:t>
            </w:r>
            <w:r>
              <w:rPr>
                <w:rFonts w:hint="eastAsia" w:eastAsia="方正仿宋_GBK" w:cs="Times New Roman"/>
                <w:color w:val="auto"/>
                <w:kern w:val="0"/>
                <w:szCs w:val="21"/>
                <w:lang w:val="en-US" w:eastAsia="zh-CN"/>
              </w:rPr>
              <w:t>5</w:t>
            </w:r>
            <w:r>
              <w:rPr>
                <w:rFonts w:hint="default" w:ascii="Times New Roman" w:hAnsi="Times New Roman" w:eastAsia="方正仿宋_GBK" w:cs="Times New Roman"/>
                <w:color w:val="auto"/>
                <w:kern w:val="0"/>
                <w:szCs w:val="21"/>
              </w:rPr>
              <w:t>速度</w:t>
            </w:r>
          </w:p>
        </w:tc>
        <w:tc>
          <w:tcPr>
            <w:tcW w:w="3632" w:type="dxa"/>
            <w:shd w:val="clear" w:color="000000" w:fill="FFFFFF"/>
            <w:noWrap w:val="0"/>
            <w:vAlign w:val="center"/>
          </w:tcPr>
          <w:p w14:paraId="4D8C89B4">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eastAsia" w:eastAsia="方正仿宋_GBK" w:cs="Times New Roman"/>
                <w:color w:val="auto"/>
                <w:szCs w:val="21"/>
                <w:lang w:val="en-US" w:eastAsia="zh-CN"/>
              </w:rPr>
              <w:t>≥</w:t>
            </w:r>
            <w:r>
              <w:rPr>
                <w:rFonts w:hint="default" w:ascii="Times New Roman" w:hAnsi="Times New Roman" w:eastAsia="方正仿宋_GBK" w:cs="Times New Roman"/>
                <w:color w:val="auto"/>
                <w:szCs w:val="21"/>
              </w:rPr>
              <w:t>1.</w:t>
            </w:r>
            <w:r>
              <w:rPr>
                <w:rFonts w:hint="default" w:ascii="Times New Roman" w:hAnsi="Times New Roman" w:eastAsia="方正仿宋_GBK" w:cs="Times New Roman"/>
                <w:color w:val="auto"/>
                <w:szCs w:val="21"/>
                <w:lang w:val="en-US" w:eastAsia="zh-CN"/>
              </w:rPr>
              <w:t>5</w:t>
            </w:r>
            <w:r>
              <w:rPr>
                <w:rFonts w:hint="default" w:ascii="Times New Roman" w:hAnsi="Times New Roman" w:eastAsia="方正仿宋_GBK" w:cs="Times New Roman"/>
                <w:color w:val="auto"/>
                <w:szCs w:val="21"/>
              </w:rPr>
              <w:t>0m/s</w:t>
            </w:r>
          </w:p>
        </w:tc>
        <w:tc>
          <w:tcPr>
            <w:tcW w:w="945" w:type="dxa"/>
            <w:vMerge w:val="continue"/>
            <w:shd w:val="clear" w:color="000000" w:fill="FFFFFF"/>
            <w:noWrap w:val="0"/>
            <w:vAlign w:val="center"/>
          </w:tcPr>
          <w:p w14:paraId="0E0FD13C">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37CE2BA0">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53F1F99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5D980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6EC40292">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continue"/>
            <w:shd w:val="clear" w:color="000000" w:fill="FFFFFF"/>
            <w:noWrap w:val="0"/>
            <w:vAlign w:val="center"/>
          </w:tcPr>
          <w:p w14:paraId="0C68D25A">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365" w:type="dxa"/>
            <w:vMerge w:val="continue"/>
            <w:shd w:val="clear" w:color="000000" w:fill="FFFFFF"/>
            <w:noWrap w:val="0"/>
            <w:vAlign w:val="center"/>
          </w:tcPr>
          <w:p w14:paraId="35F3C9D6">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699" w:type="dxa"/>
            <w:shd w:val="clear" w:color="000000" w:fill="FFFFFF"/>
            <w:noWrap w:val="0"/>
            <w:vAlign w:val="center"/>
          </w:tcPr>
          <w:p w14:paraId="7B01153E">
            <w:pPr>
              <w:keepNext w:val="0"/>
              <w:keepLines w:val="0"/>
              <w:pageBreakBefore w:val="0"/>
              <w:widowControl/>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kern w:val="0"/>
                <w:szCs w:val="21"/>
              </w:rPr>
            </w:pPr>
            <w:r>
              <w:rPr>
                <w:rFonts w:hint="default" w:ascii="Times New Roman" w:hAnsi="Times New Roman" w:eastAsia="方正仿宋_GBK" w:cs="Times New Roman"/>
                <w:color w:val="auto"/>
                <w:kern w:val="0"/>
                <w:szCs w:val="21"/>
              </w:rPr>
              <w:t>1.</w:t>
            </w:r>
            <w:r>
              <w:rPr>
                <w:rFonts w:hint="eastAsia" w:eastAsia="方正仿宋_GBK" w:cs="Times New Roman"/>
                <w:color w:val="auto"/>
                <w:kern w:val="0"/>
                <w:szCs w:val="21"/>
                <w:lang w:val="en-US" w:eastAsia="zh-CN"/>
              </w:rPr>
              <w:t>6</w:t>
            </w:r>
            <w:r>
              <w:rPr>
                <w:rFonts w:hint="default" w:ascii="Times New Roman" w:hAnsi="Times New Roman" w:eastAsia="方正仿宋_GBK" w:cs="Times New Roman"/>
                <w:color w:val="auto"/>
                <w:kern w:val="0"/>
                <w:szCs w:val="21"/>
              </w:rPr>
              <w:t>层站门</w:t>
            </w:r>
          </w:p>
        </w:tc>
        <w:tc>
          <w:tcPr>
            <w:tcW w:w="3632" w:type="dxa"/>
            <w:shd w:val="clear" w:color="000000" w:fill="FFFFFF"/>
            <w:noWrap w:val="0"/>
            <w:vAlign w:val="center"/>
          </w:tcPr>
          <w:p w14:paraId="20462387">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lang w:val="en-US" w:eastAsia="zh-CN"/>
              </w:rPr>
              <w:t>5/5/5</w:t>
            </w:r>
          </w:p>
        </w:tc>
        <w:tc>
          <w:tcPr>
            <w:tcW w:w="945" w:type="dxa"/>
            <w:vMerge w:val="continue"/>
            <w:shd w:val="clear" w:color="000000" w:fill="FFFFFF"/>
            <w:noWrap w:val="0"/>
            <w:vAlign w:val="center"/>
          </w:tcPr>
          <w:p w14:paraId="1AD8BC9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lang w:val="en-US" w:eastAsia="zh-CN"/>
              </w:rPr>
            </w:pPr>
          </w:p>
        </w:tc>
        <w:tc>
          <w:tcPr>
            <w:tcW w:w="780" w:type="dxa"/>
            <w:vMerge w:val="continue"/>
            <w:shd w:val="clear" w:color="000000" w:fill="FFFFFF"/>
            <w:noWrap w:val="0"/>
            <w:vAlign w:val="center"/>
          </w:tcPr>
          <w:p w14:paraId="30593E38">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c>
          <w:tcPr>
            <w:tcW w:w="780" w:type="dxa"/>
            <w:vMerge w:val="continue"/>
            <w:shd w:val="clear" w:color="000000" w:fill="FFFFFF"/>
            <w:noWrap w:val="0"/>
            <w:vAlign w:val="center"/>
          </w:tcPr>
          <w:p w14:paraId="1993CF0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r>
      <w:tr w14:paraId="514CA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2D10A8E7">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continue"/>
            <w:shd w:val="clear" w:color="000000" w:fill="FFFFFF"/>
            <w:noWrap w:val="0"/>
            <w:vAlign w:val="center"/>
          </w:tcPr>
          <w:p w14:paraId="2EFA3C87">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365" w:type="dxa"/>
            <w:vMerge w:val="continue"/>
            <w:shd w:val="clear" w:color="000000" w:fill="FFFFFF"/>
            <w:noWrap w:val="0"/>
            <w:vAlign w:val="center"/>
          </w:tcPr>
          <w:p w14:paraId="4A525C2D">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699" w:type="dxa"/>
            <w:shd w:val="clear" w:color="000000" w:fill="FFFFFF"/>
            <w:noWrap w:val="0"/>
            <w:vAlign w:val="center"/>
          </w:tcPr>
          <w:p w14:paraId="67A1BD49">
            <w:pPr>
              <w:keepNext w:val="0"/>
              <w:keepLines w:val="0"/>
              <w:pageBreakBefore w:val="0"/>
              <w:widowControl/>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kern w:val="0"/>
                <w:szCs w:val="21"/>
              </w:rPr>
            </w:pPr>
            <w:r>
              <w:rPr>
                <w:rFonts w:hint="default" w:ascii="Times New Roman" w:hAnsi="Times New Roman" w:eastAsia="方正仿宋_GBK" w:cs="Times New Roman"/>
                <w:color w:val="auto"/>
                <w:kern w:val="0"/>
                <w:szCs w:val="21"/>
              </w:rPr>
              <w:t>1.</w:t>
            </w:r>
            <w:r>
              <w:rPr>
                <w:rFonts w:hint="eastAsia" w:eastAsia="方正仿宋_GBK" w:cs="Times New Roman"/>
                <w:color w:val="auto"/>
                <w:kern w:val="0"/>
                <w:szCs w:val="21"/>
                <w:lang w:val="en-US" w:eastAsia="zh-CN"/>
              </w:rPr>
              <w:t>7</w:t>
            </w:r>
            <w:r>
              <w:rPr>
                <w:rFonts w:hint="default" w:ascii="Times New Roman" w:hAnsi="Times New Roman" w:eastAsia="方正仿宋_GBK" w:cs="Times New Roman"/>
                <w:color w:val="auto"/>
                <w:kern w:val="0"/>
                <w:szCs w:val="21"/>
              </w:rPr>
              <w:t>提升高度</w:t>
            </w:r>
          </w:p>
        </w:tc>
        <w:tc>
          <w:tcPr>
            <w:tcW w:w="3632" w:type="dxa"/>
            <w:shd w:val="clear" w:color="000000" w:fill="FFFFFF"/>
            <w:noWrap w:val="0"/>
            <w:vAlign w:val="center"/>
          </w:tcPr>
          <w:p w14:paraId="61579D0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lang w:val="en-US" w:eastAsia="zh-CN"/>
              </w:rPr>
              <w:t>15</w:t>
            </w:r>
            <w:r>
              <w:rPr>
                <w:rFonts w:hint="default" w:ascii="Times New Roman" w:hAnsi="Times New Roman" w:eastAsia="方正仿宋_GBK" w:cs="Times New Roman"/>
                <w:color w:val="auto"/>
                <w:szCs w:val="21"/>
              </w:rPr>
              <w:t>米</w:t>
            </w:r>
          </w:p>
        </w:tc>
        <w:tc>
          <w:tcPr>
            <w:tcW w:w="945" w:type="dxa"/>
            <w:vMerge w:val="continue"/>
            <w:shd w:val="clear" w:color="000000" w:fill="FFFFFF"/>
            <w:noWrap w:val="0"/>
            <w:vAlign w:val="center"/>
          </w:tcPr>
          <w:p w14:paraId="53618A0C">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lang w:val="en-US" w:eastAsia="zh-CN"/>
              </w:rPr>
            </w:pPr>
          </w:p>
        </w:tc>
        <w:tc>
          <w:tcPr>
            <w:tcW w:w="780" w:type="dxa"/>
            <w:vMerge w:val="continue"/>
            <w:shd w:val="clear" w:color="000000" w:fill="FFFFFF"/>
            <w:noWrap w:val="0"/>
            <w:vAlign w:val="center"/>
          </w:tcPr>
          <w:p w14:paraId="119CA085">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c>
          <w:tcPr>
            <w:tcW w:w="780" w:type="dxa"/>
            <w:vMerge w:val="continue"/>
            <w:shd w:val="clear" w:color="000000" w:fill="FFFFFF"/>
            <w:noWrap w:val="0"/>
            <w:vAlign w:val="center"/>
          </w:tcPr>
          <w:p w14:paraId="2BE2391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r>
      <w:tr w14:paraId="6DD86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01D1A298">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continue"/>
            <w:shd w:val="clear" w:color="000000" w:fill="FFFFFF"/>
            <w:noWrap w:val="0"/>
            <w:vAlign w:val="center"/>
          </w:tcPr>
          <w:p w14:paraId="3CA7EEFC">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365" w:type="dxa"/>
            <w:vMerge w:val="continue"/>
            <w:shd w:val="clear" w:color="000000" w:fill="FFFFFF"/>
            <w:noWrap w:val="0"/>
            <w:vAlign w:val="center"/>
          </w:tcPr>
          <w:p w14:paraId="71C1028D">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699" w:type="dxa"/>
            <w:shd w:val="clear" w:color="000000" w:fill="FFFFFF"/>
            <w:noWrap w:val="0"/>
            <w:vAlign w:val="center"/>
          </w:tcPr>
          <w:p w14:paraId="3B90C31B">
            <w:pPr>
              <w:keepNext w:val="0"/>
              <w:keepLines w:val="0"/>
              <w:pageBreakBefore w:val="0"/>
              <w:widowControl/>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kern w:val="0"/>
                <w:szCs w:val="21"/>
              </w:rPr>
            </w:pPr>
            <w:r>
              <w:rPr>
                <w:rFonts w:hint="default" w:ascii="Times New Roman" w:hAnsi="Times New Roman" w:eastAsia="方正仿宋_GBK" w:cs="Times New Roman"/>
                <w:color w:val="auto"/>
                <w:szCs w:val="21"/>
              </w:rPr>
              <w:t>★</w:t>
            </w:r>
            <w:r>
              <w:rPr>
                <w:rFonts w:hint="default" w:ascii="Times New Roman" w:hAnsi="Times New Roman" w:eastAsia="方正仿宋_GBK" w:cs="Times New Roman"/>
                <w:color w:val="auto"/>
                <w:kern w:val="0"/>
                <w:szCs w:val="21"/>
              </w:rPr>
              <w:t>1.</w:t>
            </w:r>
            <w:r>
              <w:rPr>
                <w:rFonts w:hint="eastAsia" w:eastAsia="方正仿宋_GBK" w:cs="Times New Roman"/>
                <w:color w:val="auto"/>
                <w:kern w:val="0"/>
                <w:szCs w:val="21"/>
                <w:lang w:val="en-US" w:eastAsia="zh-CN"/>
              </w:rPr>
              <w:t>8</w:t>
            </w:r>
            <w:r>
              <w:rPr>
                <w:rFonts w:hint="default" w:ascii="Times New Roman" w:hAnsi="Times New Roman" w:eastAsia="方正仿宋_GBK" w:cs="Times New Roman"/>
                <w:color w:val="auto"/>
                <w:kern w:val="0"/>
                <w:szCs w:val="21"/>
              </w:rPr>
              <w:t>控制方式</w:t>
            </w:r>
          </w:p>
        </w:tc>
        <w:tc>
          <w:tcPr>
            <w:tcW w:w="3632" w:type="dxa"/>
            <w:shd w:val="clear" w:color="000000" w:fill="FFFFFF"/>
            <w:noWrap w:val="0"/>
            <w:vAlign w:val="center"/>
          </w:tcPr>
          <w:p w14:paraId="01E6C711">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单控</w:t>
            </w:r>
          </w:p>
        </w:tc>
        <w:tc>
          <w:tcPr>
            <w:tcW w:w="945" w:type="dxa"/>
            <w:vMerge w:val="continue"/>
            <w:shd w:val="clear" w:color="000000" w:fill="FFFFFF"/>
            <w:noWrap w:val="0"/>
            <w:vAlign w:val="center"/>
          </w:tcPr>
          <w:p w14:paraId="0356FA24">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1BA625D8">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40FDA2BA">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57DBE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7C6DA698">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restart"/>
            <w:shd w:val="clear" w:color="000000" w:fill="FFFFFF"/>
            <w:noWrap w:val="0"/>
            <w:vAlign w:val="center"/>
          </w:tcPr>
          <w:p w14:paraId="222D156B">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eastAsia" w:ascii="Times New Roman" w:hAnsi="Times New Roman" w:eastAsia="方正仿宋_GBK" w:cs="Times New Roman"/>
                <w:color w:val="auto"/>
                <w:kern w:val="0"/>
                <w:szCs w:val="21"/>
                <w:lang w:val="en-US" w:eastAsia="zh-CN"/>
              </w:rPr>
            </w:pPr>
            <w:r>
              <w:rPr>
                <w:rFonts w:hint="eastAsia" w:eastAsia="方正仿宋_GBK" w:cs="Times New Roman"/>
                <w:color w:val="auto"/>
                <w:kern w:val="0"/>
                <w:szCs w:val="21"/>
                <w:lang w:val="en-US" w:eastAsia="zh-CN"/>
              </w:rPr>
              <w:t>2</w:t>
            </w:r>
          </w:p>
        </w:tc>
        <w:tc>
          <w:tcPr>
            <w:tcW w:w="1365" w:type="dxa"/>
            <w:vMerge w:val="restart"/>
            <w:shd w:val="clear" w:color="000000" w:fill="FFFFFF"/>
            <w:noWrap w:val="0"/>
            <w:vAlign w:val="center"/>
          </w:tcPr>
          <w:p w14:paraId="6C4D4965">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r>
              <w:rPr>
                <w:rFonts w:hint="default" w:ascii="Times New Roman" w:hAnsi="Times New Roman" w:eastAsia="方正仿宋_GBK" w:cs="Times New Roman"/>
                <w:color w:val="auto"/>
                <w:kern w:val="0"/>
                <w:szCs w:val="21"/>
              </w:rPr>
              <w:t>轿厢及装潢</w:t>
            </w:r>
          </w:p>
          <w:p w14:paraId="3F64217C">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r>
              <w:rPr>
                <w:rFonts w:hint="default" w:ascii="Times New Roman" w:hAnsi="Times New Roman" w:eastAsia="方正仿宋_GBK" w:cs="Times New Roman"/>
                <w:color w:val="auto"/>
                <w:kern w:val="0"/>
                <w:szCs w:val="21"/>
              </w:rPr>
              <w:t>要求</w:t>
            </w:r>
          </w:p>
        </w:tc>
        <w:tc>
          <w:tcPr>
            <w:tcW w:w="1699" w:type="dxa"/>
            <w:shd w:val="clear" w:color="000000" w:fill="FFFFFF"/>
            <w:noWrap w:val="0"/>
            <w:vAlign w:val="center"/>
          </w:tcPr>
          <w:p w14:paraId="11981158">
            <w:pPr>
              <w:keepNext w:val="0"/>
              <w:keepLines w:val="0"/>
              <w:pageBreakBefore w:val="0"/>
              <w:widowControl/>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kern w:val="0"/>
                <w:szCs w:val="21"/>
              </w:rPr>
            </w:pPr>
            <w:r>
              <w:rPr>
                <w:rFonts w:hint="default" w:ascii="Times New Roman" w:hAnsi="Times New Roman" w:eastAsia="方正仿宋_GBK" w:cs="Times New Roman"/>
                <w:color w:val="auto"/>
                <w:kern w:val="0"/>
                <w:szCs w:val="21"/>
              </w:rPr>
              <w:t>2.1轿厢类型</w:t>
            </w:r>
          </w:p>
        </w:tc>
        <w:tc>
          <w:tcPr>
            <w:tcW w:w="3632" w:type="dxa"/>
            <w:shd w:val="clear" w:color="000000" w:fill="FFFFFF"/>
            <w:noWrap w:val="0"/>
            <w:vAlign w:val="center"/>
          </w:tcPr>
          <w:p w14:paraId="074C2EF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标准轿厢</w:t>
            </w:r>
          </w:p>
        </w:tc>
        <w:tc>
          <w:tcPr>
            <w:tcW w:w="945" w:type="dxa"/>
            <w:vMerge w:val="continue"/>
            <w:shd w:val="clear" w:color="000000" w:fill="FFFFFF"/>
            <w:noWrap w:val="0"/>
            <w:vAlign w:val="center"/>
          </w:tcPr>
          <w:p w14:paraId="43F784BD">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790E35B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6231DE2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43822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3" w:type="dxa"/>
            <w:vMerge w:val="continue"/>
            <w:shd w:val="clear" w:color="000000" w:fill="FFFFFF"/>
            <w:noWrap w:val="0"/>
            <w:vAlign w:val="center"/>
          </w:tcPr>
          <w:p w14:paraId="1B56AC8D">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continue"/>
            <w:shd w:val="clear" w:color="000000" w:fill="FFFFFF"/>
            <w:noWrap w:val="0"/>
            <w:vAlign w:val="center"/>
          </w:tcPr>
          <w:p w14:paraId="0EE37546">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365" w:type="dxa"/>
            <w:vMerge w:val="continue"/>
            <w:shd w:val="clear" w:color="000000" w:fill="FFFFFF"/>
            <w:noWrap w:val="0"/>
            <w:vAlign w:val="center"/>
          </w:tcPr>
          <w:p w14:paraId="4C8FE251">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699" w:type="dxa"/>
            <w:shd w:val="clear" w:color="000000" w:fill="FFFFFF"/>
            <w:noWrap w:val="0"/>
            <w:vAlign w:val="center"/>
          </w:tcPr>
          <w:p w14:paraId="772084E1">
            <w:pPr>
              <w:keepNext w:val="0"/>
              <w:keepLines w:val="0"/>
              <w:pageBreakBefore w:val="0"/>
              <w:widowControl/>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kern w:val="0"/>
                <w:szCs w:val="21"/>
              </w:rPr>
            </w:pPr>
            <w:bookmarkStart w:id="226" w:name="OLE_LINK3"/>
            <w:r>
              <w:rPr>
                <w:rFonts w:hint="default" w:ascii="Times New Roman" w:hAnsi="Times New Roman" w:eastAsia="方正仿宋_GBK" w:cs="Times New Roman"/>
                <w:color w:val="auto"/>
                <w:szCs w:val="21"/>
              </w:rPr>
              <w:t>★</w:t>
            </w:r>
            <w:bookmarkEnd w:id="226"/>
            <w:r>
              <w:rPr>
                <w:rFonts w:hint="default" w:ascii="Times New Roman" w:hAnsi="Times New Roman" w:eastAsia="方正仿宋_GBK" w:cs="Times New Roman"/>
                <w:color w:val="auto"/>
                <w:kern w:val="0"/>
                <w:szCs w:val="21"/>
              </w:rPr>
              <w:t>2.2轿厢尺寸</w:t>
            </w:r>
          </w:p>
        </w:tc>
        <w:tc>
          <w:tcPr>
            <w:tcW w:w="3632" w:type="dxa"/>
            <w:shd w:val="clear" w:color="000000" w:fill="FFFFFF"/>
            <w:noWrap w:val="0"/>
            <w:vAlign w:val="center"/>
          </w:tcPr>
          <w:p w14:paraId="13B11886">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highlight w:val="none"/>
              </w:rPr>
              <w:t>1</w:t>
            </w:r>
            <w:r>
              <w:rPr>
                <w:rFonts w:hint="eastAsia" w:eastAsia="方正仿宋_GBK" w:cs="Times New Roman"/>
                <w:color w:val="auto"/>
                <w:szCs w:val="21"/>
                <w:highlight w:val="none"/>
                <w:lang w:val="en-US" w:eastAsia="zh-CN"/>
              </w:rPr>
              <w:t>4</w:t>
            </w:r>
            <w:r>
              <w:rPr>
                <w:rFonts w:hint="default" w:ascii="Times New Roman" w:hAnsi="Times New Roman" w:eastAsia="方正仿宋_GBK" w:cs="Times New Roman"/>
                <w:color w:val="auto"/>
                <w:szCs w:val="21"/>
                <w:highlight w:val="none"/>
              </w:rPr>
              <w:t>00mm*2</w:t>
            </w:r>
            <w:r>
              <w:rPr>
                <w:rFonts w:hint="eastAsia" w:eastAsia="方正仿宋_GBK" w:cs="Times New Roman"/>
                <w:color w:val="auto"/>
                <w:szCs w:val="21"/>
                <w:highlight w:val="none"/>
                <w:lang w:val="en-US" w:eastAsia="zh-CN"/>
              </w:rPr>
              <w:t>4</w:t>
            </w:r>
            <w:r>
              <w:rPr>
                <w:rFonts w:hint="default" w:ascii="Times New Roman" w:hAnsi="Times New Roman" w:eastAsia="方正仿宋_GBK" w:cs="Times New Roman"/>
                <w:color w:val="auto"/>
                <w:szCs w:val="21"/>
                <w:highlight w:val="none"/>
              </w:rPr>
              <w:t>00 mm *</w:t>
            </w:r>
            <w:r>
              <w:rPr>
                <w:rFonts w:hint="default" w:ascii="Times New Roman" w:hAnsi="Times New Roman" w:eastAsia="方正仿宋_GBK" w:cs="Times New Roman"/>
                <w:color w:val="auto"/>
                <w:szCs w:val="21"/>
                <w:highlight w:val="none"/>
                <w:lang w:val="en-US" w:eastAsia="zh-CN"/>
              </w:rPr>
              <w:t>2500</w:t>
            </w:r>
            <w:r>
              <w:rPr>
                <w:rFonts w:hint="default" w:ascii="Times New Roman" w:hAnsi="Times New Roman" w:eastAsia="方正仿宋_GBK" w:cs="Times New Roman"/>
                <w:color w:val="auto"/>
                <w:szCs w:val="21"/>
                <w:highlight w:val="none"/>
              </w:rPr>
              <w:t xml:space="preserve"> mm</w:t>
            </w:r>
          </w:p>
        </w:tc>
        <w:tc>
          <w:tcPr>
            <w:tcW w:w="945" w:type="dxa"/>
            <w:vMerge w:val="continue"/>
            <w:shd w:val="clear" w:color="000000" w:fill="FFFFFF"/>
            <w:noWrap w:val="0"/>
            <w:vAlign w:val="center"/>
          </w:tcPr>
          <w:p w14:paraId="2F15450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55D8B67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1D1C915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12CFA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5592C499">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continue"/>
            <w:shd w:val="clear" w:color="000000" w:fill="FFFFFF"/>
            <w:noWrap w:val="0"/>
            <w:vAlign w:val="center"/>
          </w:tcPr>
          <w:p w14:paraId="3276739D">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365" w:type="dxa"/>
            <w:vMerge w:val="continue"/>
            <w:shd w:val="clear" w:color="000000" w:fill="FFFFFF"/>
            <w:noWrap w:val="0"/>
            <w:vAlign w:val="center"/>
          </w:tcPr>
          <w:p w14:paraId="5016927F">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699" w:type="dxa"/>
            <w:shd w:val="clear" w:color="000000" w:fill="FFFFFF"/>
            <w:noWrap w:val="0"/>
            <w:vAlign w:val="center"/>
          </w:tcPr>
          <w:p w14:paraId="656AEB7A">
            <w:pPr>
              <w:keepNext w:val="0"/>
              <w:keepLines w:val="0"/>
              <w:pageBreakBefore w:val="0"/>
              <w:widowControl/>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kern w:val="0"/>
                <w:szCs w:val="21"/>
              </w:rPr>
            </w:pPr>
            <w:r>
              <w:rPr>
                <w:rFonts w:hint="default" w:ascii="Times New Roman" w:hAnsi="Times New Roman" w:eastAsia="方正仿宋_GBK" w:cs="Times New Roman"/>
                <w:color w:val="auto"/>
                <w:szCs w:val="21"/>
              </w:rPr>
              <w:t>★</w:t>
            </w:r>
            <w:r>
              <w:rPr>
                <w:rFonts w:hint="default" w:ascii="Times New Roman" w:hAnsi="Times New Roman" w:eastAsia="方正仿宋_GBK" w:cs="Times New Roman"/>
                <w:color w:val="auto"/>
                <w:kern w:val="0"/>
                <w:szCs w:val="21"/>
              </w:rPr>
              <w:t>2.3装潢组合</w:t>
            </w:r>
          </w:p>
        </w:tc>
        <w:tc>
          <w:tcPr>
            <w:tcW w:w="3632" w:type="dxa"/>
            <w:shd w:val="clear" w:color="000000" w:fill="FFFFFF"/>
            <w:noWrap w:val="0"/>
            <w:vAlign w:val="center"/>
          </w:tcPr>
          <w:p w14:paraId="5207A909">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发纹不锈钢</w:t>
            </w:r>
          </w:p>
        </w:tc>
        <w:tc>
          <w:tcPr>
            <w:tcW w:w="945" w:type="dxa"/>
            <w:vMerge w:val="continue"/>
            <w:shd w:val="clear" w:color="000000" w:fill="FFFFFF"/>
            <w:noWrap w:val="0"/>
            <w:vAlign w:val="center"/>
          </w:tcPr>
          <w:p w14:paraId="6277D188">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132AC27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551A351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68AEC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16F4E4D5">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continue"/>
            <w:shd w:val="clear" w:color="000000" w:fill="FFFFFF"/>
            <w:noWrap w:val="0"/>
            <w:vAlign w:val="center"/>
          </w:tcPr>
          <w:p w14:paraId="45780C0E">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365" w:type="dxa"/>
            <w:vMerge w:val="continue"/>
            <w:shd w:val="clear" w:color="000000" w:fill="FFFFFF"/>
            <w:noWrap w:val="0"/>
            <w:vAlign w:val="center"/>
          </w:tcPr>
          <w:p w14:paraId="20505B94">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699" w:type="dxa"/>
            <w:shd w:val="clear" w:color="000000" w:fill="FFFFFF"/>
            <w:noWrap w:val="0"/>
            <w:vAlign w:val="center"/>
          </w:tcPr>
          <w:p w14:paraId="6DF226EA">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 xml:space="preserve">★2.4吊   </w:t>
            </w:r>
            <w:r>
              <w:rPr>
                <w:rFonts w:hint="eastAsia" w:eastAsia="方正仿宋_GBK" w:cs="Times New Roman"/>
                <w:color w:val="auto"/>
                <w:szCs w:val="21"/>
                <w:lang w:val="en-US" w:eastAsia="zh-CN"/>
              </w:rPr>
              <w:t xml:space="preserve"> </w:t>
            </w:r>
            <w:r>
              <w:rPr>
                <w:rFonts w:hint="default" w:ascii="Times New Roman" w:hAnsi="Times New Roman" w:eastAsia="方正仿宋_GBK" w:cs="Times New Roman"/>
                <w:color w:val="auto"/>
                <w:szCs w:val="21"/>
              </w:rPr>
              <w:t>顶</w:t>
            </w:r>
          </w:p>
        </w:tc>
        <w:tc>
          <w:tcPr>
            <w:tcW w:w="3632" w:type="dxa"/>
            <w:shd w:val="clear" w:color="000000" w:fill="FFFFFF"/>
            <w:noWrap w:val="0"/>
            <w:vAlign w:val="center"/>
          </w:tcPr>
          <w:p w14:paraId="318A160C">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发纹不锈钢</w:t>
            </w:r>
          </w:p>
        </w:tc>
        <w:tc>
          <w:tcPr>
            <w:tcW w:w="945" w:type="dxa"/>
            <w:vMerge w:val="continue"/>
            <w:shd w:val="clear" w:color="000000" w:fill="FFFFFF"/>
            <w:noWrap w:val="0"/>
            <w:vAlign w:val="center"/>
          </w:tcPr>
          <w:p w14:paraId="1A80766A">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591B681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75FD345A">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7094A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273" w:type="dxa"/>
            <w:vMerge w:val="continue"/>
            <w:shd w:val="clear" w:color="000000" w:fill="FFFFFF"/>
            <w:noWrap w:val="0"/>
            <w:vAlign w:val="center"/>
          </w:tcPr>
          <w:p w14:paraId="7B1308A6">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continue"/>
            <w:shd w:val="clear" w:color="000000" w:fill="FFFFFF"/>
            <w:noWrap w:val="0"/>
            <w:vAlign w:val="center"/>
          </w:tcPr>
          <w:p w14:paraId="495AF9FA">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365" w:type="dxa"/>
            <w:vMerge w:val="continue"/>
            <w:shd w:val="clear" w:color="000000" w:fill="FFFFFF"/>
            <w:noWrap w:val="0"/>
            <w:vAlign w:val="center"/>
          </w:tcPr>
          <w:p w14:paraId="6772910F">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699" w:type="dxa"/>
            <w:shd w:val="clear" w:color="000000" w:fill="FFFFFF"/>
            <w:noWrap w:val="0"/>
            <w:vAlign w:val="center"/>
          </w:tcPr>
          <w:p w14:paraId="1E3C55D0">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★2.5轿厢壁板装饰</w:t>
            </w:r>
          </w:p>
        </w:tc>
        <w:tc>
          <w:tcPr>
            <w:tcW w:w="3632" w:type="dxa"/>
            <w:shd w:val="clear" w:color="000000" w:fill="FFFFFF"/>
            <w:noWrap w:val="0"/>
            <w:vAlign w:val="center"/>
          </w:tcPr>
          <w:p w14:paraId="37225CB3">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000000" w:themeColor="text1"/>
                <w:szCs w:val="21"/>
                <w14:textFill>
                  <w14:solidFill>
                    <w14:schemeClr w14:val="tx1"/>
                  </w14:solidFill>
                </w14:textFill>
              </w:rPr>
              <w:t>304发纹不锈钢</w:t>
            </w:r>
          </w:p>
        </w:tc>
        <w:tc>
          <w:tcPr>
            <w:tcW w:w="945" w:type="dxa"/>
            <w:vMerge w:val="continue"/>
            <w:shd w:val="clear" w:color="000000" w:fill="FFFFFF"/>
            <w:noWrap w:val="0"/>
            <w:vAlign w:val="center"/>
          </w:tcPr>
          <w:p w14:paraId="7CF224B8">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4B15079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71DE1E9A">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2237F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21534BA2">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continue"/>
            <w:shd w:val="clear" w:color="000000" w:fill="FFFFFF"/>
            <w:noWrap w:val="0"/>
            <w:vAlign w:val="center"/>
          </w:tcPr>
          <w:p w14:paraId="15E1F368">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365" w:type="dxa"/>
            <w:vMerge w:val="continue"/>
            <w:shd w:val="clear" w:color="000000" w:fill="FFFFFF"/>
            <w:noWrap w:val="0"/>
            <w:vAlign w:val="center"/>
          </w:tcPr>
          <w:p w14:paraId="3CFB0E33">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699" w:type="dxa"/>
            <w:shd w:val="clear" w:color="000000" w:fill="FFFFFF"/>
            <w:noWrap w:val="0"/>
            <w:vAlign w:val="center"/>
          </w:tcPr>
          <w:p w14:paraId="0B9857C5">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★2.6轿厢地板</w:t>
            </w:r>
          </w:p>
        </w:tc>
        <w:tc>
          <w:tcPr>
            <w:tcW w:w="3632" w:type="dxa"/>
            <w:shd w:val="clear" w:color="000000" w:fill="FFFFFF"/>
            <w:noWrap w:val="0"/>
            <w:vAlign w:val="center"/>
          </w:tcPr>
          <w:p w14:paraId="60038748">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PVC拼花</w:t>
            </w:r>
          </w:p>
        </w:tc>
        <w:tc>
          <w:tcPr>
            <w:tcW w:w="945" w:type="dxa"/>
            <w:vMerge w:val="continue"/>
            <w:shd w:val="clear" w:color="000000" w:fill="FFFFFF"/>
            <w:noWrap w:val="0"/>
            <w:vAlign w:val="center"/>
          </w:tcPr>
          <w:p w14:paraId="59231C51">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1B71685A">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6DC708C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49BC0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0AA8C5D1">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continue"/>
            <w:shd w:val="clear" w:color="000000" w:fill="FFFFFF"/>
            <w:noWrap w:val="0"/>
            <w:vAlign w:val="center"/>
          </w:tcPr>
          <w:p w14:paraId="03FB3AEA">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365" w:type="dxa"/>
            <w:vMerge w:val="continue"/>
            <w:shd w:val="clear" w:color="000000" w:fill="FFFFFF"/>
            <w:noWrap w:val="0"/>
            <w:vAlign w:val="center"/>
          </w:tcPr>
          <w:p w14:paraId="2BA4CEA8">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699" w:type="dxa"/>
            <w:shd w:val="clear" w:color="000000" w:fill="FFFFFF"/>
            <w:noWrap w:val="0"/>
            <w:vAlign w:val="center"/>
          </w:tcPr>
          <w:p w14:paraId="1409C93E">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★2.7有无扶手</w:t>
            </w:r>
          </w:p>
        </w:tc>
        <w:tc>
          <w:tcPr>
            <w:tcW w:w="3632" w:type="dxa"/>
            <w:shd w:val="clear" w:color="000000" w:fill="FFFFFF"/>
            <w:noWrap w:val="0"/>
            <w:vAlign w:val="center"/>
          </w:tcPr>
          <w:p w14:paraId="6E4D6FDE">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eastAsia" w:ascii="Times New Roman" w:hAnsi="Times New Roman" w:eastAsia="方正仿宋_GBK" w:cs="Times New Roman"/>
                <w:color w:val="auto"/>
                <w:szCs w:val="21"/>
                <w:lang w:val="en-US" w:eastAsia="zh-CN"/>
              </w:rPr>
              <w:t>单</w:t>
            </w:r>
            <w:r>
              <w:rPr>
                <w:rFonts w:hint="eastAsia" w:ascii="Times New Roman" w:hAnsi="Times New Roman" w:eastAsia="方正仿宋_GBK" w:cs="Times New Roman"/>
                <w:color w:val="auto"/>
                <w:szCs w:val="21"/>
              </w:rPr>
              <w:t>侧扶手发纹不锈钢。(圆管或扁型)</w:t>
            </w:r>
          </w:p>
        </w:tc>
        <w:tc>
          <w:tcPr>
            <w:tcW w:w="945" w:type="dxa"/>
            <w:vMerge w:val="continue"/>
            <w:shd w:val="clear" w:color="000000" w:fill="FFFFFF"/>
            <w:noWrap w:val="0"/>
            <w:vAlign w:val="center"/>
          </w:tcPr>
          <w:p w14:paraId="29E2E57C">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0E10030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64CEB739">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04504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273" w:type="dxa"/>
            <w:vMerge w:val="continue"/>
            <w:shd w:val="clear" w:color="000000" w:fill="FFFFFF"/>
            <w:noWrap w:val="0"/>
            <w:vAlign w:val="center"/>
          </w:tcPr>
          <w:p w14:paraId="29323B5D">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continue"/>
            <w:shd w:val="clear" w:color="000000" w:fill="FFFFFF"/>
            <w:noWrap w:val="0"/>
            <w:vAlign w:val="center"/>
          </w:tcPr>
          <w:p w14:paraId="0BBA337F">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365" w:type="dxa"/>
            <w:vMerge w:val="continue"/>
            <w:shd w:val="clear" w:color="000000" w:fill="FFFFFF"/>
            <w:noWrap w:val="0"/>
            <w:vAlign w:val="center"/>
          </w:tcPr>
          <w:p w14:paraId="31552CEA">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699" w:type="dxa"/>
            <w:shd w:val="clear" w:color="000000" w:fill="FFFFFF"/>
            <w:noWrap w:val="0"/>
            <w:vAlign w:val="center"/>
          </w:tcPr>
          <w:p w14:paraId="4FCCAAAF">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★2.8轿厢语音报站</w:t>
            </w:r>
          </w:p>
        </w:tc>
        <w:tc>
          <w:tcPr>
            <w:tcW w:w="3632" w:type="dxa"/>
            <w:shd w:val="clear" w:color="000000" w:fill="FFFFFF"/>
            <w:noWrap w:val="0"/>
            <w:vAlign w:val="center"/>
          </w:tcPr>
          <w:p w14:paraId="628F10B3">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有</w:t>
            </w:r>
          </w:p>
        </w:tc>
        <w:tc>
          <w:tcPr>
            <w:tcW w:w="945" w:type="dxa"/>
            <w:vMerge w:val="continue"/>
            <w:shd w:val="clear" w:color="000000" w:fill="FFFFFF"/>
            <w:noWrap w:val="0"/>
            <w:vAlign w:val="center"/>
          </w:tcPr>
          <w:p w14:paraId="3B916248">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225124E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1200845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147AA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47105074">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continue"/>
            <w:shd w:val="clear" w:color="000000" w:fill="FFFFFF"/>
            <w:noWrap w:val="0"/>
            <w:vAlign w:val="center"/>
          </w:tcPr>
          <w:p w14:paraId="7A6ACE66">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365" w:type="dxa"/>
            <w:vMerge w:val="continue"/>
            <w:shd w:val="clear" w:color="000000" w:fill="FFFFFF"/>
            <w:noWrap w:val="0"/>
            <w:vAlign w:val="center"/>
          </w:tcPr>
          <w:p w14:paraId="52FF3466">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699" w:type="dxa"/>
            <w:shd w:val="clear" w:color="000000" w:fill="FFFFFF"/>
            <w:noWrap w:val="0"/>
            <w:vAlign w:val="center"/>
          </w:tcPr>
          <w:p w14:paraId="30F4AD78">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★2.9其他要求</w:t>
            </w:r>
          </w:p>
        </w:tc>
        <w:tc>
          <w:tcPr>
            <w:tcW w:w="3632" w:type="dxa"/>
            <w:shd w:val="clear" w:color="000000" w:fill="FFFFFF"/>
            <w:noWrap w:val="0"/>
            <w:vAlign w:val="center"/>
          </w:tcPr>
          <w:p w14:paraId="221EA19E">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配地坎及轿底护板</w:t>
            </w:r>
          </w:p>
        </w:tc>
        <w:tc>
          <w:tcPr>
            <w:tcW w:w="945" w:type="dxa"/>
            <w:vMerge w:val="continue"/>
            <w:shd w:val="clear" w:color="000000" w:fill="FFFFFF"/>
            <w:noWrap w:val="0"/>
            <w:vAlign w:val="center"/>
          </w:tcPr>
          <w:p w14:paraId="3211F978">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4A0ED515">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1E6E91B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51E63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273" w:type="dxa"/>
            <w:vMerge w:val="continue"/>
            <w:shd w:val="clear" w:color="000000" w:fill="FFFFFF"/>
            <w:noWrap w:val="0"/>
            <w:vAlign w:val="center"/>
          </w:tcPr>
          <w:p w14:paraId="2EE67B71">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restart"/>
            <w:shd w:val="clear" w:color="000000" w:fill="FFFFFF"/>
            <w:noWrap w:val="0"/>
            <w:vAlign w:val="center"/>
          </w:tcPr>
          <w:p w14:paraId="7FC473C7">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eastAsia" w:ascii="Times New Roman" w:hAnsi="Times New Roman" w:eastAsia="方正仿宋_GBK" w:cs="Times New Roman"/>
                <w:color w:val="auto"/>
                <w:kern w:val="0"/>
                <w:szCs w:val="21"/>
                <w:lang w:val="en-US" w:eastAsia="zh-CN"/>
              </w:rPr>
            </w:pPr>
            <w:r>
              <w:rPr>
                <w:rFonts w:hint="eastAsia" w:eastAsia="方正仿宋_GBK" w:cs="Times New Roman"/>
                <w:color w:val="auto"/>
                <w:kern w:val="0"/>
                <w:szCs w:val="21"/>
                <w:lang w:val="en-US" w:eastAsia="zh-CN"/>
              </w:rPr>
              <w:t>3</w:t>
            </w:r>
          </w:p>
        </w:tc>
        <w:tc>
          <w:tcPr>
            <w:tcW w:w="1365" w:type="dxa"/>
            <w:vMerge w:val="restart"/>
            <w:shd w:val="clear" w:color="000000" w:fill="FFFFFF"/>
            <w:noWrap w:val="0"/>
            <w:vAlign w:val="center"/>
          </w:tcPr>
          <w:p w14:paraId="182574B2">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r>
              <w:rPr>
                <w:rFonts w:hint="default" w:ascii="Times New Roman" w:hAnsi="Times New Roman" w:eastAsia="方正仿宋_GBK" w:cs="Times New Roman"/>
                <w:color w:val="auto"/>
                <w:kern w:val="0"/>
                <w:szCs w:val="21"/>
              </w:rPr>
              <w:t>轿厢操纵盘</w:t>
            </w:r>
          </w:p>
        </w:tc>
        <w:tc>
          <w:tcPr>
            <w:tcW w:w="1699" w:type="dxa"/>
            <w:shd w:val="clear" w:color="000000" w:fill="FFFFFF"/>
            <w:noWrap w:val="0"/>
            <w:vAlign w:val="center"/>
          </w:tcPr>
          <w:p w14:paraId="04E8ABAE">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★3.1轿厢操纵盘</w:t>
            </w:r>
            <w:r>
              <w:rPr>
                <w:rFonts w:hint="default" w:ascii="Times New Roman" w:hAnsi="Times New Roman" w:eastAsia="方正仿宋_GBK" w:cs="Times New Roman"/>
                <w:color w:val="auto"/>
                <w:szCs w:val="21"/>
                <w:lang w:eastAsia="zh-CN"/>
              </w:rPr>
              <w:t>（</w:t>
            </w:r>
            <w:r>
              <w:rPr>
                <w:rFonts w:hint="default" w:ascii="Times New Roman" w:hAnsi="Times New Roman" w:eastAsia="方正仿宋_GBK" w:cs="Times New Roman"/>
                <w:color w:val="auto"/>
                <w:szCs w:val="21"/>
              </w:rPr>
              <w:t>COP</w:t>
            </w:r>
            <w:r>
              <w:rPr>
                <w:rFonts w:hint="default" w:ascii="Times New Roman" w:hAnsi="Times New Roman" w:eastAsia="方正仿宋_GBK" w:cs="Times New Roman"/>
                <w:color w:val="auto"/>
                <w:szCs w:val="21"/>
                <w:lang w:eastAsia="zh-CN"/>
              </w:rPr>
              <w:t>）</w:t>
            </w:r>
            <w:r>
              <w:rPr>
                <w:rFonts w:hint="default" w:ascii="Times New Roman" w:hAnsi="Times New Roman" w:eastAsia="方正仿宋_GBK" w:cs="Times New Roman"/>
                <w:color w:val="auto"/>
                <w:szCs w:val="21"/>
              </w:rPr>
              <w:t>类型</w:t>
            </w:r>
          </w:p>
        </w:tc>
        <w:tc>
          <w:tcPr>
            <w:tcW w:w="3632" w:type="dxa"/>
            <w:shd w:val="clear" w:color="000000" w:fill="FFFFFF"/>
            <w:noWrap w:val="0"/>
            <w:vAlign w:val="center"/>
          </w:tcPr>
          <w:p w14:paraId="436E077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一体式（COP位置：侧壁）</w:t>
            </w:r>
          </w:p>
        </w:tc>
        <w:tc>
          <w:tcPr>
            <w:tcW w:w="945" w:type="dxa"/>
            <w:vMerge w:val="continue"/>
            <w:shd w:val="clear" w:color="000000" w:fill="FFFFFF"/>
            <w:noWrap w:val="0"/>
            <w:vAlign w:val="center"/>
          </w:tcPr>
          <w:p w14:paraId="3E7F5713">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491FA11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3329A09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76668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681C71BC">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continue"/>
            <w:shd w:val="clear" w:color="000000" w:fill="FFFFFF"/>
            <w:noWrap w:val="0"/>
            <w:vAlign w:val="center"/>
          </w:tcPr>
          <w:p w14:paraId="7E4AED86">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365" w:type="dxa"/>
            <w:vMerge w:val="continue"/>
            <w:shd w:val="clear" w:color="000000" w:fill="FFFFFF"/>
            <w:noWrap w:val="0"/>
            <w:vAlign w:val="center"/>
          </w:tcPr>
          <w:p w14:paraId="50A481E6">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699" w:type="dxa"/>
            <w:shd w:val="clear" w:color="000000" w:fill="FFFFFF"/>
            <w:noWrap w:val="0"/>
            <w:vAlign w:val="center"/>
          </w:tcPr>
          <w:p w14:paraId="4E5448DB">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★3.2面板材质</w:t>
            </w:r>
          </w:p>
        </w:tc>
        <w:tc>
          <w:tcPr>
            <w:tcW w:w="3632" w:type="dxa"/>
            <w:shd w:val="clear" w:color="000000" w:fill="FFFFFF"/>
            <w:noWrap w:val="0"/>
            <w:vAlign w:val="center"/>
          </w:tcPr>
          <w:p w14:paraId="67A025D7">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发纹不锈钢</w:t>
            </w:r>
          </w:p>
        </w:tc>
        <w:tc>
          <w:tcPr>
            <w:tcW w:w="945" w:type="dxa"/>
            <w:vMerge w:val="continue"/>
            <w:shd w:val="clear" w:color="000000" w:fill="FFFFFF"/>
            <w:noWrap w:val="0"/>
            <w:vAlign w:val="center"/>
          </w:tcPr>
          <w:p w14:paraId="7487E0B9">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15D162F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15BF0DB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00DE2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08F4982D">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continue"/>
            <w:shd w:val="clear" w:color="000000" w:fill="FFFFFF"/>
            <w:noWrap w:val="0"/>
            <w:vAlign w:val="center"/>
          </w:tcPr>
          <w:p w14:paraId="13B94610">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365" w:type="dxa"/>
            <w:vMerge w:val="continue"/>
            <w:shd w:val="clear" w:color="000000" w:fill="FFFFFF"/>
            <w:noWrap w:val="0"/>
            <w:vAlign w:val="center"/>
          </w:tcPr>
          <w:p w14:paraId="636E701A">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699" w:type="dxa"/>
            <w:shd w:val="clear" w:color="000000" w:fill="FFFFFF"/>
            <w:noWrap w:val="0"/>
            <w:vAlign w:val="center"/>
          </w:tcPr>
          <w:p w14:paraId="6CB80431">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★3.3显示器规格</w:t>
            </w:r>
          </w:p>
        </w:tc>
        <w:tc>
          <w:tcPr>
            <w:tcW w:w="3632" w:type="dxa"/>
            <w:shd w:val="clear" w:color="000000" w:fill="FFFFFF"/>
            <w:noWrap w:val="0"/>
            <w:vAlign w:val="center"/>
          </w:tcPr>
          <w:p w14:paraId="4F2CBB23">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eastAsia" w:eastAsia="方正仿宋_GBK" w:cs="Times New Roman"/>
                <w:color w:val="auto"/>
                <w:szCs w:val="21"/>
                <w:highlight w:val="none"/>
                <w:lang w:val="en-US" w:eastAsia="zh-CN"/>
              </w:rPr>
              <w:t>≥</w:t>
            </w:r>
            <w:r>
              <w:rPr>
                <w:rFonts w:hint="default" w:ascii="Times New Roman" w:hAnsi="Times New Roman" w:eastAsia="方正仿宋_GBK" w:cs="Times New Roman"/>
                <w:color w:val="auto"/>
                <w:szCs w:val="21"/>
                <w:highlight w:val="none"/>
              </w:rPr>
              <w:t>1</w:t>
            </w:r>
            <w:r>
              <w:rPr>
                <w:rFonts w:hint="default" w:ascii="Times New Roman" w:hAnsi="Times New Roman" w:eastAsia="方正仿宋_GBK" w:cs="Times New Roman"/>
                <w:color w:val="auto"/>
                <w:szCs w:val="21"/>
              </w:rPr>
              <w:t>0.4寸液晶显示</w:t>
            </w:r>
          </w:p>
        </w:tc>
        <w:tc>
          <w:tcPr>
            <w:tcW w:w="945" w:type="dxa"/>
            <w:vMerge w:val="continue"/>
            <w:shd w:val="clear" w:color="000000" w:fill="FFFFFF"/>
            <w:noWrap w:val="0"/>
            <w:vAlign w:val="center"/>
          </w:tcPr>
          <w:p w14:paraId="750DC06B">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7F07A3D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27FDD1E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690B6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273" w:type="dxa"/>
            <w:vMerge w:val="continue"/>
            <w:shd w:val="clear" w:color="000000" w:fill="FFFFFF"/>
            <w:noWrap w:val="0"/>
            <w:vAlign w:val="center"/>
          </w:tcPr>
          <w:p w14:paraId="622294A1">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continue"/>
            <w:shd w:val="clear" w:color="000000" w:fill="FFFFFF"/>
            <w:noWrap w:val="0"/>
            <w:vAlign w:val="center"/>
          </w:tcPr>
          <w:p w14:paraId="74384316">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365" w:type="dxa"/>
            <w:vMerge w:val="continue"/>
            <w:shd w:val="clear" w:color="000000" w:fill="FFFFFF"/>
            <w:noWrap w:val="0"/>
            <w:vAlign w:val="center"/>
          </w:tcPr>
          <w:p w14:paraId="688B7F4C">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699" w:type="dxa"/>
            <w:shd w:val="clear" w:color="000000" w:fill="FFFFFF"/>
            <w:noWrap w:val="0"/>
            <w:vAlign w:val="center"/>
          </w:tcPr>
          <w:p w14:paraId="6A042483">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★3.4按钮型号</w:t>
            </w:r>
          </w:p>
        </w:tc>
        <w:tc>
          <w:tcPr>
            <w:tcW w:w="3632" w:type="dxa"/>
            <w:shd w:val="clear" w:color="000000" w:fill="FFFFFF"/>
            <w:noWrap w:val="0"/>
            <w:vAlign w:val="center"/>
          </w:tcPr>
          <w:p w14:paraId="76C1881B">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不锈钢微触式沙面红光按钮（带盲文）</w:t>
            </w:r>
          </w:p>
        </w:tc>
        <w:tc>
          <w:tcPr>
            <w:tcW w:w="945" w:type="dxa"/>
            <w:vMerge w:val="continue"/>
            <w:shd w:val="clear" w:color="000000" w:fill="FFFFFF"/>
            <w:noWrap w:val="0"/>
            <w:vAlign w:val="center"/>
          </w:tcPr>
          <w:p w14:paraId="644673D6">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68FB857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33C7458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2B0BB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1273" w:type="dxa"/>
            <w:vMerge w:val="continue"/>
            <w:shd w:val="clear" w:color="000000" w:fill="FFFFFF"/>
            <w:noWrap w:val="0"/>
            <w:vAlign w:val="center"/>
          </w:tcPr>
          <w:p w14:paraId="0E589CE0">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restart"/>
            <w:shd w:val="clear" w:color="000000" w:fill="FFFFFF"/>
            <w:noWrap w:val="0"/>
            <w:vAlign w:val="center"/>
          </w:tcPr>
          <w:p w14:paraId="0511754C">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eastAsia" w:ascii="Times New Roman" w:hAnsi="Times New Roman" w:eastAsia="方正仿宋_GBK" w:cs="Times New Roman"/>
                <w:color w:val="auto"/>
                <w:kern w:val="0"/>
                <w:szCs w:val="21"/>
                <w:lang w:val="en-US" w:eastAsia="zh-CN"/>
              </w:rPr>
            </w:pPr>
            <w:r>
              <w:rPr>
                <w:rFonts w:hint="eastAsia" w:eastAsia="方正仿宋_GBK" w:cs="Times New Roman"/>
                <w:color w:val="auto"/>
                <w:kern w:val="0"/>
                <w:szCs w:val="21"/>
                <w:lang w:val="en-US" w:eastAsia="zh-CN"/>
              </w:rPr>
              <w:t>4</w:t>
            </w:r>
          </w:p>
        </w:tc>
        <w:tc>
          <w:tcPr>
            <w:tcW w:w="1365" w:type="dxa"/>
            <w:vMerge w:val="restart"/>
            <w:shd w:val="clear" w:color="000000" w:fill="FFFFFF"/>
            <w:noWrap w:val="0"/>
            <w:vAlign w:val="center"/>
          </w:tcPr>
          <w:p w14:paraId="17F36F4C">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r>
              <w:rPr>
                <w:rFonts w:hint="default" w:ascii="Times New Roman" w:hAnsi="Times New Roman" w:eastAsia="方正仿宋_GBK" w:cs="Times New Roman"/>
                <w:color w:val="auto"/>
                <w:kern w:val="0"/>
                <w:szCs w:val="21"/>
              </w:rPr>
              <w:t>层站显示箱</w:t>
            </w:r>
          </w:p>
        </w:tc>
        <w:tc>
          <w:tcPr>
            <w:tcW w:w="1699" w:type="dxa"/>
            <w:shd w:val="clear" w:color="000000" w:fill="FFFFFF"/>
            <w:noWrap w:val="0"/>
            <w:vAlign w:val="center"/>
          </w:tcPr>
          <w:p w14:paraId="1CCEEDDA">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★4.1层站召唤显示箱（LIOP）类型</w:t>
            </w:r>
          </w:p>
        </w:tc>
        <w:tc>
          <w:tcPr>
            <w:tcW w:w="3632" w:type="dxa"/>
            <w:shd w:val="clear" w:color="000000" w:fill="FFFFFF"/>
            <w:noWrap w:val="0"/>
            <w:vAlign w:val="center"/>
          </w:tcPr>
          <w:p w14:paraId="3737BC14">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eastAsia" w:eastAsia="方正仿宋_GBK" w:cs="Times New Roman"/>
                <w:color w:val="auto"/>
                <w:szCs w:val="21"/>
                <w:highlight w:val="none"/>
                <w:lang w:val="en-US" w:eastAsia="zh-CN"/>
              </w:rPr>
              <w:t>≥</w:t>
            </w:r>
            <w:r>
              <w:rPr>
                <w:rFonts w:hint="default" w:ascii="Times New Roman" w:hAnsi="Times New Roman" w:eastAsia="方正仿宋_GBK" w:cs="Times New Roman"/>
                <w:color w:val="auto"/>
                <w:szCs w:val="21"/>
                <w:highlight w:val="none"/>
              </w:rPr>
              <w:t>4.</w:t>
            </w:r>
            <w:r>
              <w:rPr>
                <w:rFonts w:hint="default" w:ascii="Times New Roman" w:hAnsi="Times New Roman" w:eastAsia="方正仿宋_GBK" w:cs="Times New Roman"/>
                <w:color w:val="auto"/>
                <w:szCs w:val="21"/>
              </w:rPr>
              <w:t>3寸液晶显示，超薄紧凑型单梯</w:t>
            </w:r>
          </w:p>
        </w:tc>
        <w:tc>
          <w:tcPr>
            <w:tcW w:w="945" w:type="dxa"/>
            <w:vMerge w:val="continue"/>
            <w:shd w:val="clear" w:color="000000" w:fill="FFFFFF"/>
            <w:noWrap w:val="0"/>
            <w:vAlign w:val="center"/>
          </w:tcPr>
          <w:p w14:paraId="32D3B4D1">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3F83D794">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03F032E8">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1C7F8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0191B2E4">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continue"/>
            <w:shd w:val="clear" w:color="000000" w:fill="FFFFFF"/>
            <w:noWrap w:val="0"/>
            <w:vAlign w:val="center"/>
          </w:tcPr>
          <w:p w14:paraId="1B0B35E0">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365" w:type="dxa"/>
            <w:vMerge w:val="continue"/>
            <w:shd w:val="clear" w:color="000000" w:fill="FFFFFF"/>
            <w:noWrap w:val="0"/>
            <w:vAlign w:val="center"/>
          </w:tcPr>
          <w:p w14:paraId="5387D4AE">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699" w:type="dxa"/>
            <w:shd w:val="clear" w:color="000000" w:fill="FFFFFF"/>
            <w:noWrap w:val="0"/>
            <w:vAlign w:val="center"/>
          </w:tcPr>
          <w:p w14:paraId="0C54C0AF">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★4.2面板材质</w:t>
            </w:r>
          </w:p>
        </w:tc>
        <w:tc>
          <w:tcPr>
            <w:tcW w:w="3632" w:type="dxa"/>
            <w:shd w:val="clear" w:color="000000" w:fill="FFFFFF"/>
            <w:noWrap w:val="0"/>
            <w:vAlign w:val="center"/>
          </w:tcPr>
          <w:p w14:paraId="73ED8584">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发纹不锈钢面板</w:t>
            </w:r>
          </w:p>
        </w:tc>
        <w:tc>
          <w:tcPr>
            <w:tcW w:w="945" w:type="dxa"/>
            <w:vMerge w:val="continue"/>
            <w:shd w:val="clear" w:color="000000" w:fill="FFFFFF"/>
            <w:noWrap w:val="0"/>
            <w:vAlign w:val="center"/>
          </w:tcPr>
          <w:p w14:paraId="56A80CA4">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4B953510">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1CE72F2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59921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273" w:type="dxa"/>
            <w:vMerge w:val="continue"/>
            <w:shd w:val="clear" w:color="000000" w:fill="FFFFFF"/>
            <w:noWrap w:val="0"/>
            <w:vAlign w:val="center"/>
          </w:tcPr>
          <w:p w14:paraId="37092351">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continue"/>
            <w:shd w:val="clear" w:color="000000" w:fill="FFFFFF"/>
            <w:noWrap w:val="0"/>
            <w:vAlign w:val="center"/>
          </w:tcPr>
          <w:p w14:paraId="1E735AC6">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365" w:type="dxa"/>
            <w:vMerge w:val="continue"/>
            <w:shd w:val="clear" w:color="000000" w:fill="FFFFFF"/>
            <w:noWrap w:val="0"/>
            <w:vAlign w:val="center"/>
          </w:tcPr>
          <w:p w14:paraId="4DE8C397">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1699" w:type="dxa"/>
            <w:shd w:val="clear" w:color="000000" w:fill="FFFFFF"/>
            <w:noWrap w:val="0"/>
            <w:vAlign w:val="center"/>
          </w:tcPr>
          <w:p w14:paraId="3991D639">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★4.3按钮型号</w:t>
            </w:r>
          </w:p>
        </w:tc>
        <w:tc>
          <w:tcPr>
            <w:tcW w:w="3632" w:type="dxa"/>
            <w:shd w:val="clear" w:color="000000" w:fill="FFFFFF"/>
            <w:noWrap w:val="0"/>
            <w:vAlign w:val="center"/>
          </w:tcPr>
          <w:p w14:paraId="5E2BE0B9">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不锈钢微触式沙面红光按钮（带盲文）</w:t>
            </w:r>
          </w:p>
        </w:tc>
        <w:tc>
          <w:tcPr>
            <w:tcW w:w="945" w:type="dxa"/>
            <w:vMerge w:val="continue"/>
            <w:shd w:val="clear" w:color="000000" w:fill="FFFFFF"/>
            <w:noWrap w:val="0"/>
            <w:vAlign w:val="center"/>
          </w:tcPr>
          <w:p w14:paraId="3049943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33C2083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787105E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2D209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7F7FB4AB">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p>
        </w:tc>
        <w:tc>
          <w:tcPr>
            <w:tcW w:w="909" w:type="dxa"/>
            <w:vMerge w:val="restart"/>
            <w:shd w:val="clear" w:color="000000" w:fill="FFFFFF"/>
            <w:noWrap w:val="0"/>
            <w:vAlign w:val="center"/>
          </w:tcPr>
          <w:p w14:paraId="3BB0C77C">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eastAsia" w:ascii="Times New Roman" w:hAnsi="Times New Roman" w:eastAsia="方正仿宋_GBK" w:cs="Times New Roman"/>
                <w:color w:val="auto"/>
                <w:kern w:val="0"/>
                <w:szCs w:val="21"/>
                <w:lang w:val="en-US" w:eastAsia="zh-CN"/>
              </w:rPr>
            </w:pPr>
            <w:r>
              <w:rPr>
                <w:rFonts w:hint="eastAsia" w:eastAsia="方正仿宋_GBK" w:cs="Times New Roman"/>
                <w:color w:val="auto"/>
                <w:kern w:val="0"/>
                <w:szCs w:val="21"/>
                <w:lang w:val="en-US" w:eastAsia="zh-CN"/>
              </w:rPr>
              <w:t>5</w:t>
            </w:r>
          </w:p>
        </w:tc>
        <w:tc>
          <w:tcPr>
            <w:tcW w:w="1365" w:type="dxa"/>
            <w:vMerge w:val="restart"/>
            <w:shd w:val="clear" w:color="000000" w:fill="FFFFFF"/>
            <w:noWrap w:val="0"/>
            <w:vAlign w:val="center"/>
          </w:tcPr>
          <w:p w14:paraId="2F340170">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Cs w:val="21"/>
              </w:rPr>
            </w:pPr>
            <w:r>
              <w:rPr>
                <w:rFonts w:hint="default" w:ascii="Times New Roman" w:hAnsi="Times New Roman" w:eastAsia="方正仿宋_GBK" w:cs="Times New Roman"/>
                <w:color w:val="auto"/>
                <w:kern w:val="0"/>
                <w:szCs w:val="21"/>
              </w:rPr>
              <w:t>厅/轿门</w:t>
            </w:r>
          </w:p>
        </w:tc>
        <w:tc>
          <w:tcPr>
            <w:tcW w:w="1699" w:type="dxa"/>
            <w:shd w:val="clear" w:color="000000" w:fill="FFFFFF"/>
            <w:noWrap w:val="0"/>
            <w:vAlign w:val="center"/>
          </w:tcPr>
          <w:p w14:paraId="183AA2AA">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★5.1开门方式</w:t>
            </w:r>
          </w:p>
        </w:tc>
        <w:tc>
          <w:tcPr>
            <w:tcW w:w="3632" w:type="dxa"/>
            <w:shd w:val="clear" w:color="000000" w:fill="FFFFFF"/>
            <w:noWrap w:val="0"/>
            <w:vAlign w:val="center"/>
          </w:tcPr>
          <w:p w14:paraId="1664FAD4">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旁开</w:t>
            </w:r>
          </w:p>
        </w:tc>
        <w:tc>
          <w:tcPr>
            <w:tcW w:w="945" w:type="dxa"/>
            <w:vMerge w:val="continue"/>
            <w:shd w:val="clear" w:color="000000" w:fill="FFFFFF"/>
            <w:noWrap w:val="0"/>
            <w:vAlign w:val="center"/>
          </w:tcPr>
          <w:p w14:paraId="62FECB30">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466D1259">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2A650969">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71B95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01AC8A91">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 w:val="18"/>
                <w:szCs w:val="18"/>
              </w:rPr>
            </w:pPr>
          </w:p>
        </w:tc>
        <w:tc>
          <w:tcPr>
            <w:tcW w:w="909" w:type="dxa"/>
            <w:vMerge w:val="continue"/>
            <w:shd w:val="clear" w:color="000000" w:fill="FFFFFF"/>
            <w:noWrap w:val="0"/>
            <w:vAlign w:val="center"/>
          </w:tcPr>
          <w:p w14:paraId="38110591">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 w:val="18"/>
                <w:szCs w:val="18"/>
              </w:rPr>
            </w:pPr>
          </w:p>
        </w:tc>
        <w:tc>
          <w:tcPr>
            <w:tcW w:w="1365" w:type="dxa"/>
            <w:vMerge w:val="continue"/>
            <w:shd w:val="clear" w:color="000000" w:fill="FFFFFF"/>
            <w:noWrap w:val="0"/>
            <w:vAlign w:val="center"/>
          </w:tcPr>
          <w:p w14:paraId="33844448">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 w:val="18"/>
                <w:szCs w:val="18"/>
              </w:rPr>
            </w:pPr>
          </w:p>
        </w:tc>
        <w:tc>
          <w:tcPr>
            <w:tcW w:w="1699" w:type="dxa"/>
            <w:shd w:val="clear" w:color="000000" w:fill="FFFFFF"/>
            <w:noWrap w:val="0"/>
            <w:vAlign w:val="center"/>
          </w:tcPr>
          <w:p w14:paraId="188682D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★5.2光幕类型</w:t>
            </w:r>
          </w:p>
        </w:tc>
        <w:tc>
          <w:tcPr>
            <w:tcW w:w="3632" w:type="dxa"/>
            <w:shd w:val="clear" w:color="000000" w:fill="FFFFFF"/>
            <w:noWrap w:val="0"/>
            <w:vAlign w:val="center"/>
          </w:tcPr>
          <w:p w14:paraId="6E46862A">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eastAsia" w:eastAsia="方正仿宋_GBK" w:cs="Times New Roman"/>
                <w:color w:val="auto"/>
                <w:szCs w:val="21"/>
                <w:lang w:val="en-US" w:eastAsia="zh-CN"/>
              </w:rPr>
              <w:t>≥</w:t>
            </w:r>
            <w:r>
              <w:rPr>
                <w:rFonts w:hint="default" w:ascii="Times New Roman" w:hAnsi="Times New Roman" w:eastAsia="方正仿宋_GBK" w:cs="Times New Roman"/>
                <w:color w:val="auto"/>
                <w:szCs w:val="21"/>
              </w:rPr>
              <w:t>154束</w:t>
            </w:r>
          </w:p>
        </w:tc>
        <w:tc>
          <w:tcPr>
            <w:tcW w:w="945" w:type="dxa"/>
            <w:vMerge w:val="continue"/>
            <w:shd w:val="clear" w:color="000000" w:fill="FFFFFF"/>
            <w:noWrap w:val="0"/>
            <w:vAlign w:val="center"/>
          </w:tcPr>
          <w:p w14:paraId="3A837F57">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5DC9A80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41606EB8">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2AF79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10ADB3BF">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 w:val="18"/>
                <w:szCs w:val="18"/>
              </w:rPr>
            </w:pPr>
          </w:p>
        </w:tc>
        <w:tc>
          <w:tcPr>
            <w:tcW w:w="909" w:type="dxa"/>
            <w:vMerge w:val="continue"/>
            <w:shd w:val="clear" w:color="000000" w:fill="FFFFFF"/>
            <w:noWrap w:val="0"/>
            <w:vAlign w:val="center"/>
          </w:tcPr>
          <w:p w14:paraId="257ED367">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 w:val="18"/>
                <w:szCs w:val="18"/>
              </w:rPr>
            </w:pPr>
          </w:p>
        </w:tc>
        <w:tc>
          <w:tcPr>
            <w:tcW w:w="1365" w:type="dxa"/>
            <w:vMerge w:val="continue"/>
            <w:shd w:val="clear" w:color="000000" w:fill="FFFFFF"/>
            <w:noWrap w:val="0"/>
            <w:vAlign w:val="center"/>
          </w:tcPr>
          <w:p w14:paraId="0409B748">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 w:val="18"/>
                <w:szCs w:val="18"/>
              </w:rPr>
            </w:pPr>
          </w:p>
        </w:tc>
        <w:tc>
          <w:tcPr>
            <w:tcW w:w="1699" w:type="dxa"/>
            <w:shd w:val="clear" w:color="000000" w:fill="FFFFFF"/>
            <w:noWrap w:val="0"/>
            <w:vAlign w:val="center"/>
          </w:tcPr>
          <w:p w14:paraId="57D53C4B">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★5.3开门尺寸</w:t>
            </w:r>
          </w:p>
        </w:tc>
        <w:tc>
          <w:tcPr>
            <w:tcW w:w="3632" w:type="dxa"/>
            <w:shd w:val="clear" w:color="000000" w:fill="FFFFFF"/>
            <w:noWrap w:val="0"/>
            <w:vAlign w:val="center"/>
          </w:tcPr>
          <w:p w14:paraId="15692B7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1</w:t>
            </w:r>
            <w:r>
              <w:rPr>
                <w:rFonts w:hint="default" w:ascii="Times New Roman" w:hAnsi="Times New Roman" w:eastAsia="方正仿宋_GBK" w:cs="Times New Roman"/>
                <w:color w:val="auto"/>
                <w:szCs w:val="21"/>
                <w:lang w:val="en-US" w:eastAsia="zh-CN"/>
              </w:rPr>
              <w:t>2</w:t>
            </w:r>
            <w:r>
              <w:rPr>
                <w:rFonts w:hint="default" w:ascii="Times New Roman" w:hAnsi="Times New Roman" w:eastAsia="方正仿宋_GBK" w:cs="Times New Roman"/>
                <w:color w:val="auto"/>
                <w:szCs w:val="21"/>
              </w:rPr>
              <w:t>00mm宽*2100mm高</w:t>
            </w:r>
          </w:p>
        </w:tc>
        <w:tc>
          <w:tcPr>
            <w:tcW w:w="945" w:type="dxa"/>
            <w:vMerge w:val="continue"/>
            <w:shd w:val="clear" w:color="000000" w:fill="FFFFFF"/>
            <w:noWrap w:val="0"/>
            <w:vAlign w:val="center"/>
          </w:tcPr>
          <w:p w14:paraId="27357500">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6DB642C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626C0A66">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02584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5CC127CA">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 w:val="18"/>
                <w:szCs w:val="18"/>
              </w:rPr>
            </w:pPr>
          </w:p>
        </w:tc>
        <w:tc>
          <w:tcPr>
            <w:tcW w:w="909" w:type="dxa"/>
            <w:vMerge w:val="continue"/>
            <w:shd w:val="clear" w:color="000000" w:fill="FFFFFF"/>
            <w:noWrap w:val="0"/>
            <w:vAlign w:val="center"/>
          </w:tcPr>
          <w:p w14:paraId="0E655AA5">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 w:val="18"/>
                <w:szCs w:val="18"/>
              </w:rPr>
            </w:pPr>
          </w:p>
        </w:tc>
        <w:tc>
          <w:tcPr>
            <w:tcW w:w="1365" w:type="dxa"/>
            <w:vMerge w:val="continue"/>
            <w:shd w:val="clear" w:color="000000" w:fill="FFFFFF"/>
            <w:noWrap w:val="0"/>
            <w:vAlign w:val="center"/>
          </w:tcPr>
          <w:p w14:paraId="1635A0E7">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 w:val="18"/>
                <w:szCs w:val="18"/>
              </w:rPr>
            </w:pPr>
          </w:p>
        </w:tc>
        <w:tc>
          <w:tcPr>
            <w:tcW w:w="1699" w:type="dxa"/>
            <w:shd w:val="clear" w:color="000000" w:fill="FFFFFF"/>
            <w:noWrap w:val="0"/>
            <w:vAlign w:val="center"/>
          </w:tcPr>
          <w:p w14:paraId="0CE5955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★5.4轿门装饰</w:t>
            </w:r>
          </w:p>
        </w:tc>
        <w:tc>
          <w:tcPr>
            <w:tcW w:w="3632" w:type="dxa"/>
            <w:shd w:val="clear" w:color="000000" w:fill="FFFFFF"/>
            <w:noWrap w:val="0"/>
            <w:vAlign w:val="center"/>
          </w:tcPr>
          <w:p w14:paraId="4215CC5D">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000000" w:themeColor="text1"/>
                <w:szCs w:val="21"/>
                <w14:textFill>
                  <w14:solidFill>
                    <w14:schemeClr w14:val="tx1"/>
                  </w14:solidFill>
                </w14:textFill>
              </w:rPr>
            </w:pPr>
            <w:r>
              <w:rPr>
                <w:rFonts w:hint="default" w:ascii="Times New Roman" w:hAnsi="Times New Roman" w:eastAsia="方正仿宋_GBK" w:cs="Times New Roman"/>
                <w:color w:val="000000" w:themeColor="text1"/>
                <w:szCs w:val="21"/>
                <w14:textFill>
                  <w14:solidFill>
                    <w14:schemeClr w14:val="tx1"/>
                  </w14:solidFill>
                </w14:textFill>
              </w:rPr>
              <w:t>304发纹不锈钢</w:t>
            </w:r>
          </w:p>
        </w:tc>
        <w:tc>
          <w:tcPr>
            <w:tcW w:w="945" w:type="dxa"/>
            <w:vMerge w:val="continue"/>
            <w:shd w:val="clear" w:color="000000" w:fill="FFFFFF"/>
            <w:noWrap w:val="0"/>
            <w:vAlign w:val="center"/>
          </w:tcPr>
          <w:p w14:paraId="419EF553">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7CF9B0F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05088195">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42A14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6ECAA1AB">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 w:val="18"/>
                <w:szCs w:val="18"/>
              </w:rPr>
            </w:pPr>
          </w:p>
        </w:tc>
        <w:tc>
          <w:tcPr>
            <w:tcW w:w="909" w:type="dxa"/>
            <w:vMerge w:val="continue"/>
            <w:shd w:val="clear" w:color="000000" w:fill="FFFFFF"/>
            <w:noWrap w:val="0"/>
            <w:vAlign w:val="center"/>
          </w:tcPr>
          <w:p w14:paraId="27C26FC3">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 w:val="18"/>
                <w:szCs w:val="18"/>
              </w:rPr>
            </w:pPr>
          </w:p>
        </w:tc>
        <w:tc>
          <w:tcPr>
            <w:tcW w:w="1365" w:type="dxa"/>
            <w:vMerge w:val="continue"/>
            <w:shd w:val="clear" w:color="000000" w:fill="FFFFFF"/>
            <w:noWrap w:val="0"/>
            <w:vAlign w:val="center"/>
          </w:tcPr>
          <w:p w14:paraId="018AFADA">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 w:val="18"/>
                <w:szCs w:val="18"/>
              </w:rPr>
            </w:pPr>
          </w:p>
        </w:tc>
        <w:tc>
          <w:tcPr>
            <w:tcW w:w="1699" w:type="dxa"/>
            <w:shd w:val="clear" w:color="000000" w:fill="FFFFFF"/>
            <w:noWrap w:val="0"/>
            <w:vAlign w:val="center"/>
          </w:tcPr>
          <w:p w14:paraId="18B0F941">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★5.5厅门装饰（</w:t>
            </w:r>
            <w:r>
              <w:rPr>
                <w:rFonts w:hint="eastAsia" w:eastAsia="方正仿宋_GBK" w:cs="Times New Roman"/>
                <w:color w:val="auto"/>
                <w:szCs w:val="21"/>
                <w:lang w:val="en-US" w:eastAsia="zh-CN"/>
              </w:rPr>
              <w:t>每</w:t>
            </w:r>
            <w:r>
              <w:rPr>
                <w:rFonts w:hint="default" w:ascii="Times New Roman" w:hAnsi="Times New Roman" w:eastAsia="方正仿宋_GBK" w:cs="Times New Roman"/>
                <w:color w:val="auto"/>
                <w:szCs w:val="21"/>
              </w:rPr>
              <w:t>层）</w:t>
            </w:r>
          </w:p>
        </w:tc>
        <w:tc>
          <w:tcPr>
            <w:tcW w:w="3632" w:type="dxa"/>
            <w:shd w:val="clear" w:color="000000" w:fill="FFFFFF"/>
            <w:noWrap w:val="0"/>
            <w:vAlign w:val="center"/>
          </w:tcPr>
          <w:p w14:paraId="38549730">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000000" w:themeColor="text1"/>
                <w:szCs w:val="21"/>
                <w14:textFill>
                  <w14:solidFill>
                    <w14:schemeClr w14:val="tx1"/>
                  </w14:solidFill>
                </w14:textFill>
              </w:rPr>
            </w:pPr>
            <w:r>
              <w:rPr>
                <w:rFonts w:hint="default" w:ascii="Times New Roman" w:hAnsi="Times New Roman" w:eastAsia="方正仿宋_GBK" w:cs="Times New Roman"/>
                <w:color w:val="000000" w:themeColor="text1"/>
                <w:szCs w:val="21"/>
                <w14:textFill>
                  <w14:solidFill>
                    <w14:schemeClr w14:val="tx1"/>
                  </w14:solidFill>
                </w14:textFill>
              </w:rPr>
              <w:t>304发纹不锈钢</w:t>
            </w:r>
          </w:p>
        </w:tc>
        <w:tc>
          <w:tcPr>
            <w:tcW w:w="945" w:type="dxa"/>
            <w:vMerge w:val="continue"/>
            <w:shd w:val="clear" w:color="000000" w:fill="FFFFFF"/>
            <w:noWrap w:val="0"/>
            <w:vAlign w:val="center"/>
          </w:tcPr>
          <w:p w14:paraId="22959900">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3781DF9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5FC4A289">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38799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273" w:type="dxa"/>
            <w:vMerge w:val="continue"/>
            <w:shd w:val="clear" w:color="000000" w:fill="FFFFFF"/>
            <w:noWrap w:val="0"/>
            <w:vAlign w:val="center"/>
          </w:tcPr>
          <w:p w14:paraId="27792C17">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 w:val="18"/>
                <w:szCs w:val="18"/>
              </w:rPr>
            </w:pPr>
          </w:p>
        </w:tc>
        <w:tc>
          <w:tcPr>
            <w:tcW w:w="909" w:type="dxa"/>
            <w:vMerge w:val="continue"/>
            <w:shd w:val="clear" w:color="000000" w:fill="FFFFFF"/>
            <w:noWrap w:val="0"/>
            <w:vAlign w:val="center"/>
          </w:tcPr>
          <w:p w14:paraId="5B3B6528">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 w:val="18"/>
                <w:szCs w:val="18"/>
              </w:rPr>
            </w:pPr>
          </w:p>
        </w:tc>
        <w:tc>
          <w:tcPr>
            <w:tcW w:w="1365" w:type="dxa"/>
            <w:vMerge w:val="continue"/>
            <w:shd w:val="clear" w:color="000000" w:fill="FFFFFF"/>
            <w:noWrap w:val="0"/>
            <w:vAlign w:val="center"/>
          </w:tcPr>
          <w:p w14:paraId="2A5F6403">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kern w:val="0"/>
                <w:sz w:val="18"/>
                <w:szCs w:val="18"/>
              </w:rPr>
            </w:pPr>
          </w:p>
        </w:tc>
        <w:tc>
          <w:tcPr>
            <w:tcW w:w="1699" w:type="dxa"/>
            <w:shd w:val="clear" w:color="000000" w:fill="FFFFFF"/>
            <w:noWrap w:val="0"/>
            <w:vAlign w:val="center"/>
          </w:tcPr>
          <w:p w14:paraId="74C8A0F0">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★5.6门套装饰（</w:t>
            </w:r>
            <w:r>
              <w:rPr>
                <w:rFonts w:hint="eastAsia" w:eastAsia="方正仿宋_GBK" w:cs="Times New Roman"/>
                <w:color w:val="auto"/>
                <w:szCs w:val="21"/>
                <w:lang w:val="en-US" w:eastAsia="zh-CN"/>
              </w:rPr>
              <w:t>每层</w:t>
            </w:r>
            <w:r>
              <w:rPr>
                <w:rFonts w:hint="default" w:ascii="Times New Roman" w:hAnsi="Times New Roman" w:eastAsia="方正仿宋_GBK" w:cs="Times New Roman"/>
                <w:color w:val="auto"/>
                <w:szCs w:val="21"/>
              </w:rPr>
              <w:t>）</w:t>
            </w:r>
          </w:p>
        </w:tc>
        <w:tc>
          <w:tcPr>
            <w:tcW w:w="3632" w:type="dxa"/>
            <w:shd w:val="clear" w:color="000000" w:fill="FFFFFF"/>
            <w:noWrap w:val="0"/>
            <w:vAlign w:val="center"/>
          </w:tcPr>
          <w:p w14:paraId="1EF7F946">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000000" w:themeColor="text1"/>
                <w:szCs w:val="21"/>
                <w14:textFill>
                  <w14:solidFill>
                    <w14:schemeClr w14:val="tx1"/>
                  </w14:solidFill>
                </w14:textFill>
              </w:rPr>
            </w:pPr>
            <w:r>
              <w:rPr>
                <w:rFonts w:hint="default" w:ascii="Times New Roman" w:hAnsi="Times New Roman" w:eastAsia="方正仿宋_GBK" w:cs="Times New Roman"/>
                <w:color w:val="000000" w:themeColor="text1"/>
                <w:szCs w:val="21"/>
                <w14:textFill>
                  <w14:solidFill>
                    <w14:schemeClr w14:val="tx1"/>
                  </w14:solidFill>
                </w14:textFill>
              </w:rPr>
              <w:t>304发纹不锈钢</w:t>
            </w:r>
          </w:p>
        </w:tc>
        <w:tc>
          <w:tcPr>
            <w:tcW w:w="945" w:type="dxa"/>
            <w:vMerge w:val="continue"/>
            <w:shd w:val="clear" w:color="000000" w:fill="FFFFFF"/>
            <w:noWrap w:val="0"/>
            <w:vAlign w:val="center"/>
          </w:tcPr>
          <w:p w14:paraId="7621CE8B">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520E46E9">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3BDEC2B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755AC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4F0F5F6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restart"/>
            <w:shd w:val="clear" w:color="000000" w:fill="FFFFFF"/>
            <w:noWrap w:val="0"/>
            <w:vAlign w:val="center"/>
          </w:tcPr>
          <w:p w14:paraId="7F73B0F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eastAsia" w:ascii="Times New Roman" w:hAnsi="Times New Roman" w:eastAsia="方正仿宋_GBK" w:cs="Times New Roman"/>
                <w:color w:val="auto"/>
                <w:szCs w:val="21"/>
                <w:lang w:val="en-US" w:eastAsia="zh-CN"/>
              </w:rPr>
            </w:pPr>
            <w:r>
              <w:rPr>
                <w:rFonts w:hint="eastAsia" w:eastAsia="方正仿宋_GBK" w:cs="Times New Roman"/>
                <w:color w:val="auto"/>
                <w:szCs w:val="21"/>
                <w:lang w:val="en-US" w:eastAsia="zh-CN"/>
              </w:rPr>
              <w:t>6</w:t>
            </w:r>
          </w:p>
        </w:tc>
        <w:tc>
          <w:tcPr>
            <w:tcW w:w="1365" w:type="dxa"/>
            <w:vMerge w:val="restart"/>
            <w:shd w:val="clear" w:color="000000" w:fill="FFFFFF"/>
            <w:noWrap w:val="0"/>
            <w:vAlign w:val="center"/>
          </w:tcPr>
          <w:p w14:paraId="19F126D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井道</w:t>
            </w:r>
          </w:p>
        </w:tc>
        <w:tc>
          <w:tcPr>
            <w:tcW w:w="1699" w:type="dxa"/>
            <w:shd w:val="clear" w:color="000000" w:fill="FFFFFF"/>
            <w:noWrap w:val="0"/>
            <w:vAlign w:val="center"/>
          </w:tcPr>
          <w:p w14:paraId="00EE2898">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rPr>
              <w:t>★</w:t>
            </w:r>
            <w:r>
              <w:rPr>
                <w:rFonts w:hint="default" w:ascii="Times New Roman" w:hAnsi="Times New Roman" w:eastAsia="方正仿宋_GBK" w:cs="Times New Roman"/>
                <w:color w:val="auto"/>
                <w:szCs w:val="21"/>
                <w:highlight w:val="none"/>
              </w:rPr>
              <w:t>6.1顶层高度</w:t>
            </w:r>
          </w:p>
        </w:tc>
        <w:tc>
          <w:tcPr>
            <w:tcW w:w="3632" w:type="dxa"/>
            <w:shd w:val="clear" w:color="000000" w:fill="FFFFFF"/>
            <w:noWrap w:val="0"/>
            <w:vAlign w:val="center"/>
          </w:tcPr>
          <w:p w14:paraId="58F54697">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lang w:val="en-US" w:eastAsia="zh-CN"/>
              </w:rPr>
              <w:t>5400</w:t>
            </w:r>
            <w:r>
              <w:rPr>
                <w:rFonts w:hint="default" w:ascii="Times New Roman" w:hAnsi="Times New Roman" w:eastAsia="方正仿宋_GBK" w:cs="Times New Roman"/>
                <w:color w:val="auto"/>
                <w:szCs w:val="21"/>
                <w:highlight w:val="none"/>
              </w:rPr>
              <w:t>mm</w:t>
            </w:r>
          </w:p>
        </w:tc>
        <w:tc>
          <w:tcPr>
            <w:tcW w:w="945" w:type="dxa"/>
            <w:vMerge w:val="continue"/>
            <w:shd w:val="clear" w:color="000000" w:fill="FFFFFF"/>
            <w:noWrap w:val="0"/>
            <w:vAlign w:val="center"/>
          </w:tcPr>
          <w:p w14:paraId="25DFF607">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lang w:val="en-US" w:eastAsia="zh-CN"/>
              </w:rPr>
            </w:pPr>
          </w:p>
        </w:tc>
        <w:tc>
          <w:tcPr>
            <w:tcW w:w="780" w:type="dxa"/>
            <w:vMerge w:val="continue"/>
            <w:shd w:val="clear" w:color="000000" w:fill="FFFFFF"/>
            <w:noWrap w:val="0"/>
            <w:vAlign w:val="center"/>
          </w:tcPr>
          <w:p w14:paraId="292D662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c>
          <w:tcPr>
            <w:tcW w:w="780" w:type="dxa"/>
            <w:vMerge w:val="continue"/>
            <w:shd w:val="clear" w:color="000000" w:fill="FFFFFF"/>
            <w:noWrap w:val="0"/>
            <w:vAlign w:val="center"/>
          </w:tcPr>
          <w:p w14:paraId="0CCE352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r>
      <w:tr w14:paraId="0C0BA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1164760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shd w:val="clear" w:color="000000" w:fill="FFFFFF"/>
            <w:noWrap w:val="0"/>
            <w:vAlign w:val="center"/>
          </w:tcPr>
          <w:p w14:paraId="44511088">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shd w:val="clear" w:color="000000" w:fill="FFFFFF"/>
            <w:noWrap w:val="0"/>
            <w:vAlign w:val="center"/>
          </w:tcPr>
          <w:p w14:paraId="0DBE0704">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shd w:val="clear" w:color="000000" w:fill="FFFFFF"/>
            <w:noWrap w:val="0"/>
            <w:vAlign w:val="center"/>
          </w:tcPr>
          <w:p w14:paraId="7F904786">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rPr>
              <w:t>★</w:t>
            </w:r>
            <w:r>
              <w:rPr>
                <w:rFonts w:hint="default" w:ascii="Times New Roman" w:hAnsi="Times New Roman" w:eastAsia="方正仿宋_GBK" w:cs="Times New Roman"/>
                <w:color w:val="auto"/>
                <w:szCs w:val="21"/>
                <w:highlight w:val="none"/>
              </w:rPr>
              <w:t>6.2底坑深度</w:t>
            </w:r>
          </w:p>
        </w:tc>
        <w:tc>
          <w:tcPr>
            <w:tcW w:w="3632" w:type="dxa"/>
            <w:shd w:val="clear" w:color="000000" w:fill="FFFFFF"/>
            <w:noWrap w:val="0"/>
            <w:vAlign w:val="center"/>
          </w:tcPr>
          <w:p w14:paraId="72F59BEB">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1</w:t>
            </w:r>
            <w:r>
              <w:rPr>
                <w:rFonts w:hint="eastAsia" w:eastAsia="方正仿宋_GBK" w:cs="Times New Roman"/>
                <w:color w:val="auto"/>
                <w:szCs w:val="21"/>
                <w:highlight w:val="none"/>
                <w:lang w:val="en-US" w:eastAsia="zh-CN"/>
              </w:rPr>
              <w:t>6</w:t>
            </w:r>
            <w:r>
              <w:rPr>
                <w:rFonts w:hint="default" w:ascii="Times New Roman" w:hAnsi="Times New Roman" w:eastAsia="方正仿宋_GBK" w:cs="Times New Roman"/>
                <w:color w:val="auto"/>
                <w:szCs w:val="21"/>
                <w:highlight w:val="none"/>
              </w:rPr>
              <w:t>00mm</w:t>
            </w:r>
          </w:p>
        </w:tc>
        <w:tc>
          <w:tcPr>
            <w:tcW w:w="945" w:type="dxa"/>
            <w:vMerge w:val="continue"/>
            <w:shd w:val="clear" w:color="000000" w:fill="FFFFFF"/>
            <w:noWrap w:val="0"/>
            <w:vAlign w:val="center"/>
          </w:tcPr>
          <w:p w14:paraId="2F9A6365">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0CC391D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17E948B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0839F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5F808A4A">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shd w:val="clear" w:color="000000" w:fill="FFFFFF"/>
            <w:noWrap w:val="0"/>
            <w:vAlign w:val="center"/>
          </w:tcPr>
          <w:p w14:paraId="0B15692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shd w:val="clear" w:color="000000" w:fill="FFFFFF"/>
            <w:noWrap w:val="0"/>
            <w:vAlign w:val="center"/>
          </w:tcPr>
          <w:p w14:paraId="50D7B308">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shd w:val="clear" w:color="000000" w:fill="FFFFFF"/>
            <w:noWrap w:val="0"/>
            <w:vAlign w:val="center"/>
          </w:tcPr>
          <w:p w14:paraId="4DCEA31B">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6.3机房高度</w:t>
            </w:r>
          </w:p>
        </w:tc>
        <w:tc>
          <w:tcPr>
            <w:tcW w:w="3632" w:type="dxa"/>
            <w:shd w:val="clear" w:color="000000" w:fill="FFFFFF"/>
            <w:noWrap w:val="0"/>
            <w:vAlign w:val="center"/>
          </w:tcPr>
          <w:p w14:paraId="1FDB252C">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highlight w:val="none"/>
                <w:lang w:val="en-US" w:eastAsia="zh-CN"/>
              </w:rPr>
            </w:pPr>
            <w:r>
              <w:rPr>
                <w:rFonts w:hint="default" w:ascii="Times New Roman" w:hAnsi="Times New Roman" w:eastAsia="方正仿宋_GBK" w:cs="Times New Roman"/>
                <w:color w:val="auto"/>
                <w:szCs w:val="21"/>
                <w:highlight w:val="none"/>
                <w:lang w:val="en-US" w:eastAsia="zh-CN"/>
              </w:rPr>
              <w:t>无</w:t>
            </w:r>
            <w:r>
              <w:rPr>
                <w:rFonts w:hint="default" w:ascii="Times New Roman" w:hAnsi="Times New Roman" w:eastAsia="方正仿宋_GBK" w:cs="Times New Roman"/>
                <w:color w:val="auto"/>
                <w:szCs w:val="21"/>
                <w:highlight w:val="none"/>
              </w:rPr>
              <w:t>机房</w:t>
            </w:r>
          </w:p>
        </w:tc>
        <w:tc>
          <w:tcPr>
            <w:tcW w:w="945" w:type="dxa"/>
            <w:vMerge w:val="continue"/>
            <w:shd w:val="clear" w:color="000000" w:fill="FFFFFF"/>
            <w:noWrap w:val="0"/>
            <w:vAlign w:val="center"/>
          </w:tcPr>
          <w:p w14:paraId="4328537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lang w:val="en-US" w:eastAsia="zh-CN"/>
              </w:rPr>
            </w:pPr>
          </w:p>
        </w:tc>
        <w:tc>
          <w:tcPr>
            <w:tcW w:w="780" w:type="dxa"/>
            <w:vMerge w:val="continue"/>
            <w:shd w:val="clear" w:color="000000" w:fill="FFFFFF"/>
            <w:noWrap w:val="0"/>
            <w:vAlign w:val="center"/>
          </w:tcPr>
          <w:p w14:paraId="2DDBDF0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c>
          <w:tcPr>
            <w:tcW w:w="780" w:type="dxa"/>
            <w:vMerge w:val="continue"/>
            <w:shd w:val="clear" w:color="000000" w:fill="FFFFFF"/>
            <w:noWrap w:val="0"/>
            <w:vAlign w:val="center"/>
          </w:tcPr>
          <w:p w14:paraId="7CD02FE0">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r>
      <w:tr w14:paraId="43060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273" w:type="dxa"/>
            <w:vMerge w:val="continue"/>
            <w:shd w:val="clear" w:color="000000" w:fill="FFFFFF"/>
            <w:noWrap w:val="0"/>
            <w:vAlign w:val="center"/>
          </w:tcPr>
          <w:p w14:paraId="0EA9FDCA">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shd w:val="clear" w:color="000000" w:fill="FFFFFF"/>
            <w:noWrap w:val="0"/>
            <w:vAlign w:val="center"/>
          </w:tcPr>
          <w:p w14:paraId="020D5ED6">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shd w:val="clear" w:color="000000" w:fill="FFFFFF"/>
            <w:noWrap w:val="0"/>
            <w:vAlign w:val="center"/>
          </w:tcPr>
          <w:p w14:paraId="3410D576">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shd w:val="clear" w:color="000000" w:fill="FFFFFF"/>
            <w:noWrap w:val="0"/>
            <w:vAlign w:val="center"/>
          </w:tcPr>
          <w:p w14:paraId="6503CD68">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6.4井道净尺寸（宽*深）</w:t>
            </w:r>
          </w:p>
        </w:tc>
        <w:tc>
          <w:tcPr>
            <w:tcW w:w="3632" w:type="dxa"/>
            <w:shd w:val="clear" w:color="000000" w:fill="FFFFFF"/>
            <w:noWrap w:val="0"/>
            <w:vAlign w:val="center"/>
          </w:tcPr>
          <w:p w14:paraId="63ED571E">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lang w:val="en-US" w:eastAsia="zh-CN"/>
              </w:rPr>
              <w:t>2</w:t>
            </w:r>
            <w:r>
              <w:rPr>
                <w:rFonts w:hint="eastAsia" w:eastAsia="方正仿宋_GBK" w:cs="Times New Roman"/>
                <w:color w:val="auto"/>
                <w:szCs w:val="21"/>
                <w:highlight w:val="none"/>
                <w:lang w:val="en-US" w:eastAsia="zh-CN"/>
              </w:rPr>
              <w:t>4</w:t>
            </w:r>
            <w:r>
              <w:rPr>
                <w:rFonts w:hint="default" w:ascii="Times New Roman" w:hAnsi="Times New Roman" w:eastAsia="方正仿宋_GBK" w:cs="Times New Roman"/>
                <w:color w:val="auto"/>
                <w:szCs w:val="21"/>
                <w:highlight w:val="none"/>
                <w:lang w:val="en-US" w:eastAsia="zh-CN"/>
              </w:rPr>
              <w:t>00</w:t>
            </w:r>
            <w:r>
              <w:rPr>
                <w:rFonts w:hint="default" w:ascii="Times New Roman" w:hAnsi="Times New Roman" w:eastAsia="方正仿宋_GBK" w:cs="Times New Roman"/>
                <w:color w:val="auto"/>
                <w:szCs w:val="21"/>
                <w:highlight w:val="none"/>
              </w:rPr>
              <w:t>mm宽*</w:t>
            </w:r>
            <w:r>
              <w:rPr>
                <w:rFonts w:hint="default" w:ascii="Times New Roman" w:hAnsi="Times New Roman" w:eastAsia="方正仿宋_GBK" w:cs="Times New Roman"/>
                <w:color w:val="auto"/>
                <w:szCs w:val="21"/>
                <w:highlight w:val="none"/>
                <w:lang w:val="en-US" w:eastAsia="zh-CN"/>
              </w:rPr>
              <w:t>3000</w:t>
            </w:r>
            <w:r>
              <w:rPr>
                <w:rFonts w:hint="default" w:ascii="Times New Roman" w:hAnsi="Times New Roman" w:eastAsia="方正仿宋_GBK" w:cs="Times New Roman"/>
                <w:color w:val="auto"/>
                <w:szCs w:val="21"/>
                <w:highlight w:val="none"/>
              </w:rPr>
              <w:t>mm深</w:t>
            </w:r>
          </w:p>
        </w:tc>
        <w:tc>
          <w:tcPr>
            <w:tcW w:w="945" w:type="dxa"/>
            <w:vMerge w:val="continue"/>
            <w:shd w:val="clear" w:color="000000" w:fill="FFFFFF"/>
            <w:noWrap w:val="0"/>
            <w:vAlign w:val="center"/>
          </w:tcPr>
          <w:p w14:paraId="47E1AABC">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lang w:val="en-US" w:eastAsia="zh-CN"/>
              </w:rPr>
            </w:pPr>
          </w:p>
        </w:tc>
        <w:tc>
          <w:tcPr>
            <w:tcW w:w="780" w:type="dxa"/>
            <w:vMerge w:val="continue"/>
            <w:shd w:val="clear" w:color="000000" w:fill="FFFFFF"/>
            <w:noWrap w:val="0"/>
            <w:vAlign w:val="center"/>
          </w:tcPr>
          <w:p w14:paraId="13D7B3E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c>
          <w:tcPr>
            <w:tcW w:w="780" w:type="dxa"/>
            <w:vMerge w:val="continue"/>
            <w:shd w:val="clear" w:color="000000" w:fill="FFFFFF"/>
            <w:noWrap w:val="0"/>
            <w:vAlign w:val="center"/>
          </w:tcPr>
          <w:p w14:paraId="17378BD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r>
      <w:tr w14:paraId="76F1A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1E02907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shd w:val="clear" w:color="000000" w:fill="FFFFFF"/>
            <w:noWrap w:val="0"/>
            <w:vAlign w:val="center"/>
          </w:tcPr>
          <w:p w14:paraId="3A10F58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shd w:val="clear" w:color="000000" w:fill="FFFFFF"/>
            <w:noWrap w:val="0"/>
            <w:vAlign w:val="center"/>
          </w:tcPr>
          <w:p w14:paraId="68EEB416">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shd w:val="clear" w:color="000000" w:fill="FFFFFF"/>
            <w:noWrap w:val="0"/>
            <w:vAlign w:val="center"/>
          </w:tcPr>
          <w:p w14:paraId="28848975">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6.5对重安全钳</w:t>
            </w:r>
          </w:p>
        </w:tc>
        <w:tc>
          <w:tcPr>
            <w:tcW w:w="3632" w:type="dxa"/>
            <w:shd w:val="clear" w:color="000000" w:fill="FFFFFF"/>
            <w:noWrap w:val="0"/>
            <w:vAlign w:val="center"/>
          </w:tcPr>
          <w:p w14:paraId="60D880E8">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eastAsia"/>
                <w:color w:val="auto"/>
                <w:lang w:eastAsia="zh-CN"/>
              </w:rPr>
            </w:pPr>
            <w:r>
              <w:rPr>
                <w:rFonts w:hint="eastAsia" w:eastAsia="方正仿宋_GBK" w:cs="Times New Roman"/>
                <w:color w:val="auto"/>
                <w:szCs w:val="21"/>
                <w:highlight w:val="none"/>
                <w:lang w:val="en-US" w:eastAsia="zh-CN"/>
              </w:rPr>
              <w:t>无</w:t>
            </w:r>
          </w:p>
        </w:tc>
        <w:tc>
          <w:tcPr>
            <w:tcW w:w="945" w:type="dxa"/>
            <w:vMerge w:val="continue"/>
            <w:shd w:val="clear" w:color="000000" w:fill="FFFFFF"/>
            <w:noWrap w:val="0"/>
            <w:vAlign w:val="center"/>
          </w:tcPr>
          <w:p w14:paraId="7134CEC9">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612DBDC2">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020DA376">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15D60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273" w:type="dxa"/>
            <w:vMerge w:val="continue"/>
            <w:shd w:val="clear" w:color="000000" w:fill="FFFFFF"/>
            <w:noWrap w:val="0"/>
            <w:vAlign w:val="center"/>
          </w:tcPr>
          <w:p w14:paraId="7A809E0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shd w:val="clear" w:color="000000" w:fill="FFFFFF"/>
            <w:noWrap w:val="0"/>
            <w:vAlign w:val="center"/>
          </w:tcPr>
          <w:p w14:paraId="568F9A58">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shd w:val="clear" w:color="000000" w:fill="FFFFFF"/>
            <w:noWrap w:val="0"/>
            <w:vAlign w:val="center"/>
          </w:tcPr>
          <w:p w14:paraId="5CD57D0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shd w:val="clear" w:color="000000" w:fill="FFFFFF"/>
            <w:noWrap w:val="0"/>
            <w:vAlign w:val="center"/>
          </w:tcPr>
          <w:p w14:paraId="62EE5ED3">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w:t>
            </w:r>
            <w:r>
              <w:rPr>
                <w:rFonts w:hint="default" w:ascii="Times New Roman" w:hAnsi="Times New Roman" w:eastAsia="方正仿宋_GBK" w:cs="Times New Roman"/>
                <w:color w:val="auto"/>
                <w:szCs w:val="21"/>
              </w:rPr>
              <w:t>6.6其他要求</w:t>
            </w:r>
          </w:p>
        </w:tc>
        <w:tc>
          <w:tcPr>
            <w:tcW w:w="3632" w:type="dxa"/>
            <w:shd w:val="clear" w:color="000000" w:fill="FFFFFF"/>
            <w:noWrap w:val="0"/>
            <w:vAlign w:val="center"/>
          </w:tcPr>
          <w:p w14:paraId="38DB8B10">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eastAsia" w:ascii="Times New Roman" w:hAnsi="Times New Roman" w:eastAsia="方正仿宋_GBK" w:cs="Times New Roman"/>
                <w:color w:val="auto"/>
                <w:szCs w:val="21"/>
                <w:lang w:eastAsia="zh-CN"/>
              </w:rPr>
            </w:pPr>
            <w:r>
              <w:rPr>
                <w:rFonts w:hint="default" w:ascii="Times New Roman" w:hAnsi="Times New Roman" w:eastAsia="方正仿宋_GBK" w:cs="Times New Roman"/>
                <w:color w:val="auto"/>
                <w:szCs w:val="21"/>
              </w:rPr>
              <w:t>安装底坑爬梯以及安全电压井道照明设施</w:t>
            </w:r>
            <w:r>
              <w:rPr>
                <w:rFonts w:hint="eastAsia" w:eastAsia="方正仿宋_GBK" w:cs="Times New Roman"/>
                <w:color w:val="auto"/>
                <w:szCs w:val="21"/>
                <w:lang w:eastAsia="zh-CN"/>
              </w:rPr>
              <w:t>。</w:t>
            </w:r>
          </w:p>
        </w:tc>
        <w:tc>
          <w:tcPr>
            <w:tcW w:w="945" w:type="dxa"/>
            <w:vMerge w:val="continue"/>
            <w:shd w:val="clear" w:color="000000" w:fill="FFFFFF"/>
            <w:noWrap w:val="0"/>
            <w:vAlign w:val="center"/>
          </w:tcPr>
          <w:p w14:paraId="187F3B8B">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1BB8E3F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7BF1B90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5346B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30748D95">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restart"/>
            <w:shd w:val="clear" w:color="000000" w:fill="FFFFFF"/>
            <w:noWrap w:val="0"/>
            <w:vAlign w:val="center"/>
          </w:tcPr>
          <w:p w14:paraId="1844E8F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eastAsia" w:ascii="Times New Roman" w:hAnsi="Times New Roman" w:eastAsia="方正仿宋_GBK" w:cs="Times New Roman"/>
                <w:color w:val="auto"/>
                <w:szCs w:val="21"/>
                <w:lang w:val="en-US" w:eastAsia="zh-CN"/>
              </w:rPr>
            </w:pPr>
            <w:r>
              <w:rPr>
                <w:rFonts w:hint="eastAsia" w:eastAsia="方正仿宋_GBK" w:cs="Times New Roman"/>
                <w:color w:val="auto"/>
                <w:szCs w:val="21"/>
                <w:lang w:val="en-US" w:eastAsia="zh-CN"/>
              </w:rPr>
              <w:t>7</w:t>
            </w:r>
          </w:p>
        </w:tc>
        <w:tc>
          <w:tcPr>
            <w:tcW w:w="1365" w:type="dxa"/>
            <w:vMerge w:val="restart"/>
            <w:shd w:val="clear" w:color="000000" w:fill="FFFFFF"/>
            <w:noWrap w:val="0"/>
            <w:vAlign w:val="center"/>
          </w:tcPr>
          <w:p w14:paraId="1BF460C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功能要求</w:t>
            </w:r>
          </w:p>
        </w:tc>
        <w:tc>
          <w:tcPr>
            <w:tcW w:w="1699" w:type="dxa"/>
            <w:shd w:val="clear" w:color="000000" w:fill="FFFFFF"/>
            <w:noWrap w:val="0"/>
            <w:vAlign w:val="center"/>
          </w:tcPr>
          <w:p w14:paraId="3C2BC088">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7.1</w:t>
            </w:r>
          </w:p>
        </w:tc>
        <w:tc>
          <w:tcPr>
            <w:tcW w:w="3632" w:type="dxa"/>
            <w:shd w:val="clear" w:color="000000" w:fill="FFFFFF"/>
            <w:noWrap w:val="0"/>
            <w:vAlign w:val="center"/>
          </w:tcPr>
          <w:p w14:paraId="5DCDE1A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关门按钮</w:t>
            </w:r>
          </w:p>
        </w:tc>
        <w:tc>
          <w:tcPr>
            <w:tcW w:w="945" w:type="dxa"/>
            <w:vMerge w:val="continue"/>
            <w:shd w:val="clear" w:color="000000" w:fill="FFFFFF"/>
            <w:noWrap w:val="0"/>
            <w:vAlign w:val="center"/>
          </w:tcPr>
          <w:p w14:paraId="7D33C49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3EDDDED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2D8520E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77520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76AB6AA9">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shd w:val="clear" w:color="000000" w:fill="FFFFFF"/>
            <w:noWrap w:val="0"/>
            <w:vAlign w:val="center"/>
          </w:tcPr>
          <w:p w14:paraId="6FB75745">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shd w:val="clear" w:color="000000" w:fill="FFFFFF"/>
            <w:noWrap w:val="0"/>
            <w:vAlign w:val="center"/>
          </w:tcPr>
          <w:p w14:paraId="280E073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shd w:val="clear" w:color="000000" w:fill="FFFFFF"/>
            <w:noWrap w:val="0"/>
            <w:vAlign w:val="center"/>
          </w:tcPr>
          <w:p w14:paraId="1873C9B5">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7.2</w:t>
            </w:r>
          </w:p>
        </w:tc>
        <w:tc>
          <w:tcPr>
            <w:tcW w:w="3632" w:type="dxa"/>
            <w:shd w:val="clear" w:color="000000" w:fill="FFFFFF"/>
            <w:noWrap w:val="0"/>
            <w:vAlign w:val="center"/>
          </w:tcPr>
          <w:p w14:paraId="2DFC6DEE">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开门按钮</w:t>
            </w:r>
          </w:p>
        </w:tc>
        <w:tc>
          <w:tcPr>
            <w:tcW w:w="945" w:type="dxa"/>
            <w:vMerge w:val="continue"/>
            <w:shd w:val="clear" w:color="000000" w:fill="FFFFFF"/>
            <w:noWrap w:val="0"/>
            <w:vAlign w:val="center"/>
          </w:tcPr>
          <w:p w14:paraId="4D1834BE">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22ECAD3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469CA92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25333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59721C44">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shd w:val="clear" w:color="000000" w:fill="FFFFFF"/>
            <w:noWrap w:val="0"/>
            <w:vAlign w:val="center"/>
          </w:tcPr>
          <w:p w14:paraId="6A2D762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shd w:val="clear" w:color="000000" w:fill="FFFFFF"/>
            <w:noWrap w:val="0"/>
            <w:vAlign w:val="center"/>
          </w:tcPr>
          <w:p w14:paraId="133F412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shd w:val="clear" w:color="000000" w:fill="FFFFFF"/>
            <w:noWrap w:val="0"/>
            <w:vAlign w:val="center"/>
          </w:tcPr>
          <w:p w14:paraId="38BF9699">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★7.3</w:t>
            </w:r>
          </w:p>
        </w:tc>
        <w:tc>
          <w:tcPr>
            <w:tcW w:w="3632" w:type="dxa"/>
            <w:shd w:val="clear" w:color="000000" w:fill="FFFFFF"/>
            <w:noWrap w:val="0"/>
            <w:vAlign w:val="center"/>
          </w:tcPr>
          <w:p w14:paraId="7AF4D215">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报警按钮</w:t>
            </w:r>
          </w:p>
        </w:tc>
        <w:tc>
          <w:tcPr>
            <w:tcW w:w="945" w:type="dxa"/>
            <w:vMerge w:val="continue"/>
            <w:shd w:val="clear" w:color="000000" w:fill="FFFFFF"/>
            <w:noWrap w:val="0"/>
            <w:vAlign w:val="center"/>
          </w:tcPr>
          <w:p w14:paraId="46F0AAD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1D89FAA9">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0F6A619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081DC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shd w:val="clear" w:color="000000" w:fill="FFFFFF"/>
            <w:noWrap w:val="0"/>
            <w:vAlign w:val="center"/>
          </w:tcPr>
          <w:p w14:paraId="44113D94">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shd w:val="clear" w:color="000000" w:fill="FFFFFF"/>
            <w:noWrap w:val="0"/>
            <w:vAlign w:val="center"/>
          </w:tcPr>
          <w:p w14:paraId="33B52569">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shd w:val="clear" w:color="000000" w:fill="FFFFFF"/>
            <w:noWrap w:val="0"/>
            <w:vAlign w:val="center"/>
          </w:tcPr>
          <w:p w14:paraId="1CDAD272">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shd w:val="clear" w:color="000000" w:fill="FFFFFF"/>
            <w:noWrap w:val="0"/>
            <w:vAlign w:val="center"/>
          </w:tcPr>
          <w:p w14:paraId="37DC2621">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★7.4</w:t>
            </w:r>
          </w:p>
        </w:tc>
        <w:tc>
          <w:tcPr>
            <w:tcW w:w="3632" w:type="dxa"/>
            <w:shd w:val="clear" w:color="000000" w:fill="FFFFFF"/>
            <w:noWrap w:val="0"/>
            <w:vAlign w:val="center"/>
          </w:tcPr>
          <w:p w14:paraId="4BE0CD43">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带视听功能的超载装置</w:t>
            </w:r>
          </w:p>
        </w:tc>
        <w:tc>
          <w:tcPr>
            <w:tcW w:w="945" w:type="dxa"/>
            <w:vMerge w:val="continue"/>
            <w:shd w:val="clear" w:color="000000" w:fill="FFFFFF"/>
            <w:noWrap w:val="0"/>
            <w:vAlign w:val="center"/>
          </w:tcPr>
          <w:p w14:paraId="3C1F86BD">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7096C0C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shd w:val="clear" w:color="000000" w:fill="FFFFFF"/>
            <w:noWrap w:val="0"/>
            <w:vAlign w:val="center"/>
          </w:tcPr>
          <w:p w14:paraId="481C84D8">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06DB3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3" w:type="dxa"/>
            <w:vMerge w:val="continue"/>
            <w:noWrap w:val="0"/>
            <w:vAlign w:val="center"/>
          </w:tcPr>
          <w:p w14:paraId="3D98CA49">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2D2F355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5A2C0E06">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5BE70E34">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★7.5</w:t>
            </w:r>
          </w:p>
        </w:tc>
        <w:tc>
          <w:tcPr>
            <w:tcW w:w="3632" w:type="dxa"/>
            <w:noWrap w:val="0"/>
            <w:vAlign w:val="center"/>
          </w:tcPr>
          <w:p w14:paraId="70690C5C">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轿厢照明、风扇自动关断功能</w:t>
            </w:r>
          </w:p>
        </w:tc>
        <w:tc>
          <w:tcPr>
            <w:tcW w:w="945" w:type="dxa"/>
            <w:vMerge w:val="continue"/>
            <w:noWrap w:val="0"/>
            <w:vAlign w:val="center"/>
          </w:tcPr>
          <w:p w14:paraId="789247CB">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79E82EF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132853C0">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74251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5A52DE9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051526B8">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2C5888CA">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65EEE207">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★7.6</w:t>
            </w:r>
          </w:p>
        </w:tc>
        <w:tc>
          <w:tcPr>
            <w:tcW w:w="3632" w:type="dxa"/>
            <w:noWrap w:val="0"/>
            <w:vAlign w:val="center"/>
          </w:tcPr>
          <w:p w14:paraId="4EEB7AF1">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双击按钮取消错误内呼</w:t>
            </w:r>
          </w:p>
        </w:tc>
        <w:tc>
          <w:tcPr>
            <w:tcW w:w="945" w:type="dxa"/>
            <w:vMerge w:val="continue"/>
            <w:noWrap w:val="0"/>
            <w:vAlign w:val="center"/>
          </w:tcPr>
          <w:p w14:paraId="74378123">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21BAF770">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23F72405">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34020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073BF3E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45FBED5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1D953D4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713525F8">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★7.7</w:t>
            </w:r>
          </w:p>
        </w:tc>
        <w:tc>
          <w:tcPr>
            <w:tcW w:w="3632" w:type="dxa"/>
            <w:noWrap w:val="0"/>
            <w:vAlign w:val="center"/>
          </w:tcPr>
          <w:p w14:paraId="32D6C486">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轿内应急照明</w:t>
            </w:r>
          </w:p>
        </w:tc>
        <w:tc>
          <w:tcPr>
            <w:tcW w:w="945" w:type="dxa"/>
            <w:vMerge w:val="continue"/>
            <w:noWrap w:val="0"/>
            <w:vAlign w:val="center"/>
          </w:tcPr>
          <w:p w14:paraId="3F149321">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288DB44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6AA30AB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20DF7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2A46AD94">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7D326A0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42F59976">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3A7E3839">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★7.8</w:t>
            </w:r>
          </w:p>
        </w:tc>
        <w:tc>
          <w:tcPr>
            <w:tcW w:w="3632" w:type="dxa"/>
            <w:noWrap w:val="0"/>
            <w:vAlign w:val="center"/>
          </w:tcPr>
          <w:p w14:paraId="228C1D9C">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自动门</w:t>
            </w:r>
          </w:p>
        </w:tc>
        <w:tc>
          <w:tcPr>
            <w:tcW w:w="945" w:type="dxa"/>
            <w:vMerge w:val="continue"/>
            <w:noWrap w:val="0"/>
            <w:vAlign w:val="center"/>
          </w:tcPr>
          <w:p w14:paraId="12506AC8">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79A1C24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6F1FBA5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6438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1C9742C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71197D45">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6A64FFD4">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7683B5FC">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★7.9</w:t>
            </w:r>
          </w:p>
        </w:tc>
        <w:tc>
          <w:tcPr>
            <w:tcW w:w="3632" w:type="dxa"/>
            <w:noWrap w:val="0"/>
            <w:vAlign w:val="center"/>
          </w:tcPr>
          <w:p w14:paraId="3EBBD11B">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外呼再开门</w:t>
            </w:r>
          </w:p>
        </w:tc>
        <w:tc>
          <w:tcPr>
            <w:tcW w:w="945" w:type="dxa"/>
            <w:vMerge w:val="continue"/>
            <w:noWrap w:val="0"/>
            <w:vAlign w:val="center"/>
          </w:tcPr>
          <w:p w14:paraId="2545852E">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3D5E77F4">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488D854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35E75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4C5BCAA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187C18E5">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308FA69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3D35111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★7.10</w:t>
            </w:r>
          </w:p>
        </w:tc>
        <w:tc>
          <w:tcPr>
            <w:tcW w:w="3632" w:type="dxa"/>
            <w:noWrap w:val="0"/>
            <w:vAlign w:val="center"/>
          </w:tcPr>
          <w:p w14:paraId="782AAB79">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eastAsia" w:eastAsia="方正仿宋_GBK" w:cs="Times New Roman"/>
                <w:color w:val="FF0000"/>
                <w:szCs w:val="21"/>
                <w:lang w:eastAsia="zh-CN"/>
              </w:rPr>
              <w:t>开门</w:t>
            </w:r>
            <w:r>
              <w:rPr>
                <w:rFonts w:hint="default" w:ascii="Times New Roman" w:hAnsi="Times New Roman" w:eastAsia="方正仿宋_GBK" w:cs="Times New Roman"/>
                <w:color w:val="auto"/>
                <w:szCs w:val="21"/>
              </w:rPr>
              <w:t>故障时重复关门</w:t>
            </w:r>
          </w:p>
        </w:tc>
        <w:tc>
          <w:tcPr>
            <w:tcW w:w="945" w:type="dxa"/>
            <w:vMerge w:val="continue"/>
            <w:noWrap w:val="0"/>
            <w:vAlign w:val="center"/>
          </w:tcPr>
          <w:p w14:paraId="49157C37">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0ECE5656">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02210C59">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3BF0D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273" w:type="dxa"/>
            <w:vMerge w:val="continue"/>
            <w:noWrap w:val="0"/>
            <w:vAlign w:val="center"/>
          </w:tcPr>
          <w:p w14:paraId="1734126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2D6FC08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0D720258">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4DBA55DC">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7.11</w:t>
            </w:r>
          </w:p>
        </w:tc>
        <w:tc>
          <w:tcPr>
            <w:tcW w:w="3632" w:type="dxa"/>
            <w:noWrap w:val="0"/>
            <w:vAlign w:val="center"/>
          </w:tcPr>
          <w:p w14:paraId="5126A3E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主层站开门等待时间可调节</w:t>
            </w:r>
          </w:p>
        </w:tc>
        <w:tc>
          <w:tcPr>
            <w:tcW w:w="945" w:type="dxa"/>
            <w:vMerge w:val="continue"/>
            <w:noWrap w:val="0"/>
            <w:vAlign w:val="center"/>
          </w:tcPr>
          <w:p w14:paraId="13AB778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2F8739E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33FBF6D8">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38083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2A46BDA2">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739C499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15645085">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04EA9979">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7.12</w:t>
            </w:r>
          </w:p>
        </w:tc>
        <w:tc>
          <w:tcPr>
            <w:tcW w:w="3632" w:type="dxa"/>
            <w:noWrap w:val="0"/>
            <w:vAlign w:val="center"/>
          </w:tcPr>
          <w:p w14:paraId="115CC99B">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门机</w:t>
            </w:r>
            <w:r>
              <w:rPr>
                <w:rFonts w:hint="default" w:ascii="Times New Roman" w:hAnsi="Times New Roman" w:eastAsia="方正仿宋_GBK" w:cs="Times New Roman"/>
                <w:color w:val="auto"/>
                <w:szCs w:val="21"/>
                <w:lang w:eastAsia="zh-CN"/>
              </w:rPr>
              <w:t>（</w:t>
            </w:r>
            <w:r>
              <w:rPr>
                <w:rFonts w:hint="default" w:ascii="Times New Roman" w:hAnsi="Times New Roman" w:eastAsia="方正仿宋_GBK" w:cs="Times New Roman"/>
                <w:color w:val="auto"/>
                <w:szCs w:val="21"/>
              </w:rPr>
              <w:t>速度及力矩</w:t>
            </w:r>
            <w:r>
              <w:rPr>
                <w:rFonts w:hint="default" w:ascii="Times New Roman" w:hAnsi="Times New Roman" w:eastAsia="方正仿宋_GBK" w:cs="Times New Roman"/>
                <w:color w:val="auto"/>
                <w:szCs w:val="21"/>
                <w:lang w:eastAsia="zh-CN"/>
              </w:rPr>
              <w:t>）</w:t>
            </w:r>
            <w:r>
              <w:rPr>
                <w:rFonts w:hint="default" w:ascii="Times New Roman" w:hAnsi="Times New Roman" w:eastAsia="方正仿宋_GBK" w:cs="Times New Roman"/>
                <w:color w:val="auto"/>
                <w:szCs w:val="21"/>
              </w:rPr>
              <w:t>可调</w:t>
            </w:r>
          </w:p>
        </w:tc>
        <w:tc>
          <w:tcPr>
            <w:tcW w:w="945" w:type="dxa"/>
            <w:vMerge w:val="continue"/>
            <w:noWrap w:val="0"/>
            <w:vAlign w:val="center"/>
          </w:tcPr>
          <w:p w14:paraId="760BC4D6">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24A18440">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43F81DC2">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2D87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529F67E0">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2B5D818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38459AA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6162CD27">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★7.13</w:t>
            </w:r>
          </w:p>
        </w:tc>
        <w:tc>
          <w:tcPr>
            <w:tcW w:w="3632" w:type="dxa"/>
            <w:noWrap w:val="0"/>
            <w:vAlign w:val="center"/>
          </w:tcPr>
          <w:p w14:paraId="45F4D68C">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多光束光幕保护系统</w:t>
            </w:r>
          </w:p>
        </w:tc>
        <w:tc>
          <w:tcPr>
            <w:tcW w:w="945" w:type="dxa"/>
            <w:vMerge w:val="continue"/>
            <w:noWrap w:val="0"/>
            <w:vAlign w:val="center"/>
          </w:tcPr>
          <w:p w14:paraId="78956335">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668E8A00">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0AEA12B8">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74F29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273" w:type="dxa"/>
            <w:vMerge w:val="continue"/>
            <w:noWrap w:val="0"/>
            <w:vAlign w:val="center"/>
          </w:tcPr>
          <w:p w14:paraId="52186D19">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74A251D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1B07D2D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10B3C7FE">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7.14</w:t>
            </w:r>
          </w:p>
        </w:tc>
        <w:tc>
          <w:tcPr>
            <w:tcW w:w="3632" w:type="dxa"/>
            <w:noWrap w:val="0"/>
            <w:vAlign w:val="center"/>
          </w:tcPr>
          <w:p w14:paraId="5747A790">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000000" w:themeColor="text1"/>
                <w:szCs w:val="21"/>
                <w14:textFill>
                  <w14:solidFill>
                    <w14:schemeClr w14:val="tx1"/>
                  </w14:solidFill>
                </w14:textFill>
              </w:rPr>
            </w:pPr>
            <w:r>
              <w:rPr>
                <w:rFonts w:hint="default" w:ascii="Times New Roman" w:hAnsi="Times New Roman" w:eastAsia="方正仿宋_GBK" w:cs="Times New Roman"/>
                <w:color w:val="000000" w:themeColor="text1"/>
                <w:szCs w:val="21"/>
                <w14:textFill>
                  <w14:solidFill>
                    <w14:schemeClr w14:val="tx1"/>
                  </w14:solidFill>
                </w14:textFill>
              </w:rPr>
              <w:t>梯门堵转保护功能</w:t>
            </w:r>
            <w:r>
              <w:rPr>
                <w:rFonts w:hint="default" w:ascii="Times New Roman" w:hAnsi="Times New Roman" w:eastAsia="方正仿宋_GBK" w:cs="Times New Roman"/>
                <w:color w:val="000000" w:themeColor="text1"/>
                <w:szCs w:val="21"/>
                <w:lang w:eastAsia="zh-CN"/>
                <w14:textFill>
                  <w14:solidFill>
                    <w14:schemeClr w14:val="tx1"/>
                  </w14:solidFill>
                </w14:textFill>
              </w:rPr>
              <w:t>（</w:t>
            </w:r>
            <w:r>
              <w:rPr>
                <w:rFonts w:hint="default" w:ascii="Times New Roman" w:hAnsi="Times New Roman" w:eastAsia="方正仿宋_GBK" w:cs="Times New Roman"/>
                <w:color w:val="000000" w:themeColor="text1"/>
                <w:szCs w:val="21"/>
                <w14:textFill>
                  <w14:solidFill>
                    <w14:schemeClr w14:val="tx1"/>
                  </w14:solidFill>
                </w14:textFill>
              </w:rPr>
              <w:t>限制关门力</w:t>
            </w:r>
            <w:r>
              <w:rPr>
                <w:rFonts w:hint="default" w:ascii="Times New Roman" w:hAnsi="Times New Roman" w:eastAsia="方正仿宋_GBK" w:cs="Times New Roman"/>
                <w:color w:val="000000" w:themeColor="text1"/>
                <w:szCs w:val="21"/>
                <w:lang w:eastAsia="zh-CN"/>
                <w14:textFill>
                  <w14:solidFill>
                    <w14:schemeClr w14:val="tx1"/>
                  </w14:solidFill>
                </w14:textFill>
              </w:rPr>
              <w:t>）</w:t>
            </w:r>
          </w:p>
        </w:tc>
        <w:tc>
          <w:tcPr>
            <w:tcW w:w="945" w:type="dxa"/>
            <w:vMerge w:val="continue"/>
            <w:noWrap w:val="0"/>
            <w:vAlign w:val="center"/>
          </w:tcPr>
          <w:p w14:paraId="0CFDCFB0">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424688A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614F4B04">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23B6C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273" w:type="dxa"/>
            <w:vMerge w:val="continue"/>
            <w:noWrap w:val="0"/>
            <w:vAlign w:val="center"/>
          </w:tcPr>
          <w:p w14:paraId="123FB726">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5F1DF73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782E4EB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3D3E9876">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★7.15</w:t>
            </w:r>
          </w:p>
        </w:tc>
        <w:tc>
          <w:tcPr>
            <w:tcW w:w="3632" w:type="dxa"/>
            <w:noWrap w:val="0"/>
            <w:vAlign w:val="center"/>
          </w:tcPr>
          <w:p w14:paraId="1A7606B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000000" w:themeColor="text1"/>
                <w:szCs w:val="21"/>
                <w:highlight w:val="none"/>
                <w14:textFill>
                  <w14:solidFill>
                    <w14:schemeClr w14:val="tx1"/>
                  </w14:solidFill>
                </w14:textFill>
              </w:rPr>
            </w:pPr>
            <w:r>
              <w:rPr>
                <w:rFonts w:hint="default" w:ascii="Times New Roman" w:hAnsi="Times New Roman" w:eastAsia="方正仿宋_GBK" w:cs="Times New Roman"/>
                <w:color w:val="000000" w:themeColor="text1"/>
                <w:szCs w:val="21"/>
                <w:highlight w:val="none"/>
                <w14:textFill>
                  <w14:solidFill>
                    <w14:schemeClr w14:val="tx1"/>
                  </w14:solidFill>
                </w14:textFill>
              </w:rPr>
              <w:t>各层站</w:t>
            </w:r>
            <w:r>
              <w:rPr>
                <w:rFonts w:hint="eastAsia" w:eastAsia="方正仿宋_GBK" w:cs="Times New Roman"/>
                <w:color w:val="000000" w:themeColor="text1"/>
                <w:szCs w:val="21"/>
                <w:highlight w:val="none"/>
                <w:lang w:val="en-US" w:eastAsia="zh-CN"/>
                <w14:textFill>
                  <w14:solidFill>
                    <w14:schemeClr w14:val="tx1"/>
                  </w14:solidFill>
                </w14:textFill>
              </w:rPr>
              <w:t>≥</w:t>
            </w:r>
            <w:r>
              <w:rPr>
                <w:rFonts w:hint="default" w:ascii="Times New Roman" w:hAnsi="Times New Roman" w:eastAsia="方正仿宋_GBK" w:cs="Times New Roman"/>
                <w:color w:val="000000" w:themeColor="text1"/>
                <w:szCs w:val="21"/>
                <w:highlight w:val="none"/>
                <w14:textFill>
                  <w14:solidFill>
                    <w14:schemeClr w14:val="tx1"/>
                  </w14:solidFill>
                </w14:textFill>
              </w:rPr>
              <w:t>4.3寸液晶显示及方向箭头显示</w:t>
            </w:r>
          </w:p>
        </w:tc>
        <w:tc>
          <w:tcPr>
            <w:tcW w:w="945" w:type="dxa"/>
            <w:vMerge w:val="continue"/>
            <w:noWrap w:val="0"/>
            <w:vAlign w:val="center"/>
          </w:tcPr>
          <w:p w14:paraId="4126419D">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15D7A8B8">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0B7C437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2AAA9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542A454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6D78A856">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7451A7B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6B93385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★7.16</w:t>
            </w:r>
          </w:p>
        </w:tc>
        <w:tc>
          <w:tcPr>
            <w:tcW w:w="3632" w:type="dxa"/>
            <w:noWrap w:val="0"/>
            <w:vAlign w:val="center"/>
          </w:tcPr>
          <w:p w14:paraId="3150CC0B">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highlight w:val="none"/>
              </w:rPr>
            </w:pPr>
            <w:r>
              <w:rPr>
                <w:rFonts w:hint="eastAsia" w:eastAsia="方正仿宋_GBK" w:cs="Times New Roman"/>
                <w:color w:val="auto"/>
                <w:szCs w:val="21"/>
                <w:highlight w:val="none"/>
                <w:lang w:val="en-US" w:eastAsia="zh-CN"/>
              </w:rPr>
              <w:t>≥</w:t>
            </w:r>
            <w:r>
              <w:rPr>
                <w:rFonts w:hint="default" w:ascii="Times New Roman" w:hAnsi="Times New Roman" w:eastAsia="方正仿宋_GBK" w:cs="Times New Roman"/>
                <w:color w:val="auto"/>
                <w:szCs w:val="21"/>
                <w:highlight w:val="none"/>
              </w:rPr>
              <w:t>10.4寸液晶轿厢显示</w:t>
            </w:r>
          </w:p>
        </w:tc>
        <w:tc>
          <w:tcPr>
            <w:tcW w:w="945" w:type="dxa"/>
            <w:vMerge w:val="continue"/>
            <w:noWrap w:val="0"/>
            <w:vAlign w:val="center"/>
          </w:tcPr>
          <w:p w14:paraId="725F5764">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61DB775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2E65B33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1C9B9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3" w:type="dxa"/>
            <w:vMerge w:val="continue"/>
            <w:noWrap w:val="0"/>
            <w:vAlign w:val="center"/>
          </w:tcPr>
          <w:p w14:paraId="704C423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16A1537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1233D726">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45858CD9">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★7.17</w:t>
            </w:r>
          </w:p>
        </w:tc>
        <w:tc>
          <w:tcPr>
            <w:tcW w:w="3632" w:type="dxa"/>
            <w:noWrap w:val="0"/>
            <w:vAlign w:val="center"/>
          </w:tcPr>
          <w:p w14:paraId="62E81712">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一对一</w:t>
            </w:r>
            <w:r>
              <w:rPr>
                <w:rFonts w:hint="eastAsia" w:eastAsia="方正仿宋_GBK" w:cs="Times New Roman"/>
                <w:color w:val="auto"/>
                <w:szCs w:val="21"/>
                <w:lang w:eastAsia="zh-CN"/>
              </w:rPr>
              <w:t>无线</w:t>
            </w:r>
            <w:r>
              <w:rPr>
                <w:rFonts w:hint="default" w:ascii="Times New Roman" w:hAnsi="Times New Roman" w:eastAsia="方正仿宋_GBK" w:cs="Times New Roman"/>
                <w:color w:val="auto"/>
                <w:szCs w:val="21"/>
              </w:rPr>
              <w:t xml:space="preserve">五方通话系统 </w:t>
            </w:r>
            <w:r>
              <w:rPr>
                <w:rFonts w:hint="default" w:ascii="Times New Roman" w:hAnsi="Times New Roman" w:eastAsia="方正仿宋_GBK" w:cs="Times New Roman"/>
                <w:color w:val="auto"/>
                <w:szCs w:val="21"/>
                <w:lang w:eastAsia="zh-CN"/>
              </w:rPr>
              <w:t>（</w:t>
            </w:r>
            <w:r>
              <w:rPr>
                <w:rFonts w:hint="default" w:ascii="Times New Roman" w:hAnsi="Times New Roman" w:eastAsia="方正仿宋_GBK" w:cs="Times New Roman"/>
                <w:color w:val="auto"/>
                <w:szCs w:val="21"/>
              </w:rPr>
              <w:t>轿厢/检修盒/底坑/轿顶/监控室</w:t>
            </w:r>
            <w:r>
              <w:rPr>
                <w:rFonts w:hint="default" w:ascii="Times New Roman" w:hAnsi="Times New Roman" w:eastAsia="方正仿宋_GBK" w:cs="Times New Roman"/>
                <w:color w:val="auto"/>
                <w:szCs w:val="21"/>
                <w:lang w:eastAsia="zh-CN"/>
              </w:rPr>
              <w:t>）</w:t>
            </w:r>
          </w:p>
        </w:tc>
        <w:tc>
          <w:tcPr>
            <w:tcW w:w="945" w:type="dxa"/>
            <w:vMerge w:val="continue"/>
            <w:noWrap w:val="0"/>
            <w:vAlign w:val="center"/>
          </w:tcPr>
          <w:p w14:paraId="550218A4">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490021A1">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48F4F1E8">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03009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661FD8A5">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5797AD25">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1217BE8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2B5B6FD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★7.18</w:t>
            </w:r>
          </w:p>
        </w:tc>
        <w:tc>
          <w:tcPr>
            <w:tcW w:w="3632" w:type="dxa"/>
            <w:noWrap w:val="0"/>
            <w:vAlign w:val="center"/>
          </w:tcPr>
          <w:p w14:paraId="25926B4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火警紧急返回</w:t>
            </w:r>
          </w:p>
        </w:tc>
        <w:tc>
          <w:tcPr>
            <w:tcW w:w="945" w:type="dxa"/>
            <w:vMerge w:val="continue"/>
            <w:noWrap w:val="0"/>
            <w:vAlign w:val="center"/>
          </w:tcPr>
          <w:p w14:paraId="5E5FD080">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1446305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24A02C5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5BF84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26C2E41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2387A74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393D863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014B341F">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w:t>
            </w:r>
            <w:r>
              <w:rPr>
                <w:rFonts w:hint="default" w:ascii="Times New Roman" w:hAnsi="Times New Roman" w:eastAsia="方正仿宋_GBK" w:cs="Times New Roman"/>
                <w:color w:val="auto"/>
                <w:szCs w:val="21"/>
              </w:rPr>
              <w:t>7.19</w:t>
            </w:r>
          </w:p>
        </w:tc>
        <w:tc>
          <w:tcPr>
            <w:tcW w:w="3632" w:type="dxa"/>
            <w:noWrap w:val="0"/>
            <w:vAlign w:val="center"/>
          </w:tcPr>
          <w:p w14:paraId="53B5012A">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基站返回</w:t>
            </w:r>
          </w:p>
        </w:tc>
        <w:tc>
          <w:tcPr>
            <w:tcW w:w="945" w:type="dxa"/>
            <w:vMerge w:val="continue"/>
            <w:noWrap w:val="0"/>
            <w:vAlign w:val="center"/>
          </w:tcPr>
          <w:p w14:paraId="046C6309">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3D6A7F2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3102142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4965B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25BC913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44865FF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79003B9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21951251">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7.20</w:t>
            </w:r>
          </w:p>
        </w:tc>
        <w:tc>
          <w:tcPr>
            <w:tcW w:w="3632" w:type="dxa"/>
            <w:noWrap w:val="0"/>
            <w:vAlign w:val="center"/>
          </w:tcPr>
          <w:p w14:paraId="4AA6D184">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满载直驶</w:t>
            </w:r>
          </w:p>
        </w:tc>
        <w:tc>
          <w:tcPr>
            <w:tcW w:w="945" w:type="dxa"/>
            <w:vMerge w:val="continue"/>
            <w:noWrap w:val="0"/>
            <w:vAlign w:val="center"/>
          </w:tcPr>
          <w:p w14:paraId="09895F75">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17062F46">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76DC39D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6011B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3585EB60">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6F7721A6">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78CC23B0">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4E85EB89">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7.21</w:t>
            </w:r>
          </w:p>
        </w:tc>
        <w:tc>
          <w:tcPr>
            <w:tcW w:w="3632" w:type="dxa"/>
            <w:noWrap w:val="0"/>
            <w:vAlign w:val="center"/>
          </w:tcPr>
          <w:p w14:paraId="0859FBF5">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优先运行（</w:t>
            </w:r>
            <w:r>
              <w:rPr>
                <w:rFonts w:hint="eastAsia" w:eastAsia="方正仿宋_GBK" w:cs="Times New Roman"/>
                <w:color w:val="auto"/>
                <w:szCs w:val="21"/>
                <w:lang w:eastAsia="zh-CN"/>
              </w:rPr>
              <w:t>按钮型</w:t>
            </w:r>
            <w:r>
              <w:rPr>
                <w:rFonts w:hint="default" w:ascii="Times New Roman" w:hAnsi="Times New Roman" w:eastAsia="方正仿宋_GBK" w:cs="Times New Roman"/>
                <w:color w:val="auto"/>
                <w:szCs w:val="21"/>
              </w:rPr>
              <w:t>）</w:t>
            </w:r>
          </w:p>
        </w:tc>
        <w:tc>
          <w:tcPr>
            <w:tcW w:w="945" w:type="dxa"/>
            <w:vMerge w:val="continue"/>
            <w:noWrap w:val="0"/>
            <w:vAlign w:val="center"/>
          </w:tcPr>
          <w:p w14:paraId="7F85983B">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765827A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1091946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0CEAE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1DB58C52">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0D4E043A">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1B66AEB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342DBC50">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7.22</w:t>
            </w:r>
          </w:p>
        </w:tc>
        <w:tc>
          <w:tcPr>
            <w:tcW w:w="3632" w:type="dxa"/>
            <w:noWrap w:val="0"/>
            <w:vAlign w:val="center"/>
          </w:tcPr>
          <w:p w14:paraId="6B16C5AF">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钥匙锁梯</w:t>
            </w:r>
          </w:p>
        </w:tc>
        <w:tc>
          <w:tcPr>
            <w:tcW w:w="945" w:type="dxa"/>
            <w:vMerge w:val="continue"/>
            <w:noWrap w:val="0"/>
            <w:vAlign w:val="center"/>
          </w:tcPr>
          <w:p w14:paraId="6999A259">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5C2B8B7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35A6E37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2EE73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4141EA2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77C2B889">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2FB88122">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66FA127B">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7.23</w:t>
            </w:r>
          </w:p>
        </w:tc>
        <w:tc>
          <w:tcPr>
            <w:tcW w:w="3632" w:type="dxa"/>
            <w:noWrap w:val="0"/>
            <w:vAlign w:val="center"/>
          </w:tcPr>
          <w:p w14:paraId="6CB7FD5A">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集选错误信号</w:t>
            </w:r>
          </w:p>
        </w:tc>
        <w:tc>
          <w:tcPr>
            <w:tcW w:w="945" w:type="dxa"/>
            <w:vMerge w:val="continue"/>
            <w:noWrap w:val="0"/>
            <w:vAlign w:val="center"/>
          </w:tcPr>
          <w:p w14:paraId="4C797274">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53238B0A">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3E39C04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6546B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4EFCB30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636AF092">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6CD75AA2">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00174F1E">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★7.24</w:t>
            </w:r>
          </w:p>
        </w:tc>
        <w:tc>
          <w:tcPr>
            <w:tcW w:w="3632" w:type="dxa"/>
            <w:noWrap w:val="0"/>
            <w:vAlign w:val="center"/>
          </w:tcPr>
          <w:p w14:paraId="2B3EE800">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缺相及错误保护</w:t>
            </w:r>
          </w:p>
        </w:tc>
        <w:tc>
          <w:tcPr>
            <w:tcW w:w="945" w:type="dxa"/>
            <w:vMerge w:val="continue"/>
            <w:noWrap w:val="0"/>
            <w:vAlign w:val="center"/>
          </w:tcPr>
          <w:p w14:paraId="132643C8">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0A587EE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248F27D0">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35A4A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273" w:type="dxa"/>
            <w:vMerge w:val="continue"/>
            <w:noWrap w:val="0"/>
            <w:vAlign w:val="center"/>
          </w:tcPr>
          <w:p w14:paraId="3F6FBE1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2F66B919">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60BF2F1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2ADC8204">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7.25</w:t>
            </w:r>
          </w:p>
        </w:tc>
        <w:tc>
          <w:tcPr>
            <w:tcW w:w="3632" w:type="dxa"/>
            <w:noWrap w:val="0"/>
            <w:vAlign w:val="center"/>
          </w:tcPr>
          <w:p w14:paraId="2498EFB9">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故障时就近平层（非电源及安全故障）</w:t>
            </w:r>
          </w:p>
        </w:tc>
        <w:tc>
          <w:tcPr>
            <w:tcW w:w="945" w:type="dxa"/>
            <w:vMerge w:val="continue"/>
            <w:noWrap w:val="0"/>
            <w:vAlign w:val="center"/>
          </w:tcPr>
          <w:p w14:paraId="21B5EAD0">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5A7C41A0">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7F9C67D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311B9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273" w:type="dxa"/>
            <w:vMerge w:val="continue"/>
            <w:noWrap w:val="0"/>
            <w:vAlign w:val="center"/>
          </w:tcPr>
          <w:p w14:paraId="33C2BEB0">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6EE0143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6864117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649A68E1">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rPr>
              <w:t>7.26</w:t>
            </w:r>
          </w:p>
        </w:tc>
        <w:tc>
          <w:tcPr>
            <w:tcW w:w="3632" w:type="dxa"/>
            <w:noWrap w:val="0"/>
            <w:vAlign w:val="center"/>
          </w:tcPr>
          <w:p w14:paraId="073EAF2C">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防捣乱功能（不超过最多内呼）</w:t>
            </w:r>
          </w:p>
        </w:tc>
        <w:tc>
          <w:tcPr>
            <w:tcW w:w="945" w:type="dxa"/>
            <w:vMerge w:val="continue"/>
            <w:noWrap w:val="0"/>
            <w:vAlign w:val="center"/>
          </w:tcPr>
          <w:p w14:paraId="7FC0BBEF">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1AF3796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5344DE9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41DE9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273" w:type="dxa"/>
            <w:vMerge w:val="continue"/>
            <w:noWrap w:val="0"/>
            <w:vAlign w:val="center"/>
          </w:tcPr>
          <w:p w14:paraId="54A7D2D6">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2BE1F69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0012292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71A6284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eastAsia" w:ascii="Times New Roman" w:hAnsi="Times New Roman" w:eastAsia="方正仿宋_GBK" w:cs="Times New Roman"/>
                <w:color w:val="auto"/>
                <w:szCs w:val="21"/>
                <w:lang w:eastAsia="zh-CN"/>
              </w:rPr>
            </w:pPr>
            <w:r>
              <w:rPr>
                <w:rFonts w:hint="default" w:ascii="Times New Roman" w:hAnsi="Times New Roman" w:eastAsia="方正仿宋_GBK" w:cs="Times New Roman"/>
                <w:color w:val="auto"/>
                <w:szCs w:val="21"/>
              </w:rPr>
              <w:t>7.2</w:t>
            </w:r>
            <w:r>
              <w:rPr>
                <w:rFonts w:hint="eastAsia" w:eastAsia="方正仿宋_GBK" w:cs="Times New Roman"/>
                <w:color w:val="auto"/>
                <w:szCs w:val="21"/>
                <w:lang w:val="en-US" w:eastAsia="zh-CN"/>
              </w:rPr>
              <w:t>7</w:t>
            </w:r>
          </w:p>
        </w:tc>
        <w:tc>
          <w:tcPr>
            <w:tcW w:w="3632" w:type="dxa"/>
            <w:noWrap w:val="0"/>
            <w:vAlign w:val="center"/>
          </w:tcPr>
          <w:p w14:paraId="0D87B413">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防捣乱功能（空载时取消剩余内呼）</w:t>
            </w:r>
          </w:p>
        </w:tc>
        <w:tc>
          <w:tcPr>
            <w:tcW w:w="945" w:type="dxa"/>
            <w:vMerge w:val="continue"/>
            <w:noWrap w:val="0"/>
            <w:vAlign w:val="center"/>
          </w:tcPr>
          <w:p w14:paraId="0AE72AE1">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129A664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04F6D0A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7312B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273" w:type="dxa"/>
            <w:vMerge w:val="continue"/>
            <w:noWrap w:val="0"/>
            <w:vAlign w:val="center"/>
          </w:tcPr>
          <w:p w14:paraId="09C33389">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63A6CA7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512CEB2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48E91494">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rPr>
              <w:t>7.2</w:t>
            </w:r>
            <w:r>
              <w:rPr>
                <w:rFonts w:hint="eastAsia" w:eastAsia="方正仿宋_GBK" w:cs="Times New Roman"/>
                <w:color w:val="auto"/>
                <w:szCs w:val="21"/>
                <w:lang w:val="en-US" w:eastAsia="zh-CN"/>
              </w:rPr>
              <w:t>8</w:t>
            </w:r>
          </w:p>
        </w:tc>
        <w:tc>
          <w:tcPr>
            <w:tcW w:w="3632" w:type="dxa"/>
            <w:noWrap w:val="0"/>
            <w:vAlign w:val="center"/>
          </w:tcPr>
          <w:p w14:paraId="1BC3B68A">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防捣乱功能（端站停层取消内呼）</w:t>
            </w:r>
          </w:p>
        </w:tc>
        <w:tc>
          <w:tcPr>
            <w:tcW w:w="945" w:type="dxa"/>
            <w:vMerge w:val="continue"/>
            <w:noWrap w:val="0"/>
            <w:vAlign w:val="center"/>
          </w:tcPr>
          <w:p w14:paraId="5EB56211">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7E7CDC54">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592B29AA">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4D6D9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273" w:type="dxa"/>
            <w:vMerge w:val="continue"/>
            <w:noWrap w:val="0"/>
            <w:vAlign w:val="center"/>
          </w:tcPr>
          <w:p w14:paraId="4372D3D0">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45E42E5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75C9F502">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6DDCF0F1">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eastAsia" w:ascii="Times New Roman" w:hAnsi="Times New Roman" w:eastAsia="方正仿宋_GBK" w:cs="Times New Roman"/>
                <w:color w:val="auto"/>
                <w:szCs w:val="21"/>
                <w:lang w:eastAsia="zh-CN"/>
              </w:rPr>
            </w:pPr>
            <w:r>
              <w:rPr>
                <w:rFonts w:hint="default" w:ascii="Times New Roman" w:hAnsi="Times New Roman" w:eastAsia="方正仿宋_GBK" w:cs="Times New Roman"/>
                <w:color w:val="auto"/>
                <w:szCs w:val="21"/>
              </w:rPr>
              <w:t>7.</w:t>
            </w:r>
            <w:r>
              <w:rPr>
                <w:rFonts w:hint="eastAsia" w:eastAsia="方正仿宋_GBK" w:cs="Times New Roman"/>
                <w:color w:val="auto"/>
                <w:szCs w:val="21"/>
                <w:lang w:val="en-US" w:eastAsia="zh-CN"/>
              </w:rPr>
              <w:t>29</w:t>
            </w:r>
          </w:p>
        </w:tc>
        <w:tc>
          <w:tcPr>
            <w:tcW w:w="3632" w:type="dxa"/>
            <w:noWrap w:val="0"/>
            <w:vAlign w:val="center"/>
          </w:tcPr>
          <w:p w14:paraId="4AD3B203">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防捣乱功能（反向召唤自动解除）</w:t>
            </w:r>
          </w:p>
        </w:tc>
        <w:tc>
          <w:tcPr>
            <w:tcW w:w="945" w:type="dxa"/>
            <w:vMerge w:val="continue"/>
            <w:noWrap w:val="0"/>
            <w:vAlign w:val="center"/>
          </w:tcPr>
          <w:p w14:paraId="3646FD0A">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7453E45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2E1F4AE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43EEA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6F090E9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1791469A">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312ED609">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3389E535">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eastAsia"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rPr>
              <w:t>7.3</w:t>
            </w:r>
            <w:r>
              <w:rPr>
                <w:rFonts w:hint="eastAsia" w:eastAsia="方正仿宋_GBK" w:cs="Times New Roman"/>
                <w:color w:val="auto"/>
                <w:szCs w:val="21"/>
                <w:lang w:val="en-US" w:eastAsia="zh-CN"/>
              </w:rPr>
              <w:t>0</w:t>
            </w:r>
          </w:p>
        </w:tc>
        <w:tc>
          <w:tcPr>
            <w:tcW w:w="3632" w:type="dxa"/>
            <w:noWrap w:val="0"/>
            <w:vAlign w:val="center"/>
          </w:tcPr>
          <w:p w14:paraId="15210A7A">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控制柜可锁主开关</w:t>
            </w:r>
          </w:p>
        </w:tc>
        <w:tc>
          <w:tcPr>
            <w:tcW w:w="945" w:type="dxa"/>
            <w:vMerge w:val="continue"/>
            <w:noWrap w:val="0"/>
            <w:vAlign w:val="center"/>
          </w:tcPr>
          <w:p w14:paraId="588ADF16">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7801A31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52EC0118">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0A1F1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273" w:type="dxa"/>
            <w:vMerge w:val="continue"/>
            <w:noWrap w:val="0"/>
            <w:vAlign w:val="center"/>
          </w:tcPr>
          <w:p w14:paraId="31360CF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28BA989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29329CA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0FB755EC">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eastAsia"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rPr>
              <w:t>7.3</w:t>
            </w:r>
            <w:r>
              <w:rPr>
                <w:rFonts w:hint="eastAsia" w:eastAsia="方正仿宋_GBK" w:cs="Times New Roman"/>
                <w:color w:val="auto"/>
                <w:szCs w:val="21"/>
                <w:lang w:val="en-US" w:eastAsia="zh-CN"/>
              </w:rPr>
              <w:t>1</w:t>
            </w:r>
          </w:p>
        </w:tc>
        <w:tc>
          <w:tcPr>
            <w:tcW w:w="3632" w:type="dxa"/>
            <w:noWrap w:val="0"/>
            <w:vAlign w:val="center"/>
          </w:tcPr>
          <w:p w14:paraId="3CFF19A6">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远程监控功能预留（不含接口）</w:t>
            </w:r>
          </w:p>
        </w:tc>
        <w:tc>
          <w:tcPr>
            <w:tcW w:w="945" w:type="dxa"/>
            <w:vMerge w:val="continue"/>
            <w:noWrap w:val="0"/>
            <w:vAlign w:val="center"/>
          </w:tcPr>
          <w:p w14:paraId="7106C4C5">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0DD8A49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1B8C164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5ABBF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788D0879">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16313D4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630B2AE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1B8F1193">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eastAsia"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rPr>
              <w:t>7.3</w:t>
            </w:r>
            <w:r>
              <w:rPr>
                <w:rFonts w:hint="eastAsia" w:eastAsia="方正仿宋_GBK" w:cs="Times New Roman"/>
                <w:color w:val="auto"/>
                <w:szCs w:val="21"/>
                <w:lang w:val="en-US" w:eastAsia="zh-CN"/>
              </w:rPr>
              <w:t>2</w:t>
            </w:r>
          </w:p>
        </w:tc>
        <w:tc>
          <w:tcPr>
            <w:tcW w:w="3632" w:type="dxa"/>
            <w:noWrap w:val="0"/>
            <w:vAlign w:val="center"/>
          </w:tcPr>
          <w:p w14:paraId="0191E617">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运行计时计数器</w:t>
            </w:r>
          </w:p>
        </w:tc>
        <w:tc>
          <w:tcPr>
            <w:tcW w:w="945" w:type="dxa"/>
            <w:vMerge w:val="continue"/>
            <w:noWrap w:val="0"/>
            <w:vAlign w:val="center"/>
          </w:tcPr>
          <w:p w14:paraId="50ABAC01">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4C5A3D4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0D32B1D2">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46D04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49214670">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2879ED1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7A1FB98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361A83E1">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eastAsia"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rPr>
              <w:t>7.3</w:t>
            </w:r>
            <w:r>
              <w:rPr>
                <w:rFonts w:hint="eastAsia" w:eastAsia="方正仿宋_GBK" w:cs="Times New Roman"/>
                <w:color w:val="auto"/>
                <w:szCs w:val="21"/>
                <w:lang w:val="en-US" w:eastAsia="zh-CN"/>
              </w:rPr>
              <w:t>3</w:t>
            </w:r>
          </w:p>
        </w:tc>
        <w:tc>
          <w:tcPr>
            <w:tcW w:w="3632" w:type="dxa"/>
            <w:noWrap w:val="0"/>
            <w:vAlign w:val="center"/>
          </w:tcPr>
          <w:p w14:paraId="6D09DC65">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紧急电动运行模式</w:t>
            </w:r>
          </w:p>
        </w:tc>
        <w:tc>
          <w:tcPr>
            <w:tcW w:w="945" w:type="dxa"/>
            <w:vMerge w:val="continue"/>
            <w:noWrap w:val="0"/>
            <w:vAlign w:val="center"/>
          </w:tcPr>
          <w:p w14:paraId="33B2AD17">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0072BB5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23120F50">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2EDA7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32ACC58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376BD95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5AA6250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5FC25628">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eastAsia"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rPr>
              <w:t>7.3</w:t>
            </w:r>
            <w:r>
              <w:rPr>
                <w:rFonts w:hint="eastAsia" w:eastAsia="方正仿宋_GBK" w:cs="Times New Roman"/>
                <w:color w:val="auto"/>
                <w:szCs w:val="21"/>
                <w:lang w:val="en-US" w:eastAsia="zh-CN"/>
              </w:rPr>
              <w:t>4</w:t>
            </w:r>
          </w:p>
        </w:tc>
        <w:tc>
          <w:tcPr>
            <w:tcW w:w="3632" w:type="dxa"/>
            <w:noWrap w:val="0"/>
            <w:vAlign w:val="center"/>
          </w:tcPr>
          <w:p w14:paraId="05A42D57">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较顶检修运行模式</w:t>
            </w:r>
          </w:p>
        </w:tc>
        <w:tc>
          <w:tcPr>
            <w:tcW w:w="945" w:type="dxa"/>
            <w:vMerge w:val="continue"/>
            <w:noWrap w:val="0"/>
            <w:vAlign w:val="center"/>
          </w:tcPr>
          <w:p w14:paraId="44711F6B">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6E924C4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37E7AAA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7C171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11ACBE3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540294A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54081714">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71215C5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eastAsia"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rPr>
              <w:t>7.3</w:t>
            </w:r>
            <w:r>
              <w:rPr>
                <w:rFonts w:hint="eastAsia" w:eastAsia="方正仿宋_GBK" w:cs="Times New Roman"/>
                <w:color w:val="auto"/>
                <w:szCs w:val="21"/>
                <w:lang w:val="en-US" w:eastAsia="zh-CN"/>
              </w:rPr>
              <w:t>5</w:t>
            </w:r>
          </w:p>
        </w:tc>
        <w:tc>
          <w:tcPr>
            <w:tcW w:w="3632" w:type="dxa"/>
            <w:noWrap w:val="0"/>
            <w:vAlign w:val="center"/>
          </w:tcPr>
          <w:p w14:paraId="2E412B92">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曳引机温度监控</w:t>
            </w:r>
          </w:p>
        </w:tc>
        <w:tc>
          <w:tcPr>
            <w:tcW w:w="945" w:type="dxa"/>
            <w:vMerge w:val="continue"/>
            <w:noWrap w:val="0"/>
            <w:vAlign w:val="center"/>
          </w:tcPr>
          <w:p w14:paraId="4B63E8D6">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292D0E08">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6D038574">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64740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7A461C9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445949C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5858397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777B3B64">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eastAsia"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rPr>
              <w:t>7.3</w:t>
            </w:r>
            <w:r>
              <w:rPr>
                <w:rFonts w:hint="eastAsia" w:eastAsia="方正仿宋_GBK" w:cs="Times New Roman"/>
                <w:color w:val="auto"/>
                <w:szCs w:val="21"/>
                <w:lang w:val="en-US" w:eastAsia="zh-CN"/>
              </w:rPr>
              <w:t>6</w:t>
            </w:r>
          </w:p>
        </w:tc>
        <w:tc>
          <w:tcPr>
            <w:tcW w:w="3632" w:type="dxa"/>
            <w:noWrap w:val="0"/>
            <w:vAlign w:val="center"/>
          </w:tcPr>
          <w:p w14:paraId="4F4A95EF">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曳引机空转保护功能</w:t>
            </w:r>
          </w:p>
        </w:tc>
        <w:tc>
          <w:tcPr>
            <w:tcW w:w="945" w:type="dxa"/>
            <w:vMerge w:val="continue"/>
            <w:noWrap w:val="0"/>
            <w:vAlign w:val="center"/>
          </w:tcPr>
          <w:p w14:paraId="1F570CDC">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01C140A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6285D69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1C82A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2F2D23A4">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0BAF045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4640DD7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45FEBD09">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eastAsia"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rPr>
              <w:t>7.3</w:t>
            </w:r>
            <w:r>
              <w:rPr>
                <w:rFonts w:hint="eastAsia" w:eastAsia="方正仿宋_GBK" w:cs="Times New Roman"/>
                <w:color w:val="auto"/>
                <w:szCs w:val="21"/>
                <w:lang w:val="en-US" w:eastAsia="zh-CN"/>
              </w:rPr>
              <w:t>7</w:t>
            </w:r>
          </w:p>
        </w:tc>
        <w:tc>
          <w:tcPr>
            <w:tcW w:w="3632" w:type="dxa"/>
            <w:noWrap w:val="0"/>
            <w:vAlign w:val="center"/>
          </w:tcPr>
          <w:p w14:paraId="24F9C105">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启动补偿功能</w:t>
            </w:r>
          </w:p>
        </w:tc>
        <w:tc>
          <w:tcPr>
            <w:tcW w:w="945" w:type="dxa"/>
            <w:vMerge w:val="continue"/>
            <w:noWrap w:val="0"/>
            <w:vAlign w:val="center"/>
          </w:tcPr>
          <w:p w14:paraId="2CA43736">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51C3E81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2EA8BD9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27F93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273" w:type="dxa"/>
            <w:vMerge w:val="continue"/>
            <w:noWrap w:val="0"/>
            <w:vAlign w:val="center"/>
          </w:tcPr>
          <w:p w14:paraId="47921A12">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6D7DE115">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763FCBD0">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29712534">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rPr>
              <w:t>7.3</w:t>
            </w:r>
            <w:r>
              <w:rPr>
                <w:rFonts w:hint="eastAsia" w:eastAsia="方正仿宋_GBK" w:cs="Times New Roman"/>
                <w:color w:val="auto"/>
                <w:szCs w:val="21"/>
                <w:lang w:val="en-US" w:eastAsia="zh-CN"/>
              </w:rPr>
              <w:t>8</w:t>
            </w:r>
          </w:p>
        </w:tc>
        <w:tc>
          <w:tcPr>
            <w:tcW w:w="3632" w:type="dxa"/>
            <w:noWrap w:val="0"/>
            <w:vAlign w:val="center"/>
          </w:tcPr>
          <w:p w14:paraId="5884FB3E">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梯门未开则自动开往下一层</w:t>
            </w:r>
          </w:p>
        </w:tc>
        <w:tc>
          <w:tcPr>
            <w:tcW w:w="945" w:type="dxa"/>
            <w:vMerge w:val="continue"/>
            <w:noWrap w:val="0"/>
            <w:vAlign w:val="center"/>
          </w:tcPr>
          <w:p w14:paraId="346BF54F">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5A8BFFC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1183026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3C09B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273" w:type="dxa"/>
            <w:vMerge w:val="continue"/>
            <w:noWrap w:val="0"/>
            <w:vAlign w:val="center"/>
          </w:tcPr>
          <w:p w14:paraId="6D54012A">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0CD3CC1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145B0CE6">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7AFB2BA1">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rPr>
              <w:t>7.</w:t>
            </w:r>
            <w:r>
              <w:rPr>
                <w:rFonts w:hint="eastAsia" w:eastAsia="方正仿宋_GBK" w:cs="Times New Roman"/>
                <w:color w:val="auto"/>
                <w:szCs w:val="21"/>
                <w:lang w:val="en-US" w:eastAsia="zh-CN"/>
              </w:rPr>
              <w:t>39</w:t>
            </w:r>
          </w:p>
        </w:tc>
        <w:tc>
          <w:tcPr>
            <w:tcW w:w="3632" w:type="dxa"/>
            <w:noWrap w:val="0"/>
            <w:vAlign w:val="center"/>
          </w:tcPr>
          <w:p w14:paraId="50CABF5F">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超薄紧凑型召唤</w:t>
            </w:r>
            <w:r>
              <w:rPr>
                <w:rFonts w:hint="default" w:ascii="Times New Roman" w:hAnsi="Times New Roman" w:eastAsia="方正仿宋_GBK" w:cs="Times New Roman"/>
                <w:color w:val="auto"/>
                <w:szCs w:val="21"/>
                <w:lang w:eastAsia="zh-CN"/>
              </w:rPr>
              <w:t>箱</w:t>
            </w:r>
            <w:r>
              <w:rPr>
                <w:rFonts w:hint="default" w:ascii="Times New Roman" w:hAnsi="Times New Roman" w:eastAsia="方正仿宋_GBK" w:cs="Times New Roman"/>
                <w:color w:val="auto"/>
                <w:szCs w:val="21"/>
              </w:rPr>
              <w:t>及显示</w:t>
            </w:r>
            <w:r>
              <w:rPr>
                <w:rFonts w:hint="default" w:ascii="Times New Roman" w:hAnsi="Times New Roman" w:eastAsia="方正仿宋_GBK" w:cs="Times New Roman"/>
                <w:color w:val="auto"/>
                <w:szCs w:val="21"/>
                <w:lang w:eastAsia="zh-CN"/>
              </w:rPr>
              <w:t>箱</w:t>
            </w:r>
          </w:p>
        </w:tc>
        <w:tc>
          <w:tcPr>
            <w:tcW w:w="945" w:type="dxa"/>
            <w:vMerge w:val="continue"/>
            <w:noWrap w:val="0"/>
            <w:vAlign w:val="center"/>
          </w:tcPr>
          <w:p w14:paraId="00C2FD2B">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75A17D2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1D6AA4E5">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31F76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73" w:type="dxa"/>
            <w:vMerge w:val="continue"/>
            <w:noWrap w:val="0"/>
            <w:vAlign w:val="center"/>
          </w:tcPr>
          <w:p w14:paraId="349AACBA">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1726EF6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3FA850E9">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2A4C1AB5">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eastAsia" w:ascii="Times New Roman" w:hAnsi="Times New Roman" w:eastAsia="方正仿宋_GBK" w:cs="Times New Roman"/>
                <w:color w:val="auto"/>
                <w:szCs w:val="21"/>
                <w:lang w:eastAsia="zh-CN"/>
              </w:rPr>
            </w:pPr>
            <w:r>
              <w:rPr>
                <w:rFonts w:hint="default" w:ascii="Times New Roman" w:hAnsi="Times New Roman" w:eastAsia="方正仿宋_GBK" w:cs="Times New Roman"/>
                <w:color w:val="auto"/>
                <w:szCs w:val="21"/>
              </w:rPr>
              <w:t>7.4</w:t>
            </w:r>
            <w:r>
              <w:rPr>
                <w:rFonts w:hint="eastAsia" w:eastAsia="方正仿宋_GBK" w:cs="Times New Roman"/>
                <w:color w:val="auto"/>
                <w:szCs w:val="21"/>
                <w:lang w:val="en-US" w:eastAsia="zh-CN"/>
              </w:rPr>
              <w:t>0</w:t>
            </w:r>
          </w:p>
        </w:tc>
        <w:tc>
          <w:tcPr>
            <w:tcW w:w="3632" w:type="dxa"/>
            <w:noWrap w:val="0"/>
            <w:vAlign w:val="center"/>
          </w:tcPr>
          <w:p w14:paraId="50C316CA">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lang w:eastAsia="zh-CN"/>
              </w:rPr>
              <w:t>轿厢</w:t>
            </w:r>
            <w:r>
              <w:rPr>
                <w:rFonts w:hint="default" w:ascii="Times New Roman" w:hAnsi="Times New Roman" w:eastAsia="方正仿宋_GBK" w:cs="Times New Roman"/>
                <w:color w:val="auto"/>
                <w:szCs w:val="21"/>
              </w:rPr>
              <w:t>安装到站钟</w:t>
            </w:r>
          </w:p>
        </w:tc>
        <w:tc>
          <w:tcPr>
            <w:tcW w:w="945" w:type="dxa"/>
            <w:vMerge w:val="continue"/>
            <w:noWrap w:val="0"/>
            <w:vAlign w:val="center"/>
          </w:tcPr>
          <w:p w14:paraId="19F8FF0D">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lang w:eastAsia="zh-CN"/>
              </w:rPr>
            </w:pPr>
          </w:p>
        </w:tc>
        <w:tc>
          <w:tcPr>
            <w:tcW w:w="780" w:type="dxa"/>
            <w:vMerge w:val="continue"/>
            <w:noWrap w:val="0"/>
            <w:vAlign w:val="center"/>
          </w:tcPr>
          <w:p w14:paraId="365AF1D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eastAsia="zh-CN"/>
              </w:rPr>
            </w:pPr>
          </w:p>
        </w:tc>
        <w:tc>
          <w:tcPr>
            <w:tcW w:w="780" w:type="dxa"/>
            <w:vMerge w:val="continue"/>
            <w:noWrap w:val="0"/>
            <w:vAlign w:val="center"/>
          </w:tcPr>
          <w:p w14:paraId="698F6F19">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eastAsia="zh-CN"/>
              </w:rPr>
            </w:pPr>
          </w:p>
        </w:tc>
      </w:tr>
      <w:tr w14:paraId="03025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273" w:type="dxa"/>
            <w:vMerge w:val="continue"/>
            <w:noWrap w:val="0"/>
            <w:vAlign w:val="center"/>
          </w:tcPr>
          <w:p w14:paraId="6EEE54F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6C08EAE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41C20C75">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642A7DC9">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eastAsia" w:ascii="Times New Roman" w:hAnsi="Times New Roman" w:eastAsia="方正仿宋_GBK" w:cs="Times New Roman"/>
                <w:color w:val="auto"/>
                <w:szCs w:val="21"/>
                <w:lang w:eastAsia="zh-CN"/>
              </w:rPr>
            </w:pPr>
            <w:r>
              <w:rPr>
                <w:rFonts w:hint="default" w:ascii="Times New Roman" w:hAnsi="Times New Roman" w:eastAsia="方正仿宋_GBK" w:cs="Times New Roman"/>
                <w:color w:val="auto"/>
                <w:szCs w:val="21"/>
              </w:rPr>
              <w:t>7.4</w:t>
            </w:r>
            <w:r>
              <w:rPr>
                <w:rFonts w:hint="eastAsia" w:eastAsia="方正仿宋_GBK" w:cs="Times New Roman"/>
                <w:color w:val="auto"/>
                <w:szCs w:val="21"/>
                <w:lang w:val="en-US" w:eastAsia="zh-CN"/>
              </w:rPr>
              <w:t>1</w:t>
            </w:r>
          </w:p>
        </w:tc>
        <w:tc>
          <w:tcPr>
            <w:tcW w:w="3632" w:type="dxa"/>
            <w:noWrap w:val="0"/>
            <w:vAlign w:val="center"/>
          </w:tcPr>
          <w:p w14:paraId="11341568">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消防紧急回车信号至控制室</w:t>
            </w:r>
          </w:p>
        </w:tc>
        <w:tc>
          <w:tcPr>
            <w:tcW w:w="945" w:type="dxa"/>
            <w:vMerge w:val="continue"/>
            <w:noWrap w:val="0"/>
            <w:vAlign w:val="center"/>
          </w:tcPr>
          <w:p w14:paraId="3EDBEAE8">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19BC653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5670A3B8">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13CF2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1273" w:type="dxa"/>
            <w:vMerge w:val="continue"/>
            <w:noWrap w:val="0"/>
            <w:vAlign w:val="center"/>
          </w:tcPr>
          <w:p w14:paraId="4C7199AA">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restart"/>
            <w:noWrap w:val="0"/>
            <w:vAlign w:val="center"/>
          </w:tcPr>
          <w:p w14:paraId="411BB2B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eastAsia" w:ascii="Times New Roman" w:hAnsi="Times New Roman" w:eastAsia="方正仿宋_GBK" w:cs="Times New Roman"/>
                <w:color w:val="auto"/>
                <w:szCs w:val="21"/>
                <w:lang w:val="en-US" w:eastAsia="zh-CN"/>
              </w:rPr>
            </w:pPr>
            <w:r>
              <w:rPr>
                <w:rFonts w:hint="eastAsia" w:eastAsia="方正仿宋_GBK" w:cs="Times New Roman"/>
                <w:color w:val="auto"/>
                <w:szCs w:val="21"/>
                <w:lang w:val="en-US" w:eastAsia="zh-CN"/>
              </w:rPr>
              <w:t>8</w:t>
            </w:r>
          </w:p>
        </w:tc>
        <w:tc>
          <w:tcPr>
            <w:tcW w:w="1365" w:type="dxa"/>
            <w:vMerge w:val="restart"/>
            <w:noWrap w:val="0"/>
            <w:vAlign w:val="center"/>
          </w:tcPr>
          <w:p w14:paraId="786D183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设备主要部件要求</w:t>
            </w:r>
          </w:p>
        </w:tc>
        <w:tc>
          <w:tcPr>
            <w:tcW w:w="1699" w:type="dxa"/>
            <w:noWrap w:val="0"/>
            <w:vAlign w:val="center"/>
          </w:tcPr>
          <w:p w14:paraId="50E41578">
            <w:pPr>
              <w:keepNext w:val="0"/>
              <w:keepLines w:val="0"/>
              <w:pageBreakBefore w:val="0"/>
              <w:tabs>
                <w:tab w:val="left" w:pos="2310"/>
              </w:tabs>
              <w:kinsoku/>
              <w:wordWrap/>
              <w:overflowPunct/>
              <w:topLinePunct w:val="0"/>
              <w:autoSpaceDE/>
              <w:autoSpaceDN/>
              <w:bidi w:val="0"/>
              <w:adjustRightInd/>
              <w:snapToGrid/>
              <w:spacing w:line="24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★8.1控制</w:t>
            </w:r>
            <w:r>
              <w:rPr>
                <w:rFonts w:hint="eastAsia" w:eastAsia="方正仿宋_GBK" w:cs="Times New Roman"/>
                <w:color w:val="auto"/>
                <w:szCs w:val="21"/>
                <w:lang w:val="en-US" w:eastAsia="zh-CN"/>
              </w:rPr>
              <w:t>柜</w:t>
            </w:r>
          </w:p>
        </w:tc>
        <w:tc>
          <w:tcPr>
            <w:tcW w:w="3632" w:type="dxa"/>
            <w:noWrap w:val="0"/>
            <w:vAlign w:val="center"/>
          </w:tcPr>
          <w:p w14:paraId="2295EEA4">
            <w:pPr>
              <w:keepNext w:val="0"/>
              <w:keepLines w:val="0"/>
              <w:pageBreakBefore w:val="0"/>
              <w:tabs>
                <w:tab w:val="left" w:pos="2310"/>
              </w:tabs>
              <w:kinsoku/>
              <w:wordWrap/>
              <w:overflowPunct/>
              <w:topLinePunct w:val="0"/>
              <w:autoSpaceDE/>
              <w:autoSpaceDN/>
              <w:bidi w:val="0"/>
              <w:adjustRightInd/>
              <w:snapToGrid/>
              <w:spacing w:line="240" w:lineRule="atLeast"/>
              <w:jc w:val="left"/>
              <w:textAlignment w:val="auto"/>
              <w:rPr>
                <w:rFonts w:hint="eastAsia" w:ascii="Times New Roman" w:hAnsi="Times New Roman" w:eastAsia="方正仿宋_GBK" w:cs="Times New Roman"/>
                <w:color w:val="auto"/>
                <w:szCs w:val="21"/>
                <w:lang w:eastAsia="zh-CN"/>
              </w:rPr>
            </w:pPr>
            <w:r>
              <w:rPr>
                <w:rFonts w:hint="eastAsia" w:ascii="Times New Roman" w:hAnsi="Times New Roman" w:eastAsia="方正仿宋_GBK" w:cs="Times New Roman"/>
                <w:color w:val="auto"/>
                <w:szCs w:val="21"/>
              </w:rPr>
              <w:t>不接受外购贴牌产品。与整梯品牌一致，提供型式试验报告</w:t>
            </w:r>
          </w:p>
        </w:tc>
        <w:tc>
          <w:tcPr>
            <w:tcW w:w="945" w:type="dxa"/>
            <w:vMerge w:val="continue"/>
            <w:noWrap w:val="0"/>
            <w:vAlign w:val="center"/>
          </w:tcPr>
          <w:p w14:paraId="79A08600">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eastAsia" w:ascii="Times New Roman" w:hAnsi="Times New Roman" w:eastAsia="方正仿宋_GBK" w:cs="Times New Roman"/>
                <w:color w:val="auto"/>
                <w:szCs w:val="21"/>
              </w:rPr>
            </w:pPr>
          </w:p>
        </w:tc>
        <w:tc>
          <w:tcPr>
            <w:tcW w:w="780" w:type="dxa"/>
            <w:vMerge w:val="continue"/>
            <w:noWrap w:val="0"/>
            <w:vAlign w:val="center"/>
          </w:tcPr>
          <w:p w14:paraId="33E8ACD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eastAsia" w:ascii="Times New Roman" w:hAnsi="Times New Roman" w:eastAsia="方正仿宋_GBK" w:cs="Times New Roman"/>
                <w:color w:val="auto"/>
                <w:szCs w:val="21"/>
              </w:rPr>
            </w:pPr>
          </w:p>
        </w:tc>
        <w:tc>
          <w:tcPr>
            <w:tcW w:w="780" w:type="dxa"/>
            <w:vMerge w:val="continue"/>
            <w:noWrap w:val="0"/>
            <w:vAlign w:val="center"/>
          </w:tcPr>
          <w:p w14:paraId="691DCD32">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eastAsia" w:ascii="Times New Roman" w:hAnsi="Times New Roman" w:eastAsia="方正仿宋_GBK" w:cs="Times New Roman"/>
                <w:color w:val="auto"/>
                <w:szCs w:val="21"/>
              </w:rPr>
            </w:pPr>
          </w:p>
        </w:tc>
      </w:tr>
      <w:tr w14:paraId="5E429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3" w:hRule="atLeast"/>
          <w:jc w:val="center"/>
        </w:trPr>
        <w:tc>
          <w:tcPr>
            <w:tcW w:w="1273" w:type="dxa"/>
            <w:vMerge w:val="continue"/>
            <w:noWrap w:val="0"/>
            <w:vAlign w:val="center"/>
          </w:tcPr>
          <w:p w14:paraId="5F63A49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3F67625A">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5CFC243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57E25353">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★8.2曳引机（整机）：永磁同步</w:t>
            </w:r>
          </w:p>
          <w:p w14:paraId="4E4F5D6C">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无齿轮曳引主机</w:t>
            </w:r>
          </w:p>
        </w:tc>
        <w:tc>
          <w:tcPr>
            <w:tcW w:w="3632" w:type="dxa"/>
            <w:noWrap w:val="0"/>
            <w:vAlign w:val="center"/>
          </w:tcPr>
          <w:p w14:paraId="5BD43D5C">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eastAsia" w:ascii="Times New Roman" w:hAnsi="Times New Roman" w:eastAsia="方正仿宋_GBK" w:cs="Times New Roman"/>
                <w:color w:val="auto"/>
                <w:szCs w:val="21"/>
                <w:lang w:eastAsia="zh-CN"/>
              </w:rPr>
            </w:pPr>
            <w:r>
              <w:rPr>
                <w:rFonts w:hint="eastAsia" w:ascii="Times New Roman" w:hAnsi="Times New Roman" w:eastAsia="方正仿宋_GBK" w:cs="Times New Roman"/>
                <w:color w:val="auto"/>
                <w:szCs w:val="21"/>
              </w:rPr>
              <w:t>永磁同步无齿轮曳引机，外壳防护等级IP41及以上，与整梯品牌一致</w:t>
            </w:r>
            <w:r>
              <w:rPr>
                <w:rFonts w:hint="eastAsia" w:eastAsia="方正仿宋_GBK" w:cs="Times New Roman"/>
                <w:color w:val="auto"/>
                <w:szCs w:val="21"/>
                <w:lang w:eastAsia="zh-CN"/>
              </w:rPr>
              <w:t>，</w:t>
            </w:r>
            <w:r>
              <w:rPr>
                <w:rFonts w:hint="eastAsia" w:ascii="Times New Roman" w:hAnsi="Times New Roman" w:eastAsia="方正仿宋_GBK" w:cs="Times New Roman"/>
                <w:color w:val="auto"/>
                <w:szCs w:val="21"/>
                <w:lang w:val="en-US" w:eastAsia="zh-CN"/>
              </w:rPr>
              <w:t>提供型式试验报告。</w:t>
            </w:r>
          </w:p>
        </w:tc>
        <w:tc>
          <w:tcPr>
            <w:tcW w:w="945" w:type="dxa"/>
            <w:vMerge w:val="continue"/>
            <w:noWrap w:val="0"/>
            <w:vAlign w:val="center"/>
          </w:tcPr>
          <w:p w14:paraId="1AE6B91E">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eastAsia" w:ascii="Times New Roman" w:hAnsi="Times New Roman" w:eastAsia="方正仿宋_GBK" w:cs="Times New Roman"/>
                <w:color w:val="auto"/>
                <w:szCs w:val="21"/>
              </w:rPr>
            </w:pPr>
          </w:p>
        </w:tc>
        <w:tc>
          <w:tcPr>
            <w:tcW w:w="780" w:type="dxa"/>
            <w:vMerge w:val="continue"/>
            <w:noWrap w:val="0"/>
            <w:vAlign w:val="center"/>
          </w:tcPr>
          <w:p w14:paraId="35EC7E9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eastAsia" w:ascii="Times New Roman" w:hAnsi="Times New Roman" w:eastAsia="方正仿宋_GBK" w:cs="Times New Roman"/>
                <w:color w:val="auto"/>
                <w:szCs w:val="21"/>
              </w:rPr>
            </w:pPr>
          </w:p>
        </w:tc>
        <w:tc>
          <w:tcPr>
            <w:tcW w:w="780" w:type="dxa"/>
            <w:vMerge w:val="continue"/>
            <w:noWrap w:val="0"/>
            <w:vAlign w:val="center"/>
          </w:tcPr>
          <w:p w14:paraId="7E7A0F08">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eastAsia" w:ascii="Times New Roman" w:hAnsi="Times New Roman" w:eastAsia="方正仿宋_GBK" w:cs="Times New Roman"/>
                <w:color w:val="auto"/>
                <w:szCs w:val="21"/>
              </w:rPr>
            </w:pPr>
          </w:p>
        </w:tc>
      </w:tr>
      <w:tr w14:paraId="0C35A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1273" w:type="dxa"/>
            <w:vMerge w:val="continue"/>
            <w:noWrap w:val="0"/>
            <w:vAlign w:val="center"/>
          </w:tcPr>
          <w:p w14:paraId="76F164D4">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072430E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688E97E3">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5B8E4590">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★8.</w:t>
            </w:r>
            <w:r>
              <w:rPr>
                <w:rFonts w:hint="eastAsia" w:eastAsia="方正仿宋_GBK" w:cs="Times New Roman"/>
                <w:color w:val="auto"/>
                <w:szCs w:val="21"/>
                <w:lang w:val="en-US" w:eastAsia="zh-CN"/>
              </w:rPr>
              <w:t>3</w:t>
            </w:r>
            <w:r>
              <w:rPr>
                <w:rFonts w:hint="default" w:ascii="Times New Roman" w:hAnsi="Times New Roman" w:eastAsia="方正仿宋_GBK" w:cs="Times New Roman"/>
                <w:color w:val="auto"/>
                <w:szCs w:val="21"/>
              </w:rPr>
              <w:t>门机（整机）</w:t>
            </w:r>
          </w:p>
        </w:tc>
        <w:tc>
          <w:tcPr>
            <w:tcW w:w="3632" w:type="dxa"/>
            <w:noWrap w:val="0"/>
            <w:vAlign w:val="center"/>
          </w:tcPr>
          <w:p w14:paraId="280D8237">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eastAsia" w:ascii="Times New Roman" w:hAnsi="Times New Roman" w:eastAsia="方正仿宋_GBK" w:cs="Times New Roman"/>
                <w:color w:val="auto"/>
                <w:szCs w:val="21"/>
              </w:rPr>
              <w:t>永磁同步</w:t>
            </w:r>
            <w:r>
              <w:rPr>
                <w:rFonts w:hint="eastAsia" w:eastAsia="方正仿宋_GBK" w:cs="Times New Roman"/>
                <w:color w:val="auto"/>
                <w:szCs w:val="21"/>
                <w:lang w:eastAsia="zh-CN"/>
              </w:rPr>
              <w:t>电</w:t>
            </w:r>
            <w:bookmarkStart w:id="428" w:name="_GoBack"/>
            <w:bookmarkEnd w:id="428"/>
            <w:r>
              <w:rPr>
                <w:rFonts w:hint="eastAsia" w:ascii="Times New Roman" w:hAnsi="Times New Roman" w:eastAsia="方正仿宋_GBK" w:cs="Times New Roman"/>
                <w:color w:val="auto"/>
                <w:szCs w:val="21"/>
              </w:rPr>
              <w:t>机，</w:t>
            </w:r>
            <w:r>
              <w:rPr>
                <w:rFonts w:hint="eastAsia" w:ascii="Times New Roman" w:hAnsi="Times New Roman" w:eastAsia="方正仿宋_GBK" w:cs="Times New Roman"/>
                <w:color w:val="auto"/>
                <w:szCs w:val="21"/>
                <w:lang w:val="en-US" w:eastAsia="zh-CN"/>
              </w:rPr>
              <w:t>提供</w:t>
            </w:r>
            <w:r>
              <w:rPr>
                <w:rFonts w:hint="eastAsia" w:eastAsia="方正仿宋_GBK" w:cs="Times New Roman"/>
                <w:color w:val="auto"/>
                <w:szCs w:val="21"/>
                <w:lang w:val="en-US" w:eastAsia="zh-CN"/>
              </w:rPr>
              <w:t>检测</w:t>
            </w:r>
            <w:r>
              <w:rPr>
                <w:rFonts w:hint="eastAsia" w:ascii="Times New Roman" w:hAnsi="Times New Roman" w:eastAsia="方正仿宋_GBK" w:cs="Times New Roman"/>
                <w:color w:val="auto"/>
                <w:szCs w:val="21"/>
                <w:lang w:val="en-US" w:eastAsia="zh-CN"/>
              </w:rPr>
              <w:t>试验报告。</w:t>
            </w:r>
          </w:p>
        </w:tc>
        <w:tc>
          <w:tcPr>
            <w:tcW w:w="945" w:type="dxa"/>
            <w:vMerge w:val="continue"/>
            <w:noWrap w:val="0"/>
            <w:vAlign w:val="center"/>
          </w:tcPr>
          <w:p w14:paraId="2DDE1927">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eastAsia" w:ascii="Times New Roman" w:hAnsi="Times New Roman" w:eastAsia="方正仿宋_GBK" w:cs="Times New Roman"/>
                <w:color w:val="auto"/>
                <w:szCs w:val="21"/>
              </w:rPr>
            </w:pPr>
          </w:p>
        </w:tc>
        <w:tc>
          <w:tcPr>
            <w:tcW w:w="780" w:type="dxa"/>
            <w:vMerge w:val="continue"/>
            <w:noWrap w:val="0"/>
            <w:vAlign w:val="center"/>
          </w:tcPr>
          <w:p w14:paraId="7E54F82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eastAsia" w:ascii="Times New Roman" w:hAnsi="Times New Roman" w:eastAsia="方正仿宋_GBK" w:cs="Times New Roman"/>
                <w:color w:val="auto"/>
                <w:szCs w:val="21"/>
              </w:rPr>
            </w:pPr>
          </w:p>
        </w:tc>
        <w:tc>
          <w:tcPr>
            <w:tcW w:w="780" w:type="dxa"/>
            <w:vMerge w:val="continue"/>
            <w:noWrap w:val="0"/>
            <w:vAlign w:val="center"/>
          </w:tcPr>
          <w:p w14:paraId="4C7DB190">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eastAsia" w:ascii="Times New Roman" w:hAnsi="Times New Roman" w:eastAsia="方正仿宋_GBK" w:cs="Times New Roman"/>
                <w:color w:val="auto"/>
                <w:szCs w:val="21"/>
              </w:rPr>
            </w:pPr>
          </w:p>
        </w:tc>
      </w:tr>
      <w:tr w14:paraId="5C58E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273" w:type="dxa"/>
            <w:vMerge w:val="continue"/>
            <w:noWrap w:val="0"/>
            <w:vAlign w:val="center"/>
          </w:tcPr>
          <w:p w14:paraId="5DCB8B3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642DE09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7017E81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7C08435D">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★8.</w:t>
            </w:r>
            <w:r>
              <w:rPr>
                <w:rFonts w:hint="eastAsia" w:eastAsia="方正仿宋_GBK" w:cs="Times New Roman"/>
                <w:color w:val="auto"/>
                <w:szCs w:val="21"/>
                <w:lang w:val="en-US" w:eastAsia="zh-CN"/>
              </w:rPr>
              <w:t>4</w:t>
            </w:r>
            <w:r>
              <w:rPr>
                <w:rFonts w:hint="default" w:ascii="Times New Roman" w:hAnsi="Times New Roman" w:eastAsia="方正仿宋_GBK" w:cs="Times New Roman"/>
                <w:color w:val="auto"/>
                <w:szCs w:val="21"/>
              </w:rPr>
              <w:t>光幕</w:t>
            </w:r>
          </w:p>
        </w:tc>
        <w:tc>
          <w:tcPr>
            <w:tcW w:w="3632" w:type="dxa"/>
            <w:noWrap w:val="0"/>
            <w:vAlign w:val="center"/>
          </w:tcPr>
          <w:p w14:paraId="4C9070CF">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lang w:val="en-US" w:eastAsia="zh-CN"/>
              </w:rPr>
            </w:pPr>
            <w:r>
              <w:rPr>
                <w:rFonts w:hint="eastAsia" w:eastAsia="方正仿宋_GBK" w:cs="Times New Roman"/>
                <w:color w:val="auto"/>
                <w:szCs w:val="21"/>
                <w:lang w:val="en-US" w:eastAsia="zh-CN"/>
              </w:rPr>
              <w:t>≥</w:t>
            </w:r>
            <w:r>
              <w:rPr>
                <w:rFonts w:hint="default" w:ascii="Times New Roman" w:hAnsi="Times New Roman" w:eastAsia="方正仿宋_GBK" w:cs="Times New Roman"/>
                <w:color w:val="auto"/>
                <w:szCs w:val="21"/>
              </w:rPr>
              <w:t>154光束光幕</w:t>
            </w:r>
            <w:r>
              <w:rPr>
                <w:rFonts w:hint="eastAsia" w:ascii="Times New Roman" w:hAnsi="Times New Roman" w:eastAsia="方正仿宋_GBK" w:cs="Times New Roman"/>
                <w:color w:val="auto"/>
                <w:szCs w:val="21"/>
                <w:lang w:eastAsia="zh-CN"/>
              </w:rPr>
              <w:t>，</w:t>
            </w:r>
            <w:r>
              <w:rPr>
                <w:rFonts w:hint="eastAsia" w:ascii="Times New Roman" w:hAnsi="Times New Roman" w:eastAsia="方正仿宋_GBK" w:cs="Times New Roman"/>
                <w:color w:val="auto"/>
                <w:szCs w:val="21"/>
                <w:lang w:val="en-US" w:eastAsia="zh-CN"/>
              </w:rPr>
              <w:t>提供证明材料</w:t>
            </w:r>
          </w:p>
        </w:tc>
        <w:tc>
          <w:tcPr>
            <w:tcW w:w="945" w:type="dxa"/>
            <w:vMerge w:val="continue"/>
            <w:noWrap w:val="0"/>
            <w:vAlign w:val="center"/>
          </w:tcPr>
          <w:p w14:paraId="3FBC4A71">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4482FAA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01AA896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3A4C5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273" w:type="dxa"/>
            <w:vMerge w:val="continue"/>
            <w:noWrap w:val="0"/>
            <w:vAlign w:val="center"/>
          </w:tcPr>
          <w:p w14:paraId="6D81C629">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3078498C">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70B07DFA">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23C90756">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★8.</w:t>
            </w:r>
            <w:r>
              <w:rPr>
                <w:rFonts w:hint="eastAsia" w:eastAsia="方正仿宋_GBK" w:cs="Times New Roman"/>
                <w:color w:val="auto"/>
                <w:szCs w:val="21"/>
                <w:lang w:val="en-US" w:eastAsia="zh-CN"/>
              </w:rPr>
              <w:t>5</w:t>
            </w:r>
            <w:r>
              <w:rPr>
                <w:rFonts w:hint="default" w:ascii="Times New Roman" w:hAnsi="Times New Roman" w:eastAsia="方正仿宋_GBK" w:cs="Times New Roman"/>
                <w:color w:val="auto"/>
                <w:szCs w:val="21"/>
              </w:rPr>
              <w:t>限速器</w:t>
            </w:r>
          </w:p>
        </w:tc>
        <w:tc>
          <w:tcPr>
            <w:tcW w:w="3632" w:type="dxa"/>
            <w:noWrap w:val="0"/>
            <w:vAlign w:val="center"/>
          </w:tcPr>
          <w:p w14:paraId="3D0EC937">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highlight w:val="yellow"/>
                <w:lang w:val="en-US" w:eastAsia="zh-CN"/>
              </w:rPr>
            </w:pPr>
            <w:r>
              <w:rPr>
                <w:rFonts w:hint="eastAsia" w:ascii="Times New Roman" w:hAnsi="Times New Roman" w:eastAsia="方正仿宋_GBK" w:cs="Times New Roman"/>
                <w:color w:val="auto"/>
                <w:szCs w:val="21"/>
              </w:rPr>
              <w:t>与整梯品牌一致，提供型式试验报告</w:t>
            </w:r>
          </w:p>
        </w:tc>
        <w:tc>
          <w:tcPr>
            <w:tcW w:w="945" w:type="dxa"/>
            <w:vMerge w:val="continue"/>
            <w:noWrap w:val="0"/>
            <w:vAlign w:val="center"/>
          </w:tcPr>
          <w:p w14:paraId="4E322F35">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lang w:val="en-US" w:eastAsia="zh-CN"/>
              </w:rPr>
            </w:pPr>
          </w:p>
        </w:tc>
        <w:tc>
          <w:tcPr>
            <w:tcW w:w="780" w:type="dxa"/>
            <w:vMerge w:val="continue"/>
            <w:noWrap w:val="0"/>
            <w:vAlign w:val="center"/>
          </w:tcPr>
          <w:p w14:paraId="7254E371">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c>
          <w:tcPr>
            <w:tcW w:w="780" w:type="dxa"/>
            <w:vMerge w:val="continue"/>
            <w:noWrap w:val="0"/>
            <w:vAlign w:val="center"/>
          </w:tcPr>
          <w:p w14:paraId="0D0AC4E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r>
      <w:tr w14:paraId="5A207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273" w:type="dxa"/>
            <w:vMerge w:val="continue"/>
            <w:noWrap w:val="0"/>
            <w:vAlign w:val="center"/>
          </w:tcPr>
          <w:p w14:paraId="05A37B6E">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909" w:type="dxa"/>
            <w:vMerge w:val="continue"/>
            <w:noWrap w:val="0"/>
            <w:vAlign w:val="center"/>
          </w:tcPr>
          <w:p w14:paraId="481DD1C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365" w:type="dxa"/>
            <w:vMerge w:val="continue"/>
            <w:noWrap w:val="0"/>
            <w:vAlign w:val="center"/>
          </w:tcPr>
          <w:p w14:paraId="48655508">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1699" w:type="dxa"/>
            <w:noWrap w:val="0"/>
            <w:vAlign w:val="center"/>
          </w:tcPr>
          <w:p w14:paraId="7BBF6D4B">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★8.</w:t>
            </w:r>
            <w:r>
              <w:rPr>
                <w:rFonts w:hint="eastAsia" w:eastAsia="方正仿宋_GBK" w:cs="Times New Roman"/>
                <w:color w:val="auto"/>
                <w:szCs w:val="21"/>
                <w:lang w:val="en-US" w:eastAsia="zh-CN"/>
              </w:rPr>
              <w:t>6</w:t>
            </w:r>
            <w:r>
              <w:rPr>
                <w:rFonts w:hint="default" w:ascii="Times New Roman" w:hAnsi="Times New Roman" w:eastAsia="方正仿宋_GBK" w:cs="Times New Roman"/>
                <w:color w:val="auto"/>
                <w:szCs w:val="21"/>
              </w:rPr>
              <w:t>安全钳</w:t>
            </w:r>
          </w:p>
        </w:tc>
        <w:tc>
          <w:tcPr>
            <w:tcW w:w="3632" w:type="dxa"/>
            <w:noWrap w:val="0"/>
            <w:vAlign w:val="center"/>
          </w:tcPr>
          <w:p w14:paraId="3802D74F">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eastAsia" w:ascii="Times New Roman" w:hAnsi="Times New Roman" w:eastAsia="方正仿宋_GBK" w:cs="Times New Roman"/>
                <w:color w:val="auto"/>
                <w:szCs w:val="21"/>
                <w:highlight w:val="yellow"/>
                <w:lang w:val="en-US" w:eastAsia="zh-CN"/>
              </w:rPr>
            </w:pPr>
            <w:r>
              <w:rPr>
                <w:rFonts w:hint="eastAsia" w:ascii="Times New Roman" w:hAnsi="Times New Roman" w:eastAsia="方正仿宋_GBK" w:cs="Times New Roman"/>
                <w:color w:val="auto"/>
                <w:szCs w:val="21"/>
              </w:rPr>
              <w:t>与整梯品牌一致，提供型式试验报告</w:t>
            </w:r>
          </w:p>
        </w:tc>
        <w:tc>
          <w:tcPr>
            <w:tcW w:w="945" w:type="dxa"/>
            <w:vMerge w:val="continue"/>
            <w:noWrap w:val="0"/>
            <w:vAlign w:val="center"/>
          </w:tcPr>
          <w:p w14:paraId="53C2D41F">
            <w:pPr>
              <w:keepNext w:val="0"/>
              <w:keepLines w:val="0"/>
              <w:pageBreakBefore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lang w:val="en-US" w:eastAsia="zh-CN"/>
              </w:rPr>
            </w:pPr>
          </w:p>
        </w:tc>
        <w:tc>
          <w:tcPr>
            <w:tcW w:w="780" w:type="dxa"/>
            <w:vMerge w:val="continue"/>
            <w:noWrap w:val="0"/>
            <w:vAlign w:val="center"/>
          </w:tcPr>
          <w:p w14:paraId="5F9BE596">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c>
          <w:tcPr>
            <w:tcW w:w="780" w:type="dxa"/>
            <w:vMerge w:val="continue"/>
            <w:noWrap w:val="0"/>
            <w:vAlign w:val="center"/>
          </w:tcPr>
          <w:p w14:paraId="156D79B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r>
      <w:tr w14:paraId="7EED2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jc w:val="center"/>
        </w:trPr>
        <w:tc>
          <w:tcPr>
            <w:tcW w:w="1273" w:type="dxa"/>
            <w:vMerge w:val="restart"/>
            <w:noWrap w:val="0"/>
            <w:vAlign w:val="center"/>
          </w:tcPr>
          <w:p w14:paraId="3E35512A">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lang w:val="en-US" w:eastAsia="zh-CN"/>
              </w:rPr>
              <w:t>土建及电梯</w:t>
            </w:r>
          </w:p>
          <w:p w14:paraId="21BEC082">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lang w:val="en-US" w:eastAsia="zh-CN"/>
              </w:rPr>
              <w:t>井道</w:t>
            </w:r>
            <w:r>
              <w:rPr>
                <w:rFonts w:hint="eastAsia" w:eastAsia="方正仿宋_GBK" w:cs="Times New Roman"/>
                <w:color w:val="auto"/>
                <w:szCs w:val="21"/>
                <w:lang w:val="en-US" w:eastAsia="zh-CN"/>
              </w:rPr>
              <w:t>、电力及装修</w:t>
            </w:r>
          </w:p>
        </w:tc>
        <w:tc>
          <w:tcPr>
            <w:tcW w:w="909" w:type="dxa"/>
            <w:noWrap w:val="0"/>
            <w:vAlign w:val="center"/>
          </w:tcPr>
          <w:p w14:paraId="100CAC2D">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r>
              <w:rPr>
                <w:rFonts w:hint="eastAsia" w:eastAsia="方正仿宋_GBK" w:cs="Times New Roman"/>
                <w:color w:val="auto"/>
                <w:szCs w:val="21"/>
                <w:lang w:val="en-US" w:eastAsia="zh-CN"/>
              </w:rPr>
              <w:t>9</w:t>
            </w:r>
          </w:p>
        </w:tc>
        <w:tc>
          <w:tcPr>
            <w:tcW w:w="1365" w:type="dxa"/>
            <w:noWrap w:val="0"/>
            <w:vAlign w:val="center"/>
          </w:tcPr>
          <w:p w14:paraId="1C71EBC2">
            <w:pPr>
              <w:keepNext w:val="0"/>
              <w:keepLines w:val="0"/>
              <w:pageBreakBefore w:val="0"/>
              <w:tabs>
                <w:tab w:val="left" w:pos="2310"/>
              </w:tabs>
              <w:kinsoku/>
              <w:wordWrap/>
              <w:overflowPunct/>
              <w:topLinePunct w:val="0"/>
              <w:autoSpaceDE/>
              <w:autoSpaceDN/>
              <w:bidi w:val="0"/>
              <w:adjustRightInd/>
              <w:snapToGrid/>
              <w:spacing w:line="400" w:lineRule="atLeast"/>
              <w:jc w:val="both"/>
              <w:textAlignment w:val="auto"/>
              <w:rPr>
                <w:rFonts w:hint="default"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rPr>
              <w:t>★</w:t>
            </w:r>
            <w:r>
              <w:rPr>
                <w:rFonts w:hint="default" w:ascii="Times New Roman" w:hAnsi="Times New Roman" w:eastAsia="方正仿宋_GBK" w:cs="Times New Roman"/>
                <w:color w:val="auto"/>
                <w:szCs w:val="21"/>
                <w:lang w:val="en-US" w:eastAsia="zh-CN"/>
              </w:rPr>
              <w:t>电梯基础</w:t>
            </w:r>
          </w:p>
        </w:tc>
        <w:tc>
          <w:tcPr>
            <w:tcW w:w="5331" w:type="dxa"/>
            <w:gridSpan w:val="2"/>
            <w:noWrap w:val="0"/>
            <w:vAlign w:val="center"/>
          </w:tcPr>
          <w:p w14:paraId="3F6EEA3B">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lang w:val="en-US" w:eastAsia="zh-CN"/>
              </w:rPr>
              <w:t>本项目采购范围涵盖电梯设备、电梯基础、钢结构井道、配套电力接入等全部土建及安装工程。严格遵照《文山市皮肤病防治站装修改造工程设计图》相关要求，自行组织实施土建施工及检测验收工作，确保结构承重、尺寸、安全指标符合国家现行规范标准及电梯安装使用要求，前述全部费用均已包含于投标总价内。</w:t>
            </w:r>
          </w:p>
        </w:tc>
        <w:tc>
          <w:tcPr>
            <w:tcW w:w="945" w:type="dxa"/>
            <w:vMerge w:val="restart"/>
            <w:noWrap w:val="0"/>
            <w:vAlign w:val="center"/>
          </w:tcPr>
          <w:p w14:paraId="2A625EB5">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r>
              <w:rPr>
                <w:rFonts w:hint="eastAsia" w:eastAsia="方正仿宋_GBK" w:cs="Times New Roman"/>
                <w:color w:val="auto"/>
                <w:szCs w:val="21"/>
                <w:lang w:val="en-US" w:eastAsia="zh-CN"/>
              </w:rPr>
              <w:t>1</w:t>
            </w:r>
          </w:p>
        </w:tc>
        <w:tc>
          <w:tcPr>
            <w:tcW w:w="780" w:type="dxa"/>
            <w:vMerge w:val="restart"/>
            <w:noWrap w:val="0"/>
            <w:vAlign w:val="center"/>
          </w:tcPr>
          <w:p w14:paraId="2BBDC16A">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r>
              <w:rPr>
                <w:rFonts w:hint="eastAsia" w:eastAsia="方正仿宋_GBK" w:cs="Times New Roman"/>
                <w:color w:val="auto"/>
                <w:szCs w:val="21"/>
                <w:lang w:val="en-US" w:eastAsia="zh-CN"/>
              </w:rPr>
              <w:t>项</w:t>
            </w:r>
          </w:p>
        </w:tc>
        <w:tc>
          <w:tcPr>
            <w:tcW w:w="780" w:type="dxa"/>
            <w:vMerge w:val="restart"/>
            <w:noWrap w:val="0"/>
            <w:vAlign w:val="center"/>
          </w:tcPr>
          <w:p w14:paraId="6B84D1D3">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r>
      <w:tr w14:paraId="43275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4" w:hRule="atLeast"/>
          <w:jc w:val="center"/>
        </w:trPr>
        <w:tc>
          <w:tcPr>
            <w:tcW w:w="1273" w:type="dxa"/>
            <w:vMerge w:val="continue"/>
            <w:noWrap w:val="0"/>
            <w:vAlign w:val="center"/>
          </w:tcPr>
          <w:p w14:paraId="3F62C5E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c>
          <w:tcPr>
            <w:tcW w:w="909" w:type="dxa"/>
            <w:noWrap w:val="0"/>
            <w:vAlign w:val="center"/>
          </w:tcPr>
          <w:p w14:paraId="4479543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r>
              <w:rPr>
                <w:rFonts w:hint="eastAsia" w:eastAsia="方正仿宋_GBK" w:cs="Times New Roman"/>
                <w:color w:val="auto"/>
                <w:szCs w:val="21"/>
                <w:lang w:val="en-US" w:eastAsia="zh-CN"/>
              </w:rPr>
              <w:t>10</w:t>
            </w:r>
          </w:p>
        </w:tc>
        <w:tc>
          <w:tcPr>
            <w:tcW w:w="1365" w:type="dxa"/>
            <w:noWrap w:val="0"/>
            <w:vAlign w:val="center"/>
          </w:tcPr>
          <w:p w14:paraId="46E5229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rPr>
              <w:t>★</w:t>
            </w:r>
            <w:r>
              <w:rPr>
                <w:rFonts w:hint="default" w:ascii="Times New Roman" w:hAnsi="Times New Roman" w:eastAsia="方正仿宋_GBK" w:cs="Times New Roman"/>
                <w:color w:val="auto"/>
                <w:szCs w:val="21"/>
                <w:lang w:val="en-US" w:eastAsia="zh-CN"/>
              </w:rPr>
              <w:t>井道</w:t>
            </w:r>
          </w:p>
        </w:tc>
        <w:tc>
          <w:tcPr>
            <w:tcW w:w="5331" w:type="dxa"/>
            <w:gridSpan w:val="2"/>
            <w:noWrap w:val="0"/>
            <w:vAlign w:val="center"/>
          </w:tcPr>
          <w:p w14:paraId="6030A826">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highlight w:val="none"/>
                <w:lang w:val="en-US" w:eastAsia="zh-CN"/>
              </w:rPr>
            </w:pPr>
            <w:r>
              <w:rPr>
                <w:rFonts w:hint="eastAsia" w:eastAsia="方正仿宋_GBK" w:cs="Times New Roman"/>
                <w:color w:val="auto"/>
                <w:szCs w:val="21"/>
                <w:highlight w:val="none"/>
                <w:lang w:val="en-US" w:eastAsia="zh-CN"/>
              </w:rPr>
              <w:t>10.1</w:t>
            </w:r>
            <w:r>
              <w:rPr>
                <w:rFonts w:hint="default" w:ascii="Times New Roman" w:hAnsi="Times New Roman" w:eastAsia="方正仿宋_GBK" w:cs="Times New Roman"/>
                <w:color w:val="auto"/>
                <w:szCs w:val="21"/>
                <w:highlight w:val="none"/>
                <w:lang w:val="en-US" w:eastAsia="zh-CN"/>
              </w:rPr>
              <w:t>材质备注名称截面构件：</w:t>
            </w:r>
          </w:p>
          <w:p w14:paraId="21845DFB">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highlight w:val="none"/>
                <w:lang w:val="en-US" w:eastAsia="zh-CN"/>
              </w:rPr>
            </w:pPr>
            <w:r>
              <w:rPr>
                <w:rFonts w:hint="default" w:ascii="Times New Roman" w:hAnsi="Times New Roman" w:eastAsia="方正仿宋_GBK" w:cs="Times New Roman"/>
                <w:color w:val="auto"/>
                <w:szCs w:val="21"/>
                <w:highlight w:val="none"/>
                <w:lang w:val="en-US" w:eastAsia="zh-CN"/>
              </w:rPr>
              <w:t>框架柱方管200x200x8.0</w:t>
            </w:r>
            <w:r>
              <w:rPr>
                <w:rFonts w:hint="eastAsia" w:eastAsia="方正仿宋_GBK" w:cs="Times New Roman"/>
                <w:color w:val="auto"/>
                <w:szCs w:val="21"/>
                <w:highlight w:val="none"/>
                <w:lang w:val="en-US" w:eastAsia="zh-CN"/>
              </w:rPr>
              <w:t xml:space="preserve">  </w:t>
            </w:r>
            <w:r>
              <w:rPr>
                <w:rFonts w:hint="default" w:ascii="Times New Roman" w:hAnsi="Times New Roman" w:eastAsia="方正仿宋_GBK" w:cs="Times New Roman"/>
                <w:color w:val="auto"/>
                <w:szCs w:val="21"/>
                <w:highlight w:val="none"/>
                <w:lang w:val="en-US" w:eastAsia="zh-CN"/>
              </w:rPr>
              <w:t>GZ</w:t>
            </w:r>
            <w:r>
              <w:rPr>
                <w:rFonts w:hint="eastAsia" w:eastAsia="方正仿宋_GBK" w:cs="Times New Roman"/>
                <w:color w:val="auto"/>
                <w:szCs w:val="21"/>
                <w:highlight w:val="none"/>
                <w:lang w:val="en-US" w:eastAsia="zh-CN"/>
              </w:rPr>
              <w:t xml:space="preserve">/Q235B </w:t>
            </w:r>
          </w:p>
          <w:p w14:paraId="26F41E35">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highlight w:val="none"/>
                <w:lang w:val="en-US" w:eastAsia="zh-CN"/>
              </w:rPr>
            </w:pPr>
            <w:r>
              <w:rPr>
                <w:rFonts w:hint="eastAsia" w:eastAsia="方正仿宋_GBK" w:cs="Times New Roman"/>
                <w:color w:val="auto"/>
                <w:szCs w:val="21"/>
                <w:highlight w:val="none"/>
                <w:lang w:val="en-US" w:eastAsia="zh-CN"/>
              </w:rPr>
              <w:t>10.2</w:t>
            </w:r>
            <w:r>
              <w:rPr>
                <w:rFonts w:hint="default" w:ascii="Times New Roman" w:hAnsi="Times New Roman" w:eastAsia="方正仿宋_GBK" w:cs="Times New Roman"/>
                <w:color w:val="auto"/>
                <w:szCs w:val="21"/>
                <w:highlight w:val="none"/>
                <w:lang w:val="en-US" w:eastAsia="zh-CN"/>
              </w:rPr>
              <w:t>电梯井立面：</w:t>
            </w:r>
          </w:p>
          <w:p w14:paraId="5AC78497">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highlight w:val="none"/>
                <w:lang w:val="en-US" w:eastAsia="zh-CN"/>
              </w:rPr>
            </w:pPr>
            <w:r>
              <w:rPr>
                <w:rFonts w:hint="default" w:ascii="Times New Roman" w:hAnsi="Times New Roman" w:eastAsia="方正仿宋_GBK" w:cs="Times New Roman"/>
                <w:color w:val="auto"/>
                <w:szCs w:val="21"/>
                <w:highlight w:val="none"/>
                <w:lang w:val="en-US" w:eastAsia="zh-CN"/>
              </w:rPr>
              <w:t>框架梁矩 200x150x5.0</w:t>
            </w:r>
            <w:r>
              <w:rPr>
                <w:rFonts w:hint="eastAsia" w:eastAsia="方正仿宋_GBK" w:cs="Times New Roman"/>
                <w:color w:val="auto"/>
                <w:szCs w:val="21"/>
                <w:highlight w:val="none"/>
                <w:lang w:val="en-US" w:eastAsia="zh-CN"/>
              </w:rPr>
              <w:t xml:space="preserve">  GKL1/Q235B </w:t>
            </w:r>
          </w:p>
          <w:p w14:paraId="2B614DBB">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highlight w:val="none"/>
                <w:lang w:val="en-US" w:eastAsia="zh-CN"/>
              </w:rPr>
            </w:pPr>
            <w:r>
              <w:rPr>
                <w:rFonts w:hint="eastAsia" w:eastAsia="方正仿宋_GBK" w:cs="Times New Roman"/>
                <w:color w:val="auto"/>
                <w:szCs w:val="21"/>
                <w:highlight w:val="none"/>
                <w:lang w:val="en-US" w:eastAsia="zh-CN"/>
              </w:rPr>
              <w:t>10.3</w:t>
            </w:r>
            <w:r>
              <w:rPr>
                <w:rFonts w:hint="default" w:ascii="Times New Roman" w:hAnsi="Times New Roman" w:eastAsia="方正仿宋_GBK" w:cs="Times New Roman"/>
                <w:color w:val="auto"/>
                <w:szCs w:val="21"/>
                <w:highlight w:val="none"/>
                <w:lang w:val="en-US" w:eastAsia="zh-CN"/>
              </w:rPr>
              <w:t>电梯井立面：</w:t>
            </w:r>
          </w:p>
          <w:p w14:paraId="7262B6C9">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highlight w:val="none"/>
                <w:lang w:val="en-US" w:eastAsia="zh-CN"/>
              </w:rPr>
            </w:pPr>
            <w:r>
              <w:rPr>
                <w:rFonts w:hint="default" w:ascii="Times New Roman" w:hAnsi="Times New Roman" w:eastAsia="方正仿宋_GBK" w:cs="Times New Roman"/>
                <w:color w:val="auto"/>
                <w:szCs w:val="21"/>
                <w:highlight w:val="none"/>
                <w:lang w:val="en-US" w:eastAsia="zh-CN"/>
              </w:rPr>
              <w:t>方管50x50x3.0</w:t>
            </w:r>
            <w:r>
              <w:rPr>
                <w:rFonts w:hint="eastAsia" w:eastAsia="方正仿宋_GBK" w:cs="Times New Roman"/>
                <w:color w:val="auto"/>
                <w:szCs w:val="21"/>
                <w:highlight w:val="none"/>
                <w:lang w:val="en-US" w:eastAsia="zh-CN"/>
              </w:rPr>
              <w:t xml:space="preserve">  GKL2/Q235B </w:t>
            </w:r>
          </w:p>
          <w:p w14:paraId="5ECBABE7">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highlight w:val="none"/>
                <w:lang w:val="en-US" w:eastAsia="zh-CN"/>
              </w:rPr>
            </w:pPr>
            <w:r>
              <w:rPr>
                <w:rFonts w:hint="default" w:ascii="Times New Roman" w:hAnsi="Times New Roman" w:eastAsia="方正仿宋_GBK" w:cs="Times New Roman"/>
                <w:color w:val="auto"/>
                <w:szCs w:val="21"/>
                <w:highlight w:val="none"/>
                <w:lang w:val="en-US" w:eastAsia="zh-CN"/>
              </w:rPr>
              <w:t>框架梁方管100x4.0钢梁</w:t>
            </w:r>
            <w:r>
              <w:rPr>
                <w:rFonts w:hint="eastAsia" w:eastAsia="方正仿宋_GBK" w:cs="Times New Roman"/>
                <w:color w:val="auto"/>
                <w:szCs w:val="21"/>
                <w:highlight w:val="none"/>
                <w:lang w:val="en-US" w:eastAsia="zh-CN"/>
              </w:rPr>
              <w:t xml:space="preserve"> MZ/Q235B </w:t>
            </w:r>
          </w:p>
          <w:p w14:paraId="26E68598">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highlight w:val="none"/>
                <w:lang w:val="en-US" w:eastAsia="zh-CN"/>
              </w:rPr>
            </w:pPr>
            <w:r>
              <w:rPr>
                <w:rFonts w:hint="eastAsia" w:eastAsia="方正仿宋_GBK" w:cs="Times New Roman"/>
                <w:color w:val="auto"/>
                <w:szCs w:val="21"/>
                <w:highlight w:val="none"/>
                <w:lang w:val="en-US" w:eastAsia="zh-CN"/>
              </w:rPr>
              <w:t>10.4</w:t>
            </w:r>
            <w:r>
              <w:rPr>
                <w:rFonts w:hint="default" w:ascii="Times New Roman" w:hAnsi="Times New Roman" w:eastAsia="方正仿宋_GBK" w:cs="Times New Roman"/>
                <w:color w:val="auto"/>
                <w:szCs w:val="21"/>
                <w:highlight w:val="none"/>
                <w:lang w:val="en-US" w:eastAsia="zh-CN"/>
              </w:rPr>
              <w:t>电梯井道外围：</w:t>
            </w:r>
          </w:p>
          <w:p w14:paraId="6CB6A7EE">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left"/>
              <w:textAlignment w:val="auto"/>
              <w:rPr>
                <w:rFonts w:hint="default"/>
                <w:color w:val="auto"/>
                <w:lang w:val="en-US" w:eastAsia="zh-CN"/>
              </w:rPr>
            </w:pPr>
            <w:r>
              <w:rPr>
                <w:rFonts w:hint="eastAsia" w:eastAsia="方正仿宋_GBK" w:cs="Times New Roman"/>
                <w:color w:val="auto"/>
                <w:szCs w:val="21"/>
                <w:highlight w:val="none"/>
                <w:lang w:val="en-US" w:eastAsia="zh-CN"/>
              </w:rPr>
              <w:t>防雨隔热复合板或者雕花板。厚度不小于20mm</w:t>
            </w:r>
            <w:r>
              <w:rPr>
                <w:rFonts w:hint="default" w:ascii="Times New Roman" w:hAnsi="Times New Roman" w:eastAsia="方正仿宋_GBK" w:cs="Times New Roman"/>
                <w:color w:val="auto"/>
                <w:szCs w:val="21"/>
                <w:highlight w:val="none"/>
                <w:lang w:val="en-US" w:eastAsia="zh-CN"/>
              </w:rPr>
              <w:t>。</w:t>
            </w:r>
          </w:p>
        </w:tc>
        <w:tc>
          <w:tcPr>
            <w:tcW w:w="945" w:type="dxa"/>
            <w:vMerge w:val="continue"/>
            <w:noWrap w:val="0"/>
            <w:vAlign w:val="center"/>
          </w:tcPr>
          <w:p w14:paraId="7C4A6C92">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c>
          <w:tcPr>
            <w:tcW w:w="780" w:type="dxa"/>
            <w:vMerge w:val="continue"/>
            <w:noWrap w:val="0"/>
            <w:vAlign w:val="center"/>
          </w:tcPr>
          <w:p w14:paraId="66747504">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c>
          <w:tcPr>
            <w:tcW w:w="780" w:type="dxa"/>
            <w:vMerge w:val="continue"/>
            <w:noWrap w:val="0"/>
            <w:vAlign w:val="center"/>
          </w:tcPr>
          <w:p w14:paraId="6FEF2071">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r>
      <w:tr w14:paraId="1BE3A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3" w:type="dxa"/>
            <w:vMerge w:val="continue"/>
            <w:noWrap w:val="0"/>
            <w:vAlign w:val="center"/>
          </w:tcPr>
          <w:p w14:paraId="75CCFA0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c>
          <w:tcPr>
            <w:tcW w:w="909" w:type="dxa"/>
            <w:noWrap w:val="0"/>
            <w:vAlign w:val="center"/>
          </w:tcPr>
          <w:p w14:paraId="22C8158B">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r>
              <w:rPr>
                <w:rFonts w:hint="eastAsia" w:eastAsia="方正仿宋_GBK" w:cs="Times New Roman"/>
                <w:color w:val="auto"/>
                <w:szCs w:val="21"/>
                <w:lang w:val="en-US" w:eastAsia="zh-CN"/>
              </w:rPr>
              <w:t>11</w:t>
            </w:r>
          </w:p>
        </w:tc>
        <w:tc>
          <w:tcPr>
            <w:tcW w:w="1365" w:type="dxa"/>
            <w:noWrap w:val="0"/>
            <w:vAlign w:val="center"/>
          </w:tcPr>
          <w:p w14:paraId="107751D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rPr>
              <w:t>★</w:t>
            </w:r>
            <w:r>
              <w:rPr>
                <w:rFonts w:hint="default" w:ascii="Times New Roman" w:hAnsi="Times New Roman" w:eastAsia="方正仿宋_GBK" w:cs="Times New Roman"/>
                <w:color w:val="auto"/>
                <w:szCs w:val="21"/>
                <w:lang w:val="en-US" w:eastAsia="zh-CN"/>
              </w:rPr>
              <w:t>电力</w:t>
            </w:r>
          </w:p>
        </w:tc>
        <w:tc>
          <w:tcPr>
            <w:tcW w:w="5331" w:type="dxa"/>
            <w:gridSpan w:val="2"/>
            <w:noWrap w:val="0"/>
            <w:vAlign w:val="center"/>
          </w:tcPr>
          <w:p w14:paraId="4557D6B0">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rPr>
              <w:t>供电线路选用10平方毫米五芯铜芯电缆，线路敷设长度约150m；电缆全部穿保护套管敷设，布线走向、固定及间距均严格遵守电气安装规范要求，做到</w:t>
            </w:r>
            <w:r>
              <w:rPr>
                <w:rFonts w:hint="default" w:ascii="Times New Roman" w:hAnsi="Times New Roman" w:eastAsia="方正仿宋_GBK" w:cs="Times New Roman"/>
                <w:color w:val="auto"/>
                <w:szCs w:val="21"/>
                <w:lang w:eastAsia="zh-CN"/>
              </w:rPr>
              <w:t>排线规整、标准</w:t>
            </w:r>
            <w:r>
              <w:rPr>
                <w:rFonts w:hint="default" w:ascii="Times New Roman" w:hAnsi="Times New Roman" w:eastAsia="方正仿宋_GBK" w:cs="Times New Roman"/>
                <w:color w:val="auto"/>
                <w:szCs w:val="21"/>
              </w:rPr>
              <w:t>。</w:t>
            </w:r>
          </w:p>
        </w:tc>
        <w:tc>
          <w:tcPr>
            <w:tcW w:w="945" w:type="dxa"/>
            <w:vMerge w:val="continue"/>
            <w:noWrap w:val="0"/>
            <w:vAlign w:val="center"/>
          </w:tcPr>
          <w:p w14:paraId="54EEC925">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61CE0469">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70215F77">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r w14:paraId="0C7AE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jc w:val="center"/>
        </w:trPr>
        <w:tc>
          <w:tcPr>
            <w:tcW w:w="1273" w:type="dxa"/>
            <w:vMerge w:val="continue"/>
            <w:noWrap w:val="0"/>
            <w:vAlign w:val="center"/>
          </w:tcPr>
          <w:p w14:paraId="21CBE9AF">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p>
        </w:tc>
        <w:tc>
          <w:tcPr>
            <w:tcW w:w="909" w:type="dxa"/>
            <w:noWrap w:val="0"/>
            <w:vAlign w:val="center"/>
          </w:tcPr>
          <w:p w14:paraId="4A6F3787">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r>
              <w:rPr>
                <w:rFonts w:hint="eastAsia" w:eastAsia="方正仿宋_GBK" w:cs="Times New Roman"/>
                <w:color w:val="auto"/>
                <w:szCs w:val="21"/>
                <w:lang w:val="en-US" w:eastAsia="zh-CN"/>
              </w:rPr>
              <w:t>12</w:t>
            </w:r>
          </w:p>
        </w:tc>
        <w:tc>
          <w:tcPr>
            <w:tcW w:w="1365" w:type="dxa"/>
            <w:noWrap w:val="0"/>
            <w:vAlign w:val="center"/>
          </w:tcPr>
          <w:p w14:paraId="29DF918A">
            <w:pPr>
              <w:keepNext w:val="0"/>
              <w:keepLines w:val="0"/>
              <w:pageBreakBefore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lang w:val="en-US" w:eastAsia="zh-CN"/>
              </w:rPr>
            </w:pPr>
            <w:r>
              <w:rPr>
                <w:rFonts w:hint="default" w:ascii="Times New Roman" w:hAnsi="Times New Roman" w:eastAsia="方正仿宋_GBK" w:cs="Times New Roman"/>
                <w:color w:val="auto"/>
                <w:szCs w:val="21"/>
              </w:rPr>
              <w:t>★</w:t>
            </w:r>
            <w:r>
              <w:rPr>
                <w:rFonts w:hint="default" w:ascii="Times New Roman" w:hAnsi="Times New Roman" w:eastAsia="方正仿宋_GBK" w:cs="Times New Roman"/>
                <w:color w:val="auto"/>
                <w:szCs w:val="21"/>
                <w:lang w:val="en-US" w:eastAsia="zh-CN"/>
              </w:rPr>
              <w:t>门套</w:t>
            </w:r>
          </w:p>
        </w:tc>
        <w:tc>
          <w:tcPr>
            <w:tcW w:w="5331" w:type="dxa"/>
            <w:gridSpan w:val="2"/>
            <w:noWrap w:val="0"/>
            <w:vAlign w:val="center"/>
          </w:tcPr>
          <w:p w14:paraId="6DAFA19D">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left"/>
              <w:textAlignment w:val="auto"/>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szCs w:val="21"/>
              </w:rPr>
              <w:t>门套采用人造大理石或不锈钢制作安装，施工单位在门套安装施工前，必须提前与甲方对接沟通，确认门套款式、细部做法、收口处理等相关要求，经甲方确认同意后方可进行安装。</w:t>
            </w:r>
          </w:p>
        </w:tc>
        <w:tc>
          <w:tcPr>
            <w:tcW w:w="945" w:type="dxa"/>
            <w:vMerge w:val="continue"/>
            <w:noWrap w:val="0"/>
            <w:vAlign w:val="center"/>
          </w:tcPr>
          <w:p w14:paraId="10AB9AC9">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08065777">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c>
          <w:tcPr>
            <w:tcW w:w="780" w:type="dxa"/>
            <w:vMerge w:val="continue"/>
            <w:noWrap w:val="0"/>
            <w:vAlign w:val="center"/>
          </w:tcPr>
          <w:p w14:paraId="32C0ED10">
            <w:pPr>
              <w:keepNext w:val="0"/>
              <w:keepLines w:val="0"/>
              <w:pageBreakBefore w:val="0"/>
              <w:widowControl w:val="0"/>
              <w:tabs>
                <w:tab w:val="left" w:pos="2310"/>
              </w:tabs>
              <w:kinsoku/>
              <w:wordWrap/>
              <w:overflowPunct/>
              <w:topLinePunct w:val="0"/>
              <w:autoSpaceDE/>
              <w:autoSpaceDN/>
              <w:bidi w:val="0"/>
              <w:adjustRightInd/>
              <w:snapToGrid/>
              <w:spacing w:line="400" w:lineRule="atLeast"/>
              <w:jc w:val="center"/>
              <w:textAlignment w:val="auto"/>
              <w:rPr>
                <w:rFonts w:hint="default" w:ascii="Times New Roman" w:hAnsi="Times New Roman" w:eastAsia="方正仿宋_GBK" w:cs="Times New Roman"/>
                <w:color w:val="auto"/>
                <w:szCs w:val="21"/>
              </w:rPr>
            </w:pPr>
          </w:p>
        </w:tc>
      </w:tr>
    </w:tbl>
    <w:p w14:paraId="40DB3315">
      <w:pPr>
        <w:pStyle w:val="7"/>
        <w:rPr>
          <w:rFonts w:hint="eastAsia"/>
          <w:color w:val="auto"/>
          <w:lang w:val="en-US" w:eastAsia="zh-CN"/>
        </w:rPr>
      </w:pPr>
    </w:p>
    <w:p w14:paraId="7D4414CE">
      <w:pPr>
        <w:pStyle w:val="3"/>
        <w:pageBreakBefore w:val="0"/>
        <w:widowControl w:val="0"/>
        <w:kinsoku/>
        <w:wordWrap/>
        <w:overflowPunct/>
        <w:topLinePunct w:val="0"/>
        <w:autoSpaceDE/>
        <w:autoSpaceDN/>
        <w:bidi w:val="0"/>
        <w:adjustRightInd/>
        <w:snapToGrid/>
        <w:spacing w:before="0" w:after="0" w:line="560" w:lineRule="exact"/>
        <w:ind w:left="0" w:leftChars="0" w:right="0" w:rightChars="0" w:firstLine="0" w:firstLineChars="0"/>
        <w:jc w:val="both"/>
        <w:textAlignment w:val="auto"/>
        <w:rPr>
          <w:rFonts w:hint="eastAsia"/>
          <w:color w:val="auto"/>
          <w:sz w:val="28"/>
          <w:szCs w:val="28"/>
          <w:lang w:val="en-US" w:eastAsia="zh-CN"/>
        </w:rPr>
      </w:pPr>
      <w:bookmarkStart w:id="227" w:name="_Toc15857"/>
      <w:bookmarkStart w:id="228" w:name="_Toc11375"/>
      <w:bookmarkStart w:id="229" w:name="_Toc87449852"/>
      <w:bookmarkStart w:id="230" w:name="_Toc16615"/>
      <w:bookmarkStart w:id="231" w:name="_Toc85122595"/>
      <w:bookmarkStart w:id="232" w:name="_Toc12369_WPSOffice_Level2"/>
      <w:bookmarkStart w:id="233" w:name="_Toc8672"/>
      <w:r>
        <w:rPr>
          <w:rFonts w:hint="eastAsia"/>
          <w:color w:val="auto"/>
          <w:sz w:val="28"/>
          <w:szCs w:val="28"/>
          <w:lang w:val="en-US" w:eastAsia="zh-CN"/>
        </w:rPr>
        <w:t>四、商务要求</w:t>
      </w:r>
      <w:bookmarkEnd w:id="227"/>
      <w:bookmarkEnd w:id="228"/>
      <w:bookmarkEnd w:id="229"/>
      <w:bookmarkEnd w:id="230"/>
      <w:bookmarkEnd w:id="231"/>
      <w:bookmarkEnd w:id="232"/>
      <w:bookmarkEnd w:id="233"/>
    </w:p>
    <w:p w14:paraId="4F131FA7">
      <w:pPr>
        <w:pStyle w:val="4"/>
        <w:pageBreakBefore w:val="0"/>
        <w:widowControl w:val="0"/>
        <w:kinsoku/>
        <w:wordWrap/>
        <w:overflowPunct/>
        <w:topLinePunct w:val="0"/>
        <w:autoSpaceDE/>
        <w:autoSpaceDN/>
        <w:bidi w:val="0"/>
        <w:adjustRightInd/>
        <w:snapToGrid/>
        <w:spacing w:before="0" w:after="0" w:line="480" w:lineRule="exact"/>
        <w:ind w:left="0" w:leftChars="0" w:right="0" w:rightChars="0" w:firstLine="0" w:firstLineChars="0"/>
        <w:jc w:val="both"/>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（一）</w:t>
      </w:r>
      <w:r>
        <w:rPr>
          <w:rFonts w:hint="eastAsia" w:ascii="宋体" w:hAnsi="宋体" w:eastAsia="宋体" w:cs="宋体"/>
          <w:color w:val="auto"/>
          <w:sz w:val="24"/>
          <w:szCs w:val="24"/>
          <w:lang w:val="en-US" w:eastAsia="zh-CN"/>
        </w:rPr>
        <w:t>交货时间</w:t>
      </w:r>
    </w:p>
    <w:p w14:paraId="21359BDF">
      <w:pPr>
        <w:pStyle w:val="7"/>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自合同签订之日起</w:t>
      </w:r>
      <w:r>
        <w:rPr>
          <w:rFonts w:hint="eastAsia" w:ascii="宋体" w:hAnsi="宋体" w:cs="宋体"/>
          <w:color w:val="auto"/>
          <w:sz w:val="24"/>
          <w:szCs w:val="24"/>
          <w:highlight w:val="none"/>
          <w:lang w:val="en-US" w:eastAsia="zh-CN"/>
        </w:rPr>
        <w:t>40个日历</w:t>
      </w:r>
      <w:r>
        <w:rPr>
          <w:rFonts w:hint="eastAsia" w:ascii="宋体" w:hAnsi="宋体" w:eastAsia="宋体" w:cs="宋体"/>
          <w:color w:val="auto"/>
          <w:sz w:val="24"/>
          <w:szCs w:val="24"/>
          <w:highlight w:val="none"/>
          <w:lang w:val="en-US" w:eastAsia="zh-CN"/>
        </w:rPr>
        <w:t>天内</w:t>
      </w:r>
      <w:r>
        <w:rPr>
          <w:rFonts w:hint="eastAsia" w:ascii="宋体" w:hAnsi="宋体" w:cs="宋体"/>
          <w:color w:val="auto"/>
          <w:sz w:val="24"/>
          <w:szCs w:val="24"/>
          <w:highlight w:val="none"/>
          <w:lang w:val="en-US" w:eastAsia="zh-CN"/>
        </w:rPr>
        <w:t>完成现场土建及外挂井道施工，并完成电梯设备到货</w:t>
      </w:r>
      <w:r>
        <w:rPr>
          <w:rFonts w:hint="eastAsia" w:ascii="宋体" w:hAnsi="宋体" w:eastAsia="宋体" w:cs="宋体"/>
          <w:color w:val="auto"/>
          <w:sz w:val="24"/>
          <w:szCs w:val="24"/>
          <w:highlight w:val="none"/>
          <w:lang w:val="en-US" w:eastAsia="zh-CN"/>
        </w:rPr>
        <w:t>；安装调试工作须于20</w:t>
      </w:r>
      <w:r>
        <w:rPr>
          <w:rFonts w:hint="eastAsia" w:ascii="宋体" w:hAnsi="宋体" w:cs="宋体"/>
          <w:color w:val="auto"/>
          <w:sz w:val="24"/>
          <w:szCs w:val="24"/>
          <w:highlight w:val="none"/>
          <w:lang w:val="en-US" w:eastAsia="zh-CN"/>
        </w:rPr>
        <w:t>个日历</w:t>
      </w:r>
      <w:r>
        <w:rPr>
          <w:rFonts w:hint="eastAsia" w:ascii="宋体" w:hAnsi="宋体" w:eastAsia="宋体" w:cs="宋体"/>
          <w:color w:val="auto"/>
          <w:sz w:val="24"/>
          <w:szCs w:val="24"/>
          <w:highlight w:val="none"/>
          <w:lang w:val="en-US" w:eastAsia="zh-CN"/>
        </w:rPr>
        <w:t>天内全部完成。</w:t>
      </w:r>
    </w:p>
    <w:p w14:paraId="378C4622">
      <w:pPr>
        <w:pStyle w:val="4"/>
        <w:pageBreakBefore w:val="0"/>
        <w:widowControl w:val="0"/>
        <w:kinsoku/>
        <w:wordWrap/>
        <w:overflowPunct/>
        <w:topLinePunct w:val="0"/>
        <w:autoSpaceDE/>
        <w:autoSpaceDN/>
        <w:bidi w:val="0"/>
        <w:adjustRightInd/>
        <w:snapToGrid/>
        <w:spacing w:before="0" w:after="0" w:line="480" w:lineRule="exact"/>
        <w:ind w:left="0" w:leftChars="0" w:right="0" w:rightChars="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（二）</w:t>
      </w:r>
      <w:r>
        <w:rPr>
          <w:rFonts w:hint="eastAsia" w:ascii="宋体" w:hAnsi="宋体" w:eastAsia="宋体" w:cs="宋体"/>
          <w:color w:val="auto"/>
          <w:sz w:val="24"/>
          <w:szCs w:val="24"/>
          <w:lang w:val="en-US" w:eastAsia="zh-CN"/>
        </w:rPr>
        <w:t>交货地点和方式</w:t>
      </w:r>
    </w:p>
    <w:p w14:paraId="0704A96D">
      <w:pPr>
        <w:pStyle w:val="7"/>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交货地点：文山市皮肤病防治站（文山市龙海路89号）</w:t>
      </w:r>
    </w:p>
    <w:p w14:paraId="17A664B6">
      <w:pPr>
        <w:pStyle w:val="7"/>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交货方式：供应商负责全程运输、卸货、搬运、现场安装、调试、清理，所有费用均包含在总报价内，采购人不另行支付任何费用。</w:t>
      </w:r>
    </w:p>
    <w:p w14:paraId="1502D117">
      <w:pPr>
        <w:pStyle w:val="4"/>
        <w:pageBreakBefore w:val="0"/>
        <w:widowControl w:val="0"/>
        <w:kinsoku/>
        <w:wordWrap/>
        <w:overflowPunct/>
        <w:topLinePunct w:val="0"/>
        <w:autoSpaceDE/>
        <w:autoSpaceDN/>
        <w:bidi w:val="0"/>
        <w:adjustRightInd/>
        <w:snapToGrid/>
        <w:spacing w:before="0" w:after="0" w:line="480" w:lineRule="exact"/>
        <w:ind w:left="0" w:leftChars="0" w:right="0" w:rightChars="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（三）</w:t>
      </w:r>
      <w:r>
        <w:rPr>
          <w:rFonts w:hint="eastAsia" w:ascii="宋体" w:hAnsi="宋体" w:eastAsia="宋体" w:cs="宋体"/>
          <w:color w:val="auto"/>
          <w:sz w:val="24"/>
          <w:szCs w:val="24"/>
          <w:lang w:val="en-US" w:eastAsia="zh-CN"/>
        </w:rPr>
        <w:t>付款进度和支付方式</w:t>
      </w:r>
    </w:p>
    <w:p w14:paraId="009E28CF">
      <w:pPr>
        <w:pStyle w:val="7"/>
        <w:spacing w:line="400" w:lineRule="exact"/>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合同签订后，待</w:t>
      </w:r>
      <w:r>
        <w:rPr>
          <w:rFonts w:hint="default" w:ascii="宋体" w:hAnsi="宋体" w:cs="宋体"/>
          <w:color w:val="auto"/>
          <w:sz w:val="24"/>
          <w:szCs w:val="24"/>
          <w:highlight w:val="none"/>
          <w:lang w:val="en-US" w:eastAsia="zh-CN"/>
        </w:rPr>
        <w:t>土建及</w:t>
      </w:r>
      <w:r>
        <w:rPr>
          <w:rFonts w:hint="eastAsia" w:ascii="宋体" w:hAnsi="宋体" w:cs="宋体"/>
          <w:color w:val="auto"/>
          <w:sz w:val="24"/>
          <w:szCs w:val="24"/>
          <w:highlight w:val="none"/>
          <w:lang w:val="en-US" w:eastAsia="zh-CN"/>
        </w:rPr>
        <w:t>外挂</w:t>
      </w:r>
      <w:r>
        <w:rPr>
          <w:rFonts w:hint="default" w:ascii="宋体" w:hAnsi="宋体" w:cs="宋体"/>
          <w:color w:val="auto"/>
          <w:sz w:val="24"/>
          <w:szCs w:val="24"/>
          <w:highlight w:val="none"/>
          <w:lang w:val="en-US" w:eastAsia="zh-CN"/>
        </w:rPr>
        <w:t>井道施工</w:t>
      </w:r>
      <w:r>
        <w:rPr>
          <w:rFonts w:hint="eastAsia" w:ascii="宋体" w:hAnsi="宋体" w:cs="宋体"/>
          <w:color w:val="auto"/>
          <w:sz w:val="24"/>
          <w:szCs w:val="24"/>
          <w:highlight w:val="none"/>
          <w:lang w:val="en-US" w:eastAsia="zh-CN"/>
        </w:rPr>
        <w:t>完成、</w:t>
      </w:r>
      <w:r>
        <w:rPr>
          <w:rFonts w:hint="eastAsia" w:ascii="宋体" w:hAnsi="宋体" w:cs="宋体"/>
          <w:color w:val="auto"/>
          <w:sz w:val="24"/>
          <w:szCs w:val="24"/>
          <w:highlight w:val="none"/>
          <w:lang w:eastAsia="zh-CN"/>
        </w:rPr>
        <w:t>电梯设备到货并经采购人开箱验收合格，且成交供应商开具合法有效发票后7个工作日内，支付合同总价款的</w:t>
      </w:r>
      <w:r>
        <w:rPr>
          <w:rFonts w:hint="eastAsia" w:ascii="宋体" w:hAnsi="宋体" w:cs="宋体"/>
          <w:color w:val="auto"/>
          <w:sz w:val="24"/>
          <w:szCs w:val="24"/>
          <w:highlight w:val="none"/>
          <w:lang w:val="en-US" w:eastAsia="zh-CN"/>
        </w:rPr>
        <w:t>40</w:t>
      </w:r>
      <w:r>
        <w:rPr>
          <w:rFonts w:hint="eastAsia" w:ascii="宋体" w:hAnsi="宋体" w:cs="宋体"/>
          <w:color w:val="auto"/>
          <w:sz w:val="24"/>
          <w:szCs w:val="24"/>
          <w:highlight w:val="none"/>
          <w:lang w:eastAsia="zh-CN"/>
        </w:rPr>
        <w:t>%；待电梯安装调试完毕、通过特种设备监督检验并取得使用标志、完成最终综合竣工验收合格，且成交供应商开具合法有效发票后1个月内，支付合同总价款的</w:t>
      </w:r>
      <w:r>
        <w:rPr>
          <w:rFonts w:hint="eastAsia" w:ascii="宋体" w:hAnsi="宋体" w:cs="宋体"/>
          <w:color w:val="auto"/>
          <w:sz w:val="24"/>
          <w:szCs w:val="24"/>
          <w:highlight w:val="none"/>
          <w:lang w:val="en-US" w:eastAsia="zh-CN"/>
        </w:rPr>
        <w:t>60</w:t>
      </w:r>
      <w:r>
        <w:rPr>
          <w:rFonts w:hint="eastAsia" w:ascii="宋体" w:hAnsi="宋体" w:cs="宋体"/>
          <w:color w:val="auto"/>
          <w:sz w:val="24"/>
          <w:szCs w:val="24"/>
          <w:highlight w:val="none"/>
          <w:lang w:eastAsia="zh-CN"/>
        </w:rPr>
        <w:t>%。</w:t>
      </w:r>
    </w:p>
    <w:p w14:paraId="1852D5C0">
      <w:pPr>
        <w:pStyle w:val="4"/>
        <w:pageBreakBefore w:val="0"/>
        <w:widowControl w:val="0"/>
        <w:kinsoku/>
        <w:wordWrap/>
        <w:overflowPunct/>
        <w:topLinePunct w:val="0"/>
        <w:autoSpaceDE/>
        <w:autoSpaceDN/>
        <w:bidi w:val="0"/>
        <w:adjustRightInd/>
        <w:snapToGrid/>
        <w:spacing w:before="0" w:after="0" w:line="480" w:lineRule="exact"/>
        <w:ind w:left="0" w:leftChars="0" w:right="0" w:rightChars="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（四）</w:t>
      </w:r>
      <w:r>
        <w:rPr>
          <w:rFonts w:hint="eastAsia" w:ascii="宋体" w:hAnsi="宋体" w:eastAsia="宋体" w:cs="宋体"/>
          <w:color w:val="auto"/>
          <w:sz w:val="24"/>
          <w:szCs w:val="24"/>
          <w:lang w:val="en-US" w:eastAsia="zh-CN"/>
        </w:rPr>
        <w:t>验收标准和方法</w:t>
      </w:r>
    </w:p>
    <w:p w14:paraId="3C2C877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cs="宋体"/>
          <w:b/>
          <w:bCs/>
          <w:color w:val="auto"/>
          <w:kern w:val="0"/>
          <w:sz w:val="24"/>
          <w:szCs w:val="24"/>
          <w:lang w:val="en-US" w:eastAsia="zh-CN" w:bidi="ar"/>
        </w:rPr>
      </w:pPr>
      <w:r>
        <w:rPr>
          <w:rFonts w:hint="eastAsia" w:ascii="宋体" w:hAnsi="宋体" w:cs="宋体"/>
          <w:b/>
          <w:bCs/>
          <w:color w:val="auto"/>
          <w:kern w:val="0"/>
          <w:sz w:val="24"/>
          <w:szCs w:val="24"/>
          <w:lang w:val="en-US" w:eastAsia="zh-CN" w:bidi="ar"/>
        </w:rPr>
        <w:t>1.验收依据</w:t>
      </w:r>
    </w:p>
    <w:p w14:paraId="65FE77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1.1</w:t>
      </w:r>
      <w:r>
        <w:rPr>
          <w:rFonts w:hint="default" w:ascii="宋体" w:hAnsi="宋体" w:eastAsia="宋体" w:cs="宋体"/>
          <w:color w:val="auto"/>
          <w:kern w:val="0"/>
          <w:sz w:val="24"/>
          <w:szCs w:val="24"/>
          <w:lang w:val="en-US" w:eastAsia="zh-CN" w:bidi="ar"/>
        </w:rPr>
        <w:t>国家现行规范标准：GB/T 7588.1—2020《电梯制造与安装安全规范 第 1 部分》、GB/T10060</w:t>
      </w:r>
      <w:r>
        <w:rPr>
          <w:rFonts w:hint="default" w:ascii="宋体" w:hAnsi="宋体" w:eastAsia="宋体" w:cs="宋体"/>
          <w:color w:val="auto"/>
          <w:kern w:val="0"/>
          <w:sz w:val="24"/>
          <w:szCs w:val="24"/>
          <w:lang w:val="en-US" w:eastAsia="zh-CN" w:bidi="ar"/>
        </w:rPr>
        <w:noBreakHyphen/>
      </w:r>
      <w:r>
        <w:rPr>
          <w:rFonts w:hint="default" w:ascii="宋体" w:hAnsi="宋体" w:eastAsia="宋体" w:cs="宋体"/>
          <w:color w:val="auto"/>
          <w:kern w:val="0"/>
          <w:sz w:val="24"/>
          <w:szCs w:val="24"/>
          <w:lang w:val="en-US" w:eastAsia="zh-CN" w:bidi="ar"/>
        </w:rPr>
        <w:t xml:space="preserve">2023《电梯安装验收规范》、特种设备安全技术规范及市场监管部门电梯监督检验相关规定。 </w:t>
      </w:r>
    </w:p>
    <w:p w14:paraId="4F66D3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1.2谈判</w:t>
      </w:r>
      <w:r>
        <w:rPr>
          <w:rFonts w:hint="default" w:ascii="宋体" w:hAnsi="宋体" w:eastAsia="宋体" w:cs="宋体"/>
          <w:color w:val="auto"/>
          <w:kern w:val="0"/>
          <w:sz w:val="24"/>
          <w:szCs w:val="24"/>
          <w:lang w:val="en-US" w:eastAsia="zh-CN" w:bidi="ar"/>
        </w:rPr>
        <w:t>文件技术参数、</w:t>
      </w:r>
      <w:r>
        <w:rPr>
          <w:rFonts w:hint="eastAsia" w:ascii="宋体" w:hAnsi="宋体" w:cs="宋体"/>
          <w:color w:val="auto"/>
          <w:kern w:val="0"/>
          <w:sz w:val="24"/>
          <w:szCs w:val="24"/>
          <w:lang w:val="en-US" w:eastAsia="zh-CN" w:bidi="ar"/>
        </w:rPr>
        <w:t>供应商</w:t>
      </w:r>
      <w:r>
        <w:rPr>
          <w:rFonts w:hint="default" w:ascii="宋体" w:hAnsi="宋体" w:eastAsia="宋体" w:cs="宋体"/>
          <w:color w:val="auto"/>
          <w:kern w:val="0"/>
          <w:sz w:val="24"/>
          <w:szCs w:val="24"/>
          <w:lang w:val="en-US" w:eastAsia="zh-CN" w:bidi="ar"/>
        </w:rPr>
        <w:t xml:space="preserve">投标响应文件、图纸、技术协议、甲方确认的装饰及功能要求。 </w:t>
      </w:r>
    </w:p>
    <w:p w14:paraId="338912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1.3</w:t>
      </w:r>
      <w:r>
        <w:rPr>
          <w:rFonts w:hint="default" w:ascii="宋体" w:hAnsi="宋体" w:eastAsia="宋体" w:cs="宋体"/>
          <w:color w:val="auto"/>
          <w:kern w:val="0"/>
          <w:sz w:val="24"/>
          <w:szCs w:val="24"/>
          <w:lang w:val="en-US" w:eastAsia="zh-CN" w:bidi="ar"/>
        </w:rPr>
        <w:t xml:space="preserve">所有安全部件必须具备有效的型式试验证书；电梯必须通过特种设备监督检验机构监检合格，取得监督检验报告及特种设备使用标志，完成使用登记，方可视为法定验收通过。 </w:t>
      </w:r>
    </w:p>
    <w:p w14:paraId="21B402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1.4</w:t>
      </w:r>
      <w:r>
        <w:rPr>
          <w:rFonts w:hint="default" w:ascii="宋体" w:hAnsi="宋体" w:eastAsia="宋体" w:cs="宋体"/>
          <w:color w:val="auto"/>
          <w:kern w:val="0"/>
          <w:sz w:val="24"/>
          <w:szCs w:val="24"/>
          <w:lang w:val="en-US" w:eastAsia="zh-CN" w:bidi="ar"/>
        </w:rPr>
        <w:t>装饰、轿厢内饰、门套、照明、通风、标识、布线等外观及工艺质量满足</w:t>
      </w:r>
      <w:r>
        <w:rPr>
          <w:rFonts w:hint="eastAsia" w:ascii="宋体" w:hAnsi="宋体" w:cs="宋体"/>
          <w:color w:val="auto"/>
          <w:kern w:val="0"/>
          <w:sz w:val="24"/>
          <w:szCs w:val="24"/>
          <w:lang w:val="en-US" w:eastAsia="zh-CN" w:bidi="ar"/>
        </w:rPr>
        <w:t>采购人</w:t>
      </w:r>
      <w:r>
        <w:rPr>
          <w:rFonts w:hint="default" w:ascii="宋体" w:hAnsi="宋体" w:eastAsia="宋体" w:cs="宋体"/>
          <w:color w:val="auto"/>
          <w:kern w:val="0"/>
          <w:sz w:val="24"/>
          <w:szCs w:val="24"/>
          <w:lang w:val="en-US" w:eastAsia="zh-CN" w:bidi="ar"/>
        </w:rPr>
        <w:t>要求。</w:t>
      </w:r>
    </w:p>
    <w:p w14:paraId="7EE335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1.5</w:t>
      </w:r>
      <w:r>
        <w:rPr>
          <w:rFonts w:hint="default" w:ascii="宋体" w:hAnsi="宋体" w:eastAsia="宋体" w:cs="宋体"/>
          <w:color w:val="auto"/>
          <w:kern w:val="0"/>
          <w:sz w:val="24"/>
          <w:szCs w:val="24"/>
          <w:lang w:val="en-US" w:eastAsia="zh-CN" w:bidi="ar"/>
        </w:rPr>
        <w:t>验收合格定义：资料齐全、安全项目全部合格、各项功能正常、法定监检通过，</w:t>
      </w:r>
      <w:r>
        <w:rPr>
          <w:rFonts w:hint="eastAsia" w:ascii="宋体" w:hAnsi="宋体" w:cs="宋体"/>
          <w:color w:val="auto"/>
          <w:kern w:val="0"/>
          <w:sz w:val="24"/>
          <w:szCs w:val="24"/>
          <w:lang w:val="en-US" w:eastAsia="zh-CN" w:bidi="ar"/>
        </w:rPr>
        <w:t>采购人</w:t>
      </w:r>
      <w:r>
        <w:rPr>
          <w:rFonts w:hint="default" w:ascii="宋体" w:hAnsi="宋体" w:eastAsia="宋体" w:cs="宋体"/>
          <w:color w:val="auto"/>
          <w:kern w:val="0"/>
          <w:sz w:val="24"/>
          <w:szCs w:val="24"/>
          <w:lang w:val="en-US" w:eastAsia="zh-CN" w:bidi="ar"/>
        </w:rPr>
        <w:t>组织综合验收无重大缺陷。</w:t>
      </w:r>
    </w:p>
    <w:p w14:paraId="169EB8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cs="宋体"/>
          <w:b/>
          <w:bCs/>
          <w:color w:val="auto"/>
          <w:kern w:val="0"/>
          <w:sz w:val="24"/>
          <w:szCs w:val="24"/>
          <w:lang w:val="en-US" w:eastAsia="zh-CN" w:bidi="ar"/>
        </w:rPr>
      </w:pPr>
      <w:r>
        <w:rPr>
          <w:rFonts w:hint="eastAsia" w:ascii="宋体" w:hAnsi="宋体" w:cs="宋体"/>
          <w:b/>
          <w:bCs/>
          <w:color w:val="auto"/>
          <w:kern w:val="0"/>
          <w:sz w:val="24"/>
          <w:szCs w:val="24"/>
          <w:lang w:val="en-US" w:eastAsia="zh-CN" w:bidi="ar"/>
        </w:rPr>
        <w:t xml:space="preserve">2. </w:t>
      </w:r>
      <w:r>
        <w:rPr>
          <w:rFonts w:hint="default" w:ascii="宋体" w:hAnsi="宋体" w:cs="宋体"/>
          <w:b/>
          <w:bCs/>
          <w:color w:val="auto"/>
          <w:kern w:val="0"/>
          <w:sz w:val="24"/>
          <w:szCs w:val="24"/>
          <w:lang w:val="en-US" w:eastAsia="zh-CN" w:bidi="ar"/>
        </w:rPr>
        <w:t>验收阶段划分（验收方法、流程）</w:t>
      </w:r>
    </w:p>
    <w:p w14:paraId="3B113D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cs="宋体"/>
          <w:b/>
          <w:bCs/>
          <w:color w:val="auto"/>
          <w:kern w:val="0"/>
          <w:sz w:val="24"/>
          <w:szCs w:val="24"/>
          <w:lang w:val="en-US" w:eastAsia="zh-CN" w:bidi="ar"/>
        </w:rPr>
      </w:pPr>
      <w:r>
        <w:rPr>
          <w:rFonts w:hint="eastAsia" w:ascii="宋体" w:hAnsi="宋体" w:cs="宋体"/>
          <w:b/>
          <w:bCs/>
          <w:color w:val="auto"/>
          <w:kern w:val="0"/>
          <w:sz w:val="24"/>
          <w:szCs w:val="24"/>
          <w:lang w:val="en-US" w:eastAsia="zh-CN" w:bidi="ar"/>
        </w:rPr>
        <w:t>2.1</w:t>
      </w:r>
      <w:r>
        <w:rPr>
          <w:rFonts w:hint="default" w:ascii="宋体" w:hAnsi="宋体" w:cs="宋体"/>
          <w:b/>
          <w:bCs/>
          <w:color w:val="auto"/>
          <w:kern w:val="0"/>
          <w:sz w:val="24"/>
          <w:szCs w:val="24"/>
          <w:lang w:val="en-US" w:eastAsia="zh-CN" w:bidi="ar"/>
        </w:rPr>
        <w:t>开箱进场验收（到货验收）</w:t>
      </w:r>
    </w:p>
    <w:p w14:paraId="1C9A20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2.1.1</w:t>
      </w:r>
      <w:r>
        <w:rPr>
          <w:rFonts w:hint="default" w:ascii="宋体" w:hAnsi="宋体" w:cs="宋体"/>
          <w:color w:val="auto"/>
          <w:kern w:val="0"/>
          <w:sz w:val="24"/>
          <w:szCs w:val="24"/>
          <w:lang w:val="en-US" w:eastAsia="zh-CN" w:bidi="ar"/>
        </w:rPr>
        <w:t>验收组织：</w:t>
      </w:r>
      <w:r>
        <w:rPr>
          <w:rFonts w:hint="eastAsia" w:ascii="宋体" w:hAnsi="宋体" w:cs="宋体"/>
          <w:color w:val="auto"/>
          <w:kern w:val="0"/>
          <w:sz w:val="24"/>
          <w:szCs w:val="24"/>
          <w:lang w:val="en-US" w:eastAsia="zh-CN" w:bidi="ar"/>
        </w:rPr>
        <w:t>采购人</w:t>
      </w:r>
      <w:r>
        <w:rPr>
          <w:rFonts w:hint="default" w:ascii="宋体" w:hAnsi="宋体" w:cs="宋体"/>
          <w:color w:val="auto"/>
          <w:kern w:val="0"/>
          <w:sz w:val="24"/>
          <w:szCs w:val="24"/>
          <w:lang w:val="en-US" w:eastAsia="zh-CN" w:bidi="ar"/>
        </w:rPr>
        <w:t>、监理单位、</w:t>
      </w:r>
      <w:r>
        <w:rPr>
          <w:rFonts w:hint="eastAsia" w:ascii="宋体" w:hAnsi="宋体" w:cs="宋体"/>
          <w:color w:val="auto"/>
          <w:kern w:val="0"/>
          <w:sz w:val="24"/>
          <w:szCs w:val="24"/>
          <w:lang w:val="en-US" w:eastAsia="zh-CN" w:bidi="ar"/>
        </w:rPr>
        <w:t>成交供应商</w:t>
      </w:r>
      <w:r>
        <w:rPr>
          <w:rFonts w:hint="default" w:ascii="宋体" w:hAnsi="宋体" w:cs="宋体"/>
          <w:color w:val="auto"/>
          <w:kern w:val="0"/>
          <w:sz w:val="24"/>
          <w:szCs w:val="24"/>
          <w:lang w:val="en-US" w:eastAsia="zh-CN" w:bidi="ar"/>
        </w:rPr>
        <w:t>共同到场开箱查验。</w:t>
      </w:r>
    </w:p>
    <w:p w14:paraId="1A550E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2.1.2</w:t>
      </w:r>
      <w:r>
        <w:rPr>
          <w:rFonts w:hint="default" w:ascii="宋体" w:hAnsi="宋体" w:cs="宋体"/>
          <w:color w:val="auto"/>
          <w:kern w:val="0"/>
          <w:sz w:val="24"/>
          <w:szCs w:val="24"/>
          <w:lang w:val="en-US" w:eastAsia="zh-CN" w:bidi="ar"/>
        </w:rPr>
        <w:t>验收内容及方法：</w:t>
      </w:r>
      <w:r>
        <w:rPr>
          <w:rFonts w:hint="eastAsia" w:ascii="宋体" w:hAnsi="宋体" w:cs="宋体"/>
          <w:color w:val="auto"/>
          <w:kern w:val="0"/>
          <w:sz w:val="24"/>
          <w:szCs w:val="24"/>
          <w:lang w:val="en-US" w:eastAsia="zh-CN" w:bidi="ar"/>
        </w:rPr>
        <w:t>①</w:t>
      </w:r>
      <w:r>
        <w:rPr>
          <w:rFonts w:hint="default" w:ascii="宋体" w:hAnsi="宋体" w:cs="宋体"/>
          <w:color w:val="auto"/>
          <w:kern w:val="0"/>
          <w:sz w:val="24"/>
          <w:szCs w:val="24"/>
          <w:lang w:val="en-US" w:eastAsia="zh-CN" w:bidi="ar"/>
        </w:rPr>
        <w:t>核对电梯型号、额定载重、速度、层站、主机、控制柜、门机、安全钳、限速器、缓冲器等主要部件铭牌、出厂合格证、型式试验报告；</w:t>
      </w:r>
      <w:r>
        <w:rPr>
          <w:rFonts w:hint="eastAsia" w:ascii="宋体" w:hAnsi="宋体" w:cs="宋体"/>
          <w:color w:val="auto"/>
          <w:kern w:val="0"/>
          <w:sz w:val="24"/>
          <w:szCs w:val="24"/>
          <w:lang w:val="en-US" w:eastAsia="zh-CN" w:bidi="ar"/>
        </w:rPr>
        <w:t>②</w:t>
      </w:r>
      <w:r>
        <w:rPr>
          <w:rFonts w:hint="default" w:ascii="宋体" w:hAnsi="宋体" w:cs="宋体"/>
          <w:color w:val="auto"/>
          <w:kern w:val="0"/>
          <w:sz w:val="24"/>
          <w:szCs w:val="24"/>
          <w:lang w:val="en-US" w:eastAsia="zh-CN" w:bidi="ar"/>
        </w:rPr>
        <w:t>清点设备、附件、备品备件、随机图纸资料，检查有无磕碰、变形、破损、锈蚀；</w:t>
      </w:r>
      <w:r>
        <w:rPr>
          <w:rFonts w:hint="eastAsia" w:ascii="宋体" w:hAnsi="宋体" w:cs="宋体"/>
          <w:color w:val="auto"/>
          <w:kern w:val="0"/>
          <w:sz w:val="24"/>
          <w:szCs w:val="24"/>
          <w:lang w:val="en-US" w:eastAsia="zh-CN" w:bidi="ar"/>
        </w:rPr>
        <w:t>③</w:t>
      </w:r>
      <w:r>
        <w:rPr>
          <w:rFonts w:hint="default" w:ascii="宋体" w:hAnsi="宋体" w:cs="宋体"/>
          <w:color w:val="auto"/>
          <w:kern w:val="0"/>
          <w:sz w:val="24"/>
          <w:szCs w:val="24"/>
          <w:lang w:val="en-US" w:eastAsia="zh-CN" w:bidi="ar"/>
        </w:rPr>
        <w:t>查验装箱单、出厂检验报告、安装说明书、电气原理图、维保手册等文件。</w:t>
      </w:r>
    </w:p>
    <w:p w14:paraId="0A0539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2.1.3</w:t>
      </w:r>
      <w:r>
        <w:rPr>
          <w:rFonts w:hint="default" w:ascii="宋体" w:hAnsi="宋体" w:cs="宋体"/>
          <w:color w:val="auto"/>
          <w:kern w:val="0"/>
          <w:sz w:val="24"/>
          <w:szCs w:val="24"/>
          <w:lang w:val="en-US" w:eastAsia="zh-CN" w:bidi="ar"/>
        </w:rPr>
        <w:t>判定：数量、规格与投标文件一致，外观完好，资料齐全为合格；缺失或损坏由</w:t>
      </w:r>
      <w:r>
        <w:rPr>
          <w:rFonts w:hint="eastAsia" w:ascii="宋体" w:hAnsi="宋体" w:cs="宋体"/>
          <w:color w:val="auto"/>
          <w:kern w:val="0"/>
          <w:sz w:val="24"/>
          <w:szCs w:val="24"/>
          <w:lang w:val="en-US" w:eastAsia="zh-CN" w:bidi="ar"/>
        </w:rPr>
        <w:t>成交供应商</w:t>
      </w:r>
      <w:r>
        <w:rPr>
          <w:rFonts w:hint="default" w:ascii="宋体" w:hAnsi="宋体" w:cs="宋体"/>
          <w:color w:val="auto"/>
          <w:kern w:val="0"/>
          <w:sz w:val="24"/>
          <w:szCs w:val="24"/>
          <w:lang w:val="en-US" w:eastAsia="zh-CN" w:bidi="ar"/>
        </w:rPr>
        <w:t>无偿补齐、更换，重新验收，产生费用由</w:t>
      </w:r>
      <w:r>
        <w:rPr>
          <w:rFonts w:hint="eastAsia" w:ascii="宋体" w:hAnsi="宋体" w:cs="宋体"/>
          <w:color w:val="auto"/>
          <w:kern w:val="0"/>
          <w:sz w:val="24"/>
          <w:szCs w:val="24"/>
          <w:lang w:val="en-US" w:eastAsia="zh-CN" w:bidi="ar"/>
        </w:rPr>
        <w:t>成交供应商</w:t>
      </w:r>
      <w:r>
        <w:rPr>
          <w:rFonts w:hint="default" w:ascii="宋体" w:hAnsi="宋体" w:cs="宋体"/>
          <w:color w:val="auto"/>
          <w:kern w:val="0"/>
          <w:sz w:val="24"/>
          <w:szCs w:val="24"/>
          <w:lang w:val="en-US" w:eastAsia="zh-CN" w:bidi="ar"/>
        </w:rPr>
        <w:t>承担。</w:t>
      </w:r>
    </w:p>
    <w:p w14:paraId="10221C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cs="宋体"/>
          <w:b/>
          <w:bCs/>
          <w:color w:val="auto"/>
          <w:kern w:val="0"/>
          <w:sz w:val="24"/>
          <w:szCs w:val="24"/>
          <w:lang w:val="en-US" w:eastAsia="zh-CN" w:bidi="ar"/>
        </w:rPr>
      </w:pPr>
      <w:r>
        <w:rPr>
          <w:rFonts w:hint="eastAsia" w:ascii="宋体" w:hAnsi="宋体" w:cs="宋体"/>
          <w:b/>
          <w:bCs/>
          <w:color w:val="auto"/>
          <w:kern w:val="0"/>
          <w:sz w:val="24"/>
          <w:szCs w:val="24"/>
          <w:lang w:val="en-US" w:eastAsia="zh-CN" w:bidi="ar"/>
        </w:rPr>
        <w:t>2.2</w:t>
      </w:r>
      <w:r>
        <w:rPr>
          <w:rFonts w:hint="default" w:ascii="宋体" w:hAnsi="宋体" w:cs="宋体"/>
          <w:b/>
          <w:bCs/>
          <w:color w:val="auto"/>
          <w:kern w:val="0"/>
          <w:sz w:val="24"/>
          <w:szCs w:val="24"/>
          <w:lang w:val="en-US" w:eastAsia="zh-CN" w:bidi="ar"/>
        </w:rPr>
        <w:t>安装完成自检及内部初验</w:t>
      </w:r>
    </w:p>
    <w:p w14:paraId="44CC15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2.2.1成交供应商</w:t>
      </w:r>
      <w:r>
        <w:rPr>
          <w:rFonts w:hint="default" w:ascii="宋体" w:hAnsi="宋体" w:cs="宋体"/>
          <w:color w:val="auto"/>
          <w:kern w:val="0"/>
          <w:sz w:val="24"/>
          <w:szCs w:val="24"/>
          <w:lang w:val="en-US" w:eastAsia="zh-CN" w:bidi="ar"/>
        </w:rPr>
        <w:t>完成全部安装、布线、调试后先行自检，出具自检记录；自检合格后向</w:t>
      </w:r>
      <w:r>
        <w:rPr>
          <w:rFonts w:hint="eastAsia" w:ascii="宋体" w:hAnsi="宋体" w:cs="宋体"/>
          <w:color w:val="auto"/>
          <w:kern w:val="0"/>
          <w:sz w:val="24"/>
          <w:szCs w:val="24"/>
          <w:lang w:val="en-US" w:eastAsia="zh-CN" w:bidi="ar"/>
        </w:rPr>
        <w:t>采购人</w:t>
      </w:r>
      <w:r>
        <w:rPr>
          <w:rFonts w:hint="default" w:ascii="宋体" w:hAnsi="宋体" w:cs="宋体"/>
          <w:color w:val="auto"/>
          <w:kern w:val="0"/>
          <w:sz w:val="24"/>
          <w:szCs w:val="24"/>
          <w:lang w:val="en-US" w:eastAsia="zh-CN" w:bidi="ar"/>
        </w:rPr>
        <w:t xml:space="preserve">提交初验申请。 </w:t>
      </w:r>
    </w:p>
    <w:p w14:paraId="279D0C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2.2.2采购人</w:t>
      </w:r>
      <w:r>
        <w:rPr>
          <w:rFonts w:hint="default" w:ascii="宋体" w:hAnsi="宋体" w:cs="宋体"/>
          <w:color w:val="auto"/>
          <w:kern w:val="0"/>
          <w:sz w:val="24"/>
          <w:szCs w:val="24"/>
          <w:lang w:val="en-US" w:eastAsia="zh-CN" w:bidi="ar"/>
        </w:rPr>
        <w:t>、监理、</w:t>
      </w:r>
      <w:r>
        <w:rPr>
          <w:rFonts w:hint="eastAsia" w:ascii="宋体" w:hAnsi="宋体" w:cs="宋体"/>
          <w:color w:val="auto"/>
          <w:kern w:val="0"/>
          <w:sz w:val="24"/>
          <w:szCs w:val="24"/>
          <w:lang w:val="en-US" w:eastAsia="zh-CN" w:bidi="ar"/>
        </w:rPr>
        <w:t>成交供应商</w:t>
      </w:r>
      <w:r>
        <w:rPr>
          <w:rFonts w:hint="default" w:ascii="宋体" w:hAnsi="宋体" w:cs="宋体"/>
          <w:color w:val="auto"/>
          <w:kern w:val="0"/>
          <w:sz w:val="24"/>
          <w:szCs w:val="24"/>
          <w:lang w:val="en-US" w:eastAsia="zh-CN" w:bidi="ar"/>
        </w:rPr>
        <w:t>联合现场初验：</w:t>
      </w:r>
    </w:p>
    <w:p w14:paraId="316AB3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480" w:firstLineChars="200"/>
        <w:jc w:val="left"/>
        <w:rPr>
          <w:rFonts w:hint="default" w:ascii="宋体" w:hAnsi="宋体" w:cs="宋体"/>
          <w:color w:val="auto"/>
          <w:kern w:val="0"/>
          <w:sz w:val="24"/>
          <w:szCs w:val="24"/>
          <w:lang w:val="en-US" w:eastAsia="zh-CN" w:bidi="ar"/>
        </w:rPr>
      </w:pPr>
      <w:r>
        <w:rPr>
          <w:rFonts w:hint="default" w:ascii="宋体" w:hAnsi="宋体" w:cs="宋体"/>
          <w:color w:val="auto"/>
          <w:kern w:val="0"/>
          <w:sz w:val="24"/>
          <w:szCs w:val="24"/>
          <w:lang w:val="en-US" w:eastAsia="zh-CN" w:bidi="ar"/>
        </w:rPr>
        <w:t>目测检查机房、井道、底坑、轿厢、层门、门套、管线敷设、接地、套管布线、固定工艺；</w:t>
      </w:r>
    </w:p>
    <w:p w14:paraId="585B12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480" w:firstLineChars="200"/>
        <w:jc w:val="left"/>
        <w:rPr>
          <w:rFonts w:hint="default" w:ascii="宋体" w:hAnsi="宋体" w:cs="宋体"/>
          <w:color w:val="auto"/>
          <w:kern w:val="0"/>
          <w:sz w:val="24"/>
          <w:szCs w:val="24"/>
          <w:lang w:val="en-US" w:eastAsia="zh-CN" w:bidi="ar"/>
        </w:rPr>
      </w:pPr>
      <w:r>
        <w:rPr>
          <w:rFonts w:hint="default" w:ascii="宋体" w:hAnsi="宋体" w:cs="宋体"/>
          <w:color w:val="auto"/>
          <w:kern w:val="0"/>
          <w:sz w:val="24"/>
          <w:szCs w:val="24"/>
          <w:lang w:val="en-US" w:eastAsia="zh-CN" w:bidi="ar"/>
        </w:rPr>
        <w:t>逐项测试电梯全部运行功能：正常运行、检修运行、开关门、超载保护、消防迫降、停电平层、轿内报警、应急照明、防捣乱、满载直驶、对讲通话等；</w:t>
      </w:r>
    </w:p>
    <w:p w14:paraId="472CCE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480" w:firstLineChars="200"/>
        <w:jc w:val="left"/>
        <w:rPr>
          <w:rFonts w:hint="default" w:ascii="宋体" w:hAnsi="宋体" w:cs="宋体"/>
          <w:color w:val="auto"/>
          <w:kern w:val="0"/>
          <w:sz w:val="24"/>
          <w:szCs w:val="24"/>
          <w:lang w:val="en-US" w:eastAsia="zh-CN" w:bidi="ar"/>
        </w:rPr>
      </w:pPr>
      <w:r>
        <w:rPr>
          <w:rFonts w:hint="default" w:ascii="宋体" w:hAnsi="宋体" w:cs="宋体"/>
          <w:color w:val="auto"/>
          <w:kern w:val="0"/>
          <w:sz w:val="24"/>
          <w:szCs w:val="24"/>
          <w:lang w:val="en-US" w:eastAsia="zh-CN" w:bidi="ar"/>
        </w:rPr>
        <w:t>实测平层精度、运行噪声、启停舒适度、门缝隙、关门保护等指标；</w:t>
      </w:r>
    </w:p>
    <w:p w14:paraId="002988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480" w:firstLineChars="200"/>
        <w:jc w:val="left"/>
        <w:rPr>
          <w:rFonts w:hint="default" w:ascii="宋体" w:hAnsi="宋体" w:cs="宋体"/>
          <w:color w:val="auto"/>
          <w:kern w:val="0"/>
          <w:sz w:val="24"/>
          <w:szCs w:val="24"/>
          <w:lang w:val="en-US" w:eastAsia="zh-CN" w:bidi="ar"/>
        </w:rPr>
      </w:pPr>
      <w:r>
        <w:rPr>
          <w:rFonts w:hint="default" w:ascii="宋体" w:hAnsi="宋体" w:cs="宋体"/>
          <w:color w:val="auto"/>
          <w:kern w:val="0"/>
          <w:sz w:val="24"/>
          <w:szCs w:val="24"/>
          <w:lang w:val="en-US" w:eastAsia="zh-CN" w:bidi="ar"/>
        </w:rPr>
        <w:t xml:space="preserve">核查安全保护装置动作可靠性（限速器、安全钳、缓冲器、门锁、急停开关等）。 </w:t>
      </w:r>
    </w:p>
    <w:p w14:paraId="15958A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2.2.3</w:t>
      </w:r>
      <w:r>
        <w:rPr>
          <w:rFonts w:hint="default" w:ascii="宋体" w:hAnsi="宋体" w:cs="宋体"/>
          <w:color w:val="auto"/>
          <w:kern w:val="0"/>
          <w:sz w:val="24"/>
          <w:szCs w:val="24"/>
          <w:lang w:val="en-US" w:eastAsia="zh-CN" w:bidi="ar"/>
        </w:rPr>
        <w:t>初验不合格，</w:t>
      </w:r>
      <w:r>
        <w:rPr>
          <w:rFonts w:hint="eastAsia" w:ascii="宋体" w:hAnsi="宋体" w:cs="宋体"/>
          <w:color w:val="auto"/>
          <w:kern w:val="0"/>
          <w:sz w:val="24"/>
          <w:szCs w:val="24"/>
          <w:lang w:val="en-US" w:eastAsia="zh-CN" w:bidi="ar"/>
        </w:rPr>
        <w:t>成交供应商</w:t>
      </w:r>
      <w:r>
        <w:rPr>
          <w:rFonts w:hint="default" w:ascii="宋体" w:hAnsi="宋体" w:cs="宋体"/>
          <w:color w:val="auto"/>
          <w:kern w:val="0"/>
          <w:sz w:val="24"/>
          <w:szCs w:val="24"/>
          <w:lang w:val="en-US" w:eastAsia="zh-CN" w:bidi="ar"/>
        </w:rPr>
        <w:t>限期整改，整改完成复验，直至初验合格，方可申请政府特种设备监督检验。</w:t>
      </w:r>
    </w:p>
    <w:p w14:paraId="1E1B0E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cs="宋体"/>
          <w:b/>
          <w:bCs/>
          <w:color w:val="auto"/>
          <w:kern w:val="0"/>
          <w:sz w:val="24"/>
          <w:szCs w:val="24"/>
          <w:lang w:val="en-US" w:eastAsia="zh-CN" w:bidi="ar"/>
        </w:rPr>
      </w:pPr>
      <w:r>
        <w:rPr>
          <w:rFonts w:hint="eastAsia" w:ascii="宋体" w:hAnsi="宋体" w:cs="宋体"/>
          <w:b/>
          <w:bCs/>
          <w:color w:val="auto"/>
          <w:kern w:val="0"/>
          <w:sz w:val="24"/>
          <w:szCs w:val="24"/>
          <w:lang w:val="en-US" w:eastAsia="zh-CN" w:bidi="ar"/>
        </w:rPr>
        <w:t>2.3</w:t>
      </w:r>
      <w:r>
        <w:rPr>
          <w:rFonts w:hint="default" w:ascii="宋体" w:hAnsi="宋体" w:cs="宋体"/>
          <w:b/>
          <w:bCs/>
          <w:color w:val="auto"/>
          <w:kern w:val="0"/>
          <w:sz w:val="24"/>
          <w:szCs w:val="24"/>
          <w:lang w:val="en-US" w:eastAsia="zh-CN" w:bidi="ar"/>
        </w:rPr>
        <w:t>法定特种设备监督检验</w:t>
      </w:r>
    </w:p>
    <w:p w14:paraId="458CE9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2.3.1</w:t>
      </w:r>
      <w:r>
        <w:rPr>
          <w:rFonts w:hint="default" w:ascii="宋体" w:hAnsi="宋体" w:cs="宋体"/>
          <w:color w:val="auto"/>
          <w:kern w:val="0"/>
          <w:sz w:val="24"/>
          <w:szCs w:val="24"/>
          <w:lang w:val="en-US" w:eastAsia="zh-CN" w:bidi="ar"/>
        </w:rPr>
        <w:t>由</w:t>
      </w:r>
      <w:r>
        <w:rPr>
          <w:rFonts w:hint="eastAsia" w:ascii="宋体" w:hAnsi="宋体" w:cs="宋体"/>
          <w:color w:val="auto"/>
          <w:kern w:val="0"/>
          <w:sz w:val="24"/>
          <w:szCs w:val="24"/>
          <w:lang w:val="en-US" w:eastAsia="zh-CN" w:bidi="ar"/>
        </w:rPr>
        <w:t>成交供应商</w:t>
      </w:r>
      <w:r>
        <w:rPr>
          <w:rFonts w:hint="default" w:ascii="宋体" w:hAnsi="宋体" w:cs="宋体"/>
          <w:color w:val="auto"/>
          <w:kern w:val="0"/>
          <w:sz w:val="24"/>
          <w:szCs w:val="24"/>
          <w:lang w:val="en-US" w:eastAsia="zh-CN" w:bidi="ar"/>
        </w:rPr>
        <w:t xml:space="preserve">负责约请法定特种设备检验机构实施监督检验，承担全部检验、整改、复检费用。 </w:t>
      </w:r>
    </w:p>
    <w:p w14:paraId="273449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2.3.2</w:t>
      </w:r>
      <w:r>
        <w:rPr>
          <w:rFonts w:hint="default" w:ascii="宋体" w:hAnsi="宋体" w:cs="宋体"/>
          <w:color w:val="auto"/>
          <w:kern w:val="0"/>
          <w:sz w:val="24"/>
          <w:szCs w:val="24"/>
          <w:lang w:val="en-US" w:eastAsia="zh-CN" w:bidi="ar"/>
        </w:rPr>
        <w:t xml:space="preserve">检验项目按照特种设备规范逐条检测试验，出具官方监督检验报告。 </w:t>
      </w:r>
    </w:p>
    <w:p w14:paraId="1A6468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2.3.3</w:t>
      </w:r>
      <w:r>
        <w:rPr>
          <w:rFonts w:hint="default" w:ascii="宋体" w:hAnsi="宋体" w:cs="宋体"/>
          <w:color w:val="auto"/>
          <w:kern w:val="0"/>
          <w:sz w:val="24"/>
          <w:szCs w:val="24"/>
          <w:lang w:val="en-US" w:eastAsia="zh-CN" w:bidi="ar"/>
        </w:rPr>
        <w:t>若监检不合格，</w:t>
      </w:r>
      <w:r>
        <w:rPr>
          <w:rFonts w:hint="eastAsia" w:ascii="宋体" w:hAnsi="宋体" w:cs="宋体"/>
          <w:color w:val="auto"/>
          <w:kern w:val="0"/>
          <w:sz w:val="24"/>
          <w:szCs w:val="24"/>
          <w:lang w:val="en-US" w:eastAsia="zh-CN" w:bidi="ar"/>
        </w:rPr>
        <w:t>成交供应商</w:t>
      </w:r>
      <w:r>
        <w:rPr>
          <w:rFonts w:hint="default" w:ascii="宋体" w:hAnsi="宋体" w:cs="宋体"/>
          <w:color w:val="auto"/>
          <w:kern w:val="0"/>
          <w:sz w:val="24"/>
          <w:szCs w:val="24"/>
          <w:lang w:val="en-US" w:eastAsia="zh-CN" w:bidi="ar"/>
        </w:rPr>
        <w:t>必须按整改意见免费整改并申请复检，直至检验合格，取得监督检验合格报告与特种设备使用标志，办理特种设备使用登记手续。</w:t>
      </w:r>
    </w:p>
    <w:p w14:paraId="4F933A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cs="宋体"/>
          <w:b/>
          <w:bCs/>
          <w:color w:val="auto"/>
          <w:kern w:val="0"/>
          <w:sz w:val="24"/>
          <w:szCs w:val="24"/>
          <w:lang w:val="en-US" w:eastAsia="zh-CN" w:bidi="ar"/>
        </w:rPr>
      </w:pPr>
      <w:r>
        <w:rPr>
          <w:rFonts w:hint="eastAsia" w:ascii="宋体" w:hAnsi="宋体" w:cs="宋体"/>
          <w:b/>
          <w:bCs/>
          <w:color w:val="auto"/>
          <w:kern w:val="0"/>
          <w:sz w:val="24"/>
          <w:szCs w:val="24"/>
          <w:lang w:val="en-US" w:eastAsia="zh-CN" w:bidi="ar"/>
        </w:rPr>
        <w:t>2.4</w:t>
      </w:r>
      <w:r>
        <w:rPr>
          <w:rFonts w:hint="default" w:ascii="宋体" w:hAnsi="宋体" w:cs="宋体"/>
          <w:b/>
          <w:bCs/>
          <w:color w:val="auto"/>
          <w:kern w:val="0"/>
          <w:sz w:val="24"/>
          <w:szCs w:val="24"/>
          <w:lang w:val="en-US" w:eastAsia="zh-CN" w:bidi="ar"/>
        </w:rPr>
        <w:t>最终综合竣工验收（</w:t>
      </w:r>
      <w:r>
        <w:rPr>
          <w:rFonts w:hint="eastAsia" w:ascii="宋体" w:hAnsi="宋体" w:cs="宋体"/>
          <w:b/>
          <w:bCs/>
          <w:color w:val="auto"/>
          <w:kern w:val="0"/>
          <w:sz w:val="24"/>
          <w:szCs w:val="24"/>
          <w:lang w:val="en-US" w:eastAsia="zh-CN" w:bidi="ar"/>
        </w:rPr>
        <w:t>采购人</w:t>
      </w:r>
      <w:r>
        <w:rPr>
          <w:rFonts w:hint="default" w:ascii="宋体" w:hAnsi="宋体" w:cs="宋体"/>
          <w:b/>
          <w:bCs/>
          <w:color w:val="auto"/>
          <w:kern w:val="0"/>
          <w:sz w:val="24"/>
          <w:szCs w:val="24"/>
          <w:lang w:val="en-US" w:eastAsia="zh-CN" w:bidi="ar"/>
        </w:rPr>
        <w:t>履约验收）</w:t>
      </w:r>
    </w:p>
    <w:p w14:paraId="0ED382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480" w:firstLineChars="200"/>
        <w:jc w:val="left"/>
        <w:rPr>
          <w:rFonts w:hint="default" w:ascii="宋体" w:hAnsi="宋体" w:cs="宋体"/>
          <w:color w:val="auto"/>
          <w:kern w:val="0"/>
          <w:sz w:val="24"/>
          <w:szCs w:val="24"/>
          <w:lang w:val="en-US" w:eastAsia="zh-CN" w:bidi="ar"/>
        </w:rPr>
      </w:pPr>
      <w:r>
        <w:rPr>
          <w:rFonts w:hint="default" w:ascii="宋体" w:hAnsi="宋体" w:cs="宋体"/>
          <w:color w:val="auto"/>
          <w:kern w:val="0"/>
          <w:sz w:val="24"/>
          <w:szCs w:val="24"/>
          <w:lang w:val="en-US" w:eastAsia="zh-CN" w:bidi="ar"/>
        </w:rPr>
        <w:t xml:space="preserve">前提条件：开箱验收合格、初验合格、特种设备监检合格、取得使用标志、竣工资料完整移交完毕。 </w:t>
      </w:r>
    </w:p>
    <w:p w14:paraId="49A4D6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2.4.1</w:t>
      </w:r>
      <w:r>
        <w:rPr>
          <w:rFonts w:hint="default" w:ascii="宋体" w:hAnsi="宋体" w:cs="宋体"/>
          <w:color w:val="auto"/>
          <w:kern w:val="0"/>
          <w:sz w:val="24"/>
          <w:szCs w:val="24"/>
          <w:lang w:val="en-US" w:eastAsia="zh-CN" w:bidi="ar"/>
        </w:rPr>
        <w:t>验收组织：</w:t>
      </w:r>
      <w:r>
        <w:rPr>
          <w:rFonts w:hint="eastAsia" w:ascii="宋体" w:hAnsi="宋体" w:cs="宋体"/>
          <w:color w:val="auto"/>
          <w:kern w:val="0"/>
          <w:sz w:val="24"/>
          <w:szCs w:val="24"/>
          <w:lang w:val="en-US" w:eastAsia="zh-CN" w:bidi="ar"/>
        </w:rPr>
        <w:t>采购人</w:t>
      </w:r>
      <w:r>
        <w:rPr>
          <w:rFonts w:hint="default" w:ascii="宋体" w:hAnsi="宋体" w:cs="宋体"/>
          <w:color w:val="auto"/>
          <w:kern w:val="0"/>
          <w:sz w:val="24"/>
          <w:szCs w:val="24"/>
          <w:lang w:val="en-US" w:eastAsia="zh-CN" w:bidi="ar"/>
        </w:rPr>
        <w:t>牵头，监理、</w:t>
      </w:r>
      <w:r>
        <w:rPr>
          <w:rFonts w:hint="eastAsia" w:ascii="宋体" w:hAnsi="宋体" w:cs="宋体"/>
          <w:color w:val="auto"/>
          <w:kern w:val="0"/>
          <w:sz w:val="24"/>
          <w:szCs w:val="24"/>
          <w:lang w:val="en-US" w:eastAsia="zh-CN" w:bidi="ar"/>
        </w:rPr>
        <w:t>成交供应商</w:t>
      </w:r>
      <w:r>
        <w:rPr>
          <w:rFonts w:hint="default" w:ascii="宋体" w:hAnsi="宋体" w:cs="宋体"/>
          <w:color w:val="auto"/>
          <w:kern w:val="0"/>
          <w:sz w:val="24"/>
          <w:szCs w:val="24"/>
          <w:lang w:val="en-US" w:eastAsia="zh-CN" w:bidi="ar"/>
        </w:rPr>
        <w:t>参加，必要时聘请专业技术人员参与验收。</w:t>
      </w:r>
    </w:p>
    <w:p w14:paraId="4E665C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2.4.2</w:t>
      </w:r>
      <w:r>
        <w:rPr>
          <w:rFonts w:hint="default" w:ascii="宋体" w:hAnsi="宋体" w:cs="宋体"/>
          <w:color w:val="auto"/>
          <w:kern w:val="0"/>
          <w:sz w:val="24"/>
          <w:szCs w:val="24"/>
          <w:lang w:val="en-US" w:eastAsia="zh-CN" w:bidi="ar"/>
        </w:rPr>
        <w:t>验收方法：资料审查、现场核查、功能逐项试验、实测实量。</w:t>
      </w:r>
    </w:p>
    <w:p w14:paraId="02C03B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2.4.2.1</w:t>
      </w:r>
      <w:r>
        <w:rPr>
          <w:rFonts w:hint="default" w:ascii="宋体" w:hAnsi="宋体" w:cs="宋体"/>
          <w:color w:val="auto"/>
          <w:kern w:val="0"/>
          <w:sz w:val="24"/>
          <w:szCs w:val="24"/>
          <w:lang w:val="en-US" w:eastAsia="zh-CN" w:bidi="ar"/>
        </w:rPr>
        <w:t>资料验收（查阅资料）</w:t>
      </w:r>
    </w:p>
    <w:p w14:paraId="1B9F33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成交供应商</w:t>
      </w:r>
      <w:r>
        <w:rPr>
          <w:rFonts w:hint="default" w:ascii="宋体" w:hAnsi="宋体" w:cs="宋体"/>
          <w:color w:val="auto"/>
          <w:kern w:val="0"/>
          <w:sz w:val="24"/>
          <w:szCs w:val="24"/>
          <w:lang w:val="en-US" w:eastAsia="zh-CN" w:bidi="ar"/>
        </w:rPr>
        <w:t>提交完整竣工资料（纸质 + 电子版）：全套竣工图纸、电气原理图、部件合格证、型式试验证书、出厂报告、自检记录、监检报告、使用登记资料、备品备件清单、操作及维保手册、培训记录等。资料缺项不予通过验收。</w:t>
      </w:r>
    </w:p>
    <w:p w14:paraId="6703D0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2.4.2.2</w:t>
      </w:r>
      <w:r>
        <w:rPr>
          <w:rFonts w:hint="default" w:ascii="宋体" w:hAnsi="宋体" w:cs="宋体"/>
          <w:color w:val="auto"/>
          <w:kern w:val="0"/>
          <w:sz w:val="24"/>
          <w:szCs w:val="24"/>
          <w:lang w:val="en-US" w:eastAsia="zh-CN" w:bidi="ar"/>
        </w:rPr>
        <w:t>现场观感与安装质量验收（目视、尺量）</w:t>
      </w:r>
    </w:p>
    <w:p w14:paraId="71943B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default" w:ascii="宋体" w:hAnsi="宋体" w:cs="宋体"/>
          <w:color w:val="auto"/>
          <w:kern w:val="0"/>
          <w:sz w:val="24"/>
          <w:szCs w:val="24"/>
          <w:lang w:val="en-US" w:eastAsia="zh-CN" w:bidi="ar"/>
        </w:rPr>
        <w:t>机房布局、设备固定、线缆穿管敷设、接地系统、井道导轨、层门 / 轿门、门套、轿厢装饰、地板、扶手、吊顶、通风照明、警示标识、底坑清洁与防护，尺寸、缝隙、平整度、牢固度实测。</w:t>
      </w:r>
    </w:p>
    <w:p w14:paraId="77C330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2.4.2.3</w:t>
      </w:r>
      <w:r>
        <w:rPr>
          <w:rFonts w:hint="default" w:ascii="宋体" w:hAnsi="宋体" w:cs="宋体"/>
          <w:color w:val="auto"/>
          <w:kern w:val="0"/>
          <w:sz w:val="24"/>
          <w:szCs w:val="24"/>
          <w:lang w:val="en-US" w:eastAsia="zh-CN" w:bidi="ar"/>
        </w:rPr>
        <w:t>功能与安全试验</w:t>
      </w:r>
    </w:p>
    <w:p w14:paraId="641EBA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default" w:ascii="宋体" w:hAnsi="宋体" w:cs="宋体"/>
          <w:color w:val="auto"/>
          <w:kern w:val="0"/>
          <w:sz w:val="24"/>
          <w:szCs w:val="24"/>
          <w:lang w:val="en-US" w:eastAsia="zh-CN" w:bidi="ar"/>
        </w:rPr>
        <w:t>逐台、逐层反复试验全部电气及安全功能，安全保护装置必须动作灵敏可靠；模拟故障工况测试报警、应急通话、应急平层、消防返回功能。</w:t>
      </w:r>
    </w:p>
    <w:p w14:paraId="612BDF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2.4.2.4</w:t>
      </w:r>
      <w:r>
        <w:rPr>
          <w:rFonts w:hint="default" w:ascii="宋体" w:hAnsi="宋体" w:cs="宋体"/>
          <w:color w:val="auto"/>
          <w:kern w:val="0"/>
          <w:sz w:val="24"/>
          <w:szCs w:val="24"/>
          <w:lang w:val="en-US" w:eastAsia="zh-CN" w:bidi="ar"/>
        </w:rPr>
        <w:t>负荷及性能试验</w:t>
      </w:r>
    </w:p>
    <w:p w14:paraId="00EC69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default" w:ascii="宋体" w:hAnsi="宋体" w:cs="宋体"/>
          <w:color w:val="auto"/>
          <w:kern w:val="0"/>
          <w:sz w:val="24"/>
          <w:szCs w:val="24"/>
          <w:lang w:val="en-US" w:eastAsia="zh-CN" w:bidi="ar"/>
        </w:rPr>
        <w:t xml:space="preserve">按规范开展空载、额定载荷、125% 额定载荷制动试验，电梯启停、运行平稳，制动可靠，平层误差满足国标要求，无异常抖动、异响、卡滞现象。 </w:t>
      </w:r>
    </w:p>
    <w:p w14:paraId="47EE12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2.4.3</w:t>
      </w:r>
      <w:r>
        <w:rPr>
          <w:rFonts w:hint="default" w:ascii="宋体" w:hAnsi="宋体" w:cs="宋体"/>
          <w:color w:val="auto"/>
          <w:kern w:val="0"/>
          <w:sz w:val="24"/>
          <w:szCs w:val="24"/>
          <w:lang w:val="en-US" w:eastAsia="zh-CN" w:bidi="ar"/>
        </w:rPr>
        <w:t>验收判定规则：</w:t>
      </w:r>
    </w:p>
    <w:p w14:paraId="5850C9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2.4.3.1</w:t>
      </w:r>
      <w:r>
        <w:rPr>
          <w:rFonts w:hint="default" w:ascii="宋体" w:hAnsi="宋体" w:cs="宋体"/>
          <w:color w:val="auto"/>
          <w:kern w:val="0"/>
          <w:sz w:val="24"/>
          <w:szCs w:val="24"/>
          <w:lang w:val="en-US" w:eastAsia="zh-CN" w:bidi="ar"/>
        </w:rPr>
        <w:t>安全强制性项目任一项不合格→整体验收不合格；</w:t>
      </w:r>
    </w:p>
    <w:p w14:paraId="31A332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2.4.3.2</w:t>
      </w:r>
      <w:r>
        <w:rPr>
          <w:rFonts w:hint="default" w:ascii="宋体" w:hAnsi="宋体" w:cs="宋体"/>
          <w:color w:val="auto"/>
          <w:kern w:val="0"/>
          <w:sz w:val="24"/>
          <w:szCs w:val="24"/>
          <w:lang w:val="en-US" w:eastAsia="zh-CN" w:bidi="ar"/>
        </w:rPr>
        <w:t>一般缺陷允许限期一次性整改，整改完成复检；重大缺陷必须彻底修复；</w:t>
      </w:r>
    </w:p>
    <w:p w14:paraId="060E6C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2.4.3.3</w:t>
      </w:r>
      <w:r>
        <w:rPr>
          <w:rFonts w:hint="default" w:ascii="宋体" w:hAnsi="宋体" w:cs="宋体"/>
          <w:color w:val="auto"/>
          <w:kern w:val="0"/>
          <w:sz w:val="24"/>
          <w:szCs w:val="24"/>
          <w:lang w:val="en-US" w:eastAsia="zh-CN" w:bidi="ar"/>
        </w:rPr>
        <w:t>全部资料合格、安全项目合格、功能正常、装饰工艺达标、法定监检通过，各方签署竣工验收单，视为最终验收合格。</w:t>
      </w:r>
    </w:p>
    <w:p w14:paraId="381C3C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cs="宋体"/>
          <w:b/>
          <w:bCs/>
          <w:color w:val="auto"/>
          <w:kern w:val="0"/>
          <w:sz w:val="24"/>
          <w:szCs w:val="24"/>
          <w:lang w:val="en-US" w:eastAsia="zh-CN" w:bidi="ar"/>
        </w:rPr>
      </w:pPr>
      <w:r>
        <w:rPr>
          <w:rFonts w:hint="default" w:ascii="宋体" w:hAnsi="宋体" w:cs="宋体"/>
          <w:b/>
          <w:bCs/>
          <w:color w:val="auto"/>
          <w:kern w:val="0"/>
          <w:sz w:val="24"/>
          <w:szCs w:val="24"/>
          <w:lang w:val="en-US" w:eastAsia="zh-CN" w:bidi="ar"/>
        </w:rPr>
        <w:t xml:space="preserve"> </w:t>
      </w:r>
      <w:r>
        <w:rPr>
          <w:rFonts w:hint="eastAsia" w:ascii="宋体" w:hAnsi="宋体" w:cs="宋体"/>
          <w:b/>
          <w:bCs/>
          <w:color w:val="auto"/>
          <w:kern w:val="0"/>
          <w:sz w:val="24"/>
          <w:szCs w:val="24"/>
          <w:lang w:val="en-US" w:eastAsia="zh-CN" w:bidi="ar"/>
        </w:rPr>
        <w:t>3.</w:t>
      </w:r>
      <w:r>
        <w:rPr>
          <w:rFonts w:hint="default" w:ascii="宋体" w:hAnsi="宋体" w:cs="宋体"/>
          <w:b/>
          <w:bCs/>
          <w:color w:val="auto"/>
          <w:kern w:val="0"/>
          <w:sz w:val="24"/>
          <w:szCs w:val="24"/>
          <w:lang w:val="en-US" w:eastAsia="zh-CN" w:bidi="ar"/>
        </w:rPr>
        <w:t>不合格处置方式</w:t>
      </w:r>
    </w:p>
    <w:p w14:paraId="2879BC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default" w:ascii="宋体" w:hAnsi="宋体" w:cs="宋体"/>
          <w:color w:val="auto"/>
          <w:kern w:val="0"/>
          <w:sz w:val="24"/>
          <w:szCs w:val="24"/>
          <w:lang w:val="en-US" w:eastAsia="zh-CN" w:bidi="ar"/>
        </w:rPr>
        <w:t xml:space="preserve"> </w:t>
      </w:r>
      <w:r>
        <w:rPr>
          <w:rFonts w:hint="eastAsia" w:ascii="宋体" w:hAnsi="宋体" w:cs="宋体"/>
          <w:color w:val="auto"/>
          <w:kern w:val="0"/>
          <w:sz w:val="24"/>
          <w:szCs w:val="24"/>
          <w:lang w:val="en-US" w:eastAsia="zh-CN" w:bidi="ar"/>
        </w:rPr>
        <w:t>3.1</w:t>
      </w:r>
      <w:r>
        <w:rPr>
          <w:rFonts w:hint="default" w:ascii="宋体" w:hAnsi="宋体" w:cs="宋体"/>
          <w:color w:val="auto"/>
          <w:kern w:val="0"/>
          <w:sz w:val="24"/>
          <w:szCs w:val="24"/>
          <w:lang w:val="en-US" w:eastAsia="zh-CN" w:bidi="ar"/>
        </w:rPr>
        <w:t>任一阶段验收不合格，</w:t>
      </w:r>
      <w:r>
        <w:rPr>
          <w:rFonts w:hint="eastAsia" w:ascii="宋体" w:hAnsi="宋体" w:cs="宋体"/>
          <w:color w:val="auto"/>
          <w:kern w:val="0"/>
          <w:sz w:val="24"/>
          <w:szCs w:val="24"/>
          <w:lang w:val="en-US" w:eastAsia="zh-CN" w:bidi="ar"/>
        </w:rPr>
        <w:t>成交供应商</w:t>
      </w:r>
      <w:r>
        <w:rPr>
          <w:rFonts w:hint="default" w:ascii="宋体" w:hAnsi="宋体" w:cs="宋体"/>
          <w:color w:val="auto"/>
          <w:kern w:val="0"/>
          <w:sz w:val="24"/>
          <w:szCs w:val="24"/>
          <w:lang w:val="en-US" w:eastAsia="zh-CN" w:bidi="ar"/>
        </w:rPr>
        <w:t>须在</w:t>
      </w:r>
      <w:r>
        <w:rPr>
          <w:rFonts w:hint="eastAsia" w:ascii="宋体" w:hAnsi="宋体" w:cs="宋体"/>
          <w:color w:val="auto"/>
          <w:kern w:val="0"/>
          <w:sz w:val="24"/>
          <w:szCs w:val="24"/>
          <w:lang w:val="en-US" w:eastAsia="zh-CN" w:bidi="ar"/>
        </w:rPr>
        <w:t>采购人</w:t>
      </w:r>
      <w:r>
        <w:rPr>
          <w:rFonts w:hint="default" w:ascii="宋体" w:hAnsi="宋体" w:cs="宋体"/>
          <w:color w:val="auto"/>
          <w:kern w:val="0"/>
          <w:sz w:val="24"/>
          <w:szCs w:val="24"/>
          <w:lang w:val="en-US" w:eastAsia="zh-CN" w:bidi="ar"/>
        </w:rPr>
        <w:t xml:space="preserve">规定期限内免费整改、更换零部件，并承担全部返工费用，整改后重新组织验收； </w:t>
      </w:r>
    </w:p>
    <w:p w14:paraId="53EEE1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default" w:ascii="宋体" w:hAnsi="宋体" w:cs="宋体"/>
          <w:color w:val="auto"/>
          <w:kern w:val="0"/>
          <w:sz w:val="24"/>
          <w:szCs w:val="24"/>
          <w:lang w:val="en-US" w:eastAsia="zh-CN" w:bidi="ar"/>
        </w:rPr>
      </w:pPr>
      <w:r>
        <w:rPr>
          <w:rFonts w:hint="default" w:ascii="宋体" w:hAnsi="宋体" w:cs="宋体"/>
          <w:color w:val="auto"/>
          <w:kern w:val="0"/>
          <w:sz w:val="24"/>
          <w:szCs w:val="24"/>
          <w:lang w:val="en-US" w:eastAsia="zh-CN" w:bidi="ar"/>
        </w:rPr>
        <w:t xml:space="preserve"> </w:t>
      </w:r>
      <w:r>
        <w:rPr>
          <w:rFonts w:hint="eastAsia" w:ascii="宋体" w:hAnsi="宋体" w:cs="宋体"/>
          <w:color w:val="auto"/>
          <w:kern w:val="0"/>
          <w:sz w:val="24"/>
          <w:szCs w:val="24"/>
          <w:lang w:val="en-US" w:eastAsia="zh-CN" w:bidi="ar"/>
        </w:rPr>
        <w:t>3.2</w:t>
      </w:r>
      <w:r>
        <w:rPr>
          <w:rFonts w:hint="default" w:ascii="宋体" w:hAnsi="宋体" w:cs="宋体"/>
          <w:color w:val="auto"/>
          <w:kern w:val="0"/>
          <w:sz w:val="24"/>
          <w:szCs w:val="24"/>
          <w:lang w:val="en-US" w:eastAsia="zh-CN" w:bidi="ar"/>
        </w:rPr>
        <w:t>多次整改仍达不到标准、无法通过特种设备监检的，</w:t>
      </w:r>
      <w:r>
        <w:rPr>
          <w:rFonts w:hint="eastAsia" w:ascii="宋体" w:hAnsi="宋体" w:cs="宋体"/>
          <w:color w:val="auto"/>
          <w:kern w:val="0"/>
          <w:sz w:val="24"/>
          <w:szCs w:val="24"/>
          <w:lang w:val="en-US" w:eastAsia="zh-CN" w:bidi="ar"/>
        </w:rPr>
        <w:t>采购人</w:t>
      </w:r>
      <w:r>
        <w:rPr>
          <w:rFonts w:hint="default" w:ascii="宋体" w:hAnsi="宋体" w:cs="宋体"/>
          <w:color w:val="auto"/>
          <w:kern w:val="0"/>
          <w:sz w:val="24"/>
          <w:szCs w:val="24"/>
          <w:lang w:val="en-US" w:eastAsia="zh-CN" w:bidi="ar"/>
        </w:rPr>
        <w:t xml:space="preserve">有权拒收设备、解除合同并追究违约责任； </w:t>
      </w:r>
    </w:p>
    <w:p w14:paraId="3DE97F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ascii="宋体" w:hAnsi="宋体" w:eastAsia="宋体" w:cs="宋体"/>
          <w:color w:val="auto"/>
          <w:kern w:val="0"/>
          <w:sz w:val="24"/>
          <w:szCs w:val="24"/>
          <w:lang w:val="en-US" w:eastAsia="zh-CN" w:bidi="ar"/>
        </w:rPr>
      </w:pPr>
      <w:r>
        <w:rPr>
          <w:rFonts w:hint="default" w:ascii="宋体" w:hAnsi="宋体" w:cs="宋体"/>
          <w:color w:val="auto"/>
          <w:kern w:val="0"/>
          <w:sz w:val="24"/>
          <w:szCs w:val="24"/>
          <w:lang w:val="en-US" w:eastAsia="zh-CN" w:bidi="ar"/>
        </w:rPr>
        <w:t xml:space="preserve"> </w:t>
      </w:r>
      <w:r>
        <w:rPr>
          <w:rFonts w:hint="eastAsia" w:ascii="宋体" w:hAnsi="宋体" w:cs="宋体"/>
          <w:color w:val="auto"/>
          <w:kern w:val="0"/>
          <w:sz w:val="24"/>
          <w:szCs w:val="24"/>
          <w:lang w:val="en-US" w:eastAsia="zh-CN" w:bidi="ar"/>
        </w:rPr>
        <w:t>3.3</w:t>
      </w:r>
      <w:r>
        <w:rPr>
          <w:rFonts w:hint="default" w:ascii="宋体" w:hAnsi="宋体" w:cs="宋体"/>
          <w:color w:val="auto"/>
          <w:kern w:val="0"/>
          <w:sz w:val="24"/>
          <w:szCs w:val="24"/>
          <w:lang w:val="en-US" w:eastAsia="zh-CN" w:bidi="ar"/>
        </w:rPr>
        <w:t>验收发生第三方检测鉴定，若判定为</w:t>
      </w:r>
      <w:r>
        <w:rPr>
          <w:rFonts w:hint="eastAsia" w:ascii="宋体" w:hAnsi="宋体" w:cs="宋体"/>
          <w:color w:val="auto"/>
          <w:kern w:val="0"/>
          <w:sz w:val="24"/>
          <w:szCs w:val="24"/>
          <w:lang w:val="en-US" w:eastAsia="zh-CN" w:bidi="ar"/>
        </w:rPr>
        <w:t>成交供应商</w:t>
      </w:r>
      <w:r>
        <w:rPr>
          <w:rFonts w:hint="default" w:ascii="宋体" w:hAnsi="宋体" w:cs="宋体"/>
          <w:color w:val="auto"/>
          <w:kern w:val="0"/>
          <w:sz w:val="24"/>
          <w:szCs w:val="24"/>
          <w:lang w:val="en-US" w:eastAsia="zh-CN" w:bidi="ar"/>
        </w:rPr>
        <w:t>质量原因，检测费用由</w:t>
      </w:r>
      <w:r>
        <w:rPr>
          <w:rFonts w:hint="eastAsia" w:ascii="宋体" w:hAnsi="宋体" w:cs="宋体"/>
          <w:color w:val="auto"/>
          <w:kern w:val="0"/>
          <w:sz w:val="24"/>
          <w:szCs w:val="24"/>
          <w:lang w:val="en-US" w:eastAsia="zh-CN" w:bidi="ar"/>
        </w:rPr>
        <w:t>成交供应商</w:t>
      </w:r>
      <w:r>
        <w:rPr>
          <w:rFonts w:hint="default" w:ascii="宋体" w:hAnsi="宋体" w:cs="宋体"/>
          <w:color w:val="auto"/>
          <w:kern w:val="0"/>
          <w:sz w:val="24"/>
          <w:szCs w:val="24"/>
          <w:lang w:val="en-US" w:eastAsia="zh-CN" w:bidi="ar"/>
        </w:rPr>
        <w:t>承担。</w:t>
      </w:r>
    </w:p>
    <w:p w14:paraId="12BB24CC">
      <w:pPr>
        <w:pStyle w:val="4"/>
        <w:pageBreakBefore w:val="0"/>
        <w:widowControl w:val="0"/>
        <w:kinsoku/>
        <w:wordWrap/>
        <w:overflowPunct/>
        <w:topLinePunct w:val="0"/>
        <w:autoSpaceDE/>
        <w:autoSpaceDN/>
        <w:bidi w:val="0"/>
        <w:adjustRightInd/>
        <w:snapToGrid/>
        <w:spacing w:before="0" w:after="0" w:line="480" w:lineRule="exact"/>
        <w:ind w:left="0" w:leftChars="0" w:right="0" w:rightChars="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（五）</w:t>
      </w:r>
      <w:r>
        <w:rPr>
          <w:rFonts w:hint="eastAsia" w:ascii="宋体" w:hAnsi="宋体" w:eastAsia="宋体" w:cs="宋体"/>
          <w:color w:val="auto"/>
          <w:sz w:val="24"/>
          <w:szCs w:val="24"/>
          <w:lang w:val="en-US" w:eastAsia="zh-CN"/>
        </w:rPr>
        <w:t>售后服务要求</w:t>
      </w:r>
    </w:p>
    <w:p w14:paraId="2E5056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b/>
          <w:bCs/>
          <w:color w:val="auto"/>
          <w:sz w:val="24"/>
          <w:szCs w:val="24"/>
          <w:lang w:val="en-US" w:eastAsia="zh-CN"/>
        </w:rPr>
      </w:pPr>
      <w:r>
        <w:rPr>
          <w:rFonts w:hint="eastAsia"/>
          <w:b/>
          <w:bCs/>
          <w:color w:val="auto"/>
          <w:sz w:val="24"/>
          <w:szCs w:val="24"/>
          <w:lang w:val="en-US" w:eastAsia="zh-CN"/>
        </w:rPr>
        <w:t>1.总体要求</w:t>
      </w:r>
    </w:p>
    <w:p w14:paraId="4435013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1.1供应商</w:t>
      </w:r>
      <w:r>
        <w:rPr>
          <w:rFonts w:hint="default" w:ascii="宋体" w:hAnsi="宋体" w:eastAsia="宋体" w:cs="宋体"/>
          <w:b w:val="0"/>
          <w:bCs w:val="0"/>
          <w:color w:val="auto"/>
          <w:sz w:val="24"/>
          <w:szCs w:val="24"/>
          <w:lang w:val="en-US" w:eastAsia="zh-CN"/>
        </w:rPr>
        <w:t>须提供完整、可靠的售后服务方案，明确售后服务机构、维保人员、备品备件保障、应急救援机制；</w:t>
      </w:r>
      <w:r>
        <w:rPr>
          <w:rFonts w:hint="eastAsia" w:ascii="宋体" w:hAnsi="宋体" w:cs="宋体"/>
          <w:b w:val="0"/>
          <w:bCs w:val="0"/>
          <w:color w:val="auto"/>
          <w:sz w:val="24"/>
          <w:szCs w:val="24"/>
          <w:lang w:val="en-US" w:eastAsia="zh-CN"/>
        </w:rPr>
        <w:t>成交供应商</w:t>
      </w:r>
      <w:r>
        <w:rPr>
          <w:rFonts w:hint="default" w:ascii="宋体" w:hAnsi="宋体" w:eastAsia="宋体" w:cs="宋体"/>
          <w:b w:val="0"/>
          <w:bCs w:val="0"/>
          <w:color w:val="auto"/>
          <w:sz w:val="24"/>
          <w:szCs w:val="24"/>
          <w:lang w:val="en-US" w:eastAsia="zh-CN"/>
        </w:rPr>
        <w:t xml:space="preserve">不得将本项目维保工作转包、分包给第三方维保单位。 </w:t>
      </w:r>
    </w:p>
    <w:p w14:paraId="7FCA73D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1.2</w:t>
      </w:r>
      <w:r>
        <w:rPr>
          <w:rFonts w:hint="default" w:ascii="宋体" w:hAnsi="宋体" w:eastAsia="宋体" w:cs="宋体"/>
          <w:b w:val="0"/>
          <w:bCs w:val="0"/>
          <w:color w:val="auto"/>
          <w:sz w:val="24"/>
          <w:szCs w:val="24"/>
          <w:lang w:val="en-US" w:eastAsia="zh-CN"/>
        </w:rPr>
        <w:t>售后服务须符合《电梯维护保养规则》、GB/T 7588.1—2020、GB/T10060</w:t>
      </w:r>
      <w:r>
        <w:rPr>
          <w:rFonts w:hint="default" w:ascii="宋体" w:hAnsi="宋体" w:eastAsia="宋体" w:cs="宋体"/>
          <w:b w:val="0"/>
          <w:bCs w:val="0"/>
          <w:color w:val="auto"/>
          <w:sz w:val="24"/>
          <w:szCs w:val="24"/>
          <w:lang w:val="en-US" w:eastAsia="zh-CN"/>
        </w:rPr>
        <w:noBreakHyphen/>
      </w:r>
      <w:r>
        <w:rPr>
          <w:rFonts w:hint="default" w:ascii="宋体" w:hAnsi="宋体" w:eastAsia="宋体" w:cs="宋体"/>
          <w:b w:val="0"/>
          <w:bCs w:val="0"/>
          <w:color w:val="auto"/>
          <w:sz w:val="24"/>
          <w:szCs w:val="24"/>
          <w:lang w:val="en-US" w:eastAsia="zh-CN"/>
        </w:rPr>
        <w:t xml:space="preserve">2023 及现行特种设备相关法规、安全技术规范要求。 </w:t>
      </w:r>
    </w:p>
    <w:p w14:paraId="6D52E49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1.3</w:t>
      </w:r>
      <w:r>
        <w:rPr>
          <w:rFonts w:hint="default" w:ascii="宋体" w:hAnsi="宋体" w:eastAsia="宋体" w:cs="宋体"/>
          <w:b w:val="0"/>
          <w:bCs w:val="0"/>
          <w:color w:val="auto"/>
          <w:sz w:val="24"/>
          <w:szCs w:val="24"/>
          <w:lang w:val="en-US" w:eastAsia="zh-CN"/>
        </w:rPr>
        <w:t>售后服务包含质保期免费维保服务、故障抢修、应急救援、技术培训、资料移交、质保期满后长期技术支持与备件供应。</w:t>
      </w:r>
    </w:p>
    <w:p w14:paraId="5E330F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b/>
          <w:bCs/>
          <w:color w:val="auto"/>
          <w:sz w:val="24"/>
          <w:szCs w:val="24"/>
          <w:lang w:val="en-US" w:eastAsia="zh-CN"/>
        </w:rPr>
      </w:pPr>
      <w:r>
        <w:rPr>
          <w:rFonts w:hint="eastAsia"/>
          <w:b/>
          <w:bCs/>
          <w:color w:val="auto"/>
          <w:sz w:val="24"/>
          <w:szCs w:val="24"/>
          <w:lang w:val="en-US" w:eastAsia="zh-CN"/>
        </w:rPr>
        <w:t>2.</w:t>
      </w:r>
      <w:r>
        <w:rPr>
          <w:rFonts w:hint="default"/>
          <w:b/>
          <w:bCs/>
          <w:color w:val="auto"/>
          <w:sz w:val="24"/>
          <w:szCs w:val="24"/>
          <w:lang w:val="en-US" w:eastAsia="zh-CN"/>
        </w:rPr>
        <w:t>质量保证期（免费质保与免费维保）</w:t>
      </w:r>
    </w:p>
    <w:p w14:paraId="67CBF01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2.1</w:t>
      </w:r>
      <w:r>
        <w:rPr>
          <w:rFonts w:hint="default" w:ascii="宋体" w:hAnsi="宋体" w:eastAsia="宋体" w:cs="宋体"/>
          <w:b w:val="0"/>
          <w:bCs w:val="0"/>
          <w:color w:val="auto"/>
          <w:sz w:val="24"/>
          <w:szCs w:val="24"/>
          <w:lang w:val="en-US" w:eastAsia="zh-CN"/>
        </w:rPr>
        <w:t>整机质保期自电梯取得特种设备监督检验合格报告、完成使用登记并正式移交</w:t>
      </w:r>
      <w:r>
        <w:rPr>
          <w:rFonts w:hint="eastAsia" w:ascii="宋体" w:hAnsi="宋体" w:cs="宋体"/>
          <w:b w:val="0"/>
          <w:bCs w:val="0"/>
          <w:color w:val="auto"/>
          <w:sz w:val="24"/>
          <w:szCs w:val="24"/>
          <w:lang w:val="en-US" w:eastAsia="zh-CN"/>
        </w:rPr>
        <w:t>采购人</w:t>
      </w:r>
      <w:r>
        <w:rPr>
          <w:rFonts w:hint="default" w:ascii="宋体" w:hAnsi="宋体" w:eastAsia="宋体" w:cs="宋体"/>
          <w:b w:val="0"/>
          <w:bCs w:val="0"/>
          <w:color w:val="auto"/>
          <w:sz w:val="24"/>
          <w:szCs w:val="24"/>
          <w:lang w:val="en-US" w:eastAsia="zh-CN"/>
        </w:rPr>
        <w:t xml:space="preserve">之日起计算，不少于12个月。 </w:t>
      </w:r>
    </w:p>
    <w:p w14:paraId="35DC580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2.2</w:t>
      </w:r>
      <w:r>
        <w:rPr>
          <w:rFonts w:hint="default" w:ascii="宋体" w:hAnsi="宋体" w:eastAsia="宋体" w:cs="宋体"/>
          <w:b w:val="0"/>
          <w:bCs w:val="0"/>
          <w:color w:val="auto"/>
          <w:sz w:val="24"/>
          <w:szCs w:val="24"/>
          <w:lang w:val="en-US" w:eastAsia="zh-CN"/>
        </w:rPr>
        <w:t>质保期内提供全套免费维保服务：每15日开展1次定期维保（每月不少于2次），按规范完成清洁、润滑、紧固、调整、安全装置测试；每次维保完成后提交维保记录，经</w:t>
      </w:r>
      <w:r>
        <w:rPr>
          <w:rFonts w:hint="eastAsia" w:ascii="宋体" w:hAnsi="宋体" w:cs="宋体"/>
          <w:b w:val="0"/>
          <w:bCs w:val="0"/>
          <w:color w:val="auto"/>
          <w:sz w:val="24"/>
          <w:szCs w:val="24"/>
          <w:lang w:val="en-US" w:eastAsia="zh-CN"/>
        </w:rPr>
        <w:t>采购人</w:t>
      </w:r>
      <w:r>
        <w:rPr>
          <w:rFonts w:hint="default" w:ascii="宋体" w:hAnsi="宋体" w:eastAsia="宋体" w:cs="宋体"/>
          <w:b w:val="0"/>
          <w:bCs w:val="0"/>
          <w:color w:val="auto"/>
          <w:sz w:val="24"/>
          <w:szCs w:val="24"/>
          <w:lang w:val="en-US" w:eastAsia="zh-CN"/>
        </w:rPr>
        <w:t xml:space="preserve">签字存档。 </w:t>
      </w:r>
    </w:p>
    <w:p w14:paraId="36FDDBD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2.3</w:t>
      </w:r>
      <w:r>
        <w:rPr>
          <w:rFonts w:hint="default" w:ascii="宋体" w:hAnsi="宋体" w:eastAsia="宋体" w:cs="宋体"/>
          <w:b w:val="0"/>
          <w:bCs w:val="0"/>
          <w:color w:val="auto"/>
          <w:sz w:val="24"/>
          <w:szCs w:val="24"/>
          <w:lang w:val="en-US" w:eastAsia="zh-CN"/>
        </w:rPr>
        <w:t xml:space="preserve">质保期内因设备制造、安装、调试、维保缺陷产生故障或零部件损坏，免费维修、免费更换配件、免收上门费、配件费、工时费；不含人为损坏、外力破坏。 </w:t>
      </w:r>
    </w:p>
    <w:p w14:paraId="0AECB19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2.</w:t>
      </w:r>
      <w:r>
        <w:rPr>
          <w:rFonts w:hint="default" w:ascii="宋体" w:hAnsi="宋体" w:eastAsia="宋体" w:cs="宋体"/>
          <w:b w:val="0"/>
          <w:bCs w:val="0"/>
          <w:color w:val="auto"/>
          <w:sz w:val="24"/>
          <w:szCs w:val="24"/>
          <w:lang w:val="en-US" w:eastAsia="zh-CN"/>
        </w:rPr>
        <w:t>4质保期内负责配合特种设备年度定期检验，完成年检前自检，协助</w:t>
      </w:r>
      <w:r>
        <w:rPr>
          <w:rFonts w:hint="eastAsia" w:ascii="宋体" w:hAnsi="宋体" w:cs="宋体"/>
          <w:b w:val="0"/>
          <w:bCs w:val="0"/>
          <w:color w:val="auto"/>
          <w:sz w:val="24"/>
          <w:szCs w:val="24"/>
          <w:lang w:val="en-US" w:eastAsia="zh-CN"/>
        </w:rPr>
        <w:t>采购人</w:t>
      </w:r>
      <w:r>
        <w:rPr>
          <w:rFonts w:hint="default" w:ascii="宋体" w:hAnsi="宋体" w:eastAsia="宋体" w:cs="宋体"/>
          <w:b w:val="0"/>
          <w:bCs w:val="0"/>
          <w:color w:val="auto"/>
          <w:sz w:val="24"/>
          <w:szCs w:val="24"/>
          <w:lang w:val="en-US" w:eastAsia="zh-CN"/>
        </w:rPr>
        <w:t>办理年检相关手续，承担维保整改费用。</w:t>
      </w:r>
    </w:p>
    <w:p w14:paraId="710899A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b/>
          <w:bCs/>
          <w:color w:val="auto"/>
          <w:sz w:val="24"/>
          <w:szCs w:val="24"/>
          <w:lang w:val="en-US" w:eastAsia="zh-CN"/>
        </w:rPr>
      </w:pPr>
      <w:r>
        <w:rPr>
          <w:rFonts w:hint="default"/>
          <w:b/>
          <w:bCs/>
          <w:color w:val="auto"/>
          <w:sz w:val="24"/>
          <w:szCs w:val="24"/>
          <w:lang w:val="en-US" w:eastAsia="zh-CN"/>
        </w:rPr>
        <w:t xml:space="preserve"> </w:t>
      </w:r>
      <w:r>
        <w:rPr>
          <w:rFonts w:hint="eastAsia"/>
          <w:b/>
          <w:bCs/>
          <w:color w:val="auto"/>
          <w:sz w:val="24"/>
          <w:szCs w:val="24"/>
          <w:lang w:val="en-US" w:eastAsia="zh-CN"/>
        </w:rPr>
        <w:t>3. 7×24小时应急抢修与困人救援</w:t>
      </w:r>
    </w:p>
    <w:p w14:paraId="4D693E3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3.1成交供应商</w:t>
      </w:r>
      <w:r>
        <w:rPr>
          <w:rFonts w:hint="default" w:ascii="宋体" w:hAnsi="宋体" w:cs="宋体"/>
          <w:b w:val="0"/>
          <w:bCs w:val="0"/>
          <w:color w:val="auto"/>
          <w:sz w:val="24"/>
          <w:szCs w:val="24"/>
          <w:lang w:val="en-US" w:eastAsia="zh-CN"/>
        </w:rPr>
        <w:t xml:space="preserve">设立全年24小时报修值班电话，保持通信畅通，随时受理故障报修，建立报修台账。 </w:t>
      </w:r>
    </w:p>
    <w:p w14:paraId="31FF669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3.2</w:t>
      </w:r>
      <w:r>
        <w:rPr>
          <w:rFonts w:hint="default" w:ascii="宋体" w:hAnsi="宋体" w:cs="宋体"/>
          <w:b w:val="0"/>
          <w:bCs w:val="0"/>
          <w:color w:val="auto"/>
          <w:sz w:val="24"/>
          <w:szCs w:val="24"/>
          <w:lang w:val="en-US" w:eastAsia="zh-CN"/>
        </w:rPr>
        <w:t xml:space="preserve">接到电梯困人报警后30分钟内维保人员抵达现场实施救援，快速解救被困人员；接到一般故障报修，30分钟到场处置，一般故障4小时内修复；重大故障24小时内排除；特殊备件故障72小时内备件到场并完成修复。 </w:t>
      </w:r>
    </w:p>
    <w:p w14:paraId="4F95021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3.3</w:t>
      </w:r>
      <w:r>
        <w:rPr>
          <w:rFonts w:hint="default" w:ascii="宋体" w:hAnsi="宋体" w:cs="宋体"/>
          <w:b w:val="0"/>
          <w:bCs w:val="0"/>
          <w:color w:val="auto"/>
          <w:sz w:val="24"/>
          <w:szCs w:val="24"/>
          <w:lang w:val="en-US" w:eastAsia="zh-CN"/>
        </w:rPr>
        <w:t xml:space="preserve">节假日、重大活动期间提供重点保障服务，必要时安排人员现场值守。 </w:t>
      </w:r>
    </w:p>
    <w:p w14:paraId="5EF2FB6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4.若多次响应不及时、故障长时间无法修复，造成电梯长时间停运，</w:t>
      </w:r>
      <w:r>
        <w:rPr>
          <w:rFonts w:hint="eastAsia" w:ascii="宋体" w:hAnsi="宋体" w:cs="宋体"/>
          <w:b w:val="0"/>
          <w:bCs w:val="0"/>
          <w:color w:val="auto"/>
          <w:sz w:val="24"/>
          <w:szCs w:val="24"/>
          <w:lang w:val="en-US" w:eastAsia="zh-CN"/>
        </w:rPr>
        <w:t>采购人</w:t>
      </w:r>
      <w:r>
        <w:rPr>
          <w:rFonts w:hint="default" w:ascii="宋体" w:hAnsi="宋体" w:cs="宋体"/>
          <w:b w:val="0"/>
          <w:bCs w:val="0"/>
          <w:color w:val="auto"/>
          <w:sz w:val="24"/>
          <w:szCs w:val="24"/>
          <w:lang w:val="en-US" w:eastAsia="zh-CN"/>
        </w:rPr>
        <w:t>有权按合同条款追究违约责任。</w:t>
      </w:r>
    </w:p>
    <w:p w14:paraId="0FE1259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b/>
          <w:bCs/>
          <w:color w:val="auto"/>
          <w:sz w:val="24"/>
          <w:szCs w:val="24"/>
          <w:lang w:val="en-US" w:eastAsia="zh-CN"/>
        </w:rPr>
      </w:pPr>
      <w:r>
        <w:rPr>
          <w:rFonts w:hint="default" w:ascii="宋体" w:hAnsi="宋体" w:eastAsia="宋体" w:cs="宋体"/>
          <w:b w:val="0"/>
          <w:bCs w:val="0"/>
          <w:color w:val="auto"/>
          <w:sz w:val="24"/>
          <w:szCs w:val="24"/>
          <w:lang w:val="en-US" w:eastAsia="zh-CN"/>
        </w:rPr>
        <w:t xml:space="preserve"> </w:t>
      </w:r>
      <w:r>
        <w:rPr>
          <w:rFonts w:hint="eastAsia"/>
          <w:b/>
          <w:bCs/>
          <w:color w:val="auto"/>
          <w:sz w:val="24"/>
          <w:szCs w:val="24"/>
          <w:lang w:val="en-US" w:eastAsia="zh-CN"/>
        </w:rPr>
        <w:t>4.备品备件及长期供货保障</w:t>
      </w:r>
    </w:p>
    <w:p w14:paraId="3D72E55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4.1</w:t>
      </w:r>
      <w:r>
        <w:rPr>
          <w:rFonts w:hint="default" w:ascii="宋体" w:hAnsi="宋体" w:cs="宋体"/>
          <w:b w:val="0"/>
          <w:bCs w:val="0"/>
          <w:color w:val="auto"/>
          <w:sz w:val="24"/>
          <w:szCs w:val="24"/>
          <w:lang w:val="en-US" w:eastAsia="zh-CN"/>
        </w:rPr>
        <w:t xml:space="preserve">质保期内常备常用易损件，保障及时更换。 </w:t>
      </w:r>
    </w:p>
    <w:p w14:paraId="5C24651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4.2</w:t>
      </w:r>
      <w:r>
        <w:rPr>
          <w:rFonts w:hint="default" w:ascii="宋体" w:hAnsi="宋体" w:cs="宋体"/>
          <w:b w:val="0"/>
          <w:bCs w:val="0"/>
          <w:color w:val="auto"/>
          <w:sz w:val="24"/>
          <w:szCs w:val="24"/>
          <w:lang w:val="en-US" w:eastAsia="zh-CN"/>
        </w:rPr>
        <w:t xml:space="preserve">承诺在电梯整机设计使用年限内，持续供应原厂正品零配件，不停止配件供货；质保期满后，配件报价合理，提供优惠供货价格。   </w:t>
      </w:r>
    </w:p>
    <w:p w14:paraId="7E357A9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4.3</w:t>
      </w:r>
      <w:r>
        <w:rPr>
          <w:rFonts w:hint="default" w:ascii="宋体" w:hAnsi="宋体" w:cs="宋体"/>
          <w:b w:val="0"/>
          <w:bCs w:val="0"/>
          <w:color w:val="auto"/>
          <w:sz w:val="24"/>
          <w:szCs w:val="24"/>
          <w:lang w:val="en-US" w:eastAsia="zh-CN"/>
        </w:rPr>
        <w:t>投标人在</w:t>
      </w:r>
      <w:r>
        <w:rPr>
          <w:rFonts w:hint="eastAsia" w:ascii="宋体" w:hAnsi="宋体" w:cs="宋体"/>
          <w:b w:val="0"/>
          <w:bCs w:val="0"/>
          <w:color w:val="auto"/>
          <w:sz w:val="24"/>
          <w:szCs w:val="24"/>
          <w:lang w:val="en-US" w:eastAsia="zh-CN"/>
        </w:rPr>
        <w:t>谈判</w:t>
      </w:r>
      <w:r>
        <w:rPr>
          <w:rFonts w:hint="default" w:ascii="宋体" w:hAnsi="宋体" w:cs="宋体"/>
          <w:b w:val="0"/>
          <w:bCs w:val="0"/>
          <w:color w:val="auto"/>
          <w:sz w:val="24"/>
          <w:szCs w:val="24"/>
          <w:lang w:val="en-US" w:eastAsia="zh-CN"/>
        </w:rPr>
        <w:t>文件中列明主要易损件清单，明确备件供应周期。不得使用翻新件、替代杂牌配件。</w:t>
      </w:r>
    </w:p>
    <w:p w14:paraId="4761D31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5.</w:t>
      </w:r>
      <w:r>
        <w:rPr>
          <w:rFonts w:hint="default" w:ascii="宋体" w:hAnsi="宋体" w:eastAsia="宋体" w:cs="宋体"/>
          <w:b/>
          <w:bCs/>
          <w:color w:val="auto"/>
          <w:sz w:val="24"/>
          <w:szCs w:val="24"/>
          <w:lang w:val="en-US" w:eastAsia="zh-CN"/>
        </w:rPr>
        <w:t>技术培训服务</w:t>
      </w:r>
    </w:p>
    <w:p w14:paraId="34B75C1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5.1</w:t>
      </w:r>
      <w:r>
        <w:rPr>
          <w:rFonts w:hint="default" w:ascii="宋体" w:hAnsi="宋体" w:cs="宋体"/>
          <w:b w:val="0"/>
          <w:bCs w:val="0"/>
          <w:color w:val="auto"/>
          <w:sz w:val="24"/>
          <w:szCs w:val="24"/>
          <w:lang w:val="en-US" w:eastAsia="zh-CN"/>
        </w:rPr>
        <w:t>电梯竣工验收移交前，</w:t>
      </w:r>
      <w:r>
        <w:rPr>
          <w:rFonts w:hint="eastAsia" w:ascii="宋体" w:hAnsi="宋体" w:cs="宋体"/>
          <w:b w:val="0"/>
          <w:bCs w:val="0"/>
          <w:color w:val="auto"/>
          <w:sz w:val="24"/>
          <w:szCs w:val="24"/>
          <w:lang w:val="en-US" w:eastAsia="zh-CN"/>
        </w:rPr>
        <w:t>成交供应商</w:t>
      </w:r>
      <w:r>
        <w:rPr>
          <w:rFonts w:hint="default" w:ascii="宋体" w:hAnsi="宋体" w:cs="宋体"/>
          <w:b w:val="0"/>
          <w:bCs w:val="0"/>
          <w:color w:val="auto"/>
          <w:sz w:val="24"/>
          <w:szCs w:val="24"/>
          <w:lang w:val="en-US" w:eastAsia="zh-CN"/>
        </w:rPr>
        <w:t>对</w:t>
      </w:r>
      <w:r>
        <w:rPr>
          <w:rFonts w:hint="eastAsia" w:ascii="宋体" w:hAnsi="宋体" w:cs="宋体"/>
          <w:b w:val="0"/>
          <w:bCs w:val="0"/>
          <w:color w:val="auto"/>
          <w:sz w:val="24"/>
          <w:szCs w:val="24"/>
          <w:lang w:val="en-US" w:eastAsia="zh-CN"/>
        </w:rPr>
        <w:t>采购</w:t>
      </w:r>
      <w:r>
        <w:rPr>
          <w:rFonts w:hint="default" w:ascii="宋体" w:hAnsi="宋体" w:cs="宋体"/>
          <w:b w:val="0"/>
          <w:bCs w:val="0"/>
          <w:color w:val="auto"/>
          <w:sz w:val="24"/>
          <w:szCs w:val="24"/>
          <w:lang w:val="en-US" w:eastAsia="zh-CN"/>
        </w:rPr>
        <w:t xml:space="preserve">人/物业管理人员开展现场实操培训，培训人员须持有特种设备作业资格证书。 </w:t>
      </w:r>
    </w:p>
    <w:p w14:paraId="47ECD02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5.2</w:t>
      </w:r>
      <w:r>
        <w:rPr>
          <w:rFonts w:hint="default" w:ascii="宋体" w:hAnsi="宋体" w:cs="宋体"/>
          <w:b w:val="0"/>
          <w:bCs w:val="0"/>
          <w:color w:val="auto"/>
          <w:sz w:val="24"/>
          <w:szCs w:val="24"/>
          <w:lang w:val="en-US" w:eastAsia="zh-CN"/>
        </w:rPr>
        <w:t xml:space="preserve">培训内容：电梯基本原理、日常巡查要点、报警装置使用、应急救援操作、常见简单故障识别、安全注意事项、维保记录管理。 </w:t>
      </w:r>
    </w:p>
    <w:p w14:paraId="216A8B0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5.3</w:t>
      </w:r>
      <w:r>
        <w:rPr>
          <w:rFonts w:hint="default" w:ascii="宋体" w:hAnsi="宋体" w:cs="宋体"/>
          <w:b w:val="0"/>
          <w:bCs w:val="0"/>
          <w:color w:val="auto"/>
          <w:sz w:val="24"/>
          <w:szCs w:val="24"/>
          <w:lang w:val="en-US" w:eastAsia="zh-CN"/>
        </w:rPr>
        <w:t xml:space="preserve">提供纸质及电子版培训资料，做好培训签到，形成完整培训记录，未完成培训不予办理移交。 </w:t>
      </w:r>
    </w:p>
    <w:p w14:paraId="4AB11BD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5.4</w:t>
      </w:r>
      <w:r>
        <w:rPr>
          <w:rFonts w:hint="default" w:ascii="宋体" w:hAnsi="宋体" w:cs="宋体"/>
          <w:b w:val="0"/>
          <w:bCs w:val="0"/>
          <w:color w:val="auto"/>
          <w:sz w:val="24"/>
          <w:szCs w:val="24"/>
          <w:lang w:val="en-US" w:eastAsia="zh-CN"/>
        </w:rPr>
        <w:t>质保期内随时提供电话、现场技术咨询支持。</w:t>
      </w:r>
    </w:p>
    <w:p w14:paraId="2AF6791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6.维保档案、资料管理</w:t>
      </w:r>
    </w:p>
    <w:p w14:paraId="1C8E173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6.1</w:t>
      </w:r>
      <w:r>
        <w:rPr>
          <w:rFonts w:hint="default" w:ascii="宋体" w:hAnsi="宋体" w:cs="宋体"/>
          <w:b w:val="0"/>
          <w:bCs w:val="0"/>
          <w:color w:val="auto"/>
          <w:sz w:val="24"/>
          <w:szCs w:val="24"/>
          <w:lang w:val="en-US" w:eastAsia="zh-CN"/>
        </w:rPr>
        <w:t>建立单台电梯独立维保档案，保存维保记录、故障记录、更换配件记录、年检资料，档案留存不少于4年，</w:t>
      </w:r>
      <w:r>
        <w:rPr>
          <w:rFonts w:hint="eastAsia" w:ascii="宋体" w:hAnsi="宋体" w:cs="宋体"/>
          <w:b w:val="0"/>
          <w:bCs w:val="0"/>
          <w:color w:val="auto"/>
          <w:sz w:val="24"/>
          <w:szCs w:val="24"/>
          <w:lang w:val="en-US" w:eastAsia="zh-CN"/>
        </w:rPr>
        <w:t>采购</w:t>
      </w:r>
      <w:r>
        <w:rPr>
          <w:rFonts w:hint="default" w:ascii="宋体" w:hAnsi="宋体" w:cs="宋体"/>
          <w:b w:val="0"/>
          <w:bCs w:val="0"/>
          <w:color w:val="auto"/>
          <w:sz w:val="24"/>
          <w:szCs w:val="24"/>
          <w:lang w:val="en-US" w:eastAsia="zh-CN"/>
        </w:rPr>
        <w:t xml:space="preserve">人可随时查阅。 </w:t>
      </w:r>
    </w:p>
    <w:p w14:paraId="492ED94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6.</w:t>
      </w:r>
      <w:r>
        <w:rPr>
          <w:rFonts w:hint="default" w:ascii="宋体" w:hAnsi="宋体" w:cs="宋体"/>
          <w:b w:val="0"/>
          <w:bCs w:val="0"/>
          <w:color w:val="auto"/>
          <w:sz w:val="24"/>
          <w:szCs w:val="24"/>
          <w:lang w:val="en-US" w:eastAsia="zh-CN"/>
        </w:rPr>
        <w:t>2项目移交时提交全套竣工图纸、电气原理图、部件合格证、型式试验证书、操作手册、维保说明书、专用工具、备品备件清单。</w:t>
      </w:r>
    </w:p>
    <w:p w14:paraId="0DAFD6C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7</w:t>
      </w:r>
      <w:r>
        <w:rPr>
          <w:rFonts w:hint="eastAsia" w:ascii="宋体" w:hAnsi="宋体" w:cs="宋体"/>
          <w:b/>
          <w:bCs/>
          <w:color w:val="auto"/>
          <w:sz w:val="24"/>
          <w:szCs w:val="24"/>
          <w:lang w:val="en-US" w:eastAsia="zh-CN"/>
        </w:rPr>
        <w:t>.</w:t>
      </w:r>
      <w:r>
        <w:rPr>
          <w:rFonts w:hint="eastAsia" w:ascii="宋体" w:hAnsi="宋体" w:eastAsia="宋体" w:cs="宋体"/>
          <w:b/>
          <w:bCs/>
          <w:color w:val="auto"/>
          <w:sz w:val="24"/>
          <w:szCs w:val="24"/>
          <w:lang w:val="en-US" w:eastAsia="zh-CN"/>
        </w:rPr>
        <w:t>质保期满后售后服务承诺（非免费）</w:t>
      </w:r>
    </w:p>
    <w:p w14:paraId="2557756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7.1</w:t>
      </w:r>
      <w:r>
        <w:rPr>
          <w:rFonts w:hint="default" w:ascii="宋体" w:hAnsi="宋体" w:cs="宋体"/>
          <w:b w:val="0"/>
          <w:bCs w:val="0"/>
          <w:color w:val="auto"/>
          <w:sz w:val="24"/>
          <w:szCs w:val="24"/>
          <w:lang w:val="en-US" w:eastAsia="zh-CN"/>
        </w:rPr>
        <w:t>质保到期后，</w:t>
      </w:r>
      <w:r>
        <w:rPr>
          <w:rFonts w:hint="eastAsia" w:ascii="宋体" w:hAnsi="宋体" w:cs="宋体"/>
          <w:b w:val="0"/>
          <w:bCs w:val="0"/>
          <w:color w:val="auto"/>
          <w:sz w:val="24"/>
          <w:szCs w:val="24"/>
          <w:lang w:val="en-US" w:eastAsia="zh-CN"/>
        </w:rPr>
        <w:t>成交供应商</w:t>
      </w:r>
      <w:r>
        <w:rPr>
          <w:rFonts w:hint="default" w:ascii="宋体" w:hAnsi="宋体" w:cs="宋体"/>
          <w:b w:val="0"/>
          <w:bCs w:val="0"/>
          <w:color w:val="auto"/>
          <w:sz w:val="24"/>
          <w:szCs w:val="24"/>
          <w:lang w:val="en-US" w:eastAsia="zh-CN"/>
        </w:rPr>
        <w:t>可提供有偿年度维保方案，维保标准不低于国家规范，报价单独提供，</w:t>
      </w:r>
      <w:r>
        <w:rPr>
          <w:rFonts w:hint="eastAsia" w:ascii="宋体" w:hAnsi="宋体" w:cs="宋体"/>
          <w:b w:val="0"/>
          <w:bCs w:val="0"/>
          <w:color w:val="auto"/>
          <w:sz w:val="24"/>
          <w:szCs w:val="24"/>
          <w:lang w:val="en-US" w:eastAsia="zh-CN"/>
        </w:rPr>
        <w:t>采购人</w:t>
      </w:r>
      <w:r>
        <w:rPr>
          <w:rFonts w:hint="default" w:ascii="宋体" w:hAnsi="宋体" w:cs="宋体"/>
          <w:b w:val="0"/>
          <w:bCs w:val="0"/>
          <w:color w:val="auto"/>
          <w:sz w:val="24"/>
          <w:szCs w:val="24"/>
          <w:lang w:val="en-US" w:eastAsia="zh-CN"/>
        </w:rPr>
        <w:t xml:space="preserve">自主选择。 </w:t>
      </w:r>
    </w:p>
    <w:p w14:paraId="53A7850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7.</w:t>
      </w:r>
      <w:r>
        <w:rPr>
          <w:rFonts w:hint="default" w:ascii="宋体" w:hAnsi="宋体" w:cs="宋体"/>
          <w:b w:val="0"/>
          <w:bCs w:val="0"/>
          <w:color w:val="auto"/>
          <w:sz w:val="24"/>
          <w:szCs w:val="24"/>
          <w:lang w:val="en-US" w:eastAsia="zh-CN"/>
        </w:rPr>
        <w:t>2继续保留 24 小时应急救援、技术咨询、原厂配件提供服务，不得设置技术锁、程序密码限制</w:t>
      </w:r>
      <w:r>
        <w:rPr>
          <w:rFonts w:hint="eastAsia" w:ascii="宋体" w:hAnsi="宋体" w:cs="宋体"/>
          <w:b w:val="0"/>
          <w:bCs w:val="0"/>
          <w:color w:val="auto"/>
          <w:sz w:val="24"/>
          <w:szCs w:val="24"/>
          <w:lang w:val="en-US" w:eastAsia="zh-CN"/>
        </w:rPr>
        <w:t>采购人</w:t>
      </w:r>
      <w:r>
        <w:rPr>
          <w:rFonts w:hint="default" w:ascii="宋体" w:hAnsi="宋体" w:cs="宋体"/>
          <w:b w:val="0"/>
          <w:bCs w:val="0"/>
          <w:color w:val="auto"/>
          <w:sz w:val="24"/>
          <w:szCs w:val="24"/>
          <w:lang w:val="en-US" w:eastAsia="zh-CN"/>
        </w:rPr>
        <w:t>选择其他维保单位。</w:t>
      </w:r>
    </w:p>
    <w:p w14:paraId="440FC794">
      <w:pPr>
        <w:pStyle w:val="4"/>
        <w:pageBreakBefore w:val="0"/>
        <w:widowControl w:val="0"/>
        <w:kinsoku/>
        <w:wordWrap/>
        <w:overflowPunct/>
        <w:topLinePunct w:val="0"/>
        <w:autoSpaceDE/>
        <w:autoSpaceDN/>
        <w:bidi w:val="0"/>
        <w:adjustRightInd/>
        <w:snapToGrid/>
        <w:spacing w:before="0" w:after="0" w:line="480" w:lineRule="exact"/>
        <w:ind w:left="0" w:leftChars="0" w:right="0" w:rightChars="0" w:firstLine="0" w:firstLineChars="0"/>
        <w:jc w:val="both"/>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（六）违约处置</w:t>
      </w:r>
    </w:p>
    <w:p w14:paraId="56AAC6A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8.1</w:t>
      </w:r>
      <w:r>
        <w:rPr>
          <w:rFonts w:hint="default" w:ascii="宋体" w:hAnsi="宋体" w:cs="宋体"/>
          <w:b w:val="0"/>
          <w:bCs w:val="0"/>
          <w:color w:val="auto"/>
          <w:sz w:val="24"/>
          <w:szCs w:val="24"/>
          <w:highlight w:val="none"/>
          <w:lang w:val="en-US" w:eastAsia="zh-CN"/>
        </w:rPr>
        <w:t>除发生不可抗力</w:t>
      </w:r>
      <w:r>
        <w:rPr>
          <w:rFonts w:hint="eastAsia" w:ascii="宋体" w:hAnsi="宋体" w:cs="宋体"/>
          <w:b w:val="0"/>
          <w:bCs w:val="0"/>
          <w:color w:val="auto"/>
          <w:sz w:val="24"/>
          <w:szCs w:val="24"/>
          <w:highlight w:val="none"/>
          <w:lang w:val="en-US" w:eastAsia="zh-CN"/>
        </w:rPr>
        <w:t>情形</w:t>
      </w:r>
      <w:r>
        <w:rPr>
          <w:rFonts w:hint="default" w:ascii="宋体" w:hAnsi="宋体" w:cs="宋体"/>
          <w:b w:val="0"/>
          <w:bCs w:val="0"/>
          <w:color w:val="auto"/>
          <w:sz w:val="24"/>
          <w:szCs w:val="24"/>
          <w:highlight w:val="none"/>
          <w:lang w:val="en-US" w:eastAsia="zh-CN"/>
        </w:rPr>
        <w:t>外，</w:t>
      </w:r>
      <w:r>
        <w:rPr>
          <w:rFonts w:hint="eastAsia" w:ascii="宋体" w:hAnsi="宋体" w:cs="宋体"/>
          <w:b w:val="0"/>
          <w:bCs w:val="0"/>
          <w:color w:val="auto"/>
          <w:sz w:val="24"/>
          <w:szCs w:val="24"/>
          <w:highlight w:val="none"/>
          <w:lang w:val="en-US" w:eastAsia="zh-CN"/>
        </w:rPr>
        <w:t>成交供应商未按合同约定的交货时间及安装调试期限履行义务的，每逾期一日，应当按照合同总价款的0.5%向采购人支付违约金；逾期超过30个日历天的，采购人有权单方解除本合同。若采购人选择解除合同，前述逾期违约金应当计入解约违约金总额，成交供应商总计承担的违约金不超过合同总额的10%；成交供应商应当自收到解除通知之日起10日内，向采购人退还已支付的对应未履行部分款项（扣除采购人应当支付的已完成且验收合格部分的价款）。</w:t>
      </w:r>
    </w:p>
    <w:p w14:paraId="3527E0D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8.2成交供应商交付的设备或安装质量不符合合同约定，经整改后仍不合格，或者未通过法定特种设备监督检验的，采购人有权拒收设备、解除本合同，由此产生的全部损失由成交供应商承担。</w:t>
      </w:r>
    </w:p>
    <w:p w14:paraId="28C16E8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8.3成交供应商擅自将本项目分包、转包或者更换主要部件的，采购人有权责令其立即纠正，并按照合同约定追究违约责任；因上述行为产生的全部费用与责任均由成交供应商承担。</w:t>
      </w:r>
    </w:p>
    <w:p w14:paraId="3C0C8D0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8.4多项违约情形同时发生的，采购人有权合并追究成交供应商的违约责任；若违约金不足以弥补采购人实际损失的，成交供应商还应当就差额部分向采购人承担赔偿责任。</w:t>
      </w:r>
    </w:p>
    <w:p w14:paraId="5C7AA96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8.5成交供应商存在</w:t>
      </w:r>
      <w:r>
        <w:rPr>
          <w:rFonts w:hint="default" w:ascii="宋体" w:hAnsi="宋体" w:cs="宋体"/>
          <w:b w:val="0"/>
          <w:bCs w:val="0"/>
          <w:color w:val="auto"/>
          <w:sz w:val="24"/>
          <w:szCs w:val="24"/>
          <w:highlight w:val="none"/>
          <w:lang w:val="en-US" w:eastAsia="zh-CN"/>
        </w:rPr>
        <w:t>维保不到位、应急响应超时、使用非原厂配件</w:t>
      </w:r>
      <w:r>
        <w:rPr>
          <w:rFonts w:hint="eastAsia" w:ascii="宋体" w:hAnsi="宋体" w:cs="宋体"/>
          <w:b w:val="0"/>
          <w:bCs w:val="0"/>
          <w:color w:val="auto"/>
          <w:sz w:val="24"/>
          <w:szCs w:val="24"/>
          <w:highlight w:val="none"/>
          <w:lang w:val="en-US" w:eastAsia="zh-CN"/>
        </w:rPr>
        <w:t>、</w:t>
      </w:r>
      <w:r>
        <w:rPr>
          <w:rFonts w:hint="default" w:ascii="宋体" w:hAnsi="宋体" w:cs="宋体"/>
          <w:b w:val="0"/>
          <w:bCs w:val="0"/>
          <w:color w:val="auto"/>
          <w:sz w:val="24"/>
          <w:szCs w:val="24"/>
          <w:highlight w:val="none"/>
          <w:lang w:val="en-US" w:eastAsia="zh-CN"/>
        </w:rPr>
        <w:t>擅自转包维保业务</w:t>
      </w:r>
      <w:r>
        <w:rPr>
          <w:rFonts w:hint="eastAsia" w:ascii="宋体" w:hAnsi="宋体" w:cs="宋体"/>
          <w:b w:val="0"/>
          <w:bCs w:val="0"/>
          <w:color w:val="auto"/>
          <w:sz w:val="24"/>
          <w:szCs w:val="24"/>
          <w:highlight w:val="none"/>
          <w:lang w:val="en-US" w:eastAsia="zh-CN"/>
        </w:rPr>
        <w:t>情形的</w:t>
      </w:r>
      <w:r>
        <w:rPr>
          <w:rFonts w:hint="default" w:ascii="宋体" w:hAnsi="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采购人</w:t>
      </w:r>
      <w:r>
        <w:rPr>
          <w:rFonts w:hint="default" w:ascii="宋体" w:hAnsi="宋体" w:cs="宋体"/>
          <w:b w:val="0"/>
          <w:bCs w:val="0"/>
          <w:color w:val="auto"/>
          <w:sz w:val="24"/>
          <w:szCs w:val="24"/>
          <w:highlight w:val="none"/>
          <w:lang w:val="en-US" w:eastAsia="zh-CN"/>
        </w:rPr>
        <w:t>有权</w:t>
      </w:r>
      <w:r>
        <w:rPr>
          <w:rFonts w:hint="eastAsia" w:ascii="宋体" w:hAnsi="宋体" w:cs="宋体"/>
          <w:b w:val="0"/>
          <w:bCs w:val="0"/>
          <w:color w:val="auto"/>
          <w:sz w:val="24"/>
          <w:szCs w:val="24"/>
          <w:highlight w:val="none"/>
          <w:lang w:val="en-US" w:eastAsia="zh-CN"/>
        </w:rPr>
        <w:t>向其</w:t>
      </w:r>
      <w:r>
        <w:rPr>
          <w:rFonts w:hint="default" w:ascii="宋体" w:hAnsi="宋体" w:cs="宋体"/>
          <w:b w:val="0"/>
          <w:bCs w:val="0"/>
          <w:color w:val="auto"/>
          <w:sz w:val="24"/>
          <w:szCs w:val="24"/>
          <w:highlight w:val="none"/>
          <w:lang w:val="en-US" w:eastAsia="zh-CN"/>
        </w:rPr>
        <w:t>下达整改通知；限期未整改到位</w:t>
      </w:r>
      <w:r>
        <w:rPr>
          <w:rFonts w:hint="eastAsia" w:ascii="宋体" w:hAnsi="宋体" w:cs="宋体"/>
          <w:b w:val="0"/>
          <w:bCs w:val="0"/>
          <w:color w:val="auto"/>
          <w:sz w:val="24"/>
          <w:szCs w:val="24"/>
          <w:highlight w:val="none"/>
          <w:lang w:val="en-US" w:eastAsia="zh-CN"/>
        </w:rPr>
        <w:t>的</w:t>
      </w:r>
      <w:r>
        <w:rPr>
          <w:rFonts w:hint="default" w:ascii="宋体" w:hAnsi="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采购人有权按照合同约定收取违约金，并暂停支付未付合同款项；同时采购人可委托第三方实施维保、维修或更换，所产生的全部费用均由成交供应商承担。</w:t>
      </w:r>
    </w:p>
    <w:p w14:paraId="552F38C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8.6</w:t>
      </w:r>
      <w:r>
        <w:rPr>
          <w:rFonts w:hint="default" w:ascii="宋体" w:hAnsi="宋体" w:cs="宋体"/>
          <w:b w:val="0"/>
          <w:bCs w:val="0"/>
          <w:color w:val="auto"/>
          <w:sz w:val="24"/>
          <w:szCs w:val="24"/>
          <w:highlight w:val="none"/>
          <w:lang w:val="en-US" w:eastAsia="zh-CN"/>
        </w:rPr>
        <w:t>因维保失职</w:t>
      </w:r>
      <w:r>
        <w:rPr>
          <w:rFonts w:hint="eastAsia" w:ascii="宋体" w:hAnsi="宋体" w:cs="宋体"/>
          <w:b w:val="0"/>
          <w:bCs w:val="0"/>
          <w:color w:val="auto"/>
          <w:sz w:val="24"/>
          <w:szCs w:val="24"/>
          <w:highlight w:val="none"/>
          <w:lang w:val="en-US" w:eastAsia="zh-CN"/>
        </w:rPr>
        <w:t>造成</w:t>
      </w:r>
      <w:r>
        <w:rPr>
          <w:rFonts w:hint="default" w:ascii="宋体" w:hAnsi="宋体" w:cs="宋体"/>
          <w:b w:val="0"/>
          <w:bCs w:val="0"/>
          <w:color w:val="auto"/>
          <w:sz w:val="24"/>
          <w:szCs w:val="24"/>
          <w:highlight w:val="none"/>
          <w:lang w:val="en-US" w:eastAsia="zh-CN"/>
        </w:rPr>
        <w:t>安全事故、设备严重损坏</w:t>
      </w:r>
      <w:r>
        <w:rPr>
          <w:rFonts w:hint="eastAsia" w:ascii="宋体" w:hAnsi="宋体" w:cs="宋体"/>
          <w:b w:val="0"/>
          <w:bCs w:val="0"/>
          <w:color w:val="auto"/>
          <w:sz w:val="24"/>
          <w:szCs w:val="24"/>
          <w:highlight w:val="none"/>
          <w:lang w:val="en-US" w:eastAsia="zh-CN"/>
        </w:rPr>
        <w:t>的</w:t>
      </w:r>
      <w:r>
        <w:rPr>
          <w:rFonts w:hint="default" w:ascii="宋体" w:hAnsi="宋体" w:cs="宋体"/>
          <w:b w:val="0"/>
          <w:bCs w:val="0"/>
          <w:color w:val="auto"/>
          <w:sz w:val="24"/>
          <w:szCs w:val="24"/>
          <w:highlight w:val="none"/>
          <w:lang w:val="en-US" w:eastAsia="zh-CN"/>
        </w:rPr>
        <w:t>，全部责任</w:t>
      </w:r>
      <w:r>
        <w:rPr>
          <w:rFonts w:hint="eastAsia" w:ascii="宋体" w:hAnsi="宋体" w:cs="宋体"/>
          <w:b w:val="0"/>
          <w:bCs w:val="0"/>
          <w:color w:val="auto"/>
          <w:sz w:val="24"/>
          <w:szCs w:val="24"/>
          <w:highlight w:val="none"/>
          <w:lang w:val="en-US" w:eastAsia="zh-CN"/>
        </w:rPr>
        <w:t>及</w:t>
      </w:r>
      <w:r>
        <w:rPr>
          <w:rFonts w:hint="default" w:ascii="宋体" w:hAnsi="宋体" w:cs="宋体"/>
          <w:b w:val="0"/>
          <w:bCs w:val="0"/>
          <w:color w:val="auto"/>
          <w:sz w:val="24"/>
          <w:szCs w:val="24"/>
          <w:highlight w:val="none"/>
          <w:lang w:val="en-US" w:eastAsia="zh-CN"/>
        </w:rPr>
        <w:t>经济损失</w:t>
      </w:r>
      <w:r>
        <w:rPr>
          <w:rFonts w:hint="eastAsia" w:ascii="宋体" w:hAnsi="宋体" w:cs="宋体"/>
          <w:b w:val="0"/>
          <w:bCs w:val="0"/>
          <w:color w:val="auto"/>
          <w:sz w:val="24"/>
          <w:szCs w:val="24"/>
          <w:highlight w:val="none"/>
          <w:lang w:val="en-US" w:eastAsia="zh-CN"/>
        </w:rPr>
        <w:t>均由成交供应商</w:t>
      </w:r>
      <w:r>
        <w:rPr>
          <w:rFonts w:hint="default" w:ascii="宋体" w:hAnsi="宋体" w:cs="宋体"/>
          <w:b w:val="0"/>
          <w:bCs w:val="0"/>
          <w:color w:val="auto"/>
          <w:sz w:val="24"/>
          <w:szCs w:val="24"/>
          <w:highlight w:val="none"/>
          <w:lang w:val="en-US" w:eastAsia="zh-CN"/>
        </w:rPr>
        <w:t>承担。</w:t>
      </w:r>
    </w:p>
    <w:p w14:paraId="007052E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8.7采购人</w:t>
      </w:r>
      <w:r>
        <w:rPr>
          <w:rFonts w:hint="default" w:ascii="宋体" w:hAnsi="宋体" w:cs="宋体"/>
          <w:b w:val="0"/>
          <w:bCs w:val="0"/>
          <w:color w:val="auto"/>
          <w:sz w:val="24"/>
          <w:szCs w:val="24"/>
          <w:highlight w:val="none"/>
          <w:lang w:val="en-US" w:eastAsia="zh-CN"/>
        </w:rPr>
        <w:t>无正当理由</w:t>
      </w:r>
      <w:r>
        <w:rPr>
          <w:rFonts w:hint="eastAsia" w:ascii="宋体" w:hAnsi="宋体" w:cs="宋体"/>
          <w:b w:val="0"/>
          <w:bCs w:val="0"/>
          <w:color w:val="auto"/>
          <w:sz w:val="24"/>
          <w:szCs w:val="24"/>
          <w:highlight w:val="none"/>
          <w:lang w:val="en-US" w:eastAsia="zh-CN"/>
        </w:rPr>
        <w:t>单方</w:t>
      </w:r>
      <w:r>
        <w:rPr>
          <w:rFonts w:hint="default" w:ascii="宋体" w:hAnsi="宋体" w:cs="宋体"/>
          <w:b w:val="0"/>
          <w:bCs w:val="0"/>
          <w:color w:val="auto"/>
          <w:sz w:val="24"/>
          <w:szCs w:val="24"/>
          <w:highlight w:val="none"/>
          <w:lang w:val="en-US" w:eastAsia="zh-CN"/>
        </w:rPr>
        <w:t>解除</w:t>
      </w:r>
      <w:r>
        <w:rPr>
          <w:rFonts w:hint="eastAsia" w:ascii="宋体" w:hAnsi="宋体" w:cs="宋体"/>
          <w:b w:val="0"/>
          <w:bCs w:val="0"/>
          <w:color w:val="auto"/>
          <w:sz w:val="24"/>
          <w:szCs w:val="24"/>
          <w:highlight w:val="none"/>
          <w:lang w:val="en-US" w:eastAsia="zh-CN"/>
        </w:rPr>
        <w:t>本合同</w:t>
      </w:r>
      <w:r>
        <w:rPr>
          <w:rFonts w:hint="default" w:ascii="宋体" w:hAnsi="宋体" w:cs="宋体"/>
          <w:b w:val="0"/>
          <w:bCs w:val="0"/>
          <w:color w:val="auto"/>
          <w:sz w:val="24"/>
          <w:szCs w:val="24"/>
          <w:highlight w:val="none"/>
          <w:lang w:val="en-US" w:eastAsia="zh-CN"/>
        </w:rPr>
        <w:t>的，</w:t>
      </w:r>
      <w:r>
        <w:rPr>
          <w:rFonts w:hint="eastAsia" w:ascii="宋体" w:hAnsi="宋体" w:cs="宋体"/>
          <w:b w:val="0"/>
          <w:bCs w:val="0"/>
          <w:color w:val="auto"/>
          <w:sz w:val="24"/>
          <w:szCs w:val="24"/>
          <w:highlight w:val="none"/>
          <w:lang w:val="en-US" w:eastAsia="zh-CN"/>
        </w:rPr>
        <w:t>应当</w:t>
      </w:r>
      <w:r>
        <w:rPr>
          <w:rFonts w:hint="default" w:ascii="宋体" w:hAnsi="宋体" w:cs="宋体"/>
          <w:b w:val="0"/>
          <w:bCs w:val="0"/>
          <w:color w:val="auto"/>
          <w:sz w:val="24"/>
          <w:szCs w:val="24"/>
          <w:highlight w:val="none"/>
          <w:lang w:val="en-US" w:eastAsia="zh-CN"/>
        </w:rPr>
        <w:t>按</w:t>
      </w:r>
      <w:r>
        <w:rPr>
          <w:rFonts w:hint="eastAsia" w:ascii="宋体" w:hAnsi="宋体" w:cs="宋体"/>
          <w:b w:val="0"/>
          <w:bCs w:val="0"/>
          <w:color w:val="auto"/>
          <w:sz w:val="24"/>
          <w:szCs w:val="24"/>
          <w:highlight w:val="none"/>
          <w:lang w:val="en-US" w:eastAsia="zh-CN"/>
        </w:rPr>
        <w:t>照成交供应商</w:t>
      </w:r>
      <w:r>
        <w:rPr>
          <w:rFonts w:hint="default" w:ascii="宋体" w:hAnsi="宋体" w:cs="宋体"/>
          <w:b w:val="0"/>
          <w:bCs w:val="0"/>
          <w:color w:val="auto"/>
          <w:sz w:val="24"/>
          <w:szCs w:val="24"/>
          <w:highlight w:val="none"/>
          <w:lang w:val="en-US" w:eastAsia="zh-CN"/>
        </w:rPr>
        <w:t>实际完成且经</w:t>
      </w:r>
      <w:r>
        <w:rPr>
          <w:rFonts w:hint="eastAsia" w:ascii="宋体" w:hAnsi="宋体" w:cs="宋体"/>
          <w:b w:val="0"/>
          <w:bCs w:val="0"/>
          <w:color w:val="auto"/>
          <w:sz w:val="24"/>
          <w:szCs w:val="24"/>
          <w:highlight w:val="none"/>
          <w:lang w:val="en-US" w:eastAsia="zh-CN"/>
        </w:rPr>
        <w:t>采购人</w:t>
      </w:r>
      <w:r>
        <w:rPr>
          <w:rFonts w:hint="default" w:ascii="宋体" w:hAnsi="宋体" w:cs="宋体"/>
          <w:b w:val="0"/>
          <w:bCs w:val="0"/>
          <w:color w:val="auto"/>
          <w:sz w:val="24"/>
          <w:szCs w:val="24"/>
          <w:highlight w:val="none"/>
          <w:lang w:val="en-US" w:eastAsia="zh-CN"/>
        </w:rPr>
        <w:t>确认合格的工作量支付相应价款，并向</w:t>
      </w:r>
      <w:r>
        <w:rPr>
          <w:rFonts w:hint="eastAsia" w:ascii="宋体" w:hAnsi="宋体" w:cs="宋体"/>
          <w:b w:val="0"/>
          <w:bCs w:val="0"/>
          <w:color w:val="auto"/>
          <w:sz w:val="24"/>
          <w:szCs w:val="24"/>
          <w:highlight w:val="none"/>
          <w:lang w:val="en-US" w:eastAsia="zh-CN"/>
        </w:rPr>
        <w:t>成交供应商</w:t>
      </w:r>
      <w:r>
        <w:rPr>
          <w:rFonts w:hint="default" w:ascii="宋体" w:hAnsi="宋体" w:cs="宋体"/>
          <w:b w:val="0"/>
          <w:bCs w:val="0"/>
          <w:color w:val="auto"/>
          <w:sz w:val="24"/>
          <w:szCs w:val="24"/>
          <w:highlight w:val="none"/>
          <w:lang w:val="en-US" w:eastAsia="zh-CN"/>
        </w:rPr>
        <w:t>支付不超过合同总额10%的违约</w:t>
      </w:r>
      <w:r>
        <w:rPr>
          <w:rFonts w:hint="eastAsia" w:ascii="宋体" w:hAnsi="宋体" w:cs="宋体"/>
          <w:b w:val="0"/>
          <w:bCs w:val="0"/>
          <w:color w:val="auto"/>
          <w:sz w:val="24"/>
          <w:szCs w:val="24"/>
          <w:highlight w:val="none"/>
          <w:lang w:val="en-US" w:eastAsia="zh-CN"/>
        </w:rPr>
        <w:t>金；成交供应商应当</w:t>
      </w:r>
      <w:r>
        <w:rPr>
          <w:rFonts w:hint="default" w:ascii="宋体" w:hAnsi="宋体" w:cs="宋体"/>
          <w:b w:val="0"/>
          <w:bCs w:val="0"/>
          <w:color w:val="auto"/>
          <w:sz w:val="24"/>
          <w:szCs w:val="24"/>
          <w:highlight w:val="none"/>
          <w:lang w:val="en-US" w:eastAsia="zh-CN"/>
        </w:rPr>
        <w:t>退还尚未安装或未经验收的设备。</w:t>
      </w:r>
    </w:p>
    <w:p w14:paraId="099B353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8.8采购人</w:t>
      </w:r>
      <w:r>
        <w:rPr>
          <w:rFonts w:hint="default" w:ascii="宋体" w:hAnsi="宋体" w:cs="宋体"/>
          <w:b w:val="0"/>
          <w:bCs w:val="0"/>
          <w:color w:val="auto"/>
          <w:sz w:val="24"/>
          <w:szCs w:val="24"/>
          <w:highlight w:val="none"/>
          <w:lang w:val="en-US" w:eastAsia="zh-CN"/>
        </w:rPr>
        <w:t>有权</w:t>
      </w:r>
      <w:r>
        <w:rPr>
          <w:rFonts w:hint="eastAsia" w:ascii="宋体" w:hAnsi="宋体" w:cs="宋体"/>
          <w:b w:val="0"/>
          <w:bCs w:val="0"/>
          <w:color w:val="auto"/>
          <w:sz w:val="24"/>
          <w:szCs w:val="24"/>
          <w:highlight w:val="none"/>
          <w:lang w:val="en-US" w:eastAsia="zh-CN"/>
        </w:rPr>
        <w:t>拒绝支付</w:t>
      </w:r>
      <w:r>
        <w:rPr>
          <w:rFonts w:hint="default" w:ascii="宋体" w:hAnsi="宋体" w:cs="宋体"/>
          <w:b w:val="0"/>
          <w:bCs w:val="0"/>
          <w:color w:val="auto"/>
          <w:sz w:val="24"/>
          <w:szCs w:val="24"/>
          <w:highlight w:val="none"/>
          <w:lang w:val="en-US" w:eastAsia="zh-CN"/>
        </w:rPr>
        <w:t>合同</w:t>
      </w:r>
      <w:r>
        <w:rPr>
          <w:rFonts w:hint="eastAsia" w:ascii="宋体" w:hAnsi="宋体" w:cs="宋体"/>
          <w:b w:val="0"/>
          <w:bCs w:val="0"/>
          <w:color w:val="auto"/>
          <w:sz w:val="24"/>
          <w:szCs w:val="24"/>
          <w:highlight w:val="none"/>
          <w:lang w:val="en-US" w:eastAsia="zh-CN"/>
        </w:rPr>
        <w:t>约定</w:t>
      </w:r>
      <w:r>
        <w:rPr>
          <w:rFonts w:hint="default" w:ascii="宋体" w:hAnsi="宋体" w:cs="宋体"/>
          <w:b w:val="0"/>
          <w:bCs w:val="0"/>
          <w:color w:val="auto"/>
          <w:sz w:val="24"/>
          <w:szCs w:val="24"/>
          <w:highlight w:val="none"/>
          <w:lang w:val="en-US" w:eastAsia="zh-CN"/>
        </w:rPr>
        <w:t>价款以外的</w:t>
      </w:r>
      <w:r>
        <w:rPr>
          <w:rFonts w:hint="eastAsia" w:ascii="宋体" w:hAnsi="宋体" w:cs="宋体"/>
          <w:b w:val="0"/>
          <w:bCs w:val="0"/>
          <w:color w:val="auto"/>
          <w:sz w:val="24"/>
          <w:szCs w:val="24"/>
          <w:highlight w:val="none"/>
          <w:lang w:val="en-US" w:eastAsia="zh-CN"/>
        </w:rPr>
        <w:t>任何</w:t>
      </w:r>
      <w:r>
        <w:rPr>
          <w:rFonts w:hint="default" w:ascii="宋体" w:hAnsi="宋体" w:cs="宋体"/>
          <w:b w:val="0"/>
          <w:bCs w:val="0"/>
          <w:color w:val="auto"/>
          <w:sz w:val="24"/>
          <w:szCs w:val="24"/>
          <w:highlight w:val="none"/>
          <w:lang w:val="en-US" w:eastAsia="zh-CN"/>
        </w:rPr>
        <w:t>其他费用。因</w:t>
      </w:r>
      <w:r>
        <w:rPr>
          <w:rFonts w:hint="eastAsia" w:ascii="宋体" w:hAnsi="宋体" w:cs="宋体"/>
          <w:b w:val="0"/>
          <w:bCs w:val="0"/>
          <w:color w:val="auto"/>
          <w:sz w:val="24"/>
          <w:szCs w:val="24"/>
          <w:highlight w:val="none"/>
          <w:lang w:val="en-US" w:eastAsia="zh-CN"/>
        </w:rPr>
        <w:t>成交供应商</w:t>
      </w:r>
      <w:r>
        <w:rPr>
          <w:rFonts w:hint="default" w:ascii="宋体" w:hAnsi="宋体" w:cs="宋体"/>
          <w:b w:val="0"/>
          <w:bCs w:val="0"/>
          <w:color w:val="auto"/>
          <w:sz w:val="24"/>
          <w:szCs w:val="24"/>
          <w:highlight w:val="none"/>
          <w:lang w:val="en-US" w:eastAsia="zh-CN"/>
        </w:rPr>
        <w:t>违约</w:t>
      </w:r>
      <w:r>
        <w:rPr>
          <w:rFonts w:hint="eastAsia" w:ascii="宋体" w:hAnsi="宋体" w:cs="宋体"/>
          <w:b w:val="0"/>
          <w:bCs w:val="0"/>
          <w:color w:val="auto"/>
          <w:sz w:val="24"/>
          <w:szCs w:val="24"/>
          <w:highlight w:val="none"/>
          <w:lang w:val="en-US" w:eastAsia="zh-CN"/>
        </w:rPr>
        <w:t>导致采购人</w:t>
      </w:r>
      <w:r>
        <w:rPr>
          <w:rFonts w:hint="default" w:ascii="宋体" w:hAnsi="宋体" w:cs="宋体"/>
          <w:b w:val="0"/>
          <w:bCs w:val="0"/>
          <w:color w:val="auto"/>
          <w:sz w:val="24"/>
          <w:szCs w:val="24"/>
          <w:highlight w:val="none"/>
          <w:lang w:val="en-US" w:eastAsia="zh-CN"/>
        </w:rPr>
        <w:t>因诉讼、维权产生的合理费用(包括但不限于律师费、诉讼费、保全费等</w:t>
      </w:r>
      <w:r>
        <w:rPr>
          <w:rFonts w:hint="eastAsia" w:ascii="宋体" w:hAnsi="宋体" w:cs="宋体"/>
          <w:b w:val="0"/>
          <w:bCs w:val="0"/>
          <w:color w:val="auto"/>
          <w:sz w:val="24"/>
          <w:szCs w:val="24"/>
          <w:highlight w:val="none"/>
          <w:lang w:val="en-US" w:eastAsia="zh-CN"/>
        </w:rPr>
        <w:t>）</w:t>
      </w:r>
      <w:r>
        <w:rPr>
          <w:rFonts w:hint="default" w:ascii="宋体" w:hAnsi="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应当由成交供应商向采购人予以赔偿；采购人</w:t>
      </w:r>
      <w:r>
        <w:rPr>
          <w:rFonts w:hint="default" w:ascii="宋体" w:hAnsi="宋体" w:cs="宋体"/>
          <w:b w:val="0"/>
          <w:bCs w:val="0"/>
          <w:color w:val="auto"/>
          <w:sz w:val="24"/>
          <w:szCs w:val="24"/>
          <w:highlight w:val="none"/>
          <w:lang w:val="en-US" w:eastAsia="zh-CN"/>
        </w:rPr>
        <w:t>主张</w:t>
      </w:r>
      <w:r>
        <w:rPr>
          <w:rFonts w:hint="eastAsia" w:ascii="宋体" w:hAnsi="宋体" w:cs="宋体"/>
          <w:b w:val="0"/>
          <w:bCs w:val="0"/>
          <w:color w:val="auto"/>
          <w:sz w:val="24"/>
          <w:szCs w:val="24"/>
          <w:highlight w:val="none"/>
          <w:lang w:val="en-US" w:eastAsia="zh-CN"/>
        </w:rPr>
        <w:t>上述</w:t>
      </w:r>
      <w:r>
        <w:rPr>
          <w:rFonts w:hint="default" w:ascii="宋体" w:hAnsi="宋体" w:cs="宋体"/>
          <w:b w:val="0"/>
          <w:bCs w:val="0"/>
          <w:color w:val="auto"/>
          <w:sz w:val="24"/>
          <w:szCs w:val="24"/>
          <w:highlight w:val="none"/>
          <w:lang w:val="en-US" w:eastAsia="zh-CN"/>
        </w:rPr>
        <w:t>费用的，</w:t>
      </w:r>
      <w:r>
        <w:rPr>
          <w:rFonts w:hint="eastAsia" w:ascii="宋体" w:hAnsi="宋体" w:cs="宋体"/>
          <w:b w:val="0"/>
          <w:bCs w:val="0"/>
          <w:color w:val="auto"/>
          <w:sz w:val="24"/>
          <w:szCs w:val="24"/>
          <w:highlight w:val="none"/>
          <w:lang w:val="en-US" w:eastAsia="zh-CN"/>
        </w:rPr>
        <w:t>应当</w:t>
      </w:r>
      <w:r>
        <w:rPr>
          <w:rFonts w:hint="default" w:ascii="宋体" w:hAnsi="宋体" w:cs="宋体"/>
          <w:b w:val="0"/>
          <w:bCs w:val="0"/>
          <w:color w:val="auto"/>
          <w:sz w:val="24"/>
          <w:szCs w:val="24"/>
          <w:highlight w:val="none"/>
          <w:lang w:val="en-US" w:eastAsia="zh-CN"/>
        </w:rPr>
        <w:t>提供有效支付凭证。</w:t>
      </w:r>
    </w:p>
    <w:p w14:paraId="06459636">
      <w:pPr>
        <w:pStyle w:val="7"/>
        <w:ind w:left="0" w:leftChars="0" w:firstLine="0" w:firstLineChars="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8.9发生不可抗力事件时，双方应采取合理措施防止损失扩大。供应商应在不可抗力消除后立即恢复履行，并提供替代方案。因供应商未及时通知或未采取减损措施造成的扩大损失，由供应商承担赔偿责任。</w:t>
      </w:r>
    </w:p>
    <w:p w14:paraId="77381FE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宋体" w:hAnsi="宋体" w:cs="宋体"/>
          <w:b w:val="0"/>
          <w:bCs w:val="0"/>
          <w:color w:val="auto"/>
          <w:sz w:val="24"/>
          <w:szCs w:val="24"/>
          <w:lang w:val="en-US" w:eastAsia="zh-CN"/>
        </w:rPr>
      </w:pPr>
    </w:p>
    <w:p w14:paraId="4F4FB024">
      <w:pPr>
        <w:pStyle w:val="3"/>
        <w:pageBreakBefore w:val="0"/>
        <w:widowControl w:val="0"/>
        <w:kinsoku/>
        <w:wordWrap/>
        <w:overflowPunct/>
        <w:topLinePunct w:val="0"/>
        <w:autoSpaceDE/>
        <w:autoSpaceDN/>
        <w:bidi w:val="0"/>
        <w:adjustRightInd/>
        <w:snapToGrid/>
        <w:spacing w:before="0" w:after="0" w:line="560" w:lineRule="exact"/>
        <w:ind w:left="0" w:leftChars="0" w:right="0" w:rightChars="0" w:firstLine="0" w:firstLineChars="0"/>
        <w:jc w:val="both"/>
        <w:textAlignment w:val="auto"/>
        <w:rPr>
          <w:rFonts w:hint="eastAsia"/>
          <w:color w:val="auto"/>
          <w:sz w:val="28"/>
          <w:szCs w:val="28"/>
          <w:lang w:val="en-US" w:eastAsia="zh-CN"/>
        </w:rPr>
      </w:pPr>
      <w:bookmarkStart w:id="234" w:name="_Toc6118_WPSOffice_Level2"/>
      <w:bookmarkStart w:id="235" w:name="_Toc32254"/>
      <w:bookmarkStart w:id="236" w:name="_Toc837"/>
      <w:bookmarkStart w:id="237" w:name="_Toc1886"/>
      <w:bookmarkStart w:id="238" w:name="_Toc18618"/>
      <w:r>
        <w:rPr>
          <w:rFonts w:hint="eastAsia"/>
          <w:color w:val="auto"/>
          <w:sz w:val="28"/>
          <w:szCs w:val="28"/>
          <w:lang w:val="en-US" w:eastAsia="zh-CN"/>
        </w:rPr>
        <w:t>五、</w:t>
      </w:r>
      <w:bookmarkEnd w:id="234"/>
      <w:bookmarkStart w:id="239" w:name="_Toc24832_WPSOffice_Level2"/>
      <w:r>
        <w:rPr>
          <w:rFonts w:hint="eastAsia"/>
          <w:color w:val="auto"/>
          <w:sz w:val="28"/>
          <w:szCs w:val="28"/>
          <w:lang w:val="en-US" w:eastAsia="zh-CN"/>
        </w:rPr>
        <w:t>可实质性变动的实质性要求</w:t>
      </w:r>
      <w:bookmarkEnd w:id="235"/>
      <w:bookmarkEnd w:id="236"/>
      <w:bookmarkEnd w:id="237"/>
      <w:bookmarkEnd w:id="238"/>
      <w:bookmarkEnd w:id="239"/>
    </w:p>
    <w:p w14:paraId="04A2DB4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rPr>
          <w:rFonts w:hint="eastAsia"/>
          <w:color w:val="auto"/>
          <w:lang w:eastAsia="zh-CN"/>
        </w:rPr>
      </w:pPr>
      <w:r>
        <w:rPr>
          <w:rFonts w:hint="eastAsia" w:ascii="宋体" w:hAnsi="宋体" w:eastAsia="宋体" w:cs="宋体"/>
          <w:color w:val="auto"/>
          <w:sz w:val="24"/>
          <w:szCs w:val="24"/>
          <w:lang w:val="en-US" w:eastAsia="zh-CN"/>
        </w:rPr>
        <w:t>项目需求部分</w:t>
      </w:r>
      <w:r>
        <w:rPr>
          <w:rFonts w:hint="eastAsia" w:ascii="宋体" w:hAnsi="宋体" w:eastAsia="宋体" w:cs="宋体"/>
          <w:color w:val="auto"/>
          <w:sz w:val="24"/>
          <w:szCs w:val="24"/>
        </w:rPr>
        <w:t>加◆号的要求为本项目可实质性变动的实质性要求</w:t>
      </w:r>
      <w:r>
        <w:rPr>
          <w:rFonts w:hint="eastAsia" w:ascii="宋体" w:hAnsi="宋体" w:eastAsia="宋体" w:cs="宋体"/>
          <w:color w:val="auto"/>
          <w:sz w:val="24"/>
          <w:szCs w:val="24"/>
          <w:lang w:eastAsia="zh-CN"/>
        </w:rPr>
        <w:t>。</w:t>
      </w:r>
      <w:bookmarkStart w:id="240" w:name="_Toc23175"/>
      <w:bookmarkStart w:id="241" w:name="_Toc3153"/>
      <w:bookmarkStart w:id="242" w:name="_Toc32299"/>
      <w:bookmarkStart w:id="243" w:name="_Toc12826_WPSOffice_Level1"/>
    </w:p>
    <w:p w14:paraId="665BAE39">
      <w:pPr>
        <w:rPr>
          <w:rFonts w:hint="eastAsia"/>
          <w:color w:val="auto"/>
          <w:lang w:eastAsia="zh-CN"/>
        </w:rPr>
      </w:pPr>
      <w:bookmarkStart w:id="244" w:name="_Toc7730"/>
      <w:bookmarkStart w:id="245" w:name="_Toc28772"/>
    </w:p>
    <w:p w14:paraId="4FACA1C1">
      <w:pPr>
        <w:rPr>
          <w:rFonts w:hint="eastAsia"/>
          <w:color w:val="auto"/>
          <w:lang w:eastAsia="zh-CN"/>
        </w:rPr>
      </w:pPr>
    </w:p>
    <w:p w14:paraId="600A71F6">
      <w:pPr>
        <w:pStyle w:val="2"/>
        <w:ind w:firstLine="1760" w:firstLineChars="400"/>
        <w:rPr>
          <w:rFonts w:hint="eastAsia"/>
          <w:color w:val="auto"/>
        </w:rPr>
      </w:pPr>
      <w:bookmarkStart w:id="246" w:name="_Toc29063"/>
      <w:r>
        <w:rPr>
          <w:rFonts w:hint="eastAsia"/>
          <w:color w:val="auto"/>
          <w:lang w:eastAsia="zh-CN"/>
        </w:rPr>
        <w:t>第四章</w:t>
      </w:r>
      <w:r>
        <w:rPr>
          <w:rFonts w:hint="eastAsia"/>
          <w:color w:val="auto"/>
        </w:rPr>
        <w:t xml:space="preserve">  政府采购合同（草案）</w:t>
      </w:r>
      <w:bookmarkEnd w:id="240"/>
      <w:bookmarkEnd w:id="241"/>
      <w:bookmarkEnd w:id="242"/>
      <w:bookmarkEnd w:id="244"/>
      <w:bookmarkEnd w:id="245"/>
      <w:bookmarkEnd w:id="246"/>
    </w:p>
    <w:p w14:paraId="032C3793">
      <w:pPr>
        <w:autoSpaceDE w:val="0"/>
        <w:autoSpaceDN w:val="0"/>
        <w:adjustRightInd w:val="0"/>
        <w:spacing w:line="300" w:lineRule="auto"/>
        <w:jc w:val="center"/>
        <w:rPr>
          <w:rFonts w:hint="eastAsia" w:ascii="楷体_GB2312" w:eastAsia="楷体_GB2312" w:cs="楷体_GB2312"/>
          <w:b/>
          <w:bCs/>
          <w:color w:val="auto"/>
          <w:kern w:val="0"/>
          <w:sz w:val="44"/>
          <w:szCs w:val="44"/>
        </w:rPr>
      </w:pPr>
      <w:bookmarkStart w:id="247" w:name="_Toc25025"/>
      <w:bookmarkStart w:id="248" w:name="_Toc8607"/>
      <w:r>
        <w:rPr>
          <w:rFonts w:hint="eastAsia" w:ascii="楷体_GB2312" w:eastAsia="楷体_GB2312" w:cs="楷体_GB2312"/>
          <w:b/>
          <w:bCs/>
          <w:color w:val="auto"/>
          <w:kern w:val="0"/>
          <w:sz w:val="44"/>
          <w:szCs w:val="44"/>
        </w:rPr>
        <w:t>文山市政府采购和出让中心（政府采购）</w:t>
      </w:r>
      <w:bookmarkEnd w:id="247"/>
      <w:bookmarkEnd w:id="248"/>
    </w:p>
    <w:p w14:paraId="171F6706">
      <w:pPr>
        <w:autoSpaceDE w:val="0"/>
        <w:autoSpaceDN w:val="0"/>
        <w:adjustRightInd w:val="0"/>
        <w:spacing w:line="300" w:lineRule="auto"/>
        <w:jc w:val="center"/>
        <w:rPr>
          <w:rFonts w:ascii="楷体_GB2312" w:eastAsia="楷体_GB2312"/>
          <w:b/>
          <w:bCs/>
          <w:color w:val="auto"/>
          <w:kern w:val="0"/>
          <w:sz w:val="44"/>
          <w:szCs w:val="44"/>
        </w:rPr>
      </w:pPr>
    </w:p>
    <w:p w14:paraId="126FBE3B">
      <w:pPr>
        <w:autoSpaceDE w:val="0"/>
        <w:autoSpaceDN w:val="0"/>
        <w:adjustRightInd w:val="0"/>
        <w:spacing w:line="300" w:lineRule="auto"/>
        <w:jc w:val="center"/>
        <w:rPr>
          <w:rFonts w:ascii="楷体_GB2312" w:eastAsia="楷体_GB2312"/>
          <w:b/>
          <w:bCs/>
          <w:color w:val="auto"/>
          <w:kern w:val="0"/>
          <w:sz w:val="44"/>
          <w:szCs w:val="44"/>
        </w:rPr>
      </w:pPr>
      <w:r>
        <w:rPr>
          <w:rFonts w:hint="eastAsia" w:ascii="楷体_GB2312" w:eastAsia="楷体_GB2312" w:cs="楷体_GB2312"/>
          <w:b/>
          <w:bCs/>
          <w:color w:val="auto"/>
          <w:kern w:val="0"/>
          <w:sz w:val="44"/>
          <w:szCs w:val="44"/>
        </w:rPr>
        <w:t>货　物　类</w:t>
      </w:r>
    </w:p>
    <w:p w14:paraId="1B20017B">
      <w:pPr>
        <w:autoSpaceDE w:val="0"/>
        <w:autoSpaceDN w:val="0"/>
        <w:adjustRightInd w:val="0"/>
        <w:spacing w:line="300" w:lineRule="auto"/>
        <w:jc w:val="center"/>
        <w:rPr>
          <w:rFonts w:ascii="黑体" w:eastAsia="黑体"/>
          <w:color w:val="auto"/>
          <w:kern w:val="0"/>
          <w:sz w:val="18"/>
          <w:szCs w:val="18"/>
        </w:rPr>
      </w:pPr>
    </w:p>
    <w:p w14:paraId="6E519E71">
      <w:pPr>
        <w:autoSpaceDE w:val="0"/>
        <w:autoSpaceDN w:val="0"/>
        <w:adjustRightInd w:val="0"/>
        <w:spacing w:line="300" w:lineRule="auto"/>
        <w:jc w:val="center"/>
        <w:rPr>
          <w:rFonts w:ascii="黑体" w:eastAsia="黑体"/>
          <w:color w:val="auto"/>
          <w:kern w:val="0"/>
          <w:sz w:val="18"/>
          <w:szCs w:val="18"/>
        </w:rPr>
      </w:pPr>
    </w:p>
    <w:p w14:paraId="7D962C16">
      <w:pPr>
        <w:autoSpaceDE w:val="0"/>
        <w:autoSpaceDN w:val="0"/>
        <w:adjustRightInd w:val="0"/>
        <w:spacing w:line="300" w:lineRule="auto"/>
        <w:jc w:val="center"/>
        <w:rPr>
          <w:rFonts w:hint="eastAsia" w:ascii="黑体" w:eastAsia="黑体" w:cs="黑体"/>
          <w:color w:val="auto"/>
          <w:kern w:val="0"/>
          <w:sz w:val="84"/>
          <w:szCs w:val="84"/>
        </w:rPr>
      </w:pPr>
      <w:r>
        <w:rPr>
          <w:rFonts w:hint="eastAsia" w:ascii="黑体" w:eastAsia="黑体" w:cs="黑体"/>
          <w:color w:val="auto"/>
          <w:kern w:val="0"/>
          <w:sz w:val="84"/>
          <w:szCs w:val="84"/>
        </w:rPr>
        <w:t>合</w:t>
      </w:r>
    </w:p>
    <w:p w14:paraId="7679CC94">
      <w:pPr>
        <w:autoSpaceDE w:val="0"/>
        <w:autoSpaceDN w:val="0"/>
        <w:adjustRightInd w:val="0"/>
        <w:spacing w:line="300" w:lineRule="auto"/>
        <w:jc w:val="center"/>
        <w:rPr>
          <w:rFonts w:ascii="黑体" w:eastAsia="黑体" w:cs="黑体"/>
          <w:color w:val="auto"/>
          <w:kern w:val="0"/>
          <w:sz w:val="84"/>
          <w:szCs w:val="84"/>
        </w:rPr>
      </w:pPr>
      <w:r>
        <w:rPr>
          <w:rFonts w:ascii="黑体" w:eastAsia="黑体" w:cs="黑体"/>
          <w:color w:val="auto"/>
          <w:kern w:val="0"/>
          <w:sz w:val="84"/>
          <w:szCs w:val="84"/>
        </w:rPr>
        <w:t xml:space="preserve"> </w:t>
      </w:r>
    </w:p>
    <w:p w14:paraId="48D07BBC">
      <w:pPr>
        <w:autoSpaceDE w:val="0"/>
        <w:autoSpaceDN w:val="0"/>
        <w:adjustRightInd w:val="0"/>
        <w:spacing w:line="300" w:lineRule="auto"/>
        <w:jc w:val="center"/>
        <w:rPr>
          <w:rFonts w:hint="eastAsia" w:ascii="黑体" w:eastAsia="黑体" w:cs="黑体"/>
          <w:color w:val="auto"/>
          <w:kern w:val="0"/>
          <w:sz w:val="84"/>
          <w:szCs w:val="84"/>
        </w:rPr>
      </w:pPr>
      <w:r>
        <w:rPr>
          <w:rFonts w:hint="eastAsia" w:ascii="黑体" w:eastAsia="黑体" w:cs="黑体"/>
          <w:color w:val="auto"/>
          <w:kern w:val="0"/>
          <w:sz w:val="84"/>
          <w:szCs w:val="84"/>
        </w:rPr>
        <w:t>同</w:t>
      </w:r>
    </w:p>
    <w:p w14:paraId="7BF95DC8">
      <w:pPr>
        <w:autoSpaceDE w:val="0"/>
        <w:autoSpaceDN w:val="0"/>
        <w:adjustRightInd w:val="0"/>
        <w:spacing w:line="300" w:lineRule="auto"/>
        <w:jc w:val="center"/>
        <w:rPr>
          <w:rFonts w:ascii="黑体" w:eastAsia="黑体"/>
          <w:color w:val="auto"/>
          <w:kern w:val="0"/>
          <w:sz w:val="72"/>
          <w:szCs w:val="72"/>
        </w:rPr>
      </w:pPr>
      <w:r>
        <w:rPr>
          <w:rFonts w:ascii="黑体" w:eastAsia="黑体" w:cs="黑体"/>
          <w:color w:val="auto"/>
          <w:kern w:val="0"/>
          <w:sz w:val="84"/>
          <w:szCs w:val="84"/>
        </w:rPr>
        <w:t xml:space="preserve"> </w:t>
      </w:r>
    </w:p>
    <w:p w14:paraId="45D1DEC2">
      <w:pPr>
        <w:autoSpaceDE w:val="0"/>
        <w:autoSpaceDN w:val="0"/>
        <w:adjustRightInd w:val="0"/>
        <w:spacing w:line="300" w:lineRule="auto"/>
        <w:jc w:val="center"/>
        <w:rPr>
          <w:rFonts w:ascii="黑体" w:eastAsia="黑体" w:cs="黑体"/>
          <w:color w:val="auto"/>
          <w:kern w:val="0"/>
          <w:sz w:val="84"/>
          <w:szCs w:val="84"/>
        </w:rPr>
      </w:pPr>
      <w:r>
        <w:rPr>
          <w:rFonts w:hint="eastAsia" w:ascii="黑体" w:eastAsia="黑体" w:cs="黑体"/>
          <w:color w:val="auto"/>
          <w:kern w:val="0"/>
          <w:sz w:val="84"/>
          <w:szCs w:val="84"/>
        </w:rPr>
        <w:t>书</w:t>
      </w:r>
      <w:r>
        <w:rPr>
          <w:rFonts w:ascii="黑体" w:eastAsia="黑体" w:cs="黑体"/>
          <w:color w:val="auto"/>
          <w:kern w:val="0"/>
          <w:sz w:val="84"/>
          <w:szCs w:val="84"/>
        </w:rPr>
        <w:t xml:space="preserve"> </w:t>
      </w:r>
    </w:p>
    <w:p w14:paraId="56102FF7">
      <w:pPr>
        <w:autoSpaceDE w:val="0"/>
        <w:autoSpaceDN w:val="0"/>
        <w:adjustRightInd w:val="0"/>
        <w:spacing w:line="300" w:lineRule="auto"/>
        <w:ind w:firstLine="1962" w:firstLineChars="545"/>
        <w:rPr>
          <w:rFonts w:ascii="宋体"/>
          <w:b/>
          <w:bCs/>
          <w:color w:val="auto"/>
          <w:kern w:val="0"/>
          <w:sz w:val="36"/>
          <w:szCs w:val="36"/>
          <w:lang w:val="zh-CN"/>
        </w:rPr>
      </w:pPr>
      <w:r>
        <w:rPr>
          <w:rFonts w:hint="eastAsia" w:ascii="宋体" w:hAnsi="宋体" w:cs="宋体"/>
          <w:b/>
          <w:bCs/>
          <w:color w:val="auto"/>
          <w:kern w:val="0"/>
          <w:sz w:val="36"/>
          <w:szCs w:val="36"/>
          <w:lang w:val="zh-CN"/>
        </w:rPr>
        <w:t>签订地点：</w:t>
      </w:r>
    </w:p>
    <w:p w14:paraId="221CA88B">
      <w:pPr>
        <w:autoSpaceDE w:val="0"/>
        <w:autoSpaceDN w:val="0"/>
        <w:adjustRightInd w:val="0"/>
        <w:spacing w:line="300" w:lineRule="auto"/>
        <w:ind w:firstLine="1962" w:firstLineChars="545"/>
        <w:rPr>
          <w:rFonts w:ascii="宋体"/>
          <w:b/>
          <w:bCs/>
          <w:color w:val="auto"/>
          <w:kern w:val="0"/>
          <w:sz w:val="36"/>
          <w:szCs w:val="36"/>
          <w:lang w:val="zh-CN"/>
        </w:rPr>
      </w:pPr>
      <w:r>
        <w:rPr>
          <w:rFonts w:hint="eastAsia" w:ascii="宋体" w:hAnsi="宋体" w:cs="宋体"/>
          <w:b/>
          <w:bCs/>
          <w:color w:val="auto"/>
          <w:kern w:val="0"/>
          <w:sz w:val="36"/>
          <w:szCs w:val="36"/>
          <w:lang w:val="zh-CN"/>
        </w:rPr>
        <w:t>签订日期：</w:t>
      </w:r>
      <w:r>
        <w:rPr>
          <w:rFonts w:ascii="宋体" w:hAnsi="宋体" w:cs="宋体"/>
          <w:b/>
          <w:bCs/>
          <w:color w:val="auto"/>
          <w:kern w:val="0"/>
          <w:sz w:val="36"/>
          <w:szCs w:val="36"/>
          <w:lang w:val="zh-CN"/>
        </w:rPr>
        <w:t xml:space="preserve">   </w:t>
      </w:r>
      <w:r>
        <w:rPr>
          <w:rFonts w:hint="eastAsia" w:ascii="宋体" w:hAnsi="宋体" w:cs="宋体"/>
          <w:b/>
          <w:bCs/>
          <w:color w:val="auto"/>
          <w:kern w:val="0"/>
          <w:sz w:val="36"/>
          <w:szCs w:val="36"/>
          <w:lang w:val="zh-CN"/>
        </w:rPr>
        <w:t>年</w:t>
      </w:r>
      <w:r>
        <w:rPr>
          <w:rFonts w:ascii="宋体" w:hAnsi="宋体" w:cs="宋体"/>
          <w:b/>
          <w:bCs/>
          <w:color w:val="auto"/>
          <w:kern w:val="0"/>
          <w:sz w:val="36"/>
          <w:szCs w:val="36"/>
          <w:lang w:val="zh-CN"/>
        </w:rPr>
        <w:t xml:space="preserve"> </w:t>
      </w:r>
      <w:r>
        <w:rPr>
          <w:rFonts w:hint="eastAsia" w:ascii="宋体" w:hAnsi="宋体" w:cs="宋体"/>
          <w:b/>
          <w:bCs/>
          <w:color w:val="auto"/>
          <w:kern w:val="0"/>
          <w:sz w:val="36"/>
          <w:szCs w:val="36"/>
          <w:lang w:val="zh-CN"/>
        </w:rPr>
        <w:t>　月</w:t>
      </w:r>
      <w:r>
        <w:rPr>
          <w:rFonts w:ascii="宋体" w:hAnsi="宋体" w:cs="宋体"/>
          <w:b/>
          <w:bCs/>
          <w:color w:val="auto"/>
          <w:kern w:val="0"/>
          <w:sz w:val="36"/>
          <w:szCs w:val="36"/>
          <w:lang w:val="zh-CN"/>
        </w:rPr>
        <w:t xml:space="preserve"> </w:t>
      </w:r>
      <w:r>
        <w:rPr>
          <w:rFonts w:hint="eastAsia" w:ascii="宋体" w:hAnsi="宋体" w:cs="宋体"/>
          <w:b/>
          <w:bCs/>
          <w:color w:val="auto"/>
          <w:kern w:val="0"/>
          <w:sz w:val="36"/>
          <w:szCs w:val="36"/>
          <w:lang w:val="zh-CN"/>
        </w:rPr>
        <w:t>　日</w:t>
      </w:r>
    </w:p>
    <w:p w14:paraId="4E9D266E">
      <w:pPr>
        <w:autoSpaceDE w:val="0"/>
        <w:autoSpaceDN w:val="0"/>
        <w:adjustRightInd w:val="0"/>
        <w:spacing w:line="300" w:lineRule="auto"/>
        <w:jc w:val="center"/>
        <w:rPr>
          <w:rFonts w:hint="eastAsia" w:ascii="宋体" w:hAnsi="宋体" w:cs="宋体"/>
          <w:b/>
          <w:bCs/>
          <w:color w:val="auto"/>
          <w:kern w:val="0"/>
          <w:sz w:val="36"/>
          <w:szCs w:val="36"/>
          <w:lang w:val="zh-CN"/>
        </w:rPr>
      </w:pPr>
    </w:p>
    <w:p w14:paraId="72AC3888">
      <w:pPr>
        <w:autoSpaceDE w:val="0"/>
        <w:autoSpaceDN w:val="0"/>
        <w:adjustRightInd w:val="0"/>
        <w:spacing w:line="300" w:lineRule="auto"/>
        <w:jc w:val="both"/>
        <w:rPr>
          <w:rFonts w:hint="eastAsia" w:ascii="宋体" w:hAnsi="宋体" w:cs="宋体"/>
          <w:b/>
          <w:bCs/>
          <w:color w:val="auto"/>
          <w:kern w:val="0"/>
          <w:sz w:val="36"/>
          <w:szCs w:val="36"/>
          <w:lang w:val="zh-CN"/>
        </w:rPr>
      </w:pPr>
    </w:p>
    <w:p w14:paraId="360E5A06">
      <w:pPr>
        <w:autoSpaceDE w:val="0"/>
        <w:autoSpaceDN w:val="0"/>
        <w:adjustRightInd w:val="0"/>
        <w:spacing w:line="300" w:lineRule="auto"/>
        <w:ind w:firstLine="2160" w:firstLineChars="600"/>
        <w:jc w:val="both"/>
        <w:rPr>
          <w:rFonts w:ascii="宋体"/>
          <w:b/>
          <w:bCs/>
          <w:color w:val="auto"/>
          <w:kern w:val="0"/>
          <w:sz w:val="36"/>
          <w:szCs w:val="36"/>
          <w:lang w:val="zh-CN"/>
        </w:rPr>
      </w:pPr>
      <w:r>
        <w:rPr>
          <w:rFonts w:hint="eastAsia" w:ascii="宋体" w:hAnsi="宋体" w:cs="宋体"/>
          <w:b/>
          <w:bCs/>
          <w:color w:val="auto"/>
          <w:kern w:val="0"/>
          <w:sz w:val="36"/>
          <w:szCs w:val="36"/>
          <w:lang w:val="zh-CN"/>
        </w:rPr>
        <w:t>文山</w:t>
      </w:r>
      <w:r>
        <w:rPr>
          <w:rFonts w:hint="eastAsia" w:ascii="宋体" w:hAnsi="宋体" w:cs="宋体"/>
          <w:b/>
          <w:bCs/>
          <w:color w:val="auto"/>
          <w:kern w:val="0"/>
          <w:sz w:val="36"/>
          <w:szCs w:val="36"/>
        </w:rPr>
        <w:t>市</w:t>
      </w:r>
      <w:r>
        <w:rPr>
          <w:rFonts w:hint="eastAsia" w:ascii="宋体" w:hAnsi="宋体" w:cs="宋体"/>
          <w:b/>
          <w:bCs/>
          <w:color w:val="auto"/>
          <w:kern w:val="0"/>
          <w:sz w:val="36"/>
          <w:szCs w:val="36"/>
          <w:lang w:val="zh-CN"/>
        </w:rPr>
        <w:t>政府采购和出让中心　制</w:t>
      </w:r>
    </w:p>
    <w:p w14:paraId="6F781216">
      <w:pPr>
        <w:rPr>
          <w:color w:val="auto"/>
        </w:rPr>
      </w:pPr>
    </w:p>
    <w:p w14:paraId="5598917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一、合同编号：　　　　　　　　　　　</w:t>
      </w:r>
    </w:p>
    <w:p w14:paraId="0B1AAFE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二、合同名称：　　　　　　　　　　　</w:t>
      </w:r>
    </w:p>
    <w:p w14:paraId="52E253C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三、项目编号（或招标编号、政府采购计划编号、采购计划备案文号等，如有）：　　　　　　　　　　　</w:t>
      </w:r>
    </w:p>
    <w:p w14:paraId="30B81E9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四、项目名称：　　　　　　　　　　　</w:t>
      </w:r>
    </w:p>
    <w:p w14:paraId="3DA29C2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五、合同主体</w:t>
      </w:r>
    </w:p>
    <w:p w14:paraId="1FBE8BF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采购人（甲方）：　　　　　　　　　　　</w:t>
      </w:r>
    </w:p>
    <w:p w14:paraId="44B219E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地  址：　　　　　　　　　　　</w:t>
      </w:r>
    </w:p>
    <w:p w14:paraId="22F4BCD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联系方式：　　　　　　　　　　　</w:t>
      </w:r>
    </w:p>
    <w:p w14:paraId="5C1B850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供应商（乙方）：　　　　　　　　　　　</w:t>
      </w:r>
    </w:p>
    <w:p w14:paraId="56FBE0F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地  址：　　　　　　　　　　　</w:t>
      </w:r>
    </w:p>
    <w:p w14:paraId="4B5AD31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联系方式：　　　　　　　　　　　</w:t>
      </w:r>
    </w:p>
    <w:p w14:paraId="7842763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bookmarkStart w:id="249" w:name="_Toc26757"/>
      <w:bookmarkStart w:id="250" w:name="_Toc13222"/>
      <w:r>
        <w:rPr>
          <w:rFonts w:hint="eastAsia" w:ascii="宋体" w:hAnsi="宋体" w:eastAsia="宋体" w:cs="宋体"/>
          <w:color w:val="auto"/>
          <w:sz w:val="24"/>
          <w:szCs w:val="24"/>
          <w:lang w:eastAsia="zh-CN"/>
        </w:rPr>
        <w:t>六、合同主要信息</w:t>
      </w:r>
      <w:bookmarkEnd w:id="249"/>
      <w:bookmarkEnd w:id="250"/>
    </w:p>
    <w:p w14:paraId="6684346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主要标的名称：　　　　　　　　　　　</w:t>
      </w:r>
    </w:p>
    <w:p w14:paraId="2ECDBFE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规格型号（或服务要求）：须附合同清单明细表</w:t>
      </w:r>
      <w:r>
        <w:rPr>
          <w:rFonts w:hint="eastAsia" w:ascii="宋体" w:hAnsi="宋体" w:cs="宋体"/>
          <w:color w:val="auto"/>
          <w:sz w:val="24"/>
          <w:szCs w:val="24"/>
          <w:lang w:eastAsia="zh-CN"/>
        </w:rPr>
        <w:t>（</w:t>
      </w:r>
      <w:r>
        <w:rPr>
          <w:rFonts w:hint="eastAsia" w:ascii="宋体" w:hAnsi="宋体" w:eastAsia="宋体" w:cs="宋体"/>
          <w:color w:val="auto"/>
          <w:sz w:val="24"/>
          <w:szCs w:val="24"/>
          <w:lang w:eastAsia="zh-CN"/>
        </w:rPr>
        <w:t>包含且不限于：商品名称、设备型号、计量单位、生产厂商名称（是否为小微企业）　　　　　　　　　　</w:t>
      </w:r>
    </w:p>
    <w:p w14:paraId="54BA059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主要标的数量：　　　　　　　　　　　</w:t>
      </w:r>
    </w:p>
    <w:p w14:paraId="4A37110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主要标的单价：　　　　　　　　　　　</w:t>
      </w:r>
    </w:p>
    <w:p w14:paraId="4DA1F8A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合同金额：</w:t>
      </w:r>
    </w:p>
    <w:p w14:paraId="4706EAD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合同约定的验收时间：</w:t>
      </w:r>
    </w:p>
    <w:p w14:paraId="033109E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合同约定的完成支付时间：      或验收交付后      天（日历日），完成支付</w:t>
      </w:r>
    </w:p>
    <w:p w14:paraId="0D958B1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计划付款金额：</w:t>
      </w:r>
    </w:p>
    <w:p w14:paraId="39B10CD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计划付款时间：</w:t>
      </w:r>
    </w:p>
    <w:p w14:paraId="577FB48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供应商银行账号：</w:t>
      </w:r>
    </w:p>
    <w:p w14:paraId="49928B6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供应商开户行：</w:t>
      </w:r>
    </w:p>
    <w:p w14:paraId="2C38852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供应商开户名：　　　　　　　　　　　</w:t>
      </w:r>
    </w:p>
    <w:p w14:paraId="7117E77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双方需履约条款、期限、售后服务要求、付款方式等信息：　　　　　　　　　　　</w:t>
      </w:r>
    </w:p>
    <w:p w14:paraId="56BFF65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采购方式：（如公开招标、竞争性磋商、单一来源采购等）</w:t>
      </w:r>
    </w:p>
    <w:p w14:paraId="15A60CF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七、合同签订日期：  　　　　　　　　　　</w:t>
      </w:r>
    </w:p>
    <w:p w14:paraId="480036C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八、合同公告日期：　　　　　　　　　　　</w:t>
      </w:r>
    </w:p>
    <w:p w14:paraId="2129721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九、其他补充事宜：</w:t>
      </w:r>
      <w:r>
        <w:rPr>
          <w:rFonts w:hint="eastAsia" w:ascii="宋体" w:hAnsi="宋体" w:cs="宋体"/>
          <w:color w:val="auto"/>
          <w:sz w:val="24"/>
          <w:szCs w:val="24"/>
          <w:lang w:eastAsia="zh-CN"/>
        </w:rPr>
        <w:t>（</w:t>
      </w:r>
      <w:r>
        <w:rPr>
          <w:rFonts w:hint="eastAsia" w:ascii="宋体" w:hAnsi="宋体" w:eastAsia="宋体" w:cs="宋体"/>
          <w:color w:val="auto"/>
          <w:sz w:val="24"/>
          <w:szCs w:val="24"/>
          <w:lang w:eastAsia="zh-CN"/>
        </w:rPr>
        <w:t>是否为小微企业，如中标公司为小微企业请提供相关资料以便合同备案时上传</w:t>
      </w:r>
      <w:r>
        <w:rPr>
          <w:rFonts w:hint="eastAsia" w:ascii="宋体" w:hAnsi="宋体" w:cs="宋体"/>
          <w:color w:val="auto"/>
          <w:sz w:val="24"/>
          <w:szCs w:val="24"/>
          <w:lang w:eastAsia="zh-CN"/>
        </w:rPr>
        <w:t>）</w:t>
      </w:r>
      <w:r>
        <w:rPr>
          <w:rFonts w:hint="eastAsia" w:ascii="宋体" w:hAnsi="宋体" w:eastAsia="宋体" w:cs="宋体"/>
          <w:color w:val="auto"/>
          <w:sz w:val="24"/>
          <w:szCs w:val="24"/>
          <w:lang w:eastAsia="zh-CN"/>
        </w:rPr>
        <w:t>　　　　　　　　　　　</w:t>
      </w:r>
    </w:p>
    <w:p w14:paraId="49CEFBB7">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附件：上传合同（采购人应当按照《</w:t>
      </w:r>
      <w:r>
        <w:rPr>
          <w:rFonts w:hint="eastAsia" w:ascii="宋体" w:hAnsi="宋体" w:cs="宋体"/>
          <w:color w:val="auto"/>
          <w:sz w:val="24"/>
          <w:szCs w:val="24"/>
          <w:lang w:eastAsia="zh-CN"/>
        </w:rPr>
        <w:t>中华人民共和国政府采购法实施条例</w:t>
      </w:r>
      <w:r>
        <w:rPr>
          <w:rFonts w:hint="eastAsia" w:ascii="宋体" w:hAnsi="宋体" w:eastAsia="宋体" w:cs="宋体"/>
          <w:color w:val="auto"/>
          <w:sz w:val="24"/>
          <w:szCs w:val="24"/>
          <w:lang w:eastAsia="zh-CN"/>
        </w:rPr>
        <w:t>》有关要求，将政府采购合同中涉及国家秘密、商业秘密的内容删除后予以公开）</w:t>
      </w:r>
    </w:p>
    <w:p w14:paraId="2850E1F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注：格式规范文本中标注斜体的部分是对文件相关内容提示或说明。</w:t>
      </w:r>
    </w:p>
    <w:p w14:paraId="578DC77F">
      <w:pPr>
        <w:pStyle w:val="2"/>
        <w:pageBreakBefore w:val="0"/>
        <w:widowControl w:val="0"/>
        <w:kinsoku/>
        <w:wordWrap/>
        <w:overflowPunct/>
        <w:topLinePunct w:val="0"/>
        <w:autoSpaceDE/>
        <w:autoSpaceDN/>
        <w:bidi w:val="0"/>
        <w:adjustRightInd/>
        <w:snapToGrid/>
        <w:spacing w:before="0" w:after="0" w:line="560" w:lineRule="exact"/>
        <w:ind w:left="0" w:leftChars="0" w:right="0" w:rightChars="0" w:firstLine="0" w:firstLineChars="0"/>
        <w:jc w:val="center"/>
        <w:textAlignment w:val="auto"/>
        <w:rPr>
          <w:rFonts w:hint="eastAsia" w:ascii="宋体" w:hAnsi="宋体" w:eastAsia="宋体" w:cs="宋体"/>
          <w:color w:val="auto"/>
          <w:sz w:val="44"/>
          <w:szCs w:val="44"/>
          <w:highlight w:val="none"/>
        </w:rPr>
      </w:pPr>
      <w:r>
        <w:rPr>
          <w:rFonts w:hint="eastAsia" w:ascii="宋体" w:hAnsi="宋体" w:eastAsia="宋体" w:cs="宋体"/>
          <w:i/>
          <w:iCs/>
          <w:color w:val="auto"/>
          <w:sz w:val="28"/>
          <w:szCs w:val="28"/>
          <w:lang w:val="en-US" w:eastAsia="zh-CN"/>
        </w:rPr>
        <w:br w:type="page"/>
      </w:r>
      <w:bookmarkStart w:id="251" w:name="_Toc23841"/>
      <w:bookmarkStart w:id="252" w:name="_Toc17302"/>
      <w:bookmarkStart w:id="253" w:name="_Toc14306"/>
      <w:bookmarkStart w:id="254" w:name="_Toc8254"/>
      <w:r>
        <w:rPr>
          <w:rFonts w:hint="eastAsia" w:ascii="宋体" w:hAnsi="宋体" w:eastAsia="宋体" w:cs="宋体"/>
          <w:color w:val="auto"/>
          <w:sz w:val="44"/>
          <w:szCs w:val="44"/>
          <w:highlight w:val="none"/>
          <w:lang w:val="en-US" w:eastAsia="zh-CN"/>
        </w:rPr>
        <w:t>第五章</w:t>
      </w:r>
      <w:r>
        <w:rPr>
          <w:rFonts w:hint="eastAsia" w:ascii="宋体" w:hAnsi="宋体" w:eastAsia="宋体" w:cs="宋体"/>
          <w:color w:val="auto"/>
          <w:sz w:val="44"/>
          <w:szCs w:val="44"/>
          <w:highlight w:val="none"/>
        </w:rPr>
        <w:t xml:space="preserve"> 评审方法</w:t>
      </w:r>
      <w:bookmarkEnd w:id="243"/>
      <w:bookmarkEnd w:id="251"/>
      <w:bookmarkEnd w:id="252"/>
      <w:bookmarkEnd w:id="253"/>
      <w:bookmarkEnd w:id="254"/>
    </w:p>
    <w:p w14:paraId="0E4E61E8">
      <w:pPr>
        <w:pageBreakBefore w:val="0"/>
        <w:kinsoku/>
        <w:wordWrap/>
        <w:overflowPunct/>
        <w:topLinePunct w:val="0"/>
        <w:bidi w:val="0"/>
        <w:adjustRightInd w:val="0"/>
        <w:snapToGrid w:val="0"/>
        <w:spacing w:line="560" w:lineRule="exact"/>
        <w:textAlignment w:val="auto"/>
        <w:rPr>
          <w:rFonts w:hint="eastAsia" w:ascii="宋体" w:hAnsi="宋体" w:eastAsia="宋体" w:cs="宋体"/>
          <w:bCs/>
          <w:color w:val="auto"/>
          <w:sz w:val="24"/>
          <w:szCs w:val="24"/>
        </w:rPr>
      </w:pPr>
    </w:p>
    <w:p w14:paraId="451DF89A">
      <w:pPr>
        <w:keepNext w:val="0"/>
        <w:keepLines w:val="0"/>
        <w:pageBreakBefore w:val="0"/>
        <w:widowControl w:val="0"/>
        <w:kinsoku/>
        <w:wordWrap/>
        <w:overflowPunct/>
        <w:topLinePunct w:val="0"/>
        <w:autoSpaceDE/>
        <w:autoSpaceDN/>
        <w:bidi w:val="0"/>
        <w:adjustRightInd w:val="0"/>
        <w:snapToGrid w:val="0"/>
        <w:spacing w:line="5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lang w:eastAsia="zh-CN"/>
        </w:rPr>
        <w:t>谈判</w:t>
      </w:r>
      <w:r>
        <w:rPr>
          <w:rFonts w:hint="eastAsia" w:ascii="宋体" w:hAnsi="宋体" w:eastAsia="宋体" w:cs="宋体"/>
          <w:bCs/>
          <w:color w:val="auto"/>
          <w:sz w:val="24"/>
          <w:szCs w:val="24"/>
        </w:rPr>
        <w:t>小组在评审过程中，应当按照</w:t>
      </w:r>
      <w:r>
        <w:rPr>
          <w:rFonts w:hint="eastAsia" w:ascii="宋体" w:hAnsi="宋体" w:eastAsia="宋体" w:cs="宋体"/>
          <w:color w:val="auto"/>
          <w:kern w:val="0"/>
          <w:sz w:val="24"/>
          <w:szCs w:val="24"/>
        </w:rPr>
        <w:t>《中华人民共和国政府采购法实施条例》（国务院令第658号</w:t>
      </w:r>
      <w:r>
        <w:rPr>
          <w:rFonts w:hint="eastAsia" w:ascii="宋体" w:hAnsi="宋体" w:cs="宋体"/>
          <w:color w:val="auto"/>
          <w:kern w:val="0"/>
          <w:sz w:val="24"/>
          <w:szCs w:val="24"/>
          <w:lang w:eastAsia="zh-CN"/>
        </w:rPr>
        <w:t>）和</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eastAsia="zh-CN"/>
        </w:rPr>
        <w:t>政</w:t>
      </w:r>
      <w:r>
        <w:rPr>
          <w:rFonts w:hint="eastAsia" w:ascii="宋体" w:hAnsi="宋体" w:eastAsia="宋体" w:cs="宋体"/>
          <w:color w:val="auto"/>
          <w:kern w:val="0"/>
          <w:sz w:val="24"/>
          <w:szCs w:val="24"/>
        </w:rPr>
        <w:t>府采购非招标采购方式管理办法》（国务院第令74号）</w:t>
      </w:r>
      <w:r>
        <w:rPr>
          <w:rFonts w:hint="eastAsia" w:ascii="宋体" w:hAnsi="宋体" w:eastAsia="宋体" w:cs="宋体"/>
          <w:bCs/>
          <w:color w:val="auto"/>
          <w:sz w:val="24"/>
          <w:szCs w:val="24"/>
        </w:rPr>
        <w:t>的规定履行职责和义务，不得违法评审、违反评审工作纪律。</w:t>
      </w:r>
    </w:p>
    <w:p w14:paraId="60F929EE">
      <w:pPr>
        <w:pStyle w:val="3"/>
        <w:pageBreakBefore w:val="0"/>
        <w:widowControl w:val="0"/>
        <w:kinsoku/>
        <w:wordWrap/>
        <w:overflowPunct/>
        <w:topLinePunct w:val="0"/>
        <w:autoSpaceDE/>
        <w:autoSpaceDN/>
        <w:bidi w:val="0"/>
        <w:spacing w:before="0" w:after="0" w:line="560" w:lineRule="exact"/>
        <w:ind w:right="0" w:rightChars="0"/>
        <w:jc w:val="both"/>
        <w:textAlignment w:val="auto"/>
        <w:rPr>
          <w:rFonts w:hint="eastAsia"/>
          <w:color w:val="auto"/>
          <w:sz w:val="24"/>
          <w:szCs w:val="24"/>
          <w:lang w:eastAsia="zh-CN"/>
        </w:rPr>
      </w:pPr>
      <w:bookmarkStart w:id="255" w:name="_Toc24031"/>
      <w:bookmarkStart w:id="256" w:name="_Toc20021"/>
      <w:bookmarkStart w:id="257" w:name="_Toc28065_WPSOffice_Level2"/>
      <w:bookmarkStart w:id="258" w:name="_Toc26403"/>
      <w:bookmarkStart w:id="259" w:name="_Toc1499"/>
      <w:r>
        <w:rPr>
          <w:rFonts w:hint="eastAsia"/>
          <w:color w:val="auto"/>
          <w:sz w:val="24"/>
          <w:szCs w:val="24"/>
          <w:lang w:val="en-US" w:eastAsia="zh-CN"/>
        </w:rPr>
        <w:t>一、总则</w:t>
      </w:r>
      <w:bookmarkEnd w:id="255"/>
      <w:bookmarkEnd w:id="256"/>
      <w:bookmarkEnd w:id="257"/>
      <w:bookmarkEnd w:id="258"/>
      <w:bookmarkEnd w:id="259"/>
    </w:p>
    <w:p w14:paraId="3122F36F">
      <w:pPr>
        <w:pStyle w:val="4"/>
        <w:pageBreakBefore w:val="0"/>
        <w:widowControl w:val="0"/>
        <w:kinsoku/>
        <w:wordWrap/>
        <w:overflowPunct/>
        <w:topLinePunct w:val="0"/>
        <w:autoSpaceDE/>
        <w:autoSpaceDN/>
        <w:bidi w:val="0"/>
        <w:spacing w:before="0" w:after="0" w:line="5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1.谈判</w:t>
      </w:r>
      <w:r>
        <w:rPr>
          <w:rFonts w:hint="eastAsia" w:ascii="宋体" w:hAnsi="宋体" w:eastAsia="宋体" w:cs="宋体"/>
          <w:color w:val="auto"/>
          <w:sz w:val="24"/>
          <w:szCs w:val="24"/>
        </w:rPr>
        <w:t>小组在采购活动过程中应当履行下列职责：</w:t>
      </w:r>
    </w:p>
    <w:p w14:paraId="137A4867">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确认或者制定</w:t>
      </w:r>
      <w:r>
        <w:rPr>
          <w:rFonts w:hint="eastAsia" w:ascii="宋体" w:hAnsi="宋体" w:eastAsia="宋体" w:cs="宋体"/>
          <w:color w:val="auto"/>
          <w:sz w:val="24"/>
          <w:szCs w:val="24"/>
          <w:lang w:val="en-US" w:eastAsia="zh-CN"/>
        </w:rPr>
        <w:t>谈判文件</w:t>
      </w:r>
      <w:r>
        <w:rPr>
          <w:rFonts w:hint="eastAsia" w:ascii="宋体" w:hAnsi="宋体" w:eastAsia="宋体" w:cs="宋体"/>
          <w:color w:val="auto"/>
          <w:sz w:val="24"/>
          <w:szCs w:val="24"/>
        </w:rPr>
        <w:t xml:space="preserve">； </w:t>
      </w:r>
    </w:p>
    <w:p w14:paraId="6FDBC4BF">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从符合相应资格条件的供应商名单中确定不少于3家的供应商参加</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w:t>
      </w:r>
    </w:p>
    <w:p w14:paraId="7C6CEE1E">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1.3</w:t>
      </w:r>
      <w:r>
        <w:rPr>
          <w:rFonts w:hint="eastAsia" w:ascii="宋体" w:hAnsi="宋体" w:eastAsia="宋体" w:cs="宋体"/>
          <w:color w:val="auto"/>
          <w:sz w:val="24"/>
          <w:szCs w:val="24"/>
        </w:rPr>
        <w:t>审查供应商的响应文件并作出评价；</w:t>
      </w:r>
    </w:p>
    <w:p w14:paraId="3F65AC00">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要求供应商解释或者澄清其响应文件；</w:t>
      </w:r>
    </w:p>
    <w:p w14:paraId="46FCE57C">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 xml:space="preserve">编写评审报告； </w:t>
      </w:r>
    </w:p>
    <w:p w14:paraId="37B1F144">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1.6</w:t>
      </w:r>
      <w:r>
        <w:rPr>
          <w:rFonts w:hint="eastAsia" w:ascii="宋体" w:hAnsi="宋体" w:eastAsia="宋体" w:cs="宋体"/>
          <w:color w:val="auto"/>
          <w:sz w:val="24"/>
          <w:szCs w:val="24"/>
        </w:rPr>
        <w:t>告知采购人、采购代理机构在评审过程中发现的供应商的违法违规行为。</w:t>
      </w:r>
    </w:p>
    <w:p w14:paraId="6E3B687F">
      <w:pPr>
        <w:pStyle w:val="4"/>
        <w:pageBreakBefore w:val="0"/>
        <w:widowControl w:val="0"/>
        <w:kinsoku/>
        <w:wordWrap/>
        <w:overflowPunct/>
        <w:topLinePunct w:val="0"/>
        <w:autoSpaceDE/>
        <w:autoSpaceDN/>
        <w:bidi w:val="0"/>
        <w:spacing w:before="0" w:after="0" w:line="560" w:lineRule="exact"/>
        <w:ind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2.谈判小组成员应当履行下列义务：</w:t>
      </w:r>
    </w:p>
    <w:p w14:paraId="47E516AC">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2.1</w:t>
      </w:r>
      <w:r>
        <w:rPr>
          <w:rFonts w:hint="eastAsia" w:ascii="宋体" w:hAnsi="宋体" w:eastAsia="宋体" w:cs="宋体"/>
          <w:color w:val="auto"/>
          <w:sz w:val="24"/>
          <w:szCs w:val="24"/>
        </w:rPr>
        <w:t>遵纪守法，客观、公正、廉洁地履行职责；</w:t>
      </w:r>
    </w:p>
    <w:p w14:paraId="1D55659E">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2.2</w:t>
      </w:r>
      <w:r>
        <w:rPr>
          <w:rFonts w:hint="eastAsia" w:ascii="宋体" w:hAnsi="宋体" w:eastAsia="宋体" w:cs="宋体"/>
          <w:color w:val="auto"/>
          <w:sz w:val="24"/>
          <w:szCs w:val="24"/>
        </w:rPr>
        <w:t>根据采购文件的规定独立进行评审，对个人的评审意见承担法律责任；</w:t>
      </w:r>
    </w:p>
    <w:p w14:paraId="206D5125">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参与评审报告的起草；</w:t>
      </w:r>
    </w:p>
    <w:p w14:paraId="4EABE615">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2.4</w:t>
      </w:r>
      <w:r>
        <w:rPr>
          <w:rFonts w:hint="eastAsia" w:ascii="宋体" w:hAnsi="宋体" w:eastAsia="宋体" w:cs="宋体"/>
          <w:color w:val="auto"/>
          <w:sz w:val="24"/>
          <w:szCs w:val="24"/>
        </w:rPr>
        <w:t>配合采购人、采购代理机构答复供应商提出的质疑；</w:t>
      </w:r>
    </w:p>
    <w:p w14:paraId="203CCDD2">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2.5</w:t>
      </w:r>
      <w:r>
        <w:rPr>
          <w:rFonts w:hint="eastAsia" w:ascii="宋体" w:hAnsi="宋体" w:eastAsia="宋体" w:cs="宋体"/>
          <w:color w:val="auto"/>
          <w:sz w:val="24"/>
          <w:szCs w:val="24"/>
        </w:rPr>
        <w:t>配合财政部门的投诉处理和监督检查工作。</w:t>
      </w:r>
    </w:p>
    <w:p w14:paraId="0E7105BE">
      <w:pPr>
        <w:pStyle w:val="7"/>
        <w:keepNext w:val="0"/>
        <w:keepLines w:val="0"/>
        <w:pageBreakBefore w:val="0"/>
        <w:widowControl w:val="0"/>
        <w:kinsoku/>
        <w:wordWrap/>
        <w:overflowPunct/>
        <w:topLinePunct w:val="0"/>
        <w:autoSpaceDE/>
        <w:autoSpaceDN/>
        <w:bidi w:val="0"/>
        <w:spacing w:line="560" w:lineRule="exact"/>
        <w:ind w:left="0" w:leftChars="0" w:right="0" w:rightChars="0" w:firstLine="0" w:firstLine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2.6 </w:t>
      </w:r>
      <w:r>
        <w:rPr>
          <w:rFonts w:hint="eastAsia" w:ascii="宋体" w:hAnsi="宋体" w:eastAsia="宋体" w:cs="宋体"/>
          <w:color w:val="auto"/>
          <w:sz w:val="24"/>
          <w:szCs w:val="24"/>
        </w:rPr>
        <w:t>评审过程独立、保密。供应商非法干预评审过程的行为将导致其响应文件作为无效处理。</w:t>
      </w:r>
    </w:p>
    <w:p w14:paraId="30A13A56">
      <w:pPr>
        <w:pStyle w:val="7"/>
        <w:keepNext w:val="0"/>
        <w:keepLines w:val="0"/>
        <w:pageBreakBefore w:val="0"/>
        <w:widowControl w:val="0"/>
        <w:kinsoku/>
        <w:wordWrap/>
        <w:overflowPunct/>
        <w:topLinePunct w:val="0"/>
        <w:autoSpaceDE/>
        <w:autoSpaceDN/>
        <w:bidi w:val="0"/>
        <w:spacing w:line="560" w:lineRule="exact"/>
        <w:ind w:left="0" w:leftChars="0" w:right="0" w:rightChars="0" w:firstLine="0" w:firstLine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2.7</w:t>
      </w:r>
      <w:r>
        <w:rPr>
          <w:rFonts w:hint="eastAsia" w:ascii="宋体" w:hAnsi="宋体" w:eastAsia="宋体" w:cs="宋体"/>
          <w:color w:val="auto"/>
          <w:sz w:val="24"/>
          <w:szCs w:val="24"/>
          <w:highlight w:val="none"/>
        </w:rPr>
        <w:t>谈判小组依据响应文件本身的内容决定响应文件的响应性，而不寻求外部的证据，谈判文件有明确约定的除外。</w:t>
      </w:r>
    </w:p>
    <w:p w14:paraId="444A9138">
      <w:pPr>
        <w:pStyle w:val="7"/>
        <w:keepNext w:val="0"/>
        <w:keepLines w:val="0"/>
        <w:pageBreakBefore w:val="0"/>
        <w:widowControl w:val="0"/>
        <w:kinsoku/>
        <w:wordWrap/>
        <w:overflowPunct/>
        <w:topLinePunct w:val="0"/>
        <w:autoSpaceDE/>
        <w:autoSpaceDN/>
        <w:bidi w:val="0"/>
        <w:spacing w:line="560" w:lineRule="exact"/>
        <w:ind w:left="0" w:leftChars="0" w:right="0" w:rightChars="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2.8 </w:t>
      </w:r>
      <w:r>
        <w:rPr>
          <w:rFonts w:hint="eastAsia" w:ascii="宋体" w:hAnsi="宋体" w:eastAsia="宋体" w:cs="宋体"/>
          <w:color w:val="auto"/>
          <w:sz w:val="24"/>
          <w:szCs w:val="24"/>
        </w:rPr>
        <w:t>谈判小组发现谈判文件表述不明确或需要说明的事项，可提请采购人</w:t>
      </w:r>
      <w:r>
        <w:rPr>
          <w:rFonts w:hint="eastAsia" w:ascii="宋体" w:hAnsi="宋体" w:eastAsia="宋体" w:cs="宋体"/>
          <w:color w:val="auto"/>
          <w:sz w:val="24"/>
          <w:szCs w:val="24"/>
          <w:lang w:val="en-US" w:eastAsia="zh-CN"/>
        </w:rPr>
        <w:t>或采购代理机</w:t>
      </w:r>
      <w:r>
        <w:rPr>
          <w:rFonts w:hint="eastAsia" w:ascii="宋体" w:hAnsi="宋体" w:eastAsia="宋体" w:cs="宋体"/>
          <w:color w:val="auto"/>
          <w:sz w:val="24"/>
          <w:szCs w:val="24"/>
          <w:highlight w:val="none"/>
          <w:lang w:val="en-US" w:eastAsia="zh-CN"/>
        </w:rPr>
        <w:t>构</w:t>
      </w:r>
      <w:r>
        <w:rPr>
          <w:rFonts w:hint="eastAsia" w:ascii="宋体" w:hAnsi="宋体" w:eastAsia="宋体" w:cs="宋体"/>
          <w:color w:val="auto"/>
          <w:sz w:val="24"/>
          <w:szCs w:val="24"/>
          <w:highlight w:val="none"/>
        </w:rPr>
        <w:t>书面解释说明。</w:t>
      </w:r>
    </w:p>
    <w:p w14:paraId="3E95A4B5">
      <w:pPr>
        <w:pStyle w:val="4"/>
        <w:pageBreakBefore w:val="0"/>
        <w:widowControl w:val="0"/>
        <w:kinsoku/>
        <w:wordWrap/>
        <w:overflowPunct/>
        <w:topLinePunct w:val="0"/>
        <w:autoSpaceDE/>
        <w:autoSpaceDN/>
        <w:bidi w:val="0"/>
        <w:spacing w:before="0" w:after="0" w:line="560" w:lineRule="exact"/>
        <w:ind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停止评审的要求</w:t>
      </w:r>
    </w:p>
    <w:p w14:paraId="0DBDB289">
      <w:pPr>
        <w:pStyle w:val="7"/>
        <w:keepNext w:val="0"/>
        <w:keepLines w:val="0"/>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本</w:t>
      </w:r>
      <w:r>
        <w:rPr>
          <w:rFonts w:hint="eastAsia" w:ascii="宋体" w:hAnsi="宋体" w:eastAsia="宋体" w:cs="宋体"/>
          <w:b/>
          <w:bCs/>
          <w:color w:val="auto"/>
          <w:sz w:val="24"/>
          <w:szCs w:val="24"/>
          <w:lang w:eastAsia="zh-CN"/>
        </w:rPr>
        <w:t>谈判文件</w:t>
      </w:r>
      <w:r>
        <w:rPr>
          <w:rFonts w:hint="eastAsia" w:ascii="宋体" w:hAnsi="宋体" w:eastAsia="宋体" w:cs="宋体"/>
          <w:b/>
          <w:bCs/>
          <w:color w:val="auto"/>
          <w:sz w:val="24"/>
          <w:szCs w:val="24"/>
        </w:rPr>
        <w:t>有下列情形之一的，</w:t>
      </w:r>
      <w:r>
        <w:rPr>
          <w:rFonts w:hint="eastAsia" w:ascii="宋体" w:hAnsi="宋体" w:eastAsia="宋体" w:cs="宋体"/>
          <w:b/>
          <w:bCs/>
          <w:color w:val="auto"/>
          <w:sz w:val="24"/>
          <w:szCs w:val="24"/>
          <w:lang w:eastAsia="zh-CN"/>
        </w:rPr>
        <w:t>谈判</w:t>
      </w:r>
      <w:r>
        <w:rPr>
          <w:rFonts w:hint="eastAsia" w:ascii="宋体" w:hAnsi="宋体" w:eastAsia="宋体" w:cs="宋体"/>
          <w:b/>
          <w:bCs/>
          <w:color w:val="auto"/>
          <w:sz w:val="24"/>
          <w:szCs w:val="24"/>
        </w:rPr>
        <w:t>小组应当停止评审：</w:t>
      </w:r>
    </w:p>
    <w:p w14:paraId="7117109F">
      <w:pPr>
        <w:pStyle w:val="7"/>
        <w:keepNext w:val="0"/>
        <w:keepLines w:val="0"/>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3.1</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的规定存在歧义、重大缺陷的；</w:t>
      </w:r>
    </w:p>
    <w:p w14:paraId="2717FCB8">
      <w:pPr>
        <w:pStyle w:val="7"/>
        <w:keepNext w:val="0"/>
        <w:keepLines w:val="0"/>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3.2</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明显以不合理条件对供应商实行差别待遇或者歧视待遇的；</w:t>
      </w:r>
    </w:p>
    <w:p w14:paraId="25E36983">
      <w:pPr>
        <w:pStyle w:val="7"/>
        <w:keepNext w:val="0"/>
        <w:keepLines w:val="0"/>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3.3</w:t>
      </w:r>
      <w:r>
        <w:rPr>
          <w:rFonts w:hint="eastAsia" w:ascii="宋体" w:hAnsi="宋体" w:eastAsia="宋体" w:cs="宋体"/>
          <w:color w:val="auto"/>
          <w:sz w:val="24"/>
          <w:szCs w:val="24"/>
        </w:rPr>
        <w:t>采购项目属于国家规定的优先、强制采购范围，但是</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未依法体现优先、强制采购相关规定的；</w:t>
      </w:r>
    </w:p>
    <w:p w14:paraId="1AE04FDF">
      <w:pPr>
        <w:pStyle w:val="7"/>
        <w:keepNext w:val="0"/>
        <w:keepLines w:val="0"/>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3.4</w:t>
      </w:r>
      <w:r>
        <w:rPr>
          <w:rFonts w:hint="eastAsia" w:ascii="宋体" w:hAnsi="宋体" w:eastAsia="宋体" w:cs="宋体"/>
          <w:color w:val="auto"/>
          <w:sz w:val="24"/>
          <w:szCs w:val="24"/>
        </w:rPr>
        <w:t>采购项目属于政府采购促进中小企业发展的范围，但是</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未依法体现促进中小企业发展相关规定的；</w:t>
      </w:r>
    </w:p>
    <w:p w14:paraId="4882CDB9">
      <w:pPr>
        <w:pStyle w:val="7"/>
        <w:keepNext w:val="0"/>
        <w:keepLines w:val="0"/>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3.5</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载明的成交原则不合法的；</w:t>
      </w:r>
    </w:p>
    <w:p w14:paraId="416CCF34">
      <w:pPr>
        <w:pStyle w:val="7"/>
        <w:keepNext w:val="0"/>
        <w:keepLines w:val="0"/>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有违反国家其他有关强制性规定的情形。</w:t>
      </w:r>
    </w:p>
    <w:p w14:paraId="7D55938D">
      <w:pPr>
        <w:pStyle w:val="7"/>
        <w:keepNext w:val="0"/>
        <w:keepLines w:val="0"/>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出现本条规定应当停止评审情形的，</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小组应当向采购人书面说明情况。除本条规定的情形外，</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小组不得以任何方式和理由停止评审。</w:t>
      </w:r>
    </w:p>
    <w:p w14:paraId="5ED555F3">
      <w:pPr>
        <w:keepNext w:val="0"/>
        <w:keepLines w:val="0"/>
        <w:pageBreakBefore w:val="0"/>
        <w:widowControl w:val="0"/>
        <w:kinsoku/>
        <w:wordWrap/>
        <w:overflowPunct/>
        <w:topLinePunct w:val="0"/>
        <w:autoSpaceDE/>
        <w:autoSpaceDN/>
        <w:bidi w:val="0"/>
        <w:adjustRightInd w:val="0"/>
        <w:snapToGrid w:val="0"/>
        <w:spacing w:line="560" w:lineRule="exact"/>
        <w:ind w:right="0" w:rightChars="0"/>
        <w:jc w:val="both"/>
        <w:textAlignment w:val="auto"/>
        <w:outlineLvl w:val="1"/>
        <w:rPr>
          <w:rFonts w:hint="eastAsia" w:ascii="宋体" w:hAnsi="宋体" w:eastAsia="宋体" w:cs="宋体"/>
          <w:b/>
          <w:bCs w:val="0"/>
          <w:color w:val="auto"/>
          <w:sz w:val="24"/>
          <w:szCs w:val="24"/>
          <w:highlight w:val="none"/>
          <w:lang w:val="en-US" w:eastAsia="zh-CN"/>
        </w:rPr>
      </w:pPr>
      <w:bookmarkStart w:id="260" w:name="_Toc14690"/>
      <w:bookmarkStart w:id="261" w:name="_Toc15211"/>
      <w:bookmarkStart w:id="262" w:name="_Toc15923_WPSOffice_Level2"/>
      <w:bookmarkStart w:id="263" w:name="_Toc22660"/>
      <w:bookmarkStart w:id="264" w:name="_Toc17499"/>
      <w:r>
        <w:rPr>
          <w:rFonts w:hint="eastAsia" w:ascii="宋体" w:hAnsi="宋体" w:eastAsia="宋体" w:cs="宋体"/>
          <w:b/>
          <w:bCs w:val="0"/>
          <w:color w:val="auto"/>
          <w:sz w:val="24"/>
          <w:szCs w:val="24"/>
          <w:highlight w:val="none"/>
          <w:lang w:val="en-US" w:eastAsia="zh-CN"/>
        </w:rPr>
        <w:t>二、 谈判程序</w:t>
      </w:r>
      <w:bookmarkEnd w:id="260"/>
      <w:bookmarkEnd w:id="261"/>
      <w:bookmarkEnd w:id="262"/>
      <w:bookmarkEnd w:id="263"/>
      <w:bookmarkEnd w:id="264"/>
    </w:p>
    <w:p w14:paraId="0021A278">
      <w:pPr>
        <w:pStyle w:val="32"/>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谈判程序包括：资格审查，符合性审查，谈判，最后报价，推荐成交供应商。</w:t>
      </w:r>
    </w:p>
    <w:p w14:paraId="171C4E97">
      <w:pPr>
        <w:pStyle w:val="4"/>
        <w:keepNext w:val="0"/>
        <w:keepLines w:val="0"/>
        <w:pageBreakBefore w:val="0"/>
        <w:widowControl w:val="0"/>
        <w:kinsoku/>
        <w:wordWrap/>
        <w:overflowPunct/>
        <w:topLinePunct w:val="0"/>
        <w:autoSpaceDE/>
        <w:autoSpaceDN/>
        <w:bidi w:val="0"/>
        <w:spacing w:before="0" w:after="0" w:line="560" w:lineRule="exact"/>
        <w:ind w:right="0" w:rightChars="0"/>
        <w:jc w:val="both"/>
        <w:textAlignment w:val="auto"/>
        <w:outlineLvl w:val="2"/>
        <w:rPr>
          <w:rFonts w:hint="eastAsia" w:ascii="宋体" w:hAnsi="宋体" w:eastAsia="宋体" w:cs="宋体"/>
          <w:b/>
          <w:bCs/>
          <w:color w:val="auto"/>
          <w:sz w:val="24"/>
          <w:szCs w:val="24"/>
          <w:lang w:val="en-US" w:eastAsia="zh-CN"/>
        </w:rPr>
      </w:pPr>
      <w:bookmarkStart w:id="265" w:name="_Toc364"/>
      <w:r>
        <w:rPr>
          <w:rFonts w:hint="eastAsia" w:ascii="宋体" w:hAnsi="宋体" w:eastAsia="宋体" w:cs="宋体"/>
          <w:b/>
          <w:bCs/>
          <w:color w:val="auto"/>
          <w:sz w:val="24"/>
          <w:szCs w:val="24"/>
          <w:lang w:val="en-US" w:eastAsia="zh-CN"/>
        </w:rPr>
        <w:t>1.资格审查</w:t>
      </w:r>
      <w:bookmarkEnd w:id="265"/>
    </w:p>
    <w:p w14:paraId="1DF5F17A">
      <w:pPr>
        <w:pageBreakBefore w:val="0"/>
        <w:widowControl w:val="0"/>
        <w:kinsoku/>
        <w:wordWrap/>
        <w:overflowPunct/>
        <w:topLinePunct w:val="0"/>
        <w:autoSpaceDE/>
        <w:autoSpaceDN/>
        <w:bidi w:val="0"/>
        <w:spacing w:line="560" w:lineRule="exact"/>
        <w:ind w:right="0" w:rightChars="0" w:firstLine="513" w:firstLineChars="214"/>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首次提交响应文件截止时间结束后，由谈判小组对提交响应文件的供应商进行资格审查。谈判小组在资格审查过程中，谈判小组成员对供应商资格是否符合规定存在争议的，应当以少数服从多数的原则处理，但不得违反政府采购法和谈判文件规定。</w:t>
      </w:r>
    </w:p>
    <w:p w14:paraId="70AA0711">
      <w:pPr>
        <w:keepNext w:val="0"/>
        <w:keepLines w:val="0"/>
        <w:pageBreakBefore w:val="0"/>
        <w:widowControl w:val="0"/>
        <w:kinsoku/>
        <w:wordWrap/>
        <w:overflowPunct/>
        <w:topLinePunct w:val="0"/>
        <w:autoSpaceDE/>
        <w:autoSpaceDN/>
        <w:bidi w:val="0"/>
        <w:snapToGrid w:val="0"/>
        <w:spacing w:line="560" w:lineRule="exact"/>
        <w:ind w:right="0" w:rightChars="0" w:firstLine="513" w:firstLineChars="214"/>
        <w:jc w:val="both"/>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供应商资格审查的标准：</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403"/>
        <w:gridCol w:w="1531"/>
        <w:gridCol w:w="6423"/>
        <w:gridCol w:w="1101"/>
      </w:tblGrid>
      <w:tr w14:paraId="08695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574" w:type="dxa"/>
            <w:gridSpan w:val="3"/>
            <w:tcBorders>
              <w:top w:val="single" w:color="auto" w:sz="2" w:space="0"/>
              <w:left w:val="single" w:color="auto" w:sz="2" w:space="0"/>
              <w:bottom w:val="single" w:color="auto" w:sz="4" w:space="0"/>
              <w:right w:val="single" w:color="auto" w:sz="2" w:space="0"/>
            </w:tcBorders>
            <w:noWrap w:val="0"/>
            <w:vAlign w:val="center"/>
          </w:tcPr>
          <w:p w14:paraId="3CA53A98">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资格性审查项</w:t>
            </w:r>
          </w:p>
        </w:tc>
        <w:tc>
          <w:tcPr>
            <w:tcW w:w="6423" w:type="dxa"/>
            <w:tcBorders>
              <w:top w:val="single" w:color="auto" w:sz="2" w:space="0"/>
              <w:left w:val="single" w:color="auto" w:sz="2" w:space="0"/>
              <w:bottom w:val="single" w:color="auto" w:sz="4" w:space="0"/>
              <w:right w:val="single" w:color="auto" w:sz="2" w:space="0"/>
            </w:tcBorders>
            <w:noWrap w:val="0"/>
            <w:vAlign w:val="center"/>
          </w:tcPr>
          <w:p w14:paraId="7AA91A5B">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b/>
                <w:color w:val="auto"/>
                <w:sz w:val="24"/>
                <w:szCs w:val="24"/>
              </w:rPr>
              <w:t>通过条件</w:t>
            </w:r>
          </w:p>
        </w:tc>
        <w:tc>
          <w:tcPr>
            <w:tcW w:w="1101" w:type="dxa"/>
            <w:tcBorders>
              <w:top w:val="single" w:color="auto" w:sz="2" w:space="0"/>
              <w:left w:val="single" w:color="auto" w:sz="2" w:space="0"/>
              <w:bottom w:val="single" w:color="auto" w:sz="4" w:space="0"/>
              <w:right w:val="single" w:color="auto" w:sz="2" w:space="0"/>
            </w:tcBorders>
            <w:noWrap w:val="0"/>
            <w:vAlign w:val="center"/>
          </w:tcPr>
          <w:p w14:paraId="1402E2AC">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格式参考</w:t>
            </w:r>
          </w:p>
        </w:tc>
      </w:tr>
      <w:tr w14:paraId="16A7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tcBorders>
              <w:top w:val="single" w:color="auto" w:sz="2" w:space="0"/>
              <w:left w:val="single" w:color="auto" w:sz="2" w:space="0"/>
              <w:right w:val="single" w:color="auto" w:sz="2" w:space="0"/>
            </w:tcBorders>
            <w:noWrap w:val="0"/>
            <w:vAlign w:val="center"/>
          </w:tcPr>
          <w:p w14:paraId="5B1EAAF1">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934" w:type="dxa"/>
            <w:gridSpan w:val="2"/>
            <w:tcBorders>
              <w:top w:val="single" w:color="auto" w:sz="2" w:space="0"/>
              <w:left w:val="single" w:color="auto" w:sz="2" w:space="0"/>
              <w:right w:val="single" w:color="auto" w:sz="2" w:space="0"/>
            </w:tcBorders>
            <w:noWrap w:val="0"/>
            <w:vAlign w:val="center"/>
          </w:tcPr>
          <w:p w14:paraId="7A5DE1DA">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bookmarkStart w:id="266" w:name="OLE_LINK4"/>
            <w:r>
              <w:rPr>
                <w:rFonts w:hint="eastAsia" w:ascii="宋体" w:hAnsi="宋体" w:eastAsia="宋体" w:cs="宋体"/>
                <w:color w:val="auto"/>
                <w:sz w:val="24"/>
                <w:szCs w:val="24"/>
              </w:rPr>
              <w:t>供应商应具有独立承担民事责任的能力</w:t>
            </w:r>
            <w:bookmarkEnd w:id="266"/>
          </w:p>
        </w:tc>
        <w:tc>
          <w:tcPr>
            <w:tcW w:w="6423" w:type="dxa"/>
            <w:tcBorders>
              <w:top w:val="single" w:color="auto" w:sz="2" w:space="0"/>
              <w:left w:val="single" w:color="auto" w:sz="2" w:space="0"/>
              <w:bottom w:val="single" w:color="auto" w:sz="2" w:space="0"/>
              <w:right w:val="single" w:color="auto" w:sz="2" w:space="0"/>
            </w:tcBorders>
            <w:noWrap w:val="0"/>
            <w:vAlign w:val="center"/>
          </w:tcPr>
          <w:p w14:paraId="17D4E35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kern w:val="0"/>
                <w:sz w:val="24"/>
                <w:szCs w:val="24"/>
              </w:rPr>
            </w:pPr>
            <w:bookmarkStart w:id="267" w:name="OLE_LINK5"/>
            <w:r>
              <w:rPr>
                <w:rFonts w:hint="eastAsia" w:ascii="宋体" w:hAnsi="宋体" w:eastAsia="宋体" w:cs="宋体"/>
                <w:color w:val="auto"/>
                <w:kern w:val="0"/>
                <w:sz w:val="24"/>
                <w:szCs w:val="24"/>
                <w:lang w:val="en-US" w:eastAsia="zh-CN"/>
              </w:rPr>
              <w:t>提供</w:t>
            </w:r>
            <w:r>
              <w:rPr>
                <w:rFonts w:hint="eastAsia" w:ascii="宋体" w:hAnsi="宋体" w:eastAsia="宋体" w:cs="宋体"/>
                <w:color w:val="auto"/>
                <w:kern w:val="0"/>
                <w:sz w:val="24"/>
                <w:szCs w:val="24"/>
              </w:rPr>
              <w:t>佐证材料：</w:t>
            </w:r>
          </w:p>
          <w:p w14:paraId="77AAC66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供应商为法人的，应提交营业执照或法人登记证书或批准文件；</w:t>
            </w:r>
          </w:p>
          <w:p w14:paraId="099A96A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供应商为非法人组织的，应提交依法登记证书；</w:t>
            </w:r>
          </w:p>
          <w:p w14:paraId="330ECBE7">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3</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供应商为个体工商户的，应提交个体工商户营业执照；</w:t>
            </w:r>
          </w:p>
          <w:p w14:paraId="379E24C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4</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供应商为自然人的，应提交自然人的身份证明。</w:t>
            </w:r>
          </w:p>
          <w:p w14:paraId="4AE2294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5</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供应商为法人的分支机构的，应提交法人和分支机构的营业执照或法人登记证书或批准文件以及法人授权书</w:t>
            </w:r>
            <w:r>
              <w:rPr>
                <w:rFonts w:hint="eastAsia" w:ascii="宋体" w:hAnsi="宋体" w:eastAsia="宋体" w:cs="宋体"/>
                <w:color w:val="auto"/>
                <w:kern w:val="0"/>
                <w:sz w:val="24"/>
                <w:szCs w:val="24"/>
                <w:lang w:eastAsia="zh-CN"/>
              </w:rPr>
              <w:t>；</w:t>
            </w:r>
          </w:p>
          <w:p w14:paraId="0C3885C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（6）若该项目接受联合体投标的，应提供联合体协议及联合体各方满足以上要求的证明文件。</w:t>
            </w:r>
            <w:bookmarkEnd w:id="267"/>
          </w:p>
          <w:p w14:paraId="7372E6E6">
            <w:pPr>
              <w:pStyle w:val="11"/>
              <w:rPr>
                <w:rFonts w:hint="default"/>
                <w:color w:val="auto"/>
                <w:lang w:val="en-US"/>
              </w:rPr>
            </w:pPr>
            <w:r>
              <w:rPr>
                <w:rFonts w:hint="eastAsia" w:ascii="宋体" w:hAnsi="宋体" w:cs="宋体"/>
                <w:color w:val="auto"/>
                <w:kern w:val="0"/>
                <w:sz w:val="24"/>
                <w:szCs w:val="24"/>
                <w:lang w:val="en-US" w:eastAsia="zh-CN"/>
              </w:rPr>
              <w:t>注：</w:t>
            </w:r>
            <w:r>
              <w:rPr>
                <w:rFonts w:hint="eastAsia"/>
                <w:color w:val="auto"/>
                <w:lang w:val="en-US" w:eastAsia="zh-CN"/>
              </w:rPr>
              <w:t>供应商所提交的资料须加盖公章</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3EFC8C7A">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第六章</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格式2-1</w:t>
            </w:r>
          </w:p>
        </w:tc>
      </w:tr>
      <w:tr w14:paraId="10F5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tcBorders>
              <w:top w:val="single" w:color="auto" w:sz="2" w:space="0"/>
              <w:left w:val="single" w:color="auto" w:sz="2" w:space="0"/>
              <w:right w:val="single" w:color="auto" w:sz="2" w:space="0"/>
            </w:tcBorders>
            <w:noWrap w:val="0"/>
            <w:vAlign w:val="center"/>
          </w:tcPr>
          <w:p w14:paraId="1CCA7F75">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934" w:type="dxa"/>
            <w:gridSpan w:val="2"/>
            <w:tcBorders>
              <w:top w:val="single" w:color="auto" w:sz="2" w:space="0"/>
              <w:left w:val="single" w:color="auto" w:sz="2" w:space="0"/>
              <w:right w:val="single" w:color="auto" w:sz="2" w:space="0"/>
            </w:tcBorders>
            <w:noWrap w:val="0"/>
            <w:vAlign w:val="center"/>
          </w:tcPr>
          <w:p w14:paraId="7C7E84CB">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依法缴纳税收</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54FEF5C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kern w:val="0"/>
                <w:sz w:val="24"/>
                <w:szCs w:val="24"/>
                <w:lang w:eastAsia="zh-CN"/>
              </w:rPr>
            </w:pPr>
            <w:bookmarkStart w:id="268" w:name="OLE_LINK6"/>
            <w:r>
              <w:rPr>
                <w:rFonts w:hint="eastAsia" w:ascii="宋体" w:hAnsi="宋体" w:eastAsia="宋体" w:cs="宋体"/>
                <w:color w:val="auto"/>
                <w:sz w:val="24"/>
                <w:szCs w:val="24"/>
              </w:rPr>
              <w:t>供应商具有依法缴纳</w:t>
            </w:r>
            <w:r>
              <w:rPr>
                <w:rFonts w:hint="eastAsia" w:ascii="宋体" w:hAnsi="宋体" w:eastAsia="宋体" w:cs="宋体"/>
                <w:color w:val="auto"/>
                <w:sz w:val="24"/>
                <w:szCs w:val="24"/>
                <w:lang w:val="en-US" w:eastAsia="zh-CN"/>
              </w:rPr>
              <w:t>税收</w:t>
            </w:r>
            <w:r>
              <w:rPr>
                <w:rFonts w:hint="eastAsia" w:ascii="宋体" w:hAnsi="宋体" w:eastAsia="宋体" w:cs="宋体"/>
                <w:color w:val="auto"/>
                <w:sz w:val="24"/>
                <w:szCs w:val="24"/>
              </w:rPr>
              <w:t>的</w:t>
            </w:r>
            <w:r>
              <w:rPr>
                <w:rFonts w:hint="eastAsia" w:ascii="宋体" w:hAnsi="宋体" w:eastAsia="宋体" w:cs="宋体"/>
                <w:color w:val="auto"/>
                <w:kern w:val="0"/>
                <w:sz w:val="24"/>
                <w:szCs w:val="24"/>
              </w:rPr>
              <w:t>佐证材料：</w:t>
            </w:r>
          </w:p>
          <w:p w14:paraId="73DC68F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要求提供供应商缴税所属时间在</w:t>
            </w:r>
            <w:r>
              <w:rPr>
                <w:rFonts w:hint="eastAsia" w:ascii="宋体" w:hAnsi="宋体" w:eastAsia="宋体" w:cs="宋体"/>
                <w:color w:val="auto"/>
                <w:kern w:val="0"/>
                <w:sz w:val="24"/>
                <w:szCs w:val="24"/>
                <w:u w:val="single"/>
                <w:lang w:val="en-US" w:eastAsia="zh-CN"/>
              </w:rPr>
              <w:t>202</w:t>
            </w:r>
            <w:r>
              <w:rPr>
                <w:rFonts w:hint="eastAsia" w:ascii="宋体" w:hAnsi="宋体" w:cs="宋体"/>
                <w:color w:val="auto"/>
                <w:kern w:val="0"/>
                <w:sz w:val="24"/>
                <w:szCs w:val="24"/>
                <w:u w:val="single"/>
                <w:lang w:val="en-US" w:eastAsia="zh-CN"/>
              </w:rPr>
              <w:t>5</w:t>
            </w:r>
            <w:r>
              <w:rPr>
                <w:rFonts w:hint="eastAsia" w:ascii="宋体" w:hAnsi="宋体" w:eastAsia="宋体" w:cs="宋体"/>
                <w:color w:val="auto"/>
                <w:kern w:val="0"/>
                <w:sz w:val="24"/>
                <w:szCs w:val="24"/>
                <w:u w:val="single"/>
              </w:rPr>
              <w:t>年</w:t>
            </w:r>
            <w:r>
              <w:rPr>
                <w:rFonts w:hint="eastAsia" w:ascii="宋体" w:hAnsi="宋体" w:cs="宋体"/>
                <w:color w:val="auto"/>
                <w:kern w:val="0"/>
                <w:sz w:val="24"/>
                <w:szCs w:val="24"/>
                <w:u w:val="single"/>
                <w:lang w:val="en-US" w:eastAsia="zh-CN"/>
              </w:rPr>
              <w:t>1</w:t>
            </w:r>
            <w:r>
              <w:rPr>
                <w:rFonts w:hint="eastAsia" w:ascii="宋体" w:hAnsi="宋体" w:eastAsia="宋体" w:cs="宋体"/>
                <w:color w:val="auto"/>
                <w:kern w:val="0"/>
                <w:sz w:val="24"/>
                <w:szCs w:val="24"/>
                <w:u w:val="single"/>
              </w:rPr>
              <w:t>月至今任意</w:t>
            </w:r>
            <w:r>
              <w:rPr>
                <w:rFonts w:hint="eastAsia" w:ascii="宋体" w:hAnsi="宋体" w:cs="宋体"/>
                <w:color w:val="auto"/>
                <w:kern w:val="0"/>
                <w:sz w:val="24"/>
                <w:szCs w:val="24"/>
                <w:u w:val="single"/>
                <w:lang w:val="en-US" w:eastAsia="zh-CN"/>
              </w:rPr>
              <w:t>1</w:t>
            </w:r>
            <w:r>
              <w:rPr>
                <w:rFonts w:hint="eastAsia" w:ascii="宋体" w:hAnsi="宋体" w:eastAsia="宋体" w:cs="宋体"/>
                <w:color w:val="auto"/>
                <w:kern w:val="0"/>
                <w:sz w:val="24"/>
                <w:szCs w:val="24"/>
                <w:u w:val="single"/>
              </w:rPr>
              <w:t>个月</w:t>
            </w:r>
            <w:r>
              <w:rPr>
                <w:rFonts w:hint="eastAsia" w:ascii="宋体" w:hAnsi="宋体" w:eastAsia="宋体" w:cs="宋体"/>
                <w:color w:val="auto"/>
                <w:kern w:val="0"/>
                <w:sz w:val="24"/>
                <w:szCs w:val="24"/>
              </w:rPr>
              <w:t>的税务局税收通用缴款书复印件或银行电子缴税（费）凭证复印件或税务局出具纳税情况的相关证明复印件。</w:t>
            </w:r>
          </w:p>
          <w:p w14:paraId="7EB20A3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依法免税或不需要</w:t>
            </w:r>
            <w:r>
              <w:rPr>
                <w:rFonts w:hint="eastAsia" w:ascii="宋体" w:hAnsi="宋体" w:eastAsia="宋体" w:cs="宋体"/>
                <w:color w:val="auto"/>
                <w:kern w:val="0"/>
                <w:sz w:val="24"/>
                <w:szCs w:val="24"/>
                <w:lang w:val="en-US" w:eastAsia="zh-CN"/>
              </w:rPr>
              <w:t>纳税</w:t>
            </w:r>
            <w:r>
              <w:rPr>
                <w:rFonts w:hint="eastAsia" w:ascii="宋体" w:hAnsi="宋体" w:eastAsia="宋体" w:cs="宋体"/>
                <w:color w:val="auto"/>
                <w:kern w:val="0"/>
                <w:sz w:val="24"/>
                <w:szCs w:val="24"/>
              </w:rPr>
              <w:t>的供应商，应提供</w:t>
            </w:r>
            <w:r>
              <w:rPr>
                <w:rFonts w:hint="eastAsia" w:ascii="宋体" w:hAnsi="宋体" w:eastAsia="宋体" w:cs="宋体"/>
                <w:color w:val="auto"/>
                <w:kern w:val="0"/>
                <w:sz w:val="24"/>
                <w:szCs w:val="24"/>
                <w:lang w:val="en-US" w:eastAsia="zh-CN"/>
              </w:rPr>
              <w:t>相应</w:t>
            </w:r>
            <w:r>
              <w:rPr>
                <w:rFonts w:hint="eastAsia" w:ascii="宋体" w:hAnsi="宋体" w:eastAsia="宋体" w:cs="宋体"/>
                <w:color w:val="auto"/>
                <w:kern w:val="0"/>
                <w:sz w:val="24"/>
                <w:szCs w:val="24"/>
              </w:rPr>
              <w:t>文件证明其依法免税或不需要</w:t>
            </w:r>
            <w:r>
              <w:rPr>
                <w:rFonts w:hint="eastAsia" w:ascii="宋体" w:hAnsi="宋体" w:eastAsia="宋体" w:cs="宋体"/>
                <w:color w:val="auto"/>
                <w:kern w:val="0"/>
                <w:sz w:val="24"/>
                <w:szCs w:val="24"/>
                <w:lang w:val="en-US" w:eastAsia="zh-CN"/>
              </w:rPr>
              <w:t>缴纳税金</w:t>
            </w:r>
            <w:r>
              <w:rPr>
                <w:rFonts w:hint="eastAsia" w:ascii="宋体" w:hAnsi="宋体" w:eastAsia="宋体" w:cs="宋体"/>
                <w:color w:val="auto"/>
                <w:kern w:val="0"/>
                <w:sz w:val="24"/>
                <w:szCs w:val="24"/>
                <w:lang w:eastAsia="zh-CN"/>
              </w:rPr>
              <w:t>。</w:t>
            </w:r>
          </w:p>
          <w:p w14:paraId="232607F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kern w:val="0"/>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自</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w:t>
            </w:r>
            <w:r>
              <w:rPr>
                <w:rFonts w:hint="eastAsia" w:ascii="宋体" w:hAnsi="宋体" w:eastAsia="宋体" w:cs="宋体"/>
                <w:color w:val="auto"/>
                <w:sz w:val="24"/>
                <w:szCs w:val="24"/>
                <w:lang w:val="en-US" w:eastAsia="zh-CN"/>
              </w:rPr>
              <w:t>递交</w:t>
            </w:r>
            <w:r>
              <w:rPr>
                <w:rFonts w:hint="eastAsia" w:ascii="宋体" w:hAnsi="宋体" w:eastAsia="宋体" w:cs="宋体"/>
                <w:color w:val="auto"/>
                <w:sz w:val="24"/>
                <w:szCs w:val="24"/>
              </w:rPr>
              <w:t>截止时间，供应商成立不足一个月的，可提供</w:t>
            </w:r>
            <w:r>
              <w:rPr>
                <w:rFonts w:hint="eastAsia" w:ascii="宋体" w:hAnsi="宋体" w:eastAsia="宋体" w:cs="宋体"/>
                <w:color w:val="auto"/>
                <w:sz w:val="24"/>
                <w:szCs w:val="24"/>
                <w:lang w:val="en-US" w:eastAsia="zh-CN"/>
              </w:rPr>
              <w:t>将依法缴纳税收的承诺函</w:t>
            </w:r>
            <w:r>
              <w:rPr>
                <w:rFonts w:hint="eastAsia" w:ascii="宋体" w:hAnsi="宋体" w:eastAsia="宋体" w:cs="宋体"/>
                <w:color w:val="auto"/>
                <w:sz w:val="24"/>
                <w:szCs w:val="24"/>
                <w:lang w:eastAsia="zh-CN"/>
              </w:rPr>
              <w:t>。</w:t>
            </w:r>
          </w:p>
          <w:p w14:paraId="4A9822B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）如果是联合体响应文件，联合体各方均需提供上述证明。</w:t>
            </w:r>
            <w:bookmarkEnd w:id="268"/>
          </w:p>
          <w:p w14:paraId="2B0E38CD">
            <w:pPr>
              <w:pStyle w:val="11"/>
              <w:rPr>
                <w:rFonts w:hint="eastAsia"/>
                <w:color w:val="auto"/>
              </w:rPr>
            </w:pPr>
            <w:r>
              <w:rPr>
                <w:rFonts w:hint="eastAsia" w:ascii="宋体" w:hAnsi="宋体" w:cs="宋体"/>
                <w:color w:val="auto"/>
                <w:kern w:val="0"/>
                <w:sz w:val="24"/>
                <w:szCs w:val="24"/>
                <w:lang w:val="en-US" w:eastAsia="zh-CN"/>
              </w:rPr>
              <w:t>注：</w:t>
            </w:r>
            <w:r>
              <w:rPr>
                <w:rFonts w:hint="eastAsia"/>
                <w:color w:val="auto"/>
                <w:lang w:val="en-US" w:eastAsia="zh-CN"/>
              </w:rPr>
              <w:t>供应商所提交的资料须加盖公章</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59628916">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lang w:val="en-US"/>
              </w:rPr>
            </w:pPr>
            <w:r>
              <w:rPr>
                <w:rFonts w:hint="eastAsia" w:ascii="宋体" w:hAnsi="宋体" w:eastAsia="宋体" w:cs="宋体"/>
                <w:color w:val="auto"/>
                <w:sz w:val="24"/>
                <w:szCs w:val="24"/>
                <w:lang w:eastAsia="zh-CN"/>
              </w:rPr>
              <w:t>第六章</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格式2-2</w:t>
            </w:r>
          </w:p>
        </w:tc>
      </w:tr>
      <w:tr w14:paraId="796E3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tcBorders>
              <w:top w:val="single" w:color="auto" w:sz="2" w:space="0"/>
              <w:left w:val="single" w:color="auto" w:sz="2" w:space="0"/>
              <w:right w:val="single" w:color="auto" w:sz="2" w:space="0"/>
            </w:tcBorders>
            <w:noWrap w:val="0"/>
            <w:vAlign w:val="center"/>
          </w:tcPr>
          <w:p w14:paraId="75F399B4">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934" w:type="dxa"/>
            <w:gridSpan w:val="2"/>
            <w:tcBorders>
              <w:top w:val="single" w:color="auto" w:sz="2" w:space="0"/>
              <w:left w:val="single" w:color="auto" w:sz="2" w:space="0"/>
              <w:right w:val="single" w:color="auto" w:sz="2" w:space="0"/>
            </w:tcBorders>
            <w:noWrap w:val="0"/>
            <w:vAlign w:val="center"/>
          </w:tcPr>
          <w:p w14:paraId="480E438B">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依法缴纳社会保障资金</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33DFA6C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sz w:val="24"/>
                <w:szCs w:val="24"/>
                <w:lang w:eastAsia="zh-CN"/>
              </w:rPr>
            </w:pPr>
            <w:bookmarkStart w:id="269" w:name="OLE_LINK7"/>
            <w:r>
              <w:rPr>
                <w:rFonts w:hint="eastAsia" w:ascii="宋体" w:hAnsi="宋体" w:eastAsia="宋体" w:cs="宋体"/>
                <w:color w:val="auto"/>
                <w:sz w:val="24"/>
                <w:szCs w:val="24"/>
              </w:rPr>
              <w:t>供应商具有依法缴纳社会保障资金良好记录的</w:t>
            </w:r>
            <w:r>
              <w:rPr>
                <w:rFonts w:hint="eastAsia" w:ascii="宋体" w:hAnsi="宋体" w:eastAsia="宋体" w:cs="宋体"/>
                <w:color w:val="auto"/>
                <w:sz w:val="24"/>
                <w:szCs w:val="24"/>
                <w:lang w:val="en-US" w:eastAsia="zh-CN"/>
              </w:rPr>
              <w:t>佐证</w:t>
            </w:r>
            <w:r>
              <w:rPr>
                <w:rFonts w:hint="eastAsia" w:ascii="宋体" w:hAnsi="宋体" w:eastAsia="宋体" w:cs="宋体"/>
                <w:color w:val="auto"/>
                <w:sz w:val="24"/>
                <w:szCs w:val="24"/>
              </w:rPr>
              <w:t>材料</w:t>
            </w:r>
            <w:r>
              <w:rPr>
                <w:rFonts w:hint="eastAsia" w:ascii="宋体" w:hAnsi="宋体" w:eastAsia="宋体" w:cs="宋体"/>
                <w:color w:val="auto"/>
                <w:sz w:val="24"/>
                <w:szCs w:val="24"/>
                <w:lang w:eastAsia="zh-CN"/>
              </w:rPr>
              <w:t>：</w:t>
            </w:r>
          </w:p>
          <w:p w14:paraId="45920BE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要求提供供应商缴费所属时间在</w:t>
            </w:r>
            <w:r>
              <w:rPr>
                <w:rFonts w:hint="eastAsia" w:ascii="宋体" w:hAnsi="宋体" w:eastAsia="宋体" w:cs="宋体"/>
                <w:color w:val="auto"/>
                <w:kern w:val="0"/>
                <w:sz w:val="24"/>
                <w:szCs w:val="24"/>
                <w:u w:val="single"/>
                <w:lang w:val="en-US" w:eastAsia="zh-CN"/>
              </w:rPr>
              <w:t>202</w:t>
            </w:r>
            <w:r>
              <w:rPr>
                <w:rFonts w:hint="eastAsia" w:ascii="宋体" w:hAnsi="宋体" w:cs="宋体"/>
                <w:color w:val="auto"/>
                <w:kern w:val="0"/>
                <w:sz w:val="24"/>
                <w:szCs w:val="24"/>
                <w:u w:val="single"/>
                <w:lang w:val="en-US" w:eastAsia="zh-CN"/>
              </w:rPr>
              <w:t>5</w:t>
            </w:r>
            <w:r>
              <w:rPr>
                <w:rFonts w:hint="eastAsia" w:ascii="宋体" w:hAnsi="宋体" w:eastAsia="宋体" w:cs="宋体"/>
                <w:color w:val="auto"/>
                <w:kern w:val="0"/>
                <w:sz w:val="24"/>
                <w:szCs w:val="24"/>
                <w:u w:val="single"/>
              </w:rPr>
              <w:t>年</w:t>
            </w:r>
            <w:r>
              <w:rPr>
                <w:rFonts w:hint="eastAsia" w:ascii="宋体" w:hAnsi="宋体" w:cs="宋体"/>
                <w:color w:val="auto"/>
                <w:kern w:val="0"/>
                <w:sz w:val="24"/>
                <w:szCs w:val="24"/>
                <w:u w:val="single"/>
                <w:lang w:val="en-US" w:eastAsia="zh-CN"/>
              </w:rPr>
              <w:t>1</w:t>
            </w:r>
            <w:r>
              <w:rPr>
                <w:rFonts w:hint="eastAsia" w:ascii="宋体" w:hAnsi="宋体" w:eastAsia="宋体" w:cs="宋体"/>
                <w:color w:val="auto"/>
                <w:kern w:val="0"/>
                <w:sz w:val="24"/>
                <w:szCs w:val="24"/>
                <w:u w:val="single"/>
              </w:rPr>
              <w:t>月至今任意</w:t>
            </w:r>
            <w:r>
              <w:rPr>
                <w:rFonts w:hint="eastAsia" w:ascii="宋体" w:hAnsi="宋体" w:cs="宋体"/>
                <w:color w:val="auto"/>
                <w:kern w:val="0"/>
                <w:sz w:val="24"/>
                <w:szCs w:val="24"/>
                <w:u w:val="single"/>
                <w:lang w:val="en-US" w:eastAsia="zh-CN"/>
              </w:rPr>
              <w:t>1</w:t>
            </w:r>
            <w:r>
              <w:rPr>
                <w:rFonts w:hint="eastAsia" w:ascii="宋体" w:hAnsi="宋体" w:eastAsia="宋体" w:cs="宋体"/>
                <w:color w:val="auto"/>
                <w:kern w:val="0"/>
                <w:sz w:val="24"/>
                <w:szCs w:val="24"/>
                <w:u w:val="single"/>
              </w:rPr>
              <w:t>个月</w:t>
            </w:r>
            <w:r>
              <w:rPr>
                <w:rFonts w:hint="eastAsia" w:ascii="宋体" w:hAnsi="宋体" w:eastAsia="宋体" w:cs="宋体"/>
                <w:color w:val="auto"/>
                <w:kern w:val="0"/>
                <w:sz w:val="24"/>
                <w:szCs w:val="24"/>
              </w:rPr>
              <w:t>的社会保险费缴款书复印件或银行电子缴税（费）凭证复印件或社保管理部门出具的有效的缴款证明复印件。</w:t>
            </w:r>
          </w:p>
          <w:p w14:paraId="3AF03C5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依法不需要缴纳社会保障资金的供应商，应提供相应文件证明其依法不需要缴纳社会保障资金</w:t>
            </w:r>
            <w:r>
              <w:rPr>
                <w:rFonts w:hint="eastAsia" w:ascii="宋体" w:hAnsi="宋体" w:eastAsia="宋体" w:cs="宋体"/>
                <w:color w:val="auto"/>
                <w:kern w:val="0"/>
                <w:sz w:val="24"/>
                <w:szCs w:val="24"/>
                <w:lang w:eastAsia="zh-CN"/>
              </w:rPr>
              <w:t>。</w:t>
            </w:r>
          </w:p>
          <w:p w14:paraId="1AB9170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3</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自</w:t>
            </w:r>
            <w:r>
              <w:rPr>
                <w:rFonts w:hint="eastAsia" w:ascii="宋体" w:hAnsi="宋体" w:eastAsia="宋体" w:cs="宋体"/>
                <w:color w:val="auto"/>
                <w:kern w:val="0"/>
                <w:sz w:val="24"/>
                <w:szCs w:val="24"/>
                <w:lang w:val="en-US" w:eastAsia="zh-CN"/>
              </w:rPr>
              <w:t>响应</w:t>
            </w:r>
            <w:r>
              <w:rPr>
                <w:rFonts w:hint="eastAsia" w:ascii="宋体" w:hAnsi="宋体" w:eastAsia="宋体" w:cs="宋体"/>
                <w:color w:val="auto"/>
                <w:kern w:val="0"/>
                <w:sz w:val="24"/>
                <w:szCs w:val="24"/>
              </w:rPr>
              <w:t>文件</w:t>
            </w:r>
            <w:r>
              <w:rPr>
                <w:rFonts w:hint="eastAsia" w:ascii="宋体" w:hAnsi="宋体" w:eastAsia="宋体" w:cs="宋体"/>
                <w:color w:val="auto"/>
                <w:kern w:val="0"/>
                <w:sz w:val="24"/>
                <w:szCs w:val="24"/>
                <w:lang w:val="en-US" w:eastAsia="zh-CN"/>
              </w:rPr>
              <w:t>递交</w:t>
            </w:r>
            <w:r>
              <w:rPr>
                <w:rFonts w:hint="eastAsia" w:ascii="宋体" w:hAnsi="宋体" w:eastAsia="宋体" w:cs="宋体"/>
                <w:color w:val="auto"/>
                <w:kern w:val="0"/>
                <w:sz w:val="24"/>
                <w:szCs w:val="24"/>
              </w:rPr>
              <w:t>截止时间，供应商成立不足一个月的，</w:t>
            </w:r>
            <w:r>
              <w:rPr>
                <w:rFonts w:hint="eastAsia" w:ascii="宋体" w:hAnsi="宋体" w:eastAsia="宋体" w:cs="宋体"/>
                <w:color w:val="auto"/>
                <w:sz w:val="24"/>
                <w:szCs w:val="24"/>
              </w:rPr>
              <w:t>可提供</w:t>
            </w:r>
            <w:r>
              <w:rPr>
                <w:rFonts w:hint="eastAsia" w:ascii="宋体" w:hAnsi="宋体" w:eastAsia="宋体" w:cs="宋体"/>
                <w:color w:val="auto"/>
                <w:sz w:val="24"/>
                <w:szCs w:val="24"/>
                <w:lang w:val="en-US" w:eastAsia="zh-CN"/>
              </w:rPr>
              <w:t>将依法缴纳社会保障资金的承诺函</w:t>
            </w:r>
            <w:r>
              <w:rPr>
                <w:rFonts w:hint="eastAsia" w:ascii="宋体" w:hAnsi="宋体" w:eastAsia="宋体" w:cs="宋体"/>
                <w:color w:val="auto"/>
                <w:kern w:val="0"/>
                <w:sz w:val="24"/>
                <w:szCs w:val="24"/>
                <w:lang w:eastAsia="zh-CN"/>
              </w:rPr>
              <w:t>。</w:t>
            </w:r>
          </w:p>
          <w:p w14:paraId="1B8C44C4">
            <w:pPr>
              <w:pStyle w:val="7"/>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4</w:t>
            </w:r>
            <w:r>
              <w:rPr>
                <w:rFonts w:hint="eastAsia" w:ascii="宋体" w:hAnsi="宋体" w:eastAsia="宋体" w:cs="宋体"/>
                <w:color w:val="auto"/>
                <w:kern w:val="0"/>
                <w:sz w:val="24"/>
                <w:szCs w:val="24"/>
                <w:lang w:eastAsia="zh-CN"/>
              </w:rPr>
              <w:t>）如果是联合体响应文件，联合体各方均需提供上述证明。</w:t>
            </w:r>
            <w:bookmarkEnd w:id="269"/>
          </w:p>
          <w:p w14:paraId="740D98F7">
            <w:pPr>
              <w:pStyle w:val="7"/>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kern w:val="0"/>
                <w:sz w:val="24"/>
                <w:szCs w:val="24"/>
                <w:lang w:eastAsia="zh-CN"/>
              </w:rPr>
            </w:pPr>
            <w:r>
              <w:rPr>
                <w:rFonts w:hint="eastAsia" w:ascii="宋体" w:hAnsi="宋体" w:cs="宋体"/>
                <w:b/>
                <w:bCs/>
                <w:color w:val="auto"/>
                <w:kern w:val="0"/>
                <w:sz w:val="24"/>
                <w:szCs w:val="24"/>
                <w:lang w:val="en-US" w:eastAsia="zh-CN"/>
              </w:rPr>
              <w:t>注：</w:t>
            </w:r>
            <w:r>
              <w:rPr>
                <w:rFonts w:hint="eastAsia"/>
                <w:b/>
                <w:bCs/>
                <w:color w:val="auto"/>
                <w:lang w:val="en-US" w:eastAsia="zh-CN"/>
              </w:rPr>
              <w:t>供应商所提交的资料须加盖公章</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5C76B851">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lang w:val="en-US"/>
              </w:rPr>
            </w:pPr>
            <w:r>
              <w:rPr>
                <w:rFonts w:hint="eastAsia" w:ascii="宋体" w:hAnsi="宋体" w:eastAsia="宋体" w:cs="宋体"/>
                <w:color w:val="auto"/>
                <w:sz w:val="24"/>
                <w:szCs w:val="24"/>
                <w:lang w:eastAsia="zh-CN"/>
              </w:rPr>
              <w:t>第六章</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格式2-3</w:t>
            </w:r>
          </w:p>
        </w:tc>
      </w:tr>
      <w:tr w14:paraId="1BE92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tcBorders>
              <w:top w:val="single" w:color="auto" w:sz="2" w:space="0"/>
              <w:left w:val="single" w:color="auto" w:sz="2" w:space="0"/>
              <w:right w:val="single" w:color="auto" w:sz="2" w:space="0"/>
            </w:tcBorders>
            <w:noWrap w:val="0"/>
            <w:vAlign w:val="center"/>
          </w:tcPr>
          <w:p w14:paraId="41D0540C">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934" w:type="dxa"/>
            <w:gridSpan w:val="2"/>
            <w:tcBorders>
              <w:top w:val="single" w:color="auto" w:sz="2" w:space="0"/>
              <w:left w:val="single" w:color="auto" w:sz="2" w:space="0"/>
              <w:right w:val="single" w:color="auto" w:sz="2" w:space="0"/>
            </w:tcBorders>
            <w:noWrap w:val="0"/>
            <w:vAlign w:val="center"/>
          </w:tcPr>
          <w:p w14:paraId="686ED5F4">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供应</w:t>
            </w:r>
            <w:r>
              <w:rPr>
                <w:rFonts w:hint="eastAsia" w:ascii="宋体" w:hAnsi="宋体" w:eastAsia="宋体" w:cs="宋体"/>
                <w:color w:val="auto"/>
                <w:sz w:val="24"/>
                <w:szCs w:val="24"/>
                <w:highlight w:val="none"/>
              </w:rPr>
              <w:t>商须具有</w:t>
            </w:r>
            <w:r>
              <w:rPr>
                <w:rFonts w:hint="eastAsia" w:ascii="宋体" w:hAnsi="宋体" w:eastAsia="宋体" w:cs="宋体"/>
                <w:color w:val="auto"/>
                <w:sz w:val="24"/>
                <w:szCs w:val="24"/>
              </w:rPr>
              <w:t>健全的财务会计制度</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2A74AE03">
            <w:pPr>
              <w:pStyle w:val="59"/>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lang w:eastAsia="zh-CN"/>
              </w:rPr>
            </w:pPr>
            <w:bookmarkStart w:id="270" w:name="OLE_LINK8"/>
            <w:r>
              <w:rPr>
                <w:rFonts w:hint="eastAsia" w:ascii="宋体" w:hAnsi="宋体" w:eastAsia="宋体" w:cs="宋体"/>
                <w:color w:val="auto"/>
                <w:sz w:val="24"/>
                <w:szCs w:val="24"/>
              </w:rPr>
              <w:t>佐证材料</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以</w:t>
            </w:r>
            <w:r>
              <w:rPr>
                <w:rFonts w:hint="eastAsia" w:ascii="宋体" w:hAnsi="宋体" w:eastAsia="宋体" w:cs="宋体"/>
                <w:color w:val="auto"/>
                <w:sz w:val="24"/>
                <w:szCs w:val="24"/>
                <w:lang w:val="en-US" w:eastAsia="zh-CN"/>
              </w:rPr>
              <w:t>下</w:t>
            </w:r>
            <w:r>
              <w:rPr>
                <w:rFonts w:hint="eastAsia" w:ascii="宋体" w:hAnsi="宋体" w:eastAsia="宋体" w:cs="宋体"/>
                <w:color w:val="auto"/>
                <w:sz w:val="24"/>
                <w:szCs w:val="24"/>
              </w:rPr>
              <w:t>佐证材料提供其一即可。</w:t>
            </w:r>
            <w:r>
              <w:rPr>
                <w:rFonts w:hint="eastAsia" w:ascii="宋体" w:hAnsi="宋体" w:eastAsia="宋体" w:cs="宋体"/>
                <w:color w:val="auto"/>
                <w:kern w:val="0"/>
                <w:sz w:val="24"/>
                <w:szCs w:val="24"/>
                <w:lang w:eastAsia="zh-CN"/>
              </w:rPr>
              <w:t>如果是联合体响应文件，联合体各方均</w:t>
            </w:r>
            <w:r>
              <w:rPr>
                <w:rFonts w:hint="eastAsia" w:ascii="宋体" w:hAnsi="宋体" w:eastAsia="宋体" w:cs="宋体"/>
                <w:color w:val="auto"/>
                <w:kern w:val="0"/>
                <w:sz w:val="24"/>
                <w:szCs w:val="24"/>
                <w:lang w:val="en-US" w:eastAsia="zh-CN"/>
              </w:rPr>
              <w:t>须</w:t>
            </w:r>
            <w:r>
              <w:rPr>
                <w:rFonts w:hint="eastAsia" w:ascii="宋体" w:hAnsi="宋体" w:eastAsia="宋体" w:cs="宋体"/>
                <w:color w:val="auto"/>
                <w:kern w:val="0"/>
                <w:sz w:val="24"/>
                <w:szCs w:val="24"/>
                <w:lang w:eastAsia="zh-CN"/>
              </w:rPr>
              <w:t>提供</w:t>
            </w:r>
            <w:r>
              <w:rPr>
                <w:rFonts w:hint="eastAsia" w:ascii="宋体" w:hAnsi="宋体" w:eastAsia="宋体" w:cs="宋体"/>
                <w:color w:val="auto"/>
                <w:kern w:val="0"/>
                <w:sz w:val="24"/>
                <w:szCs w:val="24"/>
                <w:lang w:val="en-US" w:eastAsia="zh-CN"/>
              </w:rPr>
              <w:t>佐证材料</w:t>
            </w:r>
            <w:r>
              <w:rPr>
                <w:rFonts w:hint="eastAsia" w:ascii="宋体" w:hAnsi="宋体" w:eastAsia="宋体" w:cs="宋体"/>
                <w:color w:val="auto"/>
                <w:sz w:val="24"/>
                <w:szCs w:val="24"/>
                <w:lang w:eastAsia="zh-CN"/>
              </w:rPr>
              <w:t>）：</w:t>
            </w:r>
          </w:p>
          <w:p w14:paraId="7503A86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lang w:val="en-US" w:eastAsia="zh-CN"/>
              </w:rPr>
              <w:t>202</w:t>
            </w:r>
            <w:r>
              <w:rPr>
                <w:rFonts w:hint="eastAsia" w:ascii="宋体" w:hAnsi="宋体" w:cs="宋体"/>
                <w:color w:val="auto"/>
                <w:sz w:val="24"/>
                <w:szCs w:val="24"/>
                <w:u w:val="single"/>
                <w:lang w:val="en-US" w:eastAsia="zh-CN"/>
              </w:rPr>
              <w:t>3</w:t>
            </w:r>
            <w:r>
              <w:rPr>
                <w:rFonts w:hint="eastAsia" w:ascii="宋体" w:hAnsi="宋体" w:eastAsia="宋体" w:cs="宋体"/>
                <w:color w:val="auto"/>
                <w:sz w:val="24"/>
                <w:szCs w:val="24"/>
                <w:u w:val="single"/>
                <w:lang w:val="en-US" w:eastAsia="zh-CN"/>
              </w:rPr>
              <w:t>年</w:t>
            </w:r>
            <w:r>
              <w:rPr>
                <w:rFonts w:hint="eastAsia" w:ascii="宋体" w:hAnsi="宋体" w:eastAsia="宋体" w:cs="宋体"/>
                <w:color w:val="auto"/>
                <w:kern w:val="0"/>
                <w:sz w:val="24"/>
                <w:szCs w:val="24"/>
                <w:u w:val="single"/>
                <w:lang w:val="en-US" w:eastAsia="zh-CN"/>
              </w:rPr>
              <w:t>至今任意一年度</w:t>
            </w:r>
            <w:r>
              <w:rPr>
                <w:rFonts w:hint="eastAsia" w:ascii="宋体" w:hAnsi="宋体" w:eastAsia="宋体" w:cs="宋体"/>
                <w:color w:val="auto"/>
                <w:sz w:val="24"/>
                <w:szCs w:val="24"/>
              </w:rPr>
              <w:t>经会计师事务所审计的财务报告（包括“四表一注”，即资产负债表、利润表、现金流量表、所有者权益变动表及其附注）；</w:t>
            </w:r>
          </w:p>
          <w:p w14:paraId="5A2434E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基本开户银行出具的近一个月的</w:t>
            </w:r>
            <w:r>
              <w:rPr>
                <w:rFonts w:hint="eastAsia" w:ascii="宋体" w:hAnsi="宋体" w:eastAsia="宋体" w:cs="宋体"/>
                <w:color w:val="auto"/>
                <w:sz w:val="24"/>
                <w:szCs w:val="24"/>
                <w:lang w:val="en-US" w:eastAsia="zh-CN"/>
              </w:rPr>
              <w:t>证明文件</w:t>
            </w:r>
            <w:r>
              <w:rPr>
                <w:rFonts w:hint="eastAsia" w:ascii="宋体" w:hAnsi="宋体" w:eastAsia="宋体" w:cs="宋体"/>
                <w:color w:val="auto"/>
                <w:sz w:val="24"/>
                <w:szCs w:val="24"/>
              </w:rPr>
              <w:t>，银行出具的证明文件应能说明该供应商与银行之间业务往来正常，企业信誉良好等</w:t>
            </w:r>
            <w:r>
              <w:rPr>
                <w:rFonts w:hint="eastAsia" w:ascii="宋体" w:hAnsi="宋体" w:eastAsia="宋体" w:cs="宋体"/>
                <w:color w:val="auto"/>
                <w:sz w:val="24"/>
                <w:szCs w:val="24"/>
                <w:lang w:eastAsia="zh-CN"/>
              </w:rPr>
              <w:t>；</w:t>
            </w:r>
          </w:p>
          <w:p w14:paraId="20FAB91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专业担保机构出具的担保函；</w:t>
            </w:r>
          </w:p>
          <w:p w14:paraId="3A23CA61">
            <w:pPr>
              <w:pStyle w:val="59"/>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供应商自行编制的</w:t>
            </w:r>
            <w:r>
              <w:rPr>
                <w:rFonts w:hint="eastAsia" w:hAnsi="宋体" w:cs="宋体"/>
                <w:color w:val="auto"/>
                <w:sz w:val="24"/>
                <w:szCs w:val="24"/>
                <w:u w:val="single"/>
                <w:lang w:val="en-US" w:eastAsia="zh-CN"/>
              </w:rPr>
              <w:t>2023年至今任意一年度</w:t>
            </w:r>
            <w:r>
              <w:rPr>
                <w:rFonts w:hint="eastAsia" w:ascii="宋体" w:hAnsi="宋体" w:eastAsia="宋体" w:cs="宋体"/>
                <w:color w:val="auto"/>
                <w:sz w:val="24"/>
                <w:szCs w:val="24"/>
              </w:rPr>
              <w:t>的财务会计报告</w:t>
            </w:r>
            <w:r>
              <w:rPr>
                <w:rFonts w:hint="eastAsia" w:ascii="宋体" w:hAnsi="宋体" w:eastAsia="宋体" w:cs="宋体"/>
                <w:color w:val="auto"/>
                <w:sz w:val="24"/>
                <w:szCs w:val="24"/>
                <w:lang w:val="en-US" w:eastAsia="zh-CN"/>
              </w:rPr>
              <w:t>及</w:t>
            </w:r>
            <w:r>
              <w:rPr>
                <w:rFonts w:hint="eastAsia" w:ascii="宋体" w:hAnsi="宋体" w:eastAsia="宋体" w:cs="宋体"/>
                <w:color w:val="auto"/>
                <w:sz w:val="24"/>
                <w:szCs w:val="24"/>
              </w:rPr>
              <w:t>财务会计制度</w:t>
            </w:r>
            <w:r>
              <w:rPr>
                <w:rFonts w:hint="eastAsia" w:ascii="宋体" w:hAnsi="宋体" w:eastAsia="宋体" w:cs="宋体"/>
                <w:color w:val="auto"/>
                <w:sz w:val="24"/>
                <w:szCs w:val="24"/>
                <w:lang w:eastAsia="zh-CN"/>
              </w:rPr>
              <w:t>；</w:t>
            </w:r>
          </w:p>
          <w:p w14:paraId="64385A8D">
            <w:pPr>
              <w:pStyle w:val="59"/>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自</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w:t>
            </w:r>
            <w:r>
              <w:rPr>
                <w:rFonts w:hint="eastAsia" w:ascii="宋体" w:hAnsi="宋体" w:eastAsia="宋体" w:cs="宋体"/>
                <w:color w:val="auto"/>
                <w:sz w:val="24"/>
                <w:szCs w:val="24"/>
                <w:lang w:val="en-US" w:eastAsia="zh-CN"/>
              </w:rPr>
              <w:t>递交</w:t>
            </w:r>
            <w:r>
              <w:rPr>
                <w:rFonts w:hint="eastAsia" w:ascii="宋体" w:hAnsi="宋体" w:eastAsia="宋体" w:cs="宋体"/>
                <w:color w:val="auto"/>
                <w:sz w:val="24"/>
                <w:szCs w:val="24"/>
              </w:rPr>
              <w:t>截止时间，供应商成立不足一个月的，可提供供应商编制的财务会计制度作为佐证材料。</w:t>
            </w:r>
            <w:bookmarkEnd w:id="270"/>
          </w:p>
          <w:p w14:paraId="1CCA1E89">
            <w:pPr>
              <w:pStyle w:val="59"/>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b/>
                <w:bCs/>
                <w:color w:val="auto"/>
                <w:sz w:val="24"/>
                <w:szCs w:val="24"/>
              </w:rPr>
            </w:pPr>
            <w:r>
              <w:rPr>
                <w:rFonts w:hint="eastAsia" w:ascii="宋体" w:hAnsi="宋体" w:cs="宋体"/>
                <w:b/>
                <w:bCs/>
                <w:color w:val="auto"/>
                <w:kern w:val="0"/>
                <w:sz w:val="24"/>
                <w:szCs w:val="24"/>
                <w:lang w:val="en-US" w:eastAsia="zh-CN"/>
              </w:rPr>
              <w:t>注：</w:t>
            </w:r>
            <w:r>
              <w:rPr>
                <w:rFonts w:hint="eastAsia"/>
                <w:b/>
                <w:bCs/>
                <w:color w:val="auto"/>
                <w:lang w:val="en-US" w:eastAsia="zh-CN"/>
              </w:rPr>
              <w:t>供应商所提交的资料须加盖公章</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73AACC07">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lang w:val="en-US"/>
              </w:rPr>
            </w:pPr>
            <w:r>
              <w:rPr>
                <w:rFonts w:hint="eastAsia" w:ascii="宋体" w:hAnsi="宋体" w:eastAsia="宋体" w:cs="宋体"/>
                <w:color w:val="auto"/>
                <w:sz w:val="24"/>
                <w:szCs w:val="24"/>
                <w:lang w:eastAsia="zh-CN"/>
              </w:rPr>
              <w:t>第六章</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格式2-4</w:t>
            </w:r>
          </w:p>
        </w:tc>
      </w:tr>
      <w:tr w14:paraId="38951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vMerge w:val="restart"/>
            <w:tcBorders>
              <w:top w:val="single" w:color="auto" w:sz="2" w:space="0"/>
              <w:left w:val="single" w:color="auto" w:sz="2" w:space="0"/>
              <w:right w:val="single" w:color="auto" w:sz="2" w:space="0"/>
            </w:tcBorders>
            <w:noWrap w:val="0"/>
            <w:vAlign w:val="center"/>
          </w:tcPr>
          <w:p w14:paraId="106592C3">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934" w:type="dxa"/>
            <w:gridSpan w:val="2"/>
            <w:tcBorders>
              <w:top w:val="single" w:color="auto" w:sz="2" w:space="0"/>
              <w:left w:val="single" w:color="auto" w:sz="2" w:space="0"/>
              <w:right w:val="single" w:color="auto" w:sz="2" w:space="0"/>
            </w:tcBorders>
            <w:noWrap w:val="0"/>
            <w:vAlign w:val="center"/>
          </w:tcPr>
          <w:p w14:paraId="000E90CF">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5.1具有良好商业信誉的有关声明</w:t>
            </w:r>
          </w:p>
        </w:tc>
        <w:tc>
          <w:tcPr>
            <w:tcW w:w="6423" w:type="dxa"/>
            <w:tcBorders>
              <w:top w:val="single" w:color="auto" w:sz="2" w:space="0"/>
              <w:left w:val="single" w:color="auto" w:sz="2" w:space="0"/>
              <w:bottom w:val="single" w:color="auto" w:sz="2" w:space="0"/>
              <w:right w:val="single" w:color="auto" w:sz="2" w:space="0"/>
            </w:tcBorders>
            <w:noWrap w:val="0"/>
            <w:vAlign w:val="top"/>
          </w:tcPr>
          <w:p w14:paraId="71EAD13D">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sz w:val="24"/>
                <w:szCs w:val="24"/>
                <w:lang w:val="en-US" w:eastAsia="zh-CN"/>
              </w:rPr>
            </w:pPr>
            <w:bookmarkStart w:id="271" w:name="OLE_LINK9"/>
            <w:r>
              <w:rPr>
                <w:rFonts w:hint="eastAsia" w:ascii="宋体" w:hAnsi="宋体" w:eastAsia="宋体" w:cs="宋体"/>
                <w:color w:val="auto"/>
                <w:sz w:val="24"/>
                <w:szCs w:val="24"/>
              </w:rPr>
              <w:t>提供书面声明材料</w:t>
            </w:r>
            <w:r>
              <w:rPr>
                <w:rFonts w:hint="eastAsia" w:ascii="宋体" w:hAnsi="宋体" w:cs="宋体"/>
                <w:color w:val="auto"/>
                <w:sz w:val="24"/>
                <w:szCs w:val="24"/>
                <w:lang w:eastAsia="zh-CN"/>
              </w:rPr>
              <w:t>：</w:t>
            </w:r>
          </w:p>
          <w:p w14:paraId="7FC94E7E">
            <w:pPr>
              <w:keepNext w:val="0"/>
              <w:keepLines w:val="0"/>
              <w:pageBreakBefore w:val="0"/>
              <w:widowControl w:val="0"/>
              <w:numPr>
                <w:ilvl w:val="0"/>
                <w:numId w:val="6"/>
              </w:numPr>
              <w:tabs>
                <w:tab w:val="left" w:pos="851"/>
              </w:tabs>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供应商参加政府采购活动前三年内，在经营活动中没有重大违法记录的书面声明材料。</w:t>
            </w:r>
          </w:p>
          <w:p w14:paraId="0DD3DA46">
            <w:pPr>
              <w:keepNext w:val="0"/>
              <w:keepLines w:val="0"/>
              <w:pageBreakBefore w:val="0"/>
              <w:widowControl w:val="0"/>
              <w:numPr>
                <w:ilvl w:val="0"/>
                <w:numId w:val="6"/>
              </w:numPr>
              <w:tabs>
                <w:tab w:val="left" w:pos="851"/>
              </w:tabs>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负责人为同一人或者存在直接控股、管理关系的不同供应商未同时参加本项目书面声明材料。</w:t>
            </w:r>
          </w:p>
          <w:p w14:paraId="70A894D4">
            <w:pPr>
              <w:keepNext w:val="0"/>
              <w:keepLines w:val="0"/>
              <w:pageBreakBefore w:val="0"/>
              <w:widowControl w:val="0"/>
              <w:numPr>
                <w:ilvl w:val="0"/>
                <w:numId w:val="6"/>
              </w:numPr>
              <w:tabs>
                <w:tab w:val="left" w:pos="851"/>
              </w:tabs>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供应商未处于被行政部门禁止参与政府采购活动的期限内。</w:t>
            </w:r>
          </w:p>
          <w:p w14:paraId="4A6D4560">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【说明：按</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lang w:val="en-US" w:eastAsia="zh-CN"/>
              </w:rPr>
              <w:t>格式2-5</w:t>
            </w:r>
            <w:r>
              <w:rPr>
                <w:rFonts w:hint="eastAsia" w:ascii="宋体" w:hAnsi="宋体" w:eastAsia="宋体" w:cs="宋体"/>
                <w:color w:val="auto"/>
                <w:sz w:val="24"/>
                <w:szCs w:val="24"/>
              </w:rPr>
              <w:t>的内容提供书面声明材料】</w:t>
            </w:r>
            <w:bookmarkEnd w:id="271"/>
          </w:p>
          <w:p w14:paraId="3571B3EB">
            <w:pPr>
              <w:pStyle w:val="32"/>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sz w:val="24"/>
                <w:szCs w:val="24"/>
                <w:lang w:val="en-US" w:eastAsia="zh-CN"/>
              </w:rPr>
            </w:pPr>
            <w:r>
              <w:rPr>
                <w:rFonts w:hint="eastAsia" w:ascii="宋体" w:hAnsi="宋体" w:cs="宋体"/>
                <w:b/>
                <w:bCs/>
                <w:color w:val="auto"/>
                <w:kern w:val="0"/>
                <w:sz w:val="24"/>
                <w:szCs w:val="24"/>
                <w:lang w:val="en-US" w:eastAsia="zh-CN"/>
              </w:rPr>
              <w:t>注：</w:t>
            </w:r>
            <w:r>
              <w:rPr>
                <w:rFonts w:hint="eastAsia"/>
                <w:b/>
                <w:bCs/>
                <w:color w:val="auto"/>
                <w:lang w:val="en-US" w:eastAsia="zh-CN"/>
              </w:rPr>
              <w:t>供应商所提交的资料须加盖公章</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0DC4729F">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lang w:val="en-US"/>
              </w:rPr>
            </w:pPr>
            <w:r>
              <w:rPr>
                <w:rFonts w:hint="eastAsia" w:ascii="宋体" w:hAnsi="宋体" w:eastAsia="宋体" w:cs="宋体"/>
                <w:color w:val="auto"/>
                <w:sz w:val="24"/>
                <w:szCs w:val="24"/>
                <w:lang w:eastAsia="zh-CN"/>
              </w:rPr>
              <w:t>第六章</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格式2-5</w:t>
            </w:r>
          </w:p>
        </w:tc>
      </w:tr>
      <w:tr w14:paraId="2EA12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vMerge w:val="continue"/>
            <w:tcBorders>
              <w:left w:val="single" w:color="auto" w:sz="2" w:space="0"/>
              <w:right w:val="single" w:color="auto" w:sz="2" w:space="0"/>
            </w:tcBorders>
            <w:noWrap w:val="0"/>
            <w:vAlign w:val="center"/>
          </w:tcPr>
          <w:p w14:paraId="5E3F994C">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color w:val="auto"/>
                <w:sz w:val="24"/>
                <w:szCs w:val="24"/>
                <w:lang w:val="en-US" w:eastAsia="zh-CN"/>
              </w:rPr>
            </w:pPr>
          </w:p>
        </w:tc>
        <w:tc>
          <w:tcPr>
            <w:tcW w:w="1934" w:type="dxa"/>
            <w:gridSpan w:val="2"/>
            <w:tcBorders>
              <w:top w:val="single" w:color="auto" w:sz="2" w:space="0"/>
              <w:left w:val="single" w:color="auto" w:sz="2" w:space="0"/>
              <w:right w:val="single" w:color="auto" w:sz="2" w:space="0"/>
            </w:tcBorders>
            <w:noWrap w:val="0"/>
            <w:vAlign w:val="center"/>
          </w:tcPr>
          <w:p w14:paraId="01072DCC">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5.2</w:t>
            </w:r>
            <w:r>
              <w:rPr>
                <w:rFonts w:hint="eastAsia" w:ascii="宋体" w:hAnsi="宋体" w:eastAsia="宋体" w:cs="宋体"/>
                <w:color w:val="auto"/>
                <w:sz w:val="24"/>
                <w:szCs w:val="24"/>
                <w:highlight w:val="none"/>
              </w:rPr>
              <w:t>未被列入失信被执行人</w:t>
            </w:r>
            <w:r>
              <w:rPr>
                <w:rFonts w:hint="eastAsia" w:ascii="宋体" w:hAnsi="宋体" w:eastAsia="宋体" w:cs="宋体"/>
                <w:color w:val="auto"/>
                <w:sz w:val="24"/>
                <w:szCs w:val="24"/>
                <w:highlight w:val="none"/>
                <w:lang w:val="en-US" w:eastAsia="zh-CN"/>
              </w:rPr>
              <w:t>名单</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重大税收违法失信主体</w:t>
            </w:r>
            <w:r>
              <w:rPr>
                <w:rFonts w:hint="eastAsia" w:ascii="宋体" w:hAnsi="宋体" w:eastAsia="宋体" w:cs="宋体"/>
                <w:color w:val="auto"/>
                <w:sz w:val="24"/>
                <w:szCs w:val="24"/>
                <w:highlight w:val="none"/>
              </w:rPr>
              <w:t>名单、政府采购严重违法失信行为记录名单</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6CE13010">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kern w:val="2"/>
                <w:sz w:val="24"/>
                <w:szCs w:val="24"/>
                <w:highlight w:val="none"/>
                <w:lang w:val="en-US" w:eastAsia="zh-CN" w:bidi="ar-SA"/>
              </w:rPr>
            </w:pPr>
            <w:bookmarkStart w:id="272" w:name="OLE_LINK57"/>
            <w:r>
              <w:rPr>
                <w:rFonts w:hint="default" w:ascii="Times New Roman" w:hAnsi="Times New Roman" w:eastAsia="宋体" w:cs="Times New Roman"/>
                <w:color w:val="auto"/>
                <w:kern w:val="2"/>
                <w:sz w:val="24"/>
                <w:szCs w:val="24"/>
                <w:highlight w:val="none"/>
                <w:lang w:val="en-US" w:eastAsia="zh-CN" w:bidi="ar-SA"/>
              </w:rPr>
              <w:t>递交采购文件截止时间后在“信用中国”网站（www.creditchina.gov.cn）</w:t>
            </w:r>
            <w:r>
              <w:rPr>
                <w:rFonts w:hint="default" w:ascii="Times New Roman" w:hAnsi="Times New Roman" w:eastAsia="宋体" w:cs="Times New Roman"/>
                <w:b/>
                <w:bCs/>
                <w:color w:val="auto"/>
                <w:kern w:val="2"/>
                <w:sz w:val="24"/>
                <w:szCs w:val="24"/>
                <w:highlight w:val="none"/>
                <w:lang w:val="en-US" w:eastAsia="zh-CN" w:bidi="ar-SA"/>
              </w:rPr>
              <w:t>失信被执行人、重大税收违法失信主体、政府采购严重违法失信行为记录名单</w:t>
            </w:r>
            <w:r>
              <w:rPr>
                <w:rFonts w:hint="default" w:ascii="Times New Roman" w:hAnsi="Times New Roman" w:eastAsia="宋体" w:cs="Times New Roman"/>
                <w:color w:val="auto"/>
                <w:kern w:val="2"/>
                <w:sz w:val="24"/>
                <w:szCs w:val="24"/>
                <w:highlight w:val="none"/>
                <w:lang w:val="en-US" w:eastAsia="zh-CN" w:bidi="ar-SA"/>
              </w:rPr>
              <w:t>及中国政府采购网（www.ccgp.gov.cn）“</w:t>
            </w:r>
            <w:r>
              <w:rPr>
                <w:rFonts w:hint="default" w:ascii="Times New Roman" w:hAnsi="Times New Roman" w:eastAsia="宋体" w:cs="Times New Roman"/>
                <w:b/>
                <w:bCs/>
                <w:color w:val="auto"/>
                <w:kern w:val="2"/>
                <w:sz w:val="24"/>
                <w:szCs w:val="24"/>
                <w:highlight w:val="none"/>
                <w:lang w:val="en-US" w:eastAsia="zh-CN" w:bidi="ar-SA"/>
              </w:rPr>
              <w:t>政府采购严重违法失信行为信息记录</w:t>
            </w:r>
            <w:r>
              <w:rPr>
                <w:rFonts w:hint="default" w:ascii="Times New Roman" w:hAnsi="Times New Roman" w:eastAsia="宋体" w:cs="Times New Roman"/>
                <w:color w:val="auto"/>
                <w:kern w:val="2"/>
                <w:sz w:val="24"/>
                <w:szCs w:val="24"/>
                <w:highlight w:val="none"/>
                <w:lang w:val="en-US" w:eastAsia="zh-CN" w:bidi="ar-SA"/>
              </w:rPr>
              <w:t>” 对供应商进行信用信息查询。</w:t>
            </w:r>
            <w:r>
              <w:rPr>
                <w:rFonts w:hint="default" w:ascii="Times New Roman" w:hAnsi="Times New Roman" w:eastAsia="宋体" w:cs="Times New Roman"/>
                <w:color w:val="auto"/>
                <w:sz w:val="24"/>
                <w:szCs w:val="24"/>
                <w:highlight w:val="none"/>
              </w:rPr>
              <w:t>【说明：</w:t>
            </w:r>
            <w:r>
              <w:rPr>
                <w:rFonts w:hint="default"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未列入失信被执行人、重大税收违法案件当事人名单、政府采购严重违法失信行为记录名单</w:t>
            </w:r>
            <w:r>
              <w:rPr>
                <w:rFonts w:hint="eastAsia" w:cs="Times New Roman"/>
                <w:color w:val="auto"/>
                <w:sz w:val="24"/>
                <w:szCs w:val="24"/>
                <w:highlight w:val="none"/>
                <w:lang w:eastAsia="zh-CN"/>
              </w:rPr>
              <w:t>】</w:t>
            </w:r>
            <w:bookmarkEnd w:id="272"/>
          </w:p>
        </w:tc>
        <w:tc>
          <w:tcPr>
            <w:tcW w:w="1101" w:type="dxa"/>
            <w:tcBorders>
              <w:top w:val="single" w:color="auto" w:sz="2" w:space="0"/>
              <w:left w:val="single" w:color="auto" w:sz="2" w:space="0"/>
              <w:bottom w:val="single" w:color="auto" w:sz="2" w:space="0"/>
              <w:right w:val="single" w:color="auto" w:sz="2" w:space="0"/>
            </w:tcBorders>
            <w:noWrap w:val="0"/>
            <w:vAlign w:val="center"/>
          </w:tcPr>
          <w:p w14:paraId="4942B03C">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由评审小组查询后填写结果</w:t>
            </w:r>
          </w:p>
        </w:tc>
      </w:tr>
      <w:tr w14:paraId="13D59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tcBorders>
              <w:top w:val="single" w:color="auto" w:sz="2" w:space="0"/>
              <w:left w:val="single" w:color="auto" w:sz="2" w:space="0"/>
              <w:right w:val="single" w:color="auto" w:sz="2" w:space="0"/>
            </w:tcBorders>
            <w:noWrap w:val="0"/>
            <w:vAlign w:val="center"/>
          </w:tcPr>
          <w:p w14:paraId="6D39311C">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6</w:t>
            </w:r>
          </w:p>
        </w:tc>
        <w:tc>
          <w:tcPr>
            <w:tcW w:w="1934" w:type="dxa"/>
            <w:gridSpan w:val="2"/>
            <w:tcBorders>
              <w:top w:val="single" w:color="auto" w:sz="2" w:space="0"/>
              <w:left w:val="single" w:color="auto" w:sz="2" w:space="0"/>
              <w:right w:val="single" w:color="auto" w:sz="2" w:space="0"/>
            </w:tcBorders>
            <w:noWrap w:val="0"/>
            <w:vAlign w:val="center"/>
          </w:tcPr>
          <w:p w14:paraId="7D8BD907">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法定代表人或主要负责人身份证明书及法定代表人或主要负责人身份证复印件或护照复印件</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2512EAF4">
            <w:pPr>
              <w:keepNext w:val="0"/>
              <w:keepLines w:val="0"/>
              <w:pageBreakBefore w:val="0"/>
              <w:widowControl w:val="0"/>
              <w:numPr>
                <w:ilvl w:val="0"/>
                <w:numId w:val="7"/>
              </w:numPr>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bookmarkStart w:id="273" w:name="OLE_LINK10"/>
            <w:r>
              <w:rPr>
                <w:rFonts w:hint="eastAsia" w:ascii="宋体" w:hAnsi="宋体" w:eastAsia="宋体" w:cs="宋体"/>
                <w:color w:val="auto"/>
                <w:sz w:val="24"/>
                <w:szCs w:val="24"/>
              </w:rPr>
              <w:t>供应商按</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lang w:val="en-US" w:eastAsia="zh-CN"/>
              </w:rPr>
              <w:t>格式2-6要求提供</w:t>
            </w:r>
            <w:r>
              <w:rPr>
                <w:rFonts w:hint="eastAsia" w:ascii="宋体" w:hAnsi="宋体" w:eastAsia="宋体" w:cs="宋体"/>
                <w:color w:val="auto"/>
                <w:sz w:val="24"/>
                <w:szCs w:val="24"/>
              </w:rPr>
              <w:t>法定代表人或主要负责人身份证明书；2、身份证复印件或护照复印件</w:t>
            </w:r>
            <w:r>
              <w:rPr>
                <w:rFonts w:hint="eastAsia" w:ascii="宋体" w:hAnsi="宋体" w:eastAsia="宋体" w:cs="宋体"/>
                <w:color w:val="auto"/>
                <w:sz w:val="24"/>
                <w:szCs w:val="24"/>
                <w:lang w:eastAsia="zh-CN"/>
              </w:rPr>
              <w:t>。</w:t>
            </w:r>
          </w:p>
          <w:p w14:paraId="41E67CBF">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注：①法定代表人或主要负责人身份证复印件（身份证两面均应复印，在有效期内）或护照复印件（法定代表人或主要负责人为外籍人士的，按此提供）；②主要负责人为供应商提供的其具有独立承担民事责任的能力的证明材料中的主要负责人员】。</w:t>
            </w:r>
            <w:bookmarkEnd w:id="273"/>
          </w:p>
          <w:p w14:paraId="2B6070F7">
            <w:pPr>
              <w:pStyle w:val="11"/>
              <w:rPr>
                <w:rFonts w:hint="eastAsia"/>
                <w:color w:val="auto"/>
                <w:lang w:val="en-US" w:eastAsia="zh-CN"/>
              </w:rPr>
            </w:pPr>
            <w:r>
              <w:rPr>
                <w:rFonts w:hint="eastAsia" w:ascii="宋体" w:hAnsi="宋体" w:cs="宋体"/>
                <w:color w:val="auto"/>
                <w:kern w:val="0"/>
                <w:sz w:val="24"/>
                <w:szCs w:val="24"/>
                <w:lang w:val="en-US" w:eastAsia="zh-CN"/>
              </w:rPr>
              <w:t>注：</w:t>
            </w:r>
            <w:r>
              <w:rPr>
                <w:rFonts w:hint="eastAsia"/>
                <w:color w:val="auto"/>
                <w:lang w:val="en-US" w:eastAsia="zh-CN"/>
              </w:rPr>
              <w:t>供应商所提交的资料须加盖公章</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5720C5E9">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lang w:val="en-US"/>
              </w:rPr>
            </w:pPr>
            <w:r>
              <w:rPr>
                <w:rFonts w:hint="eastAsia" w:ascii="宋体" w:hAnsi="宋体" w:eastAsia="宋体" w:cs="宋体"/>
                <w:color w:val="auto"/>
                <w:sz w:val="24"/>
                <w:szCs w:val="24"/>
                <w:lang w:eastAsia="zh-CN"/>
              </w:rPr>
              <w:t>第六章</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格式2-6</w:t>
            </w:r>
          </w:p>
        </w:tc>
      </w:tr>
      <w:tr w14:paraId="3EC35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tcBorders>
              <w:top w:val="single" w:color="auto" w:sz="2" w:space="0"/>
              <w:left w:val="single" w:color="auto" w:sz="2" w:space="0"/>
              <w:right w:val="single" w:color="auto" w:sz="2" w:space="0"/>
            </w:tcBorders>
            <w:noWrap w:val="0"/>
            <w:vAlign w:val="center"/>
          </w:tcPr>
          <w:p w14:paraId="4E677410">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1934" w:type="dxa"/>
            <w:gridSpan w:val="2"/>
            <w:tcBorders>
              <w:top w:val="single" w:color="auto" w:sz="2" w:space="0"/>
              <w:left w:val="single" w:color="auto" w:sz="2" w:space="0"/>
              <w:right w:val="single" w:color="auto" w:sz="2" w:space="0"/>
            </w:tcBorders>
            <w:noWrap w:val="0"/>
            <w:vAlign w:val="center"/>
          </w:tcPr>
          <w:p w14:paraId="652F91C6">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法定代表人或</w:t>
            </w:r>
            <w:r>
              <w:rPr>
                <w:rFonts w:hint="eastAsia" w:ascii="宋体" w:hAnsi="宋体" w:eastAsia="宋体" w:cs="宋体"/>
                <w:color w:val="auto"/>
                <w:sz w:val="24"/>
                <w:szCs w:val="24"/>
                <w:lang w:val="en-US" w:eastAsia="zh-CN"/>
              </w:rPr>
              <w:t>主要</w:t>
            </w:r>
            <w:r>
              <w:rPr>
                <w:rFonts w:hint="eastAsia" w:ascii="宋体" w:hAnsi="宋体" w:eastAsia="宋体" w:cs="宋体"/>
                <w:color w:val="auto"/>
                <w:sz w:val="24"/>
                <w:szCs w:val="24"/>
              </w:rPr>
              <w:t>负责人授权委托书</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05823AB8">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bookmarkStart w:id="274" w:name="OLE_LINK11"/>
            <w:r>
              <w:rPr>
                <w:rFonts w:hint="eastAsia" w:ascii="宋体" w:hAnsi="宋体" w:cs="宋体"/>
                <w:color w:val="auto"/>
                <w:sz w:val="24"/>
                <w:szCs w:val="24"/>
                <w:lang w:val="en-US" w:eastAsia="zh-CN"/>
              </w:rPr>
              <w:t>1.</w:t>
            </w:r>
            <w:r>
              <w:rPr>
                <w:rFonts w:hint="eastAsia" w:ascii="宋体" w:hAnsi="宋体" w:eastAsia="宋体" w:cs="宋体"/>
                <w:color w:val="auto"/>
                <w:sz w:val="24"/>
                <w:szCs w:val="24"/>
              </w:rPr>
              <w:t>供应商按</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lang w:val="en-US" w:eastAsia="zh-CN"/>
              </w:rPr>
              <w:t>格式2-7要求提供</w:t>
            </w:r>
            <w:r>
              <w:rPr>
                <w:rFonts w:hint="eastAsia" w:ascii="宋体" w:hAnsi="宋体" w:eastAsia="宋体" w:cs="宋体"/>
                <w:color w:val="auto"/>
                <w:sz w:val="24"/>
                <w:szCs w:val="24"/>
              </w:rPr>
              <w:t>法定代表人或主要负责人</w:t>
            </w:r>
            <w:r>
              <w:rPr>
                <w:rFonts w:hint="eastAsia" w:ascii="宋体" w:hAnsi="宋体" w:eastAsia="宋体" w:cs="宋体"/>
                <w:color w:val="auto"/>
                <w:sz w:val="24"/>
                <w:szCs w:val="24"/>
                <w:lang w:val="en-US" w:eastAsia="zh-CN"/>
              </w:rPr>
              <w:t>授权委托书</w:t>
            </w:r>
            <w:r>
              <w:rPr>
                <w:rFonts w:hint="eastAsia" w:ascii="宋体" w:hAnsi="宋体" w:eastAsia="宋体" w:cs="宋体"/>
                <w:color w:val="auto"/>
                <w:sz w:val="24"/>
                <w:szCs w:val="24"/>
              </w:rPr>
              <w:t>；2、委托代理人身份证复印件或扫描件；</w:t>
            </w:r>
          </w:p>
          <w:p w14:paraId="3EF3F2B6">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【注：</w:t>
            </w:r>
            <w:r>
              <w:rPr>
                <w:rFonts w:hint="eastAsia" w:ascii="宋体" w:hAnsi="宋体" w:eastAsia="宋体" w:cs="宋体"/>
                <w:color w:val="auto"/>
                <w:sz w:val="24"/>
                <w:szCs w:val="24"/>
                <w:lang w:val="en-US" w:eastAsia="zh-CN"/>
              </w:rPr>
              <w:t>①</w:t>
            </w:r>
            <w:r>
              <w:rPr>
                <w:rFonts w:hint="eastAsia" w:ascii="宋体" w:hAnsi="宋体" w:eastAsia="宋体" w:cs="宋体"/>
                <w:color w:val="auto"/>
                <w:sz w:val="24"/>
                <w:szCs w:val="24"/>
              </w:rPr>
              <w:t>自然人响应文件的无需提供；</w:t>
            </w:r>
            <w:r>
              <w:rPr>
                <w:rFonts w:hint="eastAsia" w:ascii="宋体" w:hAnsi="宋体" w:eastAsia="宋体" w:cs="宋体"/>
                <w:color w:val="auto"/>
                <w:sz w:val="24"/>
                <w:szCs w:val="24"/>
                <w:lang w:val="en-US" w:eastAsia="zh-CN"/>
              </w:rPr>
              <w:t>②法定代表人或主要负责人亲自参与谈判不委托其他人办理的不需提供</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bookmarkEnd w:id="274"/>
          </w:p>
          <w:p w14:paraId="27293BFC">
            <w:pPr>
              <w:pStyle w:val="11"/>
              <w:rPr>
                <w:rFonts w:hint="eastAsia"/>
                <w:color w:val="auto"/>
              </w:rPr>
            </w:pPr>
            <w:r>
              <w:rPr>
                <w:rFonts w:hint="eastAsia" w:ascii="宋体" w:hAnsi="宋体" w:cs="宋体"/>
                <w:color w:val="auto"/>
                <w:kern w:val="0"/>
                <w:sz w:val="24"/>
                <w:szCs w:val="24"/>
                <w:lang w:val="en-US" w:eastAsia="zh-CN"/>
              </w:rPr>
              <w:t>注：</w:t>
            </w:r>
            <w:r>
              <w:rPr>
                <w:rFonts w:hint="eastAsia"/>
                <w:color w:val="auto"/>
                <w:lang w:val="en-US" w:eastAsia="zh-CN"/>
              </w:rPr>
              <w:t>供应商所提交的资料须加盖公章</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3AE52CC1">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lang w:val="en-US"/>
              </w:rPr>
            </w:pPr>
            <w:r>
              <w:rPr>
                <w:rFonts w:hint="eastAsia" w:ascii="宋体" w:hAnsi="宋体" w:eastAsia="宋体" w:cs="宋体"/>
                <w:color w:val="auto"/>
                <w:sz w:val="24"/>
                <w:szCs w:val="24"/>
                <w:lang w:eastAsia="zh-CN"/>
              </w:rPr>
              <w:t>第六章</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格式2-7</w:t>
            </w:r>
          </w:p>
        </w:tc>
      </w:tr>
      <w:tr w14:paraId="257DB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640" w:type="dxa"/>
            <w:tcBorders>
              <w:top w:val="single" w:color="auto" w:sz="2" w:space="0"/>
              <w:left w:val="single" w:color="auto" w:sz="2" w:space="0"/>
              <w:right w:val="single" w:color="auto" w:sz="2" w:space="0"/>
            </w:tcBorders>
            <w:noWrap w:val="0"/>
            <w:vAlign w:val="center"/>
          </w:tcPr>
          <w:p w14:paraId="504A7974">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1934" w:type="dxa"/>
            <w:gridSpan w:val="2"/>
            <w:tcBorders>
              <w:top w:val="single" w:color="auto" w:sz="2" w:space="0"/>
              <w:left w:val="single" w:color="auto" w:sz="2" w:space="0"/>
              <w:right w:val="single" w:color="auto" w:sz="2" w:space="0"/>
            </w:tcBorders>
            <w:noWrap w:val="0"/>
            <w:vAlign w:val="center"/>
          </w:tcPr>
          <w:p w14:paraId="19A3F3C5">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本项目要求供应商应具备的特定条件</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4CADDDEF">
            <w:pPr>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1.</w:t>
            </w:r>
            <w:r>
              <w:rPr>
                <w:rFonts w:hint="default" w:ascii="宋体" w:hAnsi="宋体" w:eastAsia="宋体" w:cs="宋体"/>
                <w:color w:val="auto"/>
                <w:sz w:val="24"/>
                <w:szCs w:val="24"/>
              </w:rPr>
              <w:t>响应供应商为制造商的，应具备有效期内的《中华人民共和国特种设备制造许可证》曳引驱动乘客电梯制造B级及以上资质和《中华人民共和国特种设备安装改造维修许可证》乘客电梯安装、改造、维修B级及以上资质；若响应供应商为新版证书，只需提供《中华人民共和国特种设备生产许可证》电梯制造(含安装、修理、改造):曳引驱动乘客电梯(含消防员电梯)B级及以上资质、曳引驱动载货电梯和强制驱动载货电梯(含防爆电梯中的载货电梯)不分等级</w:t>
            </w:r>
            <w:r>
              <w:rPr>
                <w:rFonts w:hint="eastAsia" w:ascii="宋体" w:hAnsi="宋体" w:cs="宋体"/>
                <w:color w:val="auto"/>
                <w:sz w:val="24"/>
                <w:szCs w:val="24"/>
                <w:lang w:eastAsia="zh-CN"/>
              </w:rPr>
              <w:t>。</w:t>
            </w:r>
          </w:p>
          <w:p w14:paraId="098D19F3">
            <w:pPr>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szCs w:val="24"/>
                <w:lang w:val="en-US" w:eastAsia="zh-CN"/>
              </w:rPr>
              <w:t>2.</w:t>
            </w:r>
            <w:r>
              <w:rPr>
                <w:rFonts w:hint="default" w:ascii="宋体" w:hAnsi="宋体" w:eastAsia="宋体" w:cs="宋体"/>
                <w:color w:val="auto"/>
                <w:sz w:val="24"/>
                <w:szCs w:val="24"/>
              </w:rPr>
              <w:t>响应供应商为代理商的，应具备有效期内的《中华人民共和国特种设备安装改造维修许可证》乘客电梯安装B级及以上资质或新版证书《中华人民共和国特种设备生产许可证》电梯安装(含修理)</w:t>
            </w:r>
            <w:r>
              <w:rPr>
                <w:rFonts w:hint="eastAsia" w:ascii="宋体" w:hAnsi="宋体" w:eastAsia="宋体" w:cs="宋体"/>
                <w:color w:val="auto"/>
                <w:sz w:val="24"/>
                <w:szCs w:val="24"/>
                <w:lang w:eastAsia="zh-CN"/>
              </w:rPr>
              <w:t>，</w:t>
            </w:r>
            <w:r>
              <w:rPr>
                <w:rFonts w:hint="default" w:ascii="宋体" w:hAnsi="宋体" w:eastAsia="宋体" w:cs="宋体"/>
                <w:color w:val="auto"/>
                <w:sz w:val="24"/>
                <w:szCs w:val="24"/>
              </w:rPr>
              <w:t>同时还应满足以下要求：投标设备制造商应具备有效期内的《中华人民共和国特种设备制造许可证》曳引驱动乘客电梯制造B级及以上，同时具有《中华人民共和国特种设备安装改造维修许可证》乘客电梯安装B级及以上资质或新版《中华人民共和国特种设备生产许可证》电梯制造(含安装、修理、改造):曳引驱动乘客电梯(含消防员电梯)B级及以上资质、曳引驱动载货电梯和强制驱动载货电梯(含防爆电梯中的载货电梯)不分等级。</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4EAD6C34">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eastAsia="zh-CN"/>
              </w:rPr>
              <w:t>第六章</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格式2-8</w:t>
            </w:r>
          </w:p>
        </w:tc>
      </w:tr>
      <w:tr w14:paraId="67770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vMerge w:val="restart"/>
            <w:tcBorders>
              <w:left w:val="single" w:color="auto" w:sz="2" w:space="0"/>
              <w:right w:val="single" w:color="auto" w:sz="2" w:space="0"/>
            </w:tcBorders>
            <w:noWrap w:val="0"/>
            <w:vAlign w:val="center"/>
          </w:tcPr>
          <w:p w14:paraId="37B4F599">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p>
        </w:tc>
        <w:tc>
          <w:tcPr>
            <w:tcW w:w="403" w:type="dxa"/>
            <w:vMerge w:val="restart"/>
            <w:tcBorders>
              <w:left w:val="single" w:color="auto" w:sz="2" w:space="0"/>
              <w:right w:val="single" w:color="auto" w:sz="2" w:space="0"/>
            </w:tcBorders>
            <w:noWrap w:val="0"/>
            <w:vAlign w:val="center"/>
          </w:tcPr>
          <w:p w14:paraId="2D373798">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c>
          <w:tcPr>
            <w:tcW w:w="1531" w:type="dxa"/>
            <w:tcBorders>
              <w:top w:val="single" w:color="auto" w:sz="2" w:space="0"/>
              <w:left w:val="single" w:color="auto" w:sz="2" w:space="0"/>
              <w:bottom w:val="single" w:color="auto" w:sz="2" w:space="0"/>
              <w:right w:val="single" w:color="auto" w:sz="2" w:space="0"/>
            </w:tcBorders>
            <w:noWrap w:val="0"/>
            <w:vAlign w:val="center"/>
          </w:tcPr>
          <w:p w14:paraId="6B2B41C5">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具有履行合同所必须的设备和专业技术能力</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4DDB5854">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highlight w:val="none"/>
              </w:rPr>
            </w:pPr>
            <w:bookmarkStart w:id="275" w:name="OLE_LINK12"/>
            <w:r>
              <w:rPr>
                <w:rFonts w:hint="eastAsia" w:ascii="宋体" w:hAnsi="宋体" w:eastAsia="宋体" w:cs="宋体"/>
                <w:color w:val="auto"/>
                <w:sz w:val="24"/>
                <w:szCs w:val="24"/>
                <w:highlight w:val="none"/>
              </w:rPr>
              <w:t>采购人对供应商履行合同所必须的设备和专业技术能力，供应商</w:t>
            </w:r>
            <w:r>
              <w:rPr>
                <w:rFonts w:hint="eastAsia" w:ascii="宋体" w:hAnsi="宋体" w:eastAsia="宋体" w:cs="宋体"/>
                <w:color w:val="auto"/>
                <w:sz w:val="24"/>
                <w:szCs w:val="24"/>
                <w:highlight w:val="none"/>
                <w:lang w:val="en-US" w:eastAsia="zh-CN"/>
              </w:rPr>
              <w:t>根据实际情况</w:t>
            </w:r>
            <w:r>
              <w:rPr>
                <w:rFonts w:hint="eastAsia" w:ascii="宋体" w:hAnsi="宋体" w:eastAsia="宋体" w:cs="宋体"/>
                <w:color w:val="auto"/>
                <w:sz w:val="24"/>
                <w:szCs w:val="24"/>
                <w:highlight w:val="none"/>
              </w:rPr>
              <w:t>提供证明材料</w:t>
            </w:r>
            <w:r>
              <w:rPr>
                <w:rFonts w:hint="eastAsia" w:ascii="宋体" w:hAnsi="宋体" w:eastAsia="宋体" w:cs="宋体"/>
                <w:color w:val="auto"/>
                <w:sz w:val="24"/>
                <w:szCs w:val="24"/>
                <w:highlight w:val="none"/>
                <w:lang w:val="en-US" w:eastAsia="zh-CN"/>
              </w:rPr>
              <w:t>或承诺</w:t>
            </w:r>
            <w:r>
              <w:rPr>
                <w:rFonts w:hint="eastAsia" w:ascii="宋体" w:hAnsi="宋体" w:eastAsia="宋体" w:cs="宋体"/>
                <w:color w:val="auto"/>
                <w:sz w:val="24"/>
                <w:szCs w:val="24"/>
                <w:highlight w:val="none"/>
              </w:rPr>
              <w:t>。</w:t>
            </w:r>
            <w:bookmarkEnd w:id="275"/>
          </w:p>
          <w:p w14:paraId="26397F07">
            <w:pPr>
              <w:pStyle w:val="11"/>
              <w:rPr>
                <w:rFonts w:hint="eastAsia"/>
                <w:color w:val="auto"/>
              </w:rPr>
            </w:pPr>
            <w:r>
              <w:rPr>
                <w:rFonts w:hint="eastAsia" w:ascii="宋体" w:hAnsi="宋体" w:cs="宋体"/>
                <w:color w:val="auto"/>
                <w:kern w:val="0"/>
                <w:sz w:val="24"/>
                <w:szCs w:val="24"/>
                <w:lang w:val="en-US" w:eastAsia="zh-CN"/>
              </w:rPr>
              <w:t>注：</w:t>
            </w:r>
            <w:r>
              <w:rPr>
                <w:rFonts w:hint="eastAsia"/>
                <w:color w:val="auto"/>
                <w:lang w:val="en-US" w:eastAsia="zh-CN"/>
              </w:rPr>
              <w:t>供应商所提交的资料须加盖公章</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24814CA0">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lang w:val="en-US"/>
              </w:rPr>
            </w:pPr>
            <w:r>
              <w:rPr>
                <w:rFonts w:hint="eastAsia" w:ascii="宋体" w:hAnsi="宋体" w:eastAsia="宋体" w:cs="宋体"/>
                <w:color w:val="auto"/>
                <w:sz w:val="24"/>
                <w:szCs w:val="24"/>
                <w:lang w:eastAsia="zh-CN"/>
              </w:rPr>
              <w:t>第六章</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格式2-9</w:t>
            </w:r>
          </w:p>
        </w:tc>
      </w:tr>
      <w:tr w14:paraId="6F5C9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vMerge w:val="continue"/>
            <w:tcBorders>
              <w:left w:val="single" w:color="auto" w:sz="2" w:space="0"/>
              <w:right w:val="single" w:color="auto" w:sz="2" w:space="0"/>
            </w:tcBorders>
            <w:noWrap w:val="0"/>
            <w:vAlign w:val="center"/>
          </w:tcPr>
          <w:p w14:paraId="4B482685">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color w:val="auto"/>
                <w:sz w:val="24"/>
                <w:szCs w:val="24"/>
              </w:rPr>
            </w:pPr>
          </w:p>
        </w:tc>
        <w:tc>
          <w:tcPr>
            <w:tcW w:w="403" w:type="dxa"/>
            <w:vMerge w:val="continue"/>
            <w:tcBorders>
              <w:left w:val="single" w:color="auto" w:sz="2" w:space="0"/>
              <w:right w:val="single" w:color="auto" w:sz="2" w:space="0"/>
            </w:tcBorders>
            <w:noWrap w:val="0"/>
            <w:vAlign w:val="center"/>
          </w:tcPr>
          <w:p w14:paraId="37C3E5CF">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p>
        </w:tc>
        <w:tc>
          <w:tcPr>
            <w:tcW w:w="1531" w:type="dxa"/>
            <w:tcBorders>
              <w:top w:val="single" w:color="auto" w:sz="2" w:space="0"/>
              <w:left w:val="single" w:color="auto" w:sz="2" w:space="0"/>
              <w:bottom w:val="single" w:color="auto" w:sz="2" w:space="0"/>
              <w:right w:val="single" w:color="auto" w:sz="2" w:space="0"/>
            </w:tcBorders>
            <w:noWrap w:val="0"/>
            <w:vAlign w:val="center"/>
          </w:tcPr>
          <w:p w14:paraId="73ABF1F0">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bookmarkStart w:id="276" w:name="OLE_LINK15"/>
            <w:r>
              <w:rPr>
                <w:rFonts w:hint="eastAsia" w:ascii="宋体" w:hAnsi="宋体" w:eastAsia="宋体" w:cs="宋体"/>
                <w:color w:val="auto"/>
                <w:sz w:val="24"/>
                <w:szCs w:val="24"/>
              </w:rPr>
              <w:t>不属于国家相关法律法规规定的其他禁止参加</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的情形</w:t>
            </w:r>
            <w:bookmarkEnd w:id="276"/>
          </w:p>
        </w:tc>
        <w:tc>
          <w:tcPr>
            <w:tcW w:w="6423" w:type="dxa"/>
            <w:tcBorders>
              <w:top w:val="single" w:color="auto" w:sz="2" w:space="0"/>
              <w:left w:val="single" w:color="auto" w:sz="2" w:space="0"/>
              <w:bottom w:val="single" w:color="auto" w:sz="2" w:space="0"/>
              <w:right w:val="single" w:color="auto" w:sz="2" w:space="0"/>
            </w:tcBorders>
            <w:noWrap w:val="0"/>
            <w:vAlign w:val="center"/>
          </w:tcPr>
          <w:p w14:paraId="35414507">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bookmarkStart w:id="277" w:name="OLE_LINK13"/>
            <w:r>
              <w:rPr>
                <w:rFonts w:hint="eastAsia" w:ascii="宋体" w:hAnsi="宋体" w:eastAsia="宋体" w:cs="宋体"/>
                <w:color w:val="auto"/>
                <w:sz w:val="24"/>
                <w:szCs w:val="24"/>
                <w:lang w:val="en-US" w:eastAsia="zh-CN"/>
              </w:rPr>
              <w:t>①</w:t>
            </w:r>
            <w:r>
              <w:rPr>
                <w:rFonts w:hint="eastAsia" w:ascii="宋体" w:hAnsi="宋体" w:eastAsia="宋体" w:cs="宋体"/>
                <w:color w:val="auto"/>
                <w:sz w:val="24"/>
                <w:szCs w:val="24"/>
              </w:rPr>
              <w:t>根据</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的要求不属于禁止参加</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采购活动或响应文件无效的供应商；</w:t>
            </w:r>
          </w:p>
          <w:p w14:paraId="6330B74A">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②</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小组未发现或者未知晓供应商存在属于国家相关法律法规规定的禁止参加</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采购活动或响应文件无效的供应商。</w:t>
            </w:r>
          </w:p>
          <w:p w14:paraId="2B6E4D75">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【说明：无须提供证明材料，上传空白页即可，不对本项上传的材料作资格审查】</w:t>
            </w:r>
            <w:bookmarkEnd w:id="277"/>
          </w:p>
        </w:tc>
        <w:tc>
          <w:tcPr>
            <w:tcW w:w="1101" w:type="dxa"/>
            <w:tcBorders>
              <w:top w:val="single" w:color="auto" w:sz="2" w:space="0"/>
              <w:left w:val="single" w:color="auto" w:sz="2" w:space="0"/>
              <w:bottom w:val="single" w:color="auto" w:sz="2" w:space="0"/>
              <w:right w:val="single" w:color="auto" w:sz="2" w:space="0"/>
            </w:tcBorders>
            <w:noWrap w:val="0"/>
            <w:vAlign w:val="center"/>
          </w:tcPr>
          <w:p w14:paraId="389271E6">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p>
        </w:tc>
      </w:tr>
      <w:tr w14:paraId="56BB0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vMerge w:val="continue"/>
            <w:tcBorders>
              <w:left w:val="single" w:color="auto" w:sz="2" w:space="0"/>
              <w:right w:val="single" w:color="auto" w:sz="2" w:space="0"/>
            </w:tcBorders>
            <w:noWrap w:val="0"/>
            <w:vAlign w:val="center"/>
          </w:tcPr>
          <w:p w14:paraId="7C13BDCB">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p>
        </w:tc>
        <w:tc>
          <w:tcPr>
            <w:tcW w:w="403" w:type="dxa"/>
            <w:vMerge w:val="continue"/>
            <w:tcBorders>
              <w:left w:val="single" w:color="auto" w:sz="2" w:space="0"/>
              <w:right w:val="single" w:color="auto" w:sz="2" w:space="0"/>
            </w:tcBorders>
            <w:noWrap w:val="0"/>
            <w:vAlign w:val="center"/>
          </w:tcPr>
          <w:p w14:paraId="2951D161">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p>
        </w:tc>
        <w:tc>
          <w:tcPr>
            <w:tcW w:w="1531" w:type="dxa"/>
            <w:tcBorders>
              <w:top w:val="single" w:color="auto" w:sz="2" w:space="0"/>
              <w:left w:val="single" w:color="auto" w:sz="2" w:space="0"/>
              <w:bottom w:val="single" w:color="auto" w:sz="2" w:space="0"/>
              <w:right w:val="single" w:color="auto" w:sz="2" w:space="0"/>
            </w:tcBorders>
            <w:noWrap w:val="0"/>
            <w:vAlign w:val="center"/>
          </w:tcPr>
          <w:p w14:paraId="06C74240">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联合体</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473977ED">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本项目不接受联合体</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5665FC03">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p>
        </w:tc>
      </w:tr>
      <w:tr w14:paraId="216DC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vMerge w:val="continue"/>
            <w:tcBorders>
              <w:left w:val="single" w:color="auto" w:sz="2" w:space="0"/>
              <w:right w:val="single" w:color="auto" w:sz="2" w:space="0"/>
            </w:tcBorders>
            <w:noWrap w:val="0"/>
            <w:vAlign w:val="center"/>
          </w:tcPr>
          <w:p w14:paraId="122566EA">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p>
        </w:tc>
        <w:tc>
          <w:tcPr>
            <w:tcW w:w="403" w:type="dxa"/>
            <w:vMerge w:val="continue"/>
            <w:tcBorders>
              <w:left w:val="single" w:color="auto" w:sz="2" w:space="0"/>
              <w:right w:val="single" w:color="auto" w:sz="2" w:space="0"/>
            </w:tcBorders>
            <w:noWrap w:val="0"/>
            <w:vAlign w:val="center"/>
          </w:tcPr>
          <w:p w14:paraId="2DED1EC6">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p>
        </w:tc>
        <w:tc>
          <w:tcPr>
            <w:tcW w:w="1531" w:type="dxa"/>
            <w:tcBorders>
              <w:top w:val="single" w:color="auto" w:sz="2" w:space="0"/>
              <w:left w:val="single" w:color="auto" w:sz="2" w:space="0"/>
              <w:bottom w:val="single" w:color="auto" w:sz="2" w:space="0"/>
              <w:right w:val="single" w:color="auto" w:sz="2" w:space="0"/>
            </w:tcBorders>
            <w:noWrap w:val="0"/>
            <w:vAlign w:val="center"/>
          </w:tcPr>
          <w:p w14:paraId="0D1A804C">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bookmarkStart w:id="278" w:name="OLE_LINK14"/>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保证金</w:t>
            </w:r>
            <w:bookmarkEnd w:id="278"/>
          </w:p>
        </w:tc>
        <w:tc>
          <w:tcPr>
            <w:tcW w:w="6423" w:type="dxa"/>
            <w:tcBorders>
              <w:top w:val="single" w:color="auto" w:sz="2" w:space="0"/>
              <w:left w:val="single" w:color="auto" w:sz="2" w:space="0"/>
              <w:bottom w:val="single" w:color="auto" w:sz="2" w:space="0"/>
              <w:right w:val="single" w:color="auto" w:sz="2" w:space="0"/>
            </w:tcBorders>
            <w:noWrap w:val="0"/>
            <w:vAlign w:val="center"/>
          </w:tcPr>
          <w:p w14:paraId="2BABB321">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无【说明：无须提供证明材料，上传空白页即可，不对本项上传的材料作资格审查】</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4336338C">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p>
        </w:tc>
      </w:tr>
    </w:tbl>
    <w:p w14:paraId="3A0EF446">
      <w:pPr>
        <w:keepNext w:val="0"/>
        <w:keepLines w:val="0"/>
        <w:pageBreakBefore w:val="0"/>
        <w:widowControl w:val="0"/>
        <w:tabs>
          <w:tab w:val="left" w:pos="851"/>
        </w:tabs>
        <w:kinsoku/>
        <w:wordWrap/>
        <w:overflowPunct/>
        <w:topLinePunct w:val="0"/>
        <w:autoSpaceDE/>
        <w:autoSpaceDN/>
        <w:bidi w:val="0"/>
        <w:adjustRightInd/>
        <w:spacing w:line="560" w:lineRule="exact"/>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注：</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以上每一项结论均为“符合”的，则供应商的响应文件通过资格性审查；如有</w:t>
      </w:r>
      <w:r>
        <w:rPr>
          <w:rFonts w:hint="eastAsia" w:ascii="宋体" w:hAnsi="宋体" w:eastAsia="宋体" w:cs="宋体"/>
          <w:color w:val="auto"/>
          <w:sz w:val="24"/>
          <w:szCs w:val="24"/>
          <w:highlight w:val="none"/>
        </w:rPr>
        <w:t>其中任意一项结论为“不符合”的，则供应商的响应文件按无效响应文件处理。</w:t>
      </w:r>
    </w:p>
    <w:p w14:paraId="262D7BBA">
      <w:pPr>
        <w:keepNext w:val="0"/>
        <w:keepLines w:val="0"/>
        <w:pageBreakBefore w:val="0"/>
        <w:widowControl w:val="0"/>
        <w:tabs>
          <w:tab w:val="left" w:pos="851"/>
        </w:tabs>
        <w:kinsoku/>
        <w:wordWrap/>
        <w:overflowPunct/>
        <w:topLinePunct w:val="0"/>
        <w:autoSpaceDE/>
        <w:autoSpaceDN/>
        <w:bidi w:val="0"/>
        <w:adjustRightInd/>
        <w:spacing w:line="560" w:lineRule="exact"/>
        <w:ind w:left="0" w:leftChars="0" w:right="0" w:rightChars="0" w:firstLine="484" w:firstLineChars="202"/>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2.“信用中国”、“中国政府采购网”网站由采购人或采购代理机构查询网页截图、打印，作为查询记录和证据。</w:t>
      </w:r>
    </w:p>
    <w:p w14:paraId="351DFDAD">
      <w:pPr>
        <w:keepNext w:val="0"/>
        <w:keepLines w:val="0"/>
        <w:pageBreakBefore w:val="0"/>
        <w:widowControl w:val="0"/>
        <w:tabs>
          <w:tab w:val="left" w:pos="851"/>
        </w:tabs>
        <w:kinsoku/>
        <w:wordWrap/>
        <w:overflowPunct/>
        <w:topLinePunct w:val="0"/>
        <w:autoSpaceDE/>
        <w:autoSpaceDN/>
        <w:bidi w:val="0"/>
        <w:adjustRightInd/>
        <w:spacing w:line="560" w:lineRule="exact"/>
        <w:ind w:left="0" w:leftChars="0" w:right="0" w:rightChars="0" w:firstLine="484" w:firstLineChars="202"/>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没有通过资格审查的供应商，</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小组应当在</w:t>
      </w:r>
      <w:r>
        <w:rPr>
          <w:rFonts w:hint="eastAsia" w:ascii="宋体" w:hAnsi="宋体" w:eastAsia="宋体" w:cs="宋体"/>
          <w:color w:val="auto"/>
          <w:sz w:val="24"/>
          <w:szCs w:val="24"/>
          <w:lang w:val="en-US" w:eastAsia="zh-CN"/>
        </w:rPr>
        <w:t>评审系统</w:t>
      </w:r>
      <w:r>
        <w:rPr>
          <w:rFonts w:hint="eastAsia" w:ascii="宋体" w:hAnsi="宋体" w:eastAsia="宋体" w:cs="宋体"/>
          <w:color w:val="auto"/>
          <w:sz w:val="24"/>
          <w:szCs w:val="24"/>
        </w:rPr>
        <w:t>中载明未通过的原因。</w:t>
      </w:r>
    </w:p>
    <w:p w14:paraId="514E8E18">
      <w:pPr>
        <w:keepNext w:val="0"/>
        <w:keepLines w:val="0"/>
        <w:pageBreakBefore w:val="0"/>
        <w:widowControl w:val="0"/>
        <w:tabs>
          <w:tab w:val="left" w:pos="851"/>
        </w:tabs>
        <w:kinsoku/>
        <w:wordWrap/>
        <w:overflowPunct/>
        <w:topLinePunct w:val="0"/>
        <w:autoSpaceDE/>
        <w:autoSpaceDN/>
        <w:bidi w:val="0"/>
        <w:adjustRightInd/>
        <w:spacing w:line="560" w:lineRule="exact"/>
        <w:ind w:left="0" w:leftChars="0" w:right="0" w:rightChars="0" w:firstLine="484" w:firstLineChars="202"/>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通过资格性审查的供应商</w:t>
      </w:r>
      <w:r>
        <w:rPr>
          <w:rFonts w:hint="eastAsia" w:ascii="宋体" w:hAnsi="宋体" w:eastAsia="宋体" w:cs="宋体"/>
          <w:color w:val="auto"/>
          <w:sz w:val="24"/>
          <w:szCs w:val="24"/>
          <w:lang w:val="en-US" w:eastAsia="zh-CN"/>
        </w:rPr>
        <w:t>不足三家的</w:t>
      </w:r>
      <w:r>
        <w:rPr>
          <w:rFonts w:hint="eastAsia" w:ascii="宋体" w:hAnsi="宋体" w:eastAsia="宋体" w:cs="宋体"/>
          <w:color w:val="auto"/>
          <w:sz w:val="24"/>
          <w:szCs w:val="24"/>
        </w:rPr>
        <w:t>，采购失败。</w:t>
      </w:r>
    </w:p>
    <w:p w14:paraId="25014C40">
      <w:pPr>
        <w:pStyle w:val="4"/>
        <w:keepNext w:val="0"/>
        <w:keepLines w:val="0"/>
        <w:pageBreakBefore w:val="0"/>
        <w:widowControl w:val="0"/>
        <w:kinsoku/>
        <w:wordWrap/>
        <w:overflowPunct/>
        <w:topLinePunct w:val="0"/>
        <w:autoSpaceDE/>
        <w:autoSpaceDN/>
        <w:bidi w:val="0"/>
        <w:adjustRightInd/>
        <w:spacing w:before="0" w:after="0" w:line="560" w:lineRule="exact"/>
        <w:ind w:left="0" w:leftChars="0" w:right="0" w:rightChars="0"/>
        <w:jc w:val="both"/>
        <w:textAlignment w:val="auto"/>
        <w:outlineLvl w:val="2"/>
        <w:rPr>
          <w:rFonts w:hint="eastAsia" w:ascii="宋体" w:hAnsi="宋体" w:eastAsia="宋体" w:cs="宋体"/>
          <w:b/>
          <w:bCs/>
          <w:color w:val="auto"/>
          <w:sz w:val="24"/>
          <w:szCs w:val="24"/>
          <w:highlight w:val="none"/>
          <w:lang w:val="en-US" w:eastAsia="zh-CN"/>
        </w:rPr>
      </w:pPr>
      <w:bookmarkStart w:id="279" w:name="_Toc19599"/>
      <w:r>
        <w:rPr>
          <w:rFonts w:hint="eastAsia" w:ascii="宋体" w:hAnsi="宋体" w:eastAsia="宋体" w:cs="宋体"/>
          <w:b/>
          <w:bCs/>
          <w:color w:val="auto"/>
          <w:sz w:val="24"/>
          <w:szCs w:val="24"/>
          <w:highlight w:val="none"/>
          <w:lang w:val="en-US" w:eastAsia="zh-CN"/>
        </w:rPr>
        <w:t>2.符合性审查</w:t>
      </w:r>
      <w:bookmarkEnd w:id="279"/>
    </w:p>
    <w:p w14:paraId="312883D1">
      <w:pPr>
        <w:keepNext w:val="0"/>
        <w:keepLines w:val="0"/>
        <w:pageBreakBefore w:val="0"/>
        <w:widowControl w:val="0"/>
        <w:tabs>
          <w:tab w:val="left" w:pos="851"/>
        </w:tabs>
        <w:kinsoku/>
        <w:wordWrap/>
        <w:overflowPunct/>
        <w:topLinePunct w:val="0"/>
        <w:autoSpaceDE/>
        <w:autoSpaceDN/>
        <w:bidi w:val="0"/>
        <w:adjustRightInd/>
        <w:spacing w:line="560" w:lineRule="exact"/>
        <w:ind w:left="0" w:leftChars="0" w:right="0" w:rightChars="0" w:firstLine="484" w:firstLineChars="202"/>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 供应商资格审查结束后，由谈判小组对供应商响应文件进行符合性审查。</w:t>
      </w:r>
    </w:p>
    <w:p w14:paraId="4F7AD791">
      <w:pPr>
        <w:keepNext w:val="0"/>
        <w:keepLines w:val="0"/>
        <w:pageBreakBefore w:val="0"/>
        <w:widowControl w:val="0"/>
        <w:tabs>
          <w:tab w:val="left" w:pos="851"/>
        </w:tabs>
        <w:kinsoku/>
        <w:wordWrap/>
        <w:overflowPunct/>
        <w:topLinePunct w:val="0"/>
        <w:autoSpaceDE/>
        <w:autoSpaceDN/>
        <w:bidi w:val="0"/>
        <w:adjustRightInd/>
        <w:spacing w:line="560" w:lineRule="exact"/>
        <w:ind w:left="0" w:leftChars="0" w:right="0" w:rightChars="0" w:firstLine="484" w:firstLineChars="202"/>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 谈判小组在符合性审查过程中，谈判小组成员对供应商是否符合规定存在争议的，应当以少数服从多数的原则处理，但不违背政府采购法和谈判文件规定。</w:t>
      </w:r>
    </w:p>
    <w:p w14:paraId="1B05767D">
      <w:pPr>
        <w:pStyle w:val="69"/>
        <w:keepNext w:val="0"/>
        <w:keepLines w:val="0"/>
        <w:pageBreakBefore w:val="0"/>
        <w:widowControl w:val="0"/>
        <w:numPr>
          <w:ilvl w:val="0"/>
          <w:numId w:val="0"/>
        </w:numPr>
        <w:tabs>
          <w:tab w:val="left" w:pos="1134"/>
          <w:tab w:val="left" w:pos="1276"/>
          <w:tab w:val="left" w:pos="1418"/>
        </w:tabs>
        <w:kinsoku/>
        <w:wordWrap/>
        <w:overflowPunct/>
        <w:topLinePunct w:val="0"/>
        <w:autoSpaceDE/>
        <w:autoSpaceDN/>
        <w:bidi w:val="0"/>
        <w:adjustRightInd/>
        <w:snapToGrid w:val="0"/>
        <w:spacing w:line="560" w:lineRule="exact"/>
        <w:ind w:left="0" w:leftChars="0" w:right="0" w:rightChars="0" w:firstLine="240" w:firstLineChars="1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2.3 </w:t>
      </w:r>
      <w:r>
        <w:rPr>
          <w:rFonts w:hint="eastAsia" w:ascii="宋体" w:hAnsi="宋体" w:eastAsia="宋体" w:cs="宋体"/>
          <w:b/>
          <w:bCs/>
          <w:color w:val="auto"/>
          <w:sz w:val="24"/>
          <w:szCs w:val="24"/>
          <w:highlight w:val="none"/>
        </w:rPr>
        <w:t>供应商符合性审查标准（按以下顺序审查）：</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272"/>
        <w:gridCol w:w="6509"/>
      </w:tblGrid>
      <w:tr w14:paraId="4344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0" w:type="dxa"/>
            <w:tcBorders>
              <w:top w:val="single" w:color="auto" w:sz="2" w:space="0"/>
              <w:left w:val="single" w:color="auto" w:sz="2" w:space="0"/>
              <w:bottom w:val="single" w:color="auto" w:sz="2" w:space="0"/>
              <w:right w:val="single" w:color="auto" w:sz="2" w:space="0"/>
            </w:tcBorders>
            <w:noWrap w:val="0"/>
            <w:vAlign w:val="center"/>
          </w:tcPr>
          <w:p w14:paraId="4BBFC6A5">
            <w:pPr>
              <w:keepNext w:val="0"/>
              <w:keepLines w:val="0"/>
              <w:pageBreakBefore w:val="0"/>
              <w:tabs>
                <w:tab w:val="left" w:pos="851"/>
              </w:tabs>
              <w:kinsoku/>
              <w:wordWrap/>
              <w:overflowPunct/>
              <w:topLinePunct w:val="0"/>
              <w:autoSpaceDE/>
              <w:autoSpaceDN/>
              <w:bidi w:val="0"/>
              <w:spacing w:line="56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2272" w:type="dxa"/>
            <w:tcBorders>
              <w:top w:val="single" w:color="auto" w:sz="2" w:space="0"/>
              <w:left w:val="single" w:color="auto" w:sz="2" w:space="0"/>
              <w:bottom w:val="single" w:color="auto" w:sz="2" w:space="0"/>
              <w:right w:val="single" w:color="auto" w:sz="2" w:space="0"/>
            </w:tcBorders>
            <w:noWrap w:val="0"/>
            <w:vAlign w:val="center"/>
          </w:tcPr>
          <w:p w14:paraId="6AE921CC">
            <w:pPr>
              <w:keepNext w:val="0"/>
              <w:keepLines w:val="0"/>
              <w:pageBreakBefore w:val="0"/>
              <w:tabs>
                <w:tab w:val="left" w:pos="851"/>
              </w:tabs>
              <w:kinsoku/>
              <w:wordWrap/>
              <w:overflowPunct/>
              <w:topLinePunct w:val="0"/>
              <w:autoSpaceDE/>
              <w:autoSpaceDN/>
              <w:bidi w:val="0"/>
              <w:spacing w:line="56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符合性审查项</w:t>
            </w:r>
          </w:p>
        </w:tc>
        <w:tc>
          <w:tcPr>
            <w:tcW w:w="6509" w:type="dxa"/>
            <w:tcBorders>
              <w:top w:val="single" w:color="auto" w:sz="2" w:space="0"/>
              <w:left w:val="single" w:color="auto" w:sz="2" w:space="0"/>
              <w:bottom w:val="single" w:color="auto" w:sz="2" w:space="0"/>
              <w:right w:val="single" w:color="auto" w:sz="2" w:space="0"/>
            </w:tcBorders>
            <w:noWrap w:val="0"/>
            <w:vAlign w:val="center"/>
          </w:tcPr>
          <w:p w14:paraId="28122F4A">
            <w:pPr>
              <w:keepNext w:val="0"/>
              <w:keepLines w:val="0"/>
              <w:pageBreakBefore w:val="0"/>
              <w:tabs>
                <w:tab w:val="left" w:pos="851"/>
              </w:tabs>
              <w:kinsoku/>
              <w:wordWrap/>
              <w:overflowPunct/>
              <w:topLinePunct w:val="0"/>
              <w:autoSpaceDE/>
              <w:autoSpaceDN/>
              <w:bidi w:val="0"/>
              <w:spacing w:line="560" w:lineRule="exact"/>
              <w:ind w:firstLine="484" w:firstLineChars="202"/>
              <w:jc w:val="center"/>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通过条件</w:t>
            </w:r>
          </w:p>
        </w:tc>
      </w:tr>
      <w:tr w14:paraId="03884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top w:val="single" w:color="auto" w:sz="2" w:space="0"/>
              <w:left w:val="single" w:color="auto" w:sz="2" w:space="0"/>
              <w:bottom w:val="single" w:color="auto" w:sz="2" w:space="0"/>
              <w:right w:val="single" w:color="auto" w:sz="2" w:space="0"/>
            </w:tcBorders>
            <w:noWrap w:val="0"/>
            <w:vAlign w:val="center"/>
          </w:tcPr>
          <w:p w14:paraId="1C2ECCE9">
            <w:pPr>
              <w:keepNext w:val="0"/>
              <w:keepLines w:val="0"/>
              <w:pageBreakBefore w:val="0"/>
              <w:tabs>
                <w:tab w:val="left" w:pos="851"/>
              </w:tabs>
              <w:kinsoku/>
              <w:wordWrap/>
              <w:overflowPunct/>
              <w:topLinePunct w:val="0"/>
              <w:autoSpaceDE/>
              <w:autoSpaceDN/>
              <w:bidi w:val="0"/>
              <w:spacing w:line="5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272" w:type="dxa"/>
            <w:tcBorders>
              <w:top w:val="single" w:color="auto" w:sz="2" w:space="0"/>
              <w:left w:val="single" w:color="auto" w:sz="2" w:space="0"/>
              <w:bottom w:val="single" w:color="auto" w:sz="2" w:space="0"/>
              <w:right w:val="single" w:color="auto" w:sz="2" w:space="0"/>
            </w:tcBorders>
            <w:noWrap w:val="0"/>
            <w:vAlign w:val="center"/>
          </w:tcPr>
          <w:p w14:paraId="3D5F41DA">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color w:val="auto"/>
                <w:kern w:val="2"/>
                <w:sz w:val="24"/>
                <w:szCs w:val="24"/>
                <w:highlight w:val="none"/>
                <w:lang w:val="en-US" w:eastAsia="zh-CN" w:bidi="ar-SA"/>
              </w:rPr>
            </w:pPr>
            <w:bookmarkStart w:id="280" w:name="OLE_LINK16"/>
            <w:r>
              <w:rPr>
                <w:rFonts w:hint="eastAsia" w:ascii="宋体" w:hAnsi="宋体" w:eastAsia="宋体" w:cs="宋体"/>
                <w:color w:val="auto"/>
                <w:sz w:val="24"/>
                <w:szCs w:val="24"/>
                <w:highlight w:val="none"/>
                <w:lang w:val="en-US" w:eastAsia="zh-CN"/>
              </w:rPr>
              <w:t>响应文件内的首次</w:t>
            </w:r>
            <w:r>
              <w:rPr>
                <w:rFonts w:hint="eastAsia" w:ascii="宋体" w:hAnsi="宋体" w:eastAsia="宋体" w:cs="宋体"/>
                <w:color w:val="auto"/>
                <w:sz w:val="24"/>
                <w:szCs w:val="24"/>
                <w:highlight w:val="none"/>
              </w:rPr>
              <w:t>报价</w:t>
            </w:r>
            <w:bookmarkEnd w:id="280"/>
          </w:p>
        </w:tc>
        <w:tc>
          <w:tcPr>
            <w:tcW w:w="6509" w:type="dxa"/>
            <w:tcBorders>
              <w:top w:val="single" w:color="auto" w:sz="2" w:space="0"/>
              <w:left w:val="single" w:color="auto" w:sz="2" w:space="0"/>
              <w:bottom w:val="single" w:color="auto" w:sz="2" w:space="0"/>
              <w:right w:val="single" w:color="auto" w:sz="2" w:space="0"/>
            </w:tcBorders>
            <w:noWrap w:val="0"/>
            <w:vAlign w:val="center"/>
          </w:tcPr>
          <w:p w14:paraId="09F06A93">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color w:val="auto"/>
                <w:sz w:val="24"/>
                <w:szCs w:val="24"/>
                <w:lang w:val="en-US" w:eastAsia="zh-CN"/>
              </w:rPr>
            </w:pPr>
            <w:bookmarkStart w:id="281" w:name="OLE_LINK17"/>
            <w:r>
              <w:rPr>
                <w:rFonts w:hint="eastAsia" w:ascii="宋体" w:hAnsi="宋体" w:eastAsia="宋体" w:cs="宋体"/>
                <w:color w:val="auto"/>
                <w:sz w:val="24"/>
                <w:szCs w:val="24"/>
                <w:lang w:val="en-US" w:eastAsia="zh-CN"/>
              </w:rPr>
              <w:t>（1）按照谈判文件要求报价且不超过预算金额或最高限价。</w:t>
            </w:r>
          </w:p>
          <w:p w14:paraId="54FCD69D">
            <w:pPr>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谈判小组对供应商首次报价进行算术性复核，如果出现下列不一致的，按以下原则进行修正：</w:t>
            </w:r>
          </w:p>
          <w:p w14:paraId="259C1F7C">
            <w:pPr>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1.</w:t>
            </w:r>
            <w:r>
              <w:rPr>
                <w:rFonts w:hint="eastAsia" w:ascii="宋体" w:hAnsi="宋体" w:eastAsia="宋体" w:cs="宋体"/>
                <w:color w:val="auto"/>
                <w:sz w:val="24"/>
                <w:szCs w:val="24"/>
              </w:rPr>
              <w:t>报价中的大写金额和小写金额不一致的，以大写金额为准，但大写金额出现文字错误，导致金额无法判断的除外；</w:t>
            </w:r>
          </w:p>
          <w:p w14:paraId="22536411">
            <w:pPr>
              <w:pageBreakBefore w:val="0"/>
              <w:kinsoku/>
              <w:wordWrap/>
              <w:overflowPunct/>
              <w:topLinePunct w:val="0"/>
              <w:autoSpaceDE/>
              <w:autoSpaceDN/>
              <w:bidi w:val="0"/>
              <w:spacing w:line="560" w:lineRule="exac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2.</w:t>
            </w:r>
            <w:r>
              <w:rPr>
                <w:rFonts w:hint="eastAsia" w:ascii="宋体" w:hAnsi="宋体" w:eastAsia="宋体" w:cs="宋体"/>
                <w:color w:val="auto"/>
                <w:sz w:val="24"/>
                <w:szCs w:val="24"/>
              </w:rPr>
              <w:t>单价金额小数点或者百分比有明显错位的，应以总价为准，并修改单价；</w:t>
            </w:r>
          </w:p>
          <w:p w14:paraId="77594BE7">
            <w:pPr>
              <w:pageBreakBefore w:val="0"/>
              <w:kinsoku/>
              <w:wordWrap/>
              <w:overflowPunct/>
              <w:topLinePunct w:val="0"/>
              <w:autoSpaceDE/>
              <w:autoSpaceDN/>
              <w:bidi w:val="0"/>
              <w:spacing w:line="560" w:lineRule="exac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3.</w:t>
            </w:r>
            <w:r>
              <w:rPr>
                <w:rFonts w:hint="eastAsia" w:ascii="宋体" w:hAnsi="宋体" w:eastAsia="宋体" w:cs="宋体"/>
                <w:color w:val="auto"/>
                <w:sz w:val="24"/>
                <w:szCs w:val="24"/>
              </w:rPr>
              <w:t>总价金额与按单价汇总金额不一致的，以单价汇总金额计算结果为准；</w:t>
            </w:r>
          </w:p>
          <w:p w14:paraId="4AB78BBA">
            <w:pPr>
              <w:pageBreakBefore w:val="0"/>
              <w:kinsoku/>
              <w:wordWrap/>
              <w:overflowPunct/>
              <w:topLinePunct w:val="0"/>
              <w:autoSpaceDE/>
              <w:autoSpaceDN/>
              <w:bidi w:val="0"/>
              <w:spacing w:line="56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同时出现两种以上不一致的，按照前款规定的顺序修正。</w:t>
            </w:r>
            <w:r>
              <w:rPr>
                <w:rFonts w:hint="eastAsia" w:ascii="宋体" w:hAnsi="宋体" w:eastAsia="宋体" w:cs="宋体"/>
                <w:bCs/>
                <w:color w:val="auto"/>
                <w:sz w:val="24"/>
                <w:szCs w:val="24"/>
                <w:highlight w:val="none"/>
              </w:rPr>
              <w:t>修正</w:t>
            </w:r>
            <w:r>
              <w:rPr>
                <w:rFonts w:hint="eastAsia" w:ascii="宋体" w:hAnsi="宋体" w:eastAsia="宋体" w:cs="宋体"/>
                <w:bCs/>
                <w:color w:val="auto"/>
                <w:kern w:val="2"/>
                <w:sz w:val="24"/>
                <w:szCs w:val="24"/>
                <w:highlight w:val="none"/>
                <w:lang w:val="en-US" w:eastAsia="zh-CN" w:bidi="ar-SA"/>
              </w:rPr>
              <w:t>后的报价经供应商确认后产生约束力，供应商不确认的，其响应文件作无效处理。</w:t>
            </w:r>
            <w:r>
              <w:rPr>
                <w:rFonts w:hint="eastAsia" w:ascii="宋体" w:hAnsi="宋体" w:eastAsia="宋体" w:cs="宋体"/>
                <w:bCs/>
                <w:color w:val="auto"/>
                <w:sz w:val="24"/>
                <w:szCs w:val="24"/>
                <w:highlight w:val="none"/>
              </w:rPr>
              <w:t>供应商确认采取书面且加盖单位公章或者供应商授权代表签字的方式。</w:t>
            </w:r>
            <w:r>
              <w:rPr>
                <w:rFonts w:hint="eastAsia" w:ascii="宋体" w:hAnsi="宋体" w:eastAsia="宋体" w:cs="宋体"/>
                <w:color w:val="auto"/>
                <w:sz w:val="24"/>
                <w:szCs w:val="24"/>
              </w:rPr>
              <w:t>谈判小组不得未经要求供应商确认，直接将供应商响应文件作无效处理。</w:t>
            </w:r>
            <w:bookmarkEnd w:id="281"/>
          </w:p>
        </w:tc>
      </w:tr>
      <w:tr w14:paraId="2102E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top w:val="single" w:color="auto" w:sz="2" w:space="0"/>
              <w:left w:val="single" w:color="auto" w:sz="2" w:space="0"/>
              <w:bottom w:val="single" w:color="auto" w:sz="2" w:space="0"/>
              <w:right w:val="single" w:color="auto" w:sz="2" w:space="0"/>
            </w:tcBorders>
            <w:noWrap w:val="0"/>
            <w:vAlign w:val="center"/>
          </w:tcPr>
          <w:p w14:paraId="6A0BAA80">
            <w:pPr>
              <w:keepNext w:val="0"/>
              <w:keepLines w:val="0"/>
              <w:pageBreakBefore w:val="0"/>
              <w:tabs>
                <w:tab w:val="left" w:pos="851"/>
              </w:tabs>
              <w:kinsoku/>
              <w:wordWrap/>
              <w:overflowPunct/>
              <w:topLinePunct w:val="0"/>
              <w:autoSpaceDE/>
              <w:autoSpaceDN/>
              <w:bidi w:val="0"/>
              <w:spacing w:line="560" w:lineRule="exact"/>
              <w:jc w:val="center"/>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w:t>
            </w:r>
          </w:p>
        </w:tc>
        <w:tc>
          <w:tcPr>
            <w:tcW w:w="2272" w:type="dxa"/>
            <w:tcBorders>
              <w:top w:val="single" w:color="auto" w:sz="2" w:space="0"/>
              <w:left w:val="single" w:color="auto" w:sz="2" w:space="0"/>
              <w:bottom w:val="single" w:color="auto" w:sz="2" w:space="0"/>
              <w:right w:val="single" w:color="auto" w:sz="2" w:space="0"/>
            </w:tcBorders>
            <w:noWrap w:val="0"/>
            <w:vAlign w:val="center"/>
          </w:tcPr>
          <w:p w14:paraId="3C01708B">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color w:val="auto"/>
                <w:kern w:val="2"/>
                <w:sz w:val="24"/>
                <w:szCs w:val="24"/>
                <w:lang w:val="en-US" w:eastAsia="zh-CN" w:bidi="ar-SA"/>
              </w:rPr>
            </w:pPr>
            <w:bookmarkStart w:id="282" w:name="OLE_LINK18"/>
            <w:r>
              <w:rPr>
                <w:rFonts w:hint="eastAsia" w:ascii="宋体" w:hAnsi="宋体" w:eastAsia="宋体" w:cs="宋体"/>
                <w:color w:val="auto"/>
                <w:sz w:val="24"/>
                <w:szCs w:val="24"/>
              </w:rPr>
              <w:t>报价</w:t>
            </w:r>
            <w:r>
              <w:rPr>
                <w:rFonts w:hint="eastAsia" w:ascii="宋体" w:hAnsi="宋体" w:eastAsia="宋体" w:cs="宋体"/>
                <w:color w:val="auto"/>
                <w:sz w:val="24"/>
                <w:szCs w:val="24"/>
                <w:lang w:val="en-US" w:eastAsia="zh-CN"/>
              </w:rPr>
              <w:t>要求</w:t>
            </w:r>
            <w:r>
              <w:rPr>
                <w:rFonts w:hint="eastAsia" w:ascii="宋体" w:hAnsi="宋体" w:eastAsia="宋体" w:cs="宋体"/>
                <w:color w:val="auto"/>
                <w:sz w:val="24"/>
                <w:szCs w:val="24"/>
              </w:rPr>
              <w:t>响应文件组成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商务技术响应文件</w:t>
            </w:r>
            <w:r>
              <w:rPr>
                <w:rFonts w:hint="eastAsia" w:ascii="宋体" w:hAnsi="宋体" w:eastAsia="宋体" w:cs="宋体"/>
                <w:color w:val="auto"/>
                <w:sz w:val="24"/>
                <w:szCs w:val="24"/>
                <w:lang w:val="en-US" w:eastAsia="zh-CN"/>
              </w:rPr>
              <w:t>组成</w:t>
            </w:r>
            <w:bookmarkEnd w:id="282"/>
          </w:p>
        </w:tc>
        <w:tc>
          <w:tcPr>
            <w:tcW w:w="6509" w:type="dxa"/>
            <w:tcBorders>
              <w:top w:val="single" w:color="auto" w:sz="2" w:space="0"/>
              <w:left w:val="single" w:color="auto" w:sz="2" w:space="0"/>
              <w:bottom w:val="single" w:color="auto" w:sz="2" w:space="0"/>
              <w:right w:val="single" w:color="auto" w:sz="2" w:space="0"/>
            </w:tcBorders>
            <w:noWrap w:val="0"/>
            <w:vAlign w:val="center"/>
          </w:tcPr>
          <w:p w14:paraId="4646CEE5">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color w:val="auto"/>
                <w:kern w:val="2"/>
                <w:sz w:val="24"/>
                <w:szCs w:val="24"/>
                <w:lang w:val="en-US" w:eastAsia="zh-CN" w:bidi="ar-SA"/>
              </w:rPr>
            </w:pPr>
            <w:bookmarkStart w:id="283" w:name="OLE_LINK19"/>
            <w:r>
              <w:rPr>
                <w:rFonts w:hint="eastAsia" w:ascii="宋体" w:hAnsi="宋体" w:eastAsia="宋体" w:cs="宋体"/>
                <w:color w:val="auto"/>
                <w:sz w:val="24"/>
                <w:szCs w:val="24"/>
              </w:rPr>
              <w:t>报价</w:t>
            </w:r>
            <w:r>
              <w:rPr>
                <w:rFonts w:hint="eastAsia" w:ascii="宋体" w:hAnsi="宋体" w:eastAsia="宋体" w:cs="宋体"/>
                <w:color w:val="auto"/>
                <w:sz w:val="24"/>
                <w:szCs w:val="24"/>
                <w:lang w:val="en-US" w:eastAsia="zh-CN"/>
              </w:rPr>
              <w:t>要求</w:t>
            </w:r>
            <w:r>
              <w:rPr>
                <w:rFonts w:hint="eastAsia" w:ascii="宋体" w:hAnsi="宋体" w:eastAsia="宋体" w:cs="宋体"/>
                <w:color w:val="auto"/>
                <w:sz w:val="24"/>
                <w:szCs w:val="24"/>
              </w:rPr>
              <w:t>响应文件组成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商务技术响应文件</w:t>
            </w:r>
            <w:r>
              <w:rPr>
                <w:rFonts w:hint="eastAsia" w:ascii="宋体" w:hAnsi="宋体" w:eastAsia="宋体" w:cs="宋体"/>
                <w:color w:val="auto"/>
                <w:sz w:val="24"/>
                <w:szCs w:val="24"/>
                <w:lang w:val="en-US" w:eastAsia="zh-CN"/>
              </w:rPr>
              <w:t>组成均</w:t>
            </w:r>
            <w:r>
              <w:rPr>
                <w:rFonts w:hint="eastAsia" w:ascii="宋体" w:hAnsi="宋体" w:eastAsia="宋体" w:cs="宋体"/>
                <w:color w:val="auto"/>
                <w:sz w:val="24"/>
                <w:szCs w:val="24"/>
              </w:rPr>
              <w:t>符合</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 xml:space="preserve">第六章 </w:t>
            </w:r>
            <w:r>
              <w:rPr>
                <w:rFonts w:hint="eastAsia" w:ascii="宋体" w:hAnsi="宋体" w:eastAsia="宋体" w:cs="宋体"/>
                <w:color w:val="auto"/>
                <w:sz w:val="24"/>
                <w:szCs w:val="24"/>
              </w:rPr>
              <w:t>响应文件</w:t>
            </w:r>
            <w:r>
              <w:rPr>
                <w:rFonts w:hint="eastAsia" w:ascii="宋体" w:hAnsi="宋体" w:eastAsia="宋体" w:cs="宋体"/>
                <w:color w:val="auto"/>
                <w:sz w:val="24"/>
                <w:szCs w:val="24"/>
                <w:lang w:val="en-US" w:eastAsia="zh-CN"/>
              </w:rPr>
              <w:t>格式</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中</w:t>
            </w:r>
            <w:r>
              <w:rPr>
                <w:rFonts w:hint="eastAsia" w:ascii="宋体" w:hAnsi="宋体" w:eastAsia="宋体" w:cs="宋体"/>
                <w:color w:val="auto"/>
                <w:sz w:val="24"/>
                <w:szCs w:val="24"/>
              </w:rPr>
              <w:t>加★号</w:t>
            </w:r>
            <w:r>
              <w:rPr>
                <w:rFonts w:hint="eastAsia" w:ascii="宋体" w:hAnsi="宋体" w:eastAsia="宋体" w:cs="宋体"/>
                <w:color w:val="auto"/>
                <w:sz w:val="24"/>
                <w:szCs w:val="24"/>
                <w:lang w:val="en-US" w:eastAsia="zh-CN"/>
              </w:rPr>
              <w:t>格式</w:t>
            </w:r>
            <w:r>
              <w:rPr>
                <w:rFonts w:hint="eastAsia" w:ascii="宋体" w:hAnsi="宋体" w:eastAsia="宋体" w:cs="宋体"/>
                <w:color w:val="auto"/>
                <w:sz w:val="24"/>
                <w:szCs w:val="24"/>
              </w:rPr>
              <w:t>规定</w:t>
            </w:r>
            <w:r>
              <w:rPr>
                <w:rFonts w:hint="eastAsia" w:ascii="宋体" w:hAnsi="宋体" w:eastAsia="宋体" w:cs="宋体"/>
                <w:color w:val="auto"/>
                <w:sz w:val="24"/>
                <w:szCs w:val="24"/>
                <w:lang w:val="en-US" w:eastAsia="zh-CN"/>
              </w:rPr>
              <w:t>的</w:t>
            </w:r>
            <w:r>
              <w:rPr>
                <w:rFonts w:hint="eastAsia" w:ascii="宋体" w:hAnsi="宋体" w:eastAsia="宋体" w:cs="宋体"/>
                <w:color w:val="auto"/>
                <w:sz w:val="24"/>
                <w:szCs w:val="24"/>
              </w:rPr>
              <w:t>要求。</w:t>
            </w:r>
            <w:bookmarkEnd w:id="283"/>
          </w:p>
        </w:tc>
      </w:tr>
      <w:tr w14:paraId="4EE63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top w:val="single" w:color="auto" w:sz="2" w:space="0"/>
              <w:left w:val="single" w:color="auto" w:sz="2" w:space="0"/>
              <w:bottom w:val="single" w:color="auto" w:sz="2" w:space="0"/>
              <w:right w:val="single" w:color="auto" w:sz="2" w:space="0"/>
            </w:tcBorders>
            <w:noWrap w:val="0"/>
            <w:vAlign w:val="center"/>
          </w:tcPr>
          <w:p w14:paraId="22939104">
            <w:pPr>
              <w:keepNext w:val="0"/>
              <w:keepLines w:val="0"/>
              <w:pageBreakBefore w:val="0"/>
              <w:tabs>
                <w:tab w:val="left" w:pos="851"/>
              </w:tabs>
              <w:kinsoku/>
              <w:wordWrap/>
              <w:overflowPunct/>
              <w:topLinePunct w:val="0"/>
              <w:autoSpaceDE/>
              <w:autoSpaceDN/>
              <w:bidi w:val="0"/>
              <w:spacing w:line="56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2272" w:type="dxa"/>
            <w:tcBorders>
              <w:top w:val="single" w:color="auto" w:sz="2" w:space="0"/>
              <w:left w:val="single" w:color="auto" w:sz="2" w:space="0"/>
              <w:bottom w:val="single" w:color="auto" w:sz="2" w:space="0"/>
              <w:right w:val="single" w:color="auto" w:sz="2" w:space="0"/>
            </w:tcBorders>
            <w:noWrap w:val="0"/>
            <w:vAlign w:val="center"/>
          </w:tcPr>
          <w:p w14:paraId="192BE4C4">
            <w:pPr>
              <w:keepNext w:val="0"/>
              <w:keepLines w:val="0"/>
              <w:pageBreakBefore w:val="0"/>
              <w:kinsoku/>
              <w:wordWrap/>
              <w:overflowPunct/>
              <w:topLinePunct w:val="0"/>
              <w:autoSpaceDE/>
              <w:autoSpaceDN/>
              <w:bidi w:val="0"/>
              <w:spacing w:line="560" w:lineRule="exact"/>
              <w:jc w:val="both"/>
              <w:textAlignment w:val="auto"/>
              <w:rPr>
                <w:rFonts w:hint="eastAsia" w:ascii="宋体" w:hAnsi="宋体" w:eastAsia="宋体" w:cs="宋体"/>
                <w:color w:val="auto"/>
                <w:sz w:val="24"/>
                <w:szCs w:val="24"/>
              </w:rPr>
            </w:pPr>
            <w:bookmarkStart w:id="284" w:name="OLE_LINK20"/>
            <w:r>
              <w:rPr>
                <w:rFonts w:hint="eastAsia" w:ascii="宋体" w:hAnsi="宋体" w:eastAsia="宋体" w:cs="宋体"/>
                <w:color w:val="auto"/>
                <w:sz w:val="24"/>
                <w:szCs w:val="24"/>
              </w:rPr>
              <w:t>响应文件有效期、知识产权</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计量单位、语言、报价货币等采购文件实质性要求是否应当作无效处理</w:t>
            </w:r>
            <w:bookmarkEnd w:id="284"/>
          </w:p>
        </w:tc>
        <w:tc>
          <w:tcPr>
            <w:tcW w:w="6509" w:type="dxa"/>
            <w:tcBorders>
              <w:top w:val="single" w:color="auto" w:sz="2" w:space="0"/>
              <w:left w:val="single" w:color="auto" w:sz="2" w:space="0"/>
              <w:bottom w:val="single" w:color="auto" w:sz="2" w:space="0"/>
              <w:right w:val="single" w:color="auto" w:sz="2" w:space="0"/>
            </w:tcBorders>
            <w:noWrap w:val="0"/>
            <w:vAlign w:val="center"/>
          </w:tcPr>
          <w:p w14:paraId="63BBAAE3">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color w:val="auto"/>
                <w:sz w:val="24"/>
                <w:szCs w:val="24"/>
              </w:rPr>
            </w:pPr>
            <w:bookmarkStart w:id="285" w:name="OLE_LINK22"/>
            <w:r>
              <w:rPr>
                <w:rFonts w:hint="eastAsia" w:ascii="宋体" w:hAnsi="宋体" w:eastAsia="宋体" w:cs="宋体"/>
                <w:color w:val="auto"/>
                <w:sz w:val="24"/>
                <w:szCs w:val="24"/>
              </w:rPr>
              <w:t>响</w:t>
            </w:r>
            <w:bookmarkStart w:id="286" w:name="OLE_LINK21"/>
            <w:r>
              <w:rPr>
                <w:rFonts w:hint="eastAsia" w:ascii="宋体" w:hAnsi="宋体" w:eastAsia="宋体" w:cs="宋体"/>
                <w:color w:val="auto"/>
                <w:sz w:val="24"/>
                <w:szCs w:val="24"/>
              </w:rPr>
              <w:t>应文件有效期、知识产权</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计量单位、语言、报价货币等均符合</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的实质性要求以及不应当作无效处理</w:t>
            </w:r>
            <w:r>
              <w:rPr>
                <w:rFonts w:hint="eastAsia" w:ascii="宋体" w:hAnsi="宋体" w:eastAsia="宋体" w:cs="宋体"/>
                <w:color w:val="auto"/>
                <w:sz w:val="24"/>
                <w:szCs w:val="24"/>
                <w:lang w:val="en-US" w:eastAsia="zh-CN"/>
              </w:rPr>
              <w:t>情形</w:t>
            </w:r>
            <w:r>
              <w:rPr>
                <w:rFonts w:hint="eastAsia" w:ascii="宋体" w:hAnsi="宋体" w:eastAsia="宋体" w:cs="宋体"/>
                <w:color w:val="auto"/>
                <w:sz w:val="24"/>
                <w:szCs w:val="24"/>
              </w:rPr>
              <w:t>。</w:t>
            </w:r>
            <w:bookmarkEnd w:id="285"/>
            <w:bookmarkEnd w:id="286"/>
          </w:p>
        </w:tc>
      </w:tr>
      <w:tr w14:paraId="7EF53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top w:val="single" w:color="auto" w:sz="2" w:space="0"/>
              <w:left w:val="single" w:color="auto" w:sz="2" w:space="0"/>
              <w:bottom w:val="single" w:color="auto" w:sz="2" w:space="0"/>
              <w:right w:val="single" w:color="auto" w:sz="2" w:space="0"/>
            </w:tcBorders>
            <w:noWrap w:val="0"/>
            <w:vAlign w:val="center"/>
          </w:tcPr>
          <w:p w14:paraId="2808A059">
            <w:pPr>
              <w:keepNext w:val="0"/>
              <w:keepLines w:val="0"/>
              <w:pageBreakBefore w:val="0"/>
              <w:tabs>
                <w:tab w:val="left" w:pos="851"/>
              </w:tabs>
              <w:kinsoku/>
              <w:wordWrap/>
              <w:overflowPunct/>
              <w:topLinePunct w:val="0"/>
              <w:autoSpaceDE/>
              <w:autoSpaceDN/>
              <w:bidi w:val="0"/>
              <w:spacing w:line="56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2272" w:type="dxa"/>
            <w:tcBorders>
              <w:top w:val="single" w:color="auto" w:sz="2" w:space="0"/>
              <w:left w:val="single" w:color="auto" w:sz="2" w:space="0"/>
              <w:bottom w:val="single" w:color="auto" w:sz="2" w:space="0"/>
              <w:right w:val="single" w:color="auto" w:sz="2" w:space="0"/>
            </w:tcBorders>
            <w:noWrap w:val="0"/>
            <w:vAlign w:val="center"/>
          </w:tcPr>
          <w:p w14:paraId="0263615E">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color w:val="auto"/>
                <w:sz w:val="24"/>
                <w:szCs w:val="24"/>
                <w:lang w:val="en-US" w:eastAsia="zh-CN"/>
              </w:rPr>
            </w:pPr>
            <w:bookmarkStart w:id="287" w:name="OLE_LINK23"/>
            <w:r>
              <w:rPr>
                <w:rFonts w:hint="eastAsia" w:ascii="宋体" w:hAnsi="宋体" w:eastAsia="宋体" w:cs="宋体"/>
                <w:color w:val="auto"/>
                <w:sz w:val="24"/>
                <w:szCs w:val="24"/>
                <w:lang w:val="en-US" w:eastAsia="zh-CN"/>
              </w:rPr>
              <w:t>响应文件的签署</w:t>
            </w:r>
            <w:bookmarkEnd w:id="287"/>
          </w:p>
        </w:tc>
        <w:tc>
          <w:tcPr>
            <w:tcW w:w="6509" w:type="dxa"/>
            <w:tcBorders>
              <w:top w:val="single" w:color="auto" w:sz="2" w:space="0"/>
              <w:left w:val="single" w:color="auto" w:sz="2" w:space="0"/>
              <w:bottom w:val="single" w:color="auto" w:sz="2" w:space="0"/>
              <w:right w:val="single" w:color="auto" w:sz="2" w:space="0"/>
            </w:tcBorders>
            <w:noWrap w:val="0"/>
            <w:vAlign w:val="center"/>
          </w:tcPr>
          <w:p w14:paraId="46464F50">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color w:val="auto"/>
                <w:sz w:val="24"/>
                <w:szCs w:val="24"/>
              </w:rPr>
            </w:pPr>
            <w:bookmarkStart w:id="288" w:name="OLE_LINK24"/>
            <w:r>
              <w:rPr>
                <w:rFonts w:hint="eastAsia" w:ascii="宋体" w:hAnsi="宋体" w:eastAsia="宋体" w:cs="宋体"/>
                <w:color w:val="auto"/>
                <w:sz w:val="24"/>
                <w:szCs w:val="24"/>
              </w:rPr>
              <w:t>响应文件按</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格式及内容要求签署、盖章</w:t>
            </w:r>
            <w:bookmarkEnd w:id="288"/>
          </w:p>
        </w:tc>
      </w:tr>
      <w:tr w14:paraId="071E5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top w:val="single" w:color="auto" w:sz="2" w:space="0"/>
              <w:left w:val="single" w:color="auto" w:sz="2" w:space="0"/>
              <w:bottom w:val="single" w:color="auto" w:sz="2" w:space="0"/>
              <w:right w:val="single" w:color="auto" w:sz="2" w:space="0"/>
            </w:tcBorders>
            <w:noWrap w:val="0"/>
            <w:vAlign w:val="center"/>
          </w:tcPr>
          <w:p w14:paraId="669F9545">
            <w:pPr>
              <w:keepNext w:val="0"/>
              <w:keepLines w:val="0"/>
              <w:pageBreakBefore w:val="0"/>
              <w:tabs>
                <w:tab w:val="left" w:pos="851"/>
              </w:tabs>
              <w:kinsoku/>
              <w:wordWrap/>
              <w:overflowPunct/>
              <w:topLinePunct w:val="0"/>
              <w:autoSpaceDE/>
              <w:autoSpaceDN/>
              <w:bidi w:val="0"/>
              <w:spacing w:line="56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2272" w:type="dxa"/>
            <w:tcBorders>
              <w:top w:val="single" w:color="auto" w:sz="2" w:space="0"/>
              <w:left w:val="single" w:color="auto" w:sz="2" w:space="0"/>
              <w:bottom w:val="single" w:color="auto" w:sz="2" w:space="0"/>
              <w:right w:val="single" w:color="auto" w:sz="2" w:space="0"/>
            </w:tcBorders>
            <w:noWrap w:val="0"/>
            <w:vAlign w:val="center"/>
          </w:tcPr>
          <w:p w14:paraId="68EFCB64">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color w:val="auto"/>
                <w:sz w:val="24"/>
                <w:szCs w:val="24"/>
                <w:lang w:val="en-US" w:eastAsia="zh-CN"/>
              </w:rPr>
            </w:pPr>
            <w:bookmarkStart w:id="289" w:name="OLE_LINK25"/>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rPr>
              <w:t>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项目需求</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打★号的技术、服务、商务及其他要求</w:t>
            </w:r>
            <w:bookmarkEnd w:id="289"/>
          </w:p>
        </w:tc>
        <w:tc>
          <w:tcPr>
            <w:tcW w:w="6509" w:type="dxa"/>
            <w:tcBorders>
              <w:top w:val="single" w:color="auto" w:sz="2" w:space="0"/>
              <w:left w:val="single" w:color="auto" w:sz="2" w:space="0"/>
              <w:bottom w:val="single" w:color="auto" w:sz="2" w:space="0"/>
              <w:right w:val="single" w:color="auto" w:sz="2" w:space="0"/>
            </w:tcBorders>
            <w:noWrap w:val="0"/>
            <w:vAlign w:val="center"/>
          </w:tcPr>
          <w:p w14:paraId="59575A73">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eastAsia="zh-CN"/>
              </w:rPr>
              <w:t>（</w:t>
            </w:r>
            <w:bookmarkStart w:id="290" w:name="OLE_LINK26"/>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商务技术响应文件均实质性响应</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中加★号的技术、服</w:t>
            </w:r>
            <w:r>
              <w:rPr>
                <w:rFonts w:hint="eastAsia" w:ascii="宋体" w:hAnsi="宋体" w:eastAsia="宋体" w:cs="宋体"/>
                <w:color w:val="auto"/>
                <w:sz w:val="24"/>
                <w:szCs w:val="24"/>
                <w:highlight w:val="none"/>
              </w:rPr>
              <w:t>务、商务及其他要求。</w:t>
            </w:r>
          </w:p>
          <w:p w14:paraId="74D5A65F">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bookmarkEnd w:id="290"/>
            <w:r>
              <w:rPr>
                <w:rFonts w:hint="eastAsia" w:ascii="宋体" w:hAnsi="宋体" w:cs="宋体"/>
                <w:color w:val="auto"/>
                <w:sz w:val="24"/>
                <w:szCs w:val="24"/>
                <w:highlight w:val="none"/>
                <w:lang w:val="en-US" w:eastAsia="zh-CN"/>
              </w:rPr>
              <w:t>如有</w:t>
            </w:r>
            <w:r>
              <w:rPr>
                <w:rFonts w:hint="eastAsia" w:ascii="宋体" w:hAnsi="宋体" w:eastAsia="宋体" w:cs="宋体"/>
                <w:color w:val="auto"/>
                <w:sz w:val="24"/>
                <w:szCs w:val="24"/>
                <w:highlight w:val="none"/>
              </w:rPr>
              <w:t>强制</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产品，未提供产品认证证书或证书内产品型号与所报产品型号不完全一致的，将被认定为</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无效</w:t>
            </w:r>
            <w:r>
              <w:rPr>
                <w:rFonts w:hint="eastAsia" w:ascii="宋体" w:hAnsi="宋体" w:eastAsia="宋体" w:cs="宋体"/>
                <w:color w:val="auto"/>
                <w:sz w:val="24"/>
                <w:szCs w:val="24"/>
                <w:highlight w:val="none"/>
                <w:lang w:eastAsia="zh-CN"/>
              </w:rPr>
              <w:t>。</w:t>
            </w:r>
          </w:p>
        </w:tc>
      </w:tr>
      <w:tr w14:paraId="0B88E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top w:val="single" w:color="auto" w:sz="2" w:space="0"/>
              <w:left w:val="single" w:color="auto" w:sz="2" w:space="0"/>
              <w:bottom w:val="single" w:color="auto" w:sz="2" w:space="0"/>
              <w:right w:val="single" w:color="auto" w:sz="2" w:space="0"/>
            </w:tcBorders>
            <w:noWrap w:val="0"/>
            <w:vAlign w:val="center"/>
          </w:tcPr>
          <w:p w14:paraId="49184A65">
            <w:pPr>
              <w:keepNext w:val="0"/>
              <w:keepLines w:val="0"/>
              <w:pageBreakBefore w:val="0"/>
              <w:tabs>
                <w:tab w:val="left" w:pos="851"/>
              </w:tabs>
              <w:kinsoku/>
              <w:wordWrap/>
              <w:overflowPunct/>
              <w:topLinePunct w:val="0"/>
              <w:autoSpaceDE/>
              <w:autoSpaceDN/>
              <w:bidi w:val="0"/>
              <w:spacing w:line="56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p>
        </w:tc>
        <w:tc>
          <w:tcPr>
            <w:tcW w:w="2272" w:type="dxa"/>
            <w:tcBorders>
              <w:top w:val="single" w:color="auto" w:sz="2" w:space="0"/>
              <w:left w:val="single" w:color="auto" w:sz="2" w:space="0"/>
              <w:bottom w:val="single" w:color="auto" w:sz="2" w:space="0"/>
              <w:right w:val="single" w:color="auto" w:sz="2" w:space="0"/>
            </w:tcBorders>
            <w:noWrap w:val="0"/>
            <w:vAlign w:val="center"/>
          </w:tcPr>
          <w:p w14:paraId="35E43AFC">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进口产品</w:t>
            </w:r>
          </w:p>
        </w:tc>
        <w:tc>
          <w:tcPr>
            <w:tcW w:w="6509" w:type="dxa"/>
            <w:tcBorders>
              <w:top w:val="single" w:color="auto" w:sz="2" w:space="0"/>
              <w:left w:val="single" w:color="auto" w:sz="2" w:space="0"/>
              <w:bottom w:val="single" w:color="auto" w:sz="2" w:space="0"/>
              <w:right w:val="single" w:color="auto" w:sz="2" w:space="0"/>
            </w:tcBorders>
            <w:noWrap w:val="0"/>
            <w:vAlign w:val="center"/>
          </w:tcPr>
          <w:p w14:paraId="0853C590">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color w:val="auto"/>
                <w:kern w:val="2"/>
                <w:sz w:val="24"/>
                <w:szCs w:val="24"/>
                <w:lang w:val="en-US" w:eastAsia="zh-CN" w:bidi="ar-SA"/>
              </w:rPr>
            </w:pPr>
            <w:bookmarkStart w:id="291" w:name="OLE_LINK27"/>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中未载明“允许采购进口产品”的产品，报价产品为国产产品。</w:t>
            </w:r>
            <w:bookmarkEnd w:id="291"/>
          </w:p>
        </w:tc>
      </w:tr>
      <w:tr w14:paraId="600E1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top w:val="single" w:color="auto" w:sz="2" w:space="0"/>
              <w:left w:val="single" w:color="auto" w:sz="2" w:space="0"/>
              <w:bottom w:val="single" w:color="auto" w:sz="2" w:space="0"/>
              <w:right w:val="single" w:color="auto" w:sz="2" w:space="0"/>
            </w:tcBorders>
            <w:noWrap w:val="0"/>
            <w:vAlign w:val="center"/>
          </w:tcPr>
          <w:p w14:paraId="05D2D2F7">
            <w:pPr>
              <w:keepNext w:val="0"/>
              <w:keepLines w:val="0"/>
              <w:pageBreakBefore w:val="0"/>
              <w:tabs>
                <w:tab w:val="left" w:pos="851"/>
              </w:tabs>
              <w:kinsoku/>
              <w:wordWrap/>
              <w:overflowPunct/>
              <w:topLinePunct w:val="0"/>
              <w:autoSpaceDE/>
              <w:autoSpaceDN/>
              <w:bidi w:val="0"/>
              <w:spacing w:line="56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2272" w:type="dxa"/>
            <w:tcBorders>
              <w:top w:val="single" w:color="auto" w:sz="2" w:space="0"/>
              <w:left w:val="single" w:color="auto" w:sz="2" w:space="0"/>
              <w:bottom w:val="single" w:color="auto" w:sz="2" w:space="0"/>
              <w:right w:val="single" w:color="auto" w:sz="2" w:space="0"/>
            </w:tcBorders>
            <w:noWrap w:val="0"/>
            <w:vAlign w:val="center"/>
          </w:tcPr>
          <w:p w14:paraId="01D193C7">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color w:val="auto"/>
                <w:sz w:val="24"/>
                <w:szCs w:val="24"/>
              </w:rPr>
            </w:pPr>
            <w:bookmarkStart w:id="292" w:name="OLE_LINK28"/>
            <w:r>
              <w:rPr>
                <w:rFonts w:hint="eastAsia" w:ascii="宋体" w:hAnsi="宋体" w:eastAsia="宋体" w:cs="宋体"/>
                <w:color w:val="auto"/>
                <w:sz w:val="24"/>
                <w:szCs w:val="24"/>
              </w:rPr>
              <w:t>不属于禁止参加</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采购活动或响应文件无效的供应商</w:t>
            </w:r>
            <w:bookmarkEnd w:id="292"/>
          </w:p>
        </w:tc>
        <w:tc>
          <w:tcPr>
            <w:tcW w:w="6509" w:type="dxa"/>
            <w:tcBorders>
              <w:top w:val="single" w:color="auto" w:sz="2" w:space="0"/>
              <w:left w:val="single" w:color="auto" w:sz="2" w:space="0"/>
              <w:bottom w:val="single" w:color="auto" w:sz="2" w:space="0"/>
              <w:right w:val="single" w:color="auto" w:sz="2" w:space="0"/>
            </w:tcBorders>
            <w:noWrap w:val="0"/>
            <w:vAlign w:val="center"/>
          </w:tcPr>
          <w:p w14:paraId="696D6706">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color w:val="auto"/>
                <w:sz w:val="24"/>
                <w:szCs w:val="24"/>
              </w:rPr>
            </w:pPr>
            <w:bookmarkStart w:id="293" w:name="OLE_LINK29"/>
            <w:r>
              <w:rPr>
                <w:rFonts w:hint="eastAsia" w:ascii="宋体" w:hAnsi="宋体" w:eastAsia="宋体" w:cs="宋体"/>
                <w:color w:val="auto"/>
                <w:sz w:val="24"/>
                <w:szCs w:val="24"/>
              </w:rPr>
              <w:t>（1）根据</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的要求不属于禁止参加</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采购活动或响应文件无效的供应商；</w:t>
            </w:r>
          </w:p>
          <w:p w14:paraId="1D5EC133">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小组未发现或者未知晓供应商存在属于国家相关法律法规规定的禁止参加</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采购活动或响应文件无效的供应商。</w:t>
            </w:r>
            <w:bookmarkEnd w:id="293"/>
          </w:p>
        </w:tc>
      </w:tr>
      <w:tr w14:paraId="22EE6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top w:val="single" w:color="auto" w:sz="2" w:space="0"/>
              <w:left w:val="single" w:color="auto" w:sz="2" w:space="0"/>
              <w:bottom w:val="single" w:color="auto" w:sz="2" w:space="0"/>
              <w:right w:val="single" w:color="auto" w:sz="2" w:space="0"/>
            </w:tcBorders>
            <w:noWrap w:val="0"/>
            <w:vAlign w:val="center"/>
          </w:tcPr>
          <w:p w14:paraId="765B9ADE">
            <w:pPr>
              <w:keepNext w:val="0"/>
              <w:keepLines w:val="0"/>
              <w:pageBreakBefore w:val="0"/>
              <w:tabs>
                <w:tab w:val="left" w:pos="851"/>
              </w:tabs>
              <w:kinsoku/>
              <w:wordWrap/>
              <w:overflowPunct/>
              <w:topLinePunct w:val="0"/>
              <w:autoSpaceDE/>
              <w:autoSpaceDN/>
              <w:bidi w:val="0"/>
              <w:spacing w:line="560" w:lineRule="exact"/>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8</w:t>
            </w:r>
          </w:p>
        </w:tc>
        <w:tc>
          <w:tcPr>
            <w:tcW w:w="2272" w:type="dxa"/>
            <w:tcBorders>
              <w:top w:val="single" w:color="auto" w:sz="2" w:space="0"/>
              <w:left w:val="single" w:color="auto" w:sz="2" w:space="0"/>
              <w:bottom w:val="single" w:color="auto" w:sz="2" w:space="0"/>
              <w:right w:val="single" w:color="auto" w:sz="2" w:space="0"/>
            </w:tcBorders>
            <w:noWrap w:val="0"/>
            <w:vAlign w:val="center"/>
          </w:tcPr>
          <w:p w14:paraId="73E16F15">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强化政府采购异常低价审查</w:t>
            </w:r>
          </w:p>
        </w:tc>
        <w:tc>
          <w:tcPr>
            <w:tcW w:w="6509" w:type="dxa"/>
            <w:tcBorders>
              <w:top w:val="single" w:color="auto" w:sz="2" w:space="0"/>
              <w:left w:val="single" w:color="auto" w:sz="2" w:space="0"/>
              <w:bottom w:val="single" w:color="auto" w:sz="2" w:space="0"/>
              <w:right w:val="single" w:color="auto" w:sz="2" w:space="0"/>
            </w:tcBorders>
            <w:noWrap w:val="0"/>
            <w:vAlign w:val="center"/>
          </w:tcPr>
          <w:p w14:paraId="34528B66">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政府采购评审中出现下列情形之一的，评审委员会应当启动异常低价投标（响应）审查程序：</w:t>
            </w:r>
          </w:p>
          <w:p w14:paraId="0DB46653">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投标（响应）报价低于全部通过符合性审查供应商投标（响应）报价平均值50%的，即投标（响应）报价</w:t>
            </w:r>
            <w:r>
              <w:rPr>
                <w:rFonts w:hint="eastAsia" w:ascii="宋体" w:hAnsi="宋体" w:cs="宋体"/>
                <w:color w:val="auto"/>
                <w:sz w:val="24"/>
                <w:szCs w:val="24"/>
                <w:lang w:eastAsia="zh-CN"/>
              </w:rPr>
              <w:t>〈</w:t>
            </w:r>
            <w:r>
              <w:rPr>
                <w:rFonts w:hint="eastAsia" w:ascii="宋体" w:hAnsi="宋体" w:eastAsia="宋体" w:cs="宋体"/>
                <w:color w:val="auto"/>
                <w:sz w:val="24"/>
                <w:szCs w:val="24"/>
              </w:rPr>
              <w:t>全部通过符合性审查供应商投标（响应）报价平均值×50%；</w:t>
            </w:r>
          </w:p>
          <w:p w14:paraId="0C6D1247">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投标（响应）报价低于通过符合性审查的次低报价供应商投标（响应）报价50%的，即投标（响应）报价</w:t>
            </w:r>
            <w:r>
              <w:rPr>
                <w:rFonts w:hint="eastAsia" w:ascii="宋体" w:hAnsi="宋体" w:cs="宋体"/>
                <w:color w:val="auto"/>
                <w:sz w:val="24"/>
                <w:szCs w:val="24"/>
                <w:lang w:eastAsia="zh-CN"/>
              </w:rPr>
              <w:t>〈</w:t>
            </w:r>
            <w:r>
              <w:rPr>
                <w:rFonts w:hint="eastAsia" w:ascii="宋体" w:hAnsi="宋体" w:eastAsia="宋体" w:cs="宋体"/>
                <w:color w:val="auto"/>
                <w:sz w:val="24"/>
                <w:szCs w:val="24"/>
              </w:rPr>
              <w:t>通过符合性审查的次低报价供应商投标（响应）报价×50%；</w:t>
            </w:r>
          </w:p>
          <w:p w14:paraId="6AD70284">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投标（响应）报价低于采购项目最高限价45%的，即投标（响应）报价</w:t>
            </w:r>
            <w:r>
              <w:rPr>
                <w:rFonts w:hint="eastAsia" w:ascii="宋体" w:hAnsi="宋体" w:cs="宋体"/>
                <w:color w:val="auto"/>
                <w:sz w:val="24"/>
                <w:szCs w:val="24"/>
                <w:lang w:eastAsia="zh-CN"/>
              </w:rPr>
              <w:t>〈</w:t>
            </w:r>
            <w:r>
              <w:rPr>
                <w:rFonts w:hint="eastAsia" w:ascii="宋体" w:hAnsi="宋体" w:eastAsia="宋体" w:cs="宋体"/>
                <w:color w:val="auto"/>
                <w:sz w:val="24"/>
                <w:szCs w:val="24"/>
              </w:rPr>
              <w:t>采购项目最高限价×45%；</w:t>
            </w:r>
          </w:p>
          <w:p w14:paraId="2E6C9624">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4.评审委员会基于专业判断，认为供应商报价过低，有可能影响产品质量或者不能诚信履约的其他情形。</w:t>
            </w:r>
          </w:p>
          <w:p w14:paraId="4F07306D">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0F608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top w:val="single" w:color="auto" w:sz="2" w:space="0"/>
              <w:left w:val="single" w:color="auto" w:sz="2" w:space="0"/>
              <w:bottom w:val="single" w:color="auto" w:sz="2" w:space="0"/>
              <w:right w:val="single" w:color="auto" w:sz="2" w:space="0"/>
            </w:tcBorders>
            <w:noWrap w:val="0"/>
            <w:vAlign w:val="center"/>
          </w:tcPr>
          <w:p w14:paraId="71A0A128">
            <w:pPr>
              <w:keepNext w:val="0"/>
              <w:keepLines w:val="0"/>
              <w:pageBreakBefore w:val="0"/>
              <w:tabs>
                <w:tab w:val="left" w:pos="851"/>
              </w:tabs>
              <w:kinsoku/>
              <w:wordWrap/>
              <w:overflowPunct/>
              <w:topLinePunct w:val="0"/>
              <w:autoSpaceDE/>
              <w:autoSpaceDN/>
              <w:bidi w:val="0"/>
              <w:spacing w:line="560" w:lineRule="exact"/>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9</w:t>
            </w:r>
          </w:p>
        </w:tc>
        <w:tc>
          <w:tcPr>
            <w:tcW w:w="2272" w:type="dxa"/>
            <w:tcBorders>
              <w:top w:val="single" w:color="auto" w:sz="2" w:space="0"/>
              <w:left w:val="single" w:color="auto" w:sz="2" w:space="0"/>
              <w:bottom w:val="single" w:color="auto" w:sz="2" w:space="0"/>
              <w:right w:val="single" w:color="auto" w:sz="2" w:space="0"/>
            </w:tcBorders>
            <w:noWrap w:val="0"/>
            <w:vAlign w:val="center"/>
          </w:tcPr>
          <w:p w14:paraId="771DE710">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color w:val="auto"/>
                <w:sz w:val="24"/>
                <w:szCs w:val="24"/>
              </w:rPr>
            </w:pPr>
            <w:bookmarkStart w:id="294" w:name="OLE_LINK30"/>
            <w:r>
              <w:rPr>
                <w:rFonts w:hint="eastAsia" w:ascii="宋体" w:hAnsi="宋体" w:eastAsia="宋体" w:cs="宋体"/>
                <w:color w:val="auto"/>
                <w:sz w:val="24"/>
                <w:szCs w:val="24"/>
              </w:rPr>
              <w:t>除资格性审查要求的证明材料外，</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要求提供的其他证明材料</w:t>
            </w:r>
            <w:bookmarkEnd w:id="294"/>
          </w:p>
        </w:tc>
        <w:tc>
          <w:tcPr>
            <w:tcW w:w="6509" w:type="dxa"/>
            <w:tcBorders>
              <w:top w:val="single" w:color="auto" w:sz="2" w:space="0"/>
              <w:left w:val="single" w:color="auto" w:sz="2" w:space="0"/>
              <w:bottom w:val="single" w:color="auto" w:sz="2" w:space="0"/>
              <w:right w:val="single" w:color="auto" w:sz="2" w:space="0"/>
            </w:tcBorders>
            <w:noWrap w:val="0"/>
            <w:vAlign w:val="center"/>
          </w:tcPr>
          <w:p w14:paraId="0B59FE4C">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无</w:t>
            </w:r>
          </w:p>
        </w:tc>
      </w:tr>
    </w:tbl>
    <w:p w14:paraId="0C2334B6">
      <w:pPr>
        <w:pStyle w:val="69"/>
        <w:keepNext w:val="0"/>
        <w:keepLines w:val="0"/>
        <w:pageBreakBefore w:val="0"/>
        <w:widowControl w:val="0"/>
        <w:numPr>
          <w:ilvl w:val="0"/>
          <w:numId w:val="0"/>
        </w:numPr>
        <w:tabs>
          <w:tab w:val="left" w:pos="1134"/>
          <w:tab w:val="left" w:pos="1276"/>
          <w:tab w:val="left" w:pos="1418"/>
        </w:tabs>
        <w:kinsoku/>
        <w:wordWrap/>
        <w:overflowPunct/>
        <w:topLinePunct w:val="0"/>
        <w:autoSpaceDE/>
        <w:autoSpaceDN/>
        <w:bidi w:val="0"/>
        <w:snapToGrid w:val="0"/>
        <w:spacing w:line="56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注：</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以上每一项结论均为“符合”的，则供应商的响应文件通过符合性审查，才能允许其参加报价；如有任意一项结论为“不符合”的，则供应商的响应文件按无效响应文件处理，不允许其参加报价。</w:t>
      </w:r>
    </w:p>
    <w:p w14:paraId="54215210">
      <w:pPr>
        <w:keepNext w:val="0"/>
        <w:keepLines w:val="0"/>
        <w:pageBreakBefore w:val="0"/>
        <w:widowControl w:val="0"/>
        <w:numPr>
          <w:ilvl w:val="0"/>
          <w:numId w:val="8"/>
        </w:numPr>
        <w:tabs>
          <w:tab w:val="left" w:pos="1134"/>
          <w:tab w:val="left" w:pos="1276"/>
          <w:tab w:val="left" w:pos="1418"/>
        </w:tabs>
        <w:kinsoku/>
        <w:wordWrap/>
        <w:overflowPunct/>
        <w:topLinePunct w:val="0"/>
        <w:autoSpaceDE/>
        <w:autoSpaceDN/>
        <w:bidi w:val="0"/>
        <w:snapToGrid w:val="0"/>
        <w:spacing w:line="560" w:lineRule="exact"/>
        <w:ind w:left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没有通过符合性审查的供应商，</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小组应当在</w:t>
      </w:r>
      <w:r>
        <w:rPr>
          <w:rFonts w:hint="eastAsia" w:ascii="宋体" w:hAnsi="宋体" w:eastAsia="宋体" w:cs="宋体"/>
          <w:color w:val="auto"/>
          <w:sz w:val="24"/>
          <w:szCs w:val="24"/>
          <w:lang w:val="en-US" w:eastAsia="zh-CN"/>
        </w:rPr>
        <w:t>评审系统</w:t>
      </w:r>
      <w:r>
        <w:rPr>
          <w:rFonts w:hint="eastAsia" w:ascii="宋体" w:hAnsi="宋体" w:eastAsia="宋体" w:cs="宋体"/>
          <w:color w:val="auto"/>
          <w:sz w:val="24"/>
          <w:szCs w:val="24"/>
        </w:rPr>
        <w:t>中载明不通过的原因。</w:t>
      </w:r>
    </w:p>
    <w:p w14:paraId="3B623B3F">
      <w:pPr>
        <w:keepNext w:val="0"/>
        <w:keepLines w:val="0"/>
        <w:pageBreakBefore w:val="0"/>
        <w:widowControl w:val="0"/>
        <w:numPr>
          <w:ilvl w:val="0"/>
          <w:numId w:val="0"/>
        </w:numPr>
        <w:tabs>
          <w:tab w:val="left" w:pos="1134"/>
          <w:tab w:val="left" w:pos="1276"/>
          <w:tab w:val="left" w:pos="1418"/>
        </w:tabs>
        <w:kinsoku/>
        <w:wordWrap/>
        <w:overflowPunct/>
        <w:topLinePunct w:val="0"/>
        <w:autoSpaceDE/>
        <w:autoSpaceDN/>
        <w:bidi w:val="0"/>
        <w:snapToGrid w:val="0"/>
        <w:spacing w:line="56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通过符合性审查的供应商不足三家的，采购失败。</w:t>
      </w:r>
    </w:p>
    <w:p w14:paraId="4EB4E47B">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2.4 无效响应情况</w:t>
      </w:r>
    </w:p>
    <w:p w14:paraId="63CA43DE">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在比较与评价之前，谈判小组要审查每份响应文件是否实质上响应了竞争性谈判文件的要求，未实质性响应谈判文件的响应文件按无效响应处理。</w:t>
      </w:r>
    </w:p>
    <w:p w14:paraId="1848CA3C">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如发现下列情况之一的，其响应将被认定为无效响应：</w:t>
      </w:r>
    </w:p>
    <w:p w14:paraId="068E5F94">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2.4.1未按照谈判文件规定要求签署、盖章的；</w:t>
      </w:r>
    </w:p>
    <w:p w14:paraId="1ED00406">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2.4.2未满足谈判文件商务和技术条款的实质性要求的；</w:t>
      </w:r>
    </w:p>
    <w:p w14:paraId="6304E0A7">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2.4.3违反谈判文件规定提供进口产品的；</w:t>
      </w:r>
    </w:p>
    <w:p w14:paraId="2F88627F">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2.4.4未按谈判文件规定提供政府强制采购节能产品的认证证明材料的；</w:t>
      </w:r>
    </w:p>
    <w:p w14:paraId="3F5D2266">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2.4.5报价超过项目预算或最高限价的；</w:t>
      </w:r>
    </w:p>
    <w:p w14:paraId="2FEA4693">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2.4.6响应有效期不足的；</w:t>
      </w:r>
    </w:p>
    <w:p w14:paraId="0C873E10">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2.4.7联合体响应文件未附联合体响应协议书的；</w:t>
      </w:r>
    </w:p>
    <w:p w14:paraId="1CCB09DC">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2.4.8不符合谈判文件中有关分包规定的；</w:t>
      </w:r>
    </w:p>
    <w:p w14:paraId="684E34CD">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2.4.9属于串通响应，或者依法被视为串通响应；</w:t>
      </w:r>
    </w:p>
    <w:p w14:paraId="2F9C7BEB">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2.4.10响应文件含有采购人不能接受的附加条件的；</w:t>
      </w:r>
    </w:p>
    <w:p w14:paraId="08F3FF57">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2.4.11属于谈判文件规定的其他无效响应情形的；</w:t>
      </w:r>
    </w:p>
    <w:p w14:paraId="4B8D3636">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2.4.12不符合法规和谈判文件中规定的其他实质性要求的。</w:t>
      </w:r>
    </w:p>
    <w:p w14:paraId="3D06EBD1">
      <w:pPr>
        <w:pStyle w:val="7"/>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 澄清有关问题</w:t>
      </w:r>
    </w:p>
    <w:p w14:paraId="0AE57C30">
      <w:pPr>
        <w:pStyle w:val="7"/>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要求供应商澄清、说明或者更正响应文件应当以书面形式作出。供应商的澄清、说明或者更正应当由</w:t>
      </w:r>
      <w:r>
        <w:rPr>
          <w:rFonts w:hint="eastAsia" w:ascii="宋体" w:hAnsi="宋体" w:eastAsia="宋体" w:cs="宋体"/>
          <w:bCs/>
          <w:color w:val="auto"/>
          <w:sz w:val="24"/>
          <w:szCs w:val="24"/>
        </w:rPr>
        <w:t>法定代表人/主要负责人/本人或其授权代表</w:t>
      </w:r>
      <w:r>
        <w:rPr>
          <w:rFonts w:hint="eastAsia" w:ascii="宋体" w:hAnsi="宋体" w:eastAsia="宋体" w:cs="宋体"/>
          <w:bCs/>
          <w:color w:val="auto"/>
          <w:sz w:val="24"/>
          <w:szCs w:val="24"/>
          <w:highlight w:val="none"/>
        </w:rPr>
        <w:t>签字或者加盖公章</w:t>
      </w:r>
      <w:r>
        <w:rPr>
          <w:rFonts w:hint="eastAsia" w:ascii="宋体" w:hAnsi="宋体" w:eastAsia="宋体" w:cs="宋体"/>
          <w:color w:val="auto"/>
          <w:sz w:val="24"/>
          <w:szCs w:val="24"/>
          <w:lang w:val="en-US" w:eastAsia="zh-CN"/>
        </w:rPr>
        <w:t>。由授权代表签字的，应当附法定代表人授权书。供应商为自然人的，应当由本人签字并附身份证明。</w:t>
      </w:r>
    </w:p>
    <w:p w14:paraId="2668F553">
      <w:pPr>
        <w:pStyle w:val="4"/>
        <w:pageBreakBefore w:val="0"/>
        <w:kinsoku/>
        <w:wordWrap/>
        <w:overflowPunct/>
        <w:topLinePunct w:val="0"/>
        <w:autoSpaceDE/>
        <w:autoSpaceDN/>
        <w:bidi w:val="0"/>
        <w:spacing w:before="0" w:after="0" w:line="560" w:lineRule="exact"/>
        <w:textAlignment w:val="auto"/>
        <w:rPr>
          <w:rFonts w:hint="eastAsia" w:ascii="宋体" w:hAnsi="宋体" w:eastAsia="宋体" w:cs="宋体"/>
          <w:b/>
          <w:bCs/>
          <w:color w:val="auto"/>
          <w:sz w:val="24"/>
          <w:szCs w:val="24"/>
          <w:lang w:val="en-US" w:eastAsia="zh-CN"/>
        </w:rPr>
      </w:pPr>
      <w:bookmarkStart w:id="295" w:name="_Toc399"/>
      <w:r>
        <w:rPr>
          <w:rFonts w:hint="eastAsia" w:ascii="宋体" w:hAnsi="宋体" w:eastAsia="宋体" w:cs="宋体"/>
          <w:b/>
          <w:bCs/>
          <w:color w:val="auto"/>
          <w:sz w:val="24"/>
          <w:szCs w:val="24"/>
          <w:lang w:val="en-US" w:eastAsia="zh-CN"/>
        </w:rPr>
        <w:t>3.谈判</w:t>
      </w:r>
      <w:bookmarkEnd w:id="295"/>
    </w:p>
    <w:p w14:paraId="0F8A52AD">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谈判小组应当对响应文件进行评审，并根据谈判文件规定的程序、评定成交的标准等事项与实质性响应谈判文件要求的供应商进行谈判。未实质性响应谈判文件的响应文件按无效处理，谈判小组应当告知有关供应商。</w:t>
      </w:r>
    </w:p>
    <w:p w14:paraId="3E4C2A15">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3.1 谈判小组所有成员与单一供应商分别进行一轮或多轮谈判，并给予所有参加谈判的供应商平等的谈判机会。谈判顺序由谈判小组确定。</w:t>
      </w:r>
    </w:p>
    <w:p w14:paraId="4925F4E8">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3.2 在谈判过程中，谈判小组可以根据谈判文件和谈判情况实质性变动采购需求中的技术、服务要求以及合同草案条款，但不得变动谈判文件中的其他内容。实质性变动的内容，须经采购人代表确认，谈判小组应当及时以书面形式同时通知所有参加谈判的供应商，并要求其重新提交由法定代表人/主要负责人/本人或其授权代表签字或者加盖公章的响应文件。由其授权代表签字的，应当附法定代表人授权书。供应商为自然人的，应当由本人签字并附身份证明。</w:t>
      </w:r>
    </w:p>
    <w:p w14:paraId="25D7C2F8">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3.3 谈判过程中，谈判小组可以根据谈判情况调整谈判轮次。</w:t>
      </w:r>
    </w:p>
    <w:p w14:paraId="3DA81147">
      <w:pPr>
        <w:pStyle w:val="32"/>
        <w:pageBreakBefore w:val="0"/>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3.4 谈判过程中，谈判的任何一方不得透露与谈判有关的其他供应商的技术资料、价格和其他信息。</w:t>
      </w:r>
    </w:p>
    <w:p w14:paraId="6163F734">
      <w:pPr>
        <w:pStyle w:val="32"/>
        <w:pageBreakBefore w:val="0"/>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3.5 谈判过程中，谈判小组发现或者知晓供应商存在违法行为的，应</w:t>
      </w:r>
      <w:r>
        <w:rPr>
          <w:rFonts w:hint="eastAsia" w:ascii="宋体" w:hAnsi="宋体" w:cs="宋体"/>
          <w:bCs/>
          <w:color w:val="auto"/>
          <w:kern w:val="2"/>
          <w:sz w:val="24"/>
          <w:szCs w:val="24"/>
          <w:lang w:val="en-US" w:eastAsia="zh-CN" w:bidi="ar-SA"/>
        </w:rPr>
        <w:t>当在</w:t>
      </w:r>
      <w:r>
        <w:rPr>
          <w:rFonts w:hint="eastAsia" w:ascii="宋体" w:hAnsi="宋体" w:eastAsia="宋体" w:cs="宋体"/>
          <w:bCs/>
          <w:color w:val="auto"/>
          <w:kern w:val="2"/>
          <w:sz w:val="24"/>
          <w:szCs w:val="24"/>
          <w:lang w:val="en-US" w:eastAsia="zh-CN" w:bidi="ar-SA"/>
        </w:rPr>
        <w:t>评审报告中予以记录，并向财政部门报告，依法应将该供应商响应文件作无效处理的，应当作无效处理。</w:t>
      </w:r>
    </w:p>
    <w:p w14:paraId="5B4C9ECE">
      <w:pPr>
        <w:pStyle w:val="4"/>
        <w:pageBreakBefore w:val="0"/>
        <w:kinsoku/>
        <w:wordWrap/>
        <w:overflowPunct/>
        <w:topLinePunct w:val="0"/>
        <w:autoSpaceDE/>
        <w:autoSpaceDN/>
        <w:bidi w:val="0"/>
        <w:spacing w:before="0" w:after="0" w:line="560" w:lineRule="exact"/>
        <w:textAlignment w:val="auto"/>
        <w:rPr>
          <w:rFonts w:hint="eastAsia" w:ascii="宋体" w:hAnsi="宋体" w:eastAsia="宋体" w:cs="宋体"/>
          <w:b/>
          <w:bCs/>
          <w:color w:val="auto"/>
          <w:sz w:val="24"/>
          <w:szCs w:val="24"/>
          <w:lang w:val="en-US" w:eastAsia="zh-CN"/>
        </w:rPr>
      </w:pPr>
      <w:bookmarkStart w:id="296" w:name="_Toc24259"/>
      <w:r>
        <w:rPr>
          <w:rFonts w:hint="eastAsia" w:ascii="宋体" w:hAnsi="宋体" w:eastAsia="宋体" w:cs="宋体"/>
          <w:b/>
          <w:bCs/>
          <w:color w:val="auto"/>
          <w:sz w:val="24"/>
          <w:szCs w:val="24"/>
          <w:lang w:val="en-US" w:eastAsia="zh-CN"/>
        </w:rPr>
        <w:t>4.供应商提交最后报价</w:t>
      </w:r>
      <w:bookmarkEnd w:id="296"/>
    </w:p>
    <w:p w14:paraId="67AA92FB">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4.1 </w:t>
      </w:r>
      <w:r>
        <w:rPr>
          <w:rFonts w:hint="eastAsia" w:ascii="宋体" w:hAnsi="宋体" w:eastAsia="宋体" w:cs="宋体"/>
          <w:color w:val="auto"/>
          <w:sz w:val="24"/>
          <w:szCs w:val="24"/>
        </w:rPr>
        <w:t>谈判文件能够详细列明采购标的的技术、服务要求的，谈判结束后，谈判小组应当要求所有继续参加谈判的供应商在规定时间内提交最后报价，提交最后报价的供应商不得少于3家。</w:t>
      </w:r>
    </w:p>
    <w:p w14:paraId="7B509BF7">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 </w:t>
      </w:r>
      <w:r>
        <w:rPr>
          <w:rFonts w:hint="eastAsia" w:ascii="宋体" w:hAnsi="宋体" w:eastAsia="宋体" w:cs="宋体"/>
          <w:color w:val="auto"/>
          <w:sz w:val="24"/>
          <w:szCs w:val="24"/>
        </w:rPr>
        <w:t>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p>
    <w:p w14:paraId="676E7298">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4.3 </w:t>
      </w:r>
      <w:r>
        <w:rPr>
          <w:rFonts w:hint="eastAsia" w:ascii="宋体" w:hAnsi="宋体" w:eastAsia="宋体" w:cs="宋体"/>
          <w:color w:val="auto"/>
          <w:sz w:val="24"/>
          <w:szCs w:val="24"/>
        </w:rPr>
        <w:t>已提交响应文件的供应商，供应商在提交最后报价之前，可以</w:t>
      </w:r>
      <w:r>
        <w:rPr>
          <w:rFonts w:hint="eastAsia" w:ascii="宋体" w:hAnsi="宋体" w:eastAsia="宋体" w:cs="宋体"/>
          <w:color w:val="auto"/>
          <w:sz w:val="24"/>
          <w:szCs w:val="24"/>
          <w:highlight w:val="none"/>
        </w:rPr>
        <w:t>根据谈判情况退出谈判。对于未在</w:t>
      </w:r>
      <w:r>
        <w:rPr>
          <w:rFonts w:hint="eastAsia" w:ascii="宋体" w:hAnsi="宋体" w:eastAsia="宋体" w:cs="宋体"/>
          <w:color w:val="auto"/>
          <w:sz w:val="24"/>
          <w:szCs w:val="24"/>
          <w:highlight w:val="none"/>
          <w:lang w:val="en-US" w:eastAsia="zh-CN"/>
        </w:rPr>
        <w:t>规定时间</w:t>
      </w:r>
      <w:r>
        <w:rPr>
          <w:rFonts w:hint="eastAsia" w:ascii="宋体" w:hAnsi="宋体" w:eastAsia="宋体" w:cs="宋体"/>
          <w:color w:val="auto"/>
          <w:sz w:val="24"/>
          <w:szCs w:val="24"/>
          <w:highlight w:val="none"/>
        </w:rPr>
        <w:t>内提交最后报价</w:t>
      </w:r>
      <w:r>
        <w:rPr>
          <w:rFonts w:hint="eastAsia" w:ascii="宋体" w:hAnsi="宋体" w:eastAsia="宋体" w:cs="宋体"/>
          <w:color w:val="auto"/>
          <w:sz w:val="24"/>
          <w:szCs w:val="24"/>
          <w:highlight w:val="none"/>
          <w:lang w:val="en-US" w:eastAsia="zh-CN"/>
        </w:rPr>
        <w:t>的供应商，</w:t>
      </w:r>
      <w:r>
        <w:rPr>
          <w:rFonts w:hint="eastAsia" w:ascii="宋体" w:hAnsi="宋体" w:eastAsia="宋体" w:cs="宋体"/>
          <w:color w:val="auto"/>
          <w:sz w:val="24"/>
          <w:szCs w:val="24"/>
          <w:highlight w:val="none"/>
        </w:rPr>
        <w:t>视为其退出谈判。退出谈判的供应商，</w:t>
      </w:r>
      <w:r>
        <w:rPr>
          <w:rFonts w:hint="eastAsia" w:ascii="宋体" w:hAnsi="宋体" w:eastAsia="宋体" w:cs="宋体"/>
          <w:color w:val="auto"/>
          <w:sz w:val="24"/>
          <w:szCs w:val="24"/>
          <w:highlight w:val="none"/>
          <w:lang w:val="en-US" w:eastAsia="zh-CN"/>
        </w:rPr>
        <w:t>其响应文件无效</w:t>
      </w:r>
      <w:r>
        <w:rPr>
          <w:rFonts w:hint="eastAsia" w:ascii="宋体" w:hAnsi="宋体" w:eastAsia="宋体" w:cs="宋体"/>
          <w:color w:val="auto"/>
          <w:sz w:val="24"/>
          <w:szCs w:val="24"/>
          <w:highlight w:val="none"/>
        </w:rPr>
        <w:t>。最后报价一旦提交后，供应商不得以任何理由撤回。</w:t>
      </w:r>
    </w:p>
    <w:p w14:paraId="51E8EE45">
      <w:pPr>
        <w:pStyle w:val="32"/>
        <w:pageBreakBefore w:val="0"/>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4.4 最后报价为有效报价应符合下列条件：</w:t>
      </w:r>
    </w:p>
    <w:p w14:paraId="550A4B2D">
      <w:pPr>
        <w:pStyle w:val="32"/>
        <w:pageBreakBefore w:val="0"/>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4.4.1供应商所提供</w:t>
      </w:r>
      <w:r>
        <w:rPr>
          <w:rFonts w:hint="eastAsia" w:ascii="宋体" w:hAnsi="宋体" w:eastAsia="宋体" w:cs="宋体"/>
          <w:color w:val="auto"/>
          <w:sz w:val="24"/>
          <w:szCs w:val="24"/>
          <w:highlight w:val="none"/>
          <w:lang w:val="en-US" w:eastAsia="zh-CN"/>
        </w:rPr>
        <w:t>的最后报价以及最后报价明细表（若有）在规</w:t>
      </w:r>
      <w:r>
        <w:rPr>
          <w:rFonts w:hint="eastAsia" w:ascii="宋体" w:hAnsi="宋体" w:eastAsia="宋体" w:cs="宋体"/>
          <w:color w:val="auto"/>
          <w:sz w:val="24"/>
          <w:szCs w:val="24"/>
          <w:lang w:val="en-US" w:eastAsia="zh-CN"/>
        </w:rPr>
        <w:t>定的时间内提交。</w:t>
      </w:r>
    </w:p>
    <w:p w14:paraId="0B44D4D4">
      <w:pPr>
        <w:pStyle w:val="32"/>
        <w:pageBreakBefore w:val="0"/>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4.4.2供应商的最</w:t>
      </w:r>
      <w:r>
        <w:rPr>
          <w:rFonts w:hint="eastAsia" w:ascii="宋体" w:hAnsi="宋体" w:eastAsia="宋体" w:cs="宋体"/>
          <w:color w:val="auto"/>
          <w:sz w:val="24"/>
          <w:szCs w:val="24"/>
          <w:highlight w:val="none"/>
          <w:lang w:val="en-US" w:eastAsia="zh-CN"/>
        </w:rPr>
        <w:t>后报价应由</w:t>
      </w:r>
      <w:r>
        <w:rPr>
          <w:rFonts w:hint="eastAsia" w:ascii="宋体" w:hAnsi="宋体" w:eastAsia="宋体" w:cs="宋体"/>
          <w:bCs/>
          <w:color w:val="auto"/>
          <w:sz w:val="24"/>
          <w:szCs w:val="24"/>
        </w:rPr>
        <w:t>法定代表人/主要负责人/本人或其授权代表</w:t>
      </w:r>
      <w:r>
        <w:rPr>
          <w:rFonts w:hint="eastAsia" w:ascii="宋体" w:hAnsi="宋体" w:eastAsia="宋体" w:cs="宋体"/>
          <w:bCs/>
          <w:color w:val="auto"/>
          <w:sz w:val="24"/>
          <w:szCs w:val="24"/>
          <w:highlight w:val="none"/>
        </w:rPr>
        <w:t>签字或者加盖公章</w:t>
      </w:r>
      <w:r>
        <w:rPr>
          <w:rFonts w:hint="eastAsia" w:ascii="宋体" w:hAnsi="宋体" w:eastAsia="宋体" w:cs="宋体"/>
          <w:color w:val="auto"/>
          <w:sz w:val="24"/>
          <w:szCs w:val="24"/>
          <w:highlight w:val="none"/>
          <w:lang w:val="en-US" w:eastAsia="zh-CN"/>
        </w:rPr>
        <w:t>。</w:t>
      </w:r>
    </w:p>
    <w:p w14:paraId="4B4245A2">
      <w:pPr>
        <w:pStyle w:val="32"/>
        <w:pageBreakBefore w:val="0"/>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4.4.3供应商的最后报价符合谈判文件的要求。</w:t>
      </w:r>
    </w:p>
    <w:p w14:paraId="0CF0B603">
      <w:pPr>
        <w:pStyle w:val="32"/>
        <w:pageBreakBefore w:val="0"/>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4.4.4最后报价唯一，且不高于最高限价。</w:t>
      </w:r>
    </w:p>
    <w:p w14:paraId="67BC219F">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rPr>
        <w:t>在评审过程中，供应商</w:t>
      </w:r>
      <w:r>
        <w:rPr>
          <w:rFonts w:hint="eastAsia" w:ascii="宋体" w:hAnsi="宋体" w:eastAsia="宋体" w:cs="宋体"/>
          <w:color w:val="auto"/>
          <w:sz w:val="24"/>
          <w:szCs w:val="24"/>
          <w:lang w:val="en-US" w:eastAsia="zh-CN"/>
        </w:rPr>
        <w:t>最后</w:t>
      </w:r>
      <w:r>
        <w:rPr>
          <w:rFonts w:hint="eastAsia" w:ascii="宋体" w:hAnsi="宋体" w:eastAsia="宋体" w:cs="宋体"/>
          <w:color w:val="auto"/>
          <w:sz w:val="24"/>
          <w:szCs w:val="24"/>
          <w:lang w:val="zh-CN"/>
        </w:rPr>
        <w:t>报价明显低于其他通过符合性审查供应商的</w:t>
      </w:r>
      <w:r>
        <w:rPr>
          <w:rFonts w:hint="eastAsia" w:ascii="宋体" w:hAnsi="宋体" w:eastAsia="宋体" w:cs="宋体"/>
          <w:color w:val="auto"/>
          <w:sz w:val="24"/>
          <w:szCs w:val="24"/>
          <w:lang w:val="en-US" w:eastAsia="zh-CN"/>
        </w:rPr>
        <w:t>最后</w:t>
      </w:r>
      <w:r>
        <w:rPr>
          <w:rFonts w:hint="eastAsia" w:ascii="宋体" w:hAnsi="宋体" w:eastAsia="宋体" w:cs="宋体"/>
          <w:color w:val="auto"/>
          <w:sz w:val="24"/>
          <w:szCs w:val="24"/>
          <w:lang w:val="zh-CN"/>
        </w:rPr>
        <w:t>报价，有可能影响产品质量或者不能诚信履约的，</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lang w:val="zh-CN"/>
        </w:rPr>
        <w:t>小组应当要求其在合理的时间内提供书面说明，并提交相关证明材料，供应商不能证明其报价合理性的，</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lang w:val="zh-CN"/>
        </w:rPr>
        <w:t>小组应当将其作为无效处理。</w:t>
      </w:r>
      <w:r>
        <w:rPr>
          <w:rFonts w:hint="eastAsia" w:ascii="宋体" w:hAnsi="宋体" w:eastAsia="宋体" w:cs="宋体"/>
          <w:color w:val="auto"/>
          <w:sz w:val="24"/>
          <w:szCs w:val="24"/>
          <w:lang w:val="en-US" w:eastAsia="zh-CN"/>
        </w:rPr>
        <w:t>具体要求详见“供应商须知前附表”。</w:t>
      </w:r>
    </w:p>
    <w:p w14:paraId="406519A8">
      <w:pPr>
        <w:pStyle w:val="32"/>
        <w:pageBreakBefore w:val="0"/>
        <w:kinsoku/>
        <w:wordWrap/>
        <w:overflowPunct/>
        <w:topLinePunct w:val="0"/>
        <w:autoSpaceDE/>
        <w:autoSpaceDN/>
        <w:bidi w:val="0"/>
        <w:spacing w:line="560" w:lineRule="exact"/>
        <w:ind w:left="0" w:leftChars="0"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 在未提高响应文件中承诺的实质性要求的情况下，最后报价不高于上轮（次）的报价，否则，谈判小组应当对其响应文件按无效处理；谈判中改变采购需求以及合同草案条款的情况除外。</w:t>
      </w:r>
    </w:p>
    <w:p w14:paraId="1D56A43B">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4.6 最后</w:t>
      </w:r>
      <w:r>
        <w:rPr>
          <w:rFonts w:hint="eastAsia" w:ascii="宋体" w:hAnsi="宋体" w:eastAsia="宋体" w:cs="宋体"/>
          <w:b/>
          <w:bCs/>
          <w:color w:val="auto"/>
          <w:sz w:val="24"/>
          <w:szCs w:val="24"/>
          <w:lang w:eastAsia="zh-CN"/>
        </w:rPr>
        <w:t>报价</w:t>
      </w:r>
      <w:r>
        <w:rPr>
          <w:rFonts w:hint="eastAsia" w:ascii="宋体" w:hAnsi="宋体" w:eastAsia="宋体" w:cs="宋体"/>
          <w:b/>
          <w:bCs/>
          <w:color w:val="auto"/>
          <w:sz w:val="24"/>
          <w:szCs w:val="24"/>
          <w:lang w:val="en-US" w:eastAsia="zh-CN"/>
        </w:rPr>
        <w:t>的算术修正规则</w:t>
      </w:r>
    </w:p>
    <w:p w14:paraId="32AD1CEC">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bCs w:val="0"/>
          <w:color w:val="auto"/>
          <w:sz w:val="24"/>
          <w:szCs w:val="24"/>
          <w:lang w:eastAsia="zh-CN"/>
        </w:rPr>
      </w:pPr>
      <w:r>
        <w:rPr>
          <w:rFonts w:hint="eastAsia" w:ascii="宋体" w:hAnsi="宋体" w:eastAsia="宋体" w:cs="宋体"/>
          <w:b w:val="0"/>
          <w:bCs w:val="0"/>
          <w:color w:val="auto"/>
          <w:sz w:val="24"/>
          <w:szCs w:val="24"/>
          <w:lang w:val="en-US" w:eastAsia="zh-CN"/>
        </w:rPr>
        <w:t>最后</w:t>
      </w:r>
      <w:r>
        <w:rPr>
          <w:rFonts w:hint="eastAsia" w:ascii="宋体" w:hAnsi="宋体" w:eastAsia="宋体" w:cs="宋体"/>
          <w:b w:val="0"/>
          <w:bCs w:val="0"/>
          <w:color w:val="auto"/>
          <w:sz w:val="24"/>
          <w:szCs w:val="24"/>
          <w:lang w:eastAsia="zh-CN"/>
        </w:rPr>
        <w:t>报</w:t>
      </w:r>
      <w:r>
        <w:rPr>
          <w:rFonts w:hint="eastAsia" w:ascii="宋体" w:hAnsi="宋体" w:eastAsia="宋体" w:cs="宋体"/>
          <w:b w:val="0"/>
          <w:bCs w:val="0"/>
          <w:color w:val="auto"/>
          <w:sz w:val="24"/>
          <w:szCs w:val="24"/>
          <w:lang w:val="en-US" w:eastAsia="zh-CN"/>
        </w:rPr>
        <w:t>价如果出现下列不一致的，不需要供应商澄清，可按以下原则进行处理：</w:t>
      </w:r>
    </w:p>
    <w:p w14:paraId="24AB6ECD">
      <w:pPr>
        <w:pStyle w:val="60"/>
        <w:pageBreakBefore w:val="0"/>
        <w:numPr>
          <w:ilvl w:val="0"/>
          <w:numId w:val="0"/>
        </w:numPr>
        <w:tabs>
          <w:tab w:val="left" w:pos="1134"/>
        </w:tabs>
        <w:kinsoku/>
        <w:wordWrap/>
        <w:overflowPunct/>
        <w:topLinePunct w:val="0"/>
        <w:autoSpaceDE/>
        <w:autoSpaceDN/>
        <w:bidi w:val="0"/>
        <w:snapToGrid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4.6.1</w:t>
      </w:r>
      <w:r>
        <w:rPr>
          <w:rFonts w:hint="eastAsia" w:ascii="宋体" w:hAnsi="宋体" w:eastAsia="宋体" w:cs="宋体"/>
          <w:color w:val="auto"/>
          <w:sz w:val="24"/>
          <w:szCs w:val="24"/>
        </w:rPr>
        <w:t>最后报价中的大写金额和小写金额不一致的，以大写金额为准，但大写金额出现文字错误，导致金额无法判断的除外；</w:t>
      </w:r>
    </w:p>
    <w:p w14:paraId="5A9131BB">
      <w:pPr>
        <w:pStyle w:val="60"/>
        <w:pageBreakBefore w:val="0"/>
        <w:numPr>
          <w:ilvl w:val="0"/>
          <w:numId w:val="0"/>
        </w:numPr>
        <w:tabs>
          <w:tab w:val="left" w:pos="1134"/>
        </w:tabs>
        <w:kinsoku/>
        <w:wordWrap/>
        <w:overflowPunct/>
        <w:topLinePunct w:val="0"/>
        <w:autoSpaceDE/>
        <w:autoSpaceDN/>
        <w:bidi w:val="0"/>
        <w:snapToGrid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4.6.2</w:t>
      </w:r>
      <w:r>
        <w:rPr>
          <w:rFonts w:hint="eastAsia" w:ascii="宋体" w:hAnsi="宋体" w:eastAsia="宋体" w:cs="宋体"/>
          <w:color w:val="auto"/>
          <w:sz w:val="24"/>
          <w:szCs w:val="24"/>
        </w:rPr>
        <w:t>单价金额小数点或者百分比有明显错位的，应以总价为准，并修改单价；</w:t>
      </w:r>
    </w:p>
    <w:p w14:paraId="09C59859">
      <w:pPr>
        <w:pStyle w:val="60"/>
        <w:pageBreakBefore w:val="0"/>
        <w:numPr>
          <w:ilvl w:val="0"/>
          <w:numId w:val="0"/>
        </w:numPr>
        <w:tabs>
          <w:tab w:val="left" w:pos="1134"/>
        </w:tabs>
        <w:kinsoku/>
        <w:wordWrap/>
        <w:overflowPunct/>
        <w:topLinePunct w:val="0"/>
        <w:autoSpaceDE/>
        <w:autoSpaceDN/>
        <w:bidi w:val="0"/>
        <w:snapToGrid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4.6.3</w:t>
      </w:r>
      <w:r>
        <w:rPr>
          <w:rFonts w:hint="eastAsia" w:ascii="宋体" w:hAnsi="宋体" w:eastAsia="宋体" w:cs="宋体"/>
          <w:color w:val="auto"/>
          <w:sz w:val="24"/>
          <w:szCs w:val="24"/>
        </w:rPr>
        <w:t>总价金额与按单价汇总金额不一致的，以单价汇总金额计算结果为准；</w:t>
      </w:r>
    </w:p>
    <w:p w14:paraId="32AD12B3">
      <w:pPr>
        <w:pStyle w:val="60"/>
        <w:pageBreakBefore w:val="0"/>
        <w:numPr>
          <w:ilvl w:val="0"/>
          <w:numId w:val="0"/>
        </w:numPr>
        <w:tabs>
          <w:tab w:val="left" w:pos="1134"/>
        </w:tabs>
        <w:kinsoku/>
        <w:wordWrap/>
        <w:overflowPunct/>
        <w:topLinePunct w:val="0"/>
        <w:autoSpaceDE/>
        <w:autoSpaceDN/>
        <w:bidi w:val="0"/>
        <w:snapToGrid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highlight w:val="none"/>
        </w:rPr>
        <w:t>同时出现两种以上不一致的，按照上述规定的顺序修正。修正后的</w:t>
      </w:r>
      <w:r>
        <w:rPr>
          <w:rFonts w:hint="eastAsia" w:ascii="宋体" w:hAnsi="宋体" w:eastAsia="宋体" w:cs="宋体"/>
          <w:bCs/>
          <w:color w:val="auto"/>
          <w:sz w:val="24"/>
          <w:szCs w:val="24"/>
          <w:highlight w:val="none"/>
          <w:lang w:val="en-US" w:eastAsia="zh-CN"/>
        </w:rPr>
        <w:t>最后</w:t>
      </w:r>
      <w:r>
        <w:rPr>
          <w:rFonts w:hint="eastAsia" w:ascii="宋体" w:hAnsi="宋体" w:eastAsia="宋体" w:cs="宋体"/>
          <w:bCs/>
          <w:color w:val="auto"/>
          <w:sz w:val="24"/>
          <w:szCs w:val="24"/>
          <w:highlight w:val="none"/>
        </w:rPr>
        <w:t>报价经供应商确认后产生约束力，供应商不确认的，其</w:t>
      </w:r>
      <w:r>
        <w:rPr>
          <w:rFonts w:hint="eastAsia" w:ascii="宋体" w:hAnsi="宋体" w:eastAsia="宋体" w:cs="宋体"/>
          <w:bCs/>
          <w:color w:val="auto"/>
          <w:sz w:val="24"/>
          <w:szCs w:val="24"/>
          <w:highlight w:val="none"/>
          <w:lang w:val="en-US" w:eastAsia="zh-CN"/>
        </w:rPr>
        <w:t>最后报价无效</w:t>
      </w:r>
      <w:r>
        <w:rPr>
          <w:rFonts w:hint="eastAsia" w:ascii="宋体" w:hAnsi="宋体" w:eastAsia="宋体" w:cs="宋体"/>
          <w:bCs/>
          <w:color w:val="auto"/>
          <w:sz w:val="24"/>
          <w:szCs w:val="24"/>
          <w:highlight w:val="none"/>
        </w:rPr>
        <w:t>。供应商确认采取书面且加盖单位公章或者供应商授权代表签字的方式。</w:t>
      </w:r>
      <w:r>
        <w:rPr>
          <w:rFonts w:hint="eastAsia" w:ascii="宋体" w:hAnsi="宋体" w:eastAsia="宋体" w:cs="宋体"/>
          <w:color w:val="auto"/>
          <w:sz w:val="24"/>
          <w:szCs w:val="24"/>
        </w:rPr>
        <w:t>谈判小组不得未经要求供应商确认，直接将供应商响应文件作无效处理。</w:t>
      </w:r>
    </w:p>
    <w:p w14:paraId="6AA68A5D">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4.7 落实政府采购政策进行价格扣除的计算方法</w:t>
      </w:r>
    </w:p>
    <w:p w14:paraId="2E62F4F3">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关于小微型企业（残疾人福利性单位、监狱企业）产品、服务的报价扣除标准</w:t>
      </w:r>
    </w:p>
    <w:p w14:paraId="72643F08">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4.7.1因落实政府采购政策进行价格调整的，以调整后的价格计算最后报价；</w:t>
      </w:r>
    </w:p>
    <w:p w14:paraId="06C71227">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Cs/>
          <w:color w:val="auto"/>
          <w:sz w:val="24"/>
          <w:szCs w:val="24"/>
          <w:lang w:val="en-US" w:eastAsia="zh-CN"/>
        </w:rPr>
        <w:t>4.7.2</w:t>
      </w:r>
      <w:r>
        <w:rPr>
          <w:rFonts w:hint="eastAsia" w:ascii="宋体" w:hAnsi="宋体" w:eastAsia="宋体" w:cs="宋体"/>
          <w:b w:val="0"/>
          <w:bCs/>
          <w:color w:val="auto"/>
          <w:sz w:val="24"/>
          <w:szCs w:val="24"/>
          <w:lang w:val="en-US" w:eastAsia="zh-CN"/>
        </w:rPr>
        <w:t>若货物为小微型企业（残疾人福利性单位、监狱企业）产品、服务，供应商应填写相关样表并提供证明材料（格式3-7、3-8），内容填写完整、准确方可获得价格扣除（针对非专门面向中小企业采购项目</w:t>
      </w:r>
      <w:r>
        <w:rPr>
          <w:rFonts w:hint="eastAsia" w:ascii="宋体" w:hAnsi="宋体" w:eastAsia="宋体" w:cs="宋体"/>
          <w:b/>
          <w:bCs w:val="0"/>
          <w:color w:val="auto"/>
          <w:sz w:val="24"/>
          <w:szCs w:val="24"/>
          <w:lang w:val="en-US" w:eastAsia="zh-CN"/>
        </w:rPr>
        <w:t>）；</w:t>
      </w:r>
    </w:p>
    <w:p w14:paraId="34010262">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4.7.3本项目对小型和微型企业产品的价格给予</w:t>
      </w:r>
      <w:r>
        <w:rPr>
          <w:rFonts w:hint="eastAsia" w:ascii="宋体" w:hAnsi="宋体" w:eastAsia="宋体" w:cs="宋体"/>
          <w:b w:val="0"/>
          <w:bCs/>
          <w:color w:val="auto"/>
          <w:sz w:val="24"/>
          <w:szCs w:val="24"/>
          <w:lang w:val="en-US" w:eastAsia="zh-CN"/>
        </w:rPr>
        <w:t>一定比例的扣除（</w:t>
      </w:r>
      <w:r>
        <w:rPr>
          <w:rFonts w:hint="eastAsia" w:ascii="宋体" w:hAnsi="宋体" w:eastAsia="宋体" w:cs="宋体"/>
          <w:b/>
          <w:bCs w:val="0"/>
          <w:color w:val="auto"/>
          <w:sz w:val="24"/>
          <w:szCs w:val="24"/>
          <w:lang w:val="en-US" w:eastAsia="zh-CN"/>
        </w:rPr>
        <w:t>具体比例详见“供应商须知前附表”</w:t>
      </w:r>
      <w:r>
        <w:rPr>
          <w:rFonts w:hint="eastAsia" w:ascii="宋体" w:hAnsi="宋体" w:eastAsia="宋体" w:cs="宋体"/>
          <w:b w:val="0"/>
          <w:bCs/>
          <w:color w:val="auto"/>
          <w:sz w:val="24"/>
          <w:szCs w:val="24"/>
          <w:lang w:val="en-US" w:eastAsia="zh-CN"/>
        </w:rPr>
        <w:t>）</w:t>
      </w:r>
      <w:r>
        <w:rPr>
          <w:rFonts w:hint="eastAsia" w:ascii="宋体" w:hAnsi="宋体" w:eastAsia="宋体" w:cs="宋体"/>
          <w:bCs/>
          <w:color w:val="auto"/>
          <w:sz w:val="24"/>
          <w:szCs w:val="24"/>
          <w:lang w:val="en-US" w:eastAsia="zh-CN"/>
        </w:rPr>
        <w:t>，用扣除后的价格参与评审；</w:t>
      </w:r>
    </w:p>
    <w:p w14:paraId="1A5D9E30">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4.7.4残疾人福利性单位（监狱企业）产品、服务视同小型、微型企业产品、服务，享受同等价格扣除；</w:t>
      </w:r>
    </w:p>
    <w:p w14:paraId="151299F1">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lang w:val="en-US" w:eastAsia="zh-CN"/>
        </w:rPr>
        <w:t>4.7.5</w:t>
      </w:r>
      <w:r>
        <w:rPr>
          <w:rFonts w:hint="eastAsia" w:ascii="宋体" w:hAnsi="宋体" w:cs="宋体"/>
          <w:bCs/>
          <w:color w:val="auto"/>
          <w:sz w:val="24"/>
          <w:szCs w:val="24"/>
          <w:lang w:val="en-US" w:eastAsia="zh-CN"/>
        </w:rPr>
        <w:t>以上政策</w:t>
      </w:r>
      <w:r>
        <w:rPr>
          <w:rFonts w:hint="eastAsia" w:ascii="宋体" w:hAnsi="宋体" w:eastAsia="宋体" w:cs="宋体"/>
          <w:bCs/>
          <w:color w:val="auto"/>
          <w:sz w:val="24"/>
          <w:szCs w:val="24"/>
          <w:lang w:val="en-US" w:eastAsia="zh-CN"/>
        </w:rPr>
        <w:t>供应商仅能获得一种政策的价格扣除，不重复享受。</w:t>
      </w:r>
    </w:p>
    <w:p w14:paraId="7E93C002">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4.7.6本国产品支持政策</w:t>
      </w:r>
    </w:p>
    <w:p w14:paraId="1B7A62B2">
      <w:pPr>
        <w:keepNext w:val="0"/>
        <w:keepLines w:val="0"/>
        <w:pageBreakBefore w:val="0"/>
        <w:widowControl w:val="0"/>
        <w:kinsoku/>
        <w:wordWrap/>
        <w:overflowPunct/>
        <w:topLinePunct w:val="0"/>
        <w:autoSpaceDE/>
        <w:autoSpaceDN/>
        <w:bidi w:val="0"/>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4.7.6.1本国产品应当符合以下条件：在中国境内生产；在中国境内生产的组件成本占比达到规定比例；特定产品的关键组件、关键工序符合相关要求。</w:t>
      </w:r>
    </w:p>
    <w:p w14:paraId="65BD6709">
      <w:pPr>
        <w:keepNext w:val="0"/>
        <w:keepLines w:val="0"/>
        <w:pageBreakBefore w:val="0"/>
        <w:widowControl w:val="0"/>
        <w:kinsoku/>
        <w:wordWrap/>
        <w:overflowPunct/>
        <w:topLinePunct w:val="0"/>
        <w:autoSpaceDE/>
        <w:autoSpaceDN/>
        <w:bidi w:val="0"/>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4.7.6.2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D39AB8C">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4.7.6.3对本国产品的支持政策</w:t>
      </w:r>
    </w:p>
    <w:p w14:paraId="179A717E">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政府采购活动中既有本国产品又有非本国产品参与竞争的，依法对本国产品给予价格评审优惠，对本国产品的报价给予</w:t>
      </w:r>
      <w:r>
        <w:rPr>
          <w:rFonts w:hint="eastAsia" w:ascii="宋体" w:hAnsi="宋体" w:eastAsia="宋体" w:cs="宋体"/>
          <w:b/>
          <w:bCs/>
          <w:color w:val="auto"/>
          <w:sz w:val="24"/>
          <w:szCs w:val="24"/>
          <w:lang w:val="en-US" w:eastAsia="zh-CN"/>
        </w:rPr>
        <w:t>20%</w:t>
      </w:r>
      <w:r>
        <w:rPr>
          <w:rFonts w:hint="eastAsia" w:ascii="宋体" w:hAnsi="宋体" w:eastAsia="宋体" w:cs="宋体"/>
          <w:color w:val="auto"/>
          <w:sz w:val="24"/>
          <w:szCs w:val="24"/>
          <w:lang w:val="en-US" w:eastAsia="zh-CN"/>
        </w:rPr>
        <w:t>的价格扣除，用扣除后的价格参与评审。</w:t>
      </w:r>
    </w:p>
    <w:p w14:paraId="73BC70E1">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4146584">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4.7.6.4有关证明文件</w:t>
      </w:r>
    </w:p>
    <w:p w14:paraId="246864AF">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供应商应在投标文件中出具所投产品的《关于符合本国产品标准的声明函》（样式见“第</w:t>
      </w:r>
      <w:r>
        <w:rPr>
          <w:rFonts w:hint="eastAsia" w:ascii="宋体" w:hAnsi="宋体" w:cs="宋体"/>
          <w:color w:val="auto"/>
          <w:sz w:val="24"/>
          <w:szCs w:val="24"/>
          <w:highlight w:val="none"/>
          <w:lang w:val="en-US" w:eastAsia="zh-CN"/>
        </w:rPr>
        <w:t>六章响应</w:t>
      </w:r>
      <w:r>
        <w:rPr>
          <w:rFonts w:hint="eastAsia" w:ascii="宋体" w:hAnsi="宋体" w:eastAsia="宋体" w:cs="宋体"/>
          <w:color w:val="auto"/>
          <w:sz w:val="24"/>
          <w:szCs w:val="24"/>
          <w:lang w:val="en-US" w:eastAsia="zh-CN"/>
        </w:rPr>
        <w:t>文件格式”，以下简称《声明函》）或财政部会同有关部门规定的有关证明文件。出具符合要求的《声明函》或有关证明文件的，该产品视为本国产品，供应商不再提供其他证明材料。供应商提供虚假《声明函》、虚假证明文件谋取中标、成交的，依照《中华人民共和国政府采购法》等法律法规规定追究相应责任。</w:t>
      </w:r>
    </w:p>
    <w:p w14:paraId="499EAEA5">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中标、成交供应商提供的《声明函》或有关证明文件随中标、成交结果同时公告。</w:t>
      </w:r>
    </w:p>
    <w:p w14:paraId="10D8909C">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default" w:ascii="宋体" w:hAnsi="宋体" w:eastAsia="宋体" w:cs="宋体"/>
          <w:b/>
          <w:bCs w:val="0"/>
          <w:color w:val="auto"/>
          <w:sz w:val="24"/>
          <w:szCs w:val="24"/>
          <w:highlight w:val="none"/>
          <w:lang w:val="en-US" w:eastAsia="zh-CN"/>
        </w:rPr>
      </w:pPr>
      <w:r>
        <w:rPr>
          <w:rFonts w:hint="eastAsia" w:ascii="宋体" w:hAnsi="宋体" w:eastAsia="宋体" w:cs="宋体"/>
          <w:color w:val="auto"/>
          <w:sz w:val="24"/>
          <w:szCs w:val="24"/>
          <w:lang w:val="en-US" w:eastAsia="zh-CN"/>
        </w:rPr>
        <w:t>注：采购文件未尽事宜，详见《国务院办公厅关于在政府采购中实施本国产品标准及相关政策的通知》（国办发〔2025〕34号）。</w:t>
      </w:r>
    </w:p>
    <w:p w14:paraId="571B9D29">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4.8 </w:t>
      </w:r>
      <w:r>
        <w:rPr>
          <w:rFonts w:hint="eastAsia" w:ascii="宋体" w:hAnsi="宋体" w:eastAsia="宋体" w:cs="宋体"/>
          <w:b/>
          <w:bCs w:val="0"/>
          <w:color w:val="auto"/>
          <w:sz w:val="24"/>
          <w:szCs w:val="24"/>
          <w:highlight w:val="none"/>
        </w:rPr>
        <w:t>复核</w:t>
      </w:r>
    </w:p>
    <w:p w14:paraId="13D7467D">
      <w:pPr>
        <w:pageBreakBefore w:val="0"/>
        <w:widowControl w:val="0"/>
        <w:tabs>
          <w:tab w:val="left" w:pos="1134"/>
        </w:tabs>
        <w:kinsoku/>
        <w:wordWrap/>
        <w:overflowPunct/>
        <w:topLinePunct w:val="0"/>
        <w:autoSpaceDE/>
        <w:autoSpaceDN/>
        <w:bidi w:val="0"/>
        <w:spacing w:line="56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评审结束后，谈判小组应当进行复核，特别要对拟推荐为成交候选供应商的、报价最低的、响应文件被认定为无效的进行重点复核。</w:t>
      </w:r>
    </w:p>
    <w:p w14:paraId="2C7F62E3">
      <w:pPr>
        <w:pStyle w:val="4"/>
        <w:pageBreakBefore w:val="0"/>
        <w:kinsoku/>
        <w:wordWrap/>
        <w:overflowPunct/>
        <w:topLinePunct w:val="0"/>
        <w:autoSpaceDE/>
        <w:autoSpaceDN/>
        <w:bidi w:val="0"/>
        <w:spacing w:before="0" w:after="0" w:line="560" w:lineRule="exact"/>
        <w:textAlignment w:val="auto"/>
        <w:rPr>
          <w:rFonts w:hint="eastAsia" w:ascii="宋体" w:hAnsi="宋体" w:eastAsia="宋体" w:cs="宋体"/>
          <w:b/>
          <w:bCs/>
          <w:color w:val="auto"/>
          <w:sz w:val="24"/>
          <w:szCs w:val="24"/>
          <w:lang w:val="en-US" w:eastAsia="zh-CN"/>
        </w:rPr>
      </w:pPr>
      <w:bookmarkStart w:id="297" w:name="_Toc21562"/>
      <w:r>
        <w:rPr>
          <w:rFonts w:hint="eastAsia" w:ascii="宋体" w:hAnsi="宋体" w:eastAsia="宋体" w:cs="宋体"/>
          <w:b/>
          <w:bCs/>
          <w:color w:val="auto"/>
          <w:sz w:val="24"/>
          <w:szCs w:val="24"/>
          <w:lang w:val="en-US" w:eastAsia="zh-CN"/>
        </w:rPr>
        <w:t>5.推荐成交供应商</w:t>
      </w:r>
      <w:bookmarkEnd w:id="297"/>
    </w:p>
    <w:p w14:paraId="6BB1AFAC">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谈判小组应从质量和服务均能满足采购文件实质性响应要求的供应商中，按照最后报价</w:t>
      </w:r>
      <w:r>
        <w:rPr>
          <w:rFonts w:hint="eastAsia" w:ascii="宋体" w:hAnsi="宋体" w:cs="宋体"/>
          <w:color w:val="auto"/>
          <w:sz w:val="24"/>
          <w:szCs w:val="24"/>
          <w:lang w:val="en-US" w:eastAsia="zh-CN"/>
        </w:rPr>
        <w:t>由</w:t>
      </w:r>
      <w:r>
        <w:rPr>
          <w:rFonts w:hint="eastAsia" w:ascii="宋体" w:hAnsi="宋体" w:eastAsia="宋体" w:cs="宋体"/>
          <w:color w:val="auto"/>
          <w:sz w:val="24"/>
          <w:szCs w:val="24"/>
          <w:lang w:val="en-US" w:eastAsia="zh-CN"/>
        </w:rPr>
        <w:t>低到高的顺序提出3名以上成交候选人，并编写评审报告。</w:t>
      </w:r>
      <w:r>
        <w:rPr>
          <w:rFonts w:hint="eastAsia" w:ascii="宋体" w:hAnsi="宋体" w:eastAsia="宋体" w:cs="宋体"/>
          <w:bCs/>
          <w:color w:val="auto"/>
          <w:sz w:val="24"/>
          <w:szCs w:val="24"/>
          <w:lang w:val="en-US" w:eastAsia="zh-CN"/>
        </w:rPr>
        <w:t>因</w:t>
      </w:r>
      <w:r>
        <w:rPr>
          <w:rFonts w:hint="eastAsia" w:ascii="宋体" w:hAnsi="宋体" w:eastAsia="宋体" w:cs="宋体"/>
          <w:color w:val="auto"/>
          <w:sz w:val="24"/>
          <w:szCs w:val="24"/>
          <w:lang w:val="en-US" w:eastAsia="zh-CN"/>
        </w:rPr>
        <w:t>落实政府采购政策进行价格调整的，以调整后的价格计算最后报价。评审得分相同的，按照最后报价由低到高的顺序推荐，供应商评审得分且最后报价相同的，依次按节能环保产品多优先、主要技术指标高优先、质保期长优先、交货时间短优先、故障到达时间短优先的顺序，排列各供应商的次序，推荐成交候选人。</w:t>
      </w:r>
    </w:p>
    <w:p w14:paraId="7771BECF">
      <w:pPr>
        <w:pStyle w:val="4"/>
        <w:pageBreakBefore w:val="0"/>
        <w:kinsoku/>
        <w:wordWrap/>
        <w:overflowPunct/>
        <w:topLinePunct w:val="0"/>
        <w:autoSpaceDE/>
        <w:autoSpaceDN/>
        <w:bidi w:val="0"/>
        <w:spacing w:before="0" w:after="0" w:line="560" w:lineRule="exact"/>
        <w:textAlignment w:val="auto"/>
        <w:rPr>
          <w:rFonts w:hint="eastAsia" w:ascii="宋体" w:hAnsi="宋体" w:eastAsia="宋体" w:cs="宋体"/>
          <w:b/>
          <w:bCs/>
          <w:color w:val="auto"/>
          <w:sz w:val="24"/>
          <w:szCs w:val="24"/>
          <w:lang w:val="en-US" w:eastAsia="zh-CN"/>
        </w:rPr>
      </w:pPr>
      <w:bookmarkStart w:id="298" w:name="_Toc1936"/>
      <w:r>
        <w:rPr>
          <w:rFonts w:hint="eastAsia" w:ascii="宋体" w:hAnsi="宋体" w:eastAsia="宋体" w:cs="宋体"/>
          <w:b/>
          <w:bCs/>
          <w:color w:val="auto"/>
          <w:sz w:val="24"/>
          <w:szCs w:val="24"/>
          <w:lang w:val="en-US" w:eastAsia="zh-CN"/>
        </w:rPr>
        <w:t>6.出具评审报告</w:t>
      </w:r>
      <w:bookmarkEnd w:id="298"/>
    </w:p>
    <w:p w14:paraId="02787AB8">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6.1</w:t>
      </w:r>
      <w:r>
        <w:rPr>
          <w:rFonts w:hint="eastAsia" w:ascii="宋体" w:hAnsi="宋体" w:eastAsia="宋体" w:cs="宋体"/>
          <w:color w:val="auto"/>
          <w:sz w:val="24"/>
          <w:szCs w:val="24"/>
        </w:rPr>
        <w:t>评审报告是谈判小组根据全体成员签字的原始评审记录和评审结果编写的报告，其主要内容包括：</w:t>
      </w:r>
    </w:p>
    <w:p w14:paraId="76BE3A62">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6.1.1</w:t>
      </w:r>
      <w:r>
        <w:rPr>
          <w:rFonts w:hint="eastAsia" w:ascii="宋体" w:hAnsi="宋体" w:eastAsia="宋体" w:cs="宋体"/>
          <w:color w:val="auto"/>
          <w:sz w:val="24"/>
          <w:szCs w:val="24"/>
        </w:rPr>
        <w:t>邀请供应商参加采购活动的具体方式和相关情况；</w:t>
      </w:r>
    </w:p>
    <w:p w14:paraId="23BFB5F3">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6.1.2</w:t>
      </w:r>
      <w:r>
        <w:rPr>
          <w:rFonts w:hint="eastAsia" w:ascii="宋体" w:hAnsi="宋体" w:eastAsia="宋体" w:cs="宋体"/>
          <w:color w:val="auto"/>
          <w:sz w:val="24"/>
          <w:szCs w:val="24"/>
        </w:rPr>
        <w:t>响应文件开启日期和地点；</w:t>
      </w:r>
    </w:p>
    <w:p w14:paraId="308F0F9E">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6.1.3</w:t>
      </w:r>
      <w:r>
        <w:rPr>
          <w:rFonts w:hint="eastAsia" w:ascii="宋体" w:hAnsi="宋体" w:eastAsia="宋体" w:cs="宋体"/>
          <w:color w:val="auto"/>
          <w:sz w:val="24"/>
          <w:szCs w:val="24"/>
        </w:rPr>
        <w:t>获取谈判文件的供应商名单和谈判小组成员名单；</w:t>
      </w:r>
    </w:p>
    <w:p w14:paraId="2E584936">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6.1.4</w:t>
      </w:r>
      <w:r>
        <w:rPr>
          <w:rFonts w:hint="eastAsia" w:ascii="宋体" w:hAnsi="宋体" w:eastAsia="宋体" w:cs="宋体"/>
          <w:color w:val="auto"/>
          <w:sz w:val="24"/>
          <w:szCs w:val="24"/>
        </w:rPr>
        <w:t>评审情况记录和说明，包括对供应商的资格审查情况、供应商响应文件审查情况、谈判情况、报价情况等；</w:t>
      </w:r>
    </w:p>
    <w:p w14:paraId="085A381F">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6.1.5</w:t>
      </w:r>
      <w:r>
        <w:rPr>
          <w:rFonts w:hint="eastAsia" w:ascii="宋体" w:hAnsi="宋体" w:eastAsia="宋体" w:cs="宋体"/>
          <w:color w:val="auto"/>
          <w:sz w:val="24"/>
          <w:szCs w:val="24"/>
        </w:rPr>
        <w:t>提出的成交候选供应商的排序名单及理由。</w:t>
      </w:r>
    </w:p>
    <w:p w14:paraId="715516FD">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谈判报告应当由谈判小组全体人员签字认可。谈判小组成员对谈判报告有异议的，谈判小组按照少数服从多数的原则推荐成交候选供应商，采购程序继续进行。对谈判报告有异议的谈判小组成员，应当在报告上签署不同意见并说明理由，由谈判小组书面记录相关情况。谈判小组成员拒绝在报告上签字又不书面说明其不同意见和理由的，视为同意谈判报告。</w:t>
      </w:r>
    </w:p>
    <w:p w14:paraId="6E712272">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6.2</w:t>
      </w:r>
      <w:bookmarkStart w:id="299" w:name="_Toc63084332"/>
      <w:bookmarkStart w:id="300" w:name="_Toc88573273"/>
      <w:bookmarkStart w:id="301" w:name="_Toc54948232"/>
      <w:bookmarkStart w:id="302" w:name="_Toc63437918"/>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谈判异议处理规则</w:t>
      </w:r>
      <w:bookmarkEnd w:id="299"/>
      <w:bookmarkEnd w:id="300"/>
      <w:bookmarkEnd w:id="301"/>
      <w:bookmarkEnd w:id="302"/>
    </w:p>
    <w:p w14:paraId="69069DAC">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color w:val="auto"/>
          <w:sz w:val="24"/>
          <w:szCs w:val="24"/>
        </w:rPr>
        <w:t>在谈判过程中，谈判小组成员对响应文件是否符合谈判文件规定存在争议的，应当以少数服从多数的原则处理，但不得违背谈判文件规定。有不同意见的谈判小组成员认为认定过程和结果不符合法律法规或者谈判文件规定的，应当在谈判报告中予以反映。</w:t>
      </w:r>
    </w:p>
    <w:p w14:paraId="66CAD935">
      <w:pPr>
        <w:pStyle w:val="4"/>
        <w:pageBreakBefore w:val="0"/>
        <w:kinsoku/>
        <w:wordWrap/>
        <w:overflowPunct/>
        <w:topLinePunct w:val="0"/>
        <w:autoSpaceDE/>
        <w:autoSpaceDN/>
        <w:bidi w:val="0"/>
        <w:spacing w:before="0" w:after="0" w:line="560" w:lineRule="exact"/>
        <w:textAlignment w:val="auto"/>
        <w:rPr>
          <w:rFonts w:hint="eastAsia" w:ascii="宋体" w:hAnsi="宋体" w:eastAsia="宋体" w:cs="宋体"/>
          <w:b/>
          <w:bCs/>
          <w:color w:val="auto"/>
          <w:sz w:val="24"/>
          <w:szCs w:val="24"/>
          <w:lang w:val="en-US" w:eastAsia="zh-CN"/>
        </w:rPr>
      </w:pPr>
      <w:bookmarkStart w:id="303" w:name="_Toc54948234"/>
      <w:bookmarkStart w:id="304" w:name="_Toc16784"/>
      <w:bookmarkStart w:id="305" w:name="_Toc88573274"/>
      <w:r>
        <w:rPr>
          <w:rFonts w:hint="eastAsia" w:ascii="宋体" w:hAnsi="宋体" w:eastAsia="宋体" w:cs="宋体"/>
          <w:b/>
          <w:bCs/>
          <w:color w:val="auto"/>
          <w:sz w:val="24"/>
          <w:szCs w:val="24"/>
          <w:lang w:val="en-US" w:eastAsia="zh-CN"/>
        </w:rPr>
        <w:t>7.采购失败情形</w:t>
      </w:r>
      <w:bookmarkEnd w:id="303"/>
      <w:bookmarkEnd w:id="304"/>
      <w:bookmarkEnd w:id="305"/>
    </w:p>
    <w:p w14:paraId="3B6B615E">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有下列情形之一的，本项目采购失败：</w:t>
      </w:r>
    </w:p>
    <w:p w14:paraId="79F7EC4B">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7.1</w:t>
      </w:r>
      <w:r>
        <w:rPr>
          <w:rFonts w:hint="eastAsia" w:ascii="宋体" w:hAnsi="宋体" w:eastAsia="宋体" w:cs="宋体"/>
          <w:color w:val="auto"/>
          <w:sz w:val="24"/>
          <w:szCs w:val="24"/>
        </w:rPr>
        <w:t>因情况变化，不再符合规定的竞争性谈判采购方式适用情形的；</w:t>
      </w:r>
    </w:p>
    <w:p w14:paraId="1C4471E9">
      <w:pPr>
        <w:pageBreakBefore w:val="0"/>
        <w:tabs>
          <w:tab w:val="left" w:pos="851"/>
        </w:tabs>
        <w:kinsoku/>
        <w:wordWrap/>
        <w:overflowPunct/>
        <w:topLinePunct w:val="0"/>
        <w:autoSpaceDE/>
        <w:autoSpaceDN/>
        <w:bidi w:val="0"/>
        <w:snapToGrid w:val="0"/>
        <w:spacing w:line="560" w:lineRule="exact"/>
        <w:ind w:firstLine="484" w:firstLineChars="202"/>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7.2</w:t>
      </w:r>
      <w:r>
        <w:rPr>
          <w:rFonts w:hint="eastAsia" w:ascii="宋体" w:hAnsi="宋体" w:eastAsia="宋体" w:cs="宋体"/>
          <w:color w:val="auto"/>
          <w:sz w:val="24"/>
          <w:szCs w:val="24"/>
        </w:rPr>
        <w:t>出现影响采购公正的违法、违规行为的；</w:t>
      </w:r>
    </w:p>
    <w:p w14:paraId="42F3ECD8">
      <w:pPr>
        <w:pageBreakBefore w:val="0"/>
        <w:tabs>
          <w:tab w:val="left" w:pos="851"/>
        </w:tabs>
        <w:kinsoku/>
        <w:wordWrap/>
        <w:overflowPunct/>
        <w:topLinePunct w:val="0"/>
        <w:autoSpaceDE/>
        <w:autoSpaceDN/>
        <w:bidi w:val="0"/>
        <w:snapToGrid w:val="0"/>
        <w:spacing w:line="560" w:lineRule="exact"/>
        <w:ind w:firstLine="484" w:firstLineChars="202"/>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7.3</w:t>
      </w:r>
      <w:r>
        <w:rPr>
          <w:rFonts w:hint="eastAsia" w:ascii="宋体" w:hAnsi="宋体" w:eastAsia="宋体" w:cs="宋体"/>
          <w:color w:val="auto"/>
          <w:sz w:val="24"/>
          <w:szCs w:val="24"/>
        </w:rPr>
        <w:t>提交首次响应文件的供应商不足三家的；</w:t>
      </w:r>
    </w:p>
    <w:p w14:paraId="2A6AC412">
      <w:pPr>
        <w:pageBreakBefore w:val="0"/>
        <w:tabs>
          <w:tab w:val="left" w:pos="851"/>
        </w:tabs>
        <w:kinsoku/>
        <w:wordWrap/>
        <w:overflowPunct/>
        <w:topLinePunct w:val="0"/>
        <w:autoSpaceDE/>
        <w:autoSpaceDN/>
        <w:bidi w:val="0"/>
        <w:snapToGrid w:val="0"/>
        <w:spacing w:line="560" w:lineRule="exact"/>
        <w:ind w:firstLine="484" w:firstLineChars="202"/>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7.4</w:t>
      </w:r>
      <w:r>
        <w:rPr>
          <w:rFonts w:hint="eastAsia" w:ascii="宋体" w:hAnsi="宋体" w:eastAsia="宋体" w:cs="宋体"/>
          <w:color w:val="auto"/>
          <w:sz w:val="24"/>
          <w:szCs w:val="24"/>
        </w:rPr>
        <w:t>通过资格性审查的供应商不足三家的；</w:t>
      </w:r>
    </w:p>
    <w:p w14:paraId="2A3D3B1C">
      <w:pPr>
        <w:pageBreakBefore w:val="0"/>
        <w:tabs>
          <w:tab w:val="left" w:pos="851"/>
        </w:tabs>
        <w:kinsoku/>
        <w:wordWrap/>
        <w:overflowPunct/>
        <w:topLinePunct w:val="0"/>
        <w:autoSpaceDE/>
        <w:autoSpaceDN/>
        <w:bidi w:val="0"/>
        <w:snapToGrid w:val="0"/>
        <w:spacing w:line="560" w:lineRule="exact"/>
        <w:ind w:firstLine="484" w:firstLineChars="202"/>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7.5</w:t>
      </w:r>
      <w:r>
        <w:rPr>
          <w:rFonts w:hint="eastAsia" w:ascii="宋体" w:hAnsi="宋体" w:eastAsia="宋体" w:cs="宋体"/>
          <w:color w:val="auto"/>
          <w:sz w:val="24"/>
          <w:szCs w:val="24"/>
        </w:rPr>
        <w:t>通过符合性审查的供应商不足三家的；</w:t>
      </w:r>
    </w:p>
    <w:p w14:paraId="13AA994D">
      <w:pPr>
        <w:pageBreakBefore w:val="0"/>
        <w:tabs>
          <w:tab w:val="left" w:pos="851"/>
        </w:tabs>
        <w:kinsoku/>
        <w:wordWrap/>
        <w:overflowPunct/>
        <w:topLinePunct w:val="0"/>
        <w:autoSpaceDE/>
        <w:autoSpaceDN/>
        <w:bidi w:val="0"/>
        <w:snapToGrid w:val="0"/>
        <w:spacing w:line="560" w:lineRule="exact"/>
        <w:ind w:firstLine="484" w:firstLineChars="202"/>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7.6</w:t>
      </w:r>
      <w:r>
        <w:rPr>
          <w:rFonts w:hint="eastAsia" w:ascii="宋体" w:hAnsi="宋体" w:eastAsia="宋体" w:cs="宋体"/>
          <w:color w:val="auto"/>
          <w:sz w:val="24"/>
          <w:szCs w:val="24"/>
        </w:rPr>
        <w:t>提交最后报价的供应商不足三家的；</w:t>
      </w:r>
    </w:p>
    <w:p w14:paraId="00213552">
      <w:pPr>
        <w:pageBreakBefore w:val="0"/>
        <w:tabs>
          <w:tab w:val="left" w:pos="851"/>
        </w:tabs>
        <w:kinsoku/>
        <w:wordWrap/>
        <w:overflowPunct/>
        <w:topLinePunct w:val="0"/>
        <w:autoSpaceDE/>
        <w:autoSpaceDN/>
        <w:bidi w:val="0"/>
        <w:snapToGrid w:val="0"/>
        <w:spacing w:line="560" w:lineRule="exact"/>
        <w:ind w:firstLine="484" w:firstLineChars="202"/>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7.7</w:t>
      </w:r>
      <w:r>
        <w:rPr>
          <w:rFonts w:hint="eastAsia" w:ascii="宋体" w:hAnsi="宋体" w:eastAsia="宋体" w:cs="宋体"/>
          <w:color w:val="auto"/>
          <w:sz w:val="24"/>
          <w:szCs w:val="24"/>
        </w:rPr>
        <w:t>通过最后报价审查的供应商不足三家的。</w:t>
      </w:r>
    </w:p>
    <w:p w14:paraId="0FECA05A">
      <w:pPr>
        <w:pStyle w:val="4"/>
        <w:pageBreakBefore w:val="0"/>
        <w:kinsoku/>
        <w:wordWrap/>
        <w:overflowPunct/>
        <w:topLinePunct w:val="0"/>
        <w:autoSpaceDE/>
        <w:autoSpaceDN/>
        <w:bidi w:val="0"/>
        <w:spacing w:before="0" w:after="0" w:line="560" w:lineRule="exact"/>
        <w:textAlignment w:val="auto"/>
        <w:rPr>
          <w:rFonts w:hint="eastAsia" w:ascii="宋体" w:hAnsi="宋体" w:eastAsia="宋体" w:cs="宋体"/>
          <w:b/>
          <w:bCs/>
          <w:color w:val="auto"/>
          <w:sz w:val="24"/>
          <w:szCs w:val="24"/>
          <w:lang w:val="en-US" w:eastAsia="zh-CN"/>
        </w:rPr>
      </w:pPr>
      <w:bookmarkStart w:id="306" w:name="_Toc10747"/>
      <w:r>
        <w:rPr>
          <w:rFonts w:hint="eastAsia" w:ascii="宋体" w:hAnsi="宋体" w:eastAsia="宋体" w:cs="宋体"/>
          <w:b/>
          <w:bCs/>
          <w:color w:val="auto"/>
          <w:sz w:val="24"/>
          <w:szCs w:val="24"/>
          <w:lang w:val="en-US" w:eastAsia="zh-CN"/>
        </w:rPr>
        <w:t>8.评审纪律</w:t>
      </w:r>
      <w:bookmarkEnd w:id="201"/>
      <w:bookmarkEnd w:id="202"/>
      <w:bookmarkEnd w:id="203"/>
      <w:bookmarkEnd w:id="306"/>
      <w:bookmarkStart w:id="307" w:name="_Hlt101846155"/>
      <w:bookmarkEnd w:id="307"/>
      <w:bookmarkStart w:id="308" w:name="_Toc217446099"/>
      <w:bookmarkStart w:id="309" w:name="_Toc217446059"/>
    </w:p>
    <w:p w14:paraId="3BB6B700">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8.1</w:t>
      </w:r>
      <w:r>
        <w:rPr>
          <w:rFonts w:hint="eastAsia" w:ascii="宋体" w:hAnsi="宋体" w:eastAsia="宋体" w:cs="宋体"/>
          <w:color w:val="auto"/>
          <w:sz w:val="24"/>
          <w:szCs w:val="24"/>
        </w:rPr>
        <w:t>不得参加与自己有《中华人民共和国政府采购法实施条例》第九条规定的利害关系的政府采购项目的评审活动。发现参加了与自己有利害关系的评审活动，须主动提出回避，退出评审；</w:t>
      </w:r>
    </w:p>
    <w:p w14:paraId="651723E0">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8.2</w:t>
      </w:r>
      <w:r>
        <w:rPr>
          <w:rFonts w:hint="eastAsia" w:ascii="宋体" w:hAnsi="宋体" w:eastAsia="宋体" w:cs="宋体"/>
          <w:color w:val="auto"/>
          <w:sz w:val="24"/>
          <w:szCs w:val="24"/>
        </w:rPr>
        <w:t>进入评标区之前应将所有的通信设备存入指定的存放处。评审专家不得以任何方式将通信设备带入评标区，否则将被取消其当次项目的评审资格</w:t>
      </w:r>
      <w:r>
        <w:rPr>
          <w:rFonts w:hint="eastAsia" w:ascii="宋体" w:hAnsi="宋体" w:eastAsia="宋体" w:cs="宋体"/>
          <w:color w:val="auto"/>
          <w:sz w:val="24"/>
          <w:szCs w:val="24"/>
          <w:lang w:eastAsia="zh-CN"/>
        </w:rPr>
        <w:t>；</w:t>
      </w:r>
    </w:p>
    <w:p w14:paraId="6B509E1A">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8.3</w:t>
      </w:r>
      <w:r>
        <w:rPr>
          <w:rFonts w:hint="eastAsia" w:ascii="宋体" w:hAnsi="宋体" w:eastAsia="宋体" w:cs="宋体"/>
          <w:color w:val="auto"/>
          <w:sz w:val="24"/>
          <w:szCs w:val="24"/>
        </w:rPr>
        <w:t>遇特殊情况不能出席或途中遇阻不能按时参加评审或咨询的，应及时告知采购</w:t>
      </w:r>
      <w:r>
        <w:rPr>
          <w:rFonts w:hint="eastAsia" w:ascii="宋体" w:hAnsi="宋体" w:eastAsia="宋体" w:cs="宋体"/>
          <w:color w:val="auto"/>
          <w:sz w:val="24"/>
          <w:szCs w:val="24"/>
          <w:lang w:val="en-US" w:eastAsia="zh-CN"/>
        </w:rPr>
        <w:t>代理机构</w:t>
      </w:r>
      <w:r>
        <w:rPr>
          <w:rFonts w:hint="eastAsia" w:ascii="宋体" w:hAnsi="宋体" w:eastAsia="宋体" w:cs="宋体"/>
          <w:color w:val="auto"/>
          <w:sz w:val="24"/>
          <w:szCs w:val="24"/>
        </w:rPr>
        <w:t>，不得私自转托他人</w:t>
      </w:r>
      <w:r>
        <w:rPr>
          <w:rFonts w:hint="eastAsia" w:ascii="宋体" w:hAnsi="宋体" w:eastAsia="宋体" w:cs="宋体"/>
          <w:color w:val="auto"/>
          <w:sz w:val="24"/>
          <w:szCs w:val="24"/>
          <w:lang w:eastAsia="zh-CN"/>
        </w:rPr>
        <w:t>；</w:t>
      </w:r>
    </w:p>
    <w:p w14:paraId="44A49D47">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8.4</w:t>
      </w:r>
      <w:r>
        <w:rPr>
          <w:rFonts w:hint="eastAsia" w:ascii="宋体" w:hAnsi="宋体" w:eastAsia="宋体" w:cs="宋体"/>
          <w:color w:val="auto"/>
          <w:sz w:val="24"/>
          <w:szCs w:val="24"/>
        </w:rPr>
        <w:t>在评审过程中不得擅离职守，影响评审程序正常进行；</w:t>
      </w:r>
    </w:p>
    <w:p w14:paraId="5CBABAB6">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8.5</w:t>
      </w:r>
      <w:r>
        <w:rPr>
          <w:rFonts w:hint="eastAsia" w:ascii="宋体" w:hAnsi="宋体" w:eastAsia="宋体" w:cs="宋体"/>
          <w:color w:val="auto"/>
          <w:sz w:val="24"/>
          <w:szCs w:val="24"/>
        </w:rPr>
        <w:t>评审过程中，不得与外界联系，因发生不可预见情况，确实需要与外界联系的，应当在监督人员监督之下办理；</w:t>
      </w:r>
    </w:p>
    <w:p w14:paraId="076129C2">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8.6</w:t>
      </w:r>
      <w:r>
        <w:rPr>
          <w:rFonts w:hint="eastAsia" w:ascii="宋体" w:hAnsi="宋体" w:eastAsia="宋体" w:cs="宋体"/>
          <w:color w:val="auto"/>
          <w:sz w:val="24"/>
          <w:szCs w:val="24"/>
        </w:rPr>
        <w:t>评审过程中，不得发表影响评审公正的倾向性、歧视性言论，不得征询或者接受采购人的倾向性意见，不得明示或暗示供应商在澄清时表达与其响应文件原义不同的意见，不得以采购文件没有规定的评审方法和标准作为评审的依据，不得修改或者细化评审程序、评审方法、评审因素和评审标准，不得违规撰写评审意见，不得拒绝对自己的评审意见签字确认；</w:t>
      </w:r>
    </w:p>
    <w:p w14:paraId="1D4B4FA4">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8.7</w:t>
      </w:r>
      <w:r>
        <w:rPr>
          <w:rFonts w:hint="eastAsia" w:ascii="宋体" w:hAnsi="宋体" w:eastAsia="宋体" w:cs="宋体"/>
          <w:color w:val="auto"/>
          <w:sz w:val="24"/>
          <w:szCs w:val="24"/>
        </w:rPr>
        <w:t>在评审过程中和评审结束后，不得记录、复制或带走任何评审资料，不得向外界透露评审内容；</w:t>
      </w:r>
    </w:p>
    <w:p w14:paraId="7335E0B0">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8.8</w:t>
      </w:r>
      <w:r>
        <w:rPr>
          <w:rFonts w:hint="eastAsia" w:ascii="宋体" w:hAnsi="宋体" w:eastAsia="宋体" w:cs="宋体"/>
          <w:color w:val="auto"/>
          <w:sz w:val="24"/>
          <w:szCs w:val="24"/>
        </w:rPr>
        <w:t>评审现场服从采购代理机构工作人员的管理，接受现场监督人员的合法监督；</w:t>
      </w:r>
    </w:p>
    <w:p w14:paraId="7EEEFEA2">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8.9</w:t>
      </w:r>
      <w:r>
        <w:rPr>
          <w:rFonts w:hint="eastAsia" w:ascii="宋体" w:hAnsi="宋体" w:eastAsia="宋体" w:cs="宋体"/>
          <w:color w:val="auto"/>
          <w:sz w:val="24"/>
          <w:szCs w:val="24"/>
        </w:rPr>
        <w:t>遵守有关廉洁自律规定，不得私下接触供应商，不得收受供应商及有关业务单位和个人的财物或好处，不得接受采购代理机构的请托。</w:t>
      </w:r>
    </w:p>
    <w:bookmarkEnd w:id="308"/>
    <w:bookmarkEnd w:id="309"/>
    <w:p w14:paraId="0B3B4848">
      <w:pPr>
        <w:pStyle w:val="62"/>
        <w:pageBreakBefore w:val="0"/>
        <w:kinsoku/>
        <w:wordWrap/>
        <w:overflowPunct/>
        <w:topLinePunct w:val="0"/>
        <w:autoSpaceDE/>
        <w:autoSpaceDN/>
        <w:bidi w:val="0"/>
        <w:spacing w:line="560" w:lineRule="exact"/>
        <w:ind w:left="0" w:leftChars="0" w:firstLine="0" w:firstLineChars="0"/>
        <w:jc w:val="both"/>
        <w:textAlignment w:val="auto"/>
        <w:rPr>
          <w:rFonts w:hint="eastAsia"/>
          <w:color w:val="auto"/>
          <w:sz w:val="44"/>
          <w:szCs w:val="44"/>
          <w:lang w:eastAsia="zh-CN"/>
        </w:rPr>
      </w:pPr>
      <w:bookmarkStart w:id="310" w:name="_Toc13867"/>
      <w:bookmarkStart w:id="311" w:name="_Toc367_WPSOffice_Level1"/>
    </w:p>
    <w:p w14:paraId="02C87AA0">
      <w:pPr>
        <w:pStyle w:val="62"/>
        <w:pageBreakBefore w:val="0"/>
        <w:kinsoku/>
        <w:wordWrap/>
        <w:overflowPunct/>
        <w:topLinePunct w:val="0"/>
        <w:bidi w:val="0"/>
        <w:spacing w:line="560" w:lineRule="exact"/>
        <w:ind w:left="0" w:leftChars="0" w:firstLine="0" w:firstLineChars="0"/>
        <w:jc w:val="both"/>
        <w:textAlignment w:val="auto"/>
        <w:rPr>
          <w:rFonts w:hint="eastAsia"/>
          <w:color w:val="auto"/>
          <w:sz w:val="44"/>
          <w:szCs w:val="44"/>
          <w:lang w:eastAsia="zh-CN"/>
        </w:rPr>
      </w:pPr>
    </w:p>
    <w:p w14:paraId="144AB0E9">
      <w:pPr>
        <w:pStyle w:val="2"/>
        <w:jc w:val="center"/>
        <w:rPr>
          <w:rFonts w:hint="eastAsia"/>
          <w:color w:val="auto"/>
        </w:rPr>
      </w:pPr>
      <w:bookmarkStart w:id="312" w:name="_Toc1275"/>
      <w:bookmarkStart w:id="313" w:name="_Toc3045"/>
      <w:bookmarkStart w:id="314" w:name="_Toc17454"/>
      <w:r>
        <w:rPr>
          <w:rFonts w:hint="eastAsia"/>
          <w:color w:val="auto"/>
          <w:lang w:eastAsia="zh-CN"/>
        </w:rPr>
        <w:t>第六章</w:t>
      </w:r>
      <w:r>
        <w:rPr>
          <w:rFonts w:hint="eastAsia"/>
          <w:color w:val="auto"/>
        </w:rPr>
        <w:t xml:space="preserve">  响应文件格式</w:t>
      </w:r>
      <w:bookmarkEnd w:id="310"/>
      <w:bookmarkEnd w:id="311"/>
      <w:bookmarkEnd w:id="312"/>
      <w:bookmarkEnd w:id="313"/>
      <w:bookmarkEnd w:id="314"/>
    </w:p>
    <w:p w14:paraId="09896E6F">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一、本章所制响应文件格式，除格式中明确将该格式作为实质性要求的，一律不具有强制性。</w:t>
      </w:r>
    </w:p>
    <w:p w14:paraId="75253CC7">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二、本章所制响应文件格式有关表格中的备注栏，由供应商根据自身响应情况作解释性说明，不作为必填项。</w:t>
      </w:r>
    </w:p>
    <w:p w14:paraId="0F352F4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三、本章所制响应文件格式中需要填写的相关内容事项，可能会与本采购项目无关，在不改变响应文件原义、不影响本项目采购需求的情况下，供应商可以不予填写，但应当注明。</w:t>
      </w:r>
    </w:p>
    <w:p w14:paraId="723D879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四、若格式中要求加盖单位公章的，自然人无需盖章，但需要签字。要求法定代表人签字的，适用于主要负责人。</w:t>
      </w:r>
    </w:p>
    <w:p w14:paraId="4BB1829F">
      <w:pPr>
        <w:pStyle w:val="32"/>
        <w:pageBreakBefore w:val="0"/>
        <w:kinsoku/>
        <w:wordWrap/>
        <w:overflowPunct/>
        <w:topLinePunct w:val="0"/>
        <w:bidi w:val="0"/>
        <w:spacing w:line="560" w:lineRule="exact"/>
        <w:ind w:left="0" w:leftChars="0" w:firstLine="0" w:firstLineChars="0"/>
        <w:textAlignment w:val="auto"/>
        <w:rPr>
          <w:rFonts w:hint="eastAsia" w:ascii="宋体" w:hAnsi="宋体" w:eastAsia="宋体" w:cs="宋体"/>
          <w:color w:val="auto"/>
          <w:sz w:val="24"/>
          <w:szCs w:val="24"/>
          <w:lang w:val="en-US" w:eastAsia="zh-CN"/>
        </w:rPr>
      </w:pPr>
    </w:p>
    <w:p w14:paraId="737BCF63">
      <w:pPr>
        <w:keepNext w:val="0"/>
        <w:keepLines w:val="0"/>
        <w:pageBreakBefore w:val="0"/>
        <w:widowControl w:val="0"/>
        <w:kinsoku/>
        <w:wordWrap/>
        <w:overflowPunct/>
        <w:topLinePunct w:val="0"/>
        <w:autoSpaceDE/>
        <w:autoSpaceDN/>
        <w:bidi w:val="0"/>
        <w:adjustRightInd/>
        <w:snapToGrid/>
        <w:spacing w:line="560" w:lineRule="exact"/>
        <w:ind w:right="0" w:rightChars="0" w:firstLine="3080" w:firstLineChars="1100"/>
        <w:jc w:val="both"/>
        <w:textAlignment w:val="auto"/>
        <w:rPr>
          <w:rFonts w:hint="default" w:ascii="宋体" w:hAnsi="宋体" w:eastAsia="宋体" w:cs="宋体"/>
          <w:b/>
          <w:bCs/>
          <w:color w:val="auto"/>
          <w:sz w:val="28"/>
          <w:szCs w:val="28"/>
          <w:lang w:val="en-US" w:eastAsia="zh-CN"/>
        </w:rPr>
      </w:pPr>
      <w:bookmarkStart w:id="315" w:name="_Toc26424"/>
      <w:bookmarkStart w:id="316" w:name="_Toc17774"/>
      <w:bookmarkStart w:id="317" w:name="_Toc24176_WPSOffice_Level2"/>
      <w:bookmarkStart w:id="318" w:name="_Toc25829"/>
      <w:r>
        <w:rPr>
          <w:rFonts w:hint="eastAsia" w:ascii="宋体" w:hAnsi="宋体" w:eastAsia="宋体" w:cs="宋体"/>
          <w:b/>
          <w:bCs/>
          <w:color w:val="auto"/>
          <w:sz w:val="28"/>
          <w:szCs w:val="28"/>
          <w:lang w:val="en-US" w:eastAsia="zh-CN"/>
        </w:rPr>
        <w:t>响应文件格式目录</w:t>
      </w:r>
    </w:p>
    <w:p w14:paraId="332020C6">
      <w:pPr>
        <w:bidi w:val="0"/>
        <w:jc w:val="center"/>
        <w:rPr>
          <w:rFonts w:hint="eastAsia"/>
          <w:b/>
          <w:bCs/>
          <w:color w:val="auto"/>
          <w:sz w:val="28"/>
          <w:szCs w:val="28"/>
          <w:lang w:val="en-US" w:eastAsia="zh-CN"/>
        </w:rPr>
      </w:pPr>
      <w:r>
        <w:rPr>
          <w:rFonts w:hint="eastAsia"/>
          <w:b/>
          <w:bCs/>
          <w:color w:val="auto"/>
          <w:sz w:val="28"/>
          <w:szCs w:val="28"/>
          <w:lang w:val="en-US" w:eastAsia="zh-CN"/>
        </w:rPr>
        <w:t>第一部分 报价要求响应文件</w:t>
      </w:r>
      <w:bookmarkEnd w:id="315"/>
      <w:bookmarkEnd w:id="316"/>
      <w:bookmarkEnd w:id="317"/>
      <w:bookmarkEnd w:id="318"/>
    </w:p>
    <w:p w14:paraId="13642C74">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en-US" w:eastAsia="zh-CN"/>
        </w:rPr>
      </w:pPr>
      <w:bookmarkStart w:id="319" w:name="_Toc8552"/>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格式1-1：报价表（实质性要求）</w:t>
      </w:r>
      <w:bookmarkEnd w:id="319"/>
    </w:p>
    <w:p w14:paraId="4EA6DD1C">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en-US" w:eastAsia="zh-CN"/>
        </w:rPr>
      </w:pPr>
      <w:bookmarkStart w:id="320" w:name="_Toc24643"/>
      <w:r>
        <w:rPr>
          <w:rFonts w:hint="eastAsia" w:ascii="宋体" w:hAnsi="宋体" w:eastAsia="宋体" w:cs="宋体"/>
          <w:color w:val="auto"/>
          <w:sz w:val="24"/>
          <w:szCs w:val="24"/>
          <w:lang w:val="zh-CN" w:eastAsia="zh-CN"/>
        </w:rPr>
        <w:t>★格式</w:t>
      </w: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分项价格明细</w:t>
      </w:r>
      <w:r>
        <w:rPr>
          <w:rFonts w:hint="eastAsia" w:ascii="宋体" w:hAnsi="宋体" w:eastAsia="宋体" w:cs="宋体"/>
          <w:color w:val="auto"/>
          <w:sz w:val="24"/>
          <w:szCs w:val="24"/>
          <w:lang w:val="zh-CN" w:eastAsia="zh-CN"/>
        </w:rPr>
        <w:t>表</w:t>
      </w:r>
      <w:r>
        <w:rPr>
          <w:rFonts w:hint="eastAsia" w:ascii="宋体" w:hAnsi="宋体" w:eastAsia="宋体" w:cs="宋体"/>
          <w:color w:val="auto"/>
          <w:sz w:val="24"/>
          <w:szCs w:val="24"/>
          <w:lang w:val="en-US" w:eastAsia="zh-CN"/>
        </w:rPr>
        <w:t>（实质性要求）</w:t>
      </w:r>
      <w:bookmarkEnd w:id="320"/>
      <w:bookmarkStart w:id="321" w:name="_Toc6940"/>
      <w:bookmarkStart w:id="322" w:name="_Toc15180_WPSOffice_Level2"/>
      <w:bookmarkStart w:id="323" w:name="_Toc22783"/>
      <w:bookmarkStart w:id="324" w:name="_Toc9090"/>
    </w:p>
    <w:p w14:paraId="21011AE8">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格式1-3：</w:t>
      </w:r>
      <w:r>
        <w:rPr>
          <w:rFonts w:hint="eastAsia" w:ascii="宋体" w:hAnsi="宋体" w:eastAsia="宋体" w:cs="宋体"/>
          <w:color w:val="auto"/>
          <w:sz w:val="24"/>
          <w:szCs w:val="24"/>
          <w:lang w:val="zh-CN" w:eastAsia="zh-CN"/>
        </w:rPr>
        <w:t>最</w:t>
      </w:r>
      <w:r>
        <w:rPr>
          <w:rFonts w:hint="eastAsia" w:ascii="宋体" w:hAnsi="宋体" w:eastAsia="宋体" w:cs="宋体"/>
          <w:color w:val="auto"/>
          <w:sz w:val="24"/>
          <w:szCs w:val="24"/>
          <w:lang w:val="en-US" w:eastAsia="zh-CN"/>
        </w:rPr>
        <w:t>终</w:t>
      </w:r>
      <w:r>
        <w:rPr>
          <w:rFonts w:hint="eastAsia" w:ascii="宋体" w:hAnsi="宋体" w:eastAsia="宋体" w:cs="宋体"/>
          <w:color w:val="auto"/>
          <w:sz w:val="24"/>
          <w:szCs w:val="24"/>
          <w:lang w:val="zh-CN" w:eastAsia="zh-CN"/>
        </w:rPr>
        <w:t>报价明细表</w:t>
      </w:r>
      <w:r>
        <w:rPr>
          <w:rFonts w:hint="eastAsia"/>
          <w:b/>
          <w:bCs/>
          <w:color w:val="auto"/>
          <w:sz w:val="24"/>
          <w:szCs w:val="24"/>
          <w:lang w:val="zh-CN" w:eastAsia="zh-CN"/>
        </w:rPr>
        <w:t>（</w:t>
      </w:r>
      <w:r>
        <w:rPr>
          <w:rFonts w:hint="eastAsia"/>
          <w:b/>
          <w:bCs/>
          <w:color w:val="auto"/>
          <w:sz w:val="24"/>
          <w:szCs w:val="24"/>
          <w:lang w:val="en-US" w:eastAsia="zh-CN"/>
        </w:rPr>
        <w:t>在收到二轮报价通知后，在二轮报价界面附件上传此表</w:t>
      </w:r>
      <w:r>
        <w:rPr>
          <w:rFonts w:hint="eastAsia"/>
          <w:b/>
          <w:bCs/>
          <w:color w:val="auto"/>
          <w:sz w:val="24"/>
          <w:szCs w:val="24"/>
          <w:lang w:val="zh-CN" w:eastAsia="zh-CN"/>
        </w:rPr>
        <w:t>）</w:t>
      </w:r>
    </w:p>
    <w:p w14:paraId="7F91DBFD">
      <w:pPr>
        <w:bidi w:val="0"/>
        <w:jc w:val="left"/>
        <w:rPr>
          <w:rFonts w:hint="eastAsia"/>
          <w:b/>
          <w:bCs/>
          <w:color w:val="auto"/>
          <w:sz w:val="28"/>
          <w:szCs w:val="28"/>
          <w:lang w:val="en-US" w:eastAsia="zh-CN"/>
        </w:rPr>
      </w:pPr>
    </w:p>
    <w:p w14:paraId="594B8417">
      <w:pPr>
        <w:bidi w:val="0"/>
        <w:jc w:val="center"/>
        <w:rPr>
          <w:rFonts w:hint="eastAsia"/>
          <w:b/>
          <w:bCs/>
          <w:color w:val="auto"/>
          <w:sz w:val="28"/>
          <w:szCs w:val="28"/>
          <w:lang w:val="en-US" w:eastAsia="zh-CN"/>
        </w:rPr>
      </w:pPr>
      <w:r>
        <w:rPr>
          <w:rFonts w:hint="eastAsia"/>
          <w:b/>
          <w:bCs/>
          <w:color w:val="auto"/>
          <w:sz w:val="28"/>
          <w:szCs w:val="28"/>
          <w:lang w:val="en-US" w:eastAsia="zh-CN"/>
        </w:rPr>
        <w:t>第二部分 资格证明文件</w:t>
      </w:r>
      <w:bookmarkEnd w:id="321"/>
      <w:bookmarkEnd w:id="322"/>
      <w:bookmarkEnd w:id="323"/>
      <w:bookmarkEnd w:id="324"/>
    </w:p>
    <w:p w14:paraId="1ACDFBD4">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en-US" w:eastAsia="zh-CN"/>
        </w:rPr>
      </w:pPr>
      <w:bookmarkStart w:id="325" w:name="_Toc1343"/>
      <w:r>
        <w:rPr>
          <w:rFonts w:hint="eastAsia" w:ascii="宋体" w:hAnsi="宋体" w:eastAsia="宋体" w:cs="宋体"/>
          <w:color w:val="auto"/>
          <w:sz w:val="24"/>
          <w:szCs w:val="24"/>
          <w:lang w:val="en-US" w:eastAsia="zh-CN"/>
        </w:rPr>
        <w:t>格式2-1：供应商应具有独立承担民事责任的能力的证明材料</w:t>
      </w:r>
      <w:bookmarkEnd w:id="325"/>
    </w:p>
    <w:p w14:paraId="42758B39">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en-US" w:eastAsia="zh-CN"/>
        </w:rPr>
      </w:pPr>
      <w:bookmarkStart w:id="326" w:name="_Toc13310"/>
      <w:r>
        <w:rPr>
          <w:rFonts w:hint="eastAsia" w:ascii="宋体" w:hAnsi="宋体" w:eastAsia="宋体" w:cs="宋体"/>
          <w:color w:val="auto"/>
          <w:sz w:val="24"/>
          <w:szCs w:val="24"/>
          <w:lang w:val="en-US" w:eastAsia="zh-CN"/>
        </w:rPr>
        <w:t>格式2-2：供应商缴纳税收证明材料</w:t>
      </w:r>
      <w:bookmarkEnd w:id="326"/>
    </w:p>
    <w:p w14:paraId="22FFAE93">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en-US" w:eastAsia="zh-CN"/>
        </w:rPr>
      </w:pPr>
      <w:bookmarkStart w:id="327" w:name="_Toc26813"/>
      <w:r>
        <w:rPr>
          <w:rFonts w:hint="eastAsia" w:ascii="宋体" w:hAnsi="宋体" w:eastAsia="宋体" w:cs="宋体"/>
          <w:color w:val="auto"/>
          <w:sz w:val="24"/>
          <w:szCs w:val="24"/>
          <w:lang w:val="en-US" w:eastAsia="zh-CN"/>
        </w:rPr>
        <w:t>格式2-3：供应商缴纳社保证明材料</w:t>
      </w:r>
      <w:bookmarkEnd w:id="327"/>
    </w:p>
    <w:p w14:paraId="4E7CC037">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en-US" w:eastAsia="zh-CN"/>
        </w:rPr>
      </w:pPr>
      <w:bookmarkStart w:id="328" w:name="_Toc11841"/>
      <w:r>
        <w:rPr>
          <w:rFonts w:hint="eastAsia" w:ascii="宋体" w:hAnsi="宋体" w:eastAsia="宋体" w:cs="宋体"/>
          <w:color w:val="auto"/>
          <w:sz w:val="24"/>
          <w:szCs w:val="24"/>
          <w:lang w:val="en-US" w:eastAsia="zh-CN"/>
        </w:rPr>
        <w:t>格式2-4：具有健全的财务会计制度</w:t>
      </w:r>
      <w:bookmarkEnd w:id="328"/>
    </w:p>
    <w:p w14:paraId="27F1F7D8">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en-US" w:eastAsia="zh-CN"/>
        </w:rPr>
      </w:pPr>
      <w:bookmarkStart w:id="329" w:name="_Toc32349"/>
      <w:r>
        <w:rPr>
          <w:rFonts w:hint="eastAsia" w:ascii="宋体" w:hAnsi="宋体" w:eastAsia="宋体" w:cs="宋体"/>
          <w:color w:val="auto"/>
          <w:sz w:val="24"/>
          <w:szCs w:val="24"/>
          <w:lang w:val="en-US" w:eastAsia="zh-CN"/>
        </w:rPr>
        <w:t>格式2-5：具有良好的商业信誉</w:t>
      </w:r>
      <w:bookmarkEnd w:id="329"/>
    </w:p>
    <w:p w14:paraId="69DFE226">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zh-CN" w:eastAsia="zh-CN"/>
        </w:rPr>
      </w:pPr>
      <w:bookmarkStart w:id="330" w:name="_Toc2111"/>
      <w:r>
        <w:rPr>
          <w:rFonts w:hint="eastAsia" w:ascii="宋体" w:hAnsi="宋体" w:eastAsia="宋体" w:cs="宋体"/>
          <w:color w:val="auto"/>
          <w:sz w:val="24"/>
          <w:szCs w:val="24"/>
          <w:lang w:val="zh-CN" w:eastAsia="zh-CN"/>
        </w:rPr>
        <w:t>格式2-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val="zh-CN" w:eastAsia="zh-CN"/>
        </w:rPr>
        <w:t>：法定代表人</w:t>
      </w:r>
      <w:r>
        <w:rPr>
          <w:rFonts w:hint="eastAsia" w:ascii="宋体" w:hAnsi="宋体" w:eastAsia="宋体" w:cs="宋体"/>
          <w:color w:val="auto"/>
          <w:sz w:val="24"/>
          <w:szCs w:val="24"/>
          <w:lang w:val="en-US" w:eastAsia="zh-CN"/>
        </w:rPr>
        <w:t>或主要负责人</w:t>
      </w:r>
      <w:r>
        <w:rPr>
          <w:rFonts w:hint="eastAsia" w:ascii="宋体" w:hAnsi="宋体" w:eastAsia="宋体" w:cs="宋体"/>
          <w:color w:val="auto"/>
          <w:sz w:val="24"/>
          <w:szCs w:val="24"/>
          <w:lang w:val="zh-CN" w:eastAsia="zh-CN"/>
        </w:rPr>
        <w:t>资格证明书</w:t>
      </w:r>
      <w:bookmarkEnd w:id="330"/>
    </w:p>
    <w:p w14:paraId="09791C21">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en-US" w:eastAsia="zh-CN"/>
        </w:rPr>
      </w:pPr>
      <w:bookmarkStart w:id="331" w:name="_Toc10093"/>
      <w:r>
        <w:rPr>
          <w:rFonts w:hint="eastAsia" w:ascii="宋体" w:hAnsi="宋体" w:eastAsia="宋体" w:cs="宋体"/>
          <w:color w:val="auto"/>
          <w:sz w:val="24"/>
          <w:szCs w:val="24"/>
          <w:lang w:val="en-US" w:eastAsia="zh-CN"/>
        </w:rPr>
        <w:t>格式2-7：法定代表人或负责人授权委托书</w:t>
      </w:r>
      <w:bookmarkEnd w:id="331"/>
    </w:p>
    <w:p w14:paraId="47333A77">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zh-CN" w:eastAsia="zh-CN"/>
        </w:rPr>
      </w:pPr>
      <w:bookmarkStart w:id="332" w:name="_Toc20760"/>
      <w:r>
        <w:rPr>
          <w:rFonts w:hint="eastAsia" w:ascii="宋体" w:hAnsi="宋体" w:eastAsia="宋体" w:cs="宋体"/>
          <w:color w:val="auto"/>
          <w:sz w:val="24"/>
          <w:szCs w:val="24"/>
          <w:lang w:val="zh-CN" w:eastAsia="zh-CN"/>
        </w:rPr>
        <w:t>格式2-</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val="zh-CN" w:eastAsia="zh-CN"/>
        </w:rPr>
        <w:t>：本项目要求供应商应具备的特定条件</w:t>
      </w:r>
      <w:bookmarkEnd w:id="332"/>
      <w:r>
        <w:rPr>
          <w:rFonts w:hint="eastAsia" w:ascii="宋体" w:hAnsi="宋体" w:cs="宋体"/>
          <w:color w:val="auto"/>
          <w:sz w:val="24"/>
          <w:szCs w:val="24"/>
          <w:lang w:val="zh-CN" w:eastAsia="zh-CN"/>
        </w:rPr>
        <w:t>（</w:t>
      </w:r>
      <w:r>
        <w:rPr>
          <w:rFonts w:hint="eastAsia" w:ascii="宋体" w:hAnsi="宋体" w:eastAsia="宋体" w:cs="宋体"/>
          <w:b/>
          <w:bCs/>
          <w:color w:val="auto"/>
          <w:sz w:val="24"/>
          <w:szCs w:val="24"/>
          <w:lang w:val="en-US" w:eastAsia="zh-CN"/>
        </w:rPr>
        <w:t>如不涉及请忽略此项</w:t>
      </w:r>
      <w:r>
        <w:rPr>
          <w:rFonts w:hint="eastAsia" w:ascii="宋体" w:hAnsi="宋体" w:cs="宋体"/>
          <w:b/>
          <w:bCs/>
          <w:color w:val="auto"/>
          <w:sz w:val="24"/>
          <w:szCs w:val="24"/>
          <w:lang w:val="en-US" w:eastAsia="zh-CN"/>
        </w:rPr>
        <w:t>）</w:t>
      </w:r>
    </w:p>
    <w:p w14:paraId="7E65EBD6">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zh-CN" w:eastAsia="zh-CN"/>
        </w:rPr>
      </w:pPr>
      <w:bookmarkStart w:id="333" w:name="_Toc17767"/>
      <w:r>
        <w:rPr>
          <w:rFonts w:hint="eastAsia" w:ascii="宋体" w:hAnsi="宋体" w:eastAsia="宋体" w:cs="宋体"/>
          <w:color w:val="auto"/>
          <w:sz w:val="24"/>
          <w:szCs w:val="24"/>
          <w:lang w:val="zh-CN" w:eastAsia="zh-CN"/>
        </w:rPr>
        <w:t>格式2-</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val="zh-CN" w:eastAsia="zh-CN"/>
        </w:rPr>
        <w:t>：</w:t>
      </w:r>
      <w:bookmarkEnd w:id="333"/>
      <w:bookmarkStart w:id="334" w:name="_Toc27707"/>
      <w:bookmarkStart w:id="335" w:name="_Toc16768"/>
      <w:bookmarkStart w:id="336" w:name="_Toc2436"/>
      <w:bookmarkStart w:id="337" w:name="_Toc26756_WPSOffice_Level2"/>
      <w:r>
        <w:rPr>
          <w:rFonts w:hint="eastAsia" w:ascii="宋体" w:hAnsi="宋体" w:eastAsia="宋体" w:cs="宋体"/>
          <w:color w:val="auto"/>
          <w:sz w:val="24"/>
          <w:szCs w:val="24"/>
          <w:lang w:val="en-US" w:eastAsia="zh-CN"/>
        </w:rPr>
        <w:t>具有履行合同所必须的设备和专业技术能力证明材料或承诺</w:t>
      </w:r>
    </w:p>
    <w:p w14:paraId="46CA8546">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格式2-10：其它</w:t>
      </w:r>
    </w:p>
    <w:p w14:paraId="2EFA6EBA">
      <w:pPr>
        <w:bidi w:val="0"/>
        <w:jc w:val="center"/>
        <w:rPr>
          <w:rFonts w:hint="eastAsia" w:eastAsia="宋体"/>
          <w:b/>
          <w:bCs/>
          <w:color w:val="auto"/>
          <w:sz w:val="28"/>
          <w:szCs w:val="28"/>
          <w:lang w:val="en-US" w:eastAsia="zh-CN"/>
        </w:rPr>
      </w:pPr>
      <w:r>
        <w:rPr>
          <w:rFonts w:hint="eastAsia" w:eastAsia="宋体"/>
          <w:b/>
          <w:bCs/>
          <w:color w:val="auto"/>
          <w:sz w:val="28"/>
          <w:szCs w:val="28"/>
          <w:lang w:val="en-US" w:eastAsia="zh-CN"/>
        </w:rPr>
        <w:t>第三部分 商务技术响应文件</w:t>
      </w:r>
      <w:bookmarkEnd w:id="334"/>
      <w:bookmarkEnd w:id="335"/>
      <w:bookmarkEnd w:id="336"/>
      <w:bookmarkEnd w:id="337"/>
    </w:p>
    <w:p w14:paraId="57FAC4F7">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en-US" w:eastAsia="zh-CN"/>
        </w:rPr>
      </w:pPr>
      <w:bookmarkStart w:id="338" w:name="_Toc1691"/>
      <w:r>
        <w:rPr>
          <w:rFonts w:hint="eastAsia" w:ascii="宋体" w:hAnsi="宋体" w:eastAsia="宋体" w:cs="宋体"/>
          <w:color w:val="auto"/>
          <w:sz w:val="24"/>
          <w:szCs w:val="24"/>
          <w:lang w:val="en-US" w:eastAsia="zh-CN"/>
        </w:rPr>
        <w:t>★格式3-1：承诺函（实质性要求）</w:t>
      </w:r>
      <w:bookmarkEnd w:id="338"/>
    </w:p>
    <w:p w14:paraId="62E851FE">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en-US" w:eastAsia="zh-CN"/>
        </w:rPr>
      </w:pPr>
      <w:bookmarkStart w:id="339" w:name="_Toc12732"/>
      <w:r>
        <w:rPr>
          <w:rFonts w:hint="eastAsia" w:ascii="宋体" w:hAnsi="宋体" w:eastAsia="宋体" w:cs="宋体"/>
          <w:color w:val="auto"/>
          <w:sz w:val="24"/>
          <w:szCs w:val="24"/>
          <w:lang w:val="en-US" w:eastAsia="zh-CN"/>
        </w:rPr>
        <w:t>格式3-2：供应商信息表</w:t>
      </w:r>
      <w:bookmarkEnd w:id="339"/>
    </w:p>
    <w:p w14:paraId="1620CEDD">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en-US" w:eastAsia="zh-CN"/>
        </w:rPr>
      </w:pPr>
      <w:bookmarkStart w:id="340" w:name="_Toc29532"/>
      <w:r>
        <w:rPr>
          <w:rFonts w:hint="eastAsia" w:ascii="宋体" w:hAnsi="宋体" w:eastAsia="宋体" w:cs="宋体"/>
          <w:color w:val="auto"/>
          <w:sz w:val="24"/>
          <w:szCs w:val="24"/>
          <w:lang w:val="en-US" w:eastAsia="zh-CN"/>
        </w:rPr>
        <w:t>★格式3-3：技术、服务要求应答表（实质性要求）</w:t>
      </w:r>
      <w:bookmarkEnd w:id="340"/>
    </w:p>
    <w:p w14:paraId="5AEE41B3">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en-US" w:eastAsia="zh-CN"/>
        </w:rPr>
      </w:pPr>
      <w:bookmarkStart w:id="341" w:name="_Toc9957"/>
      <w:r>
        <w:rPr>
          <w:rFonts w:hint="eastAsia" w:ascii="宋体" w:hAnsi="宋体" w:eastAsia="宋体" w:cs="宋体"/>
          <w:color w:val="auto"/>
          <w:sz w:val="24"/>
          <w:szCs w:val="24"/>
          <w:lang w:val="en-US" w:eastAsia="zh-CN"/>
        </w:rPr>
        <w:t>★格式3-4：商务条款偏离表（实质性要求）</w:t>
      </w:r>
      <w:bookmarkEnd w:id="341"/>
    </w:p>
    <w:p w14:paraId="5B626522">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en-US" w:eastAsia="zh-CN"/>
        </w:rPr>
      </w:pPr>
      <w:bookmarkStart w:id="342" w:name="_Toc7866"/>
      <w:r>
        <w:rPr>
          <w:rFonts w:hint="eastAsia" w:ascii="宋体" w:hAnsi="宋体" w:eastAsia="宋体" w:cs="宋体"/>
          <w:color w:val="auto"/>
          <w:sz w:val="24"/>
          <w:szCs w:val="24"/>
          <w:lang w:val="en-US" w:eastAsia="zh-CN"/>
        </w:rPr>
        <w:t>格式3-5：供应商类似项目业绩一览表</w:t>
      </w:r>
      <w:bookmarkEnd w:id="342"/>
    </w:p>
    <w:p w14:paraId="6E524283">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en-US" w:eastAsia="zh-CN"/>
        </w:rPr>
      </w:pPr>
      <w:bookmarkStart w:id="343" w:name="_Toc19679"/>
      <w:r>
        <w:rPr>
          <w:rFonts w:hint="eastAsia" w:ascii="宋体" w:hAnsi="宋体" w:eastAsia="宋体" w:cs="宋体"/>
          <w:color w:val="auto"/>
          <w:sz w:val="24"/>
          <w:szCs w:val="24"/>
          <w:lang w:val="en-US" w:eastAsia="zh-CN"/>
        </w:rPr>
        <w:t>格式3-6：供应商本项目管理、技术、服务人员情况表</w:t>
      </w:r>
      <w:bookmarkEnd w:id="343"/>
    </w:p>
    <w:p w14:paraId="6446C8FC">
      <w:pPr>
        <w:keepNext w:val="0"/>
        <w:keepLines w:val="0"/>
        <w:pageBreakBefore w:val="0"/>
        <w:widowControl w:val="0"/>
        <w:kinsoku/>
        <w:wordWrap/>
        <w:overflowPunct/>
        <w:topLinePunct w:val="0"/>
        <w:autoSpaceDE/>
        <w:autoSpaceDN/>
        <w:bidi w:val="0"/>
        <w:adjustRightInd/>
        <w:snapToGrid/>
        <w:spacing w:line="560" w:lineRule="exact"/>
        <w:ind w:left="0" w:firstLine="0" w:firstLineChars="0"/>
        <w:textAlignment w:val="auto"/>
        <w:rPr>
          <w:rFonts w:hint="eastAsia" w:ascii="宋体" w:hAnsi="宋体" w:eastAsia="宋体" w:cs="宋体"/>
          <w:color w:val="auto"/>
          <w:sz w:val="24"/>
          <w:szCs w:val="24"/>
          <w:lang w:val="en-US" w:eastAsia="zh-CN"/>
        </w:rPr>
      </w:pPr>
      <w:bookmarkStart w:id="344" w:name="_Toc23218"/>
      <w:r>
        <w:rPr>
          <w:rFonts w:hint="eastAsia" w:ascii="宋体" w:hAnsi="宋体" w:eastAsia="宋体" w:cs="宋体"/>
          <w:color w:val="auto"/>
          <w:sz w:val="24"/>
          <w:szCs w:val="24"/>
          <w:lang w:val="en-US" w:eastAsia="zh-CN"/>
        </w:rPr>
        <w:t>格式3-7：中小企业声明函、残疾人福利性单位声明函、监狱企业声明函</w:t>
      </w:r>
      <w:bookmarkEnd w:id="344"/>
      <w:r>
        <w:rPr>
          <w:rFonts w:hint="eastAsia" w:ascii="宋体" w:hAnsi="宋体" w:eastAsia="宋体" w:cs="宋体"/>
          <w:color w:val="auto"/>
          <w:sz w:val="24"/>
          <w:szCs w:val="24"/>
          <w:lang w:val="en-US" w:eastAsia="zh-CN"/>
        </w:rPr>
        <w:t>、关于符合本国产品标准的声明函</w:t>
      </w:r>
      <w:bookmarkStart w:id="345" w:name="_Toc7394"/>
    </w:p>
    <w:p w14:paraId="702864BF">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格式3-8：小型微型企业产品、环境标志产品、节能产品、进口产品明细表</w:t>
      </w:r>
      <w:bookmarkEnd w:id="345"/>
    </w:p>
    <w:p w14:paraId="2A497141">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en-US" w:eastAsia="zh-CN"/>
        </w:rPr>
      </w:pPr>
      <w:bookmarkStart w:id="346" w:name="_Toc13832"/>
      <w:r>
        <w:rPr>
          <w:rFonts w:hint="eastAsia" w:ascii="宋体" w:hAnsi="宋体" w:eastAsia="宋体" w:cs="宋体"/>
          <w:color w:val="auto"/>
          <w:sz w:val="24"/>
          <w:szCs w:val="24"/>
          <w:lang w:val="en-US" w:eastAsia="zh-CN"/>
        </w:rPr>
        <w:t>格式3-9：项目实施方案</w:t>
      </w:r>
      <w:bookmarkEnd w:id="346"/>
    </w:p>
    <w:p w14:paraId="27EE22A9">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en-US" w:eastAsia="zh-CN"/>
        </w:rPr>
      </w:pPr>
      <w:bookmarkStart w:id="347" w:name="_Toc9061"/>
      <w:r>
        <w:rPr>
          <w:rFonts w:hint="eastAsia" w:ascii="宋体" w:hAnsi="宋体" w:eastAsia="宋体" w:cs="宋体"/>
          <w:color w:val="auto"/>
          <w:sz w:val="24"/>
          <w:szCs w:val="24"/>
          <w:lang w:val="en-US" w:eastAsia="zh-CN"/>
        </w:rPr>
        <w:t>格式3-10</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售后服务</w:t>
      </w:r>
      <w:r>
        <w:rPr>
          <w:rFonts w:hint="eastAsia" w:ascii="宋体" w:hAnsi="宋体" w:cs="宋体"/>
          <w:color w:val="auto"/>
          <w:sz w:val="24"/>
          <w:szCs w:val="24"/>
          <w:lang w:val="en-US" w:eastAsia="zh-CN"/>
        </w:rPr>
        <w:t>方案</w:t>
      </w:r>
      <w:r>
        <w:rPr>
          <w:rFonts w:hint="eastAsia" w:ascii="宋体" w:hAnsi="宋体" w:eastAsia="宋体" w:cs="宋体"/>
          <w:color w:val="auto"/>
          <w:sz w:val="24"/>
          <w:szCs w:val="24"/>
          <w:lang w:val="en-US" w:eastAsia="zh-CN"/>
        </w:rPr>
        <w:t>及承诺</w:t>
      </w:r>
      <w:bookmarkEnd w:id="347"/>
    </w:p>
    <w:p w14:paraId="169CC0CD">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default" w:ascii="宋体" w:hAnsi="宋体" w:eastAsia="宋体" w:cs="宋体"/>
          <w:color w:val="auto"/>
          <w:sz w:val="24"/>
          <w:szCs w:val="24"/>
          <w:lang w:val="en-US" w:eastAsia="zh-CN"/>
        </w:rPr>
      </w:pPr>
      <w:bookmarkStart w:id="348" w:name="_Toc26894"/>
      <w:r>
        <w:rPr>
          <w:rFonts w:hint="eastAsia" w:ascii="宋体" w:hAnsi="宋体" w:eastAsia="宋体" w:cs="宋体"/>
          <w:color w:val="auto"/>
          <w:sz w:val="24"/>
          <w:szCs w:val="24"/>
          <w:lang w:val="en-US" w:eastAsia="zh-CN"/>
        </w:rPr>
        <w:t>★格式3-11：</w:t>
      </w:r>
      <w:r>
        <w:rPr>
          <w:rFonts w:hint="eastAsia" w:ascii="宋体" w:hAnsi="宋体" w:cs="宋体"/>
          <w:color w:val="auto"/>
          <w:sz w:val="24"/>
          <w:szCs w:val="24"/>
          <w:lang w:val="en-US" w:eastAsia="zh-CN"/>
        </w:rPr>
        <w:t>报价表</w:t>
      </w:r>
    </w:p>
    <w:p w14:paraId="51A72E39">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格式3-12：</w:t>
      </w:r>
      <w:r>
        <w:rPr>
          <w:rFonts w:hint="eastAsia" w:ascii="宋体" w:hAnsi="宋体" w:eastAsia="宋体" w:cs="宋体"/>
          <w:color w:val="auto"/>
          <w:sz w:val="24"/>
          <w:szCs w:val="24"/>
          <w:lang w:val="en-US" w:eastAsia="zh-CN"/>
        </w:rPr>
        <w:t>其他需要补充的证明材料</w:t>
      </w:r>
      <w:bookmarkEnd w:id="348"/>
    </w:p>
    <w:p w14:paraId="0DC19483">
      <w:pPr>
        <w:pStyle w:val="7"/>
        <w:pageBreakBefore w:val="0"/>
        <w:widowControl w:val="0"/>
        <w:kinsoku/>
        <w:wordWrap/>
        <w:overflowPunct/>
        <w:topLinePunct w:val="0"/>
        <w:autoSpaceDE/>
        <w:autoSpaceDN/>
        <w:bidi w:val="0"/>
        <w:adjustRightInd/>
        <w:snapToGrid/>
        <w:spacing w:line="560" w:lineRule="exact"/>
        <w:ind w:right="0" w:rightChars="0"/>
        <w:textAlignment w:val="auto"/>
        <w:rPr>
          <w:rFonts w:hint="eastAsia" w:ascii="宋体" w:hAnsi="宋体" w:eastAsia="宋体" w:cs="宋体"/>
          <w:b w:val="0"/>
          <w:bCs w:val="0"/>
          <w:color w:val="auto"/>
          <w:sz w:val="24"/>
          <w:szCs w:val="24"/>
          <w:lang w:val="en-US" w:eastAsia="zh-CN"/>
        </w:rPr>
      </w:pPr>
    </w:p>
    <w:p w14:paraId="2E540FDD">
      <w:pPr>
        <w:pStyle w:val="3"/>
        <w:pageBreakBefore w:val="0"/>
        <w:kinsoku/>
        <w:wordWrap/>
        <w:overflowPunct/>
        <w:topLinePunct w:val="0"/>
        <w:bidi w:val="0"/>
        <w:spacing w:before="0" w:after="0" w:line="560" w:lineRule="exact"/>
        <w:jc w:val="center"/>
        <w:textAlignment w:val="auto"/>
        <w:rPr>
          <w:rFonts w:hint="eastAsia" w:ascii="宋体" w:hAnsi="宋体" w:eastAsia="宋体" w:cs="宋体"/>
          <w:b/>
          <w:bCs/>
          <w:color w:val="auto"/>
          <w:kern w:val="2"/>
          <w:sz w:val="24"/>
          <w:szCs w:val="24"/>
          <w:lang w:val="en-US" w:eastAsia="zh-CN" w:bidi="ar-SA"/>
        </w:rPr>
      </w:pPr>
      <w:bookmarkStart w:id="349" w:name="_Toc22171"/>
      <w:bookmarkStart w:id="350" w:name="_Toc8879"/>
      <w:bookmarkStart w:id="351" w:name="_Toc8660"/>
      <w:bookmarkStart w:id="352" w:name="_Toc30197"/>
      <w:bookmarkStart w:id="353" w:name="_Toc1606"/>
      <w:bookmarkStart w:id="354" w:name="_Toc21985"/>
      <w:r>
        <w:rPr>
          <w:rFonts w:hint="eastAsia" w:ascii="宋体" w:hAnsi="宋体" w:eastAsia="宋体" w:cs="宋体"/>
          <w:b/>
          <w:bCs/>
          <w:color w:val="auto"/>
          <w:kern w:val="2"/>
          <w:sz w:val="24"/>
          <w:szCs w:val="24"/>
          <w:lang w:val="en-US" w:eastAsia="zh-CN" w:bidi="ar-SA"/>
        </w:rPr>
        <w:t>一、报价要求响应文件</w:t>
      </w:r>
      <w:bookmarkEnd w:id="349"/>
      <w:bookmarkEnd w:id="350"/>
      <w:bookmarkEnd w:id="351"/>
      <w:bookmarkEnd w:id="352"/>
      <w:bookmarkEnd w:id="353"/>
      <w:bookmarkEnd w:id="354"/>
    </w:p>
    <w:p w14:paraId="1D2411D9">
      <w:pPr>
        <w:pStyle w:val="4"/>
        <w:pageBreakBefore w:val="0"/>
        <w:kinsoku/>
        <w:wordWrap/>
        <w:overflowPunct/>
        <w:topLinePunct w:val="0"/>
        <w:bidi w:val="0"/>
        <w:spacing w:before="0" w:after="0" w:line="560" w:lineRule="exact"/>
        <w:textAlignment w:val="auto"/>
        <w:rPr>
          <w:rFonts w:hint="eastAsia" w:ascii="宋体" w:hAnsi="宋体" w:eastAsia="宋体" w:cs="宋体"/>
          <w:color w:val="auto"/>
          <w:sz w:val="24"/>
          <w:szCs w:val="24"/>
          <w:lang w:val="en-US" w:eastAsia="zh-CN"/>
        </w:rPr>
      </w:pPr>
      <w:bookmarkStart w:id="355" w:name="_Toc23989"/>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格式1-1：报价表（实质性要求）</w:t>
      </w:r>
      <w:bookmarkEnd w:id="355"/>
    </w:p>
    <w:p w14:paraId="63D256C3">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项目编号：</w:t>
      </w:r>
    </w:p>
    <w:tbl>
      <w:tblPr>
        <w:tblStyle w:val="33"/>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5114"/>
        <w:gridCol w:w="1963"/>
        <w:gridCol w:w="1379"/>
        <w:gridCol w:w="15"/>
      </w:tblGrid>
      <w:tr w14:paraId="1929C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8" w:hRule="atLeast"/>
        </w:trPr>
        <w:tc>
          <w:tcPr>
            <w:tcW w:w="1187" w:type="dxa"/>
            <w:noWrap w:val="0"/>
            <w:vAlign w:val="center"/>
          </w:tcPr>
          <w:p w14:paraId="4C5B98FE">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包件号</w:t>
            </w:r>
          </w:p>
        </w:tc>
        <w:tc>
          <w:tcPr>
            <w:tcW w:w="5114" w:type="dxa"/>
            <w:noWrap w:val="0"/>
            <w:vAlign w:val="center"/>
          </w:tcPr>
          <w:p w14:paraId="0CA43E9D">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rPr>
              <w:t>总报价</w:t>
            </w:r>
            <w:r>
              <w:rPr>
                <w:rFonts w:hint="eastAsia" w:ascii="宋体" w:hAnsi="宋体" w:eastAsia="宋体" w:cs="宋体"/>
                <w:b/>
                <w:bCs/>
                <w:color w:val="auto"/>
                <w:sz w:val="28"/>
                <w:szCs w:val="28"/>
                <w:lang w:val="en-US" w:eastAsia="zh-CN"/>
              </w:rPr>
              <w:t xml:space="preserve"> </w:t>
            </w:r>
          </w:p>
        </w:tc>
        <w:tc>
          <w:tcPr>
            <w:tcW w:w="1963" w:type="dxa"/>
            <w:noWrap w:val="0"/>
            <w:vAlign w:val="center"/>
          </w:tcPr>
          <w:p w14:paraId="4D520D40">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交货期（完工期/服务期）</w:t>
            </w:r>
          </w:p>
        </w:tc>
        <w:tc>
          <w:tcPr>
            <w:tcW w:w="1394" w:type="dxa"/>
            <w:gridSpan w:val="2"/>
            <w:noWrap w:val="0"/>
            <w:vAlign w:val="center"/>
          </w:tcPr>
          <w:p w14:paraId="325347BD">
            <w:pPr>
              <w:keepNext w:val="0"/>
              <w:keepLines w:val="0"/>
              <w:pageBreakBefore w:val="0"/>
              <w:widowControl w:val="0"/>
              <w:kinsoku/>
              <w:wordWrap/>
              <w:overflowPunct/>
              <w:topLinePunct w:val="0"/>
              <w:autoSpaceDE/>
              <w:autoSpaceDN/>
              <w:bidi w:val="0"/>
              <w:adjustRightInd w:val="0"/>
              <w:snapToGrid w:val="0"/>
              <w:spacing w:line="560" w:lineRule="exact"/>
              <w:ind w:left="11" w:leftChars="-36" w:right="-10" w:rightChars="-5" w:hanging="86" w:hangingChars="31"/>
              <w:jc w:val="center"/>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备注</w:t>
            </w:r>
          </w:p>
        </w:tc>
      </w:tr>
      <w:tr w14:paraId="55BF4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1187" w:type="dxa"/>
            <w:vMerge w:val="restart"/>
            <w:noWrap w:val="0"/>
            <w:vAlign w:val="center"/>
          </w:tcPr>
          <w:p w14:paraId="4DBA727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Cs/>
                <w:color w:val="auto"/>
                <w:sz w:val="28"/>
                <w:szCs w:val="28"/>
              </w:rPr>
            </w:pPr>
          </w:p>
        </w:tc>
        <w:tc>
          <w:tcPr>
            <w:tcW w:w="5114" w:type="dxa"/>
            <w:noWrap w:val="0"/>
            <w:vAlign w:val="center"/>
          </w:tcPr>
          <w:p w14:paraId="4D6FACE8">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人民币</w:t>
            </w:r>
            <w:r>
              <w:rPr>
                <w:rFonts w:hint="eastAsia" w:ascii="宋体" w:hAnsi="宋体" w:eastAsia="宋体" w:cs="宋体"/>
                <w:bCs/>
                <w:color w:val="auto"/>
                <w:sz w:val="28"/>
                <w:szCs w:val="28"/>
              </w:rPr>
              <w:t>小写</w:t>
            </w:r>
            <w:r>
              <w:rPr>
                <w:rFonts w:hint="eastAsia" w:ascii="宋体" w:hAnsi="宋体" w:eastAsia="宋体" w:cs="宋体"/>
                <w:bCs/>
                <w:color w:val="auto"/>
                <w:sz w:val="28"/>
                <w:szCs w:val="28"/>
                <w:lang w:eastAsia="zh-CN"/>
              </w:rPr>
              <w:t>（</w:t>
            </w:r>
            <w:r>
              <w:rPr>
                <w:rFonts w:hint="eastAsia" w:ascii="宋体" w:hAnsi="宋体" w:eastAsia="宋体" w:cs="宋体"/>
                <w:bCs/>
                <w:color w:val="auto"/>
                <w:sz w:val="28"/>
                <w:szCs w:val="28"/>
                <w:lang w:val="en-US" w:eastAsia="zh-CN"/>
              </w:rPr>
              <w:t>元</w:t>
            </w:r>
            <w:r>
              <w:rPr>
                <w:rFonts w:hint="eastAsia" w:ascii="宋体" w:hAnsi="宋体" w:eastAsia="宋体" w:cs="宋体"/>
                <w:bCs/>
                <w:color w:val="auto"/>
                <w:sz w:val="28"/>
                <w:szCs w:val="28"/>
                <w:lang w:eastAsia="zh-CN"/>
              </w:rPr>
              <w:t>）</w:t>
            </w:r>
            <w:r>
              <w:rPr>
                <w:rFonts w:hint="eastAsia" w:ascii="宋体" w:hAnsi="宋体" w:eastAsia="宋体" w:cs="宋体"/>
                <w:bCs/>
                <w:color w:val="auto"/>
                <w:sz w:val="28"/>
                <w:szCs w:val="28"/>
              </w:rPr>
              <w:t>：</w:t>
            </w:r>
          </w:p>
        </w:tc>
        <w:tc>
          <w:tcPr>
            <w:tcW w:w="1963" w:type="dxa"/>
            <w:vMerge w:val="restart"/>
            <w:noWrap w:val="0"/>
            <w:vAlign w:val="center"/>
          </w:tcPr>
          <w:p w14:paraId="5D06E49C">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Cs/>
                <w:color w:val="auto"/>
                <w:sz w:val="28"/>
                <w:szCs w:val="28"/>
              </w:rPr>
            </w:pPr>
          </w:p>
        </w:tc>
        <w:tc>
          <w:tcPr>
            <w:tcW w:w="1394" w:type="dxa"/>
            <w:gridSpan w:val="2"/>
            <w:vMerge w:val="restart"/>
            <w:noWrap w:val="0"/>
            <w:vAlign w:val="center"/>
          </w:tcPr>
          <w:p w14:paraId="1EC8ACAD">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Cs/>
                <w:color w:val="auto"/>
                <w:sz w:val="28"/>
                <w:szCs w:val="28"/>
              </w:rPr>
            </w:pPr>
          </w:p>
        </w:tc>
      </w:tr>
      <w:tr w14:paraId="0C636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1187" w:type="dxa"/>
            <w:vMerge w:val="continue"/>
            <w:noWrap w:val="0"/>
            <w:vAlign w:val="center"/>
          </w:tcPr>
          <w:p w14:paraId="67FFAD02">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Cs/>
                <w:color w:val="auto"/>
                <w:sz w:val="28"/>
                <w:szCs w:val="28"/>
              </w:rPr>
            </w:pPr>
          </w:p>
        </w:tc>
        <w:tc>
          <w:tcPr>
            <w:tcW w:w="5114" w:type="dxa"/>
            <w:noWrap w:val="0"/>
            <w:vAlign w:val="center"/>
          </w:tcPr>
          <w:p w14:paraId="76CD5C58">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人民币</w:t>
            </w:r>
            <w:r>
              <w:rPr>
                <w:rFonts w:hint="eastAsia" w:ascii="宋体" w:hAnsi="宋体" w:eastAsia="宋体" w:cs="宋体"/>
                <w:bCs/>
                <w:color w:val="auto"/>
                <w:sz w:val="28"/>
                <w:szCs w:val="28"/>
              </w:rPr>
              <w:t>大写：</w:t>
            </w:r>
          </w:p>
        </w:tc>
        <w:tc>
          <w:tcPr>
            <w:tcW w:w="1963" w:type="dxa"/>
            <w:vMerge w:val="continue"/>
            <w:noWrap w:val="0"/>
            <w:vAlign w:val="center"/>
          </w:tcPr>
          <w:p w14:paraId="377F31F2">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Cs/>
                <w:color w:val="auto"/>
                <w:sz w:val="28"/>
                <w:szCs w:val="28"/>
              </w:rPr>
            </w:pPr>
          </w:p>
        </w:tc>
        <w:tc>
          <w:tcPr>
            <w:tcW w:w="1394" w:type="dxa"/>
            <w:gridSpan w:val="2"/>
            <w:vMerge w:val="continue"/>
            <w:noWrap w:val="0"/>
            <w:vAlign w:val="center"/>
          </w:tcPr>
          <w:p w14:paraId="0FB03BB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Cs/>
                <w:color w:val="auto"/>
                <w:sz w:val="28"/>
                <w:szCs w:val="28"/>
              </w:rPr>
            </w:pPr>
          </w:p>
        </w:tc>
      </w:tr>
      <w:tr w14:paraId="7745E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689" w:hRule="atLeast"/>
        </w:trPr>
        <w:tc>
          <w:tcPr>
            <w:tcW w:w="9643" w:type="dxa"/>
            <w:gridSpan w:val="4"/>
            <w:noWrap w:val="0"/>
            <w:vAlign w:val="center"/>
          </w:tcPr>
          <w:p w14:paraId="0F84C19C">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投标人</w:t>
            </w:r>
            <w:r>
              <w:rPr>
                <w:rFonts w:hint="eastAsia" w:ascii="宋体" w:hAnsi="宋体" w:eastAsia="宋体" w:cs="宋体"/>
                <w:color w:val="auto"/>
                <w:sz w:val="28"/>
                <w:szCs w:val="28"/>
              </w:rPr>
              <w:t>名称（加盖</w:t>
            </w:r>
            <w:r>
              <w:rPr>
                <w:rFonts w:hint="eastAsia" w:ascii="宋体" w:hAnsi="宋体" w:eastAsia="宋体" w:cs="宋体"/>
                <w:color w:val="auto"/>
                <w:sz w:val="28"/>
                <w:szCs w:val="28"/>
                <w:lang w:val="en-US" w:eastAsia="zh-CN"/>
              </w:rPr>
              <w:t>单位电子</w:t>
            </w:r>
            <w:r>
              <w:rPr>
                <w:rFonts w:hint="eastAsia" w:ascii="宋体" w:hAnsi="宋体" w:eastAsia="宋体" w:cs="宋体"/>
                <w:color w:val="auto"/>
                <w:sz w:val="28"/>
                <w:szCs w:val="28"/>
              </w:rPr>
              <w:t>公章）：</w:t>
            </w:r>
          </w:p>
          <w:p w14:paraId="1FC46F98">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宋体"/>
                <w:color w:val="auto"/>
                <w:sz w:val="28"/>
                <w:szCs w:val="28"/>
              </w:rPr>
            </w:pPr>
          </w:p>
          <w:p w14:paraId="692B7D9A">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电子签名</w:t>
            </w:r>
            <w:r>
              <w:rPr>
                <w:rFonts w:hint="eastAsia" w:ascii="宋体" w:hAnsi="宋体" w:eastAsia="宋体" w:cs="宋体"/>
                <w:color w:val="auto"/>
                <w:sz w:val="28"/>
                <w:szCs w:val="28"/>
              </w:rPr>
              <w:t xml:space="preserve">）：                </w:t>
            </w:r>
          </w:p>
          <w:p w14:paraId="1E6FDDD9">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宋体" w:hAnsi="宋体" w:eastAsia="宋体" w:cs="宋体"/>
                <w:color w:val="auto"/>
                <w:sz w:val="28"/>
                <w:szCs w:val="28"/>
              </w:rPr>
            </w:pPr>
          </w:p>
          <w:p w14:paraId="7A144CE3">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日期：年月日</w:t>
            </w:r>
          </w:p>
        </w:tc>
      </w:tr>
    </w:tbl>
    <w:p w14:paraId="19BE1DE8">
      <w:pPr>
        <w:pageBreakBefore w:val="0"/>
        <w:widowControl/>
        <w:kinsoku/>
        <w:wordWrap/>
        <w:overflowPunct/>
        <w:topLinePunct w:val="0"/>
        <w:bidi w:val="0"/>
        <w:spacing w:before="100" w:beforeAutospacing="1" w:after="100" w:afterAutospacing="1" w:line="560" w:lineRule="exact"/>
        <w:textAlignment w:val="auto"/>
        <w:rPr>
          <w:rFonts w:hint="eastAsia"/>
          <w:color w:val="auto"/>
          <w:sz w:val="24"/>
          <w:szCs w:val="24"/>
          <w:lang w:val="zh-CN" w:eastAsia="zh-CN"/>
        </w:rPr>
      </w:pPr>
      <w:r>
        <w:rPr>
          <w:rFonts w:hint="default" w:ascii="Times New Roman" w:hAnsi="Times New Roman" w:eastAsia="宋体" w:cs="Times New Roman"/>
          <w:color w:val="auto"/>
          <w:kern w:val="0"/>
          <w:sz w:val="28"/>
          <w:szCs w:val="28"/>
        </w:rPr>
        <w:t>联系人：</w:t>
      </w:r>
      <w:r>
        <w:rPr>
          <w:rFonts w:hint="default" w:ascii="Times New Roman" w:hAnsi="Times New Roman" w:eastAsia="宋体" w:cs="Times New Roman"/>
          <w:color w:val="auto"/>
          <w:kern w:val="0"/>
          <w:sz w:val="28"/>
          <w:szCs w:val="28"/>
          <w:lang w:val="en-US" w:eastAsia="zh-CN"/>
        </w:rPr>
        <w:t xml:space="preserve">                                   </w:t>
      </w:r>
      <w:r>
        <w:rPr>
          <w:rFonts w:hint="default" w:ascii="Times New Roman" w:hAnsi="Times New Roman" w:eastAsia="宋体" w:cs="Times New Roman"/>
          <w:color w:val="auto"/>
          <w:kern w:val="0"/>
          <w:sz w:val="28"/>
          <w:szCs w:val="28"/>
        </w:rPr>
        <w:t>联系电话：</w:t>
      </w:r>
    </w:p>
    <w:p w14:paraId="28015B6A">
      <w:pPr>
        <w:pStyle w:val="4"/>
        <w:pageBreakBefore w:val="0"/>
        <w:kinsoku/>
        <w:wordWrap/>
        <w:overflowPunct/>
        <w:topLinePunct w:val="0"/>
        <w:bidi w:val="0"/>
        <w:spacing w:before="0" w:after="0" w:line="560" w:lineRule="exact"/>
        <w:textAlignment w:val="auto"/>
        <w:rPr>
          <w:rFonts w:hint="eastAsia"/>
          <w:b/>
          <w:bCs/>
          <w:color w:val="auto"/>
          <w:sz w:val="24"/>
          <w:szCs w:val="24"/>
          <w:lang w:val="zh-CN" w:eastAsia="zh-CN"/>
        </w:rPr>
      </w:pPr>
      <w:r>
        <w:rPr>
          <w:rFonts w:hint="eastAsia"/>
          <w:b/>
          <w:bCs/>
          <w:color w:val="auto"/>
          <w:sz w:val="24"/>
          <w:szCs w:val="24"/>
          <w:lang w:val="zh-CN" w:eastAsia="zh-CN"/>
        </w:rPr>
        <w:t>★格式</w:t>
      </w:r>
      <w:r>
        <w:rPr>
          <w:rFonts w:hint="eastAsia"/>
          <w:b/>
          <w:bCs/>
          <w:color w:val="auto"/>
          <w:sz w:val="24"/>
          <w:szCs w:val="24"/>
          <w:lang w:val="en-US" w:eastAsia="zh-CN"/>
        </w:rPr>
        <w:t>1-2</w:t>
      </w:r>
      <w:r>
        <w:rPr>
          <w:rFonts w:hint="eastAsia"/>
          <w:b/>
          <w:bCs/>
          <w:color w:val="auto"/>
          <w:sz w:val="24"/>
          <w:szCs w:val="24"/>
          <w:lang w:val="zh-CN" w:eastAsia="zh-CN"/>
        </w:rPr>
        <w:t>：</w:t>
      </w:r>
      <w:r>
        <w:rPr>
          <w:rFonts w:hint="eastAsia"/>
          <w:b/>
          <w:bCs/>
          <w:color w:val="auto"/>
          <w:sz w:val="24"/>
          <w:szCs w:val="24"/>
          <w:lang w:val="en-US" w:eastAsia="zh-CN"/>
        </w:rPr>
        <w:t>分项价格明细</w:t>
      </w:r>
      <w:r>
        <w:rPr>
          <w:rFonts w:hint="eastAsia"/>
          <w:b/>
          <w:bCs/>
          <w:color w:val="auto"/>
          <w:sz w:val="24"/>
          <w:szCs w:val="24"/>
          <w:lang w:val="zh-CN" w:eastAsia="zh-CN"/>
        </w:rPr>
        <w:t>表</w:t>
      </w:r>
      <w:r>
        <w:rPr>
          <w:rFonts w:hint="eastAsia"/>
          <w:b/>
          <w:bCs/>
          <w:color w:val="auto"/>
          <w:sz w:val="24"/>
          <w:szCs w:val="24"/>
          <w:lang w:val="en-US" w:eastAsia="zh-CN"/>
        </w:rPr>
        <w:t>（实质性要求）</w:t>
      </w:r>
    </w:p>
    <w:p w14:paraId="49A92B92">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u w:val="single"/>
        </w:rPr>
      </w:pPr>
      <w:r>
        <w:rPr>
          <w:rFonts w:hint="eastAsia" w:ascii="宋体" w:hAnsi="宋体" w:eastAsia="宋体" w:cs="宋体"/>
          <w:color w:val="auto"/>
          <w:sz w:val="24"/>
          <w:szCs w:val="24"/>
        </w:rPr>
        <w:t>项目编号</w:t>
      </w:r>
      <w:r>
        <w:rPr>
          <w:rFonts w:hint="eastAsia" w:ascii="宋体" w:hAnsi="宋体" w:cs="宋体"/>
          <w:color w:val="auto"/>
          <w:sz w:val="24"/>
          <w:szCs w:val="24"/>
          <w:lang w:eastAsia="zh-CN"/>
        </w:rPr>
        <w:t>、</w:t>
      </w:r>
      <w:r>
        <w:rPr>
          <w:rFonts w:hint="eastAsia" w:ascii="宋体" w:hAnsi="宋体" w:eastAsia="宋体" w:cs="宋体"/>
          <w:color w:val="auto"/>
          <w:sz w:val="24"/>
          <w:szCs w:val="24"/>
        </w:rPr>
        <w:t xml:space="preserve">项目名称：    </w:t>
      </w:r>
      <w:r>
        <w:rPr>
          <w:rFonts w:hint="eastAsia" w:ascii="宋体" w:hAnsi="宋体" w:eastAsia="宋体" w:cs="宋体"/>
          <w:color w:val="auto"/>
          <w:sz w:val="24"/>
          <w:szCs w:val="24"/>
          <w:lang w:val="en-US" w:eastAsia="zh-CN"/>
        </w:rPr>
        <w:t xml:space="preserve">                                    </w:t>
      </w:r>
    </w:p>
    <w:tbl>
      <w:tblPr>
        <w:tblStyle w:val="33"/>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382"/>
        <w:gridCol w:w="1250"/>
        <w:gridCol w:w="1444"/>
        <w:gridCol w:w="1444"/>
        <w:gridCol w:w="701"/>
        <w:gridCol w:w="1292"/>
        <w:gridCol w:w="856"/>
        <w:gridCol w:w="1144"/>
      </w:tblGrid>
      <w:tr w14:paraId="1EF30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jc w:val="center"/>
        </w:trPr>
        <w:tc>
          <w:tcPr>
            <w:tcW w:w="743" w:type="dxa"/>
            <w:noWrap w:val="0"/>
            <w:vAlign w:val="center"/>
          </w:tcPr>
          <w:p w14:paraId="7369831C">
            <w:pPr>
              <w:pStyle w:val="17"/>
              <w:pageBreakBefore w:val="0"/>
              <w:kinsoku/>
              <w:wordWrap/>
              <w:overflowPunct/>
              <w:topLinePunct w:val="0"/>
              <w:bidi w:val="0"/>
              <w:spacing w:line="560" w:lineRule="exact"/>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序号</w:t>
            </w:r>
          </w:p>
        </w:tc>
        <w:tc>
          <w:tcPr>
            <w:tcW w:w="1382" w:type="dxa"/>
            <w:noWrap w:val="0"/>
            <w:vAlign w:val="center"/>
          </w:tcPr>
          <w:p w14:paraId="0B27501B">
            <w:pPr>
              <w:pStyle w:val="17"/>
              <w:pageBreakBefore w:val="0"/>
              <w:kinsoku/>
              <w:wordWrap/>
              <w:overflowPunct/>
              <w:topLinePunct w:val="0"/>
              <w:bidi w:val="0"/>
              <w:spacing w:line="560" w:lineRule="exact"/>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货物名称</w:t>
            </w:r>
          </w:p>
        </w:tc>
        <w:tc>
          <w:tcPr>
            <w:tcW w:w="1250" w:type="dxa"/>
            <w:noWrap w:val="0"/>
            <w:vAlign w:val="center"/>
          </w:tcPr>
          <w:p w14:paraId="6E70EB64">
            <w:pPr>
              <w:pStyle w:val="17"/>
              <w:pageBreakBefore w:val="0"/>
              <w:kinsoku/>
              <w:wordWrap/>
              <w:overflowPunct/>
              <w:topLinePunct w:val="0"/>
              <w:bidi w:val="0"/>
              <w:spacing w:line="560" w:lineRule="exact"/>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型号和规格</w:t>
            </w:r>
          </w:p>
        </w:tc>
        <w:tc>
          <w:tcPr>
            <w:tcW w:w="1444" w:type="dxa"/>
            <w:noWrap w:val="0"/>
            <w:vAlign w:val="center"/>
          </w:tcPr>
          <w:p w14:paraId="2028E9E3">
            <w:pPr>
              <w:pStyle w:val="17"/>
              <w:pageBreakBefore w:val="0"/>
              <w:kinsoku/>
              <w:wordWrap/>
              <w:overflowPunct/>
              <w:topLinePunct w:val="0"/>
              <w:bidi w:val="0"/>
              <w:spacing w:line="560" w:lineRule="exact"/>
              <w:jc w:val="center"/>
              <w:textAlignment w:val="auto"/>
              <w:rPr>
                <w:rFonts w:hint="default" w:ascii="宋体" w:hAnsi="宋体" w:eastAsia="宋体" w:cs="宋体"/>
                <w:color w:val="auto"/>
                <w:sz w:val="28"/>
                <w:szCs w:val="28"/>
                <w:lang w:val="en-US" w:eastAsia="zh-CN"/>
              </w:rPr>
            </w:pPr>
            <w:r>
              <w:rPr>
                <w:rFonts w:hint="eastAsia" w:hAnsi="宋体" w:eastAsia="宋体" w:cs="宋体"/>
                <w:color w:val="auto"/>
                <w:sz w:val="28"/>
                <w:szCs w:val="28"/>
                <w:lang w:val="en-US" w:eastAsia="zh-CN"/>
              </w:rPr>
              <w:t>品牌</w:t>
            </w:r>
          </w:p>
        </w:tc>
        <w:tc>
          <w:tcPr>
            <w:tcW w:w="1444" w:type="dxa"/>
            <w:noWrap w:val="0"/>
            <w:vAlign w:val="center"/>
          </w:tcPr>
          <w:p w14:paraId="150795DA">
            <w:pPr>
              <w:pStyle w:val="17"/>
              <w:pageBreakBefore w:val="0"/>
              <w:kinsoku/>
              <w:wordWrap/>
              <w:overflowPunct/>
              <w:topLinePunct w:val="0"/>
              <w:bidi w:val="0"/>
              <w:spacing w:line="560" w:lineRule="exact"/>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制造商/生产厂商名称</w:t>
            </w:r>
          </w:p>
        </w:tc>
        <w:tc>
          <w:tcPr>
            <w:tcW w:w="701" w:type="dxa"/>
            <w:noWrap w:val="0"/>
            <w:vAlign w:val="center"/>
          </w:tcPr>
          <w:p w14:paraId="4DD12D02">
            <w:pPr>
              <w:pStyle w:val="17"/>
              <w:pageBreakBefore w:val="0"/>
              <w:kinsoku/>
              <w:wordWrap/>
              <w:overflowPunct/>
              <w:topLinePunct w:val="0"/>
              <w:bidi w:val="0"/>
              <w:spacing w:line="560" w:lineRule="exact"/>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数量</w:t>
            </w:r>
          </w:p>
        </w:tc>
        <w:tc>
          <w:tcPr>
            <w:tcW w:w="1292" w:type="dxa"/>
            <w:noWrap w:val="0"/>
            <w:vAlign w:val="center"/>
          </w:tcPr>
          <w:p w14:paraId="2C6CDF73">
            <w:pPr>
              <w:pStyle w:val="17"/>
              <w:pageBreakBefore w:val="0"/>
              <w:kinsoku/>
              <w:wordWrap/>
              <w:overflowPunct/>
              <w:topLinePunct w:val="0"/>
              <w:bidi w:val="0"/>
              <w:spacing w:line="560" w:lineRule="exact"/>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单价</w:t>
            </w:r>
          </w:p>
          <w:p w14:paraId="7E8761D6">
            <w:pPr>
              <w:pStyle w:val="17"/>
              <w:pageBreakBefore w:val="0"/>
              <w:kinsoku/>
              <w:wordWrap/>
              <w:overflowPunct/>
              <w:topLinePunct w:val="0"/>
              <w:bidi w:val="0"/>
              <w:spacing w:line="560" w:lineRule="exact"/>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（元）</w:t>
            </w:r>
          </w:p>
        </w:tc>
        <w:tc>
          <w:tcPr>
            <w:tcW w:w="856" w:type="dxa"/>
            <w:noWrap w:val="0"/>
            <w:vAlign w:val="center"/>
          </w:tcPr>
          <w:p w14:paraId="3BF06AC8">
            <w:pPr>
              <w:pStyle w:val="17"/>
              <w:pageBreakBefore w:val="0"/>
              <w:kinsoku/>
              <w:wordWrap/>
              <w:overflowPunct/>
              <w:topLinePunct w:val="0"/>
              <w:bidi w:val="0"/>
              <w:spacing w:line="560" w:lineRule="exact"/>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总价</w:t>
            </w:r>
          </w:p>
          <w:p w14:paraId="66551A44">
            <w:pPr>
              <w:pStyle w:val="17"/>
              <w:pageBreakBefore w:val="0"/>
              <w:kinsoku/>
              <w:wordWrap/>
              <w:overflowPunct/>
              <w:topLinePunct w:val="0"/>
              <w:bidi w:val="0"/>
              <w:spacing w:line="560" w:lineRule="exact"/>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（元）</w:t>
            </w:r>
          </w:p>
        </w:tc>
        <w:tc>
          <w:tcPr>
            <w:tcW w:w="1144" w:type="dxa"/>
            <w:noWrap w:val="0"/>
            <w:vAlign w:val="center"/>
          </w:tcPr>
          <w:p w14:paraId="6D7B941D">
            <w:pPr>
              <w:pStyle w:val="17"/>
              <w:pageBreakBefore w:val="0"/>
              <w:kinsoku/>
              <w:wordWrap/>
              <w:overflowPunct/>
              <w:topLinePunct w:val="0"/>
              <w:bidi w:val="0"/>
              <w:spacing w:line="560" w:lineRule="exact"/>
              <w:ind w:left="72"/>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备注</w:t>
            </w:r>
          </w:p>
        </w:tc>
      </w:tr>
      <w:tr w14:paraId="5F33E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743" w:type="dxa"/>
            <w:noWrap w:val="0"/>
            <w:vAlign w:val="center"/>
          </w:tcPr>
          <w:p w14:paraId="2FA336A6">
            <w:pPr>
              <w:pStyle w:val="17"/>
              <w:pageBreakBefore w:val="0"/>
              <w:kinsoku/>
              <w:wordWrap/>
              <w:overflowPunct/>
              <w:topLinePunct w:val="0"/>
              <w:bidi w:val="0"/>
              <w:spacing w:line="560" w:lineRule="exact"/>
              <w:jc w:val="center"/>
              <w:textAlignment w:val="auto"/>
              <w:rPr>
                <w:rFonts w:hint="eastAsia" w:ascii="宋体" w:hAnsi="宋体" w:eastAsia="宋体" w:cs="宋体"/>
                <w:color w:val="auto"/>
                <w:sz w:val="28"/>
                <w:szCs w:val="28"/>
              </w:rPr>
            </w:pPr>
          </w:p>
        </w:tc>
        <w:tc>
          <w:tcPr>
            <w:tcW w:w="1382" w:type="dxa"/>
            <w:noWrap w:val="0"/>
            <w:vAlign w:val="center"/>
          </w:tcPr>
          <w:p w14:paraId="18B269AD">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1250" w:type="dxa"/>
            <w:noWrap w:val="0"/>
            <w:vAlign w:val="center"/>
          </w:tcPr>
          <w:p w14:paraId="5B438F10">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1444" w:type="dxa"/>
            <w:noWrap w:val="0"/>
            <w:vAlign w:val="center"/>
          </w:tcPr>
          <w:p w14:paraId="4D71A18A">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1444" w:type="dxa"/>
            <w:noWrap w:val="0"/>
            <w:vAlign w:val="center"/>
          </w:tcPr>
          <w:p w14:paraId="0962BBFF">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701" w:type="dxa"/>
            <w:noWrap w:val="0"/>
            <w:vAlign w:val="center"/>
          </w:tcPr>
          <w:p w14:paraId="586C8FB3">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1292" w:type="dxa"/>
            <w:noWrap w:val="0"/>
            <w:vAlign w:val="center"/>
          </w:tcPr>
          <w:p w14:paraId="62C29AD6">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856" w:type="dxa"/>
            <w:noWrap w:val="0"/>
            <w:vAlign w:val="center"/>
          </w:tcPr>
          <w:p w14:paraId="3FADCB9F">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1144" w:type="dxa"/>
            <w:noWrap w:val="0"/>
            <w:vAlign w:val="center"/>
          </w:tcPr>
          <w:p w14:paraId="2872FE67">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r>
      <w:tr w14:paraId="5D530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743" w:type="dxa"/>
            <w:noWrap w:val="0"/>
            <w:vAlign w:val="center"/>
          </w:tcPr>
          <w:p w14:paraId="65F9ED89">
            <w:pPr>
              <w:pStyle w:val="17"/>
              <w:pageBreakBefore w:val="0"/>
              <w:kinsoku/>
              <w:wordWrap/>
              <w:overflowPunct/>
              <w:topLinePunct w:val="0"/>
              <w:bidi w:val="0"/>
              <w:spacing w:line="560" w:lineRule="exact"/>
              <w:jc w:val="center"/>
              <w:textAlignment w:val="auto"/>
              <w:rPr>
                <w:rFonts w:hint="eastAsia" w:ascii="宋体" w:hAnsi="宋体" w:eastAsia="宋体" w:cs="宋体"/>
                <w:color w:val="auto"/>
                <w:sz w:val="28"/>
                <w:szCs w:val="28"/>
              </w:rPr>
            </w:pPr>
          </w:p>
        </w:tc>
        <w:tc>
          <w:tcPr>
            <w:tcW w:w="1382" w:type="dxa"/>
            <w:noWrap w:val="0"/>
            <w:vAlign w:val="center"/>
          </w:tcPr>
          <w:p w14:paraId="2C96F0D2">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1250" w:type="dxa"/>
            <w:noWrap w:val="0"/>
            <w:vAlign w:val="center"/>
          </w:tcPr>
          <w:p w14:paraId="7B3F7FB2">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1444" w:type="dxa"/>
            <w:noWrap w:val="0"/>
            <w:vAlign w:val="center"/>
          </w:tcPr>
          <w:p w14:paraId="5E8EC5E6">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1444" w:type="dxa"/>
            <w:noWrap w:val="0"/>
            <w:vAlign w:val="center"/>
          </w:tcPr>
          <w:p w14:paraId="2B45D5F1">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701" w:type="dxa"/>
            <w:noWrap w:val="0"/>
            <w:vAlign w:val="center"/>
          </w:tcPr>
          <w:p w14:paraId="46E34B19">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1292" w:type="dxa"/>
            <w:noWrap w:val="0"/>
            <w:vAlign w:val="center"/>
          </w:tcPr>
          <w:p w14:paraId="468F87F0">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856" w:type="dxa"/>
            <w:noWrap w:val="0"/>
            <w:vAlign w:val="center"/>
          </w:tcPr>
          <w:p w14:paraId="28D92F1C">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1144" w:type="dxa"/>
            <w:noWrap w:val="0"/>
            <w:vAlign w:val="center"/>
          </w:tcPr>
          <w:p w14:paraId="59AE90A1">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r>
      <w:tr w14:paraId="01C2D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743" w:type="dxa"/>
            <w:noWrap w:val="0"/>
            <w:vAlign w:val="center"/>
          </w:tcPr>
          <w:p w14:paraId="1BE0EFD8">
            <w:pPr>
              <w:pStyle w:val="17"/>
              <w:pageBreakBefore w:val="0"/>
              <w:kinsoku/>
              <w:wordWrap/>
              <w:overflowPunct/>
              <w:topLinePunct w:val="0"/>
              <w:bidi w:val="0"/>
              <w:spacing w:line="560" w:lineRule="exact"/>
              <w:jc w:val="center"/>
              <w:textAlignment w:val="auto"/>
              <w:rPr>
                <w:rFonts w:hint="eastAsia" w:ascii="宋体" w:hAnsi="宋体" w:eastAsia="宋体" w:cs="宋体"/>
                <w:color w:val="auto"/>
                <w:sz w:val="28"/>
                <w:szCs w:val="28"/>
              </w:rPr>
            </w:pPr>
          </w:p>
        </w:tc>
        <w:tc>
          <w:tcPr>
            <w:tcW w:w="1382" w:type="dxa"/>
            <w:noWrap w:val="0"/>
            <w:vAlign w:val="center"/>
          </w:tcPr>
          <w:p w14:paraId="2EC47057">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1250" w:type="dxa"/>
            <w:noWrap w:val="0"/>
            <w:vAlign w:val="center"/>
          </w:tcPr>
          <w:p w14:paraId="4B2ECF74">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1444" w:type="dxa"/>
            <w:noWrap w:val="0"/>
            <w:vAlign w:val="center"/>
          </w:tcPr>
          <w:p w14:paraId="665432E8">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1444" w:type="dxa"/>
            <w:noWrap w:val="0"/>
            <w:vAlign w:val="center"/>
          </w:tcPr>
          <w:p w14:paraId="4F82FCA8">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701" w:type="dxa"/>
            <w:noWrap w:val="0"/>
            <w:vAlign w:val="center"/>
          </w:tcPr>
          <w:p w14:paraId="73BAAAC9">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1292" w:type="dxa"/>
            <w:noWrap w:val="0"/>
            <w:vAlign w:val="center"/>
          </w:tcPr>
          <w:p w14:paraId="425F9FB8">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856" w:type="dxa"/>
            <w:noWrap w:val="0"/>
            <w:vAlign w:val="center"/>
          </w:tcPr>
          <w:p w14:paraId="5D239778">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c>
          <w:tcPr>
            <w:tcW w:w="1144" w:type="dxa"/>
            <w:noWrap w:val="0"/>
            <w:vAlign w:val="center"/>
          </w:tcPr>
          <w:p w14:paraId="40966E62">
            <w:pPr>
              <w:pStyle w:val="17"/>
              <w:pageBreakBefore w:val="0"/>
              <w:kinsoku/>
              <w:wordWrap/>
              <w:overflowPunct/>
              <w:topLinePunct w:val="0"/>
              <w:bidi w:val="0"/>
              <w:spacing w:line="560" w:lineRule="exact"/>
              <w:textAlignment w:val="auto"/>
              <w:rPr>
                <w:rFonts w:hint="eastAsia" w:ascii="宋体" w:hAnsi="宋体" w:eastAsia="宋体" w:cs="宋体"/>
                <w:color w:val="auto"/>
                <w:sz w:val="28"/>
                <w:szCs w:val="28"/>
              </w:rPr>
            </w:pPr>
          </w:p>
        </w:tc>
      </w:tr>
      <w:tr w14:paraId="24E62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6964" w:type="dxa"/>
            <w:gridSpan w:val="6"/>
            <w:noWrap w:val="0"/>
            <w:vAlign w:val="center"/>
          </w:tcPr>
          <w:p w14:paraId="240F270E">
            <w:pPr>
              <w:pStyle w:val="17"/>
              <w:pageBreakBefore w:val="0"/>
              <w:kinsoku/>
              <w:wordWrap/>
              <w:overflowPunct/>
              <w:topLinePunct w:val="0"/>
              <w:bidi w:val="0"/>
              <w:spacing w:line="560" w:lineRule="exact"/>
              <w:jc w:val="center"/>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合    计</w:t>
            </w:r>
          </w:p>
        </w:tc>
        <w:tc>
          <w:tcPr>
            <w:tcW w:w="1292" w:type="dxa"/>
            <w:noWrap w:val="0"/>
            <w:vAlign w:val="center"/>
          </w:tcPr>
          <w:p w14:paraId="3BD77432">
            <w:pPr>
              <w:pStyle w:val="17"/>
              <w:pageBreakBefore w:val="0"/>
              <w:kinsoku/>
              <w:wordWrap/>
              <w:overflowPunct/>
              <w:topLinePunct w:val="0"/>
              <w:bidi w:val="0"/>
              <w:spacing w:line="560" w:lineRule="exact"/>
              <w:jc w:val="center"/>
              <w:textAlignment w:val="auto"/>
              <w:rPr>
                <w:rFonts w:hint="eastAsia" w:ascii="宋体" w:hAnsi="宋体" w:eastAsia="宋体" w:cs="宋体"/>
                <w:b/>
                <w:color w:val="auto"/>
                <w:sz w:val="28"/>
                <w:szCs w:val="28"/>
              </w:rPr>
            </w:pPr>
          </w:p>
        </w:tc>
        <w:tc>
          <w:tcPr>
            <w:tcW w:w="856" w:type="dxa"/>
            <w:noWrap w:val="0"/>
            <w:vAlign w:val="center"/>
          </w:tcPr>
          <w:p w14:paraId="7E32837D">
            <w:pPr>
              <w:pStyle w:val="17"/>
              <w:pageBreakBefore w:val="0"/>
              <w:kinsoku/>
              <w:wordWrap/>
              <w:overflowPunct/>
              <w:topLinePunct w:val="0"/>
              <w:bidi w:val="0"/>
              <w:spacing w:line="560" w:lineRule="exact"/>
              <w:textAlignment w:val="auto"/>
              <w:rPr>
                <w:rFonts w:hint="eastAsia" w:ascii="宋体" w:hAnsi="宋体" w:eastAsia="宋体" w:cs="宋体"/>
                <w:b/>
                <w:color w:val="auto"/>
                <w:sz w:val="28"/>
                <w:szCs w:val="28"/>
              </w:rPr>
            </w:pPr>
          </w:p>
        </w:tc>
        <w:tc>
          <w:tcPr>
            <w:tcW w:w="1144" w:type="dxa"/>
            <w:noWrap w:val="0"/>
            <w:vAlign w:val="center"/>
          </w:tcPr>
          <w:p w14:paraId="72A46670">
            <w:pPr>
              <w:pStyle w:val="17"/>
              <w:pageBreakBefore w:val="0"/>
              <w:kinsoku/>
              <w:wordWrap/>
              <w:overflowPunct/>
              <w:topLinePunct w:val="0"/>
              <w:bidi w:val="0"/>
              <w:spacing w:line="560" w:lineRule="exact"/>
              <w:textAlignment w:val="auto"/>
              <w:rPr>
                <w:rFonts w:hint="eastAsia" w:ascii="宋体" w:hAnsi="宋体" w:eastAsia="宋体" w:cs="宋体"/>
                <w:b/>
                <w:color w:val="auto"/>
                <w:sz w:val="28"/>
                <w:szCs w:val="28"/>
              </w:rPr>
            </w:pPr>
          </w:p>
        </w:tc>
      </w:tr>
      <w:tr w14:paraId="0D582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6964" w:type="dxa"/>
            <w:gridSpan w:val="6"/>
            <w:noWrap w:val="0"/>
            <w:vAlign w:val="center"/>
          </w:tcPr>
          <w:p w14:paraId="6324AF0D">
            <w:pPr>
              <w:pStyle w:val="17"/>
              <w:pageBreakBefore w:val="0"/>
              <w:kinsoku/>
              <w:wordWrap/>
              <w:overflowPunct/>
              <w:topLinePunct w:val="0"/>
              <w:bidi w:val="0"/>
              <w:spacing w:line="560" w:lineRule="exact"/>
              <w:jc w:val="center"/>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交 货 期</w:t>
            </w:r>
          </w:p>
        </w:tc>
        <w:tc>
          <w:tcPr>
            <w:tcW w:w="3292" w:type="dxa"/>
            <w:gridSpan w:val="3"/>
            <w:noWrap w:val="0"/>
            <w:vAlign w:val="center"/>
          </w:tcPr>
          <w:p w14:paraId="5ADCCE7C">
            <w:pPr>
              <w:pStyle w:val="17"/>
              <w:pageBreakBefore w:val="0"/>
              <w:kinsoku/>
              <w:wordWrap/>
              <w:overflowPunct/>
              <w:topLinePunct w:val="0"/>
              <w:bidi w:val="0"/>
              <w:spacing w:line="560" w:lineRule="exact"/>
              <w:textAlignment w:val="auto"/>
              <w:rPr>
                <w:rFonts w:hint="eastAsia" w:ascii="宋体" w:hAnsi="宋体" w:eastAsia="宋体" w:cs="宋体"/>
                <w:b/>
                <w:color w:val="auto"/>
                <w:sz w:val="28"/>
                <w:szCs w:val="28"/>
              </w:rPr>
            </w:pPr>
          </w:p>
        </w:tc>
      </w:tr>
      <w:tr w14:paraId="618C2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6964" w:type="dxa"/>
            <w:gridSpan w:val="6"/>
            <w:noWrap w:val="0"/>
            <w:vAlign w:val="center"/>
          </w:tcPr>
          <w:p w14:paraId="03874D36">
            <w:pPr>
              <w:pStyle w:val="17"/>
              <w:pageBreakBefore w:val="0"/>
              <w:kinsoku/>
              <w:wordWrap/>
              <w:overflowPunct/>
              <w:topLinePunct w:val="0"/>
              <w:bidi w:val="0"/>
              <w:spacing w:line="560" w:lineRule="exact"/>
              <w:jc w:val="center"/>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交货地点</w:t>
            </w:r>
          </w:p>
        </w:tc>
        <w:tc>
          <w:tcPr>
            <w:tcW w:w="3292" w:type="dxa"/>
            <w:gridSpan w:val="3"/>
            <w:noWrap w:val="0"/>
            <w:vAlign w:val="center"/>
          </w:tcPr>
          <w:p w14:paraId="4A4D80E7">
            <w:pPr>
              <w:pStyle w:val="17"/>
              <w:pageBreakBefore w:val="0"/>
              <w:kinsoku/>
              <w:wordWrap/>
              <w:overflowPunct/>
              <w:topLinePunct w:val="0"/>
              <w:bidi w:val="0"/>
              <w:spacing w:line="560" w:lineRule="exact"/>
              <w:textAlignment w:val="auto"/>
              <w:rPr>
                <w:rFonts w:hint="eastAsia" w:ascii="宋体" w:hAnsi="宋体" w:eastAsia="宋体" w:cs="宋体"/>
                <w:b/>
                <w:color w:val="auto"/>
                <w:sz w:val="28"/>
                <w:szCs w:val="28"/>
              </w:rPr>
            </w:pPr>
          </w:p>
        </w:tc>
      </w:tr>
    </w:tbl>
    <w:p w14:paraId="2E0DD9C8">
      <w:pPr>
        <w:pageBreakBefore w:val="0"/>
        <w:kinsoku/>
        <w:wordWrap/>
        <w:overflowPunct/>
        <w:topLinePunct w:val="0"/>
        <w:bidi w:val="0"/>
        <w:spacing w:line="560" w:lineRule="exact"/>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供应商：（全称）（加盖电子公章）</w:t>
      </w:r>
    </w:p>
    <w:p w14:paraId="6DB5C334">
      <w:pPr>
        <w:pageBreakBefore w:val="0"/>
        <w:kinsoku/>
        <w:wordWrap/>
        <w:overflowPunct/>
        <w:topLinePunct w:val="0"/>
        <w:bidi w:val="0"/>
        <w:spacing w:line="560" w:lineRule="exact"/>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法定代表人：（电子签名）</w:t>
      </w:r>
    </w:p>
    <w:p w14:paraId="2EF6EA92">
      <w:pPr>
        <w:pageBreakBefore w:val="0"/>
        <w:kinsoku/>
        <w:wordWrap/>
        <w:overflowPunct/>
        <w:topLinePunct w:val="0"/>
        <w:bidi w:val="0"/>
        <w:spacing w:line="560" w:lineRule="exact"/>
        <w:jc w:val="left"/>
        <w:textAlignment w:val="auto"/>
        <w:outlineLvl w:val="9"/>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日期： </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日</w:t>
      </w:r>
    </w:p>
    <w:p w14:paraId="5CC82E57">
      <w:pPr>
        <w:pageBreakBefore w:val="0"/>
        <w:kinsoku/>
        <w:wordWrap/>
        <w:overflowPunct/>
        <w:topLinePunct w:val="0"/>
        <w:bidi w:val="0"/>
        <w:spacing w:line="560" w:lineRule="exact"/>
        <w:ind w:firstLine="2" w:firstLineChars="1"/>
        <w:textAlignment w:val="auto"/>
        <w:outlineLvl w:val="9"/>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lang w:val="en-US" w:eastAsia="zh-CN"/>
        </w:rPr>
        <w:t>说明：</w:t>
      </w: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.所有报价均用人民币表示</w:t>
      </w:r>
      <w:r>
        <w:rPr>
          <w:rFonts w:hint="eastAsia" w:ascii="宋体" w:hAnsi="宋体" w:cs="宋体"/>
          <w:b w:val="0"/>
          <w:bCs w:val="0"/>
          <w:color w:val="auto"/>
          <w:sz w:val="24"/>
          <w:szCs w:val="24"/>
          <w:lang w:eastAsia="zh-CN"/>
        </w:rPr>
        <w:t>，</w:t>
      </w:r>
      <w:r>
        <w:rPr>
          <w:rFonts w:hint="eastAsia" w:ascii="宋体" w:hAnsi="宋体" w:eastAsia="宋体" w:cs="宋体"/>
          <w:b w:val="0"/>
          <w:bCs w:val="0"/>
          <w:color w:val="auto"/>
          <w:sz w:val="24"/>
          <w:szCs w:val="24"/>
        </w:rPr>
        <w:t>所报价格是交货地的验收价格，其总价即为履行合同的固定价格。运输、安装、调试、检验、培训、税金和保险等费用以及</w:t>
      </w:r>
      <w:r>
        <w:rPr>
          <w:rFonts w:hint="eastAsia" w:ascii="宋体" w:hAnsi="宋体" w:eastAsia="宋体" w:cs="宋体"/>
          <w:b w:val="0"/>
          <w:bCs w:val="0"/>
          <w:color w:val="auto"/>
          <w:sz w:val="24"/>
          <w:szCs w:val="24"/>
          <w:lang w:eastAsia="zh-CN"/>
        </w:rPr>
        <w:t>谈判文件</w:t>
      </w:r>
      <w:r>
        <w:rPr>
          <w:rFonts w:hint="eastAsia" w:ascii="宋体" w:hAnsi="宋体" w:eastAsia="宋体" w:cs="宋体"/>
          <w:b w:val="0"/>
          <w:bCs w:val="0"/>
          <w:color w:val="auto"/>
          <w:sz w:val="24"/>
          <w:szCs w:val="24"/>
        </w:rPr>
        <w:t>规定的其他费用均应包含在报价中；进口货物请列明含关税、进口环节税的报价和不含关税、进口环节税的报价。</w:t>
      </w:r>
    </w:p>
    <w:p w14:paraId="0E5A4EEA">
      <w:pPr>
        <w:pageBreakBefore w:val="0"/>
        <w:kinsoku/>
        <w:wordWrap/>
        <w:overflowPunct/>
        <w:topLinePunct w:val="0"/>
        <w:bidi w:val="0"/>
        <w:spacing w:line="560" w:lineRule="exact"/>
        <w:ind w:firstLine="2" w:firstLineChars="1"/>
        <w:textAlignment w:val="auto"/>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应完整填写产品的品牌和型号或项目内容。</w:t>
      </w:r>
    </w:p>
    <w:p w14:paraId="42B5D08C">
      <w:pPr>
        <w:pageBreakBefore w:val="0"/>
        <w:kinsoku/>
        <w:wordWrap/>
        <w:overflowPunct/>
        <w:topLinePunct w:val="0"/>
        <w:bidi w:val="0"/>
        <w:spacing w:line="560" w:lineRule="exact"/>
        <w:ind w:firstLine="2" w:firstLineChars="1"/>
        <w:textAlignment w:val="auto"/>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表格长度可根据需要自行调整，表中所列内容为必须填写项目，</w:t>
      </w:r>
      <w:r>
        <w:rPr>
          <w:rFonts w:hint="eastAsia" w:ascii="宋体" w:hAnsi="宋体" w:eastAsia="宋体" w:cs="宋体"/>
          <w:b w:val="0"/>
          <w:bCs w:val="0"/>
          <w:color w:val="auto"/>
          <w:sz w:val="24"/>
          <w:szCs w:val="24"/>
          <w:lang w:val="en-US" w:eastAsia="zh-CN"/>
        </w:rPr>
        <w:t>供应商</w:t>
      </w:r>
      <w:r>
        <w:rPr>
          <w:rFonts w:hint="eastAsia" w:ascii="宋体" w:hAnsi="宋体" w:eastAsia="宋体" w:cs="宋体"/>
          <w:b w:val="0"/>
          <w:bCs w:val="0"/>
          <w:color w:val="auto"/>
          <w:sz w:val="24"/>
          <w:szCs w:val="24"/>
        </w:rPr>
        <w:t>可根据自身情况增加内容。</w:t>
      </w:r>
    </w:p>
    <w:p w14:paraId="6268D374">
      <w:pPr>
        <w:pStyle w:val="4"/>
        <w:pageBreakBefore w:val="0"/>
        <w:kinsoku/>
        <w:wordWrap/>
        <w:overflowPunct/>
        <w:topLinePunct w:val="0"/>
        <w:bidi w:val="0"/>
        <w:spacing w:before="0" w:after="0" w:line="560" w:lineRule="exact"/>
        <w:textAlignment w:val="auto"/>
        <w:rPr>
          <w:rFonts w:hint="default" w:eastAsia="宋体"/>
          <w:b/>
          <w:bCs/>
          <w:color w:val="auto"/>
          <w:sz w:val="24"/>
          <w:szCs w:val="24"/>
          <w:lang w:val="en-US" w:eastAsia="zh-CN"/>
        </w:rPr>
      </w:pPr>
      <w:r>
        <w:rPr>
          <w:rFonts w:hint="eastAsia" w:eastAsia="宋体"/>
          <w:b/>
          <w:bCs/>
          <w:color w:val="auto"/>
          <w:sz w:val="24"/>
          <w:szCs w:val="24"/>
          <w:lang w:val="en-US" w:eastAsia="zh-CN"/>
        </w:rPr>
        <w:t>格式1-3：</w:t>
      </w:r>
      <w:bookmarkStart w:id="356" w:name="_Toc88573252"/>
      <w:r>
        <w:rPr>
          <w:rFonts w:hint="eastAsia" w:eastAsia="宋体"/>
          <w:b/>
          <w:bCs/>
          <w:color w:val="auto"/>
          <w:sz w:val="24"/>
          <w:szCs w:val="24"/>
          <w:lang w:val="zh-CN" w:eastAsia="zh-CN"/>
        </w:rPr>
        <w:t>最</w:t>
      </w:r>
      <w:r>
        <w:rPr>
          <w:rFonts w:hint="eastAsia"/>
          <w:b/>
          <w:bCs/>
          <w:color w:val="auto"/>
          <w:sz w:val="24"/>
          <w:szCs w:val="24"/>
          <w:lang w:val="en-US" w:eastAsia="zh-CN"/>
        </w:rPr>
        <w:t>终</w:t>
      </w:r>
      <w:r>
        <w:rPr>
          <w:rFonts w:hint="eastAsia" w:eastAsia="宋体"/>
          <w:b/>
          <w:bCs/>
          <w:color w:val="auto"/>
          <w:sz w:val="24"/>
          <w:szCs w:val="24"/>
          <w:lang w:val="zh-CN" w:eastAsia="zh-CN"/>
        </w:rPr>
        <w:t>报价明细表</w:t>
      </w:r>
      <w:bookmarkEnd w:id="356"/>
      <w:r>
        <w:rPr>
          <w:rFonts w:hint="eastAsia"/>
          <w:b/>
          <w:bCs/>
          <w:color w:val="auto"/>
          <w:sz w:val="24"/>
          <w:szCs w:val="24"/>
          <w:lang w:val="zh-CN" w:eastAsia="zh-CN"/>
        </w:rPr>
        <w:t>（</w:t>
      </w:r>
      <w:r>
        <w:rPr>
          <w:rFonts w:hint="eastAsia"/>
          <w:b/>
          <w:bCs/>
          <w:color w:val="auto"/>
          <w:sz w:val="24"/>
          <w:szCs w:val="24"/>
          <w:lang w:val="en-US" w:eastAsia="zh-CN"/>
        </w:rPr>
        <w:t>在收到二轮报价通知后，在二轮报价界面附件上传此表</w:t>
      </w:r>
      <w:r>
        <w:rPr>
          <w:rFonts w:hint="eastAsia"/>
          <w:b/>
          <w:bCs/>
          <w:color w:val="auto"/>
          <w:sz w:val="24"/>
          <w:szCs w:val="24"/>
          <w:lang w:val="zh-CN" w:eastAsia="zh-CN"/>
        </w:rPr>
        <w:t>）</w:t>
      </w:r>
    </w:p>
    <w:p w14:paraId="39BEF8FC">
      <w:pPr>
        <w:pageBreakBefore w:val="0"/>
        <w:kinsoku/>
        <w:wordWrap/>
        <w:overflowPunct/>
        <w:topLinePunct w:val="0"/>
        <w:bidi w:val="0"/>
        <w:spacing w:line="560" w:lineRule="exact"/>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项目名称：</w:t>
      </w:r>
      <w:r>
        <w:rPr>
          <w:rFonts w:hint="eastAsia" w:ascii="宋体" w:hAnsi="宋体" w:eastAsia="宋体" w:cs="宋体"/>
          <w:b/>
          <w:color w:val="auto"/>
          <w:spacing w:val="-20"/>
          <w:sz w:val="24"/>
          <w:szCs w:val="24"/>
          <w:u w:val="single"/>
          <w:lang w:val="en-US" w:eastAsia="zh-CN"/>
        </w:rPr>
        <w:t xml:space="preserve">               </w:t>
      </w:r>
      <w:r>
        <w:rPr>
          <w:rFonts w:hint="eastAsia" w:ascii="宋体" w:hAnsi="宋体" w:eastAsia="宋体" w:cs="宋体"/>
          <w:b/>
          <w:color w:val="auto"/>
          <w:spacing w:val="-20"/>
          <w:sz w:val="24"/>
          <w:szCs w:val="24"/>
          <w:u w:val="none"/>
          <w:lang w:val="en-US" w:eastAsia="zh-CN"/>
        </w:rPr>
        <w:t xml:space="preserve">            </w:t>
      </w:r>
      <w:r>
        <w:rPr>
          <w:rFonts w:hint="eastAsia" w:ascii="宋体" w:hAnsi="宋体" w:eastAsia="宋体" w:cs="宋体"/>
          <w:b/>
          <w:color w:val="auto"/>
          <w:sz w:val="24"/>
          <w:szCs w:val="24"/>
        </w:rPr>
        <w:t>项目编号：</w:t>
      </w:r>
      <w:r>
        <w:rPr>
          <w:rFonts w:hint="eastAsia" w:ascii="宋体" w:hAnsi="宋体" w:eastAsia="宋体" w:cs="宋体"/>
          <w:b/>
          <w:color w:val="auto"/>
          <w:sz w:val="24"/>
          <w:szCs w:val="24"/>
          <w:u w:val="single"/>
          <w:lang w:val="en-US" w:eastAsia="zh-CN"/>
        </w:rPr>
        <w:t xml:space="preserve">             </w:t>
      </w:r>
    </w:p>
    <w:tbl>
      <w:tblPr>
        <w:tblStyle w:val="33"/>
        <w:tblW w:w="9577" w:type="dxa"/>
        <w:tblInd w:w="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916"/>
        <w:gridCol w:w="2019"/>
        <w:gridCol w:w="1731"/>
        <w:gridCol w:w="1927"/>
      </w:tblGrid>
      <w:tr w14:paraId="06A52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6" w:hRule="atLeast"/>
        </w:trPr>
        <w:tc>
          <w:tcPr>
            <w:tcW w:w="984" w:type="dxa"/>
            <w:tcBorders>
              <w:top w:val="single" w:color="auto" w:sz="2" w:space="0"/>
              <w:left w:val="single" w:color="auto" w:sz="2" w:space="0"/>
              <w:bottom w:val="single" w:color="auto" w:sz="2" w:space="0"/>
              <w:right w:val="single" w:color="auto" w:sz="2" w:space="0"/>
            </w:tcBorders>
            <w:noWrap w:val="0"/>
            <w:vAlign w:val="center"/>
          </w:tcPr>
          <w:p w14:paraId="37E3A7D1">
            <w:pPr>
              <w:pageBreakBefore w:val="0"/>
              <w:tabs>
                <w:tab w:val="left" w:pos="630"/>
                <w:tab w:val="left" w:pos="7560"/>
              </w:tabs>
              <w:kinsoku/>
              <w:wordWrap/>
              <w:overflowPunct/>
              <w:topLinePunct w:val="0"/>
              <w:bidi w:val="0"/>
              <w:spacing w:after="200"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2916" w:type="dxa"/>
            <w:tcBorders>
              <w:top w:val="single" w:color="auto" w:sz="2" w:space="0"/>
              <w:left w:val="single" w:color="auto" w:sz="2" w:space="0"/>
              <w:bottom w:val="single" w:color="auto" w:sz="2" w:space="0"/>
              <w:right w:val="single" w:color="auto" w:sz="2" w:space="0"/>
            </w:tcBorders>
            <w:noWrap w:val="0"/>
            <w:vAlign w:val="center"/>
          </w:tcPr>
          <w:p w14:paraId="06EA4BB8">
            <w:pPr>
              <w:pageBreakBefore w:val="0"/>
              <w:tabs>
                <w:tab w:val="left" w:pos="630"/>
                <w:tab w:val="left" w:pos="7560"/>
              </w:tabs>
              <w:kinsoku/>
              <w:wordWrap/>
              <w:overflowPunct/>
              <w:topLinePunct w:val="0"/>
              <w:bidi w:val="0"/>
              <w:spacing w:after="200"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货物名称</w:t>
            </w:r>
          </w:p>
        </w:tc>
        <w:tc>
          <w:tcPr>
            <w:tcW w:w="2019" w:type="dxa"/>
            <w:tcBorders>
              <w:top w:val="single" w:color="auto" w:sz="2" w:space="0"/>
              <w:left w:val="single" w:color="auto" w:sz="2" w:space="0"/>
              <w:bottom w:val="single" w:color="auto" w:sz="2" w:space="0"/>
              <w:right w:val="single" w:color="auto" w:sz="2" w:space="0"/>
            </w:tcBorders>
            <w:noWrap w:val="0"/>
            <w:vAlign w:val="center"/>
          </w:tcPr>
          <w:p w14:paraId="5AFA93BE">
            <w:pPr>
              <w:pageBreakBefore w:val="0"/>
              <w:tabs>
                <w:tab w:val="left" w:pos="630"/>
                <w:tab w:val="left" w:pos="7560"/>
              </w:tabs>
              <w:kinsoku/>
              <w:wordWrap/>
              <w:overflowPunct/>
              <w:topLinePunct w:val="0"/>
              <w:bidi w:val="0"/>
              <w:spacing w:after="200"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数量</w:t>
            </w:r>
          </w:p>
        </w:tc>
        <w:tc>
          <w:tcPr>
            <w:tcW w:w="1731" w:type="dxa"/>
            <w:tcBorders>
              <w:top w:val="single" w:color="auto" w:sz="2" w:space="0"/>
              <w:left w:val="single" w:color="auto" w:sz="2" w:space="0"/>
              <w:bottom w:val="single" w:color="auto" w:sz="2" w:space="0"/>
              <w:right w:val="single" w:color="auto" w:sz="2" w:space="0"/>
            </w:tcBorders>
            <w:noWrap w:val="0"/>
            <w:vAlign w:val="center"/>
          </w:tcPr>
          <w:p w14:paraId="36326FAA">
            <w:pPr>
              <w:pageBreakBefore w:val="0"/>
              <w:tabs>
                <w:tab w:val="left" w:pos="630"/>
                <w:tab w:val="left" w:pos="7560"/>
              </w:tabs>
              <w:kinsoku/>
              <w:wordWrap/>
              <w:overflowPunct/>
              <w:topLinePunct w:val="0"/>
              <w:bidi w:val="0"/>
              <w:spacing w:after="200"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单价</w:t>
            </w:r>
          </w:p>
        </w:tc>
        <w:tc>
          <w:tcPr>
            <w:tcW w:w="1927" w:type="dxa"/>
            <w:tcBorders>
              <w:top w:val="single" w:color="auto" w:sz="2" w:space="0"/>
              <w:left w:val="single" w:color="auto" w:sz="2" w:space="0"/>
              <w:bottom w:val="single" w:color="auto" w:sz="2" w:space="0"/>
              <w:right w:val="single" w:color="auto" w:sz="2" w:space="0"/>
            </w:tcBorders>
            <w:noWrap w:val="0"/>
            <w:vAlign w:val="center"/>
          </w:tcPr>
          <w:p w14:paraId="262666BC">
            <w:pPr>
              <w:pageBreakBefore w:val="0"/>
              <w:tabs>
                <w:tab w:val="left" w:pos="630"/>
                <w:tab w:val="left" w:pos="7560"/>
              </w:tabs>
              <w:kinsoku/>
              <w:wordWrap/>
              <w:overflowPunct/>
              <w:topLinePunct w:val="0"/>
              <w:bidi w:val="0"/>
              <w:spacing w:after="200"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总价（单价×数量）</w:t>
            </w:r>
          </w:p>
        </w:tc>
      </w:tr>
      <w:tr w14:paraId="285D7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984" w:type="dxa"/>
            <w:tcBorders>
              <w:top w:val="single" w:color="auto" w:sz="2" w:space="0"/>
              <w:left w:val="single" w:color="auto" w:sz="2" w:space="0"/>
              <w:bottom w:val="single" w:color="auto" w:sz="2" w:space="0"/>
              <w:right w:val="single" w:color="auto" w:sz="2" w:space="0"/>
            </w:tcBorders>
            <w:noWrap w:val="0"/>
            <w:vAlign w:val="center"/>
          </w:tcPr>
          <w:p w14:paraId="5EA35E1B">
            <w:pPr>
              <w:pageBreakBefore w:val="0"/>
              <w:tabs>
                <w:tab w:val="left" w:pos="630"/>
                <w:tab w:val="left" w:pos="7560"/>
              </w:tabs>
              <w:kinsoku/>
              <w:wordWrap/>
              <w:overflowPunct/>
              <w:topLinePunct w:val="0"/>
              <w:bidi w:val="0"/>
              <w:spacing w:after="200"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1</w:t>
            </w:r>
          </w:p>
        </w:tc>
        <w:tc>
          <w:tcPr>
            <w:tcW w:w="2916" w:type="dxa"/>
            <w:tcBorders>
              <w:top w:val="single" w:color="auto" w:sz="2" w:space="0"/>
              <w:left w:val="single" w:color="auto" w:sz="2" w:space="0"/>
              <w:bottom w:val="single" w:color="auto" w:sz="2" w:space="0"/>
              <w:right w:val="single" w:color="auto" w:sz="2" w:space="0"/>
            </w:tcBorders>
            <w:noWrap w:val="0"/>
            <w:vAlign w:val="center"/>
          </w:tcPr>
          <w:p w14:paraId="519ACF44">
            <w:pPr>
              <w:pageBreakBefore w:val="0"/>
              <w:tabs>
                <w:tab w:val="left" w:pos="630"/>
                <w:tab w:val="left" w:pos="7560"/>
              </w:tabs>
              <w:kinsoku/>
              <w:wordWrap/>
              <w:overflowPunct/>
              <w:topLinePunct w:val="0"/>
              <w:bidi w:val="0"/>
              <w:spacing w:after="200" w:line="560" w:lineRule="exact"/>
              <w:textAlignment w:val="auto"/>
              <w:outlineLvl w:val="9"/>
              <w:rPr>
                <w:rFonts w:hint="eastAsia" w:ascii="宋体" w:hAnsi="宋体" w:eastAsia="宋体" w:cs="宋体"/>
                <w:b/>
                <w:bCs/>
                <w:color w:val="auto"/>
                <w:sz w:val="24"/>
                <w:szCs w:val="24"/>
              </w:rPr>
            </w:pPr>
          </w:p>
        </w:tc>
        <w:tc>
          <w:tcPr>
            <w:tcW w:w="2019" w:type="dxa"/>
            <w:tcBorders>
              <w:top w:val="single" w:color="auto" w:sz="2" w:space="0"/>
              <w:left w:val="single" w:color="auto" w:sz="2" w:space="0"/>
              <w:bottom w:val="single" w:color="auto" w:sz="2" w:space="0"/>
              <w:right w:val="single" w:color="auto" w:sz="2" w:space="0"/>
            </w:tcBorders>
            <w:noWrap w:val="0"/>
            <w:vAlign w:val="center"/>
          </w:tcPr>
          <w:p w14:paraId="0EB49C98">
            <w:pPr>
              <w:pageBreakBefore w:val="0"/>
              <w:tabs>
                <w:tab w:val="left" w:pos="630"/>
                <w:tab w:val="left" w:pos="7560"/>
              </w:tabs>
              <w:kinsoku/>
              <w:wordWrap/>
              <w:overflowPunct/>
              <w:topLinePunct w:val="0"/>
              <w:bidi w:val="0"/>
              <w:spacing w:after="200" w:line="560" w:lineRule="exact"/>
              <w:jc w:val="center"/>
              <w:textAlignment w:val="auto"/>
              <w:outlineLvl w:val="9"/>
              <w:rPr>
                <w:rFonts w:hint="eastAsia" w:ascii="宋体" w:hAnsi="宋体" w:eastAsia="宋体" w:cs="宋体"/>
                <w:color w:val="auto"/>
                <w:sz w:val="24"/>
                <w:szCs w:val="24"/>
              </w:rPr>
            </w:pPr>
          </w:p>
        </w:tc>
        <w:tc>
          <w:tcPr>
            <w:tcW w:w="1731" w:type="dxa"/>
            <w:tcBorders>
              <w:top w:val="single" w:color="auto" w:sz="2" w:space="0"/>
              <w:left w:val="single" w:color="auto" w:sz="2" w:space="0"/>
              <w:bottom w:val="single" w:color="auto" w:sz="2" w:space="0"/>
              <w:right w:val="single" w:color="auto" w:sz="2" w:space="0"/>
            </w:tcBorders>
            <w:noWrap w:val="0"/>
            <w:vAlign w:val="center"/>
          </w:tcPr>
          <w:p w14:paraId="01B5F077">
            <w:pPr>
              <w:pageBreakBefore w:val="0"/>
              <w:tabs>
                <w:tab w:val="left" w:pos="630"/>
                <w:tab w:val="left" w:pos="7560"/>
              </w:tabs>
              <w:kinsoku/>
              <w:wordWrap/>
              <w:overflowPunct/>
              <w:topLinePunct w:val="0"/>
              <w:bidi w:val="0"/>
              <w:spacing w:after="200" w:line="560" w:lineRule="exact"/>
              <w:jc w:val="center"/>
              <w:textAlignment w:val="auto"/>
              <w:outlineLvl w:val="9"/>
              <w:rPr>
                <w:rFonts w:hint="eastAsia" w:ascii="宋体" w:hAnsi="宋体" w:eastAsia="宋体" w:cs="宋体"/>
                <w:b/>
                <w:bCs/>
                <w:color w:val="auto"/>
                <w:sz w:val="24"/>
                <w:szCs w:val="24"/>
              </w:rPr>
            </w:pPr>
          </w:p>
        </w:tc>
        <w:tc>
          <w:tcPr>
            <w:tcW w:w="1927" w:type="dxa"/>
            <w:tcBorders>
              <w:top w:val="single" w:color="auto" w:sz="2" w:space="0"/>
              <w:left w:val="single" w:color="auto" w:sz="2" w:space="0"/>
              <w:bottom w:val="single" w:color="auto" w:sz="2" w:space="0"/>
              <w:right w:val="single" w:color="auto" w:sz="2" w:space="0"/>
            </w:tcBorders>
            <w:noWrap w:val="0"/>
            <w:vAlign w:val="center"/>
          </w:tcPr>
          <w:p w14:paraId="3F7DA9DB">
            <w:pPr>
              <w:pageBreakBefore w:val="0"/>
              <w:tabs>
                <w:tab w:val="left" w:pos="630"/>
                <w:tab w:val="left" w:pos="7560"/>
              </w:tabs>
              <w:kinsoku/>
              <w:wordWrap/>
              <w:overflowPunct/>
              <w:topLinePunct w:val="0"/>
              <w:bidi w:val="0"/>
              <w:spacing w:after="200"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color w:val="auto"/>
                <w:sz w:val="24"/>
                <w:szCs w:val="24"/>
                <w:u w:val="single"/>
              </w:rPr>
              <w:t>XX</w:t>
            </w:r>
            <w:r>
              <w:rPr>
                <w:rFonts w:hint="eastAsia" w:ascii="宋体" w:hAnsi="宋体" w:eastAsia="宋体" w:cs="宋体"/>
                <w:color w:val="auto"/>
                <w:sz w:val="24"/>
                <w:szCs w:val="24"/>
              </w:rPr>
              <w:t>元</w:t>
            </w:r>
          </w:p>
        </w:tc>
      </w:tr>
      <w:tr w14:paraId="14958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984" w:type="dxa"/>
            <w:tcBorders>
              <w:top w:val="single" w:color="auto" w:sz="2" w:space="0"/>
              <w:left w:val="single" w:color="auto" w:sz="2" w:space="0"/>
              <w:bottom w:val="single" w:color="auto" w:sz="2" w:space="0"/>
              <w:right w:val="single" w:color="auto" w:sz="2" w:space="0"/>
            </w:tcBorders>
            <w:noWrap w:val="0"/>
            <w:vAlign w:val="center"/>
          </w:tcPr>
          <w:p w14:paraId="1672141C">
            <w:pPr>
              <w:pageBreakBefore w:val="0"/>
              <w:tabs>
                <w:tab w:val="left" w:pos="630"/>
                <w:tab w:val="left" w:pos="7560"/>
              </w:tabs>
              <w:kinsoku/>
              <w:wordWrap/>
              <w:overflowPunct/>
              <w:topLinePunct w:val="0"/>
              <w:bidi w:val="0"/>
              <w:spacing w:after="200" w:line="560" w:lineRule="exact"/>
              <w:jc w:val="center"/>
              <w:textAlignment w:val="auto"/>
              <w:outlineLvl w:val="9"/>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2</w:t>
            </w:r>
          </w:p>
        </w:tc>
        <w:tc>
          <w:tcPr>
            <w:tcW w:w="2916" w:type="dxa"/>
            <w:tcBorders>
              <w:top w:val="single" w:color="auto" w:sz="2" w:space="0"/>
              <w:left w:val="single" w:color="auto" w:sz="2" w:space="0"/>
              <w:bottom w:val="single" w:color="auto" w:sz="2" w:space="0"/>
              <w:right w:val="single" w:color="auto" w:sz="2" w:space="0"/>
            </w:tcBorders>
            <w:noWrap w:val="0"/>
            <w:vAlign w:val="center"/>
          </w:tcPr>
          <w:p w14:paraId="6BA6016F">
            <w:pPr>
              <w:pageBreakBefore w:val="0"/>
              <w:tabs>
                <w:tab w:val="left" w:pos="630"/>
                <w:tab w:val="left" w:pos="7560"/>
              </w:tabs>
              <w:kinsoku/>
              <w:wordWrap/>
              <w:overflowPunct/>
              <w:topLinePunct w:val="0"/>
              <w:bidi w:val="0"/>
              <w:spacing w:after="200" w:line="560" w:lineRule="exact"/>
              <w:textAlignment w:val="auto"/>
              <w:outlineLvl w:val="9"/>
              <w:rPr>
                <w:rFonts w:hint="eastAsia" w:ascii="宋体" w:hAnsi="宋体" w:eastAsia="宋体" w:cs="宋体"/>
                <w:b/>
                <w:bCs/>
                <w:color w:val="auto"/>
                <w:sz w:val="24"/>
                <w:szCs w:val="24"/>
              </w:rPr>
            </w:pPr>
          </w:p>
        </w:tc>
        <w:tc>
          <w:tcPr>
            <w:tcW w:w="2019" w:type="dxa"/>
            <w:tcBorders>
              <w:top w:val="single" w:color="auto" w:sz="2" w:space="0"/>
              <w:left w:val="single" w:color="auto" w:sz="2" w:space="0"/>
              <w:bottom w:val="single" w:color="auto" w:sz="2" w:space="0"/>
              <w:right w:val="single" w:color="auto" w:sz="2" w:space="0"/>
            </w:tcBorders>
            <w:noWrap w:val="0"/>
            <w:vAlign w:val="center"/>
          </w:tcPr>
          <w:p w14:paraId="2FCE3A87">
            <w:pPr>
              <w:pageBreakBefore w:val="0"/>
              <w:tabs>
                <w:tab w:val="left" w:pos="630"/>
                <w:tab w:val="left" w:pos="7560"/>
              </w:tabs>
              <w:kinsoku/>
              <w:wordWrap/>
              <w:overflowPunct/>
              <w:topLinePunct w:val="0"/>
              <w:bidi w:val="0"/>
              <w:spacing w:after="200" w:line="560" w:lineRule="exact"/>
              <w:jc w:val="center"/>
              <w:textAlignment w:val="auto"/>
              <w:outlineLvl w:val="9"/>
              <w:rPr>
                <w:rFonts w:hint="eastAsia" w:ascii="宋体" w:hAnsi="宋体" w:eastAsia="宋体" w:cs="宋体"/>
                <w:color w:val="auto"/>
                <w:sz w:val="24"/>
                <w:szCs w:val="24"/>
              </w:rPr>
            </w:pPr>
          </w:p>
        </w:tc>
        <w:tc>
          <w:tcPr>
            <w:tcW w:w="1731" w:type="dxa"/>
            <w:tcBorders>
              <w:top w:val="single" w:color="auto" w:sz="2" w:space="0"/>
              <w:left w:val="single" w:color="auto" w:sz="2" w:space="0"/>
              <w:bottom w:val="single" w:color="auto" w:sz="2" w:space="0"/>
              <w:right w:val="single" w:color="auto" w:sz="2" w:space="0"/>
            </w:tcBorders>
            <w:noWrap w:val="0"/>
            <w:vAlign w:val="center"/>
          </w:tcPr>
          <w:p w14:paraId="744FD9D0">
            <w:pPr>
              <w:pageBreakBefore w:val="0"/>
              <w:tabs>
                <w:tab w:val="left" w:pos="630"/>
                <w:tab w:val="left" w:pos="7560"/>
              </w:tabs>
              <w:kinsoku/>
              <w:wordWrap/>
              <w:overflowPunct/>
              <w:topLinePunct w:val="0"/>
              <w:bidi w:val="0"/>
              <w:spacing w:after="200" w:line="560" w:lineRule="exact"/>
              <w:jc w:val="center"/>
              <w:textAlignment w:val="auto"/>
              <w:outlineLvl w:val="9"/>
              <w:rPr>
                <w:rFonts w:hint="eastAsia" w:ascii="宋体" w:hAnsi="宋体" w:eastAsia="宋体" w:cs="宋体"/>
                <w:b/>
                <w:bCs/>
                <w:color w:val="auto"/>
                <w:sz w:val="24"/>
                <w:szCs w:val="24"/>
              </w:rPr>
            </w:pPr>
          </w:p>
        </w:tc>
        <w:tc>
          <w:tcPr>
            <w:tcW w:w="1927" w:type="dxa"/>
            <w:tcBorders>
              <w:top w:val="single" w:color="auto" w:sz="2" w:space="0"/>
              <w:left w:val="single" w:color="auto" w:sz="2" w:space="0"/>
              <w:bottom w:val="single" w:color="auto" w:sz="2" w:space="0"/>
              <w:right w:val="single" w:color="auto" w:sz="2" w:space="0"/>
            </w:tcBorders>
            <w:noWrap w:val="0"/>
            <w:vAlign w:val="center"/>
          </w:tcPr>
          <w:p w14:paraId="33FAF852">
            <w:pPr>
              <w:pageBreakBefore w:val="0"/>
              <w:tabs>
                <w:tab w:val="left" w:pos="630"/>
                <w:tab w:val="left" w:pos="7560"/>
              </w:tabs>
              <w:kinsoku/>
              <w:wordWrap/>
              <w:overflowPunct/>
              <w:topLinePunct w:val="0"/>
              <w:bidi w:val="0"/>
              <w:spacing w:after="200" w:line="560" w:lineRule="exact"/>
              <w:jc w:val="center"/>
              <w:textAlignment w:val="auto"/>
              <w:outlineLvl w:val="9"/>
              <w:rPr>
                <w:rFonts w:hint="eastAsia" w:ascii="宋体" w:hAnsi="宋体" w:eastAsia="宋体" w:cs="宋体"/>
                <w:color w:val="auto"/>
                <w:sz w:val="24"/>
                <w:szCs w:val="24"/>
                <w:u w:val="single"/>
              </w:rPr>
            </w:pPr>
          </w:p>
        </w:tc>
      </w:tr>
      <w:tr w14:paraId="398D6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984" w:type="dxa"/>
            <w:tcBorders>
              <w:top w:val="single" w:color="auto" w:sz="2" w:space="0"/>
              <w:left w:val="single" w:color="auto" w:sz="2" w:space="0"/>
              <w:bottom w:val="single" w:color="auto" w:sz="2" w:space="0"/>
              <w:right w:val="single" w:color="auto" w:sz="2" w:space="0"/>
            </w:tcBorders>
            <w:noWrap w:val="0"/>
            <w:vAlign w:val="center"/>
          </w:tcPr>
          <w:p w14:paraId="0C6509B9">
            <w:pPr>
              <w:pageBreakBefore w:val="0"/>
              <w:tabs>
                <w:tab w:val="left" w:pos="630"/>
                <w:tab w:val="left" w:pos="7560"/>
              </w:tabs>
              <w:kinsoku/>
              <w:wordWrap/>
              <w:overflowPunct/>
              <w:topLinePunct w:val="0"/>
              <w:bidi w:val="0"/>
              <w:spacing w:after="200" w:line="560" w:lineRule="exact"/>
              <w:jc w:val="center"/>
              <w:textAlignment w:val="auto"/>
              <w:outlineLvl w:val="9"/>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3</w:t>
            </w:r>
          </w:p>
        </w:tc>
        <w:tc>
          <w:tcPr>
            <w:tcW w:w="2916" w:type="dxa"/>
            <w:tcBorders>
              <w:top w:val="single" w:color="auto" w:sz="2" w:space="0"/>
              <w:left w:val="single" w:color="auto" w:sz="2" w:space="0"/>
              <w:bottom w:val="single" w:color="auto" w:sz="2" w:space="0"/>
              <w:right w:val="single" w:color="auto" w:sz="2" w:space="0"/>
            </w:tcBorders>
            <w:noWrap w:val="0"/>
            <w:vAlign w:val="center"/>
          </w:tcPr>
          <w:p w14:paraId="4CFDEC1A">
            <w:pPr>
              <w:pageBreakBefore w:val="0"/>
              <w:tabs>
                <w:tab w:val="left" w:pos="630"/>
                <w:tab w:val="left" w:pos="7560"/>
              </w:tabs>
              <w:kinsoku/>
              <w:wordWrap/>
              <w:overflowPunct/>
              <w:topLinePunct w:val="0"/>
              <w:bidi w:val="0"/>
              <w:spacing w:after="200" w:line="560" w:lineRule="exact"/>
              <w:textAlignment w:val="auto"/>
              <w:outlineLvl w:val="9"/>
              <w:rPr>
                <w:rFonts w:hint="eastAsia" w:ascii="宋体" w:hAnsi="宋体" w:eastAsia="宋体" w:cs="宋体"/>
                <w:b/>
                <w:bCs/>
                <w:color w:val="auto"/>
                <w:sz w:val="24"/>
                <w:szCs w:val="24"/>
              </w:rPr>
            </w:pPr>
          </w:p>
        </w:tc>
        <w:tc>
          <w:tcPr>
            <w:tcW w:w="2019" w:type="dxa"/>
            <w:tcBorders>
              <w:top w:val="single" w:color="auto" w:sz="2" w:space="0"/>
              <w:left w:val="single" w:color="auto" w:sz="2" w:space="0"/>
              <w:bottom w:val="single" w:color="auto" w:sz="2" w:space="0"/>
              <w:right w:val="single" w:color="auto" w:sz="2" w:space="0"/>
            </w:tcBorders>
            <w:noWrap w:val="0"/>
            <w:vAlign w:val="center"/>
          </w:tcPr>
          <w:p w14:paraId="377614A6">
            <w:pPr>
              <w:pageBreakBefore w:val="0"/>
              <w:tabs>
                <w:tab w:val="left" w:pos="630"/>
                <w:tab w:val="left" w:pos="7560"/>
              </w:tabs>
              <w:kinsoku/>
              <w:wordWrap/>
              <w:overflowPunct/>
              <w:topLinePunct w:val="0"/>
              <w:bidi w:val="0"/>
              <w:spacing w:after="200" w:line="560" w:lineRule="exact"/>
              <w:jc w:val="center"/>
              <w:textAlignment w:val="auto"/>
              <w:outlineLvl w:val="9"/>
              <w:rPr>
                <w:rFonts w:hint="eastAsia" w:ascii="宋体" w:hAnsi="宋体" w:eastAsia="宋体" w:cs="宋体"/>
                <w:color w:val="auto"/>
                <w:sz w:val="24"/>
                <w:szCs w:val="24"/>
              </w:rPr>
            </w:pPr>
          </w:p>
        </w:tc>
        <w:tc>
          <w:tcPr>
            <w:tcW w:w="1731" w:type="dxa"/>
            <w:tcBorders>
              <w:top w:val="single" w:color="auto" w:sz="2" w:space="0"/>
              <w:left w:val="single" w:color="auto" w:sz="2" w:space="0"/>
              <w:bottom w:val="single" w:color="auto" w:sz="2" w:space="0"/>
              <w:right w:val="single" w:color="auto" w:sz="2" w:space="0"/>
            </w:tcBorders>
            <w:noWrap w:val="0"/>
            <w:vAlign w:val="center"/>
          </w:tcPr>
          <w:p w14:paraId="2363C646">
            <w:pPr>
              <w:pageBreakBefore w:val="0"/>
              <w:tabs>
                <w:tab w:val="left" w:pos="630"/>
                <w:tab w:val="left" w:pos="7560"/>
              </w:tabs>
              <w:kinsoku/>
              <w:wordWrap/>
              <w:overflowPunct/>
              <w:topLinePunct w:val="0"/>
              <w:bidi w:val="0"/>
              <w:spacing w:after="200" w:line="560" w:lineRule="exact"/>
              <w:jc w:val="center"/>
              <w:textAlignment w:val="auto"/>
              <w:outlineLvl w:val="9"/>
              <w:rPr>
                <w:rFonts w:hint="eastAsia" w:ascii="宋体" w:hAnsi="宋体" w:eastAsia="宋体" w:cs="宋体"/>
                <w:b/>
                <w:bCs/>
                <w:color w:val="auto"/>
                <w:sz w:val="24"/>
                <w:szCs w:val="24"/>
              </w:rPr>
            </w:pPr>
          </w:p>
        </w:tc>
        <w:tc>
          <w:tcPr>
            <w:tcW w:w="1927" w:type="dxa"/>
            <w:tcBorders>
              <w:top w:val="single" w:color="auto" w:sz="2" w:space="0"/>
              <w:left w:val="single" w:color="auto" w:sz="2" w:space="0"/>
              <w:bottom w:val="single" w:color="auto" w:sz="2" w:space="0"/>
              <w:right w:val="single" w:color="auto" w:sz="2" w:space="0"/>
            </w:tcBorders>
            <w:noWrap w:val="0"/>
            <w:vAlign w:val="center"/>
          </w:tcPr>
          <w:p w14:paraId="59E0EDC3">
            <w:pPr>
              <w:pageBreakBefore w:val="0"/>
              <w:tabs>
                <w:tab w:val="left" w:pos="630"/>
                <w:tab w:val="left" w:pos="7560"/>
              </w:tabs>
              <w:kinsoku/>
              <w:wordWrap/>
              <w:overflowPunct/>
              <w:topLinePunct w:val="0"/>
              <w:bidi w:val="0"/>
              <w:spacing w:after="200" w:line="560" w:lineRule="exact"/>
              <w:jc w:val="center"/>
              <w:textAlignment w:val="auto"/>
              <w:outlineLvl w:val="9"/>
              <w:rPr>
                <w:rFonts w:hint="eastAsia" w:ascii="宋体" w:hAnsi="宋体" w:eastAsia="宋体" w:cs="宋体"/>
                <w:color w:val="auto"/>
                <w:sz w:val="24"/>
                <w:szCs w:val="24"/>
                <w:u w:val="single"/>
              </w:rPr>
            </w:pPr>
          </w:p>
        </w:tc>
      </w:tr>
      <w:tr w14:paraId="17F91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7650" w:type="dxa"/>
            <w:gridSpan w:val="4"/>
            <w:tcBorders>
              <w:top w:val="single" w:color="auto" w:sz="2" w:space="0"/>
              <w:left w:val="single" w:color="auto" w:sz="2" w:space="0"/>
              <w:bottom w:val="single" w:color="auto" w:sz="2" w:space="0"/>
              <w:right w:val="single" w:color="auto" w:sz="2" w:space="0"/>
            </w:tcBorders>
            <w:noWrap w:val="0"/>
            <w:vAlign w:val="center"/>
          </w:tcPr>
          <w:p w14:paraId="197752DC">
            <w:pPr>
              <w:pageBreakBefore w:val="0"/>
              <w:tabs>
                <w:tab w:val="left" w:pos="630"/>
                <w:tab w:val="left" w:pos="7560"/>
              </w:tabs>
              <w:kinsoku/>
              <w:wordWrap/>
              <w:overflowPunct/>
              <w:topLinePunct w:val="0"/>
              <w:bidi w:val="0"/>
              <w:spacing w:after="200"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最后报价（总价合计）</w:t>
            </w:r>
          </w:p>
        </w:tc>
        <w:tc>
          <w:tcPr>
            <w:tcW w:w="1927" w:type="dxa"/>
            <w:tcBorders>
              <w:top w:val="single" w:color="auto" w:sz="2" w:space="0"/>
              <w:left w:val="single" w:color="auto" w:sz="2" w:space="0"/>
              <w:bottom w:val="single" w:color="auto" w:sz="2" w:space="0"/>
              <w:right w:val="single" w:color="auto" w:sz="2" w:space="0"/>
            </w:tcBorders>
            <w:noWrap w:val="0"/>
            <w:vAlign w:val="center"/>
          </w:tcPr>
          <w:p w14:paraId="265575FF">
            <w:pPr>
              <w:pageBreakBefore w:val="0"/>
              <w:tabs>
                <w:tab w:val="left" w:pos="630"/>
                <w:tab w:val="left" w:pos="7560"/>
              </w:tabs>
              <w:kinsoku/>
              <w:wordWrap/>
              <w:overflowPunct/>
              <w:topLinePunct w:val="0"/>
              <w:bidi w:val="0"/>
              <w:spacing w:after="200"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color w:val="auto"/>
                <w:sz w:val="24"/>
                <w:szCs w:val="24"/>
                <w:u w:val="single"/>
              </w:rPr>
              <w:t>XX</w:t>
            </w:r>
            <w:r>
              <w:rPr>
                <w:rFonts w:hint="eastAsia" w:ascii="宋体" w:hAnsi="宋体" w:eastAsia="宋体" w:cs="宋体"/>
                <w:color w:val="auto"/>
                <w:sz w:val="24"/>
                <w:szCs w:val="24"/>
              </w:rPr>
              <w:t>元</w:t>
            </w:r>
          </w:p>
        </w:tc>
      </w:tr>
    </w:tbl>
    <w:p w14:paraId="1A64F630">
      <w:pPr>
        <w:pageBreakBefore w:val="0"/>
        <w:widowControl/>
        <w:kinsoku/>
        <w:wordWrap/>
        <w:overflowPunct/>
        <w:topLinePunct w:val="0"/>
        <w:bidi w:val="0"/>
        <w:spacing w:after="120" w:line="560" w:lineRule="exact"/>
        <w:ind w:firstLine="480" w:firstLineChars="200"/>
        <w:jc w:val="left"/>
        <w:textAlignment w:val="auto"/>
        <w:outlineLvl w:val="9"/>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供应商名称：</w:t>
      </w:r>
    </w:p>
    <w:p w14:paraId="45B9928E">
      <w:pPr>
        <w:pageBreakBefore w:val="0"/>
        <w:widowControl/>
        <w:kinsoku/>
        <w:wordWrap/>
        <w:overflowPunct/>
        <w:topLinePunct w:val="0"/>
        <w:bidi w:val="0"/>
        <w:spacing w:line="560" w:lineRule="exact"/>
        <w:ind w:firstLine="360" w:firstLineChars="150"/>
        <w:jc w:val="left"/>
        <w:textAlignment w:val="auto"/>
        <w:outlineLvl w:val="9"/>
        <w:rPr>
          <w:rFonts w:hint="eastAsia" w:ascii="宋体" w:hAnsi="宋体" w:eastAsia="宋体" w:cs="宋体"/>
          <w:bCs/>
          <w:color w:val="auto"/>
          <w:kern w:val="0"/>
          <w:sz w:val="24"/>
          <w:szCs w:val="24"/>
        </w:rPr>
      </w:pPr>
      <w:r>
        <w:rPr>
          <w:rFonts w:hint="eastAsia" w:ascii="宋体" w:hAnsi="宋体" w:eastAsia="宋体" w:cs="宋体"/>
          <w:color w:val="auto"/>
          <w:kern w:val="0"/>
          <w:sz w:val="24"/>
          <w:szCs w:val="24"/>
        </w:rPr>
        <w:t>日期：</w:t>
      </w:r>
      <w:r>
        <w:rPr>
          <w:rFonts w:hint="eastAsia" w:ascii="宋体" w:hAnsi="宋体" w:eastAsia="宋体" w:cs="宋体"/>
          <w:bCs/>
          <w:color w:val="auto"/>
          <w:kern w:val="0"/>
          <w:sz w:val="24"/>
          <w:szCs w:val="24"/>
          <w:lang w:val="en-US" w:eastAsia="zh-CN"/>
        </w:rPr>
        <w:t xml:space="preserve">   </w:t>
      </w:r>
      <w:r>
        <w:rPr>
          <w:rFonts w:hint="eastAsia" w:ascii="宋体" w:hAnsi="宋体" w:eastAsia="宋体" w:cs="宋体"/>
          <w:bCs/>
          <w:color w:val="auto"/>
          <w:kern w:val="0"/>
          <w:sz w:val="24"/>
          <w:szCs w:val="24"/>
        </w:rPr>
        <w:t>年</w:t>
      </w:r>
      <w:r>
        <w:rPr>
          <w:rFonts w:hint="eastAsia" w:ascii="宋体" w:hAnsi="宋体" w:eastAsia="宋体" w:cs="宋体"/>
          <w:bCs/>
          <w:color w:val="auto"/>
          <w:kern w:val="0"/>
          <w:sz w:val="24"/>
          <w:szCs w:val="24"/>
          <w:lang w:val="en-US" w:eastAsia="zh-CN"/>
        </w:rPr>
        <w:t xml:space="preserve">  </w:t>
      </w:r>
      <w:r>
        <w:rPr>
          <w:rFonts w:hint="eastAsia" w:ascii="宋体" w:hAnsi="宋体" w:eastAsia="宋体" w:cs="宋体"/>
          <w:bCs/>
          <w:color w:val="auto"/>
          <w:kern w:val="0"/>
          <w:sz w:val="24"/>
          <w:szCs w:val="24"/>
        </w:rPr>
        <w:t>月</w:t>
      </w:r>
      <w:r>
        <w:rPr>
          <w:rFonts w:hint="eastAsia" w:ascii="宋体" w:hAnsi="宋体" w:eastAsia="宋体" w:cs="宋体"/>
          <w:bCs/>
          <w:color w:val="auto"/>
          <w:kern w:val="0"/>
          <w:sz w:val="24"/>
          <w:szCs w:val="24"/>
          <w:lang w:val="en-US" w:eastAsia="zh-CN"/>
        </w:rPr>
        <w:t xml:space="preserve">  </w:t>
      </w:r>
      <w:r>
        <w:rPr>
          <w:rFonts w:hint="eastAsia" w:ascii="宋体" w:hAnsi="宋体" w:eastAsia="宋体" w:cs="宋体"/>
          <w:bCs/>
          <w:color w:val="auto"/>
          <w:kern w:val="0"/>
          <w:sz w:val="24"/>
          <w:szCs w:val="24"/>
        </w:rPr>
        <w:t>日</w:t>
      </w:r>
    </w:p>
    <w:p w14:paraId="0E0C5755">
      <w:pPr>
        <w:pageBreakBefore w:val="0"/>
        <w:widowControl/>
        <w:kinsoku/>
        <w:wordWrap/>
        <w:overflowPunct/>
        <w:topLinePunct w:val="0"/>
        <w:bidi w:val="0"/>
        <w:spacing w:line="560" w:lineRule="exact"/>
        <w:ind w:firstLine="357" w:firstLineChars="149"/>
        <w:jc w:val="left"/>
        <w:textAlignment w:val="auto"/>
        <w:outlineLvl w:val="9"/>
        <w:rPr>
          <w:rFonts w:hint="eastAsia" w:ascii="宋体" w:hAnsi="宋体" w:eastAsia="宋体" w:cs="宋体"/>
          <w:color w:val="auto"/>
          <w:sz w:val="24"/>
          <w:szCs w:val="24"/>
        </w:rPr>
      </w:pPr>
      <w:r>
        <w:rPr>
          <w:rFonts w:hint="eastAsia" w:ascii="宋体" w:hAnsi="宋体" w:eastAsia="宋体" w:cs="宋体"/>
          <w:b/>
          <w:color w:val="auto"/>
          <w:kern w:val="0"/>
          <w:sz w:val="24"/>
          <w:szCs w:val="24"/>
        </w:rPr>
        <w:t>说明：</w:t>
      </w:r>
      <w:r>
        <w:rPr>
          <w:rFonts w:hint="eastAsia" w:ascii="宋体" w:hAnsi="宋体" w:cs="宋体"/>
          <w:b/>
          <w:color w:val="auto"/>
          <w:kern w:val="0"/>
          <w:sz w:val="24"/>
          <w:szCs w:val="24"/>
          <w:lang w:val="en-US" w:eastAsia="zh-CN"/>
        </w:rPr>
        <w:t>此表</w:t>
      </w:r>
      <w:r>
        <w:rPr>
          <w:rFonts w:hint="eastAsia" w:ascii="宋体" w:hAnsi="宋体" w:eastAsia="宋体" w:cs="宋体"/>
          <w:b/>
          <w:color w:val="auto"/>
          <w:kern w:val="0"/>
          <w:sz w:val="24"/>
          <w:szCs w:val="24"/>
        </w:rPr>
        <w:t>由供应商按谈判小组的要求在最</w:t>
      </w:r>
      <w:r>
        <w:rPr>
          <w:rFonts w:hint="eastAsia" w:ascii="宋体" w:hAnsi="宋体" w:cs="宋体"/>
          <w:b/>
          <w:color w:val="auto"/>
          <w:kern w:val="0"/>
          <w:sz w:val="24"/>
          <w:szCs w:val="24"/>
          <w:lang w:val="en-US" w:eastAsia="zh-CN"/>
        </w:rPr>
        <w:t>终</w:t>
      </w:r>
      <w:r>
        <w:rPr>
          <w:rFonts w:hint="eastAsia" w:ascii="宋体" w:hAnsi="宋体" w:eastAsia="宋体" w:cs="宋体"/>
          <w:b/>
          <w:color w:val="auto"/>
          <w:kern w:val="0"/>
          <w:sz w:val="24"/>
          <w:szCs w:val="24"/>
        </w:rPr>
        <w:t>报价环节</w:t>
      </w:r>
      <w:r>
        <w:rPr>
          <w:rFonts w:hint="eastAsia" w:ascii="宋体" w:hAnsi="宋体" w:eastAsia="宋体" w:cs="宋体"/>
          <w:b/>
          <w:color w:val="auto"/>
          <w:kern w:val="0"/>
          <w:sz w:val="24"/>
          <w:szCs w:val="24"/>
          <w:lang w:val="en-US" w:eastAsia="zh-CN"/>
        </w:rPr>
        <w:t>规定时间内</w:t>
      </w:r>
      <w:r>
        <w:rPr>
          <w:rFonts w:hint="eastAsia" w:ascii="宋体" w:hAnsi="宋体" w:eastAsia="宋体" w:cs="宋体"/>
          <w:b/>
          <w:color w:val="auto"/>
          <w:kern w:val="0"/>
          <w:sz w:val="24"/>
          <w:szCs w:val="24"/>
        </w:rPr>
        <w:t>提交。</w:t>
      </w:r>
    </w:p>
    <w:p w14:paraId="5C4B390B">
      <w:pPr>
        <w:pStyle w:val="10"/>
        <w:pageBreakBefore w:val="0"/>
        <w:kinsoku/>
        <w:wordWrap/>
        <w:overflowPunct/>
        <w:topLinePunct w:val="0"/>
        <w:bidi w:val="0"/>
        <w:spacing w:after="0" w:line="560" w:lineRule="exact"/>
        <w:textAlignment w:val="auto"/>
        <w:rPr>
          <w:rFonts w:hint="eastAsia" w:ascii="宋体" w:hAnsi="宋体" w:eastAsia="宋体" w:cs="宋体"/>
          <w:b/>
          <w:bCs/>
          <w:color w:val="auto"/>
          <w:kern w:val="2"/>
          <w:sz w:val="24"/>
          <w:szCs w:val="24"/>
          <w:lang w:val="en-US" w:eastAsia="zh-CN" w:bidi="ar-SA"/>
        </w:rPr>
      </w:pPr>
    </w:p>
    <w:p w14:paraId="335BC04E">
      <w:pPr>
        <w:pStyle w:val="3"/>
        <w:pageBreakBefore w:val="0"/>
        <w:kinsoku/>
        <w:wordWrap/>
        <w:overflowPunct/>
        <w:topLinePunct w:val="0"/>
        <w:bidi w:val="0"/>
        <w:spacing w:before="0" w:after="0" w:line="560" w:lineRule="exact"/>
        <w:jc w:val="center"/>
        <w:textAlignment w:val="auto"/>
        <w:rPr>
          <w:rFonts w:hint="eastAsia"/>
          <w:color w:val="auto"/>
          <w:sz w:val="24"/>
          <w:szCs w:val="24"/>
          <w:lang w:val="en-US" w:eastAsia="zh-CN"/>
        </w:rPr>
      </w:pPr>
      <w:bookmarkStart w:id="357" w:name="_Toc25947"/>
      <w:bookmarkStart w:id="358" w:name="_Toc24845"/>
      <w:bookmarkStart w:id="359" w:name="_Toc6525"/>
      <w:bookmarkStart w:id="360" w:name="_Toc15203"/>
      <w:bookmarkStart w:id="361" w:name="_Toc11328"/>
      <w:r>
        <w:rPr>
          <w:rFonts w:hint="eastAsia"/>
          <w:color w:val="auto"/>
          <w:sz w:val="24"/>
          <w:szCs w:val="24"/>
          <w:lang w:val="en-US" w:eastAsia="zh-CN"/>
        </w:rPr>
        <w:t>二、资格证明文件</w:t>
      </w:r>
      <w:bookmarkEnd w:id="357"/>
      <w:bookmarkEnd w:id="358"/>
      <w:bookmarkEnd w:id="359"/>
      <w:bookmarkEnd w:id="360"/>
      <w:bookmarkEnd w:id="361"/>
    </w:p>
    <w:p w14:paraId="390DE56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应填写和提交下述规定的有关证明材料以及其他有关资料。</w:t>
      </w:r>
    </w:p>
    <w:p w14:paraId="412B76F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2.所附格式要求填写的全部内容都必须填写。</w:t>
      </w:r>
    </w:p>
    <w:p w14:paraId="17C1C57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资格声明的签字人应保证全部声明和填写的内容是真实的和正确的。</w:t>
      </w:r>
    </w:p>
    <w:p w14:paraId="07868E6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提交的材料将被保密。</w:t>
      </w:r>
    </w:p>
    <w:p w14:paraId="344FD6E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该部分资格证明文件将作为对</w:t>
      </w:r>
      <w:r>
        <w:rPr>
          <w:rFonts w:hint="eastAsia" w:ascii="宋体" w:hAnsi="宋体" w:eastAsia="宋体" w:cs="宋体"/>
          <w:b/>
          <w:bCs/>
          <w:color w:val="auto"/>
          <w:sz w:val="24"/>
          <w:szCs w:val="24"/>
          <w:lang w:val="en-US" w:eastAsia="zh-CN"/>
        </w:rPr>
        <w:t>供应商</w:t>
      </w:r>
      <w:r>
        <w:rPr>
          <w:rFonts w:hint="eastAsia" w:ascii="宋体" w:hAnsi="宋体" w:eastAsia="宋体" w:cs="宋体"/>
          <w:b/>
          <w:bCs/>
          <w:color w:val="auto"/>
          <w:sz w:val="24"/>
          <w:szCs w:val="24"/>
        </w:rPr>
        <w:t>资格要求部分的评审依据，未按要求提交的</w:t>
      </w:r>
      <w:r>
        <w:rPr>
          <w:rFonts w:hint="eastAsia" w:ascii="宋体" w:hAnsi="宋体" w:eastAsia="宋体" w:cs="宋体"/>
          <w:b/>
          <w:bCs/>
          <w:color w:val="auto"/>
          <w:sz w:val="24"/>
          <w:szCs w:val="24"/>
          <w:lang w:val="en-US" w:eastAsia="zh-CN"/>
        </w:rPr>
        <w:t>供应商</w:t>
      </w:r>
      <w:r>
        <w:rPr>
          <w:rFonts w:hint="eastAsia" w:ascii="宋体" w:hAnsi="宋体" w:eastAsia="宋体" w:cs="宋体"/>
          <w:b/>
          <w:bCs/>
          <w:color w:val="auto"/>
          <w:sz w:val="24"/>
          <w:szCs w:val="24"/>
        </w:rPr>
        <w:t>将不能通过资格性审查。</w:t>
      </w:r>
    </w:p>
    <w:p w14:paraId="6EB10452">
      <w:pPr>
        <w:keepNext w:val="0"/>
        <w:keepLines w:val="0"/>
        <w:pageBreakBefore w:val="0"/>
        <w:kinsoku/>
        <w:wordWrap/>
        <w:overflowPunct/>
        <w:topLinePunct w:val="0"/>
        <w:bidi w:val="0"/>
        <w:spacing w:line="560" w:lineRule="exact"/>
        <w:ind w:firstLine="470" w:firstLineChars="196"/>
        <w:textAlignment w:val="auto"/>
        <w:outlineLvl w:val="9"/>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6.资格审查通过条件详见第五章“第二条谈判程序第一点资格审查”部分。</w:t>
      </w:r>
    </w:p>
    <w:p w14:paraId="69C70587">
      <w:pPr>
        <w:pStyle w:val="32"/>
        <w:pageBreakBefore w:val="0"/>
        <w:kinsoku/>
        <w:wordWrap/>
        <w:overflowPunct/>
        <w:topLinePunct w:val="0"/>
        <w:bidi w:val="0"/>
        <w:spacing w:line="560" w:lineRule="exact"/>
        <w:ind w:left="0" w:leftChars="0" w:firstLine="0" w:firstLineChars="0"/>
        <w:textAlignment w:val="auto"/>
        <w:outlineLvl w:val="9"/>
        <w:rPr>
          <w:rFonts w:hint="eastAsia" w:ascii="宋体" w:hAnsi="宋体" w:eastAsia="宋体" w:cs="宋体"/>
          <w:color w:val="auto"/>
          <w:sz w:val="24"/>
          <w:szCs w:val="24"/>
          <w:lang w:val="en-US" w:eastAsia="zh-CN"/>
        </w:rPr>
      </w:pPr>
    </w:p>
    <w:p w14:paraId="157A6E92">
      <w:pPr>
        <w:pStyle w:val="4"/>
        <w:pageBreakBefore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color w:val="auto"/>
          <w:sz w:val="24"/>
          <w:szCs w:val="24"/>
        </w:rPr>
      </w:pPr>
      <w:bookmarkStart w:id="362" w:name="_Toc6943"/>
      <w:bookmarkStart w:id="363" w:name="_Toc16077"/>
      <w:bookmarkStart w:id="364" w:name="_Toc16322"/>
      <w:r>
        <w:rPr>
          <w:rFonts w:hint="eastAsia" w:ascii="宋体" w:hAnsi="宋体" w:eastAsia="宋体" w:cs="宋体"/>
          <w:color w:val="auto"/>
          <w:sz w:val="24"/>
          <w:szCs w:val="24"/>
        </w:rPr>
        <w:t>格式2-1：</w:t>
      </w:r>
      <w:bookmarkEnd w:id="362"/>
      <w:r>
        <w:rPr>
          <w:rFonts w:hint="eastAsia" w:ascii="宋体" w:hAnsi="宋体" w:eastAsia="宋体" w:cs="宋体"/>
          <w:color w:val="auto"/>
          <w:sz w:val="24"/>
          <w:szCs w:val="24"/>
        </w:rPr>
        <w:t>供应商应具有独立承担民事责任的能力</w:t>
      </w:r>
      <w:bookmarkEnd w:id="363"/>
      <w:bookmarkStart w:id="365" w:name="_Toc21315"/>
      <w:r>
        <w:rPr>
          <w:rFonts w:hint="eastAsia" w:ascii="宋体" w:hAnsi="宋体" w:eastAsia="宋体" w:cs="宋体"/>
          <w:color w:val="auto"/>
          <w:sz w:val="24"/>
          <w:szCs w:val="24"/>
          <w:lang w:val="en-US" w:eastAsia="zh-CN"/>
        </w:rPr>
        <w:t>的证明材料</w:t>
      </w:r>
      <w:bookmarkEnd w:id="364"/>
      <w:bookmarkEnd w:id="365"/>
      <w:bookmarkStart w:id="366" w:name="_Toc30737"/>
      <w:bookmarkStart w:id="367" w:name="_Toc3302"/>
    </w:p>
    <w:p w14:paraId="2A03757F">
      <w:pPr>
        <w:pStyle w:val="4"/>
        <w:pageBreakBefore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格式2-2：供应商缴纳税收证明材料</w:t>
      </w:r>
      <w:bookmarkEnd w:id="366"/>
      <w:bookmarkEnd w:id="367"/>
    </w:p>
    <w:p w14:paraId="33747A6C">
      <w:pPr>
        <w:pStyle w:val="4"/>
        <w:pageBreakBefore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color w:val="auto"/>
          <w:sz w:val="24"/>
          <w:szCs w:val="24"/>
        </w:rPr>
      </w:pPr>
      <w:bookmarkStart w:id="368" w:name="_Toc27105"/>
      <w:bookmarkStart w:id="369" w:name="_Toc11286"/>
      <w:bookmarkStart w:id="370" w:name="_Toc21488"/>
      <w:r>
        <w:rPr>
          <w:rFonts w:hint="eastAsia" w:ascii="宋体" w:hAnsi="宋体" w:eastAsia="宋体" w:cs="宋体"/>
          <w:color w:val="auto"/>
          <w:sz w:val="24"/>
          <w:szCs w:val="24"/>
        </w:rPr>
        <w:t>格式2-3：供应商缴纳社保证明材料</w:t>
      </w:r>
      <w:bookmarkEnd w:id="368"/>
      <w:bookmarkEnd w:id="369"/>
      <w:bookmarkEnd w:id="370"/>
    </w:p>
    <w:p w14:paraId="2CB3EFE2">
      <w:pPr>
        <w:pStyle w:val="4"/>
        <w:pageBreakBefore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color w:val="auto"/>
          <w:sz w:val="24"/>
          <w:szCs w:val="24"/>
        </w:rPr>
      </w:pPr>
      <w:bookmarkStart w:id="371" w:name="_Toc18934"/>
      <w:bookmarkStart w:id="372" w:name="_Toc424283044"/>
      <w:bookmarkStart w:id="373" w:name="_Toc481656342"/>
      <w:bookmarkStart w:id="374" w:name="_Toc417378692"/>
      <w:bookmarkStart w:id="375" w:name="_Toc417995149"/>
      <w:bookmarkStart w:id="376" w:name="_Toc413162755"/>
      <w:bookmarkStart w:id="377" w:name="_Toc6493"/>
      <w:bookmarkStart w:id="378" w:name="_Toc30464"/>
      <w:r>
        <w:rPr>
          <w:rFonts w:hint="eastAsia" w:ascii="宋体" w:hAnsi="宋体" w:eastAsia="宋体" w:cs="宋体"/>
          <w:color w:val="auto"/>
          <w:sz w:val="24"/>
          <w:szCs w:val="24"/>
        </w:rPr>
        <w:t>格式2-4：</w:t>
      </w:r>
      <w:bookmarkEnd w:id="371"/>
      <w:bookmarkEnd w:id="372"/>
      <w:bookmarkEnd w:id="373"/>
      <w:bookmarkEnd w:id="374"/>
      <w:bookmarkEnd w:id="375"/>
      <w:bookmarkEnd w:id="376"/>
      <w:bookmarkEnd w:id="377"/>
      <w:bookmarkStart w:id="379" w:name="_Toc2200"/>
      <w:bookmarkStart w:id="380" w:name="_Toc25136"/>
      <w:bookmarkStart w:id="381" w:name="_Toc481656344"/>
      <w:r>
        <w:rPr>
          <w:rFonts w:hint="eastAsia" w:ascii="宋体" w:hAnsi="宋体" w:eastAsia="宋体" w:cs="宋体"/>
          <w:color w:val="auto"/>
          <w:sz w:val="24"/>
          <w:szCs w:val="24"/>
        </w:rPr>
        <w:t>具有健全的财务会计制度</w:t>
      </w:r>
      <w:bookmarkEnd w:id="378"/>
    </w:p>
    <w:p w14:paraId="58BDDCF4">
      <w:pPr>
        <w:pStyle w:val="4"/>
        <w:pageBreakBefore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color w:val="auto"/>
          <w:sz w:val="24"/>
          <w:szCs w:val="24"/>
        </w:rPr>
      </w:pPr>
      <w:bookmarkStart w:id="382" w:name="_Toc16560"/>
      <w:bookmarkStart w:id="383" w:name="_Toc23698"/>
      <w:r>
        <w:rPr>
          <w:rFonts w:hint="eastAsia" w:ascii="宋体" w:hAnsi="宋体" w:eastAsia="宋体" w:cs="宋体"/>
          <w:color w:val="auto"/>
          <w:sz w:val="24"/>
          <w:szCs w:val="24"/>
        </w:rPr>
        <w:t>格式2-5：</w:t>
      </w:r>
      <w:bookmarkStart w:id="384" w:name="_Toc413162756"/>
      <w:bookmarkStart w:id="385" w:name="_Toc448136022"/>
      <w:r>
        <w:rPr>
          <w:rFonts w:hint="eastAsia" w:ascii="宋体" w:hAnsi="宋体" w:eastAsia="宋体" w:cs="宋体"/>
          <w:color w:val="auto"/>
          <w:sz w:val="24"/>
          <w:szCs w:val="24"/>
          <w:lang w:val="en-US" w:eastAsia="zh-CN"/>
        </w:rPr>
        <w:t>具有</w:t>
      </w:r>
      <w:r>
        <w:rPr>
          <w:rFonts w:hint="eastAsia" w:ascii="宋体" w:hAnsi="宋体" w:eastAsia="宋体" w:cs="宋体"/>
          <w:color w:val="auto"/>
          <w:sz w:val="24"/>
          <w:szCs w:val="24"/>
        </w:rPr>
        <w:t>良好的商业信誉</w:t>
      </w:r>
    </w:p>
    <w:p w14:paraId="59C18EBA">
      <w:pPr>
        <w:keepNext w:val="0"/>
        <w:keepLines w:val="0"/>
        <w:pageBreakBefore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宋体" w:hAnsi="宋体" w:eastAsia="宋体" w:cs="宋体"/>
          <w:color w:val="auto"/>
          <w:sz w:val="24"/>
          <w:szCs w:val="24"/>
        </w:rPr>
      </w:pPr>
      <w:bookmarkStart w:id="386" w:name="_Toc17124_WPSOffice_Level2"/>
      <w:r>
        <w:rPr>
          <w:rFonts w:hint="eastAsia" w:ascii="宋体" w:hAnsi="宋体" w:eastAsia="宋体" w:cs="宋体"/>
          <w:b/>
          <w:bCs/>
          <w:color w:val="auto"/>
          <w:sz w:val="24"/>
          <w:szCs w:val="24"/>
          <w:lang w:val="en-US" w:eastAsia="zh-CN"/>
        </w:rPr>
        <w:t>供应商</w:t>
      </w:r>
      <w:r>
        <w:rPr>
          <w:rFonts w:hint="eastAsia" w:ascii="宋体" w:hAnsi="宋体" w:eastAsia="宋体" w:cs="宋体"/>
          <w:b/>
          <w:bCs/>
          <w:color w:val="auto"/>
          <w:sz w:val="24"/>
          <w:szCs w:val="24"/>
        </w:rPr>
        <w:t>声明</w:t>
      </w:r>
      <w:bookmarkEnd w:id="379"/>
      <w:bookmarkEnd w:id="380"/>
      <w:bookmarkEnd w:id="381"/>
      <w:bookmarkEnd w:id="382"/>
      <w:bookmarkEnd w:id="383"/>
      <w:bookmarkEnd w:id="386"/>
    </w:p>
    <w:bookmarkEnd w:id="384"/>
    <w:bookmarkEnd w:id="385"/>
    <w:p w14:paraId="1F57CC29">
      <w:pPr>
        <w:pageBreakBefore w:val="0"/>
        <w:kinsoku/>
        <w:wordWrap/>
        <w:overflowPunct/>
        <w:topLinePunct w:val="0"/>
        <w:autoSpaceDE/>
        <w:autoSpaceDN/>
        <w:bidi w:val="0"/>
        <w:adjustRightInd/>
        <w:snapToGrid/>
        <w:spacing w:line="560" w:lineRule="exact"/>
        <w:ind w:left="0" w:leftChars="0" w:right="0" w:rightChars="0"/>
        <w:textAlignment w:val="auto"/>
        <w:outlineLvl w:val="9"/>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rPr>
        <w:t>致：</w:t>
      </w:r>
      <w:r>
        <w:rPr>
          <w:rFonts w:hint="eastAsia" w:ascii="宋体" w:hAnsi="宋体" w:cs="宋体"/>
          <w:b w:val="0"/>
          <w:bCs/>
          <w:color w:val="auto"/>
          <w:sz w:val="24"/>
          <w:szCs w:val="24"/>
          <w:lang w:val="en-US" w:eastAsia="zh-CN"/>
        </w:rPr>
        <w:t>采购人、采购代理机构</w:t>
      </w:r>
    </w:p>
    <w:p w14:paraId="09D0B876">
      <w:pPr>
        <w:pageBreakBefore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我单位作为</w:t>
      </w:r>
      <w:r>
        <w:rPr>
          <w:rFonts w:hint="eastAsia" w:ascii="宋体" w:hAnsi="宋体" w:eastAsia="宋体" w:cs="宋体"/>
          <w:b/>
          <w:color w:val="auto"/>
          <w:sz w:val="24"/>
          <w:szCs w:val="24"/>
        </w:rPr>
        <w:t>XXX采购项目</w:t>
      </w:r>
      <w:r>
        <w:rPr>
          <w:rFonts w:hint="eastAsia" w:ascii="宋体" w:hAnsi="宋体" w:eastAsia="宋体" w:cs="宋体"/>
          <w:color w:val="auto"/>
          <w:sz w:val="24"/>
          <w:szCs w:val="24"/>
        </w:rPr>
        <w:t>的供应商，在此郑重声明：</w:t>
      </w:r>
    </w:p>
    <w:p w14:paraId="315831E7">
      <w:pPr>
        <w:pageBreakBefore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一、我单位参加政府采购活动前三年内，在经营活动中</w:t>
      </w:r>
      <w:r>
        <w:rPr>
          <w:rFonts w:hint="eastAsia" w:ascii="宋体" w:hAnsi="宋体" w:eastAsia="宋体" w:cs="宋体"/>
          <w:b/>
          <w:color w:val="auto"/>
          <w:sz w:val="24"/>
          <w:szCs w:val="24"/>
          <w:u w:val="single"/>
        </w:rPr>
        <w:t>（说明：填写“无”或“有”</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重大违法记录。</w:t>
      </w:r>
    </w:p>
    <w:p w14:paraId="6CD36B2D">
      <w:pPr>
        <w:pageBreakBefore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b/>
          <w:color w:val="auto"/>
          <w:sz w:val="24"/>
          <w:szCs w:val="24"/>
        </w:rPr>
      </w:pPr>
      <w:r>
        <w:rPr>
          <w:rFonts w:hint="eastAsia" w:ascii="宋体" w:hAnsi="宋体" w:eastAsia="宋体" w:cs="宋体"/>
          <w:color w:val="auto"/>
          <w:sz w:val="24"/>
          <w:szCs w:val="24"/>
        </w:rPr>
        <w:t>二、与我单位存在单位负责人为同一人、直接控股、管理关系的不同供应商：</w:t>
      </w:r>
      <w:r>
        <w:rPr>
          <w:rFonts w:hint="eastAsia" w:ascii="宋体" w:hAnsi="宋体" w:eastAsia="宋体" w:cs="宋体"/>
          <w:b/>
          <w:color w:val="auto"/>
          <w:sz w:val="24"/>
          <w:szCs w:val="24"/>
          <w:u w:val="single"/>
        </w:rPr>
        <w:t>（说明：填写“无”或“（一）供应商名称</w:t>
      </w:r>
      <w:r>
        <w:rPr>
          <w:rFonts w:hint="eastAsia" w:ascii="宋体" w:hAnsi="宋体" w:cs="宋体"/>
          <w:b/>
          <w:color w:val="auto"/>
          <w:sz w:val="24"/>
          <w:szCs w:val="24"/>
          <w:u w:val="single"/>
          <w:lang w:eastAsia="zh-CN"/>
        </w:rPr>
        <w:t>1</w:t>
      </w:r>
      <w:r>
        <w:rPr>
          <w:rFonts w:hint="eastAsia" w:ascii="宋体" w:hAnsi="宋体" w:eastAsia="宋体" w:cs="宋体"/>
          <w:b/>
          <w:color w:val="auto"/>
          <w:sz w:val="24"/>
          <w:szCs w:val="24"/>
          <w:u w:val="single"/>
        </w:rPr>
        <w:t>；（二）供应商名称</w:t>
      </w:r>
      <w:r>
        <w:rPr>
          <w:rFonts w:hint="eastAsia" w:ascii="宋体" w:hAnsi="宋体" w:cs="宋体"/>
          <w:b/>
          <w:color w:val="auto"/>
          <w:sz w:val="24"/>
          <w:szCs w:val="24"/>
          <w:u w:val="single"/>
          <w:lang w:eastAsia="zh-CN"/>
        </w:rPr>
        <w:t>2</w:t>
      </w:r>
      <w:r>
        <w:rPr>
          <w:rFonts w:hint="eastAsia" w:ascii="宋体" w:hAnsi="宋体" w:eastAsia="宋体" w:cs="宋体"/>
          <w:b/>
          <w:color w:val="auto"/>
          <w:sz w:val="24"/>
          <w:szCs w:val="24"/>
          <w:u w:val="single"/>
        </w:rPr>
        <w:t xml:space="preserve"> ；（三）……”）</w:t>
      </w:r>
      <w:r>
        <w:rPr>
          <w:rFonts w:hint="eastAsia" w:ascii="宋体" w:hAnsi="宋体" w:eastAsia="宋体" w:cs="宋体"/>
          <w:b/>
          <w:color w:val="auto"/>
          <w:sz w:val="24"/>
          <w:szCs w:val="24"/>
        </w:rPr>
        <w:t>。</w:t>
      </w:r>
    </w:p>
    <w:p w14:paraId="5622609B">
      <w:pPr>
        <w:pageBreakBefore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rPr>
        <w:t>、我单位</w:t>
      </w:r>
      <w:r>
        <w:rPr>
          <w:rFonts w:hint="eastAsia" w:ascii="宋体" w:hAnsi="宋体" w:eastAsia="宋体" w:cs="宋体"/>
          <w:b/>
          <w:color w:val="auto"/>
          <w:sz w:val="24"/>
          <w:szCs w:val="24"/>
          <w:u w:val="single"/>
        </w:rPr>
        <w:t>（说明：填写“未处于”或“处于”）</w:t>
      </w:r>
      <w:r>
        <w:rPr>
          <w:rFonts w:hint="eastAsia" w:ascii="宋体" w:hAnsi="宋体" w:eastAsia="宋体" w:cs="宋体"/>
          <w:bCs/>
          <w:color w:val="auto"/>
          <w:sz w:val="24"/>
          <w:szCs w:val="24"/>
        </w:rPr>
        <w:t>被行政部门禁止参与政府采购活动的期限内</w:t>
      </w:r>
      <w:r>
        <w:rPr>
          <w:rFonts w:hint="eastAsia" w:ascii="宋体" w:hAnsi="宋体" w:eastAsia="宋体" w:cs="宋体"/>
          <w:color w:val="auto"/>
          <w:sz w:val="24"/>
          <w:szCs w:val="24"/>
        </w:rPr>
        <w:t>。</w:t>
      </w:r>
    </w:p>
    <w:p w14:paraId="5D06E74D">
      <w:pPr>
        <w:pageBreakBefore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color w:val="auto"/>
          <w:sz w:val="24"/>
          <w:szCs w:val="24"/>
        </w:rPr>
      </w:pPr>
    </w:p>
    <w:p w14:paraId="468C208F">
      <w:pPr>
        <w:pageBreakBefore w:val="0"/>
        <w:kinsoku/>
        <w:wordWrap/>
        <w:overflowPunct/>
        <w:topLinePunct w:val="0"/>
        <w:autoSpaceDE/>
        <w:autoSpaceDN/>
        <w:bidi w:val="0"/>
        <w:adjustRightInd/>
        <w:snapToGrid/>
        <w:spacing w:line="560" w:lineRule="exact"/>
        <w:ind w:left="0" w:leftChars="0" w:right="0" w:rightChars="0" w:firstLine="460" w:firstLineChars="192"/>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14:paraId="07B10EF5">
      <w:pPr>
        <w:pStyle w:val="7"/>
        <w:pageBreakBefore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color w:val="auto"/>
          <w:sz w:val="24"/>
          <w:szCs w:val="24"/>
        </w:rPr>
      </w:pPr>
    </w:p>
    <w:p w14:paraId="36E107AE">
      <w:pPr>
        <w:pageBreakBefore w:val="0"/>
        <w:kinsoku/>
        <w:wordWrap/>
        <w:overflowPunct/>
        <w:topLinePunct w:val="0"/>
        <w:autoSpaceDE/>
        <w:autoSpaceDN/>
        <w:bidi w:val="0"/>
        <w:adjustRightInd/>
        <w:snapToGrid/>
        <w:spacing w:line="560" w:lineRule="exact"/>
        <w:ind w:left="0" w:leftChars="0" w:right="0" w:rightChars="0" w:firstLine="460" w:firstLineChars="192"/>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XXXX</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加盖电子公章</w:t>
      </w:r>
      <w:r>
        <w:rPr>
          <w:rFonts w:hint="eastAsia" w:ascii="宋体" w:hAnsi="宋体" w:eastAsia="宋体" w:cs="宋体"/>
          <w:color w:val="auto"/>
          <w:sz w:val="24"/>
          <w:szCs w:val="24"/>
          <w:u w:val="single"/>
          <w:lang w:eastAsia="zh-CN"/>
        </w:rPr>
        <w:t>）</w:t>
      </w:r>
    </w:p>
    <w:p w14:paraId="65227CE2">
      <w:pPr>
        <w:pageBreakBefore w:val="0"/>
        <w:kinsoku/>
        <w:wordWrap/>
        <w:overflowPunct/>
        <w:topLinePunct w:val="0"/>
        <w:autoSpaceDE/>
        <w:autoSpaceDN/>
        <w:bidi w:val="0"/>
        <w:adjustRightInd/>
        <w:snapToGrid/>
        <w:spacing w:line="560" w:lineRule="exact"/>
        <w:ind w:left="0" w:leftChars="0" w:right="0" w:rightChars="0" w:firstLine="525"/>
        <w:textAlignment w:val="auto"/>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日      期：XX年XX月XX日</w:t>
      </w:r>
    </w:p>
    <w:p w14:paraId="286E99B5">
      <w:pPr>
        <w:pStyle w:val="7"/>
        <w:pageBreakBefore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color w:val="auto"/>
          <w:sz w:val="24"/>
          <w:szCs w:val="24"/>
        </w:rPr>
      </w:pPr>
    </w:p>
    <w:p w14:paraId="6FF0735F">
      <w:pPr>
        <w:pageBreakBefore w:val="0"/>
        <w:kinsoku/>
        <w:wordWrap/>
        <w:overflowPunct/>
        <w:topLinePunct w:val="0"/>
        <w:autoSpaceDE/>
        <w:autoSpaceDN/>
        <w:bidi w:val="0"/>
        <w:adjustRightInd/>
        <w:snapToGrid/>
        <w:spacing w:line="560" w:lineRule="exact"/>
        <w:ind w:left="0" w:leftChars="0" w:right="0" w:rightChars="0" w:firstLine="525"/>
        <w:textAlignment w:val="auto"/>
        <w:outlineLvl w:val="9"/>
        <w:rPr>
          <w:rFonts w:hint="eastAsia" w:ascii="宋体" w:hAnsi="宋体" w:eastAsia="宋体" w:cs="宋体"/>
          <w:color w:val="auto"/>
          <w:sz w:val="24"/>
          <w:szCs w:val="24"/>
        </w:rPr>
      </w:pPr>
      <w:r>
        <w:rPr>
          <w:rFonts w:hint="eastAsia" w:ascii="宋体" w:hAnsi="宋体" w:eastAsia="宋体" w:cs="宋体"/>
          <w:bCs/>
          <w:color w:val="auto"/>
          <w:sz w:val="24"/>
          <w:szCs w:val="24"/>
        </w:rPr>
        <w:t>说明：</w:t>
      </w:r>
    </w:p>
    <w:p w14:paraId="2152C57C">
      <w:pPr>
        <w:pageBreakBefore w:val="0"/>
        <w:tabs>
          <w:tab w:val="left" w:pos="1260"/>
        </w:tabs>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对声明中第一条的说明：如供应商在参加政府采购活动前三年内，在经营活动中有重大违法记录的，应填写“有”，供应商响应文件将被认定为无效。重大违法记录是指供应商因违法经营受到刑事处罚或者责令停产停业、吊销许可证或者执照、较大数额罚款等行政处罚。对于“较大数额罚款”，认定为200万元以上的罚款，法律、行政法规以及国务院有关部门明确规定相关领域“较大数额罚款”标准高于200万元的，从其规定。</w:t>
      </w:r>
    </w:p>
    <w:p w14:paraId="16700C9F">
      <w:pPr>
        <w:pageBreakBefore w:val="0"/>
        <w:tabs>
          <w:tab w:val="left" w:pos="1260"/>
        </w:tabs>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对声明中第</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条的说明：单位负责人为同一人或者存在直接控股、管理关系的不同供应商，不得参加同一合同项下的政府采购活动；</w:t>
      </w:r>
    </w:p>
    <w:p w14:paraId="3522F1B8">
      <w:pPr>
        <w:pageBreakBefore w:val="0"/>
        <w:tabs>
          <w:tab w:val="left" w:pos="1260"/>
        </w:tabs>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对声明中第</w:t>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rPr>
        <w:t>条的说明：如供应商处于被行政部门禁止参加政府采购活动期限内的，该声明填“处于”，供应商将被认定响应无效。</w:t>
      </w:r>
    </w:p>
    <w:p w14:paraId="1E0D812B">
      <w:pPr>
        <w:keepNext w:val="0"/>
        <w:keepLines w:val="0"/>
        <w:pageBreakBefore w:val="0"/>
        <w:widowControl w:val="0"/>
        <w:tabs>
          <w:tab w:val="left" w:pos="1260"/>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）供应商应按照相关法规规定如实作出说明。</w:t>
      </w:r>
    </w:p>
    <w:p w14:paraId="5292B3CD">
      <w:pPr>
        <w:pageBreakBefore w:val="0"/>
        <w:tabs>
          <w:tab w:val="left" w:pos="1260"/>
        </w:tabs>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）如果是联合体响应文件，联合体各方均需提供上述证明。</w:t>
      </w:r>
      <w:bookmarkStart w:id="387" w:name="_Toc2073"/>
      <w:bookmarkStart w:id="388" w:name="_Toc3388"/>
      <w:bookmarkStart w:id="389" w:name="_Toc14514"/>
      <w:bookmarkStart w:id="390" w:name="_Toc866"/>
      <w:bookmarkStart w:id="391" w:name="_Toc25647"/>
    </w:p>
    <w:p w14:paraId="6515AA14">
      <w:pPr>
        <w:pStyle w:val="4"/>
        <w:rPr>
          <w:rFonts w:hint="eastAsia" w:ascii="宋体" w:hAnsi="宋体" w:eastAsia="宋体" w:cs="宋体"/>
          <w:color w:val="auto"/>
          <w:sz w:val="24"/>
          <w:szCs w:val="24"/>
          <w:lang w:val="en-US" w:eastAsia="zh-CN"/>
        </w:rPr>
      </w:pPr>
      <w:bookmarkStart w:id="392" w:name="_Toc17750_WPSOffice_Level2"/>
      <w:r>
        <w:rPr>
          <w:rFonts w:hint="eastAsia" w:ascii="宋体" w:hAnsi="宋体" w:eastAsia="宋体" w:cs="宋体"/>
          <w:color w:val="auto"/>
          <w:sz w:val="24"/>
          <w:szCs w:val="24"/>
          <w:lang w:val="en-US" w:eastAsia="zh-CN"/>
        </w:rPr>
        <w:t>格式2-6：法定代表人或主要负责人资格证明书</w:t>
      </w:r>
      <w:bookmarkEnd w:id="387"/>
      <w:bookmarkEnd w:id="388"/>
      <w:bookmarkEnd w:id="392"/>
    </w:p>
    <w:p w14:paraId="57EEE5C9">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或主要负责人</w:t>
      </w:r>
      <w:r>
        <w:rPr>
          <w:rFonts w:hint="eastAsia" w:ascii="宋体" w:hAnsi="宋体" w:eastAsia="宋体" w:cs="宋体"/>
          <w:color w:val="auto"/>
          <w:sz w:val="24"/>
          <w:szCs w:val="24"/>
        </w:rPr>
        <w:t>资格证明书</w:t>
      </w:r>
    </w:p>
    <w:p w14:paraId="6D789AFB">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eastAsia="宋体" w:cs="宋体"/>
          <w:b/>
          <w:bCs/>
          <w:color w:val="auto"/>
          <w:sz w:val="24"/>
          <w:szCs w:val="24"/>
        </w:rPr>
      </w:pPr>
    </w:p>
    <w:p w14:paraId="7ADF1338">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名称：</w:t>
      </w:r>
    </w:p>
    <w:p w14:paraId="38B89888">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单位性质：</w:t>
      </w:r>
    </w:p>
    <w:p w14:paraId="0858EB7D">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成立时间：年月日</w:t>
      </w:r>
    </w:p>
    <w:p w14:paraId="0DA6FE1B">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经营期限：</w:t>
      </w:r>
    </w:p>
    <w:p w14:paraId="28BECF72">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姓名：性别：年龄：职务：</w:t>
      </w:r>
    </w:p>
    <w:p w14:paraId="2C48148C">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系（供应商名称）的法定代表人</w:t>
      </w:r>
      <w:r>
        <w:rPr>
          <w:rFonts w:hint="eastAsia" w:ascii="宋体" w:hAnsi="宋体" w:eastAsia="宋体" w:cs="宋体"/>
          <w:color w:val="auto"/>
          <w:sz w:val="24"/>
          <w:szCs w:val="24"/>
          <w:lang w:val="en-US" w:eastAsia="zh-CN"/>
        </w:rPr>
        <w:t>或主要负责人</w:t>
      </w:r>
      <w:r>
        <w:rPr>
          <w:rFonts w:hint="eastAsia" w:ascii="宋体" w:hAnsi="宋体" w:eastAsia="宋体" w:cs="宋体"/>
          <w:color w:val="auto"/>
          <w:sz w:val="24"/>
          <w:szCs w:val="24"/>
        </w:rPr>
        <w:t>。</w:t>
      </w:r>
    </w:p>
    <w:p w14:paraId="3C880A0B">
      <w:pPr>
        <w:keepNext w:val="0"/>
        <w:keepLines w:val="0"/>
        <w:pageBreakBefore w:val="0"/>
        <w:widowControl w:val="0"/>
        <w:kinsoku/>
        <w:wordWrap/>
        <w:overflowPunct/>
        <w:topLinePunct w:val="0"/>
        <w:autoSpaceDE/>
        <w:autoSpaceDN/>
        <w:bidi w:val="0"/>
        <w:adjustRightInd/>
        <w:snapToGrid/>
        <w:spacing w:line="560" w:lineRule="exact"/>
        <w:ind w:right="0" w:rightChars="0" w:firstLine="480" w:firstLineChars="200"/>
        <w:textAlignment w:val="auto"/>
        <w:outlineLvl w:val="9"/>
        <w:rPr>
          <w:rFonts w:hint="eastAsia" w:ascii="宋体" w:hAnsi="宋体" w:eastAsia="宋体" w:cs="宋体"/>
          <w:color w:val="auto"/>
          <w:sz w:val="24"/>
          <w:szCs w:val="24"/>
        </w:rPr>
      </w:pPr>
    </w:p>
    <w:p w14:paraId="14366B33">
      <w:pPr>
        <w:keepNext w:val="0"/>
        <w:keepLines w:val="0"/>
        <w:pageBreakBefore w:val="0"/>
        <w:widowControl w:val="0"/>
        <w:kinsoku/>
        <w:wordWrap/>
        <w:overflowPunct/>
        <w:topLinePunct w:val="0"/>
        <w:autoSpaceDE/>
        <w:autoSpaceDN/>
        <w:bidi w:val="0"/>
        <w:adjustRightInd/>
        <w:snapToGrid/>
        <w:spacing w:line="560" w:lineRule="exact"/>
        <w:ind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特此证明。</w:t>
      </w:r>
    </w:p>
    <w:p w14:paraId="30555A0D">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9"/>
        <w:rPr>
          <w:rFonts w:hint="eastAsia" w:ascii="宋体" w:hAnsi="宋体" w:eastAsia="宋体" w:cs="宋体"/>
          <w:color w:val="auto"/>
          <w:sz w:val="24"/>
          <w:szCs w:val="24"/>
        </w:rPr>
      </w:pPr>
    </w:p>
    <w:p w14:paraId="6B003979">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9"/>
        <w:rPr>
          <w:rFonts w:hint="eastAsia" w:ascii="宋体" w:hAnsi="宋体" w:eastAsia="宋体" w:cs="宋体"/>
          <w:color w:val="auto"/>
          <w:sz w:val="24"/>
          <w:szCs w:val="24"/>
        </w:rPr>
      </w:pPr>
    </w:p>
    <w:p w14:paraId="1C93117A">
      <w:pPr>
        <w:keepNext w:val="0"/>
        <w:keepLines w:val="0"/>
        <w:pageBreakBefore w:val="0"/>
        <w:widowControl w:val="0"/>
        <w:kinsoku/>
        <w:wordWrap/>
        <w:overflowPunct/>
        <w:topLinePunct w:val="0"/>
        <w:autoSpaceDE/>
        <w:autoSpaceDN/>
        <w:bidi w:val="0"/>
        <w:adjustRightInd/>
        <w:snapToGrid/>
        <w:spacing w:line="560" w:lineRule="exact"/>
        <w:ind w:left="3780" w:leftChars="18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：（盖单位电子公章）</w:t>
      </w:r>
    </w:p>
    <w:p w14:paraId="258B869D">
      <w:pPr>
        <w:keepNext w:val="0"/>
        <w:keepLines w:val="0"/>
        <w:pageBreakBefore w:val="0"/>
        <w:widowControl w:val="0"/>
        <w:kinsoku/>
        <w:wordWrap/>
        <w:overflowPunct/>
        <w:topLinePunct w:val="0"/>
        <w:autoSpaceDE/>
        <w:autoSpaceDN/>
        <w:bidi w:val="0"/>
        <w:adjustRightInd/>
        <w:snapToGrid/>
        <w:spacing w:line="560" w:lineRule="exact"/>
        <w:ind w:left="3780" w:leftChars="1800" w:right="0" w:rightChars="0" w:firstLine="720" w:firstLineChars="3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p w14:paraId="4212A969">
      <w:pPr>
        <w:keepNext w:val="0"/>
        <w:keepLines w:val="0"/>
        <w:pageBreakBefore w:val="0"/>
        <w:widowControl w:val="0"/>
        <w:kinsoku/>
        <w:wordWrap/>
        <w:overflowPunct/>
        <w:topLinePunct w:val="0"/>
        <w:autoSpaceDE/>
        <w:autoSpaceDN/>
        <w:bidi w:val="0"/>
        <w:adjustRightInd/>
        <w:snapToGrid/>
        <w:spacing w:line="560" w:lineRule="exact"/>
        <w:ind w:left="3780" w:leftChars="1800" w:right="0" w:rightChars="0" w:firstLine="720" w:firstLineChars="300"/>
        <w:textAlignment w:val="auto"/>
        <w:outlineLvl w:val="9"/>
        <w:rPr>
          <w:rFonts w:hint="eastAsia" w:ascii="宋体" w:hAnsi="宋体" w:eastAsia="宋体" w:cs="宋体"/>
          <w:color w:val="auto"/>
          <w:sz w:val="24"/>
          <w:szCs w:val="24"/>
        </w:rPr>
      </w:pPr>
    </w:p>
    <w:p w14:paraId="7FB8CDDE">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附：身份证复印件或护照（法定代表人或主要负责人为外籍人士的，按此提供）复印件或扫描件。</w:t>
      </w:r>
    </w:p>
    <w:p w14:paraId="7A84D9CD">
      <w:pPr>
        <w:pStyle w:val="4"/>
        <w:rPr>
          <w:rFonts w:hint="eastAsia" w:ascii="宋体" w:hAnsi="宋体" w:eastAsia="宋体" w:cs="宋体"/>
          <w:color w:val="auto"/>
          <w:sz w:val="24"/>
          <w:szCs w:val="24"/>
          <w:lang w:val="en-US" w:eastAsia="zh-CN"/>
        </w:rPr>
      </w:pPr>
      <w:bookmarkStart w:id="393" w:name="_Toc4427"/>
      <w:r>
        <w:rPr>
          <w:rFonts w:hint="eastAsia" w:ascii="宋体" w:hAnsi="宋体" w:eastAsia="宋体" w:cs="宋体"/>
          <w:color w:val="auto"/>
          <w:sz w:val="24"/>
          <w:szCs w:val="24"/>
          <w:lang w:val="en-US" w:eastAsia="zh-CN"/>
        </w:rPr>
        <w:t>格式2-7：法定代表人或负责人授权委托书</w:t>
      </w:r>
      <w:bookmarkEnd w:id="393"/>
    </w:p>
    <w:p w14:paraId="08E1E83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授权委托书</w:t>
      </w:r>
    </w:p>
    <w:p w14:paraId="3ED3A21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default" w:ascii="宋体" w:hAnsi="宋体" w:eastAsia="宋体" w:cs="宋体"/>
          <w:b/>
          <w:bCs/>
          <w:color w:val="auto"/>
          <w:sz w:val="24"/>
          <w:szCs w:val="24"/>
          <w:lang w:val="en-US" w:eastAsia="zh-CN"/>
        </w:rPr>
      </w:pPr>
      <w:r>
        <w:rPr>
          <w:rFonts w:hint="eastAsia" w:ascii="宋体" w:hAnsi="宋体" w:eastAsia="宋体" w:cs="宋体"/>
          <w:color w:val="auto"/>
          <w:sz w:val="24"/>
          <w:szCs w:val="24"/>
        </w:rPr>
        <w:t>致：</w:t>
      </w:r>
      <w:r>
        <w:rPr>
          <w:rFonts w:hint="eastAsia" w:ascii="宋体" w:hAnsi="宋体" w:cs="宋体"/>
          <w:color w:val="auto"/>
          <w:sz w:val="24"/>
          <w:szCs w:val="24"/>
          <w:u w:val="single"/>
          <w:lang w:val="en-US" w:eastAsia="zh-CN"/>
        </w:rPr>
        <w:t>采购人 采购代理机构</w:t>
      </w:r>
    </w:p>
    <w:p w14:paraId="1545AA2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本授权书声明：</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供应商</w:t>
      </w:r>
      <w:r>
        <w:rPr>
          <w:rFonts w:hint="eastAsia" w:ascii="宋体" w:hAnsi="宋体" w:eastAsia="宋体" w:cs="宋体"/>
          <w:color w:val="auto"/>
          <w:sz w:val="24"/>
          <w:szCs w:val="24"/>
          <w:u w:val="single"/>
        </w:rPr>
        <w:t>全称）</w:t>
      </w:r>
      <w:r>
        <w:rPr>
          <w:rFonts w:hint="eastAsia" w:ascii="宋体" w:hAnsi="宋体" w:eastAsia="宋体" w:cs="宋体"/>
          <w:color w:val="auto"/>
          <w:sz w:val="24"/>
          <w:szCs w:val="24"/>
        </w:rPr>
        <w:t>的法定代表人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主要负责人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代表本公司授权</w:t>
      </w:r>
      <w:r>
        <w:rPr>
          <w:rFonts w:hint="eastAsia" w:ascii="宋体" w:hAnsi="宋体" w:eastAsia="宋体" w:cs="宋体"/>
          <w:color w:val="auto"/>
          <w:sz w:val="24"/>
          <w:szCs w:val="24"/>
          <w:u w:val="single"/>
        </w:rPr>
        <w:t>（委托代理人姓名）</w:t>
      </w:r>
      <w:r>
        <w:rPr>
          <w:rFonts w:hint="eastAsia" w:ascii="宋体" w:hAnsi="宋体" w:eastAsia="宋体" w:cs="宋体"/>
          <w:color w:val="auto"/>
          <w:sz w:val="24"/>
          <w:szCs w:val="24"/>
        </w:rPr>
        <w:t>为本公司合法代理人，以本单位名义参加贵方组织的</w:t>
      </w:r>
      <w:r>
        <w:rPr>
          <w:rFonts w:hint="eastAsia" w:ascii="宋体" w:hAnsi="宋体" w:eastAsia="宋体" w:cs="宋体"/>
          <w:color w:val="auto"/>
          <w:sz w:val="24"/>
          <w:szCs w:val="24"/>
          <w:u w:val="single"/>
        </w:rPr>
        <w:t>（采购项目名称）</w:t>
      </w:r>
      <w:r>
        <w:rPr>
          <w:rFonts w:hint="eastAsia" w:ascii="宋体" w:hAnsi="宋体" w:eastAsia="宋体" w:cs="宋体"/>
          <w:color w:val="auto"/>
          <w:sz w:val="24"/>
          <w:szCs w:val="24"/>
        </w:rPr>
        <w:t>项目（项目编号：</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）的</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。代理人在本项目</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过程中所签署的一切文件和处理与之有关的一切事务，我方均</w:t>
      </w:r>
      <w:r>
        <w:rPr>
          <w:rFonts w:hint="eastAsia" w:ascii="宋体" w:hAnsi="宋体" w:cs="宋体"/>
          <w:color w:val="auto"/>
          <w:sz w:val="24"/>
          <w:szCs w:val="24"/>
          <w:lang w:eastAsia="zh-CN"/>
        </w:rPr>
        <w:t>予以</w:t>
      </w:r>
      <w:r>
        <w:rPr>
          <w:rFonts w:hint="eastAsia" w:ascii="宋体" w:hAnsi="宋体" w:eastAsia="宋体" w:cs="宋体"/>
          <w:color w:val="auto"/>
          <w:sz w:val="24"/>
          <w:szCs w:val="24"/>
        </w:rPr>
        <w:t>承认。</w:t>
      </w:r>
    </w:p>
    <w:p w14:paraId="5A4D3C7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b/>
          <w:bCs/>
          <w:color w:val="auto"/>
          <w:sz w:val="24"/>
          <w:szCs w:val="24"/>
        </w:rPr>
      </w:pPr>
      <w:r>
        <w:rPr>
          <w:rFonts w:hint="eastAsia" w:ascii="宋体" w:hAnsi="宋体" w:eastAsia="宋体" w:cs="宋体"/>
          <w:color w:val="auto"/>
          <w:sz w:val="24"/>
          <w:szCs w:val="24"/>
        </w:rPr>
        <w:t>代理人无转委托权。</w:t>
      </w:r>
    </w:p>
    <w:p w14:paraId="301A683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b/>
          <w:bCs/>
          <w:color w:val="auto"/>
          <w:sz w:val="24"/>
          <w:szCs w:val="24"/>
        </w:rPr>
      </w:pPr>
    </w:p>
    <w:p w14:paraId="78BEF25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供应商</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u w:val="single"/>
        </w:rPr>
        <w:t>（全称）（加盖电子公章）</w:t>
      </w:r>
    </w:p>
    <w:p w14:paraId="3E1AC23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法定代表人：（电子签名）</w:t>
      </w:r>
    </w:p>
    <w:p w14:paraId="193D9F5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日  期：        年    月    日</w:t>
      </w:r>
    </w:p>
    <w:p w14:paraId="174A92BF">
      <w:pPr>
        <w:pStyle w:val="7"/>
        <w:keepNext w:val="0"/>
        <w:keepLines w:val="0"/>
        <w:pageBreakBefore w:val="0"/>
        <w:widowControl w:val="0"/>
        <w:tabs>
          <w:tab w:val="left" w:pos="750"/>
          <w:tab w:val="right" w:pos="8190"/>
        </w:tabs>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color w:val="auto"/>
          <w:sz w:val="24"/>
          <w:szCs w:val="24"/>
        </w:rPr>
      </w:pPr>
    </w:p>
    <w:tbl>
      <w:tblPr>
        <w:tblStyle w:val="33"/>
        <w:tblW w:w="0" w:type="auto"/>
        <w:tblInd w:w="2" w:type="dxa"/>
        <w:tblLayout w:type="fixed"/>
        <w:tblCellMar>
          <w:top w:w="0" w:type="dxa"/>
          <w:left w:w="108" w:type="dxa"/>
          <w:bottom w:w="0" w:type="dxa"/>
          <w:right w:w="108" w:type="dxa"/>
        </w:tblCellMar>
      </w:tblPr>
      <w:tblGrid>
        <w:gridCol w:w="2874"/>
        <w:gridCol w:w="6505"/>
      </w:tblGrid>
      <w:tr w14:paraId="28BEE157">
        <w:tblPrEx>
          <w:tblCellMar>
            <w:top w:w="0" w:type="dxa"/>
            <w:left w:w="108" w:type="dxa"/>
            <w:bottom w:w="0" w:type="dxa"/>
            <w:right w:w="108" w:type="dxa"/>
          </w:tblCellMar>
        </w:tblPrEx>
        <w:trPr>
          <w:trHeight w:val="215" w:hRule="atLeast"/>
        </w:trPr>
        <w:tc>
          <w:tcPr>
            <w:tcW w:w="2874" w:type="dxa"/>
            <w:tcBorders>
              <w:top w:val="nil"/>
              <w:left w:val="nil"/>
              <w:bottom w:val="nil"/>
              <w:right w:val="nil"/>
            </w:tcBorders>
            <w:noWrap w:val="0"/>
            <w:vAlign w:val="top"/>
          </w:tcPr>
          <w:p w14:paraId="0728221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distribute"/>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附：</w:t>
            </w:r>
          </w:p>
        </w:tc>
        <w:tc>
          <w:tcPr>
            <w:tcW w:w="6505" w:type="dxa"/>
            <w:tcBorders>
              <w:top w:val="nil"/>
              <w:left w:val="nil"/>
              <w:bottom w:val="nil"/>
              <w:right w:val="nil"/>
            </w:tcBorders>
            <w:noWrap w:val="0"/>
            <w:vAlign w:val="top"/>
          </w:tcPr>
          <w:p w14:paraId="0A7C0BD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color w:val="auto"/>
                <w:sz w:val="24"/>
                <w:szCs w:val="24"/>
              </w:rPr>
            </w:pPr>
          </w:p>
        </w:tc>
      </w:tr>
      <w:tr w14:paraId="26A68C98">
        <w:tblPrEx>
          <w:tblCellMar>
            <w:top w:w="0" w:type="dxa"/>
            <w:left w:w="108" w:type="dxa"/>
            <w:bottom w:w="0" w:type="dxa"/>
            <w:right w:w="108" w:type="dxa"/>
          </w:tblCellMar>
        </w:tblPrEx>
        <w:trPr>
          <w:trHeight w:val="215" w:hRule="atLeast"/>
        </w:trPr>
        <w:tc>
          <w:tcPr>
            <w:tcW w:w="2874" w:type="dxa"/>
            <w:tcBorders>
              <w:top w:val="nil"/>
              <w:left w:val="nil"/>
              <w:bottom w:val="nil"/>
              <w:right w:val="nil"/>
            </w:tcBorders>
            <w:noWrap w:val="0"/>
            <w:vAlign w:val="top"/>
          </w:tcPr>
          <w:p w14:paraId="40E84D6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distribute"/>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委托代理人姓名：</w:t>
            </w:r>
          </w:p>
        </w:tc>
        <w:tc>
          <w:tcPr>
            <w:tcW w:w="6505" w:type="dxa"/>
            <w:tcBorders>
              <w:top w:val="nil"/>
              <w:left w:val="nil"/>
              <w:bottom w:val="nil"/>
              <w:right w:val="nil"/>
            </w:tcBorders>
            <w:noWrap w:val="0"/>
            <w:vAlign w:val="top"/>
          </w:tcPr>
          <w:p w14:paraId="4BD094C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color w:val="auto"/>
                <w:sz w:val="24"/>
                <w:szCs w:val="24"/>
              </w:rPr>
            </w:pPr>
          </w:p>
        </w:tc>
      </w:tr>
      <w:tr w14:paraId="1182AF6C">
        <w:tblPrEx>
          <w:tblCellMar>
            <w:top w:w="0" w:type="dxa"/>
            <w:left w:w="108" w:type="dxa"/>
            <w:bottom w:w="0" w:type="dxa"/>
            <w:right w:w="108" w:type="dxa"/>
          </w:tblCellMar>
        </w:tblPrEx>
        <w:trPr>
          <w:trHeight w:val="215" w:hRule="atLeast"/>
        </w:trPr>
        <w:tc>
          <w:tcPr>
            <w:tcW w:w="2874" w:type="dxa"/>
            <w:tcBorders>
              <w:top w:val="nil"/>
              <w:left w:val="nil"/>
              <w:bottom w:val="nil"/>
              <w:right w:val="nil"/>
            </w:tcBorders>
            <w:noWrap w:val="0"/>
            <w:vAlign w:val="top"/>
          </w:tcPr>
          <w:p w14:paraId="6E2F7DE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distribute"/>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职       务：</w:t>
            </w:r>
          </w:p>
        </w:tc>
        <w:tc>
          <w:tcPr>
            <w:tcW w:w="6505" w:type="dxa"/>
            <w:tcBorders>
              <w:top w:val="nil"/>
              <w:left w:val="nil"/>
              <w:bottom w:val="nil"/>
              <w:right w:val="nil"/>
            </w:tcBorders>
            <w:noWrap w:val="0"/>
            <w:vAlign w:val="top"/>
          </w:tcPr>
          <w:p w14:paraId="359CD00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color w:val="auto"/>
                <w:sz w:val="24"/>
                <w:szCs w:val="24"/>
              </w:rPr>
            </w:pPr>
          </w:p>
        </w:tc>
      </w:tr>
      <w:tr w14:paraId="68C65898">
        <w:tblPrEx>
          <w:tblCellMar>
            <w:top w:w="0" w:type="dxa"/>
            <w:left w:w="108" w:type="dxa"/>
            <w:bottom w:w="0" w:type="dxa"/>
            <w:right w:w="108" w:type="dxa"/>
          </w:tblCellMar>
        </w:tblPrEx>
        <w:trPr>
          <w:trHeight w:val="215" w:hRule="atLeast"/>
        </w:trPr>
        <w:tc>
          <w:tcPr>
            <w:tcW w:w="2874" w:type="dxa"/>
            <w:tcBorders>
              <w:top w:val="nil"/>
              <w:left w:val="nil"/>
              <w:bottom w:val="nil"/>
              <w:right w:val="nil"/>
            </w:tcBorders>
            <w:noWrap w:val="0"/>
            <w:vAlign w:val="top"/>
          </w:tcPr>
          <w:p w14:paraId="499FB85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distribute"/>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身份证号码：</w:t>
            </w:r>
          </w:p>
        </w:tc>
        <w:tc>
          <w:tcPr>
            <w:tcW w:w="6505" w:type="dxa"/>
            <w:tcBorders>
              <w:top w:val="nil"/>
              <w:left w:val="nil"/>
              <w:bottom w:val="nil"/>
              <w:right w:val="nil"/>
            </w:tcBorders>
            <w:noWrap w:val="0"/>
            <w:vAlign w:val="top"/>
          </w:tcPr>
          <w:p w14:paraId="0E48A59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color w:val="auto"/>
                <w:sz w:val="24"/>
                <w:szCs w:val="24"/>
              </w:rPr>
            </w:pPr>
          </w:p>
        </w:tc>
      </w:tr>
      <w:tr w14:paraId="2C71BD6D">
        <w:tblPrEx>
          <w:tblCellMar>
            <w:top w:w="0" w:type="dxa"/>
            <w:left w:w="108" w:type="dxa"/>
            <w:bottom w:w="0" w:type="dxa"/>
            <w:right w:w="108" w:type="dxa"/>
          </w:tblCellMar>
        </w:tblPrEx>
        <w:trPr>
          <w:trHeight w:val="215" w:hRule="atLeast"/>
        </w:trPr>
        <w:tc>
          <w:tcPr>
            <w:tcW w:w="2874" w:type="dxa"/>
            <w:tcBorders>
              <w:top w:val="nil"/>
              <w:left w:val="nil"/>
              <w:bottom w:val="nil"/>
              <w:right w:val="nil"/>
            </w:tcBorders>
            <w:noWrap w:val="0"/>
            <w:vAlign w:val="top"/>
          </w:tcPr>
          <w:p w14:paraId="120442A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distribute"/>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详 细  地 址：</w:t>
            </w:r>
          </w:p>
        </w:tc>
        <w:tc>
          <w:tcPr>
            <w:tcW w:w="6505" w:type="dxa"/>
            <w:tcBorders>
              <w:top w:val="nil"/>
              <w:left w:val="nil"/>
              <w:bottom w:val="nil"/>
              <w:right w:val="nil"/>
            </w:tcBorders>
            <w:noWrap w:val="0"/>
            <w:vAlign w:val="top"/>
          </w:tcPr>
          <w:p w14:paraId="4AF8066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color w:val="auto"/>
                <w:sz w:val="24"/>
                <w:szCs w:val="24"/>
              </w:rPr>
            </w:pPr>
          </w:p>
        </w:tc>
      </w:tr>
      <w:tr w14:paraId="0CA5AB1C">
        <w:tblPrEx>
          <w:tblCellMar>
            <w:top w:w="0" w:type="dxa"/>
            <w:left w:w="108" w:type="dxa"/>
            <w:bottom w:w="0" w:type="dxa"/>
            <w:right w:w="108" w:type="dxa"/>
          </w:tblCellMar>
        </w:tblPrEx>
        <w:trPr>
          <w:trHeight w:val="215" w:hRule="atLeast"/>
        </w:trPr>
        <w:tc>
          <w:tcPr>
            <w:tcW w:w="2874" w:type="dxa"/>
            <w:tcBorders>
              <w:top w:val="nil"/>
              <w:left w:val="nil"/>
              <w:bottom w:val="nil"/>
              <w:right w:val="nil"/>
            </w:tcBorders>
            <w:noWrap w:val="0"/>
            <w:vAlign w:val="top"/>
          </w:tcPr>
          <w:p w14:paraId="117C8A2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distribute"/>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电       话：</w:t>
            </w:r>
          </w:p>
        </w:tc>
        <w:tc>
          <w:tcPr>
            <w:tcW w:w="6505" w:type="dxa"/>
            <w:tcBorders>
              <w:top w:val="nil"/>
              <w:left w:val="nil"/>
              <w:bottom w:val="nil"/>
              <w:right w:val="nil"/>
            </w:tcBorders>
            <w:noWrap w:val="0"/>
            <w:vAlign w:val="top"/>
          </w:tcPr>
          <w:p w14:paraId="4717FC6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color w:val="auto"/>
                <w:sz w:val="24"/>
                <w:szCs w:val="24"/>
              </w:rPr>
            </w:pPr>
          </w:p>
        </w:tc>
      </w:tr>
    </w:tbl>
    <w:p w14:paraId="0A24BA1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2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7BA2EC3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20"/>
        <w:textAlignment w:val="auto"/>
        <w:outlineLvl w:val="9"/>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注</w:t>
      </w:r>
      <w:r>
        <w:rPr>
          <w:rFonts w:hint="eastAsia" w:ascii="宋体" w:hAnsi="宋体" w:cs="宋体"/>
          <w:b/>
          <w:bCs/>
          <w:color w:val="auto"/>
          <w:sz w:val="24"/>
          <w:szCs w:val="24"/>
          <w:lang w:eastAsia="zh-CN"/>
        </w:rPr>
        <w:t>：</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须</w:t>
      </w:r>
      <w:r>
        <w:rPr>
          <w:rFonts w:hint="eastAsia" w:ascii="宋体" w:hAnsi="宋体" w:eastAsia="宋体" w:cs="宋体"/>
          <w:b/>
          <w:bCs/>
          <w:color w:val="auto"/>
          <w:sz w:val="24"/>
          <w:szCs w:val="24"/>
        </w:rPr>
        <w:t>附委托代理人身份证复印件</w:t>
      </w:r>
      <w:r>
        <w:rPr>
          <w:rFonts w:hint="eastAsia" w:ascii="宋体" w:hAnsi="宋体" w:eastAsia="宋体" w:cs="宋体"/>
          <w:b/>
          <w:bCs/>
          <w:color w:val="auto"/>
          <w:sz w:val="24"/>
          <w:szCs w:val="24"/>
          <w:lang w:val="en-US" w:eastAsia="zh-CN"/>
        </w:rPr>
        <w:t>或扫描件；</w:t>
      </w:r>
    </w:p>
    <w:p w14:paraId="638C267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720" w:firstLineChars="300"/>
        <w:jc w:val="left"/>
        <w:textAlignment w:val="auto"/>
        <w:outlineLvl w:val="9"/>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（2）自然人响应文件的无需提供；</w:t>
      </w:r>
    </w:p>
    <w:p w14:paraId="6389C206">
      <w:pPr>
        <w:pStyle w:val="4"/>
        <w:pageBreakBefore w:val="0"/>
        <w:widowControl w:val="0"/>
        <w:kinsoku/>
        <w:wordWrap/>
        <w:overflowPunct/>
        <w:topLinePunct w:val="0"/>
        <w:autoSpaceDE/>
        <w:autoSpaceDN/>
        <w:bidi w:val="0"/>
        <w:adjustRightInd/>
        <w:snapToGrid/>
        <w:spacing w:before="0" w:after="0" w:line="560" w:lineRule="exact"/>
        <w:ind w:left="0" w:leftChars="0" w:right="0" w:rightChars="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格式2-8：</w:t>
      </w:r>
      <w:bookmarkEnd w:id="389"/>
      <w:r>
        <w:rPr>
          <w:rFonts w:hint="eastAsia" w:ascii="宋体" w:hAnsi="宋体" w:eastAsia="宋体" w:cs="宋体"/>
          <w:color w:val="auto"/>
          <w:sz w:val="24"/>
          <w:szCs w:val="24"/>
          <w:lang w:val="en-US" w:eastAsia="zh-CN"/>
        </w:rPr>
        <w:t>本项目要求供应商应具备的特定条件</w:t>
      </w:r>
    </w:p>
    <w:p w14:paraId="37204332">
      <w:pPr>
        <w:pStyle w:val="4"/>
        <w:pageBreakBefore w:val="0"/>
        <w:kinsoku/>
        <w:overflowPunct/>
        <w:topLinePunct w:val="0"/>
        <w:bidi w:val="0"/>
        <w:spacing w:before="0" w:beforeAutospacing="0" w:after="0" w:afterAutospacing="0" w:line="560" w:lineRule="exact"/>
        <w:rPr>
          <w:rFonts w:hint="default" w:ascii="宋体" w:hAnsi="宋体" w:eastAsia="宋体" w:cs="宋体"/>
          <w:color w:val="auto"/>
          <w:sz w:val="24"/>
          <w:szCs w:val="24"/>
          <w:lang w:val="en-US" w:eastAsia="zh-CN"/>
        </w:rPr>
      </w:pPr>
      <w:bookmarkStart w:id="394" w:name="_Toc18538"/>
      <w:r>
        <w:rPr>
          <w:rFonts w:hint="eastAsia" w:ascii="宋体" w:hAnsi="宋体" w:eastAsia="宋体" w:cs="宋体"/>
          <w:color w:val="auto"/>
          <w:sz w:val="24"/>
          <w:szCs w:val="24"/>
        </w:rPr>
        <w:t>格式2-</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w:t>
      </w:r>
      <w:bookmarkEnd w:id="390"/>
      <w:bookmarkEnd w:id="391"/>
      <w:bookmarkEnd w:id="394"/>
      <w:r>
        <w:rPr>
          <w:rFonts w:hint="eastAsia" w:ascii="宋体" w:hAnsi="宋体" w:eastAsia="宋体" w:cs="宋体"/>
          <w:color w:val="auto"/>
          <w:sz w:val="24"/>
          <w:szCs w:val="24"/>
          <w:highlight w:val="none"/>
        </w:rPr>
        <w:t>具有履行合同所必须的设备和专业技术能力</w:t>
      </w:r>
      <w:r>
        <w:rPr>
          <w:rFonts w:hint="eastAsia" w:ascii="宋体" w:hAnsi="宋体" w:cs="宋体"/>
          <w:color w:val="auto"/>
          <w:sz w:val="24"/>
          <w:szCs w:val="24"/>
          <w:highlight w:val="none"/>
          <w:lang w:val="en-US" w:eastAsia="zh-CN"/>
        </w:rPr>
        <w:t>证明材料或承诺</w:t>
      </w:r>
    </w:p>
    <w:p w14:paraId="3E830462">
      <w:pPr>
        <w:rPr>
          <w:rFonts w:hint="eastAsia"/>
          <w:color w:val="auto"/>
          <w:highlight w:val="yellow"/>
          <w:lang w:val="en-US" w:eastAsia="zh-CN"/>
        </w:rPr>
      </w:pPr>
    </w:p>
    <w:p w14:paraId="211D145F">
      <w:pPr>
        <w:keepNext w:val="0"/>
        <w:keepLines w:val="0"/>
        <w:pageBreakBefore w:val="0"/>
        <w:kinsoku/>
        <w:wordWrap/>
        <w:overflowPunct/>
        <w:topLinePunct w:val="0"/>
        <w:bidi w:val="0"/>
        <w:spacing w:beforeAutospacing="0" w:afterAutospacing="0" w:line="560" w:lineRule="exact"/>
        <w:textAlignment w:val="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（请</w:t>
      </w:r>
      <w:r>
        <w:rPr>
          <w:rFonts w:hint="eastAsia" w:ascii="Times New Roman" w:hAnsi="Times New Roman" w:eastAsia="宋体" w:cs="Times New Roman"/>
          <w:color w:val="auto"/>
          <w:sz w:val="24"/>
          <w:szCs w:val="24"/>
          <w:highlight w:val="none"/>
          <w:lang w:val="en-US" w:eastAsia="zh-CN"/>
        </w:rPr>
        <w:t>供应商</w:t>
      </w:r>
      <w:r>
        <w:rPr>
          <w:rFonts w:hint="eastAsia" w:ascii="Times New Roman" w:hAnsi="Times New Roman" w:eastAsia="宋体" w:cs="Times New Roman"/>
          <w:color w:val="auto"/>
          <w:sz w:val="24"/>
          <w:szCs w:val="24"/>
          <w:highlight w:val="none"/>
        </w:rPr>
        <w:t>按要求根据自己的实际情况针对本项目自行编制）</w:t>
      </w:r>
    </w:p>
    <w:p w14:paraId="35001C3A">
      <w:pPr>
        <w:keepNext w:val="0"/>
        <w:keepLines w:val="0"/>
        <w:pageBreakBefore w:val="0"/>
        <w:kinsoku/>
        <w:wordWrap/>
        <w:overflowPunct/>
        <w:topLinePunct w:val="0"/>
        <w:bidi w:val="0"/>
        <w:spacing w:beforeAutospacing="0" w:afterAutospacing="0" w:line="560" w:lineRule="exact"/>
        <w:ind w:left="3780" w:leftChars="18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供应商</w:t>
      </w:r>
      <w:r>
        <w:rPr>
          <w:rFonts w:hint="default" w:ascii="Times New Roman" w:hAnsi="Times New Roman" w:eastAsia="宋体" w:cs="Times New Roman"/>
          <w:color w:val="auto"/>
          <w:sz w:val="24"/>
          <w:szCs w:val="24"/>
          <w:highlight w:val="none"/>
        </w:rPr>
        <w:t>：（盖单位电子公章）</w:t>
      </w:r>
    </w:p>
    <w:p w14:paraId="033268EB">
      <w:pPr>
        <w:keepNext w:val="0"/>
        <w:keepLines w:val="0"/>
        <w:pageBreakBefore w:val="0"/>
        <w:kinsoku/>
        <w:wordWrap/>
        <w:overflowPunct/>
        <w:topLinePunct w:val="0"/>
        <w:bidi w:val="0"/>
        <w:spacing w:beforeAutospacing="0" w:afterAutospacing="0" w:line="560" w:lineRule="exact"/>
        <w:ind w:left="3780" w:leftChars="1800" w:firstLine="720" w:firstLineChars="3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年  月  日</w:t>
      </w:r>
    </w:p>
    <w:p w14:paraId="0AF6FB4F">
      <w:pPr>
        <w:pStyle w:val="4"/>
        <w:pageBreakBefore w:val="0"/>
        <w:widowControl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格式2-</w:t>
      </w:r>
      <w:r>
        <w:rPr>
          <w:rFonts w:hint="eastAsia" w:ascii="宋体" w:hAnsi="宋体" w:cs="宋体"/>
          <w:color w:val="auto"/>
          <w:sz w:val="24"/>
          <w:szCs w:val="24"/>
          <w:lang w:val="en-US" w:eastAsia="zh-CN"/>
        </w:rPr>
        <w:t>10</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其他</w:t>
      </w:r>
    </w:p>
    <w:p w14:paraId="2FA31FA1">
      <w:pPr>
        <w:pStyle w:val="3"/>
        <w:pageBreakBefore w:val="0"/>
        <w:widowControl w:val="0"/>
        <w:kinsoku/>
        <w:wordWrap/>
        <w:overflowPunct/>
        <w:topLinePunct w:val="0"/>
        <w:autoSpaceDE/>
        <w:autoSpaceDN/>
        <w:bidi w:val="0"/>
        <w:adjustRightInd/>
        <w:snapToGrid/>
        <w:spacing w:before="0" w:after="0" w:line="560" w:lineRule="exact"/>
        <w:ind w:left="0" w:leftChars="0" w:right="0" w:rightChars="0"/>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br w:type="page"/>
      </w:r>
      <w:bookmarkStart w:id="395" w:name="_Toc17863"/>
      <w:bookmarkStart w:id="396" w:name="_Toc24032"/>
      <w:bookmarkStart w:id="397" w:name="_Toc7442"/>
      <w:bookmarkStart w:id="398" w:name="_Toc6250"/>
      <w:bookmarkStart w:id="399" w:name="_Toc10801"/>
      <w:bookmarkStart w:id="400" w:name="_Toc26526"/>
      <w:r>
        <w:rPr>
          <w:rFonts w:hint="eastAsia" w:ascii="宋体" w:hAnsi="宋体" w:eastAsia="宋体" w:cs="宋体"/>
          <w:b/>
          <w:bCs w:val="0"/>
          <w:color w:val="auto"/>
          <w:sz w:val="24"/>
          <w:szCs w:val="24"/>
          <w:lang w:val="en-US" w:eastAsia="zh-CN"/>
        </w:rPr>
        <w:t>三、商务技术响应文件</w:t>
      </w:r>
      <w:bookmarkEnd w:id="395"/>
      <w:bookmarkEnd w:id="396"/>
      <w:bookmarkEnd w:id="397"/>
      <w:bookmarkEnd w:id="398"/>
      <w:bookmarkEnd w:id="399"/>
      <w:bookmarkEnd w:id="400"/>
    </w:p>
    <w:p w14:paraId="574ACBD1">
      <w:pPr>
        <w:pStyle w:val="32"/>
        <w:pageBreakBefore w:val="0"/>
        <w:numPr>
          <w:ilvl w:val="0"/>
          <w:numId w:val="0"/>
        </w:numPr>
        <w:kinsoku/>
        <w:wordWrap/>
        <w:overflowPunct/>
        <w:topLinePunct w:val="0"/>
        <w:bidi w:val="0"/>
        <w:spacing w:line="560" w:lineRule="exact"/>
        <w:ind w:leftChars="0"/>
        <w:textAlignment w:val="auto"/>
        <w:rPr>
          <w:rFonts w:hint="eastAsia" w:ascii="宋体" w:hAnsi="宋体" w:eastAsia="宋体" w:cs="宋体"/>
          <w:color w:val="auto"/>
          <w:sz w:val="24"/>
          <w:szCs w:val="24"/>
          <w:lang w:val="en-US" w:eastAsia="zh-CN"/>
        </w:rPr>
      </w:pPr>
    </w:p>
    <w:p w14:paraId="3644836C">
      <w:pPr>
        <w:pStyle w:val="4"/>
        <w:pageBreakBefore w:val="0"/>
        <w:widowControl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color w:val="auto"/>
          <w:sz w:val="24"/>
          <w:szCs w:val="24"/>
          <w:lang w:val="en-US" w:eastAsia="zh-CN"/>
        </w:rPr>
      </w:pPr>
      <w:bookmarkStart w:id="401" w:name="_Toc16958"/>
      <w:r>
        <w:rPr>
          <w:rFonts w:hint="eastAsia" w:ascii="宋体" w:hAnsi="宋体" w:eastAsia="宋体" w:cs="宋体"/>
          <w:color w:val="auto"/>
          <w:sz w:val="24"/>
          <w:szCs w:val="24"/>
        </w:rPr>
        <w:t>★格式</w:t>
      </w:r>
      <w:r>
        <w:rPr>
          <w:rFonts w:hint="eastAsia" w:ascii="宋体" w:hAnsi="宋体" w:eastAsia="宋体" w:cs="宋体"/>
          <w:color w:val="auto"/>
          <w:sz w:val="24"/>
          <w:szCs w:val="24"/>
          <w:lang w:val="en-US" w:eastAsia="zh-CN"/>
        </w:rPr>
        <w:t>3-1</w:t>
      </w:r>
      <w:r>
        <w:rPr>
          <w:rFonts w:hint="eastAsia" w:ascii="宋体" w:hAnsi="宋体" w:eastAsia="宋体" w:cs="宋体"/>
          <w:color w:val="auto"/>
          <w:sz w:val="24"/>
          <w:szCs w:val="24"/>
        </w:rPr>
        <w:t>：承诺函</w:t>
      </w:r>
      <w:r>
        <w:rPr>
          <w:rFonts w:hint="eastAsia" w:ascii="宋体" w:hAnsi="宋体" w:eastAsia="宋体" w:cs="宋体"/>
          <w:color w:val="auto"/>
          <w:sz w:val="24"/>
          <w:szCs w:val="24"/>
          <w:lang w:val="en-US" w:eastAsia="zh-CN"/>
        </w:rPr>
        <w:t>（实质性要求）</w:t>
      </w:r>
    </w:p>
    <w:p w14:paraId="6FB1A84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w:t>
      </w:r>
      <w:r>
        <w:rPr>
          <w:rFonts w:hint="eastAsia" w:ascii="宋体" w:hAnsi="宋体" w:cs="宋体"/>
          <w:color w:val="auto"/>
          <w:sz w:val="24"/>
          <w:szCs w:val="24"/>
          <w:u w:val="single"/>
          <w:lang w:val="en-US" w:eastAsia="zh-CN"/>
        </w:rPr>
        <w:t>采购人 、</w:t>
      </w:r>
      <w:r>
        <w:rPr>
          <w:rFonts w:hint="eastAsia" w:ascii="宋体" w:hAnsi="宋体" w:eastAsia="宋体" w:cs="宋体"/>
          <w:color w:val="auto"/>
          <w:sz w:val="24"/>
          <w:szCs w:val="24"/>
          <w:u w:val="single"/>
        </w:rPr>
        <w:t>采购代理机构名称）</w:t>
      </w:r>
    </w:p>
    <w:p w14:paraId="3303995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根据贵方</w:t>
      </w:r>
      <w:r>
        <w:rPr>
          <w:rFonts w:hint="eastAsia" w:ascii="宋体" w:hAnsi="宋体" w:eastAsia="宋体" w:cs="宋体"/>
          <w:color w:val="auto"/>
          <w:sz w:val="24"/>
          <w:szCs w:val="24"/>
          <w:u w:val="single"/>
        </w:rPr>
        <w:t xml:space="preserve">      （采购项目名称）       </w:t>
      </w:r>
      <w:r>
        <w:rPr>
          <w:rFonts w:hint="eastAsia" w:ascii="宋体" w:hAnsi="宋体" w:eastAsia="宋体" w:cs="宋体"/>
          <w:color w:val="auto"/>
          <w:sz w:val="24"/>
          <w:szCs w:val="24"/>
        </w:rPr>
        <w:t>（项目编号</w:t>
      </w:r>
      <w:r>
        <w:rPr>
          <w:rFonts w:hint="eastAsia" w:ascii="宋体" w:hAnsi="宋体" w:cs="宋体"/>
          <w:color w:val="auto"/>
          <w:sz w:val="24"/>
          <w:szCs w:val="24"/>
          <w:lang w:eastAsia="zh-CN"/>
        </w:rPr>
        <w:t>）</w:t>
      </w:r>
      <w:r>
        <w:rPr>
          <w:rFonts w:hint="eastAsia" w:ascii="宋体" w:hAnsi="宋体" w:eastAsia="宋体" w:cs="宋体"/>
          <w:color w:val="auto"/>
          <w:sz w:val="24"/>
          <w:szCs w:val="24"/>
        </w:rPr>
        <w:t>的</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，我方正式授权</w:t>
      </w:r>
      <w:r>
        <w:rPr>
          <w:rFonts w:hint="eastAsia" w:ascii="宋体" w:hAnsi="宋体" w:eastAsia="宋体" w:cs="宋体"/>
          <w:color w:val="auto"/>
          <w:sz w:val="24"/>
          <w:szCs w:val="24"/>
          <w:u w:val="single"/>
        </w:rPr>
        <w:t xml:space="preserve">   （姓名和职务）     </w:t>
      </w:r>
      <w:r>
        <w:rPr>
          <w:rFonts w:hint="eastAsia" w:ascii="宋体" w:hAnsi="宋体" w:eastAsia="宋体" w:cs="宋体"/>
          <w:color w:val="auto"/>
          <w:sz w:val="24"/>
          <w:szCs w:val="24"/>
        </w:rPr>
        <w:t>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谈判</w:t>
      </w:r>
      <w:r>
        <w:rPr>
          <w:rFonts w:hint="eastAsia" w:ascii="宋体" w:hAnsi="宋体" w:eastAsia="宋体" w:cs="宋体"/>
          <w:color w:val="auto"/>
          <w:sz w:val="24"/>
          <w:szCs w:val="24"/>
          <w:u w:val="single"/>
        </w:rPr>
        <w:t xml:space="preserve">供应商全称）   </w:t>
      </w:r>
      <w:r>
        <w:rPr>
          <w:rFonts w:hint="eastAsia" w:ascii="宋体" w:hAnsi="宋体" w:eastAsia="宋体" w:cs="宋体"/>
          <w:color w:val="auto"/>
          <w:sz w:val="24"/>
          <w:szCs w:val="24"/>
          <w:u w:val="none"/>
          <w:lang w:val="en-US" w:eastAsia="zh-CN"/>
        </w:rPr>
        <w:t>全权处理</w:t>
      </w:r>
      <w:r>
        <w:rPr>
          <w:rFonts w:hint="eastAsia" w:ascii="宋体" w:hAnsi="宋体" w:eastAsia="宋体" w:cs="宋体"/>
          <w:color w:val="auto"/>
          <w:sz w:val="24"/>
          <w:szCs w:val="24"/>
          <w:lang w:val="en-US" w:eastAsia="zh-CN"/>
        </w:rPr>
        <w:t>本项目的有关事宜</w:t>
      </w:r>
      <w:r>
        <w:rPr>
          <w:rFonts w:hint="eastAsia" w:ascii="宋体" w:hAnsi="宋体" w:eastAsia="宋体" w:cs="宋体"/>
          <w:color w:val="auto"/>
          <w:sz w:val="24"/>
          <w:szCs w:val="24"/>
        </w:rPr>
        <w:t>，并作如下承诺：</w:t>
      </w:r>
    </w:p>
    <w:p w14:paraId="479EA3A9">
      <w:pPr>
        <w:keepNext w:val="0"/>
        <w:keepLines w:val="0"/>
        <w:pageBreakBefore w:val="0"/>
        <w:widowControl w:val="0"/>
        <w:numPr>
          <w:ilvl w:val="0"/>
          <w:numId w:val="9"/>
        </w:numPr>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val="0"/>
          <w:bCs w:val="0"/>
          <w:color w:val="auto"/>
          <w:kern w:val="2"/>
          <w:sz w:val="24"/>
          <w:szCs w:val="24"/>
          <w:lang w:val="en-US" w:eastAsia="zh-CN" w:bidi="ar-SA"/>
        </w:rPr>
        <w:t>本响应文件有效</w:t>
      </w:r>
      <w:r>
        <w:rPr>
          <w:rFonts w:hint="eastAsia" w:ascii="宋体" w:hAnsi="宋体" w:eastAsia="宋体" w:cs="宋体"/>
          <w:b w:val="0"/>
          <w:bCs w:val="0"/>
          <w:color w:val="auto"/>
          <w:kern w:val="2"/>
          <w:sz w:val="24"/>
          <w:szCs w:val="24"/>
          <w:highlight w:val="none"/>
          <w:lang w:val="en-US" w:eastAsia="zh-CN" w:bidi="ar-SA"/>
        </w:rPr>
        <w:t>期为自响应文件截止之日起</w:t>
      </w:r>
      <w:r>
        <w:rPr>
          <w:rFonts w:hint="eastAsia" w:ascii="宋体" w:hAnsi="宋体" w:eastAsia="宋体" w:cs="宋体"/>
          <w:b w:val="0"/>
          <w:bCs w:val="0"/>
          <w:color w:val="auto"/>
          <w:kern w:val="2"/>
          <w:sz w:val="24"/>
          <w:szCs w:val="24"/>
          <w:highlight w:val="none"/>
          <w:u w:val="single"/>
          <w:lang w:val="en-US" w:eastAsia="zh-CN" w:bidi="ar-SA"/>
        </w:rPr>
        <w:t xml:space="preserve">      个日历天</w:t>
      </w:r>
      <w:r>
        <w:rPr>
          <w:rFonts w:hint="eastAsia" w:ascii="宋体" w:hAnsi="宋体" w:eastAsia="宋体" w:cs="宋体"/>
          <w:b w:val="0"/>
          <w:bCs w:val="0"/>
          <w:color w:val="auto"/>
          <w:kern w:val="2"/>
          <w:sz w:val="24"/>
          <w:szCs w:val="24"/>
          <w:highlight w:val="none"/>
          <w:lang w:val="en-US" w:eastAsia="zh-CN" w:bidi="ar-SA"/>
        </w:rPr>
        <w:t>。</w:t>
      </w:r>
    </w:p>
    <w:p w14:paraId="71811AA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二、我方已详细审查全部采购文件，包括所有补充通知（如有），</w:t>
      </w:r>
      <w:r>
        <w:rPr>
          <w:rFonts w:hint="eastAsia" w:ascii="宋体" w:hAnsi="宋体" w:eastAsia="宋体" w:cs="宋体"/>
          <w:color w:val="auto"/>
          <w:sz w:val="24"/>
          <w:szCs w:val="24"/>
        </w:rPr>
        <w:t>并对上述文件均无异议</w:t>
      </w:r>
      <w:r>
        <w:rPr>
          <w:rFonts w:hint="eastAsia" w:ascii="宋体" w:hAnsi="宋体" w:eastAsia="宋体" w:cs="宋体"/>
          <w:color w:val="auto"/>
          <w:sz w:val="24"/>
          <w:szCs w:val="24"/>
          <w:highlight w:val="none"/>
        </w:rPr>
        <w:t>。</w:t>
      </w:r>
    </w:p>
    <w:p w14:paraId="554C4F2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三、我方不是为本项目提供整体设计、规范编制或者项目管理、监理、检测等服务的供应商，我方不是采购代理机构的附属机构。</w:t>
      </w:r>
    </w:p>
    <w:p w14:paraId="2C4F722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rPr>
        <w:t>响应文件中提供的任何资料和技术、服务、商务等响应承诺情况都是真实的、有效的、合法的。</w:t>
      </w:r>
    </w:p>
    <w:p w14:paraId="5C953C6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五、我方</w:t>
      </w:r>
      <w:r>
        <w:rPr>
          <w:rFonts w:hint="eastAsia" w:ascii="宋体" w:hAnsi="宋体" w:eastAsia="宋体" w:cs="宋体"/>
          <w:color w:val="auto"/>
          <w:sz w:val="24"/>
          <w:szCs w:val="24"/>
        </w:rPr>
        <w:t>为本项目提供的所有产品、辅材中属于《国家强制性产品认证目录》范围内产品的，均通过国家强制性产品认证并取得认证证书。为本项目提供的所有产品、辅材符合现行的强制性国家相关标准、行业标准。</w:t>
      </w:r>
    </w:p>
    <w:p w14:paraId="6C3783D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六、</w:t>
      </w:r>
      <w:r>
        <w:rPr>
          <w:rFonts w:hint="eastAsia" w:ascii="宋体" w:hAnsi="宋体" w:eastAsia="宋体" w:cs="宋体"/>
          <w:color w:val="auto"/>
          <w:sz w:val="24"/>
          <w:szCs w:val="24"/>
        </w:rPr>
        <w:t>为本项目实施涉及的商品包装和快递包装，均符合</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财政部等三部门联合印发商品包装和快递包装政府采购需求标准（试行）</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（财办库</w:t>
      </w:r>
      <w:r>
        <w:rPr>
          <w:rFonts w:hint="eastAsia" w:ascii="宋体" w:hAnsi="宋体" w:cs="宋体"/>
          <w:color w:val="auto"/>
          <w:sz w:val="24"/>
          <w:szCs w:val="24"/>
          <w:lang w:eastAsia="zh-CN"/>
        </w:rPr>
        <w:t>〔2020〕123号</w:t>
      </w:r>
      <w:r>
        <w:rPr>
          <w:rFonts w:hint="eastAsia" w:ascii="宋体" w:hAnsi="宋体" w:eastAsia="宋体" w:cs="宋体"/>
          <w:color w:val="auto"/>
          <w:sz w:val="24"/>
          <w:szCs w:val="24"/>
        </w:rPr>
        <w:t>）的要求，包装适应于远距离运输、防潮、防震、防锈和防野蛮装卸，确保货物安全无损运抵指定地点。由于包装不善所引起的货物损失均由我公司承担。</w:t>
      </w:r>
    </w:p>
    <w:p w14:paraId="01C34CF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七、</w:t>
      </w:r>
      <w:r>
        <w:rPr>
          <w:rFonts w:hint="eastAsia" w:ascii="宋体" w:hAnsi="宋体" w:eastAsia="宋体" w:cs="宋体"/>
          <w:color w:val="auto"/>
          <w:sz w:val="24"/>
          <w:szCs w:val="24"/>
        </w:rPr>
        <w:t>参加本次采购活动，我方完全同意</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第二章关</w:t>
      </w:r>
      <w:r>
        <w:rPr>
          <w:rFonts w:hint="eastAsia" w:ascii="宋体" w:hAnsi="宋体" w:eastAsia="宋体" w:cs="宋体"/>
          <w:color w:val="auto"/>
          <w:sz w:val="24"/>
          <w:szCs w:val="24"/>
          <w:highlight w:val="none"/>
        </w:rPr>
        <w:t>于 “参加</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采购的费用”、“知识产权”、“合同分包和转包”等</w:t>
      </w:r>
      <w:r>
        <w:rPr>
          <w:rFonts w:hint="eastAsia" w:ascii="宋体" w:hAnsi="宋体" w:eastAsia="宋体" w:cs="宋体"/>
          <w:color w:val="auto"/>
          <w:sz w:val="24"/>
          <w:szCs w:val="24"/>
        </w:rPr>
        <w:t>实质性要求，并承诺严格按照</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要求履行。</w:t>
      </w:r>
    </w:p>
    <w:p w14:paraId="17372BB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八、</w:t>
      </w:r>
      <w:r>
        <w:rPr>
          <w:rFonts w:hint="eastAsia" w:ascii="宋体" w:hAnsi="宋体" w:eastAsia="宋体" w:cs="宋体"/>
          <w:color w:val="auto"/>
          <w:sz w:val="24"/>
          <w:szCs w:val="24"/>
        </w:rPr>
        <w:t>如本项目</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采购过程中需要提供样品，则我方提供的样品即为成交后将要提供的成交产品，我方对提供样品的性能和质量负责，因样品存在缺陷或者不符合</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文件要求导致未能成交的，我方愿意承担相应不利后果。</w:t>
      </w:r>
    </w:p>
    <w:p w14:paraId="7AF048B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九、</w:t>
      </w:r>
      <w:r>
        <w:rPr>
          <w:rFonts w:hint="eastAsia" w:ascii="宋体" w:hAnsi="宋体" w:eastAsia="宋体" w:cs="宋体"/>
          <w:color w:val="auto"/>
          <w:sz w:val="24"/>
          <w:szCs w:val="24"/>
        </w:rPr>
        <w:t>我方同意在《</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》规定的递交响应文件截止日期起遵循本</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文件，并在</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文件有效期满之前均具有约束力。如果我方报价被接受，则至合同履行完毕、质保期满为止，本承诺书保持有效。</w:t>
      </w:r>
    </w:p>
    <w:p w14:paraId="54E72A1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本方对上述承诺的内容事项真实性负责。如经查实上述承诺的内容事项存在虚假，我方愿意接受以提供虚假材料谋取成交的法律责任。若贵方需要，我方愿意提供我方作出的一切承诺的证明材料。</w:t>
      </w:r>
    </w:p>
    <w:p w14:paraId="39EDD7E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p>
    <w:p w14:paraId="539E063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p>
    <w:p w14:paraId="6FAAB6A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与本次</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有关的正式通讯地址为：</w:t>
      </w:r>
    </w:p>
    <w:p w14:paraId="1CD2470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地    址：           邮政编码：</w:t>
      </w:r>
    </w:p>
    <w:p w14:paraId="234F268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电    话：           传    真：</w:t>
      </w:r>
    </w:p>
    <w:p w14:paraId="1DDFB4B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p>
    <w:p w14:paraId="7E3DE40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供应商：（全称）（加盖电子公章）</w:t>
      </w:r>
    </w:p>
    <w:p w14:paraId="20ACBF7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法定代表人：（电子签名</w:t>
      </w:r>
      <w:r>
        <w:rPr>
          <w:rFonts w:hint="eastAsia" w:ascii="宋体" w:hAnsi="宋体" w:eastAsia="宋体" w:cs="宋体"/>
          <w:color w:val="auto"/>
          <w:sz w:val="24"/>
          <w:szCs w:val="24"/>
          <w:lang w:eastAsia="zh-CN"/>
        </w:rPr>
        <w:t>）</w:t>
      </w:r>
    </w:p>
    <w:p w14:paraId="6FDF0D2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日期：年月日</w:t>
      </w:r>
    </w:p>
    <w:p w14:paraId="4696AFE7">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说明：本承诺函内容不得擅自修改。</w:t>
      </w:r>
    </w:p>
    <w:p w14:paraId="7BF536A4">
      <w:pPr>
        <w:pageBreakBefore w:val="0"/>
        <w:kinsoku/>
        <w:wordWrap/>
        <w:overflowPunct/>
        <w:topLinePunct w:val="0"/>
        <w:bidi w:val="0"/>
        <w:spacing w:line="560" w:lineRule="exact"/>
        <w:textAlignment w:val="auto"/>
        <w:outlineLvl w:val="9"/>
        <w:rPr>
          <w:rFonts w:hint="eastAsia" w:ascii="宋体" w:hAnsi="宋体" w:eastAsia="宋体" w:cs="宋体"/>
          <w:b/>
          <w:color w:val="auto"/>
          <w:sz w:val="24"/>
          <w:szCs w:val="24"/>
          <w:lang w:val="en-US" w:eastAsia="zh-CN"/>
        </w:rPr>
      </w:pPr>
    </w:p>
    <w:p w14:paraId="58C8EC4A">
      <w:pPr>
        <w:pStyle w:val="4"/>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格式3-2：供应商信息表</w:t>
      </w:r>
      <w:bookmarkEnd w:id="401"/>
    </w:p>
    <w:p w14:paraId="77F4EA84">
      <w:pPr>
        <w:keepNext w:val="0"/>
        <w:keepLines w:val="0"/>
        <w:pageBreakBefore w:val="0"/>
        <w:kinsoku/>
        <w:wordWrap/>
        <w:overflowPunct/>
        <w:topLinePunct w:val="0"/>
        <w:bidi w:val="0"/>
        <w:spacing w:line="560" w:lineRule="exact"/>
        <w:jc w:val="center"/>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供应商</w:t>
      </w:r>
      <w:r>
        <w:rPr>
          <w:rFonts w:hint="eastAsia" w:ascii="宋体" w:hAnsi="宋体" w:eastAsia="宋体" w:cs="宋体"/>
          <w:color w:val="auto"/>
          <w:kern w:val="0"/>
          <w:sz w:val="24"/>
          <w:szCs w:val="24"/>
        </w:rPr>
        <w:t>信息表</w:t>
      </w:r>
    </w:p>
    <w:p w14:paraId="348AB7B4">
      <w:pPr>
        <w:keepLines w:val="0"/>
        <w:pageBreakBefore w:val="0"/>
        <w:kinsoku/>
        <w:wordWrap/>
        <w:overflowPunct/>
        <w:topLinePunct w:val="0"/>
        <w:bidi w:val="0"/>
        <w:adjustRightInd w:val="0"/>
        <w:snapToGrid w:val="0"/>
        <w:spacing w:line="560" w:lineRule="exact"/>
        <w:ind w:firstLine="480" w:firstLineChars="200"/>
        <w:jc w:val="center"/>
        <w:textAlignment w:val="auto"/>
        <w:outlineLvl w:val="9"/>
        <w:rPr>
          <w:rFonts w:hint="eastAsia" w:ascii="宋体" w:hAnsi="宋体" w:eastAsia="宋体" w:cs="宋体"/>
          <w:b/>
          <w:bCs/>
          <w:color w:val="auto"/>
          <w:sz w:val="24"/>
          <w:szCs w:val="24"/>
        </w:rPr>
      </w:pPr>
      <w:bookmarkStart w:id="402" w:name="_Toc8764_WPSOffice_Level2"/>
      <w:r>
        <w:rPr>
          <w:rFonts w:hint="eastAsia" w:ascii="宋体" w:hAnsi="宋体" w:cs="宋体"/>
          <w:b/>
          <w:bCs/>
          <w:color w:val="auto"/>
          <w:sz w:val="24"/>
          <w:szCs w:val="24"/>
          <w:lang w:eastAsia="zh-CN"/>
        </w:rPr>
        <w:t>（</w:t>
      </w:r>
      <w:r>
        <w:rPr>
          <w:rFonts w:hint="eastAsia" w:ascii="宋体" w:hAnsi="宋体" w:eastAsia="宋体" w:cs="宋体"/>
          <w:b/>
          <w:bCs/>
          <w:color w:val="auto"/>
          <w:sz w:val="24"/>
          <w:szCs w:val="24"/>
        </w:rPr>
        <w:t>请</w:t>
      </w:r>
      <w:r>
        <w:rPr>
          <w:rFonts w:hint="eastAsia" w:ascii="宋体" w:hAnsi="宋体" w:eastAsia="宋体" w:cs="宋体"/>
          <w:b/>
          <w:bCs/>
          <w:color w:val="auto"/>
          <w:sz w:val="24"/>
          <w:szCs w:val="24"/>
          <w:lang w:val="en-US" w:eastAsia="zh-CN"/>
        </w:rPr>
        <w:t>供应商</w:t>
      </w:r>
      <w:r>
        <w:rPr>
          <w:rFonts w:hint="eastAsia" w:ascii="宋体" w:hAnsi="宋体" w:eastAsia="宋体" w:cs="宋体"/>
          <w:b/>
          <w:bCs/>
          <w:color w:val="auto"/>
          <w:sz w:val="24"/>
          <w:szCs w:val="24"/>
        </w:rPr>
        <w:t>如实填写本表信息</w:t>
      </w:r>
      <w:r>
        <w:rPr>
          <w:rFonts w:hint="eastAsia" w:ascii="宋体" w:hAnsi="宋体" w:cs="宋体"/>
          <w:b/>
          <w:bCs/>
          <w:color w:val="auto"/>
          <w:sz w:val="24"/>
          <w:szCs w:val="24"/>
          <w:lang w:eastAsia="zh-CN"/>
        </w:rPr>
        <w:t>）</w:t>
      </w:r>
      <w:bookmarkEnd w:id="402"/>
    </w:p>
    <w:p w14:paraId="48118725">
      <w:pPr>
        <w:keepLines w:val="0"/>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u w:val="single"/>
        </w:rPr>
      </w:pPr>
      <w:r>
        <w:rPr>
          <w:rFonts w:hint="eastAsia" w:ascii="宋体" w:hAnsi="宋体" w:eastAsia="宋体" w:cs="宋体"/>
          <w:b/>
          <w:bCs/>
          <w:color w:val="auto"/>
          <w:sz w:val="24"/>
          <w:szCs w:val="24"/>
        </w:rPr>
        <w:t>项目名称：</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            </w:t>
      </w:r>
      <w:r>
        <w:rPr>
          <w:rFonts w:hint="eastAsia" w:ascii="宋体" w:hAnsi="宋体" w:eastAsia="宋体" w:cs="宋体"/>
          <w:b/>
          <w:bCs/>
          <w:color w:val="auto"/>
          <w:sz w:val="24"/>
          <w:szCs w:val="24"/>
          <w:lang w:val="en-US" w:eastAsia="zh-CN"/>
        </w:rPr>
        <w:t>项目</w:t>
      </w:r>
      <w:r>
        <w:rPr>
          <w:rFonts w:hint="eastAsia" w:ascii="宋体" w:hAnsi="宋体" w:eastAsia="宋体" w:cs="宋体"/>
          <w:b/>
          <w:bCs/>
          <w:color w:val="auto"/>
          <w:sz w:val="24"/>
          <w:szCs w:val="24"/>
        </w:rPr>
        <w:t>编号：</w:t>
      </w:r>
      <w:r>
        <w:rPr>
          <w:rFonts w:hint="eastAsia" w:ascii="宋体" w:hAnsi="宋体" w:eastAsia="宋体" w:cs="宋体"/>
          <w:color w:val="auto"/>
          <w:sz w:val="24"/>
          <w:szCs w:val="24"/>
          <w:u w:val="single"/>
        </w:rPr>
        <w:t xml:space="preserve">           </w:t>
      </w:r>
    </w:p>
    <w:tbl>
      <w:tblPr>
        <w:tblStyle w:val="33"/>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5"/>
        <w:gridCol w:w="1942"/>
        <w:gridCol w:w="2580"/>
        <w:gridCol w:w="2117"/>
      </w:tblGrid>
      <w:tr w14:paraId="6204D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6EE2E4DF">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供应商名称：</w:t>
            </w:r>
          </w:p>
        </w:tc>
        <w:tc>
          <w:tcPr>
            <w:tcW w:w="6639" w:type="dxa"/>
            <w:gridSpan w:val="3"/>
            <w:tcBorders>
              <w:left w:val="nil"/>
            </w:tcBorders>
            <w:noWrap w:val="0"/>
            <w:vAlign w:val="center"/>
          </w:tcPr>
          <w:p w14:paraId="0A2C1063">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p>
        </w:tc>
      </w:tr>
      <w:tr w14:paraId="736BC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660371AA">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营业执照注册号：</w:t>
            </w:r>
          </w:p>
        </w:tc>
        <w:tc>
          <w:tcPr>
            <w:tcW w:w="6639" w:type="dxa"/>
            <w:gridSpan w:val="3"/>
            <w:tcBorders>
              <w:left w:val="nil"/>
            </w:tcBorders>
            <w:noWrap w:val="0"/>
            <w:vAlign w:val="center"/>
          </w:tcPr>
          <w:p w14:paraId="2352536A">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p>
        </w:tc>
      </w:tr>
      <w:tr w14:paraId="75261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4FE7B4B4">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组织机构代码：</w:t>
            </w:r>
          </w:p>
        </w:tc>
        <w:tc>
          <w:tcPr>
            <w:tcW w:w="6639" w:type="dxa"/>
            <w:gridSpan w:val="3"/>
            <w:tcBorders>
              <w:left w:val="nil"/>
            </w:tcBorders>
            <w:noWrap w:val="0"/>
            <w:vAlign w:val="center"/>
          </w:tcPr>
          <w:p w14:paraId="0CBF254A">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p>
        </w:tc>
      </w:tr>
      <w:tr w14:paraId="1CB20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30B01B62">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税务登记证号：</w:t>
            </w:r>
          </w:p>
        </w:tc>
        <w:tc>
          <w:tcPr>
            <w:tcW w:w="6639" w:type="dxa"/>
            <w:gridSpan w:val="3"/>
            <w:tcBorders>
              <w:left w:val="nil"/>
            </w:tcBorders>
            <w:noWrap w:val="0"/>
            <w:vAlign w:val="center"/>
          </w:tcPr>
          <w:p w14:paraId="65DB2F8B">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p>
        </w:tc>
      </w:tr>
      <w:tr w14:paraId="0BC22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07FAC0DA">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注册资金：</w:t>
            </w:r>
          </w:p>
        </w:tc>
        <w:tc>
          <w:tcPr>
            <w:tcW w:w="1942" w:type="dxa"/>
            <w:tcBorders>
              <w:left w:val="nil"/>
            </w:tcBorders>
            <w:noWrap w:val="0"/>
            <w:vAlign w:val="center"/>
          </w:tcPr>
          <w:p w14:paraId="3AB80FBC">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p>
        </w:tc>
        <w:tc>
          <w:tcPr>
            <w:tcW w:w="2580" w:type="dxa"/>
            <w:tcBorders>
              <w:left w:val="nil"/>
            </w:tcBorders>
            <w:noWrap w:val="0"/>
            <w:vAlign w:val="center"/>
          </w:tcPr>
          <w:p w14:paraId="4CE4C222">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邮政编码：</w:t>
            </w:r>
          </w:p>
        </w:tc>
        <w:tc>
          <w:tcPr>
            <w:tcW w:w="2117" w:type="dxa"/>
            <w:tcBorders>
              <w:left w:val="nil"/>
            </w:tcBorders>
            <w:noWrap w:val="0"/>
            <w:vAlign w:val="center"/>
          </w:tcPr>
          <w:p w14:paraId="447E57FD">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p>
        </w:tc>
      </w:tr>
      <w:tr w14:paraId="2D79B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6CD915DD">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公司成立日期：</w:t>
            </w:r>
          </w:p>
        </w:tc>
        <w:tc>
          <w:tcPr>
            <w:tcW w:w="1942" w:type="dxa"/>
            <w:tcBorders>
              <w:left w:val="nil"/>
            </w:tcBorders>
            <w:noWrap w:val="0"/>
            <w:vAlign w:val="center"/>
          </w:tcPr>
          <w:p w14:paraId="140B449C">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p>
        </w:tc>
        <w:tc>
          <w:tcPr>
            <w:tcW w:w="2580" w:type="dxa"/>
            <w:tcBorders>
              <w:left w:val="nil"/>
            </w:tcBorders>
            <w:noWrap w:val="0"/>
            <w:vAlign w:val="center"/>
          </w:tcPr>
          <w:p w14:paraId="341F94FC">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企业网站网址</w:t>
            </w:r>
            <w:r>
              <w:rPr>
                <w:rFonts w:hint="eastAsia" w:ascii="宋体" w:hAnsi="宋体" w:cs="宋体"/>
                <w:b/>
                <w:bCs/>
                <w:color w:val="auto"/>
                <w:sz w:val="24"/>
                <w:szCs w:val="24"/>
                <w:lang w:eastAsia="zh-CN"/>
              </w:rPr>
              <w:t>（</w:t>
            </w:r>
            <w:r>
              <w:rPr>
                <w:rFonts w:hint="eastAsia" w:ascii="宋体" w:hAnsi="宋体" w:eastAsia="宋体" w:cs="宋体"/>
                <w:b/>
                <w:bCs/>
                <w:color w:val="auto"/>
                <w:sz w:val="24"/>
                <w:szCs w:val="24"/>
              </w:rPr>
              <w:t>如有</w:t>
            </w:r>
            <w:r>
              <w:rPr>
                <w:rFonts w:hint="eastAsia" w:ascii="宋体" w:hAnsi="宋体" w:cs="宋体"/>
                <w:b/>
                <w:bCs/>
                <w:color w:val="auto"/>
                <w:sz w:val="24"/>
                <w:szCs w:val="24"/>
                <w:lang w:eastAsia="zh-CN"/>
              </w:rPr>
              <w:t>）</w:t>
            </w:r>
            <w:r>
              <w:rPr>
                <w:rFonts w:hint="eastAsia" w:ascii="宋体" w:hAnsi="宋体" w:eastAsia="宋体" w:cs="宋体"/>
                <w:b/>
                <w:bCs/>
                <w:color w:val="auto"/>
                <w:sz w:val="24"/>
                <w:szCs w:val="24"/>
              </w:rPr>
              <w:t>：</w:t>
            </w:r>
          </w:p>
        </w:tc>
        <w:tc>
          <w:tcPr>
            <w:tcW w:w="2117" w:type="dxa"/>
            <w:tcBorders>
              <w:left w:val="nil"/>
            </w:tcBorders>
            <w:noWrap w:val="0"/>
            <w:vAlign w:val="center"/>
          </w:tcPr>
          <w:p w14:paraId="20705F92">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p>
        </w:tc>
      </w:tr>
      <w:tr w14:paraId="02ED7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46D9512E">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企业电话：</w:t>
            </w:r>
          </w:p>
        </w:tc>
        <w:tc>
          <w:tcPr>
            <w:tcW w:w="1942" w:type="dxa"/>
            <w:tcBorders>
              <w:left w:val="nil"/>
            </w:tcBorders>
            <w:noWrap w:val="0"/>
            <w:vAlign w:val="center"/>
          </w:tcPr>
          <w:p w14:paraId="3CBB7B42">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p>
        </w:tc>
        <w:tc>
          <w:tcPr>
            <w:tcW w:w="2580" w:type="dxa"/>
            <w:tcBorders>
              <w:left w:val="nil"/>
            </w:tcBorders>
            <w:noWrap w:val="0"/>
            <w:vAlign w:val="center"/>
          </w:tcPr>
          <w:p w14:paraId="09D10F0C">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通讯地址：</w:t>
            </w:r>
          </w:p>
        </w:tc>
        <w:tc>
          <w:tcPr>
            <w:tcW w:w="2117" w:type="dxa"/>
            <w:tcBorders>
              <w:left w:val="nil"/>
            </w:tcBorders>
            <w:noWrap w:val="0"/>
            <w:vAlign w:val="center"/>
          </w:tcPr>
          <w:p w14:paraId="479F51DE">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p>
        </w:tc>
      </w:tr>
      <w:tr w14:paraId="12268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6DEE51A0">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公司简介：</w:t>
            </w:r>
          </w:p>
        </w:tc>
        <w:tc>
          <w:tcPr>
            <w:tcW w:w="6639" w:type="dxa"/>
            <w:gridSpan w:val="3"/>
            <w:tcBorders>
              <w:left w:val="nil"/>
            </w:tcBorders>
            <w:noWrap w:val="0"/>
            <w:vAlign w:val="center"/>
          </w:tcPr>
          <w:p w14:paraId="039D539C">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p>
        </w:tc>
      </w:tr>
      <w:tr w14:paraId="4D045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519F5EFF">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经营范围：</w:t>
            </w:r>
          </w:p>
        </w:tc>
        <w:tc>
          <w:tcPr>
            <w:tcW w:w="6639" w:type="dxa"/>
            <w:gridSpan w:val="3"/>
            <w:tcBorders>
              <w:left w:val="nil"/>
            </w:tcBorders>
            <w:noWrap w:val="0"/>
            <w:vAlign w:val="center"/>
          </w:tcPr>
          <w:p w14:paraId="7B313D88">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rPr>
            </w:pPr>
          </w:p>
        </w:tc>
      </w:tr>
      <w:tr w14:paraId="713EE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15C3F4CF">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法定代表人：</w:t>
            </w:r>
          </w:p>
        </w:tc>
        <w:tc>
          <w:tcPr>
            <w:tcW w:w="1942" w:type="dxa"/>
            <w:tcBorders>
              <w:left w:val="nil"/>
            </w:tcBorders>
            <w:noWrap w:val="0"/>
            <w:vAlign w:val="center"/>
          </w:tcPr>
          <w:p w14:paraId="224A47BA">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highlight w:val="none"/>
              </w:rPr>
            </w:pPr>
          </w:p>
        </w:tc>
        <w:tc>
          <w:tcPr>
            <w:tcW w:w="2580" w:type="dxa"/>
            <w:tcBorders>
              <w:left w:val="single" w:color="auto" w:sz="4" w:space="0"/>
            </w:tcBorders>
            <w:noWrap w:val="0"/>
            <w:vAlign w:val="center"/>
          </w:tcPr>
          <w:p w14:paraId="4B522ED2">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法人身份证号：</w:t>
            </w:r>
          </w:p>
        </w:tc>
        <w:tc>
          <w:tcPr>
            <w:tcW w:w="2117" w:type="dxa"/>
            <w:tcBorders>
              <w:left w:val="single" w:color="auto" w:sz="4" w:space="0"/>
            </w:tcBorders>
            <w:noWrap w:val="0"/>
            <w:vAlign w:val="center"/>
          </w:tcPr>
          <w:p w14:paraId="57AAA74B">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highlight w:val="none"/>
              </w:rPr>
            </w:pPr>
          </w:p>
        </w:tc>
      </w:tr>
      <w:tr w14:paraId="18039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5B0416F0">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本项目经办人</w:t>
            </w:r>
            <w:r>
              <w:rPr>
                <w:rFonts w:hint="eastAsia" w:ascii="宋体" w:hAnsi="宋体" w:cs="宋体"/>
                <w:b/>
                <w:bCs/>
                <w:color w:val="auto"/>
                <w:sz w:val="24"/>
                <w:szCs w:val="24"/>
                <w:highlight w:val="none"/>
                <w:lang w:val="en-US" w:eastAsia="zh-CN"/>
              </w:rPr>
              <w:t>：</w:t>
            </w:r>
          </w:p>
        </w:tc>
        <w:tc>
          <w:tcPr>
            <w:tcW w:w="1942" w:type="dxa"/>
            <w:tcBorders>
              <w:left w:val="nil"/>
            </w:tcBorders>
            <w:noWrap w:val="0"/>
            <w:vAlign w:val="center"/>
          </w:tcPr>
          <w:p w14:paraId="3C9DA2D3">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highlight w:val="none"/>
              </w:rPr>
            </w:pPr>
          </w:p>
        </w:tc>
        <w:tc>
          <w:tcPr>
            <w:tcW w:w="2580" w:type="dxa"/>
            <w:tcBorders>
              <w:left w:val="single" w:color="auto" w:sz="4" w:space="0"/>
            </w:tcBorders>
            <w:noWrap w:val="0"/>
            <w:vAlign w:val="center"/>
          </w:tcPr>
          <w:p w14:paraId="1D52DF48">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联系电话、工作邮箱：</w:t>
            </w:r>
          </w:p>
        </w:tc>
        <w:tc>
          <w:tcPr>
            <w:tcW w:w="2117" w:type="dxa"/>
            <w:tcBorders>
              <w:left w:val="single" w:color="auto" w:sz="4" w:space="0"/>
            </w:tcBorders>
            <w:noWrap w:val="0"/>
            <w:vAlign w:val="center"/>
          </w:tcPr>
          <w:p w14:paraId="2A721708">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highlight w:val="none"/>
              </w:rPr>
            </w:pPr>
          </w:p>
        </w:tc>
      </w:tr>
      <w:tr w14:paraId="18AE2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768D957E">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开户银行：</w:t>
            </w:r>
          </w:p>
        </w:tc>
        <w:tc>
          <w:tcPr>
            <w:tcW w:w="1942" w:type="dxa"/>
            <w:tcBorders>
              <w:left w:val="nil"/>
            </w:tcBorders>
            <w:noWrap w:val="0"/>
            <w:vAlign w:val="center"/>
          </w:tcPr>
          <w:p w14:paraId="5EC30EB4">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highlight w:val="none"/>
              </w:rPr>
            </w:pPr>
          </w:p>
        </w:tc>
        <w:tc>
          <w:tcPr>
            <w:tcW w:w="2580" w:type="dxa"/>
            <w:tcBorders>
              <w:left w:val="single" w:color="auto" w:sz="4" w:space="0"/>
            </w:tcBorders>
            <w:noWrap w:val="0"/>
            <w:vAlign w:val="center"/>
          </w:tcPr>
          <w:p w14:paraId="1B4B3357">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银行账号：</w:t>
            </w:r>
          </w:p>
        </w:tc>
        <w:tc>
          <w:tcPr>
            <w:tcW w:w="2117" w:type="dxa"/>
            <w:tcBorders>
              <w:left w:val="single" w:color="auto" w:sz="4" w:space="0"/>
            </w:tcBorders>
            <w:noWrap w:val="0"/>
            <w:vAlign w:val="center"/>
          </w:tcPr>
          <w:p w14:paraId="5B3048A8">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color w:val="auto"/>
                <w:sz w:val="24"/>
                <w:szCs w:val="24"/>
                <w:highlight w:val="none"/>
              </w:rPr>
            </w:pPr>
          </w:p>
        </w:tc>
      </w:tr>
    </w:tbl>
    <w:p w14:paraId="3C4D3F9D">
      <w:pPr>
        <w:keepLines w:val="0"/>
        <w:pageBreakBefore w:val="0"/>
        <w:kinsoku/>
        <w:wordWrap/>
        <w:overflowPunct/>
        <w:topLinePunct w:val="0"/>
        <w:bidi w:val="0"/>
        <w:spacing w:line="560" w:lineRule="exact"/>
        <w:textAlignment w:val="auto"/>
        <w:outlineLvl w:val="9"/>
        <w:rPr>
          <w:rFonts w:hint="eastAsia" w:ascii="宋体" w:hAnsi="宋体" w:eastAsia="宋体" w:cs="宋体"/>
          <w:b/>
          <w:bCs/>
          <w:color w:val="auto"/>
          <w:sz w:val="24"/>
          <w:szCs w:val="24"/>
        </w:rPr>
      </w:pPr>
    </w:p>
    <w:p w14:paraId="144E47A9">
      <w:pPr>
        <w:keepLines w:val="0"/>
        <w:pageBreakBefore w:val="0"/>
        <w:kinsoku/>
        <w:wordWrap/>
        <w:overflowPunct/>
        <w:topLinePunct w:val="0"/>
        <w:bidi w:val="0"/>
        <w:spacing w:line="560" w:lineRule="exact"/>
        <w:ind w:firstLine="2" w:firstLineChars="1"/>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供应商</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（加盖电子公章）</w:t>
      </w:r>
    </w:p>
    <w:p w14:paraId="0CD77DE3">
      <w:pPr>
        <w:keepLines w:val="0"/>
        <w:pageBreakBefore w:val="0"/>
        <w:kinsoku/>
        <w:wordWrap/>
        <w:overflowPunct/>
        <w:topLinePunct w:val="0"/>
        <w:bidi w:val="0"/>
        <w:spacing w:line="560" w:lineRule="exact"/>
        <w:ind w:firstLine="2" w:firstLineChars="1"/>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p>
    <w:p w14:paraId="35AC4275">
      <w:pPr>
        <w:keepLines w:val="0"/>
        <w:pageBreakBefore w:val="0"/>
        <w:kinsoku/>
        <w:wordWrap/>
        <w:overflowPunct/>
        <w:topLinePunct w:val="0"/>
        <w:bidi w:val="0"/>
        <w:spacing w:line="560" w:lineRule="exact"/>
        <w:ind w:firstLine="2" w:firstLineChars="1"/>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法定代表人（电子签名）：</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 </w:t>
      </w:r>
    </w:p>
    <w:p w14:paraId="17C4247F">
      <w:pPr>
        <w:keepLines w:val="0"/>
        <w:pageBreakBefore w:val="0"/>
        <w:kinsoku/>
        <w:wordWrap/>
        <w:overflowPunct/>
        <w:topLinePunct w:val="0"/>
        <w:bidi w:val="0"/>
        <w:spacing w:line="560" w:lineRule="exact"/>
        <w:ind w:firstLine="2" w:firstLineChars="1"/>
        <w:textAlignment w:val="auto"/>
        <w:outlineLvl w:val="9"/>
        <w:rPr>
          <w:rFonts w:hint="eastAsia" w:ascii="宋体" w:hAnsi="宋体" w:eastAsia="宋体" w:cs="宋体"/>
          <w:b/>
          <w:bCs/>
          <w:color w:val="auto"/>
          <w:sz w:val="24"/>
          <w:szCs w:val="24"/>
        </w:rPr>
      </w:pPr>
    </w:p>
    <w:p w14:paraId="7DC47F36">
      <w:pPr>
        <w:keepLines w:val="0"/>
        <w:pageBreakBefore w:val="0"/>
        <w:kinsoku/>
        <w:wordWrap/>
        <w:overflowPunct/>
        <w:topLinePunct w:val="0"/>
        <w:bidi w:val="0"/>
        <w:spacing w:line="560" w:lineRule="exact"/>
        <w:ind w:firstLine="2" w:firstLineChars="1"/>
        <w:textAlignment w:val="auto"/>
        <w:outlineLvl w:val="9"/>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日   期：</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年</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月</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日</w:t>
      </w:r>
    </w:p>
    <w:p w14:paraId="01902153">
      <w:pPr>
        <w:pStyle w:val="4"/>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★格式3-3：技术、服务要求应答表（实质性要求）</w:t>
      </w:r>
    </w:p>
    <w:p w14:paraId="4D29B6D4">
      <w:pPr>
        <w:keepNext w:val="0"/>
        <w:keepLines w:val="0"/>
        <w:pageBreakBefore w:val="0"/>
        <w:widowControl w:val="0"/>
        <w:kinsoku/>
        <w:wordWrap/>
        <w:overflowPunct/>
        <w:topLinePunct w:val="0"/>
        <w:autoSpaceDE/>
        <w:autoSpaceDN/>
        <w:bidi w:val="0"/>
        <w:adjustRightInd/>
        <w:snapToGrid/>
        <w:spacing w:line="560" w:lineRule="exact"/>
        <w:ind w:right="0" w:rightChars="0" w:firstLine="720" w:firstLineChars="3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供应商应按所投产品的实际技术参数</w:t>
      </w:r>
      <w:r>
        <w:rPr>
          <w:rFonts w:hint="eastAsia" w:ascii="宋体" w:hAnsi="宋体" w:eastAsia="宋体" w:cs="宋体"/>
          <w:color w:val="auto"/>
          <w:sz w:val="24"/>
          <w:szCs w:val="24"/>
          <w:lang w:eastAsia="zh-CN"/>
        </w:rPr>
        <w:t>和服务要求</w:t>
      </w:r>
      <w:r>
        <w:rPr>
          <w:rFonts w:hint="eastAsia" w:ascii="宋体" w:hAnsi="宋体" w:eastAsia="宋体" w:cs="宋体"/>
          <w:color w:val="auto"/>
          <w:sz w:val="24"/>
          <w:szCs w:val="24"/>
        </w:rPr>
        <w:t>，逐条对应</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w:t>
      </w:r>
      <w:r>
        <w:rPr>
          <w:rFonts w:hint="eastAsia" w:ascii="宋体" w:hAnsi="宋体" w:eastAsia="宋体" w:cs="宋体"/>
          <w:color w:val="auto"/>
          <w:sz w:val="24"/>
          <w:szCs w:val="24"/>
          <w:highlight w:val="none"/>
        </w:rPr>
        <w:t>件的第</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章“</w:t>
      </w:r>
      <w:r>
        <w:rPr>
          <w:rFonts w:hint="eastAsia" w:ascii="宋体" w:hAnsi="宋体" w:eastAsia="宋体" w:cs="宋体"/>
          <w:b/>
          <w:bCs/>
          <w:color w:val="auto"/>
          <w:sz w:val="24"/>
          <w:szCs w:val="24"/>
          <w:highlight w:val="none"/>
          <w:lang w:val="en-US" w:eastAsia="zh-CN"/>
        </w:rPr>
        <w:t>项目需求</w:t>
      </w:r>
      <w:r>
        <w:rPr>
          <w:rFonts w:hint="eastAsia" w:ascii="宋体" w:hAnsi="宋体" w:eastAsia="宋体" w:cs="宋体"/>
          <w:color w:val="auto"/>
          <w:sz w:val="24"/>
          <w:szCs w:val="24"/>
          <w:highlight w:val="none"/>
        </w:rPr>
        <w:t>”中要求的</w:t>
      </w:r>
      <w:r>
        <w:rPr>
          <w:rFonts w:hint="eastAsia" w:ascii="宋体" w:hAnsi="宋体" w:eastAsia="宋体" w:cs="宋体"/>
          <w:color w:val="auto"/>
          <w:sz w:val="24"/>
          <w:szCs w:val="24"/>
        </w:rPr>
        <w:t>技术</w:t>
      </w:r>
      <w:r>
        <w:rPr>
          <w:rFonts w:hint="eastAsia" w:ascii="宋体" w:hAnsi="宋体" w:eastAsia="宋体" w:cs="宋体"/>
          <w:color w:val="auto"/>
          <w:sz w:val="24"/>
          <w:szCs w:val="24"/>
          <w:lang w:eastAsia="zh-CN"/>
        </w:rPr>
        <w:t>和服务</w:t>
      </w:r>
      <w:r>
        <w:rPr>
          <w:rFonts w:hint="eastAsia" w:ascii="宋体" w:hAnsi="宋体" w:eastAsia="宋体" w:cs="宋体"/>
          <w:color w:val="auto"/>
          <w:sz w:val="24"/>
          <w:szCs w:val="24"/>
        </w:rPr>
        <w:t>规范如实、完整、准确的填写该表。</w:t>
      </w:r>
    </w:p>
    <w:p w14:paraId="7B97831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00" w:firstLineChars="250"/>
        <w:jc w:val="both"/>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本表格将作为</w:t>
      </w:r>
      <w:r>
        <w:rPr>
          <w:rFonts w:hint="eastAsia" w:ascii="宋体" w:hAnsi="宋体" w:eastAsia="宋体" w:cs="宋体"/>
          <w:b/>
          <w:bCs/>
          <w:color w:val="auto"/>
          <w:sz w:val="24"/>
          <w:szCs w:val="24"/>
          <w:lang w:eastAsia="zh-CN"/>
        </w:rPr>
        <w:t>评审委员会</w:t>
      </w:r>
      <w:r>
        <w:rPr>
          <w:rFonts w:hint="eastAsia" w:ascii="宋体" w:hAnsi="宋体" w:eastAsia="宋体" w:cs="宋体"/>
          <w:b/>
          <w:bCs/>
          <w:color w:val="auto"/>
          <w:sz w:val="24"/>
          <w:szCs w:val="24"/>
        </w:rPr>
        <w:t>对供应商技术部分的评审依据，未按填写要求填写本表格的供应商将不能通过初步评审。</w:t>
      </w:r>
    </w:p>
    <w:p w14:paraId="3DAA9169">
      <w:pPr>
        <w:pStyle w:val="32"/>
        <w:pageBreakBefore w:val="0"/>
        <w:kinsoku/>
        <w:wordWrap/>
        <w:overflowPunct/>
        <w:topLinePunct w:val="0"/>
        <w:bidi w:val="0"/>
        <w:spacing w:line="560" w:lineRule="exact"/>
        <w:textAlignment w:val="auto"/>
        <w:outlineLvl w:val="9"/>
        <w:rPr>
          <w:rFonts w:hint="eastAsia" w:ascii="宋体" w:hAnsi="宋体" w:eastAsia="宋体" w:cs="宋体"/>
          <w:b/>
          <w:bCs/>
          <w:color w:val="auto"/>
          <w:sz w:val="24"/>
          <w:szCs w:val="24"/>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145"/>
        <w:gridCol w:w="2720"/>
        <w:gridCol w:w="3424"/>
        <w:gridCol w:w="1144"/>
        <w:gridCol w:w="787"/>
      </w:tblGrid>
      <w:tr w14:paraId="20D31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3" w:type="dxa"/>
            <w:noWrap w:val="0"/>
            <w:vAlign w:val="center"/>
          </w:tcPr>
          <w:p w14:paraId="64113CE6">
            <w:pPr>
              <w:pageBreakBefore w:val="0"/>
              <w:kinsoku/>
              <w:wordWrap/>
              <w:overflowPunct/>
              <w:topLinePunct w:val="0"/>
              <w:bidi w:val="0"/>
              <w:spacing w:line="560" w:lineRule="exact"/>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145" w:type="dxa"/>
            <w:noWrap w:val="0"/>
            <w:vAlign w:val="center"/>
          </w:tcPr>
          <w:p w14:paraId="382984F4">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货物</w:t>
            </w:r>
          </w:p>
          <w:p w14:paraId="6830680C">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2720" w:type="dxa"/>
            <w:noWrap w:val="0"/>
            <w:vAlign w:val="center"/>
          </w:tcPr>
          <w:p w14:paraId="67D2BA60">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要求</w:t>
            </w:r>
          </w:p>
        </w:tc>
        <w:tc>
          <w:tcPr>
            <w:tcW w:w="3424" w:type="dxa"/>
            <w:noWrap w:val="0"/>
            <w:vAlign w:val="center"/>
          </w:tcPr>
          <w:p w14:paraId="4558C23A">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响应文件响应</w:t>
            </w:r>
          </w:p>
        </w:tc>
        <w:tc>
          <w:tcPr>
            <w:tcW w:w="1144" w:type="dxa"/>
            <w:noWrap w:val="0"/>
            <w:vAlign w:val="center"/>
          </w:tcPr>
          <w:p w14:paraId="69DFF57E">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偏离</w:t>
            </w:r>
          </w:p>
        </w:tc>
        <w:tc>
          <w:tcPr>
            <w:tcW w:w="787" w:type="dxa"/>
            <w:noWrap w:val="0"/>
            <w:vAlign w:val="center"/>
          </w:tcPr>
          <w:p w14:paraId="2F0C0397">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说明</w:t>
            </w:r>
          </w:p>
        </w:tc>
      </w:tr>
      <w:tr w14:paraId="4738A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3" w:type="dxa"/>
            <w:noWrap w:val="0"/>
            <w:vAlign w:val="center"/>
          </w:tcPr>
          <w:p w14:paraId="56CA2DC2">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145" w:type="dxa"/>
            <w:noWrap w:val="0"/>
            <w:vAlign w:val="center"/>
          </w:tcPr>
          <w:p w14:paraId="279B9973">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720" w:type="dxa"/>
            <w:noWrap w:val="0"/>
            <w:vAlign w:val="center"/>
          </w:tcPr>
          <w:p w14:paraId="575E0E92">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3424" w:type="dxa"/>
            <w:noWrap w:val="0"/>
            <w:vAlign w:val="center"/>
          </w:tcPr>
          <w:p w14:paraId="647EA92A">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144" w:type="dxa"/>
            <w:noWrap w:val="0"/>
            <w:vAlign w:val="center"/>
          </w:tcPr>
          <w:p w14:paraId="020D716A">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787" w:type="dxa"/>
            <w:noWrap w:val="0"/>
            <w:vAlign w:val="center"/>
          </w:tcPr>
          <w:p w14:paraId="009A7DB3">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r>
      <w:tr w14:paraId="1E50C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3" w:type="dxa"/>
            <w:noWrap w:val="0"/>
            <w:vAlign w:val="center"/>
          </w:tcPr>
          <w:p w14:paraId="66FC52A7">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145" w:type="dxa"/>
            <w:noWrap w:val="0"/>
            <w:vAlign w:val="center"/>
          </w:tcPr>
          <w:p w14:paraId="6A855E1D">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720" w:type="dxa"/>
            <w:noWrap w:val="0"/>
            <w:vAlign w:val="center"/>
          </w:tcPr>
          <w:p w14:paraId="42D33F0B">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3424" w:type="dxa"/>
            <w:noWrap w:val="0"/>
            <w:vAlign w:val="center"/>
          </w:tcPr>
          <w:p w14:paraId="029E1A6C">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144" w:type="dxa"/>
            <w:noWrap w:val="0"/>
            <w:vAlign w:val="center"/>
          </w:tcPr>
          <w:p w14:paraId="455F301E">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787" w:type="dxa"/>
            <w:noWrap w:val="0"/>
            <w:vAlign w:val="center"/>
          </w:tcPr>
          <w:p w14:paraId="76597B72">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r>
      <w:tr w14:paraId="1E506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3" w:type="dxa"/>
            <w:noWrap w:val="0"/>
            <w:vAlign w:val="center"/>
          </w:tcPr>
          <w:p w14:paraId="21A80B2C">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145" w:type="dxa"/>
            <w:noWrap w:val="0"/>
            <w:vAlign w:val="center"/>
          </w:tcPr>
          <w:p w14:paraId="753C7B14">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720" w:type="dxa"/>
            <w:noWrap w:val="0"/>
            <w:vAlign w:val="center"/>
          </w:tcPr>
          <w:p w14:paraId="37571591">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3424" w:type="dxa"/>
            <w:noWrap w:val="0"/>
            <w:vAlign w:val="center"/>
          </w:tcPr>
          <w:p w14:paraId="57060DB7">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144" w:type="dxa"/>
            <w:noWrap w:val="0"/>
            <w:vAlign w:val="center"/>
          </w:tcPr>
          <w:p w14:paraId="5DE76A84">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787" w:type="dxa"/>
            <w:noWrap w:val="0"/>
            <w:vAlign w:val="center"/>
          </w:tcPr>
          <w:p w14:paraId="45DC6E36">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r>
      <w:tr w14:paraId="58A22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3" w:type="dxa"/>
            <w:noWrap w:val="0"/>
            <w:vAlign w:val="center"/>
          </w:tcPr>
          <w:p w14:paraId="39B3AB99">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145" w:type="dxa"/>
            <w:noWrap w:val="0"/>
            <w:vAlign w:val="center"/>
          </w:tcPr>
          <w:p w14:paraId="7A0816AE">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720" w:type="dxa"/>
            <w:noWrap w:val="0"/>
            <w:vAlign w:val="center"/>
          </w:tcPr>
          <w:p w14:paraId="2EF9DB8D">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3424" w:type="dxa"/>
            <w:noWrap w:val="0"/>
            <w:vAlign w:val="center"/>
          </w:tcPr>
          <w:p w14:paraId="78BB35F0">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144" w:type="dxa"/>
            <w:noWrap w:val="0"/>
            <w:vAlign w:val="center"/>
          </w:tcPr>
          <w:p w14:paraId="0F322118">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787" w:type="dxa"/>
            <w:noWrap w:val="0"/>
            <w:vAlign w:val="center"/>
          </w:tcPr>
          <w:p w14:paraId="770FC816">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r>
      <w:tr w14:paraId="58E6A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3" w:type="dxa"/>
            <w:noWrap w:val="0"/>
            <w:vAlign w:val="center"/>
          </w:tcPr>
          <w:p w14:paraId="1DA3DE5B">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145" w:type="dxa"/>
            <w:noWrap w:val="0"/>
            <w:vAlign w:val="center"/>
          </w:tcPr>
          <w:p w14:paraId="0721BD10">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720" w:type="dxa"/>
            <w:noWrap w:val="0"/>
            <w:vAlign w:val="center"/>
          </w:tcPr>
          <w:p w14:paraId="55246C07">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3424" w:type="dxa"/>
            <w:noWrap w:val="0"/>
            <w:vAlign w:val="center"/>
          </w:tcPr>
          <w:p w14:paraId="58906BB5">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144" w:type="dxa"/>
            <w:noWrap w:val="0"/>
            <w:vAlign w:val="center"/>
          </w:tcPr>
          <w:p w14:paraId="2F4EFACF">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787" w:type="dxa"/>
            <w:noWrap w:val="0"/>
            <w:vAlign w:val="center"/>
          </w:tcPr>
          <w:p w14:paraId="00DFE3CB">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r>
    </w:tbl>
    <w:p w14:paraId="2C8B1383">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auto"/>
          <w:sz w:val="24"/>
          <w:szCs w:val="24"/>
          <w:lang w:val="en-US" w:eastAsia="zh-CN"/>
        </w:rPr>
      </w:pPr>
    </w:p>
    <w:p w14:paraId="7E3AF993">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 xml:space="preserve">：                                 （加盖电子公章） </w:t>
      </w:r>
    </w:p>
    <w:p w14:paraId="03CAE382">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法定代表人（电子签名）：                </w:t>
      </w:r>
    </w:p>
    <w:p w14:paraId="50AE282D">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w:t>
      </w:r>
    </w:p>
    <w:p w14:paraId="3D19B4FC">
      <w:pPr>
        <w:pStyle w:val="17"/>
        <w:pageBreakBefore w:val="0"/>
        <w:kinsoku/>
        <w:wordWrap/>
        <w:overflowPunct/>
        <w:topLinePunct w:val="0"/>
        <w:bidi w:val="0"/>
        <w:spacing w:line="560" w:lineRule="exact"/>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表格填写说明：</w:t>
      </w:r>
    </w:p>
    <w:p w14:paraId="65320307">
      <w:pPr>
        <w:pStyle w:val="17"/>
        <w:keepNext w:val="0"/>
        <w:keepLines w:val="0"/>
        <w:pageBreakBefore w:val="0"/>
        <w:widowControl w:val="0"/>
        <w:kinsoku/>
        <w:wordWrap/>
        <w:overflowPunct/>
        <w:topLinePunct w:val="0"/>
        <w:bidi w:val="0"/>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rPr>
      </w:pPr>
      <w:r>
        <w:rPr>
          <w:rFonts w:hint="eastAsia" w:hAnsi="宋体" w:cs="宋体"/>
          <w:color w:val="auto"/>
          <w:sz w:val="24"/>
          <w:szCs w:val="24"/>
          <w:lang w:eastAsia="zh-CN"/>
        </w:rPr>
        <w:t>1.</w:t>
      </w:r>
      <w:r>
        <w:rPr>
          <w:rFonts w:hint="eastAsia" w:ascii="宋体" w:hAnsi="宋体" w:eastAsia="宋体" w:cs="宋体"/>
          <w:color w:val="auto"/>
          <w:sz w:val="24"/>
          <w:szCs w:val="24"/>
        </w:rPr>
        <w:t>表格中“货物名称”及“</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要求”可按“</w:t>
      </w:r>
      <w:r>
        <w:rPr>
          <w:rFonts w:hint="eastAsia" w:ascii="宋体" w:hAnsi="宋体" w:eastAsia="宋体" w:cs="宋体"/>
          <w:color w:val="auto"/>
          <w:sz w:val="24"/>
          <w:szCs w:val="24"/>
          <w:lang w:val="en-US" w:eastAsia="zh-CN"/>
        </w:rPr>
        <w:t>项目需求</w:t>
      </w:r>
      <w:r>
        <w:rPr>
          <w:rFonts w:hint="eastAsia" w:ascii="宋体" w:hAnsi="宋体" w:eastAsia="宋体" w:cs="宋体"/>
          <w:color w:val="auto"/>
          <w:sz w:val="24"/>
          <w:szCs w:val="24"/>
        </w:rPr>
        <w:t>”内容复制。</w:t>
      </w:r>
    </w:p>
    <w:p w14:paraId="7993A653">
      <w:pPr>
        <w:pStyle w:val="17"/>
        <w:keepNext w:val="0"/>
        <w:keepLines w:val="0"/>
        <w:pageBreakBefore w:val="0"/>
        <w:widowControl w:val="0"/>
        <w:kinsoku/>
        <w:wordWrap/>
        <w:overflowPunct/>
        <w:topLinePunct w:val="0"/>
        <w:bidi w:val="0"/>
        <w:snapToGrid/>
        <w:spacing w:line="560" w:lineRule="exact"/>
        <w:ind w:left="0" w:leftChars="0" w:right="0" w:rightChars="0" w:firstLine="0" w:firstLineChars="0"/>
        <w:jc w:val="both"/>
        <w:textAlignment w:val="auto"/>
        <w:outlineLvl w:val="9"/>
        <w:rPr>
          <w:rFonts w:hint="eastAsia" w:ascii="宋体" w:hAnsi="宋体" w:eastAsia="宋体" w:cs="宋体"/>
          <w:b/>
          <w:bCs/>
          <w:color w:val="auto"/>
          <w:sz w:val="24"/>
          <w:szCs w:val="24"/>
        </w:rPr>
      </w:pPr>
      <w:r>
        <w:rPr>
          <w:rFonts w:hint="eastAsia" w:hAnsi="宋体" w:cs="宋体"/>
          <w:color w:val="auto"/>
          <w:sz w:val="24"/>
          <w:szCs w:val="24"/>
          <w:lang w:eastAsia="zh-CN"/>
        </w:rPr>
        <w:t>2.</w:t>
      </w:r>
      <w:r>
        <w:rPr>
          <w:rFonts w:hint="eastAsia" w:ascii="宋体" w:hAnsi="宋体" w:eastAsia="宋体" w:cs="宋体"/>
          <w:color w:val="auto"/>
          <w:sz w:val="24"/>
          <w:szCs w:val="24"/>
        </w:rPr>
        <w:t>表格中“</w:t>
      </w:r>
      <w:r>
        <w:rPr>
          <w:rFonts w:hint="eastAsia" w:ascii="宋体" w:hAnsi="宋体" w:eastAsia="宋体" w:cs="宋体"/>
          <w:color w:val="auto"/>
          <w:sz w:val="24"/>
          <w:szCs w:val="24"/>
          <w:lang w:eastAsia="zh-CN"/>
        </w:rPr>
        <w:t>响应文件响应</w:t>
      </w:r>
      <w:r>
        <w:rPr>
          <w:rFonts w:hint="eastAsia" w:ascii="宋体" w:hAnsi="宋体" w:eastAsia="宋体" w:cs="宋体"/>
          <w:color w:val="auto"/>
          <w:sz w:val="24"/>
          <w:szCs w:val="24"/>
        </w:rPr>
        <w:t>”请</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根据实际</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情况如实、完整、准确地填写，请勿复制、粘贴</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要求。</w:t>
      </w:r>
      <w:r>
        <w:rPr>
          <w:rFonts w:hint="eastAsia" w:ascii="宋体" w:hAnsi="宋体" w:eastAsia="宋体" w:cs="宋体"/>
          <w:b/>
          <w:bCs/>
          <w:color w:val="auto"/>
          <w:sz w:val="24"/>
          <w:szCs w:val="24"/>
        </w:rPr>
        <w:t>若由于</w:t>
      </w:r>
      <w:r>
        <w:rPr>
          <w:rFonts w:hint="eastAsia" w:ascii="宋体" w:hAnsi="宋体" w:eastAsia="宋体" w:cs="宋体"/>
          <w:b/>
          <w:bCs/>
          <w:color w:val="auto"/>
          <w:sz w:val="24"/>
          <w:szCs w:val="24"/>
          <w:lang w:val="en-US" w:eastAsia="zh-CN"/>
        </w:rPr>
        <w:t>供应商</w:t>
      </w:r>
      <w:r>
        <w:rPr>
          <w:rFonts w:hint="eastAsia" w:ascii="宋体" w:hAnsi="宋体" w:eastAsia="宋体" w:cs="宋体"/>
          <w:b/>
          <w:bCs/>
          <w:color w:val="auto"/>
          <w:sz w:val="24"/>
          <w:szCs w:val="24"/>
        </w:rPr>
        <w:t>的疏忽大意或未能完整、如实填写，导致的一切后果由</w:t>
      </w:r>
      <w:r>
        <w:rPr>
          <w:rFonts w:hint="eastAsia" w:ascii="宋体" w:hAnsi="宋体" w:eastAsia="宋体" w:cs="宋体"/>
          <w:b/>
          <w:bCs/>
          <w:color w:val="auto"/>
          <w:sz w:val="24"/>
          <w:szCs w:val="24"/>
          <w:lang w:val="en-US" w:eastAsia="zh-CN"/>
        </w:rPr>
        <w:t>供应商</w:t>
      </w:r>
      <w:r>
        <w:rPr>
          <w:rFonts w:hint="eastAsia" w:ascii="宋体" w:hAnsi="宋体" w:eastAsia="宋体" w:cs="宋体"/>
          <w:b/>
          <w:bCs/>
          <w:color w:val="auto"/>
          <w:sz w:val="24"/>
          <w:szCs w:val="24"/>
        </w:rPr>
        <w:t>自行承担。供应商必须根据</w:t>
      </w:r>
      <w:r>
        <w:rPr>
          <w:rFonts w:hint="eastAsia" w:ascii="宋体" w:hAnsi="宋体" w:eastAsia="宋体" w:cs="宋体"/>
          <w:b/>
          <w:bCs/>
          <w:color w:val="auto"/>
          <w:sz w:val="24"/>
          <w:szCs w:val="24"/>
          <w:lang w:eastAsia="zh-CN"/>
        </w:rPr>
        <w:t>谈判文件</w:t>
      </w:r>
      <w:r>
        <w:rPr>
          <w:rFonts w:hint="eastAsia" w:ascii="宋体" w:hAnsi="宋体" w:eastAsia="宋体" w:cs="宋体"/>
          <w:b/>
          <w:bCs/>
          <w:color w:val="auto"/>
          <w:sz w:val="24"/>
          <w:szCs w:val="24"/>
        </w:rPr>
        <w:t>要求据实逐条填写，不得虚假响应，否则报价无效并按规定追究其相关责任。</w:t>
      </w:r>
    </w:p>
    <w:p w14:paraId="0B3D852D">
      <w:pPr>
        <w:pStyle w:val="17"/>
        <w:keepNext w:val="0"/>
        <w:keepLines w:val="0"/>
        <w:pageBreakBefore w:val="0"/>
        <w:widowControl w:val="0"/>
        <w:kinsoku/>
        <w:wordWrap/>
        <w:overflowPunct/>
        <w:topLinePunct w:val="0"/>
        <w:bidi w:val="0"/>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rPr>
      </w:pPr>
      <w:r>
        <w:rPr>
          <w:rFonts w:hint="eastAsia" w:hAnsi="宋体" w:cs="宋体"/>
          <w:color w:val="auto"/>
          <w:sz w:val="24"/>
          <w:szCs w:val="24"/>
          <w:lang w:eastAsia="zh-CN"/>
        </w:rPr>
        <w:t>3.</w:t>
      </w:r>
      <w:r>
        <w:rPr>
          <w:rFonts w:hint="eastAsia" w:ascii="宋体" w:hAnsi="宋体" w:eastAsia="宋体" w:cs="宋体"/>
          <w:color w:val="auto"/>
          <w:sz w:val="24"/>
          <w:szCs w:val="24"/>
        </w:rPr>
        <w:t>表格中“偏离”部分，</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只能如实填写“有偏离”或“无偏离”。凡</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内容与</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要求有区别的均按“有偏离</w:t>
      </w:r>
      <w:r>
        <w:rPr>
          <w:rFonts w:hint="eastAsia" w:hAnsi="宋体" w:cs="宋体"/>
          <w:color w:val="auto"/>
          <w:sz w:val="24"/>
          <w:szCs w:val="24"/>
          <w:lang w:eastAsia="zh-CN"/>
        </w:rPr>
        <w:t>”</w:t>
      </w:r>
      <w:r>
        <w:rPr>
          <w:rFonts w:hint="eastAsia" w:ascii="宋体" w:hAnsi="宋体" w:eastAsia="宋体" w:cs="宋体"/>
          <w:color w:val="auto"/>
          <w:sz w:val="24"/>
          <w:szCs w:val="24"/>
        </w:rPr>
        <w:t>填写，并在说明栏中写明技术指标。</w:t>
      </w:r>
    </w:p>
    <w:p w14:paraId="6D3AF561">
      <w:pPr>
        <w:pStyle w:val="17"/>
        <w:keepNext w:val="0"/>
        <w:keepLines w:val="0"/>
        <w:pageBreakBefore w:val="0"/>
        <w:widowControl w:val="0"/>
        <w:kinsoku/>
        <w:wordWrap/>
        <w:overflowPunct/>
        <w:topLinePunct w:val="0"/>
        <w:bidi w:val="0"/>
        <w:snapToGrid/>
        <w:spacing w:line="560" w:lineRule="exact"/>
        <w:ind w:left="0" w:leftChars="0" w:right="0" w:rightChars="0" w:firstLine="0" w:firstLineChars="0"/>
        <w:jc w:val="both"/>
        <w:textAlignment w:val="auto"/>
        <w:outlineLvl w:val="9"/>
        <w:rPr>
          <w:rFonts w:hint="eastAsia" w:ascii="宋体" w:hAnsi="宋体" w:eastAsia="宋体" w:cs="宋体"/>
          <w:color w:val="auto"/>
          <w:sz w:val="24"/>
          <w:szCs w:val="24"/>
        </w:rPr>
      </w:pPr>
      <w:r>
        <w:rPr>
          <w:rFonts w:hint="eastAsia" w:hAnsi="宋体" w:cs="宋体"/>
          <w:color w:val="auto"/>
          <w:sz w:val="24"/>
          <w:szCs w:val="24"/>
          <w:lang w:eastAsia="zh-CN"/>
        </w:rPr>
        <w:t>4.</w:t>
      </w:r>
      <w:r>
        <w:rPr>
          <w:rFonts w:hint="eastAsia" w:ascii="宋体" w:hAnsi="宋体" w:eastAsia="宋体" w:cs="宋体"/>
          <w:color w:val="auto"/>
          <w:sz w:val="24"/>
          <w:szCs w:val="24"/>
        </w:rPr>
        <w:t>表格中“说明”部分，若有偏离，则填写偏离指标。若无偏离，则不填写内容。</w:t>
      </w:r>
    </w:p>
    <w:p w14:paraId="4D923FF2">
      <w:pPr>
        <w:pStyle w:val="17"/>
        <w:keepNext w:val="0"/>
        <w:keepLines w:val="0"/>
        <w:pageBreakBefore w:val="0"/>
        <w:widowControl w:val="0"/>
        <w:kinsoku/>
        <w:wordWrap/>
        <w:overflowPunct/>
        <w:topLinePunct w:val="0"/>
        <w:bidi w:val="0"/>
        <w:snapToGrid/>
        <w:spacing w:line="560" w:lineRule="exact"/>
        <w:ind w:left="0" w:leftChars="0" w:right="0" w:rightChars="0" w:firstLine="0" w:firstLineChars="0"/>
        <w:jc w:val="both"/>
        <w:textAlignment w:val="auto"/>
        <w:outlineLvl w:val="9"/>
        <w:rPr>
          <w:rFonts w:hint="eastAsia" w:ascii="宋体" w:hAnsi="宋体" w:eastAsia="宋体" w:cs="宋体"/>
          <w:b/>
          <w:bCs/>
          <w:color w:val="auto"/>
          <w:sz w:val="24"/>
          <w:szCs w:val="24"/>
        </w:rPr>
      </w:pPr>
      <w:r>
        <w:rPr>
          <w:rFonts w:hint="eastAsia" w:hAnsi="宋体" w:cs="宋体"/>
          <w:color w:val="auto"/>
          <w:sz w:val="24"/>
          <w:szCs w:val="24"/>
          <w:lang w:eastAsia="zh-CN"/>
        </w:rPr>
        <w:t>5.</w:t>
      </w:r>
      <w:r>
        <w:rPr>
          <w:rFonts w:hint="eastAsia" w:ascii="宋体" w:hAnsi="宋体" w:eastAsia="宋体" w:cs="宋体"/>
          <w:b/>
          <w:bCs/>
          <w:color w:val="auto"/>
          <w:sz w:val="24"/>
          <w:szCs w:val="24"/>
        </w:rPr>
        <w:t>本表格中内容与</w:t>
      </w:r>
      <w:r>
        <w:rPr>
          <w:rFonts w:hint="eastAsia" w:ascii="宋体" w:hAnsi="宋体" w:eastAsia="宋体" w:cs="宋体"/>
          <w:b/>
          <w:bCs/>
          <w:color w:val="auto"/>
          <w:sz w:val="24"/>
          <w:szCs w:val="24"/>
          <w:lang w:eastAsia="zh-CN"/>
        </w:rPr>
        <w:t>响应</w:t>
      </w:r>
      <w:r>
        <w:rPr>
          <w:rFonts w:hint="eastAsia" w:ascii="宋体" w:hAnsi="宋体" w:eastAsia="宋体" w:cs="宋体"/>
          <w:b/>
          <w:bCs/>
          <w:color w:val="auto"/>
          <w:sz w:val="24"/>
          <w:szCs w:val="24"/>
        </w:rPr>
        <w:t>文件其余部分不一致的，以本表格为准。</w:t>
      </w:r>
    </w:p>
    <w:p w14:paraId="0CD76C2B">
      <w:pPr>
        <w:pStyle w:val="4"/>
        <w:rPr>
          <w:rFonts w:hint="eastAsia" w:ascii="宋体" w:hAnsi="宋体" w:eastAsia="宋体" w:cs="宋体"/>
          <w:b/>
          <w:bCs/>
          <w:color w:val="auto"/>
          <w:sz w:val="24"/>
          <w:szCs w:val="24"/>
          <w:lang w:val="en-US" w:eastAsia="zh-CN"/>
        </w:rPr>
      </w:pPr>
      <w:r>
        <w:rPr>
          <w:rFonts w:hint="eastAsia" w:ascii="宋体" w:hAnsi="宋体" w:eastAsia="宋体" w:cs="宋体"/>
          <w:b/>
          <w:bCs/>
          <w:color w:val="auto"/>
          <w:kern w:val="2"/>
          <w:sz w:val="24"/>
          <w:szCs w:val="24"/>
          <w:lang w:val="en-US" w:eastAsia="zh-CN" w:bidi="ar-SA"/>
        </w:rPr>
        <w:t>★格式3-4：商务条款偏离表（实质性要求）</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341"/>
        <w:gridCol w:w="2341"/>
        <w:gridCol w:w="2341"/>
        <w:gridCol w:w="2341"/>
      </w:tblGrid>
      <w:tr w14:paraId="67519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801" w:type="dxa"/>
            <w:noWrap w:val="0"/>
            <w:vAlign w:val="center"/>
          </w:tcPr>
          <w:p w14:paraId="3F7B90CD">
            <w:pPr>
              <w:pStyle w:val="22"/>
              <w:pageBreakBefore w:val="0"/>
              <w:pBdr>
                <w:bottom w:val="none" w:color="auto" w:sz="0" w:space="0"/>
              </w:pBdr>
              <w:tabs>
                <w:tab w:val="clear" w:pos="4153"/>
                <w:tab w:val="clear" w:pos="8306"/>
              </w:tabs>
              <w:kinsoku/>
              <w:wordWrap/>
              <w:overflowPunct/>
              <w:topLinePunct w:val="0"/>
              <w:bidi w:val="0"/>
              <w:snapToGrid/>
              <w:spacing w:line="560" w:lineRule="exact"/>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341" w:type="dxa"/>
            <w:noWrap w:val="0"/>
            <w:vAlign w:val="center"/>
          </w:tcPr>
          <w:p w14:paraId="7B6DB4AA">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要求</w:t>
            </w:r>
          </w:p>
        </w:tc>
        <w:tc>
          <w:tcPr>
            <w:tcW w:w="2341" w:type="dxa"/>
            <w:noWrap w:val="0"/>
            <w:vAlign w:val="center"/>
          </w:tcPr>
          <w:p w14:paraId="39052FB7">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响应文件响应</w:t>
            </w:r>
          </w:p>
        </w:tc>
        <w:tc>
          <w:tcPr>
            <w:tcW w:w="2341" w:type="dxa"/>
            <w:noWrap w:val="0"/>
            <w:vAlign w:val="center"/>
          </w:tcPr>
          <w:p w14:paraId="06FFA14F">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偏离</w:t>
            </w:r>
          </w:p>
        </w:tc>
        <w:tc>
          <w:tcPr>
            <w:tcW w:w="2341" w:type="dxa"/>
            <w:noWrap w:val="0"/>
            <w:vAlign w:val="center"/>
          </w:tcPr>
          <w:p w14:paraId="4676A263">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说明</w:t>
            </w:r>
          </w:p>
        </w:tc>
      </w:tr>
      <w:tr w14:paraId="5B705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801" w:type="dxa"/>
            <w:noWrap w:val="0"/>
            <w:vAlign w:val="top"/>
          </w:tcPr>
          <w:p w14:paraId="048082E3">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341" w:type="dxa"/>
            <w:noWrap w:val="0"/>
            <w:vAlign w:val="top"/>
          </w:tcPr>
          <w:p w14:paraId="1491DBC8">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341" w:type="dxa"/>
            <w:noWrap w:val="0"/>
            <w:vAlign w:val="top"/>
          </w:tcPr>
          <w:p w14:paraId="7146D349">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341" w:type="dxa"/>
            <w:noWrap w:val="0"/>
            <w:vAlign w:val="top"/>
          </w:tcPr>
          <w:p w14:paraId="4449121A">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341" w:type="dxa"/>
            <w:noWrap w:val="0"/>
            <w:vAlign w:val="top"/>
          </w:tcPr>
          <w:p w14:paraId="5F59E852">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r>
      <w:tr w14:paraId="526A2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801" w:type="dxa"/>
            <w:noWrap w:val="0"/>
            <w:vAlign w:val="top"/>
          </w:tcPr>
          <w:p w14:paraId="0515F110">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341" w:type="dxa"/>
            <w:noWrap w:val="0"/>
            <w:vAlign w:val="top"/>
          </w:tcPr>
          <w:p w14:paraId="023C8047">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341" w:type="dxa"/>
            <w:noWrap w:val="0"/>
            <w:vAlign w:val="top"/>
          </w:tcPr>
          <w:p w14:paraId="6718A9B1">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341" w:type="dxa"/>
            <w:noWrap w:val="0"/>
            <w:vAlign w:val="top"/>
          </w:tcPr>
          <w:p w14:paraId="5FCF2EB0">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341" w:type="dxa"/>
            <w:noWrap w:val="0"/>
            <w:vAlign w:val="top"/>
          </w:tcPr>
          <w:p w14:paraId="445EBFBD">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r>
      <w:tr w14:paraId="0A512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801" w:type="dxa"/>
            <w:noWrap w:val="0"/>
            <w:vAlign w:val="top"/>
          </w:tcPr>
          <w:p w14:paraId="7C48C8D3">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341" w:type="dxa"/>
            <w:noWrap w:val="0"/>
            <w:vAlign w:val="top"/>
          </w:tcPr>
          <w:p w14:paraId="432AB714">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341" w:type="dxa"/>
            <w:noWrap w:val="0"/>
            <w:vAlign w:val="top"/>
          </w:tcPr>
          <w:p w14:paraId="4768A4C1">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341" w:type="dxa"/>
            <w:noWrap w:val="0"/>
            <w:vAlign w:val="top"/>
          </w:tcPr>
          <w:p w14:paraId="397C6A7B">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341" w:type="dxa"/>
            <w:noWrap w:val="0"/>
            <w:vAlign w:val="top"/>
          </w:tcPr>
          <w:p w14:paraId="00D8EDCC">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r>
      <w:tr w14:paraId="4FEB2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801" w:type="dxa"/>
            <w:noWrap w:val="0"/>
            <w:vAlign w:val="top"/>
          </w:tcPr>
          <w:p w14:paraId="3209CB2C">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341" w:type="dxa"/>
            <w:noWrap w:val="0"/>
            <w:vAlign w:val="top"/>
          </w:tcPr>
          <w:p w14:paraId="23ED14E8">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341" w:type="dxa"/>
            <w:noWrap w:val="0"/>
            <w:vAlign w:val="top"/>
          </w:tcPr>
          <w:p w14:paraId="75C473BB">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341" w:type="dxa"/>
            <w:noWrap w:val="0"/>
            <w:vAlign w:val="top"/>
          </w:tcPr>
          <w:p w14:paraId="602BC75D">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2341" w:type="dxa"/>
            <w:noWrap w:val="0"/>
            <w:vAlign w:val="top"/>
          </w:tcPr>
          <w:p w14:paraId="1F7A680B">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r>
    </w:tbl>
    <w:p w14:paraId="0F00BBA2">
      <w:pPr>
        <w:pageBreakBefore w:val="0"/>
        <w:kinsoku/>
        <w:wordWrap/>
        <w:overflowPunct/>
        <w:topLinePunct w:val="0"/>
        <w:bidi w:val="0"/>
        <w:spacing w:line="560" w:lineRule="exact"/>
        <w:ind w:firstLine="480" w:firstLineChars="200"/>
        <w:textAlignment w:val="auto"/>
        <w:outlineLvl w:val="9"/>
        <w:rPr>
          <w:rFonts w:hint="eastAsia" w:ascii="宋体" w:hAnsi="宋体" w:eastAsia="宋体" w:cs="宋体"/>
          <w:b/>
          <w:color w:val="auto"/>
          <w:sz w:val="24"/>
          <w:szCs w:val="24"/>
        </w:rPr>
      </w:pPr>
    </w:p>
    <w:p w14:paraId="68977D01">
      <w:pPr>
        <w:keepNext w:val="0"/>
        <w:keepLines w:val="0"/>
        <w:pageBreakBefore w:val="0"/>
        <w:widowControl w:val="0"/>
        <w:kinsoku/>
        <w:wordWrap/>
        <w:overflowPunct/>
        <w:topLinePunct w:val="0"/>
        <w:autoSpaceDE/>
        <w:autoSpaceDN/>
        <w:bidi w:val="0"/>
        <w:snapToGrid/>
        <w:spacing w:line="56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注意：1.本表只填写响应文件中与</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要求有偏离（包括正偏离及负偏离）的内容，响应文件中与</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要求完全一致的内容，不用在此表中逐一列出</w:t>
      </w:r>
    </w:p>
    <w:p w14:paraId="51F44B9F">
      <w:pPr>
        <w:keepNext w:val="0"/>
        <w:keepLines w:val="0"/>
        <w:pageBreakBefore w:val="0"/>
        <w:widowControl w:val="0"/>
        <w:kinsoku/>
        <w:wordWrap/>
        <w:overflowPunct/>
        <w:topLinePunct w:val="0"/>
        <w:autoSpaceDE/>
        <w:autoSpaceDN/>
        <w:bidi w:val="0"/>
        <w:snapToGrid/>
        <w:spacing w:line="560" w:lineRule="exact"/>
        <w:ind w:left="0" w:leftChars="0" w:right="0" w:rightChars="0" w:firstLine="480" w:firstLineChars="200"/>
        <w:textAlignment w:val="auto"/>
        <w:outlineLvl w:val="9"/>
        <w:rPr>
          <w:rFonts w:hint="eastAsia" w:ascii="宋体" w:hAnsi="宋体" w:eastAsia="宋体" w:cs="宋体"/>
          <w:b/>
          <w:color w:val="auto"/>
          <w:sz w:val="24"/>
          <w:szCs w:val="24"/>
        </w:rPr>
      </w:pPr>
      <w:r>
        <w:rPr>
          <w:rFonts w:hint="eastAsia" w:ascii="宋体" w:hAnsi="宋体" w:cs="宋体"/>
          <w:color w:val="auto"/>
          <w:sz w:val="24"/>
          <w:szCs w:val="24"/>
          <w:lang w:eastAsia="zh-CN"/>
        </w:rPr>
        <w:t>2.</w:t>
      </w:r>
      <w:r>
        <w:rPr>
          <w:rFonts w:hint="eastAsia" w:ascii="宋体" w:hAnsi="宋体" w:eastAsia="宋体" w:cs="宋体"/>
          <w:color w:val="auto"/>
          <w:sz w:val="24"/>
          <w:szCs w:val="24"/>
        </w:rPr>
        <w:t>响应文件中与</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要求有负偏离的内容必须在此表中列出，否则视为无效报价。供应商必须据实填写，不得虚假响应，否则报价无效并按规定追究其相关责任。</w:t>
      </w:r>
    </w:p>
    <w:p w14:paraId="4AA7B77E">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firstLine="480" w:firstLineChars="200"/>
        <w:jc w:val="left"/>
        <w:textAlignment w:val="auto"/>
        <w:outlineLvl w:val="9"/>
        <w:rPr>
          <w:rFonts w:hint="eastAsia" w:ascii="宋体" w:hAnsi="宋体" w:eastAsia="宋体" w:cs="宋体"/>
          <w:color w:val="auto"/>
          <w:sz w:val="24"/>
          <w:szCs w:val="24"/>
        </w:rPr>
      </w:pPr>
    </w:p>
    <w:p w14:paraId="5C3B7FBE">
      <w:pPr>
        <w:keepNext w:val="0"/>
        <w:keepLines w:val="0"/>
        <w:pageBreakBefore w:val="0"/>
        <w:widowControl w:val="0"/>
        <w:kinsoku/>
        <w:wordWrap/>
        <w:overflowPunct/>
        <w:topLinePunct w:val="0"/>
        <w:autoSpaceDE/>
        <w:autoSpaceDN/>
        <w:bidi w:val="0"/>
        <w:snapToGrid/>
        <w:spacing w:line="560" w:lineRule="exact"/>
        <w:ind w:left="0" w:leftChars="0" w:right="0" w:rightChars="0" w:firstLine="240"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 xml:space="preserve">：                                 （加盖电子公章） </w:t>
      </w:r>
    </w:p>
    <w:p w14:paraId="1ADEA1E3">
      <w:pPr>
        <w:keepNext w:val="0"/>
        <w:keepLines w:val="0"/>
        <w:pageBreakBefore w:val="0"/>
        <w:widowControl w:val="0"/>
        <w:kinsoku/>
        <w:wordWrap/>
        <w:overflowPunct/>
        <w:topLinePunct w:val="0"/>
        <w:autoSpaceDE/>
        <w:autoSpaceDN/>
        <w:bidi w:val="0"/>
        <w:snapToGrid/>
        <w:spacing w:line="560" w:lineRule="exact"/>
        <w:ind w:left="0" w:leftChars="0" w:right="0" w:rightChars="0" w:firstLine="240"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法定代表人（电子签名）：                </w:t>
      </w:r>
    </w:p>
    <w:p w14:paraId="778A136D">
      <w:pPr>
        <w:keepNext w:val="0"/>
        <w:keepLines w:val="0"/>
        <w:pageBreakBefore w:val="0"/>
        <w:widowControl w:val="0"/>
        <w:kinsoku/>
        <w:wordWrap/>
        <w:overflowPunct/>
        <w:topLinePunct w:val="0"/>
        <w:autoSpaceDE/>
        <w:autoSpaceDN/>
        <w:bidi w:val="0"/>
        <w:snapToGrid/>
        <w:spacing w:line="560" w:lineRule="exact"/>
        <w:ind w:left="0" w:leftChars="0" w:right="0" w:rightChars="0" w:firstLine="240"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w:t>
      </w:r>
      <w:bookmarkStart w:id="403" w:name="_Toc21512_WPSOffice_Level2"/>
    </w:p>
    <w:p w14:paraId="6E1E944D">
      <w:pPr>
        <w:pStyle w:val="4"/>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格式3-5：供应商类似项目业绩一览表</w:t>
      </w:r>
      <w:bookmarkEnd w:id="403"/>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284"/>
        <w:gridCol w:w="1579"/>
        <w:gridCol w:w="1447"/>
        <w:gridCol w:w="1273"/>
        <w:gridCol w:w="1553"/>
        <w:gridCol w:w="7"/>
        <w:gridCol w:w="1754"/>
        <w:gridCol w:w="17"/>
        <w:gridCol w:w="1511"/>
        <w:gridCol w:w="11"/>
      </w:tblGrid>
      <w:tr w14:paraId="1DED781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1034" w:hRule="atLeast"/>
          <w:jc w:val="center"/>
        </w:trPr>
        <w:tc>
          <w:tcPr>
            <w:tcW w:w="1284" w:type="dxa"/>
            <w:tcBorders>
              <w:top w:val="single" w:color="auto" w:sz="4" w:space="0"/>
            </w:tcBorders>
            <w:noWrap w:val="0"/>
            <w:vAlign w:val="center"/>
          </w:tcPr>
          <w:p w14:paraId="7C795631">
            <w:pPr>
              <w:pageBreakBefore w:val="0"/>
              <w:kinsoku/>
              <w:wordWrap/>
              <w:overflowPunct/>
              <w:topLinePunct w:val="0"/>
              <w:bidi w:val="0"/>
              <w:spacing w:line="560" w:lineRule="exact"/>
              <w:ind w:firstLine="120" w:firstLineChars="50"/>
              <w:jc w:val="center"/>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年份</w:t>
            </w:r>
          </w:p>
        </w:tc>
        <w:tc>
          <w:tcPr>
            <w:tcW w:w="1579" w:type="dxa"/>
            <w:noWrap w:val="0"/>
            <w:vAlign w:val="center"/>
          </w:tcPr>
          <w:p w14:paraId="552F9AB6">
            <w:pPr>
              <w:pageBreakBefore w:val="0"/>
              <w:kinsoku/>
              <w:wordWrap/>
              <w:overflowPunct/>
              <w:topLinePunct w:val="0"/>
              <w:bidi w:val="0"/>
              <w:spacing w:line="560" w:lineRule="exact"/>
              <w:jc w:val="center"/>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用户名称</w:t>
            </w:r>
          </w:p>
        </w:tc>
        <w:tc>
          <w:tcPr>
            <w:tcW w:w="1447" w:type="dxa"/>
            <w:noWrap w:val="0"/>
            <w:vAlign w:val="center"/>
          </w:tcPr>
          <w:p w14:paraId="550DAEC8">
            <w:pPr>
              <w:pageBreakBefore w:val="0"/>
              <w:kinsoku/>
              <w:wordWrap/>
              <w:overflowPunct/>
              <w:topLinePunct w:val="0"/>
              <w:bidi w:val="0"/>
              <w:spacing w:line="560" w:lineRule="exact"/>
              <w:jc w:val="center"/>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项目名称</w:t>
            </w:r>
          </w:p>
        </w:tc>
        <w:tc>
          <w:tcPr>
            <w:tcW w:w="1273" w:type="dxa"/>
            <w:noWrap w:val="0"/>
            <w:vAlign w:val="center"/>
          </w:tcPr>
          <w:p w14:paraId="530A5D6F">
            <w:pPr>
              <w:pageBreakBefore w:val="0"/>
              <w:kinsoku/>
              <w:wordWrap/>
              <w:overflowPunct/>
              <w:topLinePunct w:val="0"/>
              <w:bidi w:val="0"/>
              <w:spacing w:line="560" w:lineRule="exact"/>
              <w:jc w:val="center"/>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完成时间</w:t>
            </w:r>
          </w:p>
        </w:tc>
        <w:tc>
          <w:tcPr>
            <w:tcW w:w="1560" w:type="dxa"/>
            <w:gridSpan w:val="2"/>
            <w:noWrap w:val="0"/>
            <w:vAlign w:val="center"/>
          </w:tcPr>
          <w:p w14:paraId="0145955C">
            <w:pPr>
              <w:pageBreakBefore w:val="0"/>
              <w:kinsoku/>
              <w:wordWrap/>
              <w:overflowPunct/>
              <w:topLinePunct w:val="0"/>
              <w:bidi w:val="0"/>
              <w:spacing w:line="560" w:lineRule="exact"/>
              <w:ind w:firstLine="120" w:firstLineChars="50"/>
              <w:jc w:val="center"/>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合同金额</w:t>
            </w:r>
          </w:p>
        </w:tc>
        <w:tc>
          <w:tcPr>
            <w:tcW w:w="1771" w:type="dxa"/>
            <w:gridSpan w:val="2"/>
            <w:tcBorders>
              <w:right w:val="single" w:color="auto" w:sz="4" w:space="0"/>
            </w:tcBorders>
            <w:noWrap w:val="0"/>
            <w:vAlign w:val="center"/>
          </w:tcPr>
          <w:p w14:paraId="565E0AB2">
            <w:pPr>
              <w:pageBreakBefore w:val="0"/>
              <w:kinsoku/>
              <w:wordWrap/>
              <w:overflowPunct/>
              <w:topLinePunct w:val="0"/>
              <w:bidi w:val="0"/>
              <w:spacing w:line="560" w:lineRule="exact"/>
              <w:jc w:val="center"/>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是否通过验收</w:t>
            </w:r>
          </w:p>
        </w:tc>
        <w:tc>
          <w:tcPr>
            <w:tcW w:w="1522" w:type="dxa"/>
            <w:gridSpan w:val="2"/>
            <w:tcBorders>
              <w:left w:val="single" w:color="auto" w:sz="4" w:space="0"/>
            </w:tcBorders>
            <w:noWrap w:val="0"/>
            <w:vAlign w:val="center"/>
          </w:tcPr>
          <w:p w14:paraId="2AA0DEFA">
            <w:pPr>
              <w:pageBreakBefore w:val="0"/>
              <w:kinsoku/>
              <w:wordWrap/>
              <w:overflowPunct/>
              <w:topLinePunct w:val="0"/>
              <w:bidi w:val="0"/>
              <w:spacing w:line="560" w:lineRule="exact"/>
              <w:jc w:val="center"/>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备注</w:t>
            </w:r>
          </w:p>
        </w:tc>
      </w:tr>
      <w:tr w14:paraId="3724B22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27" w:hRule="atLeast"/>
          <w:jc w:val="center"/>
        </w:trPr>
        <w:tc>
          <w:tcPr>
            <w:tcW w:w="1284" w:type="dxa"/>
            <w:noWrap w:val="0"/>
            <w:vAlign w:val="center"/>
          </w:tcPr>
          <w:p w14:paraId="4EA24B76">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79" w:type="dxa"/>
            <w:noWrap w:val="0"/>
            <w:vAlign w:val="center"/>
          </w:tcPr>
          <w:p w14:paraId="611FFAEA">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447" w:type="dxa"/>
            <w:noWrap w:val="0"/>
            <w:vAlign w:val="center"/>
          </w:tcPr>
          <w:p w14:paraId="4C5F6423">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273" w:type="dxa"/>
            <w:noWrap w:val="0"/>
            <w:vAlign w:val="center"/>
          </w:tcPr>
          <w:p w14:paraId="4C66D9C9">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60" w:type="dxa"/>
            <w:gridSpan w:val="2"/>
            <w:noWrap w:val="0"/>
            <w:vAlign w:val="center"/>
          </w:tcPr>
          <w:p w14:paraId="2853887D">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771" w:type="dxa"/>
            <w:gridSpan w:val="2"/>
            <w:tcBorders>
              <w:right w:val="single" w:color="auto" w:sz="4" w:space="0"/>
            </w:tcBorders>
            <w:noWrap w:val="0"/>
            <w:vAlign w:val="center"/>
          </w:tcPr>
          <w:p w14:paraId="66C3BA6E">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22" w:type="dxa"/>
            <w:gridSpan w:val="2"/>
            <w:tcBorders>
              <w:left w:val="single" w:color="auto" w:sz="4" w:space="0"/>
            </w:tcBorders>
            <w:noWrap w:val="0"/>
            <w:vAlign w:val="center"/>
          </w:tcPr>
          <w:p w14:paraId="666C0871">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r>
      <w:tr w14:paraId="32D09CF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27" w:hRule="atLeast"/>
          <w:jc w:val="center"/>
        </w:trPr>
        <w:tc>
          <w:tcPr>
            <w:tcW w:w="1284" w:type="dxa"/>
            <w:noWrap w:val="0"/>
            <w:vAlign w:val="center"/>
          </w:tcPr>
          <w:p w14:paraId="34EDDDB0">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79" w:type="dxa"/>
            <w:noWrap w:val="0"/>
            <w:vAlign w:val="center"/>
          </w:tcPr>
          <w:p w14:paraId="0076DF29">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447" w:type="dxa"/>
            <w:noWrap w:val="0"/>
            <w:vAlign w:val="center"/>
          </w:tcPr>
          <w:p w14:paraId="1FC497A9">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273" w:type="dxa"/>
            <w:noWrap w:val="0"/>
            <w:vAlign w:val="center"/>
          </w:tcPr>
          <w:p w14:paraId="52297B60">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60" w:type="dxa"/>
            <w:gridSpan w:val="2"/>
            <w:noWrap w:val="0"/>
            <w:vAlign w:val="center"/>
          </w:tcPr>
          <w:p w14:paraId="51DE284D">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771" w:type="dxa"/>
            <w:gridSpan w:val="2"/>
            <w:tcBorders>
              <w:right w:val="single" w:color="auto" w:sz="4" w:space="0"/>
            </w:tcBorders>
            <w:noWrap w:val="0"/>
            <w:vAlign w:val="center"/>
          </w:tcPr>
          <w:p w14:paraId="3E387A22">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22" w:type="dxa"/>
            <w:gridSpan w:val="2"/>
            <w:tcBorders>
              <w:left w:val="single" w:color="auto" w:sz="4" w:space="0"/>
            </w:tcBorders>
            <w:noWrap w:val="0"/>
            <w:vAlign w:val="center"/>
          </w:tcPr>
          <w:p w14:paraId="5DBA2098">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r>
      <w:tr w14:paraId="0A7E41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27" w:hRule="atLeast"/>
          <w:jc w:val="center"/>
        </w:trPr>
        <w:tc>
          <w:tcPr>
            <w:tcW w:w="1284" w:type="dxa"/>
            <w:noWrap w:val="0"/>
            <w:vAlign w:val="center"/>
          </w:tcPr>
          <w:p w14:paraId="5CF9A516">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79" w:type="dxa"/>
            <w:noWrap w:val="0"/>
            <w:vAlign w:val="center"/>
          </w:tcPr>
          <w:p w14:paraId="2BDB5D3B">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447" w:type="dxa"/>
            <w:noWrap w:val="0"/>
            <w:vAlign w:val="center"/>
          </w:tcPr>
          <w:p w14:paraId="73AE3044">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273" w:type="dxa"/>
            <w:noWrap w:val="0"/>
            <w:vAlign w:val="center"/>
          </w:tcPr>
          <w:p w14:paraId="24092D60">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60" w:type="dxa"/>
            <w:gridSpan w:val="2"/>
            <w:noWrap w:val="0"/>
            <w:vAlign w:val="center"/>
          </w:tcPr>
          <w:p w14:paraId="3C431F54">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771" w:type="dxa"/>
            <w:gridSpan w:val="2"/>
            <w:tcBorders>
              <w:right w:val="single" w:color="auto" w:sz="4" w:space="0"/>
            </w:tcBorders>
            <w:noWrap w:val="0"/>
            <w:vAlign w:val="center"/>
          </w:tcPr>
          <w:p w14:paraId="218E0E11">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22" w:type="dxa"/>
            <w:gridSpan w:val="2"/>
            <w:tcBorders>
              <w:left w:val="single" w:color="auto" w:sz="4" w:space="0"/>
            </w:tcBorders>
            <w:noWrap w:val="0"/>
            <w:vAlign w:val="center"/>
          </w:tcPr>
          <w:p w14:paraId="341B2F63">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r>
      <w:tr w14:paraId="329ECE5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27" w:hRule="atLeast"/>
          <w:jc w:val="center"/>
        </w:trPr>
        <w:tc>
          <w:tcPr>
            <w:tcW w:w="1284" w:type="dxa"/>
            <w:noWrap w:val="0"/>
            <w:vAlign w:val="center"/>
          </w:tcPr>
          <w:p w14:paraId="45DB4640">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79" w:type="dxa"/>
            <w:tcBorders>
              <w:right w:val="single" w:color="auto" w:sz="4" w:space="0"/>
            </w:tcBorders>
            <w:noWrap w:val="0"/>
            <w:vAlign w:val="center"/>
          </w:tcPr>
          <w:p w14:paraId="10806480">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447" w:type="dxa"/>
            <w:tcBorders>
              <w:left w:val="single" w:color="auto" w:sz="4" w:space="0"/>
            </w:tcBorders>
            <w:noWrap w:val="0"/>
            <w:vAlign w:val="center"/>
          </w:tcPr>
          <w:p w14:paraId="4AFA5823">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273" w:type="dxa"/>
            <w:noWrap w:val="0"/>
            <w:vAlign w:val="center"/>
          </w:tcPr>
          <w:p w14:paraId="24090E37">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60" w:type="dxa"/>
            <w:gridSpan w:val="2"/>
            <w:noWrap w:val="0"/>
            <w:vAlign w:val="center"/>
          </w:tcPr>
          <w:p w14:paraId="3A6697FE">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771" w:type="dxa"/>
            <w:gridSpan w:val="2"/>
            <w:tcBorders>
              <w:right w:val="single" w:color="auto" w:sz="4" w:space="0"/>
            </w:tcBorders>
            <w:noWrap w:val="0"/>
            <w:vAlign w:val="center"/>
          </w:tcPr>
          <w:p w14:paraId="12937D27">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22" w:type="dxa"/>
            <w:gridSpan w:val="2"/>
            <w:tcBorders>
              <w:left w:val="single" w:color="auto" w:sz="4" w:space="0"/>
            </w:tcBorders>
            <w:noWrap w:val="0"/>
            <w:vAlign w:val="center"/>
          </w:tcPr>
          <w:p w14:paraId="1CDB94A3">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r>
      <w:tr w14:paraId="53F9FD9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1" w:type="dxa"/>
          <w:cantSplit/>
          <w:trHeight w:val="527" w:hRule="atLeast"/>
          <w:jc w:val="center"/>
        </w:trPr>
        <w:tc>
          <w:tcPr>
            <w:tcW w:w="1284" w:type="dxa"/>
            <w:tcBorders>
              <w:right w:val="single" w:color="auto" w:sz="4" w:space="0"/>
            </w:tcBorders>
            <w:noWrap w:val="0"/>
            <w:vAlign w:val="center"/>
          </w:tcPr>
          <w:p w14:paraId="2948B530">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579" w:type="dxa"/>
            <w:tcBorders>
              <w:left w:val="single" w:color="auto" w:sz="4" w:space="0"/>
              <w:right w:val="single" w:color="auto" w:sz="4" w:space="0"/>
            </w:tcBorders>
            <w:noWrap w:val="0"/>
            <w:vAlign w:val="center"/>
          </w:tcPr>
          <w:p w14:paraId="46C26CE2">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447" w:type="dxa"/>
            <w:tcBorders>
              <w:left w:val="single" w:color="auto" w:sz="4" w:space="0"/>
              <w:right w:val="single" w:color="auto" w:sz="4" w:space="0"/>
            </w:tcBorders>
            <w:noWrap w:val="0"/>
            <w:vAlign w:val="center"/>
          </w:tcPr>
          <w:p w14:paraId="7D52716D">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273" w:type="dxa"/>
            <w:tcBorders>
              <w:left w:val="single" w:color="auto" w:sz="4" w:space="0"/>
              <w:right w:val="single" w:color="auto" w:sz="4" w:space="0"/>
            </w:tcBorders>
            <w:noWrap w:val="0"/>
            <w:vAlign w:val="center"/>
          </w:tcPr>
          <w:p w14:paraId="566465B3">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553" w:type="dxa"/>
            <w:tcBorders>
              <w:left w:val="single" w:color="auto" w:sz="4" w:space="0"/>
              <w:right w:val="single" w:color="auto" w:sz="4" w:space="0"/>
            </w:tcBorders>
            <w:noWrap w:val="0"/>
            <w:vAlign w:val="center"/>
          </w:tcPr>
          <w:p w14:paraId="24ABB608">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761" w:type="dxa"/>
            <w:gridSpan w:val="2"/>
            <w:tcBorders>
              <w:left w:val="single" w:color="auto" w:sz="4" w:space="0"/>
              <w:right w:val="single" w:color="auto" w:sz="4" w:space="0"/>
            </w:tcBorders>
            <w:noWrap w:val="0"/>
            <w:vAlign w:val="center"/>
          </w:tcPr>
          <w:p w14:paraId="3AE2ABCD">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528" w:type="dxa"/>
            <w:gridSpan w:val="2"/>
            <w:tcBorders>
              <w:left w:val="single" w:color="auto" w:sz="4" w:space="0"/>
            </w:tcBorders>
            <w:noWrap w:val="0"/>
            <w:vAlign w:val="center"/>
          </w:tcPr>
          <w:p w14:paraId="69C3DE7E">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r>
      <w:tr w14:paraId="25D1AC5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27" w:hRule="atLeast"/>
          <w:jc w:val="center"/>
        </w:trPr>
        <w:tc>
          <w:tcPr>
            <w:tcW w:w="1284" w:type="dxa"/>
            <w:tcBorders>
              <w:top w:val="single" w:color="auto" w:sz="4" w:space="0"/>
              <w:bottom w:val="single" w:color="auto" w:sz="4" w:space="0"/>
            </w:tcBorders>
            <w:noWrap w:val="0"/>
            <w:vAlign w:val="center"/>
          </w:tcPr>
          <w:p w14:paraId="547C04D5">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79" w:type="dxa"/>
            <w:tcBorders>
              <w:top w:val="single" w:color="auto" w:sz="4" w:space="0"/>
              <w:bottom w:val="single" w:color="auto" w:sz="4" w:space="0"/>
            </w:tcBorders>
            <w:noWrap w:val="0"/>
            <w:vAlign w:val="center"/>
          </w:tcPr>
          <w:p w14:paraId="1F8EFABA">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447" w:type="dxa"/>
            <w:tcBorders>
              <w:top w:val="single" w:color="auto" w:sz="4" w:space="0"/>
              <w:bottom w:val="single" w:color="auto" w:sz="4" w:space="0"/>
            </w:tcBorders>
            <w:noWrap w:val="0"/>
            <w:vAlign w:val="center"/>
          </w:tcPr>
          <w:p w14:paraId="5B25015F">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273" w:type="dxa"/>
            <w:tcBorders>
              <w:top w:val="single" w:color="auto" w:sz="4" w:space="0"/>
              <w:bottom w:val="single" w:color="auto" w:sz="4" w:space="0"/>
            </w:tcBorders>
            <w:noWrap w:val="0"/>
            <w:vAlign w:val="center"/>
          </w:tcPr>
          <w:p w14:paraId="3E842A4E">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60" w:type="dxa"/>
            <w:gridSpan w:val="2"/>
            <w:tcBorders>
              <w:top w:val="single" w:color="auto" w:sz="4" w:space="0"/>
              <w:bottom w:val="single" w:color="auto" w:sz="4" w:space="0"/>
              <w:right w:val="single" w:color="auto" w:sz="4" w:space="0"/>
            </w:tcBorders>
            <w:noWrap w:val="0"/>
            <w:vAlign w:val="center"/>
          </w:tcPr>
          <w:p w14:paraId="2C5861D1">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771" w:type="dxa"/>
            <w:gridSpan w:val="2"/>
            <w:tcBorders>
              <w:top w:val="single" w:color="auto" w:sz="4" w:space="0"/>
              <w:left w:val="single" w:color="auto" w:sz="4" w:space="0"/>
              <w:bottom w:val="single" w:color="auto" w:sz="4" w:space="0"/>
              <w:right w:val="single" w:color="auto" w:sz="4" w:space="0"/>
            </w:tcBorders>
            <w:noWrap w:val="0"/>
            <w:vAlign w:val="center"/>
          </w:tcPr>
          <w:p w14:paraId="0DFE469B">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22" w:type="dxa"/>
            <w:gridSpan w:val="2"/>
            <w:tcBorders>
              <w:top w:val="single" w:color="auto" w:sz="4" w:space="0"/>
              <w:left w:val="single" w:color="auto" w:sz="4" w:space="0"/>
              <w:bottom w:val="single" w:color="auto" w:sz="4" w:space="0"/>
            </w:tcBorders>
            <w:noWrap w:val="0"/>
            <w:vAlign w:val="center"/>
          </w:tcPr>
          <w:p w14:paraId="2FF91BE6">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r>
      <w:tr w14:paraId="4AAC1A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22" w:hRule="atLeast"/>
          <w:jc w:val="center"/>
        </w:trPr>
        <w:tc>
          <w:tcPr>
            <w:tcW w:w="1284" w:type="dxa"/>
            <w:tcBorders>
              <w:top w:val="single" w:color="auto" w:sz="4" w:space="0"/>
              <w:bottom w:val="single" w:color="auto" w:sz="4" w:space="0"/>
            </w:tcBorders>
            <w:noWrap w:val="0"/>
            <w:vAlign w:val="center"/>
          </w:tcPr>
          <w:p w14:paraId="664D3579">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79" w:type="dxa"/>
            <w:tcBorders>
              <w:top w:val="single" w:color="auto" w:sz="4" w:space="0"/>
              <w:bottom w:val="single" w:color="auto" w:sz="4" w:space="0"/>
            </w:tcBorders>
            <w:noWrap w:val="0"/>
            <w:vAlign w:val="center"/>
          </w:tcPr>
          <w:p w14:paraId="66996FFB">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447" w:type="dxa"/>
            <w:tcBorders>
              <w:top w:val="single" w:color="auto" w:sz="4" w:space="0"/>
              <w:bottom w:val="single" w:color="auto" w:sz="4" w:space="0"/>
            </w:tcBorders>
            <w:noWrap w:val="0"/>
            <w:vAlign w:val="center"/>
          </w:tcPr>
          <w:p w14:paraId="7F58744A">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273" w:type="dxa"/>
            <w:tcBorders>
              <w:top w:val="single" w:color="auto" w:sz="4" w:space="0"/>
              <w:bottom w:val="single" w:color="auto" w:sz="4" w:space="0"/>
            </w:tcBorders>
            <w:noWrap w:val="0"/>
            <w:vAlign w:val="center"/>
          </w:tcPr>
          <w:p w14:paraId="554DC892">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60" w:type="dxa"/>
            <w:gridSpan w:val="2"/>
            <w:tcBorders>
              <w:top w:val="single" w:color="auto" w:sz="4" w:space="0"/>
              <w:bottom w:val="single" w:color="auto" w:sz="4" w:space="0"/>
              <w:right w:val="single" w:color="auto" w:sz="4" w:space="0"/>
            </w:tcBorders>
            <w:noWrap w:val="0"/>
            <w:vAlign w:val="center"/>
          </w:tcPr>
          <w:p w14:paraId="518AD3A8">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771" w:type="dxa"/>
            <w:gridSpan w:val="2"/>
            <w:tcBorders>
              <w:top w:val="single" w:color="auto" w:sz="4" w:space="0"/>
              <w:left w:val="single" w:color="auto" w:sz="4" w:space="0"/>
              <w:bottom w:val="single" w:color="auto" w:sz="4" w:space="0"/>
              <w:right w:val="single" w:color="auto" w:sz="4" w:space="0"/>
            </w:tcBorders>
            <w:noWrap w:val="0"/>
            <w:vAlign w:val="center"/>
          </w:tcPr>
          <w:p w14:paraId="6318F416">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22" w:type="dxa"/>
            <w:gridSpan w:val="2"/>
            <w:tcBorders>
              <w:top w:val="single" w:color="auto" w:sz="4" w:space="0"/>
              <w:left w:val="single" w:color="auto" w:sz="4" w:space="0"/>
              <w:bottom w:val="single" w:color="auto" w:sz="4" w:space="0"/>
            </w:tcBorders>
            <w:noWrap w:val="0"/>
            <w:vAlign w:val="center"/>
          </w:tcPr>
          <w:p w14:paraId="023C9FA8">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r>
      <w:tr w14:paraId="3D69779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31" w:hRule="atLeast"/>
          <w:jc w:val="center"/>
        </w:trPr>
        <w:tc>
          <w:tcPr>
            <w:tcW w:w="1284" w:type="dxa"/>
            <w:tcBorders>
              <w:top w:val="single" w:color="auto" w:sz="4" w:space="0"/>
            </w:tcBorders>
            <w:noWrap w:val="0"/>
            <w:vAlign w:val="center"/>
          </w:tcPr>
          <w:p w14:paraId="59841D1F">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79" w:type="dxa"/>
            <w:tcBorders>
              <w:top w:val="single" w:color="auto" w:sz="4" w:space="0"/>
            </w:tcBorders>
            <w:noWrap w:val="0"/>
            <w:vAlign w:val="center"/>
          </w:tcPr>
          <w:p w14:paraId="1A6F9E43">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447" w:type="dxa"/>
            <w:tcBorders>
              <w:top w:val="single" w:color="auto" w:sz="4" w:space="0"/>
            </w:tcBorders>
            <w:noWrap w:val="0"/>
            <w:vAlign w:val="center"/>
          </w:tcPr>
          <w:p w14:paraId="24A0D6F1">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273" w:type="dxa"/>
            <w:tcBorders>
              <w:top w:val="single" w:color="auto" w:sz="4" w:space="0"/>
            </w:tcBorders>
            <w:noWrap w:val="0"/>
            <w:vAlign w:val="center"/>
          </w:tcPr>
          <w:p w14:paraId="03C73578">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60" w:type="dxa"/>
            <w:gridSpan w:val="2"/>
            <w:tcBorders>
              <w:top w:val="single" w:color="auto" w:sz="4" w:space="0"/>
              <w:right w:val="single" w:color="auto" w:sz="4" w:space="0"/>
            </w:tcBorders>
            <w:noWrap w:val="0"/>
            <w:vAlign w:val="center"/>
          </w:tcPr>
          <w:p w14:paraId="3CF803EC">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771" w:type="dxa"/>
            <w:gridSpan w:val="2"/>
            <w:tcBorders>
              <w:top w:val="single" w:color="auto" w:sz="4" w:space="0"/>
              <w:left w:val="single" w:color="auto" w:sz="4" w:space="0"/>
              <w:right w:val="single" w:color="auto" w:sz="4" w:space="0"/>
            </w:tcBorders>
            <w:noWrap w:val="0"/>
            <w:vAlign w:val="center"/>
          </w:tcPr>
          <w:p w14:paraId="52E22392">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522" w:type="dxa"/>
            <w:gridSpan w:val="2"/>
            <w:tcBorders>
              <w:top w:val="single" w:color="auto" w:sz="4" w:space="0"/>
              <w:left w:val="single" w:color="auto" w:sz="4" w:space="0"/>
            </w:tcBorders>
            <w:noWrap w:val="0"/>
            <w:vAlign w:val="center"/>
          </w:tcPr>
          <w:p w14:paraId="4A872A6C">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r>
    </w:tbl>
    <w:p w14:paraId="2D759ED9">
      <w:pPr>
        <w:pageBreakBefore w:val="0"/>
        <w:tabs>
          <w:tab w:val="left" w:pos="555"/>
          <w:tab w:val="left" w:pos="2214"/>
          <w:tab w:val="left" w:pos="3774"/>
          <w:tab w:val="left" w:pos="4854"/>
          <w:tab w:val="left" w:pos="5934"/>
          <w:tab w:val="left" w:pos="7014"/>
          <w:tab w:val="left" w:pos="8214"/>
          <w:tab w:val="left" w:pos="10134"/>
          <w:tab w:val="left" w:pos="11124"/>
        </w:tabs>
        <w:kinsoku/>
        <w:wordWrap/>
        <w:overflowPunct/>
        <w:topLinePunct w:val="0"/>
        <w:bidi w:val="0"/>
        <w:spacing w:line="560" w:lineRule="exact"/>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注：供应商（仅限于供应商自己的）以上业绩需提供有关书面证明材料。“合同金额”需提供合同复印件；“是否通过验收”需提供合同验收合格或用户单位书面证明材料。</w:t>
      </w:r>
    </w:p>
    <w:p w14:paraId="7933F463">
      <w:pPr>
        <w:pageBreakBefore w:val="0"/>
        <w:kinsoku/>
        <w:wordWrap/>
        <w:overflowPunct/>
        <w:topLinePunct w:val="0"/>
        <w:bidi w:val="0"/>
        <w:spacing w:line="560" w:lineRule="exact"/>
        <w:ind w:left="360"/>
        <w:jc w:val="center"/>
        <w:textAlignment w:val="auto"/>
        <w:outlineLvl w:val="9"/>
        <w:rPr>
          <w:rFonts w:hint="eastAsia" w:ascii="宋体" w:hAnsi="宋体" w:eastAsia="宋体" w:cs="宋体"/>
          <w:color w:val="auto"/>
          <w:sz w:val="24"/>
          <w:szCs w:val="24"/>
        </w:rPr>
      </w:pPr>
    </w:p>
    <w:p w14:paraId="7A08CF5B">
      <w:pPr>
        <w:pageBreakBefore w:val="0"/>
        <w:kinsoku/>
        <w:wordWrap/>
        <w:overflowPunct/>
        <w:topLinePunct w:val="0"/>
        <w:bidi w:val="0"/>
        <w:spacing w:line="560" w:lineRule="exact"/>
        <w:jc w:val="left"/>
        <w:textAlignment w:val="auto"/>
        <w:outlineLvl w:val="9"/>
        <w:rPr>
          <w:rFonts w:hint="eastAsia" w:ascii="宋体" w:hAnsi="宋体" w:eastAsia="宋体" w:cs="宋体"/>
          <w:color w:val="auto"/>
          <w:sz w:val="24"/>
          <w:szCs w:val="24"/>
        </w:rPr>
      </w:pPr>
    </w:p>
    <w:p w14:paraId="48AE9098">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 xml:space="preserve">：                                 （加盖电子公章） </w:t>
      </w:r>
    </w:p>
    <w:p w14:paraId="0E6634AF">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法定代表人（电子签名）：                </w:t>
      </w:r>
    </w:p>
    <w:p w14:paraId="1F6684E4">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w:t>
      </w:r>
      <w:bookmarkStart w:id="404" w:name="_Toc17821_WPSOffice_Level2"/>
    </w:p>
    <w:p w14:paraId="0C87124E">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auto"/>
          <w:sz w:val="24"/>
          <w:szCs w:val="24"/>
        </w:rPr>
      </w:pPr>
    </w:p>
    <w:p w14:paraId="29C90723">
      <w:pPr>
        <w:pStyle w:val="4"/>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格式3-6：供应商本项目管理、技术、服务人员情况表</w:t>
      </w:r>
      <w:bookmarkEnd w:id="404"/>
    </w:p>
    <w:p w14:paraId="5C28CCEA">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r>
        <w:rPr>
          <w:rFonts w:hint="eastAsia" w:ascii="宋体" w:hAnsi="宋体" w:cs="宋体"/>
          <w:color w:val="auto"/>
          <w:sz w:val="24"/>
          <w:szCs w:val="24"/>
          <w:lang w:val="en-US" w:eastAsia="zh-CN"/>
        </w:rPr>
        <w:t>项目</w:t>
      </w:r>
      <w:r>
        <w:rPr>
          <w:rFonts w:hint="eastAsia" w:ascii="宋体" w:hAnsi="宋体" w:eastAsia="宋体" w:cs="宋体"/>
          <w:color w:val="auto"/>
          <w:sz w:val="24"/>
          <w:szCs w:val="24"/>
        </w:rPr>
        <w:t>编号</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项目名称</w:t>
      </w:r>
      <w:r>
        <w:rPr>
          <w:rFonts w:hint="eastAsia" w:ascii="宋体" w:hAnsi="宋体" w:eastAsia="宋体" w:cs="宋体"/>
          <w:color w:val="auto"/>
          <w:sz w:val="24"/>
          <w:szCs w:val="24"/>
        </w:rPr>
        <w:t>：</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5"/>
        <w:gridCol w:w="1126"/>
        <w:gridCol w:w="1126"/>
        <w:gridCol w:w="1126"/>
        <w:gridCol w:w="1126"/>
        <w:gridCol w:w="1126"/>
        <w:gridCol w:w="1126"/>
        <w:gridCol w:w="1126"/>
        <w:gridCol w:w="1129"/>
      </w:tblGrid>
      <w:tr w14:paraId="0F7AD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125" w:type="dxa"/>
            <w:vMerge w:val="restart"/>
            <w:noWrap w:val="0"/>
            <w:vAlign w:val="center"/>
          </w:tcPr>
          <w:p w14:paraId="3354614F">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类别</w:t>
            </w:r>
          </w:p>
        </w:tc>
        <w:tc>
          <w:tcPr>
            <w:tcW w:w="1126" w:type="dxa"/>
            <w:vMerge w:val="restart"/>
            <w:noWrap w:val="0"/>
            <w:vAlign w:val="center"/>
          </w:tcPr>
          <w:p w14:paraId="12BAB74B">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职务</w:t>
            </w:r>
          </w:p>
        </w:tc>
        <w:tc>
          <w:tcPr>
            <w:tcW w:w="1126" w:type="dxa"/>
            <w:vMerge w:val="restart"/>
            <w:noWrap w:val="0"/>
            <w:vAlign w:val="center"/>
          </w:tcPr>
          <w:p w14:paraId="671CEEFB">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姓名</w:t>
            </w:r>
          </w:p>
        </w:tc>
        <w:tc>
          <w:tcPr>
            <w:tcW w:w="1126" w:type="dxa"/>
            <w:vMerge w:val="restart"/>
            <w:noWrap w:val="0"/>
            <w:vAlign w:val="center"/>
          </w:tcPr>
          <w:p w14:paraId="1604B030">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职称</w:t>
            </w:r>
          </w:p>
        </w:tc>
        <w:tc>
          <w:tcPr>
            <w:tcW w:w="1126" w:type="dxa"/>
            <w:vMerge w:val="restart"/>
            <w:noWrap w:val="0"/>
            <w:vAlign w:val="center"/>
          </w:tcPr>
          <w:p w14:paraId="2844FA28">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常住地</w:t>
            </w:r>
          </w:p>
        </w:tc>
        <w:tc>
          <w:tcPr>
            <w:tcW w:w="4507" w:type="dxa"/>
            <w:gridSpan w:val="4"/>
            <w:noWrap w:val="0"/>
            <w:vAlign w:val="center"/>
          </w:tcPr>
          <w:p w14:paraId="2AC1DD65">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资格证明（附复印件）</w:t>
            </w:r>
          </w:p>
        </w:tc>
      </w:tr>
      <w:tr w14:paraId="2603A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1125" w:type="dxa"/>
            <w:vMerge w:val="continue"/>
            <w:noWrap w:val="0"/>
            <w:vAlign w:val="center"/>
          </w:tcPr>
          <w:p w14:paraId="45C96B53">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126" w:type="dxa"/>
            <w:vMerge w:val="continue"/>
            <w:noWrap w:val="0"/>
            <w:vAlign w:val="center"/>
          </w:tcPr>
          <w:p w14:paraId="01B732A9">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126" w:type="dxa"/>
            <w:vMerge w:val="continue"/>
            <w:noWrap w:val="0"/>
            <w:vAlign w:val="center"/>
          </w:tcPr>
          <w:p w14:paraId="7E6FA5CF">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126" w:type="dxa"/>
            <w:vMerge w:val="continue"/>
            <w:noWrap w:val="0"/>
            <w:vAlign w:val="center"/>
          </w:tcPr>
          <w:p w14:paraId="00F317C2">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126" w:type="dxa"/>
            <w:vMerge w:val="continue"/>
            <w:noWrap w:val="0"/>
            <w:vAlign w:val="center"/>
          </w:tcPr>
          <w:p w14:paraId="2413EDEA">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126" w:type="dxa"/>
            <w:noWrap w:val="0"/>
            <w:vAlign w:val="center"/>
          </w:tcPr>
          <w:p w14:paraId="4D86F261">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证书</w:t>
            </w:r>
          </w:p>
          <w:p w14:paraId="67400D39">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1126" w:type="dxa"/>
            <w:noWrap w:val="0"/>
            <w:vAlign w:val="center"/>
          </w:tcPr>
          <w:p w14:paraId="23004DEF">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级别</w:t>
            </w:r>
          </w:p>
        </w:tc>
        <w:tc>
          <w:tcPr>
            <w:tcW w:w="1126" w:type="dxa"/>
            <w:noWrap w:val="0"/>
            <w:vAlign w:val="center"/>
          </w:tcPr>
          <w:p w14:paraId="4749EB62">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证号</w:t>
            </w:r>
          </w:p>
        </w:tc>
        <w:tc>
          <w:tcPr>
            <w:tcW w:w="1129" w:type="dxa"/>
            <w:noWrap w:val="0"/>
            <w:vAlign w:val="center"/>
          </w:tcPr>
          <w:p w14:paraId="6455A7DF">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专业</w:t>
            </w:r>
          </w:p>
        </w:tc>
      </w:tr>
      <w:tr w14:paraId="2EE74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125" w:type="dxa"/>
            <w:vMerge w:val="restart"/>
            <w:noWrap w:val="0"/>
            <w:vAlign w:val="center"/>
          </w:tcPr>
          <w:p w14:paraId="25674122">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管理</w:t>
            </w:r>
          </w:p>
          <w:p w14:paraId="56E7E8DA">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人员</w:t>
            </w:r>
          </w:p>
        </w:tc>
        <w:tc>
          <w:tcPr>
            <w:tcW w:w="1126" w:type="dxa"/>
            <w:noWrap w:val="0"/>
            <w:vAlign w:val="top"/>
          </w:tcPr>
          <w:p w14:paraId="010F82AA">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03FA87F2">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004B5C66">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68F6BE00">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04FE8D7E">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32C030BA">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19CC50DA">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9" w:type="dxa"/>
            <w:noWrap w:val="0"/>
            <w:vAlign w:val="top"/>
          </w:tcPr>
          <w:p w14:paraId="3F530E80">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r>
      <w:tr w14:paraId="1DA00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125" w:type="dxa"/>
            <w:vMerge w:val="continue"/>
            <w:noWrap w:val="0"/>
            <w:vAlign w:val="center"/>
          </w:tcPr>
          <w:p w14:paraId="67B73439">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126" w:type="dxa"/>
            <w:noWrap w:val="0"/>
            <w:vAlign w:val="top"/>
          </w:tcPr>
          <w:p w14:paraId="084774B2">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0FAF3059">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645EC370">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431607DD">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1A4C2F99">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5ED524E3">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489C6118">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9" w:type="dxa"/>
            <w:noWrap w:val="0"/>
            <w:vAlign w:val="top"/>
          </w:tcPr>
          <w:p w14:paraId="082E6C79">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r>
      <w:tr w14:paraId="55026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125" w:type="dxa"/>
            <w:vMerge w:val="continue"/>
            <w:noWrap w:val="0"/>
            <w:vAlign w:val="center"/>
          </w:tcPr>
          <w:p w14:paraId="661CE061">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126" w:type="dxa"/>
            <w:noWrap w:val="0"/>
            <w:vAlign w:val="top"/>
          </w:tcPr>
          <w:p w14:paraId="55894C96">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7D88A92F">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4EDB9248">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6E9E324D">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0E12F4A6">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07F403AD">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5C1B5B46">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9" w:type="dxa"/>
            <w:noWrap w:val="0"/>
            <w:vAlign w:val="top"/>
          </w:tcPr>
          <w:p w14:paraId="3C63D0C0">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r>
      <w:tr w14:paraId="2F23F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125" w:type="dxa"/>
            <w:vMerge w:val="restart"/>
            <w:noWrap w:val="0"/>
            <w:vAlign w:val="center"/>
          </w:tcPr>
          <w:p w14:paraId="1144B6F5">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技术</w:t>
            </w:r>
          </w:p>
          <w:p w14:paraId="09EDC673">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人员</w:t>
            </w:r>
          </w:p>
        </w:tc>
        <w:tc>
          <w:tcPr>
            <w:tcW w:w="1126" w:type="dxa"/>
            <w:noWrap w:val="0"/>
            <w:vAlign w:val="top"/>
          </w:tcPr>
          <w:p w14:paraId="04AC94B9">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1EC69ED1">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046904D4">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70DF3F9F">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7701EE26">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3FB3D08F">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310023AF">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9" w:type="dxa"/>
            <w:noWrap w:val="0"/>
            <w:vAlign w:val="top"/>
          </w:tcPr>
          <w:p w14:paraId="5126CC06">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r>
      <w:tr w14:paraId="06555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125" w:type="dxa"/>
            <w:vMerge w:val="continue"/>
            <w:noWrap w:val="0"/>
            <w:vAlign w:val="center"/>
          </w:tcPr>
          <w:p w14:paraId="5054278E">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126" w:type="dxa"/>
            <w:noWrap w:val="0"/>
            <w:vAlign w:val="top"/>
          </w:tcPr>
          <w:p w14:paraId="78DDEF83">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730187C5">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778CAD01">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2C322B49">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46B912E0">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6765B133">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6C39AB0B">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9" w:type="dxa"/>
            <w:noWrap w:val="0"/>
            <w:vAlign w:val="top"/>
          </w:tcPr>
          <w:p w14:paraId="1E597F24">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r>
      <w:tr w14:paraId="1E890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125" w:type="dxa"/>
            <w:vMerge w:val="continue"/>
            <w:noWrap w:val="0"/>
            <w:vAlign w:val="center"/>
          </w:tcPr>
          <w:p w14:paraId="31412124">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p>
        </w:tc>
        <w:tc>
          <w:tcPr>
            <w:tcW w:w="1126" w:type="dxa"/>
            <w:noWrap w:val="0"/>
            <w:vAlign w:val="top"/>
          </w:tcPr>
          <w:p w14:paraId="29E07A7F">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4BB5F8D5">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6F7D8840">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247D3F2E">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75397C8C">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1E1C8EBE">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51ECFE05">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9" w:type="dxa"/>
            <w:noWrap w:val="0"/>
            <w:vAlign w:val="top"/>
          </w:tcPr>
          <w:p w14:paraId="6D07967B">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r>
      <w:tr w14:paraId="1784C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125" w:type="dxa"/>
            <w:vMerge w:val="restart"/>
            <w:noWrap w:val="0"/>
            <w:vAlign w:val="center"/>
          </w:tcPr>
          <w:p w14:paraId="67BFC436">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售后服务人员</w:t>
            </w:r>
          </w:p>
        </w:tc>
        <w:tc>
          <w:tcPr>
            <w:tcW w:w="1126" w:type="dxa"/>
            <w:noWrap w:val="0"/>
            <w:vAlign w:val="top"/>
          </w:tcPr>
          <w:p w14:paraId="44A8C685">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5F81F4A4">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47AA1DEB">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37C4103D">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35179C47">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3FF4CAC7">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064E73AF">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9" w:type="dxa"/>
            <w:noWrap w:val="0"/>
            <w:vAlign w:val="top"/>
          </w:tcPr>
          <w:p w14:paraId="06922788">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r>
      <w:tr w14:paraId="663CF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125" w:type="dxa"/>
            <w:vMerge w:val="continue"/>
            <w:noWrap w:val="0"/>
            <w:vAlign w:val="top"/>
          </w:tcPr>
          <w:p w14:paraId="0BA246FC">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3856910F">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250AF446">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06E0DC86">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349B8751">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037176F6">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50BC8723">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3AA2B76C">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9" w:type="dxa"/>
            <w:noWrap w:val="0"/>
            <w:vAlign w:val="top"/>
          </w:tcPr>
          <w:p w14:paraId="49570922">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r>
      <w:tr w14:paraId="3C994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125" w:type="dxa"/>
            <w:vMerge w:val="continue"/>
            <w:noWrap w:val="0"/>
            <w:vAlign w:val="top"/>
          </w:tcPr>
          <w:p w14:paraId="6127964D">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3616DA8F">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21288BDC">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379D7E06">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189A7872">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4FBB97B9">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20EF42FB">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6" w:type="dxa"/>
            <w:noWrap w:val="0"/>
            <w:vAlign w:val="top"/>
          </w:tcPr>
          <w:p w14:paraId="706E5F68">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c>
          <w:tcPr>
            <w:tcW w:w="1129" w:type="dxa"/>
            <w:noWrap w:val="0"/>
            <w:vAlign w:val="top"/>
          </w:tcPr>
          <w:p w14:paraId="4822B3B0">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tc>
      </w:tr>
    </w:tbl>
    <w:p w14:paraId="3CFD6B90">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p w14:paraId="0D9EDBEE">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 xml:space="preserve">：     （加盖电子公章） </w:t>
      </w:r>
    </w:p>
    <w:p w14:paraId="2F0F8E73">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法定代表人（电子签名）：                </w:t>
      </w:r>
    </w:p>
    <w:p w14:paraId="1500ADDF">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w:t>
      </w:r>
      <w:bookmarkStart w:id="405" w:name="_Toc31398_WPSOffice_Level2"/>
    </w:p>
    <w:p w14:paraId="6718FAF7">
      <w:pPr>
        <w:pStyle w:val="4"/>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格式3-7：中小企业声明函、残疾人福利性单位声明函、监狱企业声明函</w:t>
      </w:r>
      <w:bookmarkEnd w:id="405"/>
      <w:r>
        <w:rPr>
          <w:rFonts w:hint="eastAsia" w:ascii="宋体" w:hAnsi="宋体" w:eastAsia="宋体" w:cs="宋体"/>
          <w:color w:val="auto"/>
          <w:sz w:val="24"/>
          <w:szCs w:val="24"/>
          <w:lang w:val="en-US" w:eastAsia="zh-CN"/>
        </w:rPr>
        <w:t>、关于符合本国产品标准的声明函</w:t>
      </w:r>
    </w:p>
    <w:p w14:paraId="203618C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中小企业声明函（货物）</w:t>
      </w:r>
    </w:p>
    <w:p w14:paraId="6C39997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本公司（联合体）郑重声明，根据《政府采购促进中小企业发展管理办法》（财库〔2020〕46号）的规定，本公司（联合体）参加</w:t>
      </w:r>
      <w:r>
        <w:rPr>
          <w:rFonts w:hint="eastAsia" w:ascii="宋体" w:hAnsi="宋体" w:eastAsia="宋体" w:cs="宋体"/>
          <w:i/>
          <w:iCs/>
          <w:color w:val="auto"/>
          <w:sz w:val="24"/>
          <w:szCs w:val="24"/>
          <w:highlight w:val="none"/>
          <w:u w:val="single"/>
          <w:lang w:val="en-US" w:eastAsia="zh-CN"/>
        </w:rPr>
        <w:t>（单位名称）</w:t>
      </w:r>
      <w:r>
        <w:rPr>
          <w:rFonts w:hint="eastAsia" w:ascii="宋体" w:hAnsi="宋体" w:eastAsia="宋体" w:cs="宋体"/>
          <w:color w:val="auto"/>
          <w:sz w:val="24"/>
          <w:szCs w:val="24"/>
          <w:highlight w:val="none"/>
          <w:lang w:val="en-US" w:eastAsia="zh-CN"/>
        </w:rPr>
        <w:t>的</w:t>
      </w:r>
      <w:r>
        <w:rPr>
          <w:rFonts w:hint="eastAsia" w:ascii="宋体" w:hAnsi="宋体" w:eastAsia="宋体" w:cs="宋体"/>
          <w:i/>
          <w:iCs/>
          <w:color w:val="auto"/>
          <w:sz w:val="24"/>
          <w:szCs w:val="24"/>
          <w:highlight w:val="none"/>
          <w:u w:val="single"/>
          <w:lang w:val="en-US" w:eastAsia="zh-CN"/>
        </w:rPr>
        <w:t>（项目名称）</w:t>
      </w:r>
      <w:r>
        <w:rPr>
          <w:rFonts w:hint="eastAsia" w:ascii="宋体" w:hAnsi="宋体" w:eastAsia="宋体" w:cs="宋体"/>
          <w:color w:val="auto"/>
          <w:sz w:val="24"/>
          <w:szCs w:val="24"/>
          <w:highlight w:val="none"/>
          <w:lang w:val="en-US" w:eastAsia="zh-CN"/>
        </w:rPr>
        <w:t>采购活动，提供的货物全部由符合政策要求的中小企业制造。相关企业（含联合体中的中小企业、签订分包意向协议的中小企业）的具体情况如下：</w:t>
      </w:r>
    </w:p>
    <w:p w14:paraId="74111F6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i/>
          <w:iCs/>
          <w:color w:val="auto"/>
          <w:sz w:val="24"/>
          <w:szCs w:val="24"/>
          <w:highlight w:val="none"/>
          <w:u w:val="single"/>
          <w:lang w:val="en-US" w:eastAsia="zh-CN"/>
        </w:rPr>
        <w:t>（标的名称）</w:t>
      </w:r>
      <w:r>
        <w:rPr>
          <w:rStyle w:val="40"/>
          <w:rFonts w:hint="eastAsia" w:ascii="宋体" w:hAnsi="宋体" w:eastAsia="宋体" w:cs="宋体"/>
          <w:i/>
          <w:iCs/>
          <w:color w:val="auto"/>
          <w:sz w:val="24"/>
          <w:szCs w:val="24"/>
          <w:highlight w:val="none"/>
          <w:u w:val="single"/>
          <w:lang w:val="en-US" w:eastAsia="zh-CN"/>
        </w:rPr>
        <w:footnoteReference w:id="0"/>
      </w:r>
      <w:r>
        <w:rPr>
          <w:rFonts w:hint="eastAsia" w:ascii="宋体" w:hAnsi="宋体" w:eastAsia="宋体" w:cs="宋体"/>
          <w:color w:val="auto"/>
          <w:sz w:val="24"/>
          <w:szCs w:val="24"/>
          <w:highlight w:val="none"/>
          <w:lang w:val="en-US" w:eastAsia="zh-CN"/>
        </w:rPr>
        <w:t>，属于</w:t>
      </w:r>
      <w:r>
        <w:rPr>
          <w:rFonts w:hint="eastAsia" w:ascii="宋体" w:hAnsi="宋体" w:eastAsia="宋体" w:cs="宋体"/>
          <w:i/>
          <w:iCs/>
          <w:color w:val="auto"/>
          <w:sz w:val="24"/>
          <w:szCs w:val="24"/>
          <w:highlight w:val="none"/>
          <w:u w:val="single"/>
          <w:lang w:val="en-US" w:eastAsia="zh-CN"/>
        </w:rPr>
        <w:t>（采购文件中明确的所属行业）</w:t>
      </w:r>
      <w:r>
        <w:rPr>
          <w:rFonts w:hint="eastAsia" w:ascii="宋体" w:hAnsi="宋体" w:eastAsia="宋体" w:cs="宋体"/>
          <w:color w:val="auto"/>
          <w:sz w:val="24"/>
          <w:szCs w:val="24"/>
          <w:highlight w:val="none"/>
          <w:lang w:val="en-US" w:eastAsia="zh-CN"/>
        </w:rPr>
        <w:t>行业；制造商为</w:t>
      </w:r>
      <w:r>
        <w:rPr>
          <w:rFonts w:hint="eastAsia" w:ascii="宋体" w:hAnsi="宋体" w:eastAsia="宋体" w:cs="宋体"/>
          <w:i/>
          <w:iCs/>
          <w:color w:val="auto"/>
          <w:sz w:val="24"/>
          <w:szCs w:val="24"/>
          <w:highlight w:val="none"/>
          <w:u w:val="single"/>
          <w:lang w:val="en-US" w:eastAsia="zh-CN"/>
        </w:rPr>
        <w:t>（企业名称）</w:t>
      </w:r>
      <w:r>
        <w:rPr>
          <w:rFonts w:hint="eastAsia" w:ascii="宋体" w:hAnsi="宋体" w:eastAsia="宋体" w:cs="宋体"/>
          <w:color w:val="auto"/>
          <w:sz w:val="24"/>
          <w:szCs w:val="24"/>
          <w:highlight w:val="none"/>
          <w:lang w:val="en-US" w:eastAsia="zh-CN"/>
        </w:rPr>
        <w:t>，从业人员</w:t>
      </w:r>
      <w:r>
        <w:rPr>
          <w:rFonts w:hint="eastAsia" w:ascii="宋体" w:hAnsi="宋体" w:eastAsia="宋体" w:cs="宋体"/>
          <w:i w:val="0"/>
          <w:iCs w:val="0"/>
          <w:color w:val="auto"/>
          <w:sz w:val="24"/>
          <w:szCs w:val="24"/>
          <w:highlight w:val="none"/>
          <w:u w:val="single"/>
          <w:lang w:val="en-US" w:eastAsia="zh-CN"/>
        </w:rPr>
        <w:t>（    ）</w:t>
      </w:r>
      <w:r>
        <w:rPr>
          <w:rFonts w:hint="eastAsia" w:ascii="宋体" w:hAnsi="宋体" w:eastAsia="宋体" w:cs="宋体"/>
          <w:color w:val="auto"/>
          <w:sz w:val="24"/>
          <w:szCs w:val="24"/>
          <w:highlight w:val="none"/>
          <w:lang w:val="en-US" w:eastAsia="zh-CN"/>
        </w:rPr>
        <w:t>人，营业收入为</w:t>
      </w:r>
      <w:r>
        <w:rPr>
          <w:rFonts w:hint="eastAsia" w:ascii="宋体" w:hAnsi="宋体" w:eastAsia="宋体" w:cs="宋体"/>
          <w:color w:val="auto"/>
          <w:sz w:val="24"/>
          <w:szCs w:val="24"/>
          <w:highlight w:val="none"/>
          <w:u w:val="single"/>
          <w:lang w:val="en-US" w:eastAsia="zh-CN"/>
        </w:rPr>
        <w:t>（    ）</w:t>
      </w:r>
      <w:r>
        <w:rPr>
          <w:rFonts w:hint="eastAsia" w:ascii="宋体" w:hAnsi="宋体" w:eastAsia="宋体" w:cs="宋体"/>
          <w:color w:val="auto"/>
          <w:sz w:val="24"/>
          <w:szCs w:val="24"/>
          <w:highlight w:val="none"/>
          <w:lang w:val="en-US" w:eastAsia="zh-CN"/>
        </w:rPr>
        <w:t>万元，资产总额为</w:t>
      </w:r>
      <w:r>
        <w:rPr>
          <w:rFonts w:hint="eastAsia" w:ascii="宋体" w:hAnsi="宋体" w:eastAsia="宋体" w:cs="宋体"/>
          <w:color w:val="auto"/>
          <w:sz w:val="24"/>
          <w:szCs w:val="24"/>
          <w:highlight w:val="none"/>
          <w:u w:val="single"/>
          <w:lang w:val="en-US" w:eastAsia="zh-CN"/>
        </w:rPr>
        <w:t>（    ）</w:t>
      </w:r>
      <w:r>
        <w:rPr>
          <w:rFonts w:hint="eastAsia" w:ascii="宋体" w:hAnsi="宋体" w:eastAsia="宋体" w:cs="宋体"/>
          <w:color w:val="auto"/>
          <w:sz w:val="24"/>
          <w:szCs w:val="24"/>
          <w:highlight w:val="none"/>
          <w:lang w:val="en-US" w:eastAsia="zh-CN"/>
        </w:rPr>
        <w:t>万元</w:t>
      </w:r>
      <w:r>
        <w:rPr>
          <w:rStyle w:val="40"/>
          <w:rFonts w:hint="eastAsia" w:ascii="宋体" w:hAnsi="宋体" w:eastAsia="宋体" w:cs="宋体"/>
          <w:color w:val="auto"/>
          <w:sz w:val="24"/>
          <w:szCs w:val="24"/>
          <w:highlight w:val="none"/>
          <w:lang w:val="en-US" w:eastAsia="zh-CN"/>
        </w:rPr>
        <w:footnoteReference w:id="1"/>
      </w:r>
      <w:r>
        <w:rPr>
          <w:rFonts w:hint="eastAsia" w:ascii="宋体" w:hAnsi="宋体" w:eastAsia="宋体" w:cs="宋体"/>
          <w:color w:val="auto"/>
          <w:sz w:val="24"/>
          <w:szCs w:val="24"/>
          <w:highlight w:val="none"/>
          <w:lang w:val="en-US" w:eastAsia="zh-CN"/>
        </w:rPr>
        <w:t>，属于</w:t>
      </w:r>
      <w:r>
        <w:rPr>
          <w:rFonts w:hint="eastAsia" w:ascii="宋体" w:hAnsi="宋体" w:eastAsia="宋体" w:cs="宋体"/>
          <w:i/>
          <w:iCs/>
          <w:color w:val="auto"/>
          <w:sz w:val="24"/>
          <w:szCs w:val="24"/>
          <w:highlight w:val="none"/>
          <w:u w:val="single"/>
          <w:lang w:val="en-US" w:eastAsia="zh-CN"/>
        </w:rPr>
        <w:t>（中型企业、小型企业、微型企业）</w:t>
      </w:r>
      <w:r>
        <w:rPr>
          <w:rFonts w:hint="eastAsia" w:ascii="宋体" w:hAnsi="宋体" w:eastAsia="宋体" w:cs="宋体"/>
          <w:color w:val="auto"/>
          <w:sz w:val="24"/>
          <w:szCs w:val="24"/>
          <w:highlight w:val="none"/>
          <w:lang w:val="en-US" w:eastAsia="zh-CN"/>
        </w:rPr>
        <w:t>；</w:t>
      </w:r>
    </w:p>
    <w:p w14:paraId="6D9D0AD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i/>
          <w:iCs/>
          <w:color w:val="auto"/>
          <w:sz w:val="24"/>
          <w:szCs w:val="24"/>
          <w:highlight w:val="none"/>
          <w:u w:val="single"/>
          <w:lang w:val="en-US" w:eastAsia="zh-CN"/>
        </w:rPr>
        <w:t>（标的名称）</w:t>
      </w:r>
      <w:r>
        <w:rPr>
          <w:rFonts w:hint="eastAsia" w:ascii="宋体" w:hAnsi="宋体" w:eastAsia="宋体" w:cs="宋体"/>
          <w:color w:val="auto"/>
          <w:sz w:val="24"/>
          <w:szCs w:val="24"/>
          <w:highlight w:val="none"/>
          <w:lang w:val="en-US" w:eastAsia="zh-CN"/>
        </w:rPr>
        <w:t>，属于</w:t>
      </w:r>
      <w:r>
        <w:rPr>
          <w:rFonts w:hint="eastAsia" w:ascii="宋体" w:hAnsi="宋体" w:eastAsia="宋体" w:cs="宋体"/>
          <w:i/>
          <w:iCs/>
          <w:color w:val="auto"/>
          <w:sz w:val="24"/>
          <w:szCs w:val="24"/>
          <w:highlight w:val="none"/>
          <w:u w:val="single"/>
          <w:lang w:val="en-US" w:eastAsia="zh-CN"/>
        </w:rPr>
        <w:t>（采购文件中明确的所属行业）</w:t>
      </w:r>
      <w:r>
        <w:rPr>
          <w:rFonts w:hint="eastAsia" w:ascii="宋体" w:hAnsi="宋体" w:eastAsia="宋体" w:cs="宋体"/>
          <w:color w:val="auto"/>
          <w:sz w:val="24"/>
          <w:szCs w:val="24"/>
          <w:highlight w:val="none"/>
          <w:lang w:val="en-US" w:eastAsia="zh-CN"/>
        </w:rPr>
        <w:t>行业；制造商为</w:t>
      </w:r>
      <w:r>
        <w:rPr>
          <w:rFonts w:hint="eastAsia" w:ascii="宋体" w:hAnsi="宋体" w:eastAsia="宋体" w:cs="宋体"/>
          <w:i/>
          <w:iCs/>
          <w:color w:val="auto"/>
          <w:sz w:val="24"/>
          <w:szCs w:val="24"/>
          <w:highlight w:val="none"/>
          <w:u w:val="single"/>
          <w:lang w:val="en-US" w:eastAsia="zh-CN"/>
        </w:rPr>
        <w:t>（企业名称）</w:t>
      </w:r>
      <w:r>
        <w:rPr>
          <w:rFonts w:hint="eastAsia" w:ascii="宋体" w:hAnsi="宋体" w:eastAsia="宋体" w:cs="宋体"/>
          <w:color w:val="auto"/>
          <w:sz w:val="24"/>
          <w:szCs w:val="24"/>
          <w:highlight w:val="none"/>
          <w:lang w:val="en-US" w:eastAsia="zh-CN"/>
        </w:rPr>
        <w:t>，从业人员</w:t>
      </w:r>
      <w:r>
        <w:rPr>
          <w:rFonts w:hint="eastAsia" w:ascii="宋体" w:hAnsi="宋体" w:eastAsia="宋体" w:cs="宋体"/>
          <w:i w:val="0"/>
          <w:iCs w:val="0"/>
          <w:color w:val="auto"/>
          <w:sz w:val="24"/>
          <w:szCs w:val="24"/>
          <w:highlight w:val="none"/>
          <w:u w:val="single"/>
          <w:lang w:val="en-US" w:eastAsia="zh-CN"/>
        </w:rPr>
        <w:t>（    ）</w:t>
      </w:r>
      <w:r>
        <w:rPr>
          <w:rFonts w:hint="eastAsia" w:ascii="宋体" w:hAnsi="宋体" w:eastAsia="宋体" w:cs="宋体"/>
          <w:color w:val="auto"/>
          <w:sz w:val="24"/>
          <w:szCs w:val="24"/>
          <w:highlight w:val="none"/>
          <w:lang w:val="en-US" w:eastAsia="zh-CN"/>
        </w:rPr>
        <w:t>人，营业收入为</w:t>
      </w:r>
      <w:r>
        <w:rPr>
          <w:rFonts w:hint="eastAsia" w:ascii="宋体" w:hAnsi="宋体" w:eastAsia="宋体" w:cs="宋体"/>
          <w:color w:val="auto"/>
          <w:sz w:val="24"/>
          <w:szCs w:val="24"/>
          <w:highlight w:val="none"/>
          <w:u w:val="single"/>
          <w:lang w:val="en-US" w:eastAsia="zh-CN"/>
        </w:rPr>
        <w:t>（    ）</w:t>
      </w:r>
      <w:r>
        <w:rPr>
          <w:rFonts w:hint="eastAsia" w:ascii="宋体" w:hAnsi="宋体" w:eastAsia="宋体" w:cs="宋体"/>
          <w:color w:val="auto"/>
          <w:sz w:val="24"/>
          <w:szCs w:val="24"/>
          <w:highlight w:val="none"/>
          <w:lang w:val="en-US" w:eastAsia="zh-CN"/>
        </w:rPr>
        <w:t>万元，资产总额为</w:t>
      </w:r>
      <w:r>
        <w:rPr>
          <w:rFonts w:hint="eastAsia" w:ascii="宋体" w:hAnsi="宋体" w:eastAsia="宋体" w:cs="宋体"/>
          <w:color w:val="auto"/>
          <w:sz w:val="24"/>
          <w:szCs w:val="24"/>
          <w:highlight w:val="none"/>
          <w:u w:val="single"/>
          <w:lang w:val="en-US" w:eastAsia="zh-CN"/>
        </w:rPr>
        <w:t>（    ）</w:t>
      </w:r>
      <w:r>
        <w:rPr>
          <w:rFonts w:hint="eastAsia" w:ascii="宋体" w:hAnsi="宋体" w:eastAsia="宋体" w:cs="宋体"/>
          <w:color w:val="auto"/>
          <w:sz w:val="24"/>
          <w:szCs w:val="24"/>
          <w:highlight w:val="none"/>
          <w:lang w:val="en-US" w:eastAsia="zh-CN"/>
        </w:rPr>
        <w:t>万元，属于</w:t>
      </w:r>
      <w:r>
        <w:rPr>
          <w:rFonts w:hint="eastAsia" w:ascii="宋体" w:hAnsi="宋体" w:eastAsia="宋体" w:cs="宋体"/>
          <w:i/>
          <w:iCs/>
          <w:color w:val="auto"/>
          <w:sz w:val="24"/>
          <w:szCs w:val="24"/>
          <w:highlight w:val="none"/>
          <w:u w:val="single"/>
          <w:lang w:val="en-US" w:eastAsia="zh-CN"/>
        </w:rPr>
        <w:t>（中型企业、小型企业、微型企业）</w:t>
      </w:r>
      <w:r>
        <w:rPr>
          <w:rFonts w:hint="eastAsia" w:ascii="宋体" w:hAnsi="宋体" w:eastAsia="宋体" w:cs="宋体"/>
          <w:color w:val="auto"/>
          <w:sz w:val="24"/>
          <w:szCs w:val="24"/>
          <w:highlight w:val="none"/>
          <w:lang w:val="en-US" w:eastAsia="zh-CN"/>
        </w:rPr>
        <w:t>；</w:t>
      </w:r>
    </w:p>
    <w:p w14:paraId="350B9AE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p>
    <w:p w14:paraId="3EB916F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以上企业，不属于大企业的分支机构，不存在控股股东为大企业的情形，也不存在与大企业的负责人为同一人的情形。</w:t>
      </w:r>
    </w:p>
    <w:p w14:paraId="243D58C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本企业对上述声明内容的真实性负责。如有虚假，将依法承担相应责任。</w:t>
      </w:r>
    </w:p>
    <w:p w14:paraId="524FAE4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2640" w:firstLineChars="11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企业名称（盖章）：</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日期：</w:t>
      </w:r>
    </w:p>
    <w:p w14:paraId="772ED3D8">
      <w:pPr>
        <w:keepNext w:val="0"/>
        <w:keepLines w:val="0"/>
        <w:pageBreakBefore w:val="0"/>
        <w:widowControl w:val="0"/>
        <w:kinsoku/>
        <w:wordWrap/>
        <w:overflowPunct/>
        <w:topLinePunct w:val="0"/>
        <w:autoSpaceDE/>
        <w:autoSpaceDN/>
        <w:bidi w:val="0"/>
        <w:adjustRightInd/>
        <w:snapToGrid/>
        <w:spacing w:line="560" w:lineRule="exact"/>
        <w:ind w:right="0" w:rightChars="0" w:firstLine="2400" w:firstLineChars="1000"/>
        <w:textAlignment w:val="auto"/>
        <w:outlineLvl w:val="9"/>
        <w:rPr>
          <w:rFonts w:hint="eastAsia"/>
          <w:b/>
          <w:bCs/>
          <w:color w:val="auto"/>
          <w:sz w:val="24"/>
          <w:szCs w:val="24"/>
        </w:rPr>
      </w:pPr>
      <w:bookmarkStart w:id="406" w:name="_Toc8737_WPSOffice_Level2"/>
    </w:p>
    <w:p w14:paraId="2379A00B">
      <w:pPr>
        <w:keepNext w:val="0"/>
        <w:keepLines w:val="0"/>
        <w:pageBreakBefore w:val="0"/>
        <w:widowControl w:val="0"/>
        <w:kinsoku/>
        <w:wordWrap/>
        <w:overflowPunct/>
        <w:topLinePunct w:val="0"/>
        <w:autoSpaceDE/>
        <w:autoSpaceDN/>
        <w:bidi w:val="0"/>
        <w:adjustRightInd/>
        <w:snapToGrid/>
        <w:spacing w:line="560" w:lineRule="exact"/>
        <w:ind w:right="0" w:rightChars="0" w:firstLine="2400" w:firstLineChars="1000"/>
        <w:textAlignment w:val="auto"/>
        <w:outlineLvl w:val="9"/>
        <w:rPr>
          <w:rFonts w:hint="eastAsia"/>
          <w:b/>
          <w:bCs/>
          <w:color w:val="auto"/>
          <w:sz w:val="24"/>
          <w:szCs w:val="24"/>
        </w:rPr>
      </w:pPr>
      <w:r>
        <w:rPr>
          <w:rFonts w:hint="eastAsia"/>
          <w:b/>
          <w:bCs/>
          <w:color w:val="auto"/>
          <w:sz w:val="24"/>
          <w:szCs w:val="24"/>
        </w:rPr>
        <w:t>残疾人福利性单位声明函</w:t>
      </w:r>
      <w:bookmarkEnd w:id="406"/>
    </w:p>
    <w:p w14:paraId="67A8D61D">
      <w:pPr>
        <w:pageBreakBefore w:val="0"/>
        <w:kinsoku/>
        <w:wordWrap/>
        <w:overflowPunct/>
        <w:topLinePunct w:val="0"/>
        <w:bidi w:val="0"/>
        <w:spacing w:line="560" w:lineRule="exact"/>
        <w:ind w:firstLine="504" w:firstLineChars="200"/>
        <w:textAlignment w:val="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本单位郑重声明，根据《财政部 民政部 中国残疾人联合会关于促进残疾人就业政府采购政策的通知》（财库</w:t>
      </w:r>
      <w:r>
        <w:rPr>
          <w:rFonts w:hint="eastAsia" w:ascii="宋体" w:hAnsi="宋体" w:cs="宋体"/>
          <w:color w:val="auto"/>
          <w:spacing w:val="6"/>
          <w:sz w:val="24"/>
          <w:szCs w:val="24"/>
          <w:lang w:eastAsia="zh-CN"/>
        </w:rPr>
        <w:t>〔2017〕141号</w:t>
      </w:r>
      <w:r>
        <w:rPr>
          <w:rFonts w:hint="eastAsia" w:ascii="宋体" w:hAnsi="宋体" w:eastAsia="宋体" w:cs="宋体"/>
          <w:color w:val="auto"/>
          <w:spacing w:val="6"/>
          <w:sz w:val="24"/>
          <w:szCs w:val="24"/>
        </w:rPr>
        <w:t>）的规定，本单位为符合条件的残疾人福利性单位，且本单位参加</w:t>
      </w:r>
      <w:r>
        <w:rPr>
          <w:rFonts w:hint="eastAsia" w:ascii="宋体" w:hAnsi="宋体" w:eastAsia="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rPr>
        <w:t>单位的______项目采购活动提供本单位制造的货物（由本单位承担工程/提供服务），或者提供其他残疾人福利性单位制造的货物（不包括使用非残疾人福利性单位注册商标的货物）。</w:t>
      </w:r>
    </w:p>
    <w:p w14:paraId="42B2283F">
      <w:pPr>
        <w:pageBreakBefore w:val="0"/>
        <w:kinsoku/>
        <w:wordWrap/>
        <w:overflowPunct/>
        <w:topLinePunct w:val="0"/>
        <w:bidi w:val="0"/>
        <w:spacing w:line="560" w:lineRule="exact"/>
        <w:ind w:firstLine="504" w:firstLineChars="200"/>
        <w:textAlignment w:val="auto"/>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本单位对上述声明的真实性负责。如有虚假，将依法承担相应责任。</w:t>
      </w:r>
    </w:p>
    <w:p w14:paraId="443B3EB7">
      <w:pPr>
        <w:pStyle w:val="7"/>
        <w:pageBreakBefore w:val="0"/>
        <w:widowControl/>
        <w:kinsoku/>
        <w:wordWrap/>
        <w:overflowPunct/>
        <w:topLinePunct w:val="0"/>
        <w:bidi w:val="0"/>
        <w:snapToGrid w:val="0"/>
        <w:spacing w:line="560" w:lineRule="exact"/>
        <w:ind w:firstLine="967" w:firstLineChars="384"/>
        <w:textAlignment w:val="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 </w:t>
      </w:r>
      <w:r>
        <w:rPr>
          <w:rFonts w:hint="eastAsia" w:ascii="宋体" w:hAnsi="宋体" w:eastAsia="宋体" w:cs="宋体"/>
          <w:color w:val="auto"/>
          <w:spacing w:val="6"/>
          <w:sz w:val="24"/>
          <w:szCs w:val="24"/>
          <w:lang w:val="en-US" w:eastAsia="zh-CN"/>
        </w:rPr>
        <w:t xml:space="preserve">   </w:t>
      </w:r>
      <w:r>
        <w:rPr>
          <w:rFonts w:hint="eastAsia" w:ascii="宋体" w:hAnsi="宋体" w:eastAsia="宋体" w:cs="宋体"/>
          <w:color w:val="auto"/>
          <w:spacing w:val="6"/>
          <w:sz w:val="24"/>
          <w:szCs w:val="24"/>
          <w:lang w:eastAsia="zh-CN"/>
        </w:rPr>
        <w:t>单位</w:t>
      </w:r>
      <w:r>
        <w:rPr>
          <w:rFonts w:hint="eastAsia" w:ascii="宋体" w:hAnsi="宋体" w:eastAsia="宋体" w:cs="宋体"/>
          <w:color w:val="auto"/>
          <w:sz w:val="24"/>
          <w:szCs w:val="24"/>
        </w:rPr>
        <w:t>名称：（盖章）</w:t>
      </w:r>
      <w:r>
        <w:rPr>
          <w:rFonts w:hint="eastAsia" w:ascii="宋体" w:hAnsi="宋体" w:eastAsia="宋体" w:cs="宋体"/>
          <w:color w:val="auto"/>
          <w:sz w:val="24"/>
          <w:szCs w:val="24"/>
          <w:u w:val="single"/>
        </w:rPr>
        <w:t xml:space="preserve">            </w:t>
      </w:r>
    </w:p>
    <w:p w14:paraId="0B167F55">
      <w:pPr>
        <w:pStyle w:val="7"/>
        <w:pageBreakBefore w:val="0"/>
        <w:widowControl/>
        <w:kinsoku/>
        <w:wordWrap/>
        <w:overflowPunct/>
        <w:topLinePunct w:val="0"/>
        <w:bidi w:val="0"/>
        <w:snapToGrid w:val="0"/>
        <w:spacing w:line="560" w:lineRule="exact"/>
        <w:ind w:firstLine="1440" w:firstLineChars="6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none"/>
          <w:lang w:eastAsia="zh-CN"/>
        </w:rPr>
        <w:t>日</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u w:val="none"/>
          <w:lang w:eastAsia="zh-CN"/>
        </w:rPr>
        <w:t>期：</w:t>
      </w:r>
      <w:r>
        <w:rPr>
          <w:rFonts w:hint="eastAsia" w:ascii="宋体" w:hAnsi="宋体" w:eastAsia="宋体" w:cs="宋体"/>
          <w:color w:val="auto"/>
          <w:sz w:val="24"/>
          <w:szCs w:val="24"/>
          <w:u w:val="single"/>
        </w:rPr>
        <w:t xml:space="preserve">          </w:t>
      </w:r>
    </w:p>
    <w:p w14:paraId="0866C840">
      <w:pPr>
        <w:pageBreakBefore w:val="0"/>
        <w:kinsoku/>
        <w:wordWrap/>
        <w:overflowPunct/>
        <w:topLinePunct w:val="0"/>
        <w:bidi w:val="0"/>
        <w:spacing w:line="560" w:lineRule="exact"/>
        <w:textAlignment w:val="auto"/>
        <w:rPr>
          <w:rFonts w:hint="eastAsia" w:ascii="宋体" w:hAnsi="宋体" w:eastAsia="宋体" w:cs="宋体"/>
          <w:color w:val="auto"/>
          <w:sz w:val="24"/>
          <w:szCs w:val="24"/>
        </w:rPr>
      </w:pPr>
    </w:p>
    <w:p w14:paraId="7CE95F26">
      <w:pPr>
        <w:pageBreakBefore w:val="0"/>
        <w:kinsoku/>
        <w:wordWrap/>
        <w:overflowPunct/>
        <w:topLinePunct w:val="0"/>
        <w:bidi w:val="0"/>
        <w:spacing w:line="560" w:lineRule="exact"/>
        <w:textAlignment w:val="auto"/>
        <w:rPr>
          <w:rFonts w:hint="eastAsia" w:ascii="宋体" w:hAnsi="宋体" w:eastAsia="宋体" w:cs="宋体"/>
          <w:color w:val="auto"/>
          <w:sz w:val="24"/>
          <w:szCs w:val="24"/>
        </w:rPr>
      </w:pPr>
    </w:p>
    <w:p w14:paraId="5312ECA4">
      <w:pPr>
        <w:pStyle w:val="10"/>
        <w:jc w:val="center"/>
        <w:rPr>
          <w:rFonts w:hint="eastAsia"/>
          <w:b/>
          <w:bCs/>
          <w:color w:val="auto"/>
          <w:sz w:val="24"/>
          <w:szCs w:val="24"/>
        </w:rPr>
      </w:pPr>
      <w:bookmarkStart w:id="407" w:name="_Toc27673_WPSOffice_Level2"/>
      <w:r>
        <w:rPr>
          <w:rFonts w:hint="eastAsia"/>
          <w:b/>
          <w:bCs/>
          <w:color w:val="auto"/>
          <w:sz w:val="24"/>
          <w:szCs w:val="24"/>
        </w:rPr>
        <w:t>监狱企业声明函</w:t>
      </w:r>
      <w:bookmarkEnd w:id="407"/>
    </w:p>
    <w:p w14:paraId="487ECA39">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auto"/>
          <w:spacing w:val="6"/>
          <w:sz w:val="24"/>
          <w:szCs w:val="24"/>
        </w:rPr>
      </w:pPr>
      <w:r>
        <w:rPr>
          <w:rFonts w:hint="eastAsia" w:ascii="宋体" w:hAnsi="宋体" w:eastAsia="宋体" w:cs="宋体"/>
          <w:color w:val="auto"/>
          <w:kern w:val="0"/>
          <w:sz w:val="24"/>
          <w:szCs w:val="24"/>
        </w:rPr>
        <w:t>本单位郑重声明</w:t>
      </w:r>
      <w:r>
        <w:rPr>
          <w:rFonts w:hint="eastAsia" w:ascii="宋体" w:hAnsi="宋体" w:eastAsia="宋体" w:cs="宋体"/>
          <w:color w:val="auto"/>
          <w:kern w:val="0"/>
          <w:sz w:val="24"/>
          <w:szCs w:val="24"/>
          <w:lang w:eastAsia="zh-CN"/>
        </w:rPr>
        <w:t>，根据</w:t>
      </w:r>
      <w:r>
        <w:rPr>
          <w:rFonts w:hint="eastAsia" w:ascii="宋体" w:hAnsi="宋体" w:eastAsia="宋体" w:cs="宋体"/>
          <w:color w:val="auto"/>
          <w:kern w:val="0"/>
          <w:sz w:val="24"/>
          <w:szCs w:val="24"/>
        </w:rPr>
        <w:t>《财政部 司法部关于政府采购支持监狱企业发展有关问题的通知》（财库〔2014〕68号）</w:t>
      </w:r>
      <w:r>
        <w:rPr>
          <w:rFonts w:hint="eastAsia" w:ascii="宋体" w:hAnsi="宋体" w:eastAsia="宋体" w:cs="宋体"/>
          <w:color w:val="auto"/>
          <w:kern w:val="0"/>
          <w:sz w:val="24"/>
          <w:szCs w:val="24"/>
          <w:lang w:eastAsia="zh-CN"/>
        </w:rPr>
        <w:t>的规定，本单位为符合条件的监狱企业，</w:t>
      </w:r>
      <w:r>
        <w:rPr>
          <w:rFonts w:hint="eastAsia" w:ascii="宋体" w:hAnsi="宋体" w:eastAsia="宋体" w:cs="宋体"/>
          <w:color w:val="auto"/>
          <w:spacing w:val="6"/>
          <w:sz w:val="24"/>
          <w:szCs w:val="24"/>
        </w:rPr>
        <w:t>且本单位参加</w:t>
      </w:r>
      <w:r>
        <w:rPr>
          <w:rFonts w:hint="eastAsia" w:ascii="宋体" w:hAnsi="宋体" w:eastAsia="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rPr>
        <w:t>单位的______项目采购活动提供本单位制造的货物（由本单位承担工程/提供服务）。</w:t>
      </w:r>
    </w:p>
    <w:p w14:paraId="16EE66B8">
      <w:pPr>
        <w:pageBreakBefore w:val="0"/>
        <w:widowControl/>
        <w:kinsoku/>
        <w:wordWrap/>
        <w:overflowPunct/>
        <w:topLinePunct w:val="0"/>
        <w:autoSpaceDE/>
        <w:autoSpaceDN/>
        <w:bidi w:val="0"/>
        <w:adjustRightInd/>
        <w:snapToGrid/>
        <w:spacing w:beforeAutospacing="0" w:afterAutospacing="0" w:line="560" w:lineRule="exact"/>
        <w:ind w:firstLine="480" w:firstLineChars="200"/>
        <w:jc w:val="left"/>
        <w:textAlignment w:val="auto"/>
        <w:rPr>
          <w:rFonts w:hint="eastAsia" w:ascii="宋体" w:hAnsi="宋体" w:eastAsia="宋体" w:cs="宋体"/>
          <w:color w:val="auto"/>
          <w:kern w:val="0"/>
          <w:sz w:val="24"/>
          <w:szCs w:val="24"/>
          <w:lang w:eastAsia="zh-CN"/>
        </w:rPr>
      </w:pPr>
    </w:p>
    <w:p w14:paraId="200F4D96">
      <w:pPr>
        <w:pageBreakBefore w:val="0"/>
        <w:widowControl/>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color w:val="auto"/>
          <w:spacing w:val="6"/>
          <w:sz w:val="24"/>
          <w:szCs w:val="24"/>
        </w:rPr>
      </w:pPr>
      <w:r>
        <w:rPr>
          <w:rFonts w:hint="eastAsia" w:ascii="宋体" w:hAnsi="宋体" w:eastAsia="宋体" w:cs="宋体"/>
          <w:color w:val="auto"/>
          <w:kern w:val="0"/>
          <w:sz w:val="24"/>
          <w:szCs w:val="24"/>
        </w:rPr>
        <w:t>　</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本单位对上述声明的真实性负责。如有虚假，将依法承担相应责任。</w:t>
      </w:r>
    </w:p>
    <w:p w14:paraId="59C7A880">
      <w:pPr>
        <w:pageBreakBefore w:val="0"/>
        <w:kinsoku/>
        <w:wordWrap/>
        <w:overflowPunct/>
        <w:topLinePunct w:val="0"/>
        <w:bidi w:val="0"/>
        <w:spacing w:line="560" w:lineRule="exact"/>
        <w:ind w:firstLine="504" w:firstLineChars="200"/>
        <w:textAlignment w:val="auto"/>
        <w:rPr>
          <w:rFonts w:hint="eastAsia" w:ascii="宋体" w:hAnsi="宋体" w:eastAsia="宋体" w:cs="宋体"/>
          <w:color w:val="auto"/>
          <w:spacing w:val="6"/>
          <w:sz w:val="24"/>
          <w:szCs w:val="24"/>
        </w:rPr>
      </w:pPr>
    </w:p>
    <w:p w14:paraId="48F54046">
      <w:pPr>
        <w:pageBreakBefore w:val="0"/>
        <w:kinsoku/>
        <w:wordWrap/>
        <w:overflowPunct/>
        <w:topLinePunct w:val="0"/>
        <w:bidi w:val="0"/>
        <w:spacing w:line="560" w:lineRule="exact"/>
        <w:ind w:firstLine="504" w:firstLineChars="200"/>
        <w:textAlignment w:val="auto"/>
        <w:rPr>
          <w:rFonts w:hint="eastAsia" w:ascii="宋体" w:hAnsi="宋体" w:eastAsia="宋体" w:cs="宋体"/>
          <w:color w:val="auto"/>
          <w:spacing w:val="6"/>
          <w:sz w:val="24"/>
          <w:szCs w:val="24"/>
        </w:rPr>
      </w:pPr>
    </w:p>
    <w:p w14:paraId="6E6F15DB">
      <w:pPr>
        <w:pStyle w:val="7"/>
        <w:pageBreakBefore w:val="0"/>
        <w:widowControl/>
        <w:kinsoku/>
        <w:wordWrap/>
        <w:overflowPunct/>
        <w:topLinePunct w:val="0"/>
        <w:bidi w:val="0"/>
        <w:snapToGrid w:val="0"/>
        <w:spacing w:line="560" w:lineRule="exact"/>
        <w:ind w:firstLine="967" w:firstLineChars="384"/>
        <w:textAlignment w:val="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 </w:t>
      </w:r>
      <w:r>
        <w:rPr>
          <w:rFonts w:hint="eastAsia" w:ascii="宋体" w:hAnsi="宋体" w:eastAsia="宋体" w:cs="宋体"/>
          <w:color w:val="auto"/>
          <w:spacing w:val="6"/>
          <w:sz w:val="24"/>
          <w:szCs w:val="24"/>
          <w:lang w:val="en-US" w:eastAsia="zh-CN"/>
        </w:rPr>
        <w:t xml:space="preserve">   </w:t>
      </w:r>
      <w:r>
        <w:rPr>
          <w:rFonts w:hint="eastAsia" w:ascii="宋体" w:hAnsi="宋体" w:eastAsia="宋体" w:cs="宋体"/>
          <w:color w:val="auto"/>
          <w:spacing w:val="6"/>
          <w:sz w:val="24"/>
          <w:szCs w:val="24"/>
          <w:lang w:eastAsia="zh-CN"/>
        </w:rPr>
        <w:t>单位</w:t>
      </w:r>
      <w:r>
        <w:rPr>
          <w:rFonts w:hint="eastAsia" w:ascii="宋体" w:hAnsi="宋体" w:eastAsia="宋体" w:cs="宋体"/>
          <w:color w:val="auto"/>
          <w:sz w:val="24"/>
          <w:szCs w:val="24"/>
        </w:rPr>
        <w:t>名称：（盖章）</w:t>
      </w:r>
      <w:r>
        <w:rPr>
          <w:rFonts w:hint="eastAsia" w:ascii="宋体" w:hAnsi="宋体" w:eastAsia="宋体" w:cs="宋体"/>
          <w:color w:val="auto"/>
          <w:sz w:val="24"/>
          <w:szCs w:val="24"/>
          <w:u w:val="single"/>
        </w:rPr>
        <w:t xml:space="preserve">            </w:t>
      </w:r>
    </w:p>
    <w:p w14:paraId="4A4AD083">
      <w:pPr>
        <w:pStyle w:val="7"/>
        <w:pageBreakBefore w:val="0"/>
        <w:widowControl/>
        <w:kinsoku/>
        <w:wordWrap/>
        <w:overflowPunct/>
        <w:topLinePunct w:val="0"/>
        <w:bidi w:val="0"/>
        <w:snapToGrid w:val="0"/>
        <w:spacing w:line="560" w:lineRule="exact"/>
        <w:ind w:firstLine="1440" w:firstLineChars="6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u w:val="none"/>
          <w:lang w:eastAsia="zh-CN"/>
        </w:rPr>
        <w:t>日</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u w:val="none"/>
          <w:lang w:eastAsia="zh-CN"/>
        </w:rPr>
        <w:t>期：</w:t>
      </w:r>
      <w:r>
        <w:rPr>
          <w:rFonts w:hint="eastAsia" w:ascii="宋体" w:hAnsi="宋体" w:eastAsia="宋体" w:cs="宋体"/>
          <w:color w:val="auto"/>
          <w:sz w:val="24"/>
          <w:szCs w:val="24"/>
          <w:u w:val="single"/>
        </w:rPr>
        <w:t xml:space="preserve">       </w:t>
      </w:r>
    </w:p>
    <w:p w14:paraId="2EAC9C9D">
      <w:pPr>
        <w:pStyle w:val="7"/>
        <w:pageBreakBefore w:val="0"/>
        <w:widowControl/>
        <w:kinsoku/>
        <w:wordWrap/>
        <w:overflowPunct/>
        <w:topLinePunct w:val="0"/>
        <w:bidi w:val="0"/>
        <w:snapToGrid w:val="0"/>
        <w:spacing w:line="560" w:lineRule="exact"/>
        <w:ind w:left="0" w:leftChars="0" w:firstLine="0" w:firstLineChars="0"/>
        <w:textAlignment w:val="auto"/>
        <w:rPr>
          <w:rFonts w:hint="eastAsia" w:ascii="宋体" w:hAnsi="宋体" w:eastAsia="宋体" w:cs="宋体"/>
          <w:color w:val="auto"/>
          <w:sz w:val="24"/>
          <w:szCs w:val="24"/>
          <w:u w:val="single"/>
        </w:rPr>
      </w:pPr>
    </w:p>
    <w:p w14:paraId="540012D8">
      <w:pPr>
        <w:keepNext w:val="0"/>
        <w:keepLines w:val="0"/>
        <w:pageBreakBefore w:val="0"/>
        <w:kinsoku/>
        <w:wordWrap/>
        <w:overflowPunct/>
        <w:topLinePunct w:val="0"/>
        <w:autoSpaceDE/>
        <w:autoSpaceDN/>
        <w:bidi w:val="0"/>
        <w:spacing w:line="560" w:lineRule="exact"/>
        <w:ind w:left="0" w:leftChars="0" w:right="0" w:rightChars="0" w:firstLine="0" w:firstLineChars="0"/>
        <w:jc w:val="center"/>
        <w:textAlignment w:val="auto"/>
        <w:outlineLvl w:val="9"/>
        <w:rPr>
          <w:rFonts w:hint="eastAsia" w:ascii="宋体" w:hAnsi="宋体" w:eastAsia="宋体" w:cs="宋体"/>
          <w:b/>
          <w:bCs/>
          <w:color w:val="auto"/>
          <w:sz w:val="28"/>
          <w:szCs w:val="28"/>
          <w:highlight w:val="none"/>
          <w:lang w:val="en-US" w:eastAsia="zh-CN"/>
        </w:rPr>
      </w:pPr>
    </w:p>
    <w:p w14:paraId="2D66CE5F">
      <w:pPr>
        <w:keepNext w:val="0"/>
        <w:keepLines w:val="0"/>
        <w:pageBreakBefore w:val="0"/>
        <w:kinsoku/>
        <w:wordWrap/>
        <w:overflowPunct/>
        <w:topLinePunct w:val="0"/>
        <w:autoSpaceDE/>
        <w:autoSpaceDN/>
        <w:bidi w:val="0"/>
        <w:spacing w:line="560" w:lineRule="exact"/>
        <w:ind w:left="0" w:leftChars="0" w:right="0" w:rightChars="0" w:firstLine="0" w:firstLineChars="0"/>
        <w:jc w:val="center"/>
        <w:textAlignment w:val="auto"/>
        <w:outlineLvl w:val="9"/>
        <w:rPr>
          <w:color w:val="auto"/>
        </w:rPr>
      </w:pPr>
      <w:r>
        <w:rPr>
          <w:rFonts w:hint="eastAsia" w:ascii="宋体" w:hAnsi="宋体" w:eastAsia="宋体" w:cs="宋体"/>
          <w:b/>
          <w:bCs/>
          <w:color w:val="auto"/>
          <w:sz w:val="28"/>
          <w:szCs w:val="28"/>
          <w:highlight w:val="none"/>
          <w:lang w:val="en-US" w:eastAsia="zh-CN"/>
        </w:rPr>
        <w:t>关于符合本国产品标准的声明函</w:t>
      </w:r>
    </w:p>
    <w:p w14:paraId="02B9884D">
      <w:pPr>
        <w:pageBreakBefore w:val="0"/>
        <w:widowControl/>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本公司（单位）郑重声明，根据《国务院办公厅关于在政府采购中实施本国产品标准及相关政策的通知》（国办发〔2025〕34号）的规定，本公司（单位）提供的以下产品属于本国产品。具体情况如下：</w:t>
      </w:r>
    </w:p>
    <w:p w14:paraId="3B3816B1">
      <w:pPr>
        <w:pageBreakBefore w:val="0"/>
        <w:widowControl/>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产品名称1）1，生产厂为（厂名）2，厂址为（生产厂址）。（产品名称1）的中国境内生产的组件成本占比≥（规定比例）3。（产品名称1）的（关键组件）4在中国境内生产。（产品名称1）的（关键工序）5在中国境内完成。</w:t>
      </w:r>
    </w:p>
    <w:p w14:paraId="067DFD5D">
      <w:pPr>
        <w:pageBreakBefore w:val="0"/>
        <w:widowControl/>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产品名称2），生产厂为（厂名），厂址为（生产厂址）。（产品名称2）的中国境内生产的组件成本占比≥（规定比例）。（产品名称2）的（关键组件）在中国境内生产。（产品名称2）的（关键工序）在中国境内完成。</w:t>
      </w:r>
    </w:p>
    <w:p w14:paraId="71F8AB34">
      <w:pPr>
        <w:pageBreakBefore w:val="0"/>
        <w:widowControl/>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p>
    <w:p w14:paraId="4D61E48B">
      <w:pPr>
        <w:pageBreakBefore w:val="0"/>
        <w:widowControl/>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本公司（单位）对上述声明内容的真实性负责。如有虚假，愿承担相应法律责任。</w:t>
      </w:r>
    </w:p>
    <w:p w14:paraId="456B236A">
      <w:pPr>
        <w:pageBreakBefore w:val="0"/>
        <w:widowControl/>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w:t>
      </w:r>
    </w:p>
    <w:p w14:paraId="4EC5E559">
      <w:pPr>
        <w:pageBreakBefore w:val="0"/>
        <w:widowControl/>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公司（单位）名称（盖章）：　        </w:t>
      </w:r>
    </w:p>
    <w:p w14:paraId="7F794D0A">
      <w:pPr>
        <w:pageBreakBefore w:val="0"/>
        <w:widowControl/>
        <w:kinsoku/>
        <w:wordWrap/>
        <w:overflowPunct/>
        <w:topLinePunct w:val="0"/>
        <w:autoSpaceDE/>
        <w:autoSpaceDN/>
        <w:bidi w:val="0"/>
        <w:adjustRightInd/>
        <w:snapToGrid/>
        <w:spacing w:beforeAutospacing="0" w:afterAutospacing="0" w:line="560" w:lineRule="exact"/>
        <w:jc w:val="left"/>
        <w:textAlignment w:val="auto"/>
        <w:rPr>
          <w:color w:val="auto"/>
          <w:sz w:val="24"/>
          <w:szCs w:val="24"/>
        </w:rPr>
      </w:pPr>
      <w:r>
        <w:rPr>
          <w:rFonts w:hint="eastAsia" w:ascii="宋体" w:hAnsi="宋体" w:eastAsia="宋体" w:cs="宋体"/>
          <w:color w:val="auto"/>
          <w:kern w:val="0"/>
          <w:sz w:val="24"/>
          <w:szCs w:val="24"/>
        </w:rPr>
        <w:t>日期：　     年　  月　  日   </w:t>
      </w:r>
      <w:r>
        <w:rPr>
          <w:rFonts w:hint="eastAsia" w:ascii="微软雅黑" w:hAnsi="微软雅黑" w:eastAsia="微软雅黑" w:cs="微软雅黑"/>
          <w:i w:val="0"/>
          <w:iCs w:val="0"/>
          <w:caps w:val="0"/>
          <w:color w:val="auto"/>
          <w:spacing w:val="0"/>
          <w:sz w:val="24"/>
          <w:szCs w:val="24"/>
        </w:rPr>
        <w:t>      </w:t>
      </w:r>
    </w:p>
    <w:p w14:paraId="2E7E209A">
      <w:pPr>
        <w:pStyle w:val="3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ind w:left="0" w:right="0" w:firstLine="0"/>
        <w:jc w:val="both"/>
        <w:rPr>
          <w:color w:val="auto"/>
          <w:sz w:val="24"/>
          <w:szCs w:val="24"/>
        </w:rPr>
      </w:pPr>
      <w:r>
        <w:rPr>
          <w:rFonts w:hint="eastAsia" w:ascii="微软雅黑" w:hAnsi="微软雅黑" w:eastAsia="微软雅黑" w:cs="微软雅黑"/>
          <w:i w:val="0"/>
          <w:iCs w:val="0"/>
          <w:caps w:val="0"/>
          <w:color w:val="auto"/>
          <w:spacing w:val="0"/>
          <w:sz w:val="24"/>
          <w:szCs w:val="24"/>
        </w:rPr>
        <w:t>__________________</w:t>
      </w:r>
    </w:p>
    <w:p w14:paraId="6D72D73C">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1.产品如有型号，请在“产品名称”栏一并填写。</w:t>
      </w:r>
    </w:p>
    <w:p w14:paraId="5662C938">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2.生产厂名与厂址应与生产厂营业执照载明的相关信息保持一致。</w:t>
      </w:r>
    </w:p>
    <w:p w14:paraId="200CA111">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3.该产品的中国境内生产的组件成本占比相关要求实施前，“规定比例”栏可不填，下同。</w:t>
      </w:r>
    </w:p>
    <w:p w14:paraId="43B40BD2">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4.该产品的关键组件要求实施前，“关键组件”栏可不填，下同。</w:t>
      </w:r>
    </w:p>
    <w:p w14:paraId="60EE3295">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sz w:val="24"/>
          <w:szCs w:val="24"/>
          <w:u w:val="single"/>
        </w:rPr>
      </w:pPr>
      <w:r>
        <w:rPr>
          <w:rFonts w:hint="eastAsia" w:ascii="宋体" w:hAnsi="宋体" w:eastAsia="宋体" w:cs="宋体"/>
          <w:color w:val="auto"/>
          <w:kern w:val="0"/>
          <w:sz w:val="24"/>
          <w:szCs w:val="24"/>
          <w:lang w:val="en-US" w:eastAsia="zh-CN"/>
        </w:rPr>
        <w:t xml:space="preserve">5.该产品的关键工序要求实施前，“关键工序”栏可不填，下同。 </w:t>
      </w:r>
      <w:r>
        <w:rPr>
          <w:rFonts w:hint="eastAsia" w:ascii="宋体" w:hAnsi="宋体" w:eastAsia="宋体" w:cs="宋体"/>
          <w:color w:val="auto"/>
          <w:sz w:val="24"/>
          <w:szCs w:val="24"/>
          <w:u w:val="single"/>
        </w:rPr>
        <w:t xml:space="preserve">  </w:t>
      </w:r>
      <w:bookmarkStart w:id="408" w:name="_Toc20580_WPSOffice_Level2"/>
    </w:p>
    <w:p w14:paraId="5A455EAB">
      <w:pPr>
        <w:pStyle w:val="4"/>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格式3-8：小型微型企业产品、环境标志产品、节能产品、进口产品明细表</w:t>
      </w:r>
      <w:bookmarkEnd w:id="408"/>
    </w:p>
    <w:p w14:paraId="3790993D">
      <w:pPr>
        <w:pStyle w:val="32"/>
        <w:pageBreakBefore w:val="0"/>
        <w:kinsoku/>
        <w:wordWrap/>
        <w:overflowPunct/>
        <w:topLinePunct w:val="0"/>
        <w:bidi w:val="0"/>
        <w:spacing w:line="560" w:lineRule="exact"/>
        <w:jc w:val="center"/>
        <w:textAlignment w:val="auto"/>
        <w:outlineLvl w:val="9"/>
        <w:rPr>
          <w:rFonts w:hint="eastAsia" w:ascii="宋体" w:hAnsi="宋体" w:eastAsia="宋体" w:cs="宋体"/>
          <w:b/>
          <w:bCs/>
          <w:color w:val="auto"/>
          <w:spacing w:val="0"/>
          <w:kern w:val="0"/>
          <w:sz w:val="24"/>
          <w:szCs w:val="24"/>
          <w:lang w:val="en-US" w:eastAsia="zh-CN" w:bidi="ar-SA"/>
        </w:rPr>
      </w:pPr>
      <w:r>
        <w:rPr>
          <w:rFonts w:hint="eastAsia" w:ascii="宋体" w:hAnsi="宋体" w:eastAsia="宋体" w:cs="宋体"/>
          <w:b/>
          <w:bCs/>
          <w:color w:val="auto"/>
          <w:spacing w:val="0"/>
          <w:kern w:val="0"/>
          <w:sz w:val="24"/>
          <w:szCs w:val="24"/>
          <w:lang w:val="en-US" w:eastAsia="zh-CN" w:bidi="ar-SA"/>
        </w:rPr>
        <w:t>小型、微型企业产品</w:t>
      </w:r>
    </w:p>
    <w:p w14:paraId="0D8B6707">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项目编号</w:t>
      </w: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项目名称</w:t>
      </w:r>
      <w:r>
        <w:rPr>
          <w:rFonts w:hint="eastAsia" w:ascii="宋体" w:hAnsi="宋体" w:eastAsia="宋体" w:cs="宋体"/>
          <w:color w:val="auto"/>
          <w:kern w:val="0"/>
          <w:sz w:val="24"/>
          <w:szCs w:val="24"/>
        </w:rPr>
        <w:t xml:space="preserve">：                             </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 xml:space="preserve"> 报价单位：人民币元       </w:t>
      </w:r>
    </w:p>
    <w:tbl>
      <w:tblPr>
        <w:tblStyle w:val="33"/>
        <w:tblpPr w:leftFromText="180" w:rightFromText="180" w:vertAnchor="text" w:horzAnchor="margin" w:tblpXSpec="center" w:tblpY="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418"/>
        <w:gridCol w:w="1275"/>
        <w:gridCol w:w="1970"/>
        <w:gridCol w:w="1528"/>
        <w:gridCol w:w="1050"/>
        <w:gridCol w:w="1140"/>
        <w:gridCol w:w="1057"/>
      </w:tblGrid>
      <w:tr w14:paraId="70489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17" w:type="dxa"/>
            <w:vMerge w:val="restart"/>
            <w:tcBorders>
              <w:top w:val="single" w:color="auto" w:sz="12" w:space="0"/>
              <w:left w:val="single" w:color="auto" w:sz="12" w:space="0"/>
              <w:bottom w:val="single" w:color="auto" w:sz="4" w:space="0"/>
              <w:right w:val="single" w:color="auto" w:sz="4" w:space="0"/>
            </w:tcBorders>
            <w:noWrap w:val="0"/>
            <w:vAlign w:val="center"/>
          </w:tcPr>
          <w:p w14:paraId="54167F3B">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编号</w:t>
            </w:r>
          </w:p>
        </w:tc>
        <w:tc>
          <w:tcPr>
            <w:tcW w:w="1418" w:type="dxa"/>
            <w:vMerge w:val="restart"/>
            <w:tcBorders>
              <w:top w:val="single" w:color="auto" w:sz="12" w:space="0"/>
              <w:left w:val="single" w:color="auto" w:sz="4" w:space="0"/>
              <w:bottom w:val="single" w:color="auto" w:sz="4" w:space="0"/>
              <w:right w:val="single" w:color="auto" w:sz="4" w:space="0"/>
            </w:tcBorders>
            <w:noWrap w:val="0"/>
            <w:vAlign w:val="center"/>
          </w:tcPr>
          <w:p w14:paraId="2C86E689">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货物名称</w:t>
            </w:r>
          </w:p>
        </w:tc>
        <w:tc>
          <w:tcPr>
            <w:tcW w:w="1275" w:type="dxa"/>
            <w:vMerge w:val="restart"/>
            <w:tcBorders>
              <w:top w:val="single" w:color="auto" w:sz="12" w:space="0"/>
              <w:left w:val="single" w:color="auto" w:sz="4" w:space="0"/>
              <w:bottom w:val="single" w:color="auto" w:sz="4" w:space="0"/>
              <w:right w:val="single" w:color="auto" w:sz="4" w:space="0"/>
            </w:tcBorders>
            <w:noWrap w:val="0"/>
            <w:vAlign w:val="center"/>
          </w:tcPr>
          <w:p w14:paraId="7356A3D9">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制造商</w:t>
            </w:r>
          </w:p>
        </w:tc>
        <w:tc>
          <w:tcPr>
            <w:tcW w:w="1970" w:type="dxa"/>
            <w:vMerge w:val="restart"/>
            <w:tcBorders>
              <w:top w:val="single" w:color="auto" w:sz="12" w:space="0"/>
              <w:left w:val="single" w:color="auto" w:sz="4" w:space="0"/>
              <w:bottom w:val="single" w:color="auto" w:sz="4" w:space="0"/>
              <w:right w:val="single" w:color="auto" w:sz="4" w:space="0"/>
            </w:tcBorders>
            <w:noWrap w:val="0"/>
            <w:vAlign w:val="center"/>
          </w:tcPr>
          <w:p w14:paraId="2B466F95">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品牌</w:t>
            </w:r>
          </w:p>
        </w:tc>
        <w:tc>
          <w:tcPr>
            <w:tcW w:w="1528" w:type="dxa"/>
            <w:vMerge w:val="restart"/>
            <w:tcBorders>
              <w:top w:val="single" w:color="auto" w:sz="12" w:space="0"/>
              <w:left w:val="single" w:color="auto" w:sz="4" w:space="0"/>
              <w:bottom w:val="single" w:color="auto" w:sz="4" w:space="0"/>
              <w:right w:val="single" w:color="auto" w:sz="4" w:space="0"/>
            </w:tcBorders>
            <w:noWrap w:val="0"/>
            <w:vAlign w:val="center"/>
          </w:tcPr>
          <w:p w14:paraId="7AC63B9A">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产品型号</w:t>
            </w:r>
          </w:p>
        </w:tc>
        <w:tc>
          <w:tcPr>
            <w:tcW w:w="3247" w:type="dxa"/>
            <w:gridSpan w:val="3"/>
            <w:tcBorders>
              <w:top w:val="single" w:color="auto" w:sz="12" w:space="0"/>
              <w:left w:val="single" w:color="auto" w:sz="4" w:space="0"/>
              <w:bottom w:val="single" w:color="auto" w:sz="4" w:space="0"/>
              <w:right w:val="single" w:color="auto" w:sz="12" w:space="0"/>
            </w:tcBorders>
            <w:noWrap w:val="0"/>
            <w:vAlign w:val="center"/>
          </w:tcPr>
          <w:p w14:paraId="35C457A6">
            <w:pPr>
              <w:pageBreakBefore w:val="0"/>
              <w:kinsoku/>
              <w:wordWrap/>
              <w:overflowPunct/>
              <w:topLinePunct w:val="0"/>
              <w:autoSpaceDE w:val="0"/>
              <w:autoSpaceDN w:val="0"/>
              <w:bidi w:val="0"/>
              <w:adjustRightInd w:val="0"/>
              <w:spacing w:line="560" w:lineRule="exact"/>
              <w:ind w:firstLine="1200" w:firstLineChars="50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价格</w:t>
            </w:r>
          </w:p>
        </w:tc>
      </w:tr>
      <w:tr w14:paraId="3D993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17" w:type="dxa"/>
            <w:vMerge w:val="continue"/>
            <w:tcBorders>
              <w:top w:val="single" w:color="auto" w:sz="12" w:space="0"/>
              <w:left w:val="single" w:color="auto" w:sz="12" w:space="0"/>
              <w:bottom w:val="single" w:color="auto" w:sz="4" w:space="0"/>
              <w:right w:val="single" w:color="auto" w:sz="4" w:space="0"/>
            </w:tcBorders>
            <w:noWrap w:val="0"/>
            <w:vAlign w:val="center"/>
          </w:tcPr>
          <w:p w14:paraId="522B8E27">
            <w:pPr>
              <w:pageBreakBefore w:val="0"/>
              <w:widowControl/>
              <w:kinsoku/>
              <w:wordWrap/>
              <w:overflowPunct/>
              <w:topLinePunct w:val="0"/>
              <w:bidi w:val="0"/>
              <w:spacing w:line="560" w:lineRule="exact"/>
              <w:jc w:val="left"/>
              <w:textAlignment w:val="auto"/>
              <w:outlineLvl w:val="9"/>
              <w:rPr>
                <w:rFonts w:hint="eastAsia" w:ascii="宋体" w:hAnsi="宋体" w:eastAsia="宋体" w:cs="宋体"/>
                <w:color w:val="auto"/>
                <w:kern w:val="0"/>
                <w:sz w:val="24"/>
                <w:szCs w:val="24"/>
              </w:rPr>
            </w:pPr>
          </w:p>
        </w:tc>
        <w:tc>
          <w:tcPr>
            <w:tcW w:w="1418" w:type="dxa"/>
            <w:vMerge w:val="continue"/>
            <w:tcBorders>
              <w:top w:val="single" w:color="auto" w:sz="12" w:space="0"/>
              <w:left w:val="single" w:color="auto" w:sz="4" w:space="0"/>
              <w:bottom w:val="single" w:color="auto" w:sz="4" w:space="0"/>
              <w:right w:val="single" w:color="auto" w:sz="4" w:space="0"/>
            </w:tcBorders>
            <w:noWrap w:val="0"/>
            <w:vAlign w:val="center"/>
          </w:tcPr>
          <w:p w14:paraId="7EDA6683">
            <w:pPr>
              <w:pageBreakBefore w:val="0"/>
              <w:widowControl/>
              <w:kinsoku/>
              <w:wordWrap/>
              <w:overflowPunct/>
              <w:topLinePunct w:val="0"/>
              <w:bidi w:val="0"/>
              <w:spacing w:line="560" w:lineRule="exact"/>
              <w:jc w:val="left"/>
              <w:textAlignment w:val="auto"/>
              <w:outlineLvl w:val="9"/>
              <w:rPr>
                <w:rFonts w:hint="eastAsia" w:ascii="宋体" w:hAnsi="宋体" w:eastAsia="宋体" w:cs="宋体"/>
                <w:color w:val="auto"/>
                <w:kern w:val="0"/>
                <w:sz w:val="24"/>
                <w:szCs w:val="24"/>
              </w:rPr>
            </w:pPr>
          </w:p>
        </w:tc>
        <w:tc>
          <w:tcPr>
            <w:tcW w:w="1275" w:type="dxa"/>
            <w:vMerge w:val="continue"/>
            <w:tcBorders>
              <w:top w:val="single" w:color="auto" w:sz="12" w:space="0"/>
              <w:left w:val="single" w:color="auto" w:sz="4" w:space="0"/>
              <w:bottom w:val="single" w:color="auto" w:sz="4" w:space="0"/>
              <w:right w:val="single" w:color="auto" w:sz="4" w:space="0"/>
            </w:tcBorders>
            <w:noWrap w:val="0"/>
            <w:vAlign w:val="center"/>
          </w:tcPr>
          <w:p w14:paraId="28B1C842">
            <w:pPr>
              <w:pageBreakBefore w:val="0"/>
              <w:widowControl/>
              <w:kinsoku/>
              <w:wordWrap/>
              <w:overflowPunct/>
              <w:topLinePunct w:val="0"/>
              <w:bidi w:val="0"/>
              <w:spacing w:line="560" w:lineRule="exact"/>
              <w:jc w:val="left"/>
              <w:textAlignment w:val="auto"/>
              <w:outlineLvl w:val="9"/>
              <w:rPr>
                <w:rFonts w:hint="eastAsia" w:ascii="宋体" w:hAnsi="宋体" w:eastAsia="宋体" w:cs="宋体"/>
                <w:color w:val="auto"/>
                <w:kern w:val="0"/>
                <w:sz w:val="24"/>
                <w:szCs w:val="24"/>
              </w:rPr>
            </w:pPr>
          </w:p>
        </w:tc>
        <w:tc>
          <w:tcPr>
            <w:tcW w:w="1970" w:type="dxa"/>
            <w:vMerge w:val="continue"/>
            <w:tcBorders>
              <w:top w:val="single" w:color="auto" w:sz="12" w:space="0"/>
              <w:left w:val="single" w:color="auto" w:sz="4" w:space="0"/>
              <w:bottom w:val="single" w:color="auto" w:sz="4" w:space="0"/>
              <w:right w:val="single" w:color="auto" w:sz="4" w:space="0"/>
            </w:tcBorders>
            <w:noWrap w:val="0"/>
            <w:vAlign w:val="center"/>
          </w:tcPr>
          <w:p w14:paraId="09CB69C8">
            <w:pPr>
              <w:pageBreakBefore w:val="0"/>
              <w:widowControl/>
              <w:kinsoku/>
              <w:wordWrap/>
              <w:overflowPunct/>
              <w:topLinePunct w:val="0"/>
              <w:bidi w:val="0"/>
              <w:spacing w:line="560" w:lineRule="exact"/>
              <w:jc w:val="left"/>
              <w:textAlignment w:val="auto"/>
              <w:outlineLvl w:val="9"/>
              <w:rPr>
                <w:rFonts w:hint="eastAsia" w:ascii="宋体" w:hAnsi="宋体" w:eastAsia="宋体" w:cs="宋体"/>
                <w:color w:val="auto"/>
                <w:kern w:val="0"/>
                <w:sz w:val="24"/>
                <w:szCs w:val="24"/>
              </w:rPr>
            </w:pPr>
          </w:p>
        </w:tc>
        <w:tc>
          <w:tcPr>
            <w:tcW w:w="1528" w:type="dxa"/>
            <w:vMerge w:val="continue"/>
            <w:tcBorders>
              <w:top w:val="single" w:color="auto" w:sz="12" w:space="0"/>
              <w:left w:val="single" w:color="auto" w:sz="4" w:space="0"/>
              <w:bottom w:val="single" w:color="auto" w:sz="4" w:space="0"/>
              <w:right w:val="single" w:color="auto" w:sz="4" w:space="0"/>
            </w:tcBorders>
            <w:noWrap w:val="0"/>
            <w:vAlign w:val="center"/>
          </w:tcPr>
          <w:p w14:paraId="60284FCD">
            <w:pPr>
              <w:pageBreakBefore w:val="0"/>
              <w:widowControl/>
              <w:kinsoku/>
              <w:wordWrap/>
              <w:overflowPunct/>
              <w:topLinePunct w:val="0"/>
              <w:bidi w:val="0"/>
              <w:spacing w:line="560" w:lineRule="exact"/>
              <w:jc w:val="left"/>
              <w:textAlignment w:val="auto"/>
              <w:outlineLvl w:val="9"/>
              <w:rPr>
                <w:rFonts w:hint="eastAsia" w:ascii="宋体" w:hAnsi="宋体" w:eastAsia="宋体" w:cs="宋体"/>
                <w:color w:val="auto"/>
                <w:kern w:val="0"/>
                <w:sz w:val="24"/>
                <w:szCs w:val="24"/>
              </w:rPr>
            </w:pPr>
          </w:p>
        </w:tc>
        <w:tc>
          <w:tcPr>
            <w:tcW w:w="1050" w:type="dxa"/>
            <w:tcBorders>
              <w:top w:val="single" w:color="auto" w:sz="4" w:space="0"/>
              <w:left w:val="single" w:color="auto" w:sz="4" w:space="0"/>
              <w:bottom w:val="single" w:color="auto" w:sz="4" w:space="0"/>
              <w:right w:val="single" w:color="auto" w:sz="4" w:space="0"/>
            </w:tcBorders>
            <w:noWrap w:val="0"/>
            <w:vAlign w:val="center"/>
          </w:tcPr>
          <w:p w14:paraId="69A10BDF">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单价</w:t>
            </w:r>
          </w:p>
        </w:tc>
        <w:tc>
          <w:tcPr>
            <w:tcW w:w="1140" w:type="dxa"/>
            <w:tcBorders>
              <w:top w:val="single" w:color="auto" w:sz="4" w:space="0"/>
              <w:left w:val="single" w:color="auto" w:sz="4" w:space="0"/>
              <w:bottom w:val="single" w:color="auto" w:sz="4" w:space="0"/>
              <w:right w:val="single" w:color="auto" w:sz="4" w:space="0"/>
            </w:tcBorders>
            <w:noWrap w:val="0"/>
            <w:vAlign w:val="center"/>
          </w:tcPr>
          <w:p w14:paraId="37624C3A">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数量</w:t>
            </w:r>
          </w:p>
        </w:tc>
        <w:tc>
          <w:tcPr>
            <w:tcW w:w="1057" w:type="dxa"/>
            <w:tcBorders>
              <w:top w:val="single" w:color="auto" w:sz="4" w:space="0"/>
              <w:left w:val="single" w:color="auto" w:sz="4" w:space="0"/>
              <w:bottom w:val="single" w:color="auto" w:sz="4" w:space="0"/>
              <w:right w:val="single" w:color="auto" w:sz="12" w:space="0"/>
            </w:tcBorders>
            <w:noWrap w:val="0"/>
            <w:vAlign w:val="center"/>
          </w:tcPr>
          <w:p w14:paraId="24F9F07B">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小计</w:t>
            </w:r>
          </w:p>
        </w:tc>
      </w:tr>
      <w:tr w14:paraId="11AA1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817" w:type="dxa"/>
            <w:tcBorders>
              <w:top w:val="single" w:color="auto" w:sz="4" w:space="0"/>
              <w:left w:val="single" w:color="auto" w:sz="12" w:space="0"/>
              <w:bottom w:val="single" w:color="auto" w:sz="4" w:space="0"/>
              <w:right w:val="single" w:color="auto" w:sz="4" w:space="0"/>
            </w:tcBorders>
            <w:noWrap w:val="0"/>
            <w:vAlign w:val="top"/>
          </w:tcPr>
          <w:p w14:paraId="322DDC71">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p w14:paraId="1C0A4DCC">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c>
          <w:tcPr>
            <w:tcW w:w="1418" w:type="dxa"/>
            <w:tcBorders>
              <w:top w:val="single" w:color="auto" w:sz="4" w:space="0"/>
              <w:left w:val="single" w:color="auto" w:sz="4" w:space="0"/>
              <w:bottom w:val="single" w:color="auto" w:sz="4" w:space="0"/>
              <w:right w:val="single" w:color="auto" w:sz="4" w:space="0"/>
            </w:tcBorders>
            <w:noWrap w:val="0"/>
            <w:vAlign w:val="top"/>
          </w:tcPr>
          <w:p w14:paraId="17B124C7">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275" w:type="dxa"/>
            <w:tcBorders>
              <w:top w:val="single" w:color="auto" w:sz="4" w:space="0"/>
              <w:left w:val="single" w:color="auto" w:sz="4" w:space="0"/>
              <w:bottom w:val="single" w:color="auto" w:sz="4" w:space="0"/>
              <w:right w:val="single" w:color="auto" w:sz="4" w:space="0"/>
            </w:tcBorders>
            <w:noWrap w:val="0"/>
            <w:vAlign w:val="top"/>
          </w:tcPr>
          <w:p w14:paraId="22F3E5A6">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top"/>
          </w:tcPr>
          <w:p w14:paraId="23109757">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528" w:type="dxa"/>
            <w:tcBorders>
              <w:top w:val="single" w:color="auto" w:sz="4" w:space="0"/>
              <w:left w:val="single" w:color="auto" w:sz="4" w:space="0"/>
              <w:bottom w:val="single" w:color="auto" w:sz="4" w:space="0"/>
              <w:right w:val="single" w:color="auto" w:sz="4" w:space="0"/>
            </w:tcBorders>
            <w:noWrap w:val="0"/>
            <w:vAlign w:val="top"/>
          </w:tcPr>
          <w:p w14:paraId="7368E4BC">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050" w:type="dxa"/>
            <w:tcBorders>
              <w:top w:val="single" w:color="auto" w:sz="4" w:space="0"/>
              <w:left w:val="single" w:color="auto" w:sz="4" w:space="0"/>
              <w:bottom w:val="single" w:color="auto" w:sz="4" w:space="0"/>
              <w:right w:val="single" w:color="auto" w:sz="4" w:space="0"/>
            </w:tcBorders>
            <w:noWrap w:val="0"/>
            <w:vAlign w:val="top"/>
          </w:tcPr>
          <w:p w14:paraId="22C7C7E9">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140" w:type="dxa"/>
            <w:tcBorders>
              <w:top w:val="single" w:color="auto" w:sz="4" w:space="0"/>
              <w:left w:val="single" w:color="auto" w:sz="4" w:space="0"/>
              <w:bottom w:val="single" w:color="auto" w:sz="4" w:space="0"/>
              <w:right w:val="single" w:color="auto" w:sz="4" w:space="0"/>
            </w:tcBorders>
            <w:noWrap w:val="0"/>
            <w:vAlign w:val="top"/>
          </w:tcPr>
          <w:p w14:paraId="2FD4618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057" w:type="dxa"/>
            <w:tcBorders>
              <w:top w:val="single" w:color="auto" w:sz="4" w:space="0"/>
              <w:left w:val="single" w:color="auto" w:sz="4" w:space="0"/>
              <w:bottom w:val="single" w:color="auto" w:sz="4" w:space="0"/>
              <w:right w:val="single" w:color="auto" w:sz="12" w:space="0"/>
            </w:tcBorders>
            <w:noWrap w:val="0"/>
            <w:vAlign w:val="top"/>
          </w:tcPr>
          <w:p w14:paraId="3E934A5B">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r>
      <w:tr w14:paraId="0E89E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817" w:type="dxa"/>
            <w:tcBorders>
              <w:top w:val="single" w:color="auto" w:sz="4" w:space="0"/>
              <w:left w:val="single" w:color="auto" w:sz="12" w:space="0"/>
              <w:bottom w:val="single" w:color="auto" w:sz="4" w:space="0"/>
              <w:right w:val="single" w:color="auto" w:sz="4" w:space="0"/>
            </w:tcBorders>
            <w:noWrap w:val="0"/>
            <w:vAlign w:val="top"/>
          </w:tcPr>
          <w:p w14:paraId="100D075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p w14:paraId="1927CA73">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p>
        </w:tc>
        <w:tc>
          <w:tcPr>
            <w:tcW w:w="1418" w:type="dxa"/>
            <w:tcBorders>
              <w:top w:val="single" w:color="auto" w:sz="4" w:space="0"/>
              <w:left w:val="single" w:color="auto" w:sz="4" w:space="0"/>
              <w:bottom w:val="single" w:color="auto" w:sz="4" w:space="0"/>
              <w:right w:val="single" w:color="auto" w:sz="4" w:space="0"/>
            </w:tcBorders>
            <w:noWrap w:val="0"/>
            <w:vAlign w:val="top"/>
          </w:tcPr>
          <w:p w14:paraId="35961D9B">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275" w:type="dxa"/>
            <w:tcBorders>
              <w:top w:val="single" w:color="auto" w:sz="4" w:space="0"/>
              <w:left w:val="single" w:color="auto" w:sz="4" w:space="0"/>
              <w:bottom w:val="single" w:color="auto" w:sz="4" w:space="0"/>
              <w:right w:val="single" w:color="auto" w:sz="4" w:space="0"/>
            </w:tcBorders>
            <w:noWrap w:val="0"/>
            <w:vAlign w:val="top"/>
          </w:tcPr>
          <w:p w14:paraId="2FB755BA">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top"/>
          </w:tcPr>
          <w:p w14:paraId="652ACC31">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528" w:type="dxa"/>
            <w:tcBorders>
              <w:top w:val="single" w:color="auto" w:sz="4" w:space="0"/>
              <w:left w:val="single" w:color="auto" w:sz="4" w:space="0"/>
              <w:bottom w:val="single" w:color="auto" w:sz="4" w:space="0"/>
              <w:right w:val="single" w:color="auto" w:sz="4" w:space="0"/>
            </w:tcBorders>
            <w:noWrap w:val="0"/>
            <w:vAlign w:val="top"/>
          </w:tcPr>
          <w:p w14:paraId="0126F6AC">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050" w:type="dxa"/>
            <w:tcBorders>
              <w:top w:val="single" w:color="auto" w:sz="4" w:space="0"/>
              <w:left w:val="single" w:color="auto" w:sz="4" w:space="0"/>
              <w:bottom w:val="single" w:color="auto" w:sz="4" w:space="0"/>
              <w:right w:val="single" w:color="auto" w:sz="4" w:space="0"/>
            </w:tcBorders>
            <w:noWrap w:val="0"/>
            <w:vAlign w:val="top"/>
          </w:tcPr>
          <w:p w14:paraId="50723046">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140" w:type="dxa"/>
            <w:tcBorders>
              <w:top w:val="single" w:color="auto" w:sz="4" w:space="0"/>
              <w:left w:val="single" w:color="auto" w:sz="4" w:space="0"/>
              <w:bottom w:val="single" w:color="auto" w:sz="4" w:space="0"/>
              <w:right w:val="single" w:color="auto" w:sz="4" w:space="0"/>
            </w:tcBorders>
            <w:noWrap w:val="0"/>
            <w:vAlign w:val="top"/>
          </w:tcPr>
          <w:p w14:paraId="59A8475B">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057" w:type="dxa"/>
            <w:tcBorders>
              <w:top w:val="single" w:color="auto" w:sz="4" w:space="0"/>
              <w:left w:val="single" w:color="auto" w:sz="4" w:space="0"/>
              <w:bottom w:val="single" w:color="auto" w:sz="4" w:space="0"/>
              <w:right w:val="single" w:color="auto" w:sz="12" w:space="0"/>
            </w:tcBorders>
            <w:noWrap w:val="0"/>
            <w:vAlign w:val="top"/>
          </w:tcPr>
          <w:p w14:paraId="3320E853">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r>
      <w:tr w14:paraId="153E4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817" w:type="dxa"/>
            <w:tcBorders>
              <w:top w:val="single" w:color="auto" w:sz="4" w:space="0"/>
              <w:left w:val="single" w:color="auto" w:sz="12" w:space="0"/>
              <w:bottom w:val="single" w:color="auto" w:sz="4" w:space="0"/>
              <w:right w:val="single" w:color="auto" w:sz="4" w:space="0"/>
            </w:tcBorders>
            <w:noWrap w:val="0"/>
            <w:vAlign w:val="top"/>
          </w:tcPr>
          <w:p w14:paraId="6ADF56C5">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p w14:paraId="03832164">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w:t>
            </w:r>
          </w:p>
        </w:tc>
        <w:tc>
          <w:tcPr>
            <w:tcW w:w="1418" w:type="dxa"/>
            <w:tcBorders>
              <w:top w:val="single" w:color="auto" w:sz="4" w:space="0"/>
              <w:left w:val="single" w:color="auto" w:sz="4" w:space="0"/>
              <w:bottom w:val="single" w:color="auto" w:sz="4" w:space="0"/>
              <w:right w:val="single" w:color="auto" w:sz="4" w:space="0"/>
            </w:tcBorders>
            <w:noWrap w:val="0"/>
            <w:vAlign w:val="top"/>
          </w:tcPr>
          <w:p w14:paraId="4EE9723B">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p w14:paraId="40739287">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p>
        </w:tc>
        <w:tc>
          <w:tcPr>
            <w:tcW w:w="1275" w:type="dxa"/>
            <w:tcBorders>
              <w:top w:val="single" w:color="auto" w:sz="4" w:space="0"/>
              <w:left w:val="single" w:color="auto" w:sz="4" w:space="0"/>
              <w:bottom w:val="single" w:color="auto" w:sz="4" w:space="0"/>
              <w:right w:val="single" w:color="auto" w:sz="4" w:space="0"/>
            </w:tcBorders>
            <w:noWrap w:val="0"/>
            <w:vAlign w:val="top"/>
          </w:tcPr>
          <w:p w14:paraId="2A23FCDD">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top"/>
          </w:tcPr>
          <w:p w14:paraId="2A64CE7E">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528" w:type="dxa"/>
            <w:tcBorders>
              <w:top w:val="single" w:color="auto" w:sz="4" w:space="0"/>
              <w:left w:val="single" w:color="auto" w:sz="4" w:space="0"/>
              <w:bottom w:val="single" w:color="auto" w:sz="4" w:space="0"/>
              <w:right w:val="single" w:color="auto" w:sz="4" w:space="0"/>
            </w:tcBorders>
            <w:noWrap w:val="0"/>
            <w:vAlign w:val="top"/>
          </w:tcPr>
          <w:p w14:paraId="39C3F97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050" w:type="dxa"/>
            <w:tcBorders>
              <w:top w:val="single" w:color="auto" w:sz="4" w:space="0"/>
              <w:left w:val="single" w:color="auto" w:sz="4" w:space="0"/>
              <w:bottom w:val="single" w:color="auto" w:sz="4" w:space="0"/>
              <w:right w:val="single" w:color="auto" w:sz="4" w:space="0"/>
            </w:tcBorders>
            <w:noWrap w:val="0"/>
            <w:vAlign w:val="top"/>
          </w:tcPr>
          <w:p w14:paraId="3D19141C">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140" w:type="dxa"/>
            <w:tcBorders>
              <w:top w:val="single" w:color="auto" w:sz="4" w:space="0"/>
              <w:left w:val="single" w:color="auto" w:sz="4" w:space="0"/>
              <w:bottom w:val="single" w:color="auto" w:sz="4" w:space="0"/>
              <w:right w:val="single" w:color="auto" w:sz="4" w:space="0"/>
            </w:tcBorders>
            <w:noWrap w:val="0"/>
            <w:vAlign w:val="top"/>
          </w:tcPr>
          <w:p w14:paraId="0C4D9530">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057" w:type="dxa"/>
            <w:tcBorders>
              <w:top w:val="single" w:color="auto" w:sz="4" w:space="0"/>
              <w:left w:val="single" w:color="auto" w:sz="4" w:space="0"/>
              <w:bottom w:val="single" w:color="auto" w:sz="4" w:space="0"/>
              <w:right w:val="single" w:color="auto" w:sz="12" w:space="0"/>
            </w:tcBorders>
            <w:noWrap w:val="0"/>
            <w:vAlign w:val="top"/>
          </w:tcPr>
          <w:p w14:paraId="684DE2F5">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r>
    </w:tbl>
    <w:p w14:paraId="0A850966">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说明：如所报货物为小型、微型企业产品，必须按要求逐项填写，否则评</w:t>
      </w:r>
      <w:r>
        <w:rPr>
          <w:rFonts w:hint="eastAsia" w:ascii="宋体" w:hAnsi="宋体" w:eastAsia="宋体" w:cs="宋体"/>
          <w:color w:val="auto"/>
          <w:kern w:val="0"/>
          <w:sz w:val="24"/>
          <w:szCs w:val="24"/>
          <w:lang w:val="en-US" w:eastAsia="zh-CN"/>
        </w:rPr>
        <w:t>审</w:t>
      </w:r>
      <w:r>
        <w:rPr>
          <w:rFonts w:hint="eastAsia" w:ascii="宋体" w:hAnsi="宋体" w:eastAsia="宋体" w:cs="宋体"/>
          <w:color w:val="auto"/>
          <w:kern w:val="0"/>
          <w:sz w:val="24"/>
          <w:szCs w:val="24"/>
        </w:rPr>
        <w:t>时不予价格扣除。</w:t>
      </w:r>
    </w:p>
    <w:p w14:paraId="7DA83440">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  </w:t>
      </w:r>
    </w:p>
    <w:p w14:paraId="2E8DBDBF">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u w:val="none"/>
        </w:rPr>
      </w:pPr>
      <w:bookmarkStart w:id="409" w:name="_Toc7026"/>
      <w:bookmarkStart w:id="410" w:name="_Toc4767_WPSOffice_Level2"/>
      <w:bookmarkStart w:id="411" w:name="_Toc46238285"/>
      <w:bookmarkStart w:id="412" w:name="_Toc46136868"/>
      <w:r>
        <w:rPr>
          <w:rFonts w:hint="eastAsia" w:ascii="宋体" w:hAnsi="宋体" w:eastAsia="宋体" w:cs="宋体"/>
          <w:b/>
          <w:bCs/>
          <w:color w:val="auto"/>
          <w:sz w:val="24"/>
          <w:szCs w:val="24"/>
          <w:u w:val="none"/>
        </w:rPr>
        <w:t>环境标志产品明细表</w:t>
      </w:r>
      <w:bookmarkEnd w:id="409"/>
      <w:bookmarkEnd w:id="410"/>
      <w:bookmarkEnd w:id="411"/>
      <w:bookmarkEnd w:id="412"/>
    </w:p>
    <w:p w14:paraId="71F3DB6B">
      <w:pPr>
        <w:pageBreakBefore w:val="0"/>
        <w:kinsoku/>
        <w:wordWrap/>
        <w:overflowPunct/>
        <w:topLinePunct w:val="0"/>
        <w:autoSpaceDE w:val="0"/>
        <w:autoSpaceDN w:val="0"/>
        <w:bidi w:val="0"/>
        <w:adjustRightInd w:val="0"/>
        <w:spacing w:line="560" w:lineRule="exact"/>
        <w:jc w:val="center"/>
        <w:textAlignment w:val="auto"/>
        <w:outlineLvl w:val="9"/>
        <w:rPr>
          <w:rFonts w:hint="eastAsia" w:ascii="宋体" w:hAnsi="宋体" w:eastAsia="宋体" w:cs="宋体"/>
          <w:b/>
          <w:color w:val="auto"/>
          <w:kern w:val="0"/>
          <w:sz w:val="24"/>
          <w:szCs w:val="24"/>
        </w:rPr>
      </w:pPr>
    </w:p>
    <w:p w14:paraId="6B1D1C2A">
      <w:pPr>
        <w:pageBreakBefore w:val="0"/>
        <w:kinsoku/>
        <w:wordWrap/>
        <w:overflowPunct/>
        <w:topLinePunct w:val="0"/>
        <w:autoSpaceDE w:val="0"/>
        <w:autoSpaceDN w:val="0"/>
        <w:bidi w:val="0"/>
        <w:adjustRightInd w:val="0"/>
        <w:spacing w:line="560" w:lineRule="exact"/>
        <w:jc w:val="center"/>
        <w:textAlignment w:val="auto"/>
        <w:outlineLvl w:val="9"/>
        <w:rPr>
          <w:rFonts w:hint="eastAsia" w:ascii="宋体" w:hAnsi="宋体" w:eastAsia="宋体" w:cs="宋体"/>
          <w:b/>
          <w:color w:val="auto"/>
          <w:kern w:val="0"/>
          <w:sz w:val="24"/>
          <w:szCs w:val="24"/>
        </w:rPr>
      </w:pPr>
    </w:p>
    <w:p w14:paraId="030B2CE5">
      <w:pPr>
        <w:pageBreakBefore w:val="0"/>
        <w:kinsoku/>
        <w:wordWrap/>
        <w:overflowPunct/>
        <w:topLinePunct w:val="0"/>
        <w:autoSpaceDE w:val="0"/>
        <w:autoSpaceDN w:val="0"/>
        <w:bidi w:val="0"/>
        <w:adjustRightInd w:val="0"/>
        <w:spacing w:line="560" w:lineRule="exact"/>
        <w:ind w:firstLine="240" w:firstLineChars="10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项目编号</w:t>
      </w: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项目名称</w:t>
      </w:r>
      <w:r>
        <w:rPr>
          <w:rFonts w:hint="eastAsia" w:ascii="宋体" w:hAnsi="宋体" w:eastAsia="宋体" w:cs="宋体"/>
          <w:color w:val="auto"/>
          <w:kern w:val="0"/>
          <w:sz w:val="24"/>
          <w:szCs w:val="24"/>
        </w:rPr>
        <w:t xml:space="preserve">：                               </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报价单位：人民币元</w:t>
      </w:r>
    </w:p>
    <w:tbl>
      <w:tblPr>
        <w:tblStyle w:val="33"/>
        <w:tblpPr w:leftFromText="180" w:rightFromText="180" w:vertAnchor="text" w:horzAnchor="margin" w:tblpXSpec="center" w:tblpY="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3"/>
        <w:gridCol w:w="1591"/>
        <w:gridCol w:w="1592"/>
        <w:gridCol w:w="3455"/>
        <w:gridCol w:w="962"/>
        <w:gridCol w:w="962"/>
        <w:gridCol w:w="963"/>
      </w:tblGrid>
      <w:tr w14:paraId="7D629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73" w:type="dxa"/>
            <w:vMerge w:val="restart"/>
            <w:tcBorders>
              <w:top w:val="single" w:color="auto" w:sz="12" w:space="0"/>
              <w:left w:val="single" w:color="auto" w:sz="12" w:space="0"/>
              <w:bottom w:val="single" w:color="auto" w:sz="4" w:space="0"/>
              <w:right w:val="single" w:color="auto" w:sz="4" w:space="0"/>
            </w:tcBorders>
            <w:noWrap w:val="0"/>
            <w:vAlign w:val="center"/>
          </w:tcPr>
          <w:p w14:paraId="6B2ED461">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编号</w:t>
            </w:r>
          </w:p>
        </w:tc>
        <w:tc>
          <w:tcPr>
            <w:tcW w:w="1591" w:type="dxa"/>
            <w:vMerge w:val="restart"/>
            <w:tcBorders>
              <w:top w:val="single" w:color="auto" w:sz="12" w:space="0"/>
              <w:left w:val="single" w:color="auto" w:sz="4" w:space="0"/>
              <w:bottom w:val="single" w:color="auto" w:sz="4" w:space="0"/>
              <w:right w:val="single" w:color="auto" w:sz="4" w:space="0"/>
            </w:tcBorders>
            <w:noWrap w:val="0"/>
            <w:vAlign w:val="center"/>
          </w:tcPr>
          <w:p w14:paraId="58640FE6">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货物名称</w:t>
            </w:r>
          </w:p>
        </w:tc>
        <w:tc>
          <w:tcPr>
            <w:tcW w:w="1592" w:type="dxa"/>
            <w:vMerge w:val="restart"/>
            <w:tcBorders>
              <w:top w:val="single" w:color="auto" w:sz="12" w:space="0"/>
              <w:left w:val="single" w:color="auto" w:sz="4" w:space="0"/>
              <w:bottom w:val="single" w:color="auto" w:sz="4" w:space="0"/>
              <w:right w:val="single" w:color="auto" w:sz="4" w:space="0"/>
            </w:tcBorders>
            <w:noWrap w:val="0"/>
            <w:vAlign w:val="center"/>
          </w:tcPr>
          <w:p w14:paraId="1062D002">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规格型号</w:t>
            </w:r>
          </w:p>
        </w:tc>
        <w:tc>
          <w:tcPr>
            <w:tcW w:w="3455" w:type="dxa"/>
            <w:vMerge w:val="restart"/>
            <w:tcBorders>
              <w:top w:val="single" w:color="auto" w:sz="12" w:space="0"/>
              <w:left w:val="single" w:color="auto" w:sz="4" w:space="0"/>
              <w:bottom w:val="single" w:color="auto" w:sz="4" w:space="0"/>
              <w:right w:val="single" w:color="auto" w:sz="4" w:space="0"/>
            </w:tcBorders>
            <w:noWrap w:val="0"/>
            <w:vAlign w:val="center"/>
          </w:tcPr>
          <w:p w14:paraId="5FFDA8CF">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中国环境标志认证证书编号</w:t>
            </w:r>
          </w:p>
        </w:tc>
        <w:tc>
          <w:tcPr>
            <w:tcW w:w="2887" w:type="dxa"/>
            <w:gridSpan w:val="3"/>
            <w:tcBorders>
              <w:top w:val="single" w:color="auto" w:sz="12" w:space="0"/>
              <w:left w:val="single" w:color="auto" w:sz="4" w:space="0"/>
              <w:bottom w:val="single" w:color="auto" w:sz="4" w:space="0"/>
              <w:right w:val="single" w:color="auto" w:sz="12" w:space="0"/>
            </w:tcBorders>
            <w:noWrap w:val="0"/>
            <w:vAlign w:val="center"/>
          </w:tcPr>
          <w:p w14:paraId="6A4A91D0">
            <w:pPr>
              <w:pageBreakBefore w:val="0"/>
              <w:kinsoku/>
              <w:wordWrap/>
              <w:overflowPunct/>
              <w:topLinePunct w:val="0"/>
              <w:autoSpaceDE w:val="0"/>
              <w:autoSpaceDN w:val="0"/>
              <w:bidi w:val="0"/>
              <w:adjustRightInd w:val="0"/>
              <w:spacing w:line="560" w:lineRule="exact"/>
              <w:ind w:firstLine="840" w:firstLineChars="35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价格</w:t>
            </w:r>
          </w:p>
        </w:tc>
      </w:tr>
      <w:tr w14:paraId="51A56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873" w:type="dxa"/>
            <w:vMerge w:val="continue"/>
            <w:tcBorders>
              <w:top w:val="single" w:color="auto" w:sz="12" w:space="0"/>
              <w:left w:val="single" w:color="auto" w:sz="12" w:space="0"/>
              <w:bottom w:val="single" w:color="auto" w:sz="4" w:space="0"/>
              <w:right w:val="single" w:color="auto" w:sz="4" w:space="0"/>
            </w:tcBorders>
            <w:noWrap w:val="0"/>
            <w:vAlign w:val="center"/>
          </w:tcPr>
          <w:p w14:paraId="6291A3AF">
            <w:pPr>
              <w:pageBreakBefore w:val="0"/>
              <w:widowControl/>
              <w:kinsoku/>
              <w:wordWrap/>
              <w:overflowPunct/>
              <w:topLinePunct w:val="0"/>
              <w:bidi w:val="0"/>
              <w:spacing w:line="560" w:lineRule="exact"/>
              <w:jc w:val="left"/>
              <w:textAlignment w:val="auto"/>
              <w:outlineLvl w:val="9"/>
              <w:rPr>
                <w:rFonts w:hint="eastAsia" w:ascii="宋体" w:hAnsi="宋体" w:eastAsia="宋体" w:cs="宋体"/>
                <w:color w:val="auto"/>
                <w:kern w:val="0"/>
                <w:sz w:val="24"/>
                <w:szCs w:val="24"/>
              </w:rPr>
            </w:pPr>
          </w:p>
        </w:tc>
        <w:tc>
          <w:tcPr>
            <w:tcW w:w="1591" w:type="dxa"/>
            <w:vMerge w:val="continue"/>
            <w:tcBorders>
              <w:top w:val="single" w:color="auto" w:sz="12" w:space="0"/>
              <w:left w:val="single" w:color="auto" w:sz="4" w:space="0"/>
              <w:bottom w:val="single" w:color="auto" w:sz="4" w:space="0"/>
              <w:right w:val="single" w:color="auto" w:sz="4" w:space="0"/>
            </w:tcBorders>
            <w:noWrap w:val="0"/>
            <w:vAlign w:val="center"/>
          </w:tcPr>
          <w:p w14:paraId="15586A1C">
            <w:pPr>
              <w:pageBreakBefore w:val="0"/>
              <w:widowControl/>
              <w:kinsoku/>
              <w:wordWrap/>
              <w:overflowPunct/>
              <w:topLinePunct w:val="0"/>
              <w:bidi w:val="0"/>
              <w:spacing w:line="560" w:lineRule="exact"/>
              <w:jc w:val="left"/>
              <w:textAlignment w:val="auto"/>
              <w:outlineLvl w:val="9"/>
              <w:rPr>
                <w:rFonts w:hint="eastAsia" w:ascii="宋体" w:hAnsi="宋体" w:eastAsia="宋体" w:cs="宋体"/>
                <w:color w:val="auto"/>
                <w:kern w:val="0"/>
                <w:sz w:val="24"/>
                <w:szCs w:val="24"/>
              </w:rPr>
            </w:pPr>
          </w:p>
        </w:tc>
        <w:tc>
          <w:tcPr>
            <w:tcW w:w="1592" w:type="dxa"/>
            <w:vMerge w:val="continue"/>
            <w:tcBorders>
              <w:top w:val="single" w:color="auto" w:sz="12" w:space="0"/>
              <w:left w:val="single" w:color="auto" w:sz="4" w:space="0"/>
              <w:bottom w:val="single" w:color="auto" w:sz="4" w:space="0"/>
              <w:right w:val="single" w:color="auto" w:sz="4" w:space="0"/>
            </w:tcBorders>
            <w:noWrap w:val="0"/>
            <w:vAlign w:val="center"/>
          </w:tcPr>
          <w:p w14:paraId="72BC5404">
            <w:pPr>
              <w:pageBreakBefore w:val="0"/>
              <w:widowControl/>
              <w:kinsoku/>
              <w:wordWrap/>
              <w:overflowPunct/>
              <w:topLinePunct w:val="0"/>
              <w:bidi w:val="0"/>
              <w:spacing w:line="560" w:lineRule="exact"/>
              <w:jc w:val="left"/>
              <w:textAlignment w:val="auto"/>
              <w:outlineLvl w:val="9"/>
              <w:rPr>
                <w:rFonts w:hint="eastAsia" w:ascii="宋体" w:hAnsi="宋体" w:eastAsia="宋体" w:cs="宋体"/>
                <w:color w:val="auto"/>
                <w:kern w:val="0"/>
                <w:sz w:val="24"/>
                <w:szCs w:val="24"/>
              </w:rPr>
            </w:pPr>
          </w:p>
        </w:tc>
        <w:tc>
          <w:tcPr>
            <w:tcW w:w="3455" w:type="dxa"/>
            <w:vMerge w:val="continue"/>
            <w:tcBorders>
              <w:top w:val="single" w:color="auto" w:sz="12" w:space="0"/>
              <w:left w:val="single" w:color="auto" w:sz="4" w:space="0"/>
              <w:bottom w:val="single" w:color="auto" w:sz="4" w:space="0"/>
              <w:right w:val="single" w:color="auto" w:sz="4" w:space="0"/>
            </w:tcBorders>
            <w:noWrap w:val="0"/>
            <w:vAlign w:val="center"/>
          </w:tcPr>
          <w:p w14:paraId="21D24152">
            <w:pPr>
              <w:pageBreakBefore w:val="0"/>
              <w:widowControl/>
              <w:kinsoku/>
              <w:wordWrap/>
              <w:overflowPunct/>
              <w:topLinePunct w:val="0"/>
              <w:bidi w:val="0"/>
              <w:spacing w:line="560" w:lineRule="exact"/>
              <w:jc w:val="left"/>
              <w:textAlignment w:val="auto"/>
              <w:outlineLvl w:val="9"/>
              <w:rPr>
                <w:rFonts w:hint="eastAsia" w:ascii="宋体" w:hAnsi="宋体" w:eastAsia="宋体" w:cs="宋体"/>
                <w:color w:val="auto"/>
                <w:kern w:val="0"/>
                <w:sz w:val="24"/>
                <w:szCs w:val="24"/>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06D89CDD">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单价</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599BA164">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数量</w:t>
            </w:r>
          </w:p>
        </w:tc>
        <w:tc>
          <w:tcPr>
            <w:tcW w:w="963" w:type="dxa"/>
            <w:tcBorders>
              <w:top w:val="single" w:color="auto" w:sz="4" w:space="0"/>
              <w:left w:val="single" w:color="auto" w:sz="4" w:space="0"/>
              <w:bottom w:val="single" w:color="auto" w:sz="4" w:space="0"/>
              <w:right w:val="single" w:color="auto" w:sz="12" w:space="0"/>
            </w:tcBorders>
            <w:noWrap w:val="0"/>
            <w:vAlign w:val="center"/>
          </w:tcPr>
          <w:p w14:paraId="10B33F7B">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小计</w:t>
            </w:r>
          </w:p>
        </w:tc>
      </w:tr>
      <w:tr w14:paraId="0F6A9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873" w:type="dxa"/>
            <w:tcBorders>
              <w:top w:val="single" w:color="auto" w:sz="4" w:space="0"/>
              <w:left w:val="single" w:color="auto" w:sz="12" w:space="0"/>
              <w:bottom w:val="single" w:color="auto" w:sz="4" w:space="0"/>
              <w:right w:val="single" w:color="auto" w:sz="4" w:space="0"/>
            </w:tcBorders>
            <w:noWrap w:val="0"/>
            <w:vAlign w:val="center"/>
          </w:tcPr>
          <w:p w14:paraId="5994144D">
            <w:pPr>
              <w:pageBreakBefore w:val="0"/>
              <w:kinsoku/>
              <w:wordWrap/>
              <w:overflowPunct/>
              <w:topLinePunct w:val="0"/>
              <w:autoSpaceDE w:val="0"/>
              <w:autoSpaceDN w:val="0"/>
              <w:bidi w:val="0"/>
              <w:adjustRightInd w:val="0"/>
              <w:spacing w:line="560" w:lineRule="exac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c>
          <w:tcPr>
            <w:tcW w:w="1591" w:type="dxa"/>
            <w:tcBorders>
              <w:top w:val="single" w:color="auto" w:sz="4" w:space="0"/>
              <w:left w:val="single" w:color="auto" w:sz="4" w:space="0"/>
              <w:bottom w:val="single" w:color="auto" w:sz="4" w:space="0"/>
              <w:right w:val="single" w:color="auto" w:sz="4" w:space="0"/>
            </w:tcBorders>
            <w:noWrap w:val="0"/>
            <w:vAlign w:val="center"/>
          </w:tcPr>
          <w:p w14:paraId="2A31DDAE">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1B4A0228">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3455" w:type="dxa"/>
            <w:tcBorders>
              <w:top w:val="single" w:color="auto" w:sz="4" w:space="0"/>
              <w:left w:val="single" w:color="auto" w:sz="4" w:space="0"/>
              <w:bottom w:val="single" w:color="auto" w:sz="4" w:space="0"/>
              <w:right w:val="single" w:color="auto" w:sz="4" w:space="0"/>
            </w:tcBorders>
            <w:noWrap w:val="0"/>
            <w:vAlign w:val="center"/>
          </w:tcPr>
          <w:p w14:paraId="16995EC5">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4BB67E32">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189A9C65">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963" w:type="dxa"/>
            <w:tcBorders>
              <w:top w:val="single" w:color="auto" w:sz="4" w:space="0"/>
              <w:left w:val="single" w:color="auto" w:sz="4" w:space="0"/>
              <w:bottom w:val="single" w:color="auto" w:sz="4" w:space="0"/>
              <w:right w:val="single" w:color="auto" w:sz="12" w:space="0"/>
            </w:tcBorders>
            <w:noWrap w:val="0"/>
            <w:vAlign w:val="center"/>
          </w:tcPr>
          <w:p w14:paraId="20FFE465">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r>
      <w:tr w14:paraId="31E3B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873" w:type="dxa"/>
            <w:tcBorders>
              <w:top w:val="single" w:color="auto" w:sz="4" w:space="0"/>
              <w:left w:val="single" w:color="auto" w:sz="12" w:space="0"/>
              <w:bottom w:val="single" w:color="auto" w:sz="4" w:space="0"/>
              <w:right w:val="single" w:color="auto" w:sz="4" w:space="0"/>
            </w:tcBorders>
            <w:noWrap w:val="0"/>
            <w:vAlign w:val="center"/>
          </w:tcPr>
          <w:p w14:paraId="453D7555">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p>
        </w:tc>
        <w:tc>
          <w:tcPr>
            <w:tcW w:w="1591" w:type="dxa"/>
            <w:tcBorders>
              <w:top w:val="single" w:color="auto" w:sz="4" w:space="0"/>
              <w:left w:val="single" w:color="auto" w:sz="4" w:space="0"/>
              <w:bottom w:val="single" w:color="auto" w:sz="4" w:space="0"/>
              <w:right w:val="single" w:color="auto" w:sz="4" w:space="0"/>
            </w:tcBorders>
            <w:noWrap w:val="0"/>
            <w:vAlign w:val="center"/>
          </w:tcPr>
          <w:p w14:paraId="1491C0E6">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592" w:type="dxa"/>
            <w:tcBorders>
              <w:top w:val="single" w:color="auto" w:sz="4" w:space="0"/>
              <w:left w:val="single" w:color="auto" w:sz="4" w:space="0"/>
              <w:bottom w:val="single" w:color="auto" w:sz="4" w:space="0"/>
              <w:right w:val="single" w:color="auto" w:sz="4" w:space="0"/>
            </w:tcBorders>
            <w:noWrap w:val="0"/>
            <w:vAlign w:val="center"/>
          </w:tcPr>
          <w:p w14:paraId="6547900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3455" w:type="dxa"/>
            <w:tcBorders>
              <w:top w:val="single" w:color="auto" w:sz="4" w:space="0"/>
              <w:left w:val="single" w:color="auto" w:sz="4" w:space="0"/>
              <w:bottom w:val="single" w:color="auto" w:sz="4" w:space="0"/>
              <w:right w:val="single" w:color="auto" w:sz="4" w:space="0"/>
            </w:tcBorders>
            <w:noWrap w:val="0"/>
            <w:vAlign w:val="center"/>
          </w:tcPr>
          <w:p w14:paraId="04153DA7">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4F93567A">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5326D1DE">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963" w:type="dxa"/>
            <w:tcBorders>
              <w:top w:val="single" w:color="auto" w:sz="4" w:space="0"/>
              <w:left w:val="single" w:color="auto" w:sz="4" w:space="0"/>
              <w:bottom w:val="single" w:color="auto" w:sz="4" w:space="0"/>
              <w:right w:val="single" w:color="auto" w:sz="12" w:space="0"/>
            </w:tcBorders>
            <w:noWrap w:val="0"/>
            <w:vAlign w:val="center"/>
          </w:tcPr>
          <w:p w14:paraId="1F145F6B">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r>
      <w:tr w14:paraId="08E25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73" w:type="dxa"/>
            <w:tcBorders>
              <w:top w:val="single" w:color="auto" w:sz="4" w:space="0"/>
              <w:left w:val="single" w:color="auto" w:sz="12" w:space="0"/>
              <w:bottom w:val="single" w:color="auto" w:sz="4" w:space="0"/>
              <w:right w:val="single" w:color="auto" w:sz="4" w:space="0"/>
            </w:tcBorders>
            <w:noWrap w:val="0"/>
            <w:vAlign w:val="center"/>
          </w:tcPr>
          <w:p w14:paraId="61C409BE">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w:t>
            </w:r>
          </w:p>
        </w:tc>
        <w:tc>
          <w:tcPr>
            <w:tcW w:w="1591" w:type="dxa"/>
            <w:tcBorders>
              <w:top w:val="single" w:color="auto" w:sz="4" w:space="0"/>
              <w:left w:val="single" w:color="auto" w:sz="4" w:space="0"/>
              <w:bottom w:val="single" w:color="auto" w:sz="4" w:space="0"/>
              <w:right w:val="single" w:color="auto" w:sz="4" w:space="0"/>
            </w:tcBorders>
            <w:noWrap w:val="0"/>
            <w:vAlign w:val="center"/>
          </w:tcPr>
          <w:p w14:paraId="714DCB8A">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p>
        </w:tc>
        <w:tc>
          <w:tcPr>
            <w:tcW w:w="1592" w:type="dxa"/>
            <w:tcBorders>
              <w:top w:val="single" w:color="auto" w:sz="4" w:space="0"/>
              <w:left w:val="single" w:color="auto" w:sz="4" w:space="0"/>
              <w:bottom w:val="single" w:color="auto" w:sz="4" w:space="0"/>
              <w:right w:val="single" w:color="auto" w:sz="4" w:space="0"/>
            </w:tcBorders>
            <w:noWrap w:val="0"/>
            <w:vAlign w:val="center"/>
          </w:tcPr>
          <w:p w14:paraId="36B593AE">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3455" w:type="dxa"/>
            <w:tcBorders>
              <w:top w:val="single" w:color="auto" w:sz="4" w:space="0"/>
              <w:left w:val="single" w:color="auto" w:sz="4" w:space="0"/>
              <w:bottom w:val="single" w:color="auto" w:sz="4" w:space="0"/>
              <w:right w:val="single" w:color="auto" w:sz="4" w:space="0"/>
            </w:tcBorders>
            <w:noWrap w:val="0"/>
            <w:vAlign w:val="center"/>
          </w:tcPr>
          <w:p w14:paraId="2958B1D7">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006B2FDA">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4F92BBBB">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963" w:type="dxa"/>
            <w:tcBorders>
              <w:top w:val="single" w:color="auto" w:sz="4" w:space="0"/>
              <w:left w:val="single" w:color="auto" w:sz="4" w:space="0"/>
              <w:bottom w:val="single" w:color="auto" w:sz="4" w:space="0"/>
              <w:right w:val="single" w:color="auto" w:sz="12" w:space="0"/>
            </w:tcBorders>
            <w:noWrap w:val="0"/>
            <w:vAlign w:val="center"/>
          </w:tcPr>
          <w:p w14:paraId="65C6566A">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r>
    </w:tbl>
    <w:p w14:paraId="70C645EC">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说明：1、如所报产品为环保产品，请按要求逐项填写； </w:t>
      </w:r>
    </w:p>
    <w:p w14:paraId="65D35C51">
      <w:pPr>
        <w:pageBreakBefore w:val="0"/>
        <w:kinsoku/>
        <w:wordWrap/>
        <w:overflowPunct/>
        <w:topLinePunct w:val="0"/>
        <w:autoSpaceDE w:val="0"/>
        <w:autoSpaceDN w:val="0"/>
        <w:bidi w:val="0"/>
        <w:adjustRightInd w:val="0"/>
        <w:spacing w:line="560" w:lineRule="exact"/>
        <w:ind w:firstLine="720" w:firstLineChars="300"/>
        <w:jc w:val="left"/>
        <w:textAlignment w:val="auto"/>
        <w:outlineLvl w:val="9"/>
        <w:rPr>
          <w:rFonts w:hint="eastAsia" w:ascii="宋体" w:hAnsi="宋体" w:eastAsia="宋体" w:cs="宋体"/>
          <w:color w:val="auto"/>
          <w:kern w:val="0"/>
          <w:sz w:val="24"/>
          <w:szCs w:val="24"/>
        </w:rPr>
      </w:pPr>
      <w:r>
        <w:rPr>
          <w:rFonts w:hint="eastAsia" w:ascii="宋体" w:hAnsi="宋体" w:cs="宋体"/>
          <w:color w:val="auto"/>
          <w:kern w:val="0"/>
          <w:sz w:val="24"/>
          <w:szCs w:val="24"/>
          <w:lang w:eastAsia="zh-CN"/>
        </w:rPr>
        <w:t>2.</w:t>
      </w:r>
      <w:r>
        <w:rPr>
          <w:rFonts w:hint="eastAsia" w:ascii="宋体" w:hAnsi="宋体" w:eastAsia="宋体" w:cs="宋体"/>
          <w:color w:val="auto"/>
          <w:kern w:val="0"/>
          <w:sz w:val="24"/>
          <w:szCs w:val="24"/>
        </w:rPr>
        <w:t>需</w:t>
      </w:r>
      <w:r>
        <w:rPr>
          <w:rFonts w:hint="eastAsia" w:ascii="宋体" w:hAnsi="宋体" w:eastAsia="宋体" w:cs="宋体"/>
          <w:color w:val="auto"/>
          <w:kern w:val="0"/>
          <w:sz w:val="24"/>
          <w:szCs w:val="24"/>
          <w:lang w:val="en-US" w:eastAsia="zh-CN"/>
        </w:rPr>
        <w:t>附</w:t>
      </w:r>
      <w:r>
        <w:rPr>
          <w:rFonts w:hint="eastAsia" w:ascii="宋体" w:hAnsi="宋体" w:eastAsia="宋体" w:cs="宋体"/>
          <w:color w:val="auto"/>
          <w:kern w:val="0"/>
          <w:sz w:val="24"/>
          <w:szCs w:val="24"/>
        </w:rPr>
        <w:t>环境标志产品认证证书，且证书内产品型号与所报产品型号完全一致，否则评审时不予</w:t>
      </w:r>
      <w:r>
        <w:rPr>
          <w:rFonts w:hint="eastAsia" w:ascii="宋体" w:hAnsi="宋体" w:eastAsia="宋体" w:cs="宋体"/>
          <w:color w:val="auto"/>
          <w:kern w:val="0"/>
          <w:sz w:val="24"/>
          <w:szCs w:val="24"/>
          <w:lang w:val="en-US" w:eastAsia="zh-CN"/>
        </w:rPr>
        <w:t>认可</w:t>
      </w:r>
      <w:r>
        <w:rPr>
          <w:rFonts w:hint="eastAsia" w:ascii="宋体" w:hAnsi="宋体" w:eastAsia="宋体" w:cs="宋体"/>
          <w:color w:val="auto"/>
          <w:kern w:val="0"/>
          <w:sz w:val="24"/>
          <w:szCs w:val="24"/>
        </w:rPr>
        <w:t xml:space="preserve">。                                                            </w:t>
      </w:r>
    </w:p>
    <w:p w14:paraId="25DAC48F">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u w:val="none"/>
        </w:rPr>
      </w:pPr>
      <w:bookmarkStart w:id="413" w:name="_Toc46136869"/>
      <w:bookmarkStart w:id="414" w:name="_Toc7565_WPSOffice_Level2"/>
      <w:bookmarkStart w:id="415" w:name="_Toc422"/>
      <w:bookmarkStart w:id="416" w:name="_Toc46238286"/>
      <w:r>
        <w:rPr>
          <w:rFonts w:hint="eastAsia" w:ascii="宋体" w:hAnsi="宋体" w:eastAsia="宋体" w:cs="宋体"/>
          <w:b/>
          <w:bCs/>
          <w:color w:val="auto"/>
          <w:sz w:val="24"/>
          <w:szCs w:val="24"/>
          <w:u w:val="none"/>
        </w:rPr>
        <w:t>节能产品明细表</w:t>
      </w:r>
      <w:bookmarkEnd w:id="413"/>
      <w:bookmarkEnd w:id="414"/>
      <w:bookmarkEnd w:id="415"/>
      <w:bookmarkEnd w:id="416"/>
    </w:p>
    <w:p w14:paraId="0DEFEBE0">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p w14:paraId="5E1E2AD3">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项目编号</w:t>
      </w: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项目名称</w:t>
      </w:r>
      <w:r>
        <w:rPr>
          <w:rFonts w:hint="eastAsia" w:ascii="宋体" w:hAnsi="宋体" w:eastAsia="宋体" w:cs="宋体"/>
          <w:color w:val="auto"/>
          <w:kern w:val="0"/>
          <w:sz w:val="24"/>
          <w:szCs w:val="24"/>
        </w:rPr>
        <w:t xml:space="preserve">：                </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报价单位：人民币元</w:t>
      </w:r>
    </w:p>
    <w:tbl>
      <w:tblPr>
        <w:tblStyle w:val="33"/>
        <w:tblpPr w:leftFromText="180" w:rightFromText="180" w:vertAnchor="text" w:horzAnchor="margin" w:tblpXSpec="center" w:tblpY="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1911"/>
        <w:gridCol w:w="1764"/>
        <w:gridCol w:w="2689"/>
        <w:gridCol w:w="886"/>
        <w:gridCol w:w="990"/>
        <w:gridCol w:w="991"/>
      </w:tblGrid>
      <w:tr w14:paraId="71DE1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47" w:type="dxa"/>
            <w:vMerge w:val="restart"/>
            <w:tcBorders>
              <w:top w:val="single" w:color="auto" w:sz="12" w:space="0"/>
              <w:left w:val="single" w:color="auto" w:sz="12" w:space="0"/>
              <w:bottom w:val="single" w:color="auto" w:sz="4" w:space="0"/>
              <w:right w:val="single" w:color="auto" w:sz="4" w:space="0"/>
            </w:tcBorders>
            <w:noWrap w:val="0"/>
            <w:vAlign w:val="center"/>
          </w:tcPr>
          <w:p w14:paraId="038837A8">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编号</w:t>
            </w:r>
          </w:p>
        </w:tc>
        <w:tc>
          <w:tcPr>
            <w:tcW w:w="1911" w:type="dxa"/>
            <w:vMerge w:val="restart"/>
            <w:tcBorders>
              <w:top w:val="single" w:color="auto" w:sz="12" w:space="0"/>
              <w:left w:val="single" w:color="auto" w:sz="4" w:space="0"/>
              <w:bottom w:val="single" w:color="auto" w:sz="4" w:space="0"/>
              <w:right w:val="single" w:color="auto" w:sz="4" w:space="0"/>
            </w:tcBorders>
            <w:noWrap w:val="0"/>
            <w:vAlign w:val="center"/>
          </w:tcPr>
          <w:p w14:paraId="69253969">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货物名称</w:t>
            </w:r>
          </w:p>
        </w:tc>
        <w:tc>
          <w:tcPr>
            <w:tcW w:w="1764" w:type="dxa"/>
            <w:vMerge w:val="restart"/>
            <w:tcBorders>
              <w:top w:val="single" w:color="auto" w:sz="12" w:space="0"/>
              <w:left w:val="single" w:color="auto" w:sz="4" w:space="0"/>
              <w:bottom w:val="single" w:color="auto" w:sz="4" w:space="0"/>
              <w:right w:val="single" w:color="auto" w:sz="4" w:space="0"/>
            </w:tcBorders>
            <w:noWrap w:val="0"/>
            <w:vAlign w:val="center"/>
          </w:tcPr>
          <w:p w14:paraId="602DE672">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规格型号</w:t>
            </w:r>
          </w:p>
        </w:tc>
        <w:tc>
          <w:tcPr>
            <w:tcW w:w="2689" w:type="dxa"/>
            <w:vMerge w:val="restart"/>
            <w:tcBorders>
              <w:top w:val="single" w:color="auto" w:sz="12" w:space="0"/>
              <w:left w:val="single" w:color="auto" w:sz="4" w:space="0"/>
              <w:bottom w:val="single" w:color="auto" w:sz="4" w:space="0"/>
              <w:right w:val="single" w:color="auto" w:sz="4" w:space="0"/>
            </w:tcBorders>
            <w:noWrap w:val="0"/>
            <w:vAlign w:val="center"/>
          </w:tcPr>
          <w:p w14:paraId="6288BB88">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节字标志认证证书编号</w:t>
            </w:r>
          </w:p>
        </w:tc>
        <w:tc>
          <w:tcPr>
            <w:tcW w:w="2867" w:type="dxa"/>
            <w:gridSpan w:val="3"/>
            <w:tcBorders>
              <w:top w:val="single" w:color="auto" w:sz="12" w:space="0"/>
              <w:left w:val="single" w:color="auto" w:sz="4" w:space="0"/>
              <w:bottom w:val="single" w:color="auto" w:sz="4" w:space="0"/>
              <w:right w:val="single" w:color="auto" w:sz="12" w:space="0"/>
            </w:tcBorders>
            <w:noWrap w:val="0"/>
            <w:vAlign w:val="center"/>
          </w:tcPr>
          <w:p w14:paraId="47B22F2E">
            <w:pPr>
              <w:pageBreakBefore w:val="0"/>
              <w:kinsoku/>
              <w:wordWrap/>
              <w:overflowPunct/>
              <w:topLinePunct w:val="0"/>
              <w:autoSpaceDE w:val="0"/>
              <w:autoSpaceDN w:val="0"/>
              <w:bidi w:val="0"/>
              <w:adjustRightInd w:val="0"/>
              <w:spacing w:line="560" w:lineRule="exact"/>
              <w:ind w:firstLine="960" w:firstLineChars="40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价格</w:t>
            </w:r>
          </w:p>
        </w:tc>
      </w:tr>
      <w:tr w14:paraId="525A5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847" w:type="dxa"/>
            <w:vMerge w:val="continue"/>
            <w:tcBorders>
              <w:top w:val="single" w:color="auto" w:sz="12" w:space="0"/>
              <w:left w:val="single" w:color="auto" w:sz="12" w:space="0"/>
              <w:bottom w:val="single" w:color="auto" w:sz="4" w:space="0"/>
              <w:right w:val="single" w:color="auto" w:sz="4" w:space="0"/>
            </w:tcBorders>
            <w:noWrap w:val="0"/>
            <w:vAlign w:val="center"/>
          </w:tcPr>
          <w:p w14:paraId="4244FB1E">
            <w:pPr>
              <w:pageBreakBefore w:val="0"/>
              <w:widowControl/>
              <w:kinsoku/>
              <w:wordWrap/>
              <w:overflowPunct/>
              <w:topLinePunct w:val="0"/>
              <w:bidi w:val="0"/>
              <w:spacing w:line="560" w:lineRule="exact"/>
              <w:jc w:val="left"/>
              <w:textAlignment w:val="auto"/>
              <w:outlineLvl w:val="9"/>
              <w:rPr>
                <w:rFonts w:hint="eastAsia" w:ascii="宋体" w:hAnsi="宋体" w:eastAsia="宋体" w:cs="宋体"/>
                <w:color w:val="auto"/>
                <w:kern w:val="0"/>
                <w:sz w:val="24"/>
                <w:szCs w:val="24"/>
              </w:rPr>
            </w:pPr>
          </w:p>
        </w:tc>
        <w:tc>
          <w:tcPr>
            <w:tcW w:w="1911" w:type="dxa"/>
            <w:vMerge w:val="continue"/>
            <w:tcBorders>
              <w:top w:val="single" w:color="auto" w:sz="12" w:space="0"/>
              <w:left w:val="single" w:color="auto" w:sz="4" w:space="0"/>
              <w:bottom w:val="single" w:color="auto" w:sz="4" w:space="0"/>
              <w:right w:val="single" w:color="auto" w:sz="4" w:space="0"/>
            </w:tcBorders>
            <w:noWrap w:val="0"/>
            <w:vAlign w:val="center"/>
          </w:tcPr>
          <w:p w14:paraId="7CF3B71B">
            <w:pPr>
              <w:pageBreakBefore w:val="0"/>
              <w:widowControl/>
              <w:kinsoku/>
              <w:wordWrap/>
              <w:overflowPunct/>
              <w:topLinePunct w:val="0"/>
              <w:bidi w:val="0"/>
              <w:spacing w:line="560" w:lineRule="exact"/>
              <w:jc w:val="left"/>
              <w:textAlignment w:val="auto"/>
              <w:outlineLvl w:val="9"/>
              <w:rPr>
                <w:rFonts w:hint="eastAsia" w:ascii="宋体" w:hAnsi="宋体" w:eastAsia="宋体" w:cs="宋体"/>
                <w:color w:val="auto"/>
                <w:kern w:val="0"/>
                <w:sz w:val="24"/>
                <w:szCs w:val="24"/>
              </w:rPr>
            </w:pPr>
          </w:p>
        </w:tc>
        <w:tc>
          <w:tcPr>
            <w:tcW w:w="1764" w:type="dxa"/>
            <w:vMerge w:val="continue"/>
            <w:tcBorders>
              <w:top w:val="single" w:color="auto" w:sz="12" w:space="0"/>
              <w:left w:val="single" w:color="auto" w:sz="4" w:space="0"/>
              <w:bottom w:val="single" w:color="auto" w:sz="4" w:space="0"/>
              <w:right w:val="single" w:color="auto" w:sz="4" w:space="0"/>
            </w:tcBorders>
            <w:noWrap w:val="0"/>
            <w:vAlign w:val="center"/>
          </w:tcPr>
          <w:p w14:paraId="381F70E2">
            <w:pPr>
              <w:pageBreakBefore w:val="0"/>
              <w:widowControl/>
              <w:kinsoku/>
              <w:wordWrap/>
              <w:overflowPunct/>
              <w:topLinePunct w:val="0"/>
              <w:bidi w:val="0"/>
              <w:spacing w:line="560" w:lineRule="exact"/>
              <w:jc w:val="left"/>
              <w:textAlignment w:val="auto"/>
              <w:outlineLvl w:val="9"/>
              <w:rPr>
                <w:rFonts w:hint="eastAsia" w:ascii="宋体" w:hAnsi="宋体" w:eastAsia="宋体" w:cs="宋体"/>
                <w:color w:val="auto"/>
                <w:kern w:val="0"/>
                <w:sz w:val="24"/>
                <w:szCs w:val="24"/>
              </w:rPr>
            </w:pPr>
          </w:p>
        </w:tc>
        <w:tc>
          <w:tcPr>
            <w:tcW w:w="2689" w:type="dxa"/>
            <w:vMerge w:val="continue"/>
            <w:tcBorders>
              <w:top w:val="single" w:color="auto" w:sz="12" w:space="0"/>
              <w:left w:val="single" w:color="auto" w:sz="4" w:space="0"/>
              <w:bottom w:val="single" w:color="auto" w:sz="4" w:space="0"/>
              <w:right w:val="single" w:color="auto" w:sz="4" w:space="0"/>
            </w:tcBorders>
            <w:noWrap w:val="0"/>
            <w:vAlign w:val="center"/>
          </w:tcPr>
          <w:p w14:paraId="618D1615">
            <w:pPr>
              <w:pageBreakBefore w:val="0"/>
              <w:widowControl/>
              <w:kinsoku/>
              <w:wordWrap/>
              <w:overflowPunct/>
              <w:topLinePunct w:val="0"/>
              <w:bidi w:val="0"/>
              <w:spacing w:line="560" w:lineRule="exact"/>
              <w:jc w:val="left"/>
              <w:textAlignment w:val="auto"/>
              <w:outlineLvl w:val="9"/>
              <w:rPr>
                <w:rFonts w:hint="eastAsia" w:ascii="宋体" w:hAnsi="宋体" w:eastAsia="宋体" w:cs="宋体"/>
                <w:color w:val="auto"/>
                <w:kern w:val="0"/>
                <w:sz w:val="24"/>
                <w:szCs w:val="24"/>
              </w:rPr>
            </w:pPr>
          </w:p>
        </w:tc>
        <w:tc>
          <w:tcPr>
            <w:tcW w:w="886" w:type="dxa"/>
            <w:tcBorders>
              <w:top w:val="single" w:color="auto" w:sz="4" w:space="0"/>
              <w:left w:val="single" w:color="auto" w:sz="4" w:space="0"/>
              <w:bottom w:val="single" w:color="auto" w:sz="4" w:space="0"/>
              <w:right w:val="single" w:color="auto" w:sz="4" w:space="0"/>
            </w:tcBorders>
            <w:noWrap w:val="0"/>
            <w:vAlign w:val="center"/>
          </w:tcPr>
          <w:p w14:paraId="35286A9E">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单价</w:t>
            </w:r>
          </w:p>
        </w:tc>
        <w:tc>
          <w:tcPr>
            <w:tcW w:w="990" w:type="dxa"/>
            <w:tcBorders>
              <w:top w:val="single" w:color="auto" w:sz="4" w:space="0"/>
              <w:left w:val="single" w:color="auto" w:sz="4" w:space="0"/>
              <w:bottom w:val="single" w:color="auto" w:sz="4" w:space="0"/>
              <w:right w:val="single" w:color="auto" w:sz="4" w:space="0"/>
            </w:tcBorders>
            <w:noWrap w:val="0"/>
            <w:vAlign w:val="center"/>
          </w:tcPr>
          <w:p w14:paraId="28CF1239">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数量</w:t>
            </w:r>
          </w:p>
        </w:tc>
        <w:tc>
          <w:tcPr>
            <w:tcW w:w="991" w:type="dxa"/>
            <w:tcBorders>
              <w:top w:val="single" w:color="auto" w:sz="4" w:space="0"/>
              <w:left w:val="single" w:color="auto" w:sz="4" w:space="0"/>
              <w:bottom w:val="single" w:color="auto" w:sz="4" w:space="0"/>
              <w:right w:val="single" w:color="auto" w:sz="12" w:space="0"/>
            </w:tcBorders>
            <w:noWrap w:val="0"/>
            <w:vAlign w:val="center"/>
          </w:tcPr>
          <w:p w14:paraId="6E41D8B5">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小计</w:t>
            </w:r>
          </w:p>
        </w:tc>
      </w:tr>
      <w:tr w14:paraId="340D2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47" w:type="dxa"/>
            <w:tcBorders>
              <w:top w:val="single" w:color="auto" w:sz="4" w:space="0"/>
              <w:left w:val="single" w:color="auto" w:sz="12" w:space="0"/>
              <w:bottom w:val="single" w:color="auto" w:sz="4" w:space="0"/>
              <w:right w:val="single" w:color="auto" w:sz="4" w:space="0"/>
            </w:tcBorders>
            <w:noWrap w:val="0"/>
            <w:vAlign w:val="center"/>
          </w:tcPr>
          <w:p w14:paraId="2E02ED9F">
            <w:pPr>
              <w:pageBreakBefore w:val="0"/>
              <w:kinsoku/>
              <w:wordWrap/>
              <w:overflowPunct/>
              <w:topLinePunct w:val="0"/>
              <w:autoSpaceDE w:val="0"/>
              <w:autoSpaceDN w:val="0"/>
              <w:bidi w:val="0"/>
              <w:adjustRightInd w:val="0"/>
              <w:spacing w:line="560" w:lineRule="exac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c>
          <w:tcPr>
            <w:tcW w:w="1911" w:type="dxa"/>
            <w:tcBorders>
              <w:top w:val="single" w:color="auto" w:sz="4" w:space="0"/>
              <w:left w:val="single" w:color="auto" w:sz="4" w:space="0"/>
              <w:bottom w:val="single" w:color="auto" w:sz="4" w:space="0"/>
              <w:right w:val="single" w:color="auto" w:sz="4" w:space="0"/>
            </w:tcBorders>
            <w:noWrap w:val="0"/>
            <w:vAlign w:val="center"/>
          </w:tcPr>
          <w:p w14:paraId="3F16F23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764" w:type="dxa"/>
            <w:tcBorders>
              <w:top w:val="single" w:color="auto" w:sz="4" w:space="0"/>
              <w:left w:val="single" w:color="auto" w:sz="4" w:space="0"/>
              <w:bottom w:val="single" w:color="auto" w:sz="4" w:space="0"/>
              <w:right w:val="single" w:color="auto" w:sz="4" w:space="0"/>
            </w:tcBorders>
            <w:noWrap w:val="0"/>
            <w:vAlign w:val="center"/>
          </w:tcPr>
          <w:p w14:paraId="00D1C973">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2689" w:type="dxa"/>
            <w:tcBorders>
              <w:top w:val="single" w:color="auto" w:sz="4" w:space="0"/>
              <w:left w:val="single" w:color="auto" w:sz="4" w:space="0"/>
              <w:bottom w:val="single" w:color="auto" w:sz="4" w:space="0"/>
              <w:right w:val="single" w:color="auto" w:sz="4" w:space="0"/>
            </w:tcBorders>
            <w:noWrap w:val="0"/>
            <w:vAlign w:val="center"/>
          </w:tcPr>
          <w:p w14:paraId="05485465">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886" w:type="dxa"/>
            <w:tcBorders>
              <w:top w:val="single" w:color="auto" w:sz="4" w:space="0"/>
              <w:left w:val="single" w:color="auto" w:sz="4" w:space="0"/>
              <w:bottom w:val="single" w:color="auto" w:sz="4" w:space="0"/>
              <w:right w:val="single" w:color="auto" w:sz="4" w:space="0"/>
            </w:tcBorders>
            <w:noWrap w:val="0"/>
            <w:vAlign w:val="center"/>
          </w:tcPr>
          <w:p w14:paraId="154F49DB">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990" w:type="dxa"/>
            <w:tcBorders>
              <w:top w:val="single" w:color="auto" w:sz="4" w:space="0"/>
              <w:left w:val="single" w:color="auto" w:sz="4" w:space="0"/>
              <w:bottom w:val="single" w:color="auto" w:sz="4" w:space="0"/>
              <w:right w:val="single" w:color="auto" w:sz="4" w:space="0"/>
            </w:tcBorders>
            <w:noWrap w:val="0"/>
            <w:vAlign w:val="center"/>
          </w:tcPr>
          <w:p w14:paraId="384D03ED">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991" w:type="dxa"/>
            <w:tcBorders>
              <w:top w:val="single" w:color="auto" w:sz="4" w:space="0"/>
              <w:left w:val="single" w:color="auto" w:sz="4" w:space="0"/>
              <w:bottom w:val="single" w:color="auto" w:sz="4" w:space="0"/>
              <w:right w:val="single" w:color="auto" w:sz="12" w:space="0"/>
            </w:tcBorders>
            <w:noWrap w:val="0"/>
            <w:vAlign w:val="center"/>
          </w:tcPr>
          <w:p w14:paraId="238B64D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r>
      <w:tr w14:paraId="1D422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47" w:type="dxa"/>
            <w:tcBorders>
              <w:top w:val="single" w:color="auto" w:sz="4" w:space="0"/>
              <w:left w:val="single" w:color="auto" w:sz="12" w:space="0"/>
              <w:bottom w:val="single" w:color="auto" w:sz="4" w:space="0"/>
              <w:right w:val="single" w:color="auto" w:sz="4" w:space="0"/>
            </w:tcBorders>
            <w:noWrap w:val="0"/>
            <w:vAlign w:val="center"/>
          </w:tcPr>
          <w:p w14:paraId="30C4E5E8">
            <w:pPr>
              <w:pageBreakBefore w:val="0"/>
              <w:kinsoku/>
              <w:wordWrap/>
              <w:overflowPunct/>
              <w:topLinePunct w:val="0"/>
              <w:autoSpaceDE w:val="0"/>
              <w:autoSpaceDN w:val="0"/>
              <w:bidi w:val="0"/>
              <w:adjustRightInd w:val="0"/>
              <w:spacing w:line="560" w:lineRule="exac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p>
        </w:tc>
        <w:tc>
          <w:tcPr>
            <w:tcW w:w="1911" w:type="dxa"/>
            <w:tcBorders>
              <w:top w:val="single" w:color="auto" w:sz="4" w:space="0"/>
              <w:left w:val="single" w:color="auto" w:sz="4" w:space="0"/>
              <w:bottom w:val="single" w:color="auto" w:sz="4" w:space="0"/>
              <w:right w:val="single" w:color="auto" w:sz="4" w:space="0"/>
            </w:tcBorders>
            <w:noWrap w:val="0"/>
            <w:vAlign w:val="center"/>
          </w:tcPr>
          <w:p w14:paraId="1F97BB07">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764" w:type="dxa"/>
            <w:tcBorders>
              <w:top w:val="single" w:color="auto" w:sz="4" w:space="0"/>
              <w:left w:val="single" w:color="auto" w:sz="4" w:space="0"/>
              <w:bottom w:val="single" w:color="auto" w:sz="4" w:space="0"/>
              <w:right w:val="single" w:color="auto" w:sz="4" w:space="0"/>
            </w:tcBorders>
            <w:noWrap w:val="0"/>
            <w:vAlign w:val="center"/>
          </w:tcPr>
          <w:p w14:paraId="03DD6A36">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2689" w:type="dxa"/>
            <w:tcBorders>
              <w:top w:val="single" w:color="auto" w:sz="4" w:space="0"/>
              <w:left w:val="single" w:color="auto" w:sz="4" w:space="0"/>
              <w:bottom w:val="single" w:color="auto" w:sz="4" w:space="0"/>
              <w:right w:val="single" w:color="auto" w:sz="4" w:space="0"/>
            </w:tcBorders>
            <w:noWrap w:val="0"/>
            <w:vAlign w:val="center"/>
          </w:tcPr>
          <w:p w14:paraId="7E43B4B2">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886" w:type="dxa"/>
            <w:tcBorders>
              <w:top w:val="single" w:color="auto" w:sz="4" w:space="0"/>
              <w:left w:val="single" w:color="auto" w:sz="4" w:space="0"/>
              <w:bottom w:val="single" w:color="auto" w:sz="4" w:space="0"/>
              <w:right w:val="single" w:color="auto" w:sz="4" w:space="0"/>
            </w:tcBorders>
            <w:noWrap w:val="0"/>
            <w:vAlign w:val="center"/>
          </w:tcPr>
          <w:p w14:paraId="4299B6F8">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990" w:type="dxa"/>
            <w:tcBorders>
              <w:top w:val="single" w:color="auto" w:sz="4" w:space="0"/>
              <w:left w:val="single" w:color="auto" w:sz="4" w:space="0"/>
              <w:bottom w:val="single" w:color="auto" w:sz="4" w:space="0"/>
              <w:right w:val="single" w:color="auto" w:sz="4" w:space="0"/>
            </w:tcBorders>
            <w:noWrap w:val="0"/>
            <w:vAlign w:val="center"/>
          </w:tcPr>
          <w:p w14:paraId="64F3824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991" w:type="dxa"/>
            <w:tcBorders>
              <w:top w:val="single" w:color="auto" w:sz="4" w:space="0"/>
              <w:left w:val="single" w:color="auto" w:sz="4" w:space="0"/>
              <w:bottom w:val="single" w:color="auto" w:sz="4" w:space="0"/>
              <w:right w:val="single" w:color="auto" w:sz="12" w:space="0"/>
            </w:tcBorders>
            <w:noWrap w:val="0"/>
            <w:vAlign w:val="center"/>
          </w:tcPr>
          <w:p w14:paraId="0277A077">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r>
      <w:tr w14:paraId="07040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847" w:type="dxa"/>
            <w:tcBorders>
              <w:top w:val="single" w:color="auto" w:sz="4" w:space="0"/>
              <w:left w:val="single" w:color="auto" w:sz="12" w:space="0"/>
              <w:bottom w:val="single" w:color="auto" w:sz="4" w:space="0"/>
              <w:right w:val="single" w:color="auto" w:sz="4" w:space="0"/>
            </w:tcBorders>
            <w:noWrap w:val="0"/>
            <w:vAlign w:val="center"/>
          </w:tcPr>
          <w:p w14:paraId="40FC55AC">
            <w:pPr>
              <w:pageBreakBefore w:val="0"/>
              <w:kinsoku/>
              <w:wordWrap/>
              <w:overflowPunct/>
              <w:topLinePunct w:val="0"/>
              <w:autoSpaceDE w:val="0"/>
              <w:autoSpaceDN w:val="0"/>
              <w:bidi w:val="0"/>
              <w:adjustRightInd w:val="0"/>
              <w:spacing w:line="560" w:lineRule="exac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w:t>
            </w:r>
          </w:p>
        </w:tc>
        <w:tc>
          <w:tcPr>
            <w:tcW w:w="1911" w:type="dxa"/>
            <w:tcBorders>
              <w:top w:val="single" w:color="auto" w:sz="4" w:space="0"/>
              <w:left w:val="single" w:color="auto" w:sz="4" w:space="0"/>
              <w:bottom w:val="single" w:color="auto" w:sz="4" w:space="0"/>
              <w:right w:val="single" w:color="auto" w:sz="4" w:space="0"/>
            </w:tcBorders>
            <w:noWrap w:val="0"/>
            <w:vAlign w:val="center"/>
          </w:tcPr>
          <w:p w14:paraId="05FC9061">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p>
        </w:tc>
        <w:tc>
          <w:tcPr>
            <w:tcW w:w="1764" w:type="dxa"/>
            <w:tcBorders>
              <w:top w:val="single" w:color="auto" w:sz="4" w:space="0"/>
              <w:left w:val="single" w:color="auto" w:sz="4" w:space="0"/>
              <w:bottom w:val="single" w:color="auto" w:sz="4" w:space="0"/>
              <w:right w:val="single" w:color="auto" w:sz="4" w:space="0"/>
            </w:tcBorders>
            <w:noWrap w:val="0"/>
            <w:vAlign w:val="center"/>
          </w:tcPr>
          <w:p w14:paraId="3BDC1AE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2689" w:type="dxa"/>
            <w:tcBorders>
              <w:top w:val="single" w:color="auto" w:sz="4" w:space="0"/>
              <w:left w:val="single" w:color="auto" w:sz="4" w:space="0"/>
              <w:bottom w:val="single" w:color="auto" w:sz="4" w:space="0"/>
              <w:right w:val="single" w:color="auto" w:sz="4" w:space="0"/>
            </w:tcBorders>
            <w:noWrap w:val="0"/>
            <w:vAlign w:val="center"/>
          </w:tcPr>
          <w:p w14:paraId="622168D0">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886" w:type="dxa"/>
            <w:tcBorders>
              <w:top w:val="single" w:color="auto" w:sz="4" w:space="0"/>
              <w:left w:val="single" w:color="auto" w:sz="4" w:space="0"/>
              <w:bottom w:val="single" w:color="auto" w:sz="4" w:space="0"/>
              <w:right w:val="single" w:color="auto" w:sz="4" w:space="0"/>
            </w:tcBorders>
            <w:noWrap w:val="0"/>
            <w:vAlign w:val="center"/>
          </w:tcPr>
          <w:p w14:paraId="54E85CFF">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990" w:type="dxa"/>
            <w:tcBorders>
              <w:top w:val="single" w:color="auto" w:sz="4" w:space="0"/>
              <w:left w:val="single" w:color="auto" w:sz="4" w:space="0"/>
              <w:bottom w:val="single" w:color="auto" w:sz="4" w:space="0"/>
              <w:right w:val="single" w:color="auto" w:sz="4" w:space="0"/>
            </w:tcBorders>
            <w:noWrap w:val="0"/>
            <w:vAlign w:val="center"/>
          </w:tcPr>
          <w:p w14:paraId="117830D1">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991" w:type="dxa"/>
            <w:tcBorders>
              <w:top w:val="single" w:color="auto" w:sz="4" w:space="0"/>
              <w:left w:val="single" w:color="auto" w:sz="4" w:space="0"/>
              <w:bottom w:val="single" w:color="auto" w:sz="4" w:space="0"/>
              <w:right w:val="single" w:color="auto" w:sz="12" w:space="0"/>
            </w:tcBorders>
            <w:noWrap w:val="0"/>
            <w:vAlign w:val="center"/>
          </w:tcPr>
          <w:p w14:paraId="258391C2">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r>
    </w:tbl>
    <w:p w14:paraId="37EB32CD">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rPr>
        <w:t>说明：1</w:t>
      </w:r>
      <w:r>
        <w:rPr>
          <w:rFonts w:hint="eastAsia" w:ascii="宋体" w:hAnsi="宋体" w:eastAsia="宋体" w:cs="宋体"/>
          <w:color w:val="auto"/>
          <w:kern w:val="0"/>
          <w:sz w:val="24"/>
          <w:szCs w:val="24"/>
          <w:highlight w:val="none"/>
        </w:rPr>
        <w:t xml:space="preserve">、如所报产品为节能产品，请按要求逐项填写； </w:t>
      </w:r>
    </w:p>
    <w:p w14:paraId="7EFC9020">
      <w:pPr>
        <w:pageBreakBefore w:val="0"/>
        <w:kinsoku/>
        <w:wordWrap/>
        <w:overflowPunct/>
        <w:topLinePunct w:val="0"/>
        <w:autoSpaceDE w:val="0"/>
        <w:autoSpaceDN w:val="0"/>
        <w:bidi w:val="0"/>
        <w:adjustRightInd w:val="0"/>
        <w:spacing w:line="560" w:lineRule="exact"/>
        <w:ind w:left="117" w:leftChars="56" w:firstLine="600" w:firstLineChars="250"/>
        <w:jc w:val="left"/>
        <w:textAlignment w:val="auto"/>
        <w:outlineLvl w:val="9"/>
        <w:rPr>
          <w:rFonts w:hint="eastAsia" w:ascii="宋体" w:hAnsi="宋体" w:eastAsia="宋体" w:cs="宋体"/>
          <w:color w:val="auto"/>
          <w:kern w:val="0"/>
          <w:sz w:val="24"/>
          <w:szCs w:val="24"/>
        </w:rPr>
      </w:pPr>
      <w:r>
        <w:rPr>
          <w:rFonts w:hint="eastAsia" w:ascii="宋体" w:hAnsi="宋体" w:cs="宋体"/>
          <w:color w:val="auto"/>
          <w:kern w:val="0"/>
          <w:sz w:val="24"/>
          <w:szCs w:val="24"/>
          <w:highlight w:val="none"/>
          <w:lang w:eastAsia="zh-CN"/>
        </w:rPr>
        <w:t>2.</w:t>
      </w:r>
      <w:r>
        <w:rPr>
          <w:rFonts w:hint="eastAsia" w:ascii="宋体" w:hAnsi="宋体" w:eastAsia="宋体" w:cs="宋体"/>
          <w:color w:val="auto"/>
          <w:kern w:val="0"/>
          <w:sz w:val="24"/>
          <w:szCs w:val="24"/>
          <w:highlight w:val="none"/>
        </w:rPr>
        <w:t>需</w:t>
      </w:r>
      <w:r>
        <w:rPr>
          <w:rFonts w:hint="eastAsia" w:ascii="宋体" w:hAnsi="宋体" w:eastAsia="宋体" w:cs="宋体"/>
          <w:color w:val="auto"/>
          <w:kern w:val="0"/>
          <w:sz w:val="24"/>
          <w:szCs w:val="24"/>
          <w:highlight w:val="none"/>
          <w:lang w:val="en-US" w:eastAsia="zh-CN"/>
        </w:rPr>
        <w:t>附</w:t>
      </w:r>
      <w:r>
        <w:rPr>
          <w:rFonts w:hint="eastAsia" w:ascii="宋体" w:hAnsi="宋体" w:eastAsia="宋体" w:cs="宋体"/>
          <w:color w:val="auto"/>
          <w:kern w:val="0"/>
          <w:sz w:val="24"/>
          <w:szCs w:val="24"/>
          <w:highlight w:val="none"/>
        </w:rPr>
        <w:t>节能产品认证证书，且证书内产品型号与所报产品型号完全一致，否则不予</w:t>
      </w:r>
      <w:r>
        <w:rPr>
          <w:rFonts w:hint="eastAsia" w:ascii="宋体" w:hAnsi="宋体" w:eastAsia="宋体" w:cs="宋体"/>
          <w:color w:val="auto"/>
          <w:kern w:val="0"/>
          <w:sz w:val="24"/>
          <w:szCs w:val="24"/>
          <w:highlight w:val="none"/>
          <w:lang w:val="en-US" w:eastAsia="zh-CN"/>
        </w:rPr>
        <w:t>认可</w:t>
      </w:r>
      <w:r>
        <w:rPr>
          <w:rFonts w:hint="eastAsia" w:ascii="宋体" w:hAnsi="宋体" w:eastAsia="宋体" w:cs="宋体"/>
          <w:color w:val="auto"/>
          <w:kern w:val="0"/>
          <w:sz w:val="24"/>
          <w:szCs w:val="24"/>
          <w:highlight w:val="none"/>
        </w:rPr>
        <w:t>（非强制节能产品）；</w:t>
      </w:r>
      <w:r>
        <w:rPr>
          <w:rFonts w:hint="eastAsia" w:ascii="宋体" w:hAnsi="宋体" w:eastAsia="宋体" w:cs="宋体"/>
          <w:b/>
          <w:bCs/>
          <w:color w:val="auto"/>
          <w:kern w:val="0"/>
          <w:sz w:val="24"/>
          <w:szCs w:val="24"/>
          <w:highlight w:val="none"/>
        </w:rPr>
        <w:t>如为强制节能产品，未提供产品认证证书或证书内产品型号与所报产品型号不完全一致的，将被认定为</w:t>
      </w:r>
      <w:r>
        <w:rPr>
          <w:rFonts w:hint="eastAsia" w:ascii="宋体" w:hAnsi="宋体" w:eastAsia="宋体" w:cs="宋体"/>
          <w:b/>
          <w:bCs/>
          <w:color w:val="auto"/>
          <w:kern w:val="0"/>
          <w:sz w:val="24"/>
          <w:szCs w:val="24"/>
          <w:highlight w:val="none"/>
          <w:lang w:val="en-US" w:eastAsia="zh-CN"/>
        </w:rPr>
        <w:t>响应</w:t>
      </w:r>
      <w:r>
        <w:rPr>
          <w:rFonts w:hint="eastAsia" w:ascii="宋体" w:hAnsi="宋体" w:eastAsia="宋体" w:cs="宋体"/>
          <w:b/>
          <w:bCs/>
          <w:color w:val="auto"/>
          <w:kern w:val="0"/>
          <w:sz w:val="24"/>
          <w:szCs w:val="24"/>
          <w:highlight w:val="none"/>
        </w:rPr>
        <w:t>无效。</w:t>
      </w:r>
    </w:p>
    <w:p w14:paraId="3E050C90">
      <w:pPr>
        <w:pStyle w:val="32"/>
        <w:ind w:left="0" w:leftChars="0" w:firstLine="0" w:firstLineChars="0"/>
        <w:outlineLvl w:val="9"/>
        <w:rPr>
          <w:rFonts w:hint="eastAsia"/>
          <w:color w:val="auto"/>
        </w:rPr>
      </w:pPr>
    </w:p>
    <w:p w14:paraId="1601A40F">
      <w:pPr>
        <w:pageBreakBefore w:val="0"/>
        <w:kinsoku/>
        <w:wordWrap/>
        <w:overflowPunct/>
        <w:topLinePunct w:val="0"/>
        <w:bidi w:val="0"/>
        <w:spacing w:line="560" w:lineRule="exact"/>
        <w:jc w:val="center"/>
        <w:textAlignment w:val="auto"/>
        <w:outlineLvl w:val="9"/>
        <w:rPr>
          <w:rFonts w:hint="eastAsia" w:ascii="宋体" w:hAnsi="宋体" w:eastAsia="宋体" w:cs="宋体"/>
          <w:color w:val="auto"/>
          <w:sz w:val="24"/>
          <w:szCs w:val="24"/>
          <w:u w:val="none"/>
        </w:rPr>
      </w:pPr>
      <w:bookmarkStart w:id="417" w:name="_Toc46238287"/>
      <w:bookmarkStart w:id="418" w:name="_Toc22269"/>
      <w:bookmarkStart w:id="419" w:name="_Toc46136870"/>
      <w:bookmarkStart w:id="420" w:name="_Toc27413_WPSOffice_Level2"/>
      <w:r>
        <w:rPr>
          <w:rFonts w:hint="eastAsia" w:ascii="宋体" w:hAnsi="宋体" w:eastAsia="宋体" w:cs="宋体"/>
          <w:b/>
          <w:bCs/>
          <w:color w:val="auto"/>
          <w:sz w:val="24"/>
          <w:szCs w:val="24"/>
          <w:u w:val="none"/>
        </w:rPr>
        <w:t>进口产品明细表</w:t>
      </w:r>
      <w:bookmarkEnd w:id="417"/>
      <w:bookmarkEnd w:id="418"/>
      <w:bookmarkEnd w:id="419"/>
      <w:bookmarkEnd w:id="420"/>
    </w:p>
    <w:p w14:paraId="5670ADDE">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p>
    <w:p w14:paraId="173FEFDE">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项目编号</w:t>
      </w: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项目名称</w:t>
      </w:r>
      <w:r>
        <w:rPr>
          <w:rFonts w:hint="eastAsia" w:ascii="宋体" w:hAnsi="宋体" w:eastAsia="宋体" w:cs="宋体"/>
          <w:color w:val="auto"/>
          <w:kern w:val="0"/>
          <w:sz w:val="24"/>
          <w:szCs w:val="24"/>
        </w:rPr>
        <w:t xml:space="preserve">：                </w:t>
      </w:r>
      <w:r>
        <w:rPr>
          <w:rFonts w:hint="eastAsia" w:ascii="宋体" w:hAnsi="宋体" w:eastAsia="宋体" w:cs="宋体"/>
          <w:color w:val="auto"/>
          <w:kern w:val="0"/>
          <w:sz w:val="24"/>
          <w:szCs w:val="24"/>
          <w:lang w:val="en-US" w:eastAsia="zh-CN"/>
        </w:rPr>
        <w:t xml:space="preserve">  </w:t>
      </w:r>
      <w:r>
        <w:rPr>
          <w:rFonts w:hint="eastAsia" w:ascii="宋体" w:hAnsi="宋体" w:cs="宋体"/>
          <w:color w:val="auto"/>
          <w:kern w:val="0"/>
          <w:sz w:val="24"/>
          <w:szCs w:val="24"/>
          <w:lang w:val="en-US" w:eastAsia="zh-CN"/>
        </w:rPr>
        <w:t xml:space="preserve">     </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报价单位：人民币元</w:t>
      </w:r>
    </w:p>
    <w:tbl>
      <w:tblPr>
        <w:tblStyle w:val="33"/>
        <w:tblpPr w:leftFromText="180" w:rightFromText="180" w:vertAnchor="text" w:horzAnchor="margin" w:tblpXSpec="center" w:tblpY="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1245"/>
        <w:gridCol w:w="1267"/>
        <w:gridCol w:w="1479"/>
        <w:gridCol w:w="1759"/>
        <w:gridCol w:w="1126"/>
        <w:gridCol w:w="1126"/>
        <w:gridCol w:w="1275"/>
      </w:tblGrid>
      <w:tr w14:paraId="2B9EF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40" w:type="dxa"/>
            <w:vMerge w:val="restart"/>
            <w:tcBorders>
              <w:top w:val="single" w:color="auto" w:sz="12" w:space="0"/>
              <w:left w:val="single" w:color="auto" w:sz="12" w:space="0"/>
              <w:bottom w:val="single" w:color="auto" w:sz="4" w:space="0"/>
              <w:right w:val="single" w:color="auto" w:sz="4" w:space="0"/>
            </w:tcBorders>
            <w:noWrap w:val="0"/>
            <w:vAlign w:val="top"/>
          </w:tcPr>
          <w:p w14:paraId="29C11D27">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p w14:paraId="337ECA60">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序号</w:t>
            </w:r>
          </w:p>
          <w:p w14:paraId="11B56068">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p w14:paraId="2B6AA489">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245" w:type="dxa"/>
            <w:vMerge w:val="restart"/>
            <w:tcBorders>
              <w:top w:val="single" w:color="auto" w:sz="12" w:space="0"/>
              <w:left w:val="single" w:color="auto" w:sz="4" w:space="0"/>
              <w:bottom w:val="single" w:color="auto" w:sz="4" w:space="0"/>
              <w:right w:val="single" w:color="auto" w:sz="4" w:space="0"/>
            </w:tcBorders>
            <w:noWrap w:val="0"/>
            <w:vAlign w:val="top"/>
          </w:tcPr>
          <w:p w14:paraId="2AF7A0BD">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p>
          <w:p w14:paraId="3CECF180">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p>
          <w:p w14:paraId="6B968705">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货物名称</w:t>
            </w:r>
          </w:p>
        </w:tc>
        <w:tc>
          <w:tcPr>
            <w:tcW w:w="1267" w:type="dxa"/>
            <w:vMerge w:val="restart"/>
            <w:tcBorders>
              <w:top w:val="single" w:color="auto" w:sz="12" w:space="0"/>
              <w:left w:val="single" w:color="auto" w:sz="4" w:space="0"/>
              <w:bottom w:val="single" w:color="auto" w:sz="4" w:space="0"/>
              <w:right w:val="single" w:color="auto" w:sz="4" w:space="0"/>
            </w:tcBorders>
            <w:noWrap w:val="0"/>
            <w:vAlign w:val="top"/>
          </w:tcPr>
          <w:p w14:paraId="342BE988">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p w14:paraId="49F20975">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p w14:paraId="43C3B1C7">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制造商</w:t>
            </w:r>
          </w:p>
        </w:tc>
        <w:tc>
          <w:tcPr>
            <w:tcW w:w="1479" w:type="dxa"/>
            <w:vMerge w:val="restart"/>
            <w:tcBorders>
              <w:top w:val="single" w:color="auto" w:sz="12" w:space="0"/>
              <w:left w:val="single" w:color="auto" w:sz="4" w:space="0"/>
              <w:bottom w:val="single" w:color="auto" w:sz="4" w:space="0"/>
              <w:right w:val="single" w:color="auto" w:sz="4" w:space="0"/>
            </w:tcBorders>
            <w:noWrap w:val="0"/>
            <w:vAlign w:val="top"/>
          </w:tcPr>
          <w:p w14:paraId="448D364B">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p w14:paraId="3821AB53">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p>
          <w:p w14:paraId="6825F8D8">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品牌型号</w:t>
            </w:r>
          </w:p>
        </w:tc>
        <w:tc>
          <w:tcPr>
            <w:tcW w:w="1759" w:type="dxa"/>
            <w:vMerge w:val="restart"/>
            <w:tcBorders>
              <w:top w:val="single" w:color="auto" w:sz="12" w:space="0"/>
              <w:left w:val="single" w:color="auto" w:sz="4" w:space="0"/>
              <w:bottom w:val="single" w:color="auto" w:sz="4" w:space="0"/>
              <w:right w:val="single" w:color="auto" w:sz="4" w:space="0"/>
            </w:tcBorders>
            <w:noWrap w:val="0"/>
            <w:vAlign w:val="top"/>
          </w:tcPr>
          <w:p w14:paraId="11D0BB2E">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p w14:paraId="16395C41">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p w14:paraId="4E234F65">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产地</w:t>
            </w:r>
          </w:p>
        </w:tc>
        <w:tc>
          <w:tcPr>
            <w:tcW w:w="3527" w:type="dxa"/>
            <w:gridSpan w:val="3"/>
            <w:tcBorders>
              <w:top w:val="single" w:color="auto" w:sz="12" w:space="0"/>
              <w:left w:val="single" w:color="auto" w:sz="4" w:space="0"/>
              <w:bottom w:val="single" w:color="auto" w:sz="4" w:space="0"/>
              <w:right w:val="single" w:color="auto" w:sz="12" w:space="0"/>
            </w:tcBorders>
            <w:noWrap w:val="0"/>
            <w:vAlign w:val="top"/>
          </w:tcPr>
          <w:p w14:paraId="1D8AA216">
            <w:pPr>
              <w:pageBreakBefore w:val="0"/>
              <w:kinsoku/>
              <w:wordWrap/>
              <w:overflowPunct/>
              <w:topLinePunct w:val="0"/>
              <w:autoSpaceDE w:val="0"/>
              <w:autoSpaceDN w:val="0"/>
              <w:bidi w:val="0"/>
              <w:adjustRightInd w:val="0"/>
              <w:spacing w:line="560" w:lineRule="exact"/>
              <w:ind w:firstLine="1200" w:firstLineChars="50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价格</w:t>
            </w:r>
          </w:p>
        </w:tc>
      </w:tr>
      <w:tr w14:paraId="53381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740" w:type="dxa"/>
            <w:vMerge w:val="continue"/>
            <w:tcBorders>
              <w:top w:val="single" w:color="auto" w:sz="12" w:space="0"/>
              <w:left w:val="single" w:color="auto" w:sz="12" w:space="0"/>
              <w:bottom w:val="single" w:color="auto" w:sz="4" w:space="0"/>
              <w:right w:val="single" w:color="auto" w:sz="4" w:space="0"/>
            </w:tcBorders>
            <w:noWrap w:val="0"/>
            <w:vAlign w:val="center"/>
          </w:tcPr>
          <w:p w14:paraId="7F077AA4">
            <w:pPr>
              <w:pageBreakBefore w:val="0"/>
              <w:widowControl/>
              <w:kinsoku/>
              <w:wordWrap/>
              <w:overflowPunct/>
              <w:topLinePunct w:val="0"/>
              <w:bidi w:val="0"/>
              <w:spacing w:line="560" w:lineRule="exact"/>
              <w:jc w:val="left"/>
              <w:textAlignment w:val="auto"/>
              <w:outlineLvl w:val="9"/>
              <w:rPr>
                <w:rFonts w:hint="eastAsia" w:ascii="宋体" w:hAnsi="宋体" w:eastAsia="宋体" w:cs="宋体"/>
                <w:color w:val="auto"/>
                <w:kern w:val="0"/>
                <w:sz w:val="24"/>
                <w:szCs w:val="24"/>
              </w:rPr>
            </w:pPr>
          </w:p>
        </w:tc>
        <w:tc>
          <w:tcPr>
            <w:tcW w:w="1245" w:type="dxa"/>
            <w:vMerge w:val="continue"/>
            <w:tcBorders>
              <w:top w:val="single" w:color="auto" w:sz="12" w:space="0"/>
              <w:left w:val="single" w:color="auto" w:sz="4" w:space="0"/>
              <w:bottom w:val="single" w:color="auto" w:sz="4" w:space="0"/>
              <w:right w:val="single" w:color="auto" w:sz="4" w:space="0"/>
            </w:tcBorders>
            <w:noWrap w:val="0"/>
            <w:vAlign w:val="center"/>
          </w:tcPr>
          <w:p w14:paraId="6CE7C69F">
            <w:pPr>
              <w:pageBreakBefore w:val="0"/>
              <w:widowControl/>
              <w:kinsoku/>
              <w:wordWrap/>
              <w:overflowPunct/>
              <w:topLinePunct w:val="0"/>
              <w:bidi w:val="0"/>
              <w:spacing w:line="560" w:lineRule="exact"/>
              <w:jc w:val="left"/>
              <w:textAlignment w:val="auto"/>
              <w:outlineLvl w:val="9"/>
              <w:rPr>
                <w:rFonts w:hint="eastAsia" w:ascii="宋体" w:hAnsi="宋体" w:eastAsia="宋体" w:cs="宋体"/>
                <w:color w:val="auto"/>
                <w:kern w:val="0"/>
                <w:sz w:val="24"/>
                <w:szCs w:val="24"/>
              </w:rPr>
            </w:pPr>
          </w:p>
        </w:tc>
        <w:tc>
          <w:tcPr>
            <w:tcW w:w="1267" w:type="dxa"/>
            <w:vMerge w:val="continue"/>
            <w:tcBorders>
              <w:top w:val="single" w:color="auto" w:sz="12" w:space="0"/>
              <w:left w:val="single" w:color="auto" w:sz="4" w:space="0"/>
              <w:bottom w:val="single" w:color="auto" w:sz="4" w:space="0"/>
              <w:right w:val="single" w:color="auto" w:sz="4" w:space="0"/>
            </w:tcBorders>
            <w:noWrap w:val="0"/>
            <w:vAlign w:val="center"/>
          </w:tcPr>
          <w:p w14:paraId="42578794">
            <w:pPr>
              <w:pageBreakBefore w:val="0"/>
              <w:widowControl/>
              <w:kinsoku/>
              <w:wordWrap/>
              <w:overflowPunct/>
              <w:topLinePunct w:val="0"/>
              <w:bidi w:val="0"/>
              <w:spacing w:line="560" w:lineRule="exact"/>
              <w:jc w:val="left"/>
              <w:textAlignment w:val="auto"/>
              <w:outlineLvl w:val="9"/>
              <w:rPr>
                <w:rFonts w:hint="eastAsia" w:ascii="宋体" w:hAnsi="宋体" w:eastAsia="宋体" w:cs="宋体"/>
                <w:color w:val="auto"/>
                <w:kern w:val="0"/>
                <w:sz w:val="24"/>
                <w:szCs w:val="24"/>
              </w:rPr>
            </w:pPr>
          </w:p>
        </w:tc>
        <w:tc>
          <w:tcPr>
            <w:tcW w:w="1479" w:type="dxa"/>
            <w:vMerge w:val="continue"/>
            <w:tcBorders>
              <w:top w:val="single" w:color="auto" w:sz="12" w:space="0"/>
              <w:left w:val="single" w:color="auto" w:sz="4" w:space="0"/>
              <w:bottom w:val="single" w:color="auto" w:sz="4" w:space="0"/>
              <w:right w:val="single" w:color="auto" w:sz="4" w:space="0"/>
            </w:tcBorders>
            <w:noWrap w:val="0"/>
            <w:vAlign w:val="center"/>
          </w:tcPr>
          <w:p w14:paraId="56C571C8">
            <w:pPr>
              <w:pageBreakBefore w:val="0"/>
              <w:widowControl/>
              <w:kinsoku/>
              <w:wordWrap/>
              <w:overflowPunct/>
              <w:topLinePunct w:val="0"/>
              <w:bidi w:val="0"/>
              <w:spacing w:line="560" w:lineRule="exact"/>
              <w:jc w:val="left"/>
              <w:textAlignment w:val="auto"/>
              <w:outlineLvl w:val="9"/>
              <w:rPr>
                <w:rFonts w:hint="eastAsia" w:ascii="宋体" w:hAnsi="宋体" w:eastAsia="宋体" w:cs="宋体"/>
                <w:color w:val="auto"/>
                <w:kern w:val="0"/>
                <w:sz w:val="24"/>
                <w:szCs w:val="24"/>
              </w:rPr>
            </w:pPr>
          </w:p>
        </w:tc>
        <w:tc>
          <w:tcPr>
            <w:tcW w:w="1759" w:type="dxa"/>
            <w:vMerge w:val="continue"/>
            <w:tcBorders>
              <w:top w:val="single" w:color="auto" w:sz="12" w:space="0"/>
              <w:left w:val="single" w:color="auto" w:sz="4" w:space="0"/>
              <w:bottom w:val="single" w:color="auto" w:sz="4" w:space="0"/>
              <w:right w:val="single" w:color="auto" w:sz="4" w:space="0"/>
            </w:tcBorders>
            <w:noWrap w:val="0"/>
            <w:vAlign w:val="center"/>
          </w:tcPr>
          <w:p w14:paraId="3BA8397C">
            <w:pPr>
              <w:pageBreakBefore w:val="0"/>
              <w:widowControl/>
              <w:kinsoku/>
              <w:wordWrap/>
              <w:overflowPunct/>
              <w:topLinePunct w:val="0"/>
              <w:bidi w:val="0"/>
              <w:spacing w:line="560" w:lineRule="exact"/>
              <w:jc w:val="left"/>
              <w:textAlignment w:val="auto"/>
              <w:outlineLvl w:val="9"/>
              <w:rPr>
                <w:rFonts w:hint="eastAsia" w:ascii="宋体" w:hAnsi="宋体" w:eastAsia="宋体" w:cs="宋体"/>
                <w:color w:val="auto"/>
                <w:kern w:val="0"/>
                <w:sz w:val="24"/>
                <w:szCs w:val="24"/>
              </w:rPr>
            </w:pPr>
          </w:p>
        </w:tc>
        <w:tc>
          <w:tcPr>
            <w:tcW w:w="1126" w:type="dxa"/>
            <w:tcBorders>
              <w:top w:val="single" w:color="auto" w:sz="4" w:space="0"/>
              <w:left w:val="single" w:color="auto" w:sz="4" w:space="0"/>
              <w:bottom w:val="single" w:color="auto" w:sz="4" w:space="0"/>
              <w:right w:val="single" w:color="auto" w:sz="4" w:space="0"/>
            </w:tcBorders>
            <w:noWrap w:val="0"/>
            <w:vAlign w:val="top"/>
          </w:tcPr>
          <w:p w14:paraId="5870F355">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p>
          <w:p w14:paraId="546F2888">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单价</w:t>
            </w:r>
          </w:p>
        </w:tc>
        <w:tc>
          <w:tcPr>
            <w:tcW w:w="1126" w:type="dxa"/>
            <w:tcBorders>
              <w:top w:val="single" w:color="auto" w:sz="4" w:space="0"/>
              <w:left w:val="single" w:color="auto" w:sz="4" w:space="0"/>
              <w:bottom w:val="single" w:color="auto" w:sz="4" w:space="0"/>
              <w:right w:val="single" w:color="auto" w:sz="4" w:space="0"/>
            </w:tcBorders>
            <w:noWrap w:val="0"/>
            <w:vAlign w:val="top"/>
          </w:tcPr>
          <w:p w14:paraId="02119D8C">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p>
          <w:p w14:paraId="377195BA">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数量</w:t>
            </w:r>
          </w:p>
        </w:tc>
        <w:tc>
          <w:tcPr>
            <w:tcW w:w="1275" w:type="dxa"/>
            <w:tcBorders>
              <w:top w:val="single" w:color="auto" w:sz="4" w:space="0"/>
              <w:left w:val="single" w:color="auto" w:sz="4" w:space="0"/>
              <w:bottom w:val="single" w:color="auto" w:sz="4" w:space="0"/>
              <w:right w:val="single" w:color="auto" w:sz="12" w:space="0"/>
            </w:tcBorders>
            <w:noWrap w:val="0"/>
            <w:vAlign w:val="top"/>
          </w:tcPr>
          <w:p w14:paraId="3783132A">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p>
          <w:p w14:paraId="432B2A1D">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小计</w:t>
            </w:r>
          </w:p>
        </w:tc>
      </w:tr>
      <w:tr w14:paraId="5D85F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40" w:type="dxa"/>
            <w:tcBorders>
              <w:top w:val="single" w:color="auto" w:sz="4" w:space="0"/>
              <w:left w:val="single" w:color="auto" w:sz="12" w:space="0"/>
              <w:bottom w:val="single" w:color="auto" w:sz="4" w:space="0"/>
              <w:right w:val="single" w:color="auto" w:sz="4" w:space="0"/>
            </w:tcBorders>
            <w:noWrap w:val="0"/>
            <w:vAlign w:val="center"/>
          </w:tcPr>
          <w:p w14:paraId="7212AF9A">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c>
          <w:tcPr>
            <w:tcW w:w="1245" w:type="dxa"/>
            <w:tcBorders>
              <w:top w:val="single" w:color="auto" w:sz="4" w:space="0"/>
              <w:left w:val="single" w:color="auto" w:sz="4" w:space="0"/>
              <w:bottom w:val="single" w:color="auto" w:sz="4" w:space="0"/>
              <w:right w:val="single" w:color="auto" w:sz="4" w:space="0"/>
            </w:tcBorders>
            <w:noWrap w:val="0"/>
            <w:vAlign w:val="top"/>
          </w:tcPr>
          <w:p w14:paraId="1094C12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267" w:type="dxa"/>
            <w:tcBorders>
              <w:top w:val="single" w:color="auto" w:sz="4" w:space="0"/>
              <w:left w:val="single" w:color="auto" w:sz="4" w:space="0"/>
              <w:bottom w:val="single" w:color="auto" w:sz="4" w:space="0"/>
              <w:right w:val="single" w:color="auto" w:sz="4" w:space="0"/>
            </w:tcBorders>
            <w:noWrap w:val="0"/>
            <w:vAlign w:val="top"/>
          </w:tcPr>
          <w:p w14:paraId="4AD7368C">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479" w:type="dxa"/>
            <w:tcBorders>
              <w:top w:val="single" w:color="auto" w:sz="4" w:space="0"/>
              <w:left w:val="single" w:color="auto" w:sz="4" w:space="0"/>
              <w:bottom w:val="single" w:color="auto" w:sz="4" w:space="0"/>
              <w:right w:val="single" w:color="auto" w:sz="4" w:space="0"/>
            </w:tcBorders>
            <w:noWrap w:val="0"/>
            <w:vAlign w:val="top"/>
          </w:tcPr>
          <w:p w14:paraId="39472536">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759" w:type="dxa"/>
            <w:tcBorders>
              <w:top w:val="single" w:color="auto" w:sz="4" w:space="0"/>
              <w:left w:val="single" w:color="auto" w:sz="4" w:space="0"/>
              <w:bottom w:val="single" w:color="auto" w:sz="4" w:space="0"/>
              <w:right w:val="single" w:color="auto" w:sz="4" w:space="0"/>
            </w:tcBorders>
            <w:noWrap w:val="0"/>
            <w:vAlign w:val="top"/>
          </w:tcPr>
          <w:p w14:paraId="27672C6B">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126" w:type="dxa"/>
            <w:tcBorders>
              <w:top w:val="single" w:color="auto" w:sz="4" w:space="0"/>
              <w:left w:val="single" w:color="auto" w:sz="4" w:space="0"/>
              <w:bottom w:val="single" w:color="auto" w:sz="4" w:space="0"/>
              <w:right w:val="single" w:color="auto" w:sz="4" w:space="0"/>
            </w:tcBorders>
            <w:noWrap w:val="0"/>
            <w:vAlign w:val="top"/>
          </w:tcPr>
          <w:p w14:paraId="2695C86A">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126" w:type="dxa"/>
            <w:tcBorders>
              <w:top w:val="single" w:color="auto" w:sz="4" w:space="0"/>
              <w:left w:val="single" w:color="auto" w:sz="4" w:space="0"/>
              <w:bottom w:val="single" w:color="auto" w:sz="4" w:space="0"/>
              <w:right w:val="single" w:color="auto" w:sz="4" w:space="0"/>
            </w:tcBorders>
            <w:noWrap w:val="0"/>
            <w:vAlign w:val="top"/>
          </w:tcPr>
          <w:p w14:paraId="2702463C">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275" w:type="dxa"/>
            <w:tcBorders>
              <w:top w:val="single" w:color="auto" w:sz="4" w:space="0"/>
              <w:left w:val="single" w:color="auto" w:sz="4" w:space="0"/>
              <w:bottom w:val="single" w:color="auto" w:sz="4" w:space="0"/>
              <w:right w:val="single" w:color="auto" w:sz="12" w:space="0"/>
            </w:tcBorders>
            <w:noWrap w:val="0"/>
            <w:vAlign w:val="top"/>
          </w:tcPr>
          <w:p w14:paraId="2E4D217E">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r>
      <w:tr w14:paraId="13F6B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40" w:type="dxa"/>
            <w:tcBorders>
              <w:top w:val="single" w:color="auto" w:sz="4" w:space="0"/>
              <w:left w:val="single" w:color="auto" w:sz="12" w:space="0"/>
              <w:bottom w:val="single" w:color="auto" w:sz="4" w:space="0"/>
              <w:right w:val="single" w:color="auto" w:sz="4" w:space="0"/>
            </w:tcBorders>
            <w:noWrap w:val="0"/>
            <w:vAlign w:val="center"/>
          </w:tcPr>
          <w:p w14:paraId="2088376D">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p w14:paraId="10AE155A">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p>
        </w:tc>
        <w:tc>
          <w:tcPr>
            <w:tcW w:w="1245" w:type="dxa"/>
            <w:tcBorders>
              <w:top w:val="single" w:color="auto" w:sz="4" w:space="0"/>
              <w:left w:val="single" w:color="auto" w:sz="4" w:space="0"/>
              <w:bottom w:val="single" w:color="auto" w:sz="4" w:space="0"/>
              <w:right w:val="single" w:color="auto" w:sz="4" w:space="0"/>
            </w:tcBorders>
            <w:noWrap w:val="0"/>
            <w:vAlign w:val="top"/>
          </w:tcPr>
          <w:p w14:paraId="697322D8">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267" w:type="dxa"/>
            <w:tcBorders>
              <w:top w:val="single" w:color="auto" w:sz="4" w:space="0"/>
              <w:left w:val="single" w:color="auto" w:sz="4" w:space="0"/>
              <w:bottom w:val="single" w:color="auto" w:sz="4" w:space="0"/>
              <w:right w:val="single" w:color="auto" w:sz="4" w:space="0"/>
            </w:tcBorders>
            <w:noWrap w:val="0"/>
            <w:vAlign w:val="top"/>
          </w:tcPr>
          <w:p w14:paraId="277EEFA6">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479" w:type="dxa"/>
            <w:tcBorders>
              <w:top w:val="single" w:color="auto" w:sz="4" w:space="0"/>
              <w:left w:val="single" w:color="auto" w:sz="4" w:space="0"/>
              <w:bottom w:val="single" w:color="auto" w:sz="4" w:space="0"/>
              <w:right w:val="single" w:color="auto" w:sz="4" w:space="0"/>
            </w:tcBorders>
            <w:noWrap w:val="0"/>
            <w:vAlign w:val="top"/>
          </w:tcPr>
          <w:p w14:paraId="3F709873">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759" w:type="dxa"/>
            <w:tcBorders>
              <w:top w:val="single" w:color="auto" w:sz="4" w:space="0"/>
              <w:left w:val="single" w:color="auto" w:sz="4" w:space="0"/>
              <w:bottom w:val="single" w:color="auto" w:sz="4" w:space="0"/>
              <w:right w:val="single" w:color="auto" w:sz="4" w:space="0"/>
            </w:tcBorders>
            <w:noWrap w:val="0"/>
            <w:vAlign w:val="top"/>
          </w:tcPr>
          <w:p w14:paraId="52F97659">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126" w:type="dxa"/>
            <w:tcBorders>
              <w:top w:val="single" w:color="auto" w:sz="4" w:space="0"/>
              <w:left w:val="single" w:color="auto" w:sz="4" w:space="0"/>
              <w:bottom w:val="single" w:color="auto" w:sz="4" w:space="0"/>
              <w:right w:val="single" w:color="auto" w:sz="4" w:space="0"/>
            </w:tcBorders>
            <w:noWrap w:val="0"/>
            <w:vAlign w:val="top"/>
          </w:tcPr>
          <w:p w14:paraId="2AD1259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126" w:type="dxa"/>
            <w:tcBorders>
              <w:top w:val="single" w:color="auto" w:sz="4" w:space="0"/>
              <w:left w:val="single" w:color="auto" w:sz="4" w:space="0"/>
              <w:bottom w:val="single" w:color="auto" w:sz="4" w:space="0"/>
              <w:right w:val="single" w:color="auto" w:sz="4" w:space="0"/>
            </w:tcBorders>
            <w:noWrap w:val="0"/>
            <w:vAlign w:val="top"/>
          </w:tcPr>
          <w:p w14:paraId="24978085">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275" w:type="dxa"/>
            <w:tcBorders>
              <w:top w:val="single" w:color="auto" w:sz="4" w:space="0"/>
              <w:left w:val="single" w:color="auto" w:sz="4" w:space="0"/>
              <w:bottom w:val="single" w:color="auto" w:sz="4" w:space="0"/>
              <w:right w:val="single" w:color="auto" w:sz="12" w:space="0"/>
            </w:tcBorders>
            <w:noWrap w:val="0"/>
            <w:vAlign w:val="top"/>
          </w:tcPr>
          <w:p w14:paraId="30BC3377">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r>
      <w:tr w14:paraId="03204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40" w:type="dxa"/>
            <w:tcBorders>
              <w:top w:val="single" w:color="auto" w:sz="4" w:space="0"/>
              <w:left w:val="single" w:color="auto" w:sz="12" w:space="0"/>
              <w:bottom w:val="single" w:color="auto" w:sz="4" w:space="0"/>
              <w:right w:val="single" w:color="auto" w:sz="4" w:space="0"/>
            </w:tcBorders>
            <w:noWrap w:val="0"/>
            <w:vAlign w:val="center"/>
          </w:tcPr>
          <w:p w14:paraId="1C6CA102">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p w14:paraId="568AF73B">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w:t>
            </w:r>
          </w:p>
        </w:tc>
        <w:tc>
          <w:tcPr>
            <w:tcW w:w="1245" w:type="dxa"/>
            <w:tcBorders>
              <w:top w:val="single" w:color="auto" w:sz="4" w:space="0"/>
              <w:left w:val="single" w:color="auto" w:sz="4" w:space="0"/>
              <w:bottom w:val="single" w:color="auto" w:sz="4" w:space="0"/>
              <w:right w:val="single" w:color="auto" w:sz="4" w:space="0"/>
            </w:tcBorders>
            <w:noWrap w:val="0"/>
            <w:vAlign w:val="top"/>
          </w:tcPr>
          <w:p w14:paraId="38A937B6">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p w14:paraId="69DB44D1">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p>
        </w:tc>
        <w:tc>
          <w:tcPr>
            <w:tcW w:w="1267" w:type="dxa"/>
            <w:tcBorders>
              <w:top w:val="single" w:color="auto" w:sz="4" w:space="0"/>
              <w:left w:val="single" w:color="auto" w:sz="4" w:space="0"/>
              <w:bottom w:val="single" w:color="auto" w:sz="4" w:space="0"/>
              <w:right w:val="single" w:color="auto" w:sz="4" w:space="0"/>
            </w:tcBorders>
            <w:noWrap w:val="0"/>
            <w:vAlign w:val="top"/>
          </w:tcPr>
          <w:p w14:paraId="124306A8">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479" w:type="dxa"/>
            <w:tcBorders>
              <w:top w:val="single" w:color="auto" w:sz="4" w:space="0"/>
              <w:left w:val="single" w:color="auto" w:sz="4" w:space="0"/>
              <w:bottom w:val="single" w:color="auto" w:sz="4" w:space="0"/>
              <w:right w:val="single" w:color="auto" w:sz="4" w:space="0"/>
            </w:tcBorders>
            <w:noWrap w:val="0"/>
            <w:vAlign w:val="top"/>
          </w:tcPr>
          <w:p w14:paraId="3A0D713D">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759" w:type="dxa"/>
            <w:tcBorders>
              <w:top w:val="single" w:color="auto" w:sz="4" w:space="0"/>
              <w:left w:val="single" w:color="auto" w:sz="4" w:space="0"/>
              <w:bottom w:val="single" w:color="auto" w:sz="4" w:space="0"/>
              <w:right w:val="single" w:color="auto" w:sz="4" w:space="0"/>
            </w:tcBorders>
            <w:noWrap w:val="0"/>
            <w:vAlign w:val="top"/>
          </w:tcPr>
          <w:p w14:paraId="3F2E6EE2">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126" w:type="dxa"/>
            <w:tcBorders>
              <w:top w:val="single" w:color="auto" w:sz="4" w:space="0"/>
              <w:left w:val="single" w:color="auto" w:sz="4" w:space="0"/>
              <w:bottom w:val="single" w:color="auto" w:sz="4" w:space="0"/>
              <w:right w:val="single" w:color="auto" w:sz="4" w:space="0"/>
            </w:tcBorders>
            <w:noWrap w:val="0"/>
            <w:vAlign w:val="top"/>
          </w:tcPr>
          <w:p w14:paraId="37DE8BD9">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126" w:type="dxa"/>
            <w:tcBorders>
              <w:top w:val="single" w:color="auto" w:sz="4" w:space="0"/>
              <w:left w:val="single" w:color="auto" w:sz="4" w:space="0"/>
              <w:bottom w:val="single" w:color="auto" w:sz="4" w:space="0"/>
              <w:right w:val="single" w:color="auto" w:sz="4" w:space="0"/>
            </w:tcBorders>
            <w:noWrap w:val="0"/>
            <w:vAlign w:val="top"/>
          </w:tcPr>
          <w:p w14:paraId="6EFF96FD">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275" w:type="dxa"/>
            <w:tcBorders>
              <w:top w:val="single" w:color="auto" w:sz="4" w:space="0"/>
              <w:left w:val="single" w:color="auto" w:sz="4" w:space="0"/>
              <w:bottom w:val="single" w:color="auto" w:sz="4" w:space="0"/>
              <w:right w:val="single" w:color="auto" w:sz="12" w:space="0"/>
            </w:tcBorders>
            <w:noWrap w:val="0"/>
            <w:vAlign w:val="top"/>
          </w:tcPr>
          <w:p w14:paraId="7EDBA697">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r>
      <w:tr w14:paraId="645FB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40" w:type="dxa"/>
            <w:tcBorders>
              <w:top w:val="single" w:color="auto" w:sz="4" w:space="0"/>
              <w:left w:val="single" w:color="auto" w:sz="12" w:space="0"/>
              <w:bottom w:val="single" w:color="auto" w:sz="12" w:space="0"/>
              <w:right w:val="single" w:color="auto" w:sz="4" w:space="0"/>
            </w:tcBorders>
            <w:noWrap w:val="0"/>
            <w:vAlign w:val="center"/>
          </w:tcPr>
          <w:p w14:paraId="7096077B">
            <w:pPr>
              <w:pageBreakBefore w:val="0"/>
              <w:kinsoku/>
              <w:wordWrap/>
              <w:overflowPunct/>
              <w:topLinePunct w:val="0"/>
              <w:autoSpaceDE w:val="0"/>
              <w:autoSpaceDN w:val="0"/>
              <w:bidi w:val="0"/>
              <w:adjustRightInd w:val="0"/>
              <w:spacing w:line="560" w:lineRule="exact"/>
              <w:ind w:firstLine="420" w:firstLineChars="175"/>
              <w:jc w:val="left"/>
              <w:textAlignment w:val="auto"/>
              <w:outlineLvl w:val="9"/>
              <w:rPr>
                <w:rFonts w:hint="eastAsia" w:ascii="宋体" w:hAnsi="宋体" w:eastAsia="宋体" w:cs="宋体"/>
                <w:color w:val="auto"/>
                <w:kern w:val="0"/>
                <w:sz w:val="24"/>
                <w:szCs w:val="24"/>
              </w:rPr>
            </w:pPr>
          </w:p>
          <w:p w14:paraId="6F4D5A64">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w:t>
            </w:r>
          </w:p>
        </w:tc>
        <w:tc>
          <w:tcPr>
            <w:tcW w:w="5750" w:type="dxa"/>
            <w:gridSpan w:val="4"/>
            <w:tcBorders>
              <w:top w:val="single" w:color="auto" w:sz="4" w:space="0"/>
              <w:left w:val="single" w:color="auto" w:sz="4" w:space="0"/>
              <w:bottom w:val="single" w:color="auto" w:sz="12" w:space="0"/>
              <w:right w:val="single" w:color="auto" w:sz="4" w:space="0"/>
            </w:tcBorders>
            <w:noWrap w:val="0"/>
            <w:vAlign w:val="center"/>
          </w:tcPr>
          <w:p w14:paraId="0CA04963">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合计</w:t>
            </w:r>
          </w:p>
        </w:tc>
        <w:tc>
          <w:tcPr>
            <w:tcW w:w="1126" w:type="dxa"/>
            <w:tcBorders>
              <w:top w:val="single" w:color="auto" w:sz="4" w:space="0"/>
              <w:left w:val="single" w:color="auto" w:sz="4" w:space="0"/>
              <w:bottom w:val="single" w:color="auto" w:sz="12" w:space="0"/>
              <w:right w:val="single" w:color="auto" w:sz="4" w:space="0"/>
            </w:tcBorders>
            <w:noWrap w:val="0"/>
            <w:vAlign w:val="top"/>
          </w:tcPr>
          <w:p w14:paraId="3207B2FE">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126" w:type="dxa"/>
            <w:tcBorders>
              <w:top w:val="single" w:color="auto" w:sz="4" w:space="0"/>
              <w:left w:val="single" w:color="auto" w:sz="4" w:space="0"/>
              <w:bottom w:val="single" w:color="auto" w:sz="12" w:space="0"/>
              <w:right w:val="single" w:color="auto" w:sz="4" w:space="0"/>
            </w:tcBorders>
            <w:noWrap w:val="0"/>
            <w:vAlign w:val="top"/>
          </w:tcPr>
          <w:p w14:paraId="45C04137">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c>
          <w:tcPr>
            <w:tcW w:w="1275" w:type="dxa"/>
            <w:tcBorders>
              <w:top w:val="single" w:color="auto" w:sz="4" w:space="0"/>
              <w:left w:val="single" w:color="auto" w:sz="4" w:space="0"/>
              <w:bottom w:val="single" w:color="auto" w:sz="12" w:space="0"/>
              <w:right w:val="single" w:color="auto" w:sz="12" w:space="0"/>
            </w:tcBorders>
            <w:noWrap w:val="0"/>
            <w:vAlign w:val="top"/>
          </w:tcPr>
          <w:p w14:paraId="09C44BD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color w:val="auto"/>
                <w:kern w:val="0"/>
                <w:sz w:val="24"/>
                <w:szCs w:val="24"/>
              </w:rPr>
            </w:pPr>
          </w:p>
        </w:tc>
      </w:tr>
    </w:tbl>
    <w:p w14:paraId="707AFC05">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说明：如所报产品为进口产品，必须按要求逐项填写。</w:t>
      </w:r>
    </w:p>
    <w:p w14:paraId="00620246">
      <w:pPr>
        <w:pStyle w:val="4"/>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格式3-9：</w:t>
      </w:r>
      <w:bookmarkStart w:id="421" w:name="_Toc46136873"/>
      <w:bookmarkStart w:id="422" w:name="_Toc46238290"/>
      <w:r>
        <w:rPr>
          <w:rFonts w:hint="eastAsia" w:ascii="宋体" w:hAnsi="宋体" w:eastAsia="宋体" w:cs="宋体"/>
          <w:color w:val="auto"/>
          <w:sz w:val="24"/>
          <w:szCs w:val="24"/>
          <w:lang w:val="en-US" w:eastAsia="zh-CN"/>
        </w:rPr>
        <w:t>项目实施方案</w:t>
      </w:r>
    </w:p>
    <w:p w14:paraId="0A51EBCD">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 xml:space="preserve">：     （加盖电子公章） </w:t>
      </w:r>
    </w:p>
    <w:p w14:paraId="4FEF3665">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法定代表人（电子签名）：                </w:t>
      </w:r>
    </w:p>
    <w:p w14:paraId="7ED65598">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w:t>
      </w:r>
    </w:p>
    <w:p w14:paraId="6AD75451">
      <w:pPr>
        <w:pStyle w:val="4"/>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格式3-10</w:t>
      </w:r>
      <w:r>
        <w:rPr>
          <w:rFonts w:hint="eastAsia" w:ascii="宋体" w:hAnsi="宋体" w:cs="宋体"/>
          <w:color w:val="auto"/>
          <w:sz w:val="24"/>
          <w:szCs w:val="24"/>
          <w:lang w:val="en-US" w:eastAsia="zh-CN"/>
        </w:rPr>
        <w:t>：售后服务方案及</w:t>
      </w:r>
      <w:r>
        <w:rPr>
          <w:rFonts w:hint="eastAsia" w:ascii="宋体" w:hAnsi="宋体" w:eastAsia="宋体" w:cs="宋体"/>
          <w:color w:val="auto"/>
          <w:sz w:val="24"/>
          <w:szCs w:val="24"/>
          <w:lang w:val="en-US" w:eastAsia="zh-CN"/>
        </w:rPr>
        <w:t>承诺</w:t>
      </w:r>
      <w:bookmarkStart w:id="423" w:name="_Toc19957_WPSOffice_Level2"/>
    </w:p>
    <w:p w14:paraId="53A9977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售后服务方案及承诺应包括但不限于以下内容</w:t>
      </w:r>
      <w:bookmarkEnd w:id="423"/>
      <w:r>
        <w:rPr>
          <w:rFonts w:hint="eastAsia" w:ascii="宋体" w:hAnsi="宋体" w:cs="宋体"/>
          <w:b w:val="0"/>
          <w:bCs w:val="0"/>
          <w:color w:val="auto"/>
          <w:sz w:val="24"/>
          <w:szCs w:val="24"/>
          <w:lang w:val="en-US" w:eastAsia="zh-CN"/>
        </w:rPr>
        <w:t>：</w:t>
      </w:r>
    </w:p>
    <w:p w14:paraId="65D57BE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1.</w:t>
      </w:r>
      <w:r>
        <w:rPr>
          <w:rFonts w:hint="default" w:ascii="宋体" w:hAnsi="宋体" w:cs="宋体"/>
          <w:b w:val="0"/>
          <w:bCs w:val="0"/>
          <w:color w:val="auto"/>
          <w:sz w:val="24"/>
          <w:szCs w:val="24"/>
          <w:lang w:val="en-US" w:eastAsia="zh-CN"/>
        </w:rPr>
        <w:t>维保网点地址</w:t>
      </w:r>
      <w:r>
        <w:rPr>
          <w:rFonts w:hint="eastAsia" w:ascii="宋体" w:hAnsi="宋体" w:cs="宋体"/>
          <w:b w:val="0"/>
          <w:bCs w:val="0"/>
          <w:color w:val="auto"/>
          <w:sz w:val="24"/>
          <w:szCs w:val="24"/>
          <w:lang w:val="en-US" w:eastAsia="zh-CN"/>
        </w:rPr>
        <w:t>；2.</w:t>
      </w:r>
      <w:r>
        <w:rPr>
          <w:rFonts w:hint="default" w:ascii="宋体" w:hAnsi="宋体" w:cs="宋体"/>
          <w:b w:val="0"/>
          <w:bCs w:val="0"/>
          <w:color w:val="auto"/>
          <w:sz w:val="24"/>
          <w:szCs w:val="24"/>
          <w:lang w:val="en-US" w:eastAsia="zh-CN"/>
        </w:rPr>
        <w:t>维保人员名单及特种设备作业证</w:t>
      </w:r>
      <w:r>
        <w:rPr>
          <w:rFonts w:hint="eastAsia" w:ascii="宋体" w:hAnsi="宋体" w:cs="宋体"/>
          <w:b w:val="0"/>
          <w:bCs w:val="0"/>
          <w:color w:val="auto"/>
          <w:sz w:val="24"/>
          <w:szCs w:val="24"/>
          <w:lang w:val="en-US" w:eastAsia="zh-CN"/>
        </w:rPr>
        <w:t>；3.</w:t>
      </w:r>
      <w:r>
        <w:rPr>
          <w:rFonts w:hint="default" w:ascii="宋体" w:hAnsi="宋体" w:cs="宋体"/>
          <w:b w:val="0"/>
          <w:bCs w:val="0"/>
          <w:color w:val="auto"/>
          <w:sz w:val="24"/>
          <w:szCs w:val="24"/>
          <w:lang w:val="en-US" w:eastAsia="zh-CN"/>
        </w:rPr>
        <w:t>应急救援流程</w:t>
      </w:r>
      <w:r>
        <w:rPr>
          <w:rFonts w:hint="eastAsia" w:ascii="宋体" w:hAnsi="宋体" w:cs="宋体"/>
          <w:b w:val="0"/>
          <w:bCs w:val="0"/>
          <w:color w:val="auto"/>
          <w:sz w:val="24"/>
          <w:szCs w:val="24"/>
          <w:lang w:val="en-US" w:eastAsia="zh-CN"/>
        </w:rPr>
        <w:t>；4.</w:t>
      </w:r>
      <w:r>
        <w:rPr>
          <w:rFonts w:hint="default" w:ascii="宋体" w:hAnsi="宋体" w:cs="宋体"/>
          <w:b w:val="0"/>
          <w:bCs w:val="0"/>
          <w:color w:val="auto"/>
          <w:sz w:val="24"/>
          <w:szCs w:val="24"/>
          <w:lang w:val="en-US" w:eastAsia="zh-CN"/>
        </w:rPr>
        <w:t>备件保障方案</w:t>
      </w:r>
      <w:r>
        <w:rPr>
          <w:rFonts w:hint="eastAsia" w:ascii="宋体" w:hAnsi="宋体" w:cs="宋体"/>
          <w:b w:val="0"/>
          <w:bCs w:val="0"/>
          <w:color w:val="auto"/>
          <w:sz w:val="24"/>
          <w:szCs w:val="24"/>
          <w:lang w:val="en-US" w:eastAsia="zh-CN"/>
        </w:rPr>
        <w:t>；5.</w:t>
      </w:r>
      <w:r>
        <w:rPr>
          <w:rFonts w:hint="default" w:ascii="宋体" w:hAnsi="宋体" w:cs="宋体"/>
          <w:b w:val="0"/>
          <w:bCs w:val="0"/>
          <w:color w:val="auto"/>
          <w:sz w:val="24"/>
          <w:szCs w:val="24"/>
          <w:lang w:val="en-US" w:eastAsia="zh-CN"/>
        </w:rPr>
        <w:t>培训计划</w:t>
      </w:r>
      <w:r>
        <w:rPr>
          <w:rFonts w:hint="eastAsia" w:ascii="宋体" w:hAnsi="宋体" w:cs="宋体"/>
          <w:b w:val="0"/>
          <w:bCs w:val="0"/>
          <w:color w:val="auto"/>
          <w:sz w:val="24"/>
          <w:szCs w:val="24"/>
          <w:lang w:val="en-US" w:eastAsia="zh-CN"/>
        </w:rPr>
        <w:t>；6.</w:t>
      </w:r>
      <w:r>
        <w:rPr>
          <w:rFonts w:hint="default" w:ascii="宋体" w:hAnsi="宋体" w:cs="宋体"/>
          <w:b w:val="0"/>
          <w:bCs w:val="0"/>
          <w:color w:val="auto"/>
          <w:sz w:val="24"/>
          <w:szCs w:val="24"/>
          <w:lang w:val="en-US" w:eastAsia="zh-CN"/>
        </w:rPr>
        <w:t>服务承诺书。</w:t>
      </w:r>
    </w:p>
    <w:p w14:paraId="6B00A998">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 xml:space="preserve">：     （加盖电子公章） </w:t>
      </w:r>
    </w:p>
    <w:p w14:paraId="4682CDE2">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法定代表人（电子签名）：                </w:t>
      </w:r>
    </w:p>
    <w:p w14:paraId="2479D9B4">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w:t>
      </w:r>
      <w:bookmarkStart w:id="424" w:name="_Toc28564_WPSOffice_Level2"/>
    </w:p>
    <w:p w14:paraId="35EABFDF">
      <w:pPr>
        <w:pStyle w:val="4"/>
        <w:pageBreakBefore w:val="0"/>
        <w:widowControl w:val="0"/>
        <w:kinsoku/>
        <w:wordWrap/>
        <w:overflowPunct/>
        <w:topLinePunct w:val="0"/>
        <w:autoSpaceDE/>
        <w:autoSpaceDN/>
        <w:bidi w:val="0"/>
        <w:adjustRightInd/>
        <w:snapToGrid/>
        <w:spacing w:before="0" w:after="0" w:line="560" w:lineRule="exact"/>
        <w:ind w:right="0" w:rightChars="0"/>
        <w:textAlignment w:val="auto"/>
        <w:rPr>
          <w:rFonts w:hint="default" w:ascii="宋体" w:hAnsi="宋体" w:eastAsia="宋体" w:cs="宋体"/>
          <w:color w:val="auto"/>
          <w:sz w:val="24"/>
          <w:szCs w:val="24"/>
          <w:lang w:val="en-US" w:eastAsia="zh-CN"/>
        </w:rPr>
      </w:pPr>
      <w:bookmarkStart w:id="425" w:name="_Toc7575"/>
      <w:bookmarkStart w:id="426" w:name="_Toc1651"/>
      <w:bookmarkStart w:id="427" w:name="_Toc1469"/>
      <w:r>
        <w:rPr>
          <w:rFonts w:hint="eastAsia" w:ascii="宋体" w:hAnsi="宋体" w:eastAsia="宋体" w:cs="宋体"/>
          <w:color w:val="auto"/>
          <w:sz w:val="24"/>
          <w:szCs w:val="24"/>
          <w:lang w:val="en-US" w:eastAsia="zh-CN"/>
        </w:rPr>
        <w:t>★格式3-11：报价表</w:t>
      </w:r>
    </w:p>
    <w:p w14:paraId="50C3B2A9">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项目编号：</w:t>
      </w:r>
    </w:p>
    <w:tbl>
      <w:tblPr>
        <w:tblStyle w:val="33"/>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5114"/>
        <w:gridCol w:w="1963"/>
        <w:gridCol w:w="1379"/>
        <w:gridCol w:w="15"/>
      </w:tblGrid>
      <w:tr w14:paraId="1EE77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8" w:hRule="atLeast"/>
        </w:trPr>
        <w:tc>
          <w:tcPr>
            <w:tcW w:w="1187" w:type="dxa"/>
            <w:noWrap w:val="0"/>
            <w:vAlign w:val="center"/>
          </w:tcPr>
          <w:p w14:paraId="3839A826">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包件号</w:t>
            </w:r>
          </w:p>
        </w:tc>
        <w:tc>
          <w:tcPr>
            <w:tcW w:w="5114" w:type="dxa"/>
            <w:noWrap w:val="0"/>
            <w:vAlign w:val="center"/>
          </w:tcPr>
          <w:p w14:paraId="6FB08EE9">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rPr>
              <w:t>总报价</w:t>
            </w:r>
            <w:r>
              <w:rPr>
                <w:rFonts w:hint="eastAsia" w:ascii="宋体" w:hAnsi="宋体" w:eastAsia="宋体" w:cs="宋体"/>
                <w:b/>
                <w:bCs/>
                <w:color w:val="auto"/>
                <w:sz w:val="28"/>
                <w:szCs w:val="28"/>
                <w:lang w:val="en-US" w:eastAsia="zh-CN"/>
              </w:rPr>
              <w:t xml:space="preserve"> </w:t>
            </w:r>
          </w:p>
        </w:tc>
        <w:tc>
          <w:tcPr>
            <w:tcW w:w="1963" w:type="dxa"/>
            <w:noWrap w:val="0"/>
            <w:vAlign w:val="center"/>
          </w:tcPr>
          <w:p w14:paraId="159FB805">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交货期（完工期/服务期）</w:t>
            </w:r>
          </w:p>
        </w:tc>
        <w:tc>
          <w:tcPr>
            <w:tcW w:w="1394" w:type="dxa"/>
            <w:gridSpan w:val="2"/>
            <w:noWrap w:val="0"/>
            <w:vAlign w:val="center"/>
          </w:tcPr>
          <w:p w14:paraId="755B13B5">
            <w:pPr>
              <w:keepNext w:val="0"/>
              <w:keepLines w:val="0"/>
              <w:pageBreakBefore w:val="0"/>
              <w:widowControl w:val="0"/>
              <w:kinsoku/>
              <w:wordWrap/>
              <w:overflowPunct/>
              <w:topLinePunct w:val="0"/>
              <w:autoSpaceDE/>
              <w:autoSpaceDN/>
              <w:bidi w:val="0"/>
              <w:adjustRightInd w:val="0"/>
              <w:snapToGrid w:val="0"/>
              <w:spacing w:line="560" w:lineRule="exact"/>
              <w:ind w:left="11" w:leftChars="-36" w:right="-10" w:rightChars="-5" w:hanging="86" w:hangingChars="31"/>
              <w:jc w:val="center"/>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备注</w:t>
            </w:r>
          </w:p>
        </w:tc>
      </w:tr>
      <w:tr w14:paraId="360E7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1187" w:type="dxa"/>
            <w:vMerge w:val="restart"/>
            <w:noWrap w:val="0"/>
            <w:vAlign w:val="center"/>
          </w:tcPr>
          <w:p w14:paraId="4ADDFC89">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Cs/>
                <w:color w:val="auto"/>
                <w:sz w:val="28"/>
                <w:szCs w:val="28"/>
              </w:rPr>
            </w:pPr>
          </w:p>
        </w:tc>
        <w:tc>
          <w:tcPr>
            <w:tcW w:w="5114" w:type="dxa"/>
            <w:noWrap w:val="0"/>
            <w:vAlign w:val="center"/>
          </w:tcPr>
          <w:p w14:paraId="0BB14BED">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人民币</w:t>
            </w:r>
            <w:r>
              <w:rPr>
                <w:rFonts w:hint="eastAsia" w:ascii="宋体" w:hAnsi="宋体" w:eastAsia="宋体" w:cs="宋体"/>
                <w:bCs/>
                <w:color w:val="auto"/>
                <w:sz w:val="28"/>
                <w:szCs w:val="28"/>
              </w:rPr>
              <w:t>小写</w:t>
            </w:r>
            <w:r>
              <w:rPr>
                <w:rFonts w:hint="eastAsia" w:ascii="宋体" w:hAnsi="宋体" w:eastAsia="宋体" w:cs="宋体"/>
                <w:bCs/>
                <w:color w:val="auto"/>
                <w:sz w:val="28"/>
                <w:szCs w:val="28"/>
                <w:lang w:eastAsia="zh-CN"/>
              </w:rPr>
              <w:t>（</w:t>
            </w:r>
            <w:r>
              <w:rPr>
                <w:rFonts w:hint="eastAsia" w:ascii="宋体" w:hAnsi="宋体" w:eastAsia="宋体" w:cs="宋体"/>
                <w:bCs/>
                <w:color w:val="auto"/>
                <w:sz w:val="28"/>
                <w:szCs w:val="28"/>
                <w:lang w:val="en-US" w:eastAsia="zh-CN"/>
              </w:rPr>
              <w:t>元</w:t>
            </w:r>
            <w:r>
              <w:rPr>
                <w:rFonts w:hint="eastAsia" w:ascii="宋体" w:hAnsi="宋体" w:eastAsia="宋体" w:cs="宋体"/>
                <w:bCs/>
                <w:color w:val="auto"/>
                <w:sz w:val="28"/>
                <w:szCs w:val="28"/>
                <w:lang w:eastAsia="zh-CN"/>
              </w:rPr>
              <w:t>）</w:t>
            </w:r>
            <w:r>
              <w:rPr>
                <w:rFonts w:hint="eastAsia" w:ascii="宋体" w:hAnsi="宋体" w:eastAsia="宋体" w:cs="宋体"/>
                <w:bCs/>
                <w:color w:val="auto"/>
                <w:sz w:val="28"/>
                <w:szCs w:val="28"/>
              </w:rPr>
              <w:t>：</w:t>
            </w:r>
          </w:p>
        </w:tc>
        <w:tc>
          <w:tcPr>
            <w:tcW w:w="1963" w:type="dxa"/>
            <w:vMerge w:val="restart"/>
            <w:noWrap w:val="0"/>
            <w:vAlign w:val="center"/>
          </w:tcPr>
          <w:p w14:paraId="5DEAB1B0">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Cs/>
                <w:color w:val="auto"/>
                <w:sz w:val="28"/>
                <w:szCs w:val="28"/>
              </w:rPr>
            </w:pPr>
          </w:p>
        </w:tc>
        <w:tc>
          <w:tcPr>
            <w:tcW w:w="1394" w:type="dxa"/>
            <w:gridSpan w:val="2"/>
            <w:vMerge w:val="restart"/>
            <w:noWrap w:val="0"/>
            <w:vAlign w:val="center"/>
          </w:tcPr>
          <w:p w14:paraId="7C410090">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Cs/>
                <w:color w:val="auto"/>
                <w:sz w:val="28"/>
                <w:szCs w:val="28"/>
              </w:rPr>
            </w:pPr>
          </w:p>
        </w:tc>
      </w:tr>
      <w:tr w14:paraId="09E0E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1187" w:type="dxa"/>
            <w:vMerge w:val="continue"/>
            <w:noWrap w:val="0"/>
            <w:vAlign w:val="center"/>
          </w:tcPr>
          <w:p w14:paraId="540D2A8C">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Cs/>
                <w:color w:val="auto"/>
                <w:sz w:val="28"/>
                <w:szCs w:val="28"/>
              </w:rPr>
            </w:pPr>
          </w:p>
        </w:tc>
        <w:tc>
          <w:tcPr>
            <w:tcW w:w="5114" w:type="dxa"/>
            <w:noWrap w:val="0"/>
            <w:vAlign w:val="center"/>
          </w:tcPr>
          <w:p w14:paraId="08415B3D">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人民币</w:t>
            </w:r>
            <w:r>
              <w:rPr>
                <w:rFonts w:hint="eastAsia" w:ascii="宋体" w:hAnsi="宋体" w:eastAsia="宋体" w:cs="宋体"/>
                <w:bCs/>
                <w:color w:val="auto"/>
                <w:sz w:val="28"/>
                <w:szCs w:val="28"/>
              </w:rPr>
              <w:t>大写：</w:t>
            </w:r>
          </w:p>
        </w:tc>
        <w:tc>
          <w:tcPr>
            <w:tcW w:w="1963" w:type="dxa"/>
            <w:vMerge w:val="continue"/>
            <w:noWrap w:val="0"/>
            <w:vAlign w:val="center"/>
          </w:tcPr>
          <w:p w14:paraId="3E0FC9D0">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Cs/>
                <w:color w:val="auto"/>
                <w:sz w:val="28"/>
                <w:szCs w:val="28"/>
              </w:rPr>
            </w:pPr>
          </w:p>
        </w:tc>
        <w:tc>
          <w:tcPr>
            <w:tcW w:w="1394" w:type="dxa"/>
            <w:gridSpan w:val="2"/>
            <w:vMerge w:val="continue"/>
            <w:noWrap w:val="0"/>
            <w:vAlign w:val="center"/>
          </w:tcPr>
          <w:p w14:paraId="16A9F108">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Cs/>
                <w:color w:val="auto"/>
                <w:sz w:val="28"/>
                <w:szCs w:val="28"/>
              </w:rPr>
            </w:pPr>
          </w:p>
        </w:tc>
      </w:tr>
      <w:tr w14:paraId="24877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689" w:hRule="atLeast"/>
        </w:trPr>
        <w:tc>
          <w:tcPr>
            <w:tcW w:w="9643" w:type="dxa"/>
            <w:gridSpan w:val="4"/>
            <w:noWrap w:val="0"/>
            <w:vAlign w:val="center"/>
          </w:tcPr>
          <w:p w14:paraId="6A72E921">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投标人</w:t>
            </w:r>
            <w:r>
              <w:rPr>
                <w:rFonts w:hint="eastAsia" w:ascii="宋体" w:hAnsi="宋体" w:eastAsia="宋体" w:cs="宋体"/>
                <w:color w:val="auto"/>
                <w:sz w:val="28"/>
                <w:szCs w:val="28"/>
              </w:rPr>
              <w:t>名称（加盖</w:t>
            </w:r>
            <w:r>
              <w:rPr>
                <w:rFonts w:hint="eastAsia" w:ascii="宋体" w:hAnsi="宋体" w:eastAsia="宋体" w:cs="宋体"/>
                <w:color w:val="auto"/>
                <w:sz w:val="28"/>
                <w:szCs w:val="28"/>
                <w:lang w:val="en-US" w:eastAsia="zh-CN"/>
              </w:rPr>
              <w:t>单位电子</w:t>
            </w:r>
            <w:r>
              <w:rPr>
                <w:rFonts w:hint="eastAsia" w:ascii="宋体" w:hAnsi="宋体" w:eastAsia="宋体" w:cs="宋体"/>
                <w:color w:val="auto"/>
                <w:sz w:val="28"/>
                <w:szCs w:val="28"/>
              </w:rPr>
              <w:t>公章）：</w:t>
            </w:r>
          </w:p>
          <w:p w14:paraId="51D8557F">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宋体"/>
                <w:color w:val="auto"/>
                <w:sz w:val="28"/>
                <w:szCs w:val="28"/>
              </w:rPr>
            </w:pPr>
          </w:p>
          <w:p w14:paraId="171E6DAC">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电子签名</w:t>
            </w:r>
            <w:r>
              <w:rPr>
                <w:rFonts w:hint="eastAsia" w:ascii="宋体" w:hAnsi="宋体" w:eastAsia="宋体" w:cs="宋体"/>
                <w:color w:val="auto"/>
                <w:sz w:val="28"/>
                <w:szCs w:val="28"/>
              </w:rPr>
              <w:t xml:space="preserve">）：                </w:t>
            </w:r>
          </w:p>
          <w:p w14:paraId="64E8E1BF">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宋体" w:hAnsi="宋体" w:eastAsia="宋体" w:cs="宋体"/>
                <w:color w:val="auto"/>
                <w:sz w:val="28"/>
                <w:szCs w:val="28"/>
              </w:rPr>
            </w:pPr>
          </w:p>
          <w:p w14:paraId="3282A629">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日期：年月日</w:t>
            </w:r>
          </w:p>
        </w:tc>
      </w:tr>
    </w:tbl>
    <w:p w14:paraId="0F90CF3A">
      <w:pPr>
        <w:pageBreakBefore w:val="0"/>
        <w:widowControl/>
        <w:kinsoku/>
        <w:wordWrap/>
        <w:overflowPunct/>
        <w:topLinePunct w:val="0"/>
        <w:bidi w:val="0"/>
        <w:spacing w:before="100" w:beforeAutospacing="1" w:after="100" w:afterAutospacing="1" w:line="560" w:lineRule="exact"/>
        <w:textAlignment w:val="auto"/>
        <w:rPr>
          <w:rFonts w:hint="eastAsia" w:ascii="宋体" w:hAnsi="宋体" w:eastAsia="宋体" w:cs="宋体"/>
          <w:color w:val="auto"/>
          <w:sz w:val="24"/>
          <w:szCs w:val="24"/>
        </w:rPr>
      </w:pPr>
      <w:r>
        <w:rPr>
          <w:rFonts w:hint="default" w:ascii="Times New Roman" w:hAnsi="Times New Roman" w:eastAsia="宋体" w:cs="Times New Roman"/>
          <w:color w:val="auto"/>
          <w:kern w:val="0"/>
          <w:sz w:val="28"/>
          <w:szCs w:val="28"/>
        </w:rPr>
        <w:t>联系人：</w:t>
      </w:r>
      <w:r>
        <w:rPr>
          <w:rFonts w:hint="default" w:ascii="Times New Roman" w:hAnsi="Times New Roman" w:eastAsia="宋体" w:cs="Times New Roman"/>
          <w:color w:val="auto"/>
          <w:kern w:val="0"/>
          <w:sz w:val="28"/>
          <w:szCs w:val="28"/>
          <w:lang w:val="en-US" w:eastAsia="zh-CN"/>
        </w:rPr>
        <w:t xml:space="preserve">                                   </w:t>
      </w:r>
      <w:r>
        <w:rPr>
          <w:rFonts w:hint="default" w:ascii="Times New Roman" w:hAnsi="Times New Roman" w:eastAsia="宋体" w:cs="Times New Roman"/>
          <w:color w:val="auto"/>
          <w:kern w:val="0"/>
          <w:sz w:val="28"/>
          <w:szCs w:val="28"/>
        </w:rPr>
        <w:t>联系电话：</w:t>
      </w:r>
    </w:p>
    <w:bookmarkEnd w:id="421"/>
    <w:bookmarkEnd w:id="422"/>
    <w:bookmarkEnd w:id="424"/>
    <w:bookmarkEnd w:id="425"/>
    <w:bookmarkEnd w:id="426"/>
    <w:bookmarkEnd w:id="427"/>
    <w:p w14:paraId="6B2B1522">
      <w:pPr>
        <w:pStyle w:val="4"/>
        <w:pageBreakBefore w:val="0"/>
        <w:widowControl w:val="0"/>
        <w:kinsoku/>
        <w:wordWrap/>
        <w:overflowPunct/>
        <w:topLinePunct w:val="0"/>
        <w:autoSpaceDE/>
        <w:autoSpaceDN/>
        <w:bidi w:val="0"/>
        <w:adjustRightInd/>
        <w:snapToGrid/>
        <w:spacing w:before="0" w:after="0" w:line="560" w:lineRule="exact"/>
        <w:ind w:right="0" w:rightChars="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格式3-12：</w:t>
      </w:r>
      <w:r>
        <w:rPr>
          <w:rFonts w:hint="eastAsia" w:ascii="宋体" w:hAnsi="宋体" w:eastAsia="宋体" w:cs="宋体"/>
          <w:color w:val="auto"/>
          <w:sz w:val="24"/>
          <w:szCs w:val="24"/>
          <w:lang w:val="en-US" w:eastAsia="zh-CN"/>
        </w:rPr>
        <w:t xml:space="preserve">其他需要补充的证明材料 </w:t>
      </w:r>
    </w:p>
    <w:sectPr>
      <w:footerReference r:id="rId6" w:type="first"/>
      <w:headerReference r:id="rId4" w:type="default"/>
      <w:footerReference r:id="rId5" w:type="default"/>
      <w:type w:val="continuous"/>
      <w:pgSz w:w="11906" w:h="16838"/>
      <w:pgMar w:top="2098" w:right="1474" w:bottom="1417" w:left="1587" w:header="850" w:footer="992" w:gutter="0"/>
      <w:pgNumType w:fmt="decimal"/>
      <w:cols w:space="720" w:num="1"/>
      <w:titlePg/>
      <w:rtlGutter w:val="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2"/>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FD445A6-E2DC-4109-B1B4-46863800D36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DA9AE7D-BCCE-4922-9121-17E75FD980E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金山简黑体">
    <w:altName w:val="黑体"/>
    <w:panose1 w:val="00000000000000000000"/>
    <w:charset w:val="86"/>
    <w:family w:val="auto"/>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embedRegular r:id="rId3" w:fontKey="{6C0616FB-5553-44CD-ADFE-2C093E9F1150}"/>
  </w:font>
  <w:font w:name="方正仿宋_GBK">
    <w:panose1 w:val="03000509000000000000"/>
    <w:charset w:val="86"/>
    <w:family w:val="auto"/>
    <w:pitch w:val="default"/>
    <w:sig w:usb0="00000001" w:usb1="080E0000" w:usb2="00000000" w:usb3="00000000" w:csb0="00040000" w:csb1="00000000"/>
    <w:embedRegular r:id="rId4" w:fontKey="{A2576D0B-12F1-4411-9A24-D62C3B2E580E}"/>
  </w:font>
  <w:font w:name="楷体_GB2312">
    <w:panose1 w:val="02010609030101010101"/>
    <w:charset w:val="86"/>
    <w:family w:val="modern"/>
    <w:pitch w:val="default"/>
    <w:sig w:usb0="00000001" w:usb1="080E0000" w:usb2="00000000" w:usb3="00000000" w:csb0="00040000" w:csb1="00000000"/>
    <w:embedRegular r:id="rId5" w:fontKey="{8E2D1B77-7ABA-48ED-AAE0-6155A3B7E677}"/>
  </w:font>
  <w:font w:name="微软雅黑">
    <w:panose1 w:val="020B0503020204020204"/>
    <w:charset w:val="86"/>
    <w:family w:val="auto"/>
    <w:pitch w:val="default"/>
    <w:sig w:usb0="80000287" w:usb1="2ACF3C50" w:usb2="00000016" w:usb3="00000000" w:csb0="0004001F" w:csb1="00000000"/>
    <w:embedRegular r:id="rId6" w:fontKey="{2519DD42-B7A2-4CC9-AAC8-91CA1316A74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590DD">
    <w:pPr>
      <w:pStyle w:val="21"/>
      <w:jc w:val="center"/>
      <w:rPr>
        <w:rFonts w:ascii="宋体" w:hAns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posOffset>2919095</wp:posOffset>
              </wp:positionH>
              <wp:positionV relativeFrom="paragraph">
                <wp:posOffset>0</wp:posOffset>
              </wp:positionV>
              <wp:extent cx="1421130" cy="14795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421130" cy="147955"/>
                      </a:xfrm>
                      <a:prstGeom prst="rect">
                        <a:avLst/>
                      </a:prstGeom>
                      <a:noFill/>
                      <a:ln>
                        <a:noFill/>
                      </a:ln>
                    </wps:spPr>
                    <wps:txbx>
                      <w:txbxContent>
                        <w:p w14:paraId="3D9CA7B1">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- 2 -</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75</w:t>
                          </w:r>
                          <w:r>
                            <w:rPr>
                              <w:rFonts w:hint="eastAsia"/>
                              <w:sz w:val="18"/>
                              <w:lang w:eastAsia="zh-CN"/>
                            </w:rPr>
                            <w:fldChar w:fldCharType="end"/>
                          </w:r>
                          <w:r>
                            <w:rPr>
                              <w:rFonts w:hint="eastAsia"/>
                              <w:sz w:val="18"/>
                              <w:lang w:eastAsia="zh-CN"/>
                            </w:rPr>
                            <w:t xml:space="preserve"> 页</w:t>
                          </w:r>
                        </w:p>
                      </w:txbxContent>
                    </wps:txbx>
                    <wps:bodyPr vert="horz" wrap="square" lIns="0" tIns="0" rIns="0" bIns="0" anchor="t" anchorCtr="0" upright="0"/>
                  </wps:wsp>
                </a:graphicData>
              </a:graphic>
            </wp:anchor>
          </w:drawing>
        </mc:Choice>
        <mc:Fallback>
          <w:pict>
            <v:shape id="_x0000_s1026" o:spid="_x0000_s1026" o:spt="202" type="#_x0000_t202" style="position:absolute;left:0pt;margin-left:229.85pt;margin-top:0pt;height:11.65pt;width:111.9pt;mso-position-horizontal-relative:margin;z-index:251659264;mso-width-relative:page;mso-height-relative:page;" filled="f" stroked="f" coordsize="21600,21600" o:gfxdata="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J6FE1rXAAAABwEAAA8AAAAAAAAA&#10;AQAgAAAAIgAAAGRycy9kb3ducmV2LnhtbFBLAQIUABQAAAAIAIdO4kDLUBD92QEAAKUDAAAOAAAA&#10;AAAAAAEAIAAAACYBAABkcnMvZTJvRG9jLnhtbFBLBQYAAAAABgAGAFkBAABxBQAAAAA=&#10;">
              <v:fill on="f" focussize="0,0"/>
              <v:stroke on="f"/>
              <v:imagedata o:title=""/>
              <o:lock v:ext="edit" aspectratio="f"/>
              <v:textbox inset="0mm,0mm,0mm,0mm">
                <w:txbxContent>
                  <w:p w14:paraId="3D9CA7B1">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- 2 -</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75</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9C2F8">
    <w:pPr>
      <w:pStyle w:val="2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33145"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033145" cy="1828800"/>
                      </a:xfrm>
                      <a:prstGeom prst="rect">
                        <a:avLst/>
                      </a:prstGeom>
                      <a:noFill/>
                      <a:ln>
                        <a:noFill/>
                      </a:ln>
                    </wps:spPr>
                    <wps:txbx>
                      <w:txbxContent>
                        <w:p w14:paraId="5001D21C">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75</w:t>
                          </w:r>
                          <w:r>
                            <w:rPr>
                              <w:rFonts w:hint="eastAsia"/>
                              <w:sz w:val="18"/>
                              <w:lang w:eastAsia="zh-CN"/>
                            </w:rPr>
                            <w:fldChar w:fldCharType="end"/>
                          </w:r>
                          <w:r>
                            <w:rPr>
                              <w:rFonts w:hint="eastAsia"/>
                              <w:sz w:val="18"/>
                              <w:lang w:eastAsia="zh-CN"/>
                            </w:rPr>
                            <w:t xml:space="preserve"> 页</w:t>
                          </w:r>
                        </w:p>
                      </w:txbxContent>
                    </wps:txbx>
                    <wps:bodyPr vert="horz" wrap="square" lIns="0" tIns="0" rIns="0" bIns="0" anchor="t" anchorCtr="0" upright="0">
                      <a:spAutoFit/>
                    </wps:bodyPr>
                  </wps:wsp>
                </a:graphicData>
              </a:graphic>
            </wp:anchor>
          </w:drawing>
        </mc:Choice>
        <mc:Fallback>
          <w:pict>
            <v:shape id="_x0000_s1026" o:spid="_x0000_s1026" o:spt="202" type="#_x0000_t202" style="position:absolute;left:0pt;margin-top:0pt;height:144pt;width:81.35pt;mso-position-horizontal:center;mso-position-horizontal-relative:margin;z-index:251660288;mso-width-relative:page;mso-height-relative:page;" filled="f" stroked="f" coordsize="21600,21600" o:gfxdata="UEsDBAoAAAAAAIdO4kAAAAAAAAAAAAAAAAAEAAAAZHJzL1BLAwQUAAAACACHTuJAcj5MP9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I+TD/TAAAABQEA&#10;AA8AAAAAAAAAAQAgAAAAIgAAAGRycy9kb3ducmV2LnhtbFBLAQIUABQAAAAIAIdO4kBuF/JE5gEA&#10;AMADAAAOAAAAAAAAAAEAIAAAACIBAABkcnMvZTJvRG9jLnhtbFBLBQYAAAAABgAGAFkBAAB6BQAA&#10;AAA=&#10;">
              <v:fill on="f" focussize="0,0"/>
              <v:stroke on="f"/>
              <v:imagedata o:title=""/>
              <o:lock v:ext="edit" aspectratio="f"/>
              <v:textbox inset="0mm,0mm,0mm,0mm" style="mso-fit-shape-to-text:t;">
                <w:txbxContent>
                  <w:p w14:paraId="5001D21C">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75</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14:paraId="0E6AE283">
      <w:pPr>
        <w:pStyle w:val="25"/>
        <w:snapToGrid w:val="0"/>
        <w:rPr>
          <w:rFonts w:hint="eastAsia" w:eastAsia="宋体"/>
          <w:lang w:eastAsia="zh-CN"/>
        </w:rPr>
      </w:pPr>
      <w:r>
        <w:rPr>
          <w:rStyle w:val="40"/>
        </w:rPr>
        <w:footnoteRef/>
      </w:r>
      <w:r>
        <w:t xml:space="preserve"> </w:t>
      </w:r>
      <w:r>
        <w:rPr>
          <w:rFonts w:hint="eastAsia"/>
          <w:lang w:eastAsia="zh-CN"/>
        </w:rPr>
        <w:t>从业人员、营业收入、资产总额填报上一年度数据，无上一年度数据的新成立企业可不填报。</w:t>
      </w:r>
    </w:p>
  </w:footnote>
  <w:footnote w:id="1">
    <w:p w14:paraId="522B194A">
      <w:pPr>
        <w:pStyle w:val="25"/>
        <w:snapToGrid w:val="0"/>
        <w:rPr>
          <w:rFonts w:hint="eastAsia"/>
          <w:lang w:eastAsia="zh-CN"/>
        </w:rPr>
      </w:pPr>
      <w:r>
        <w:rPr>
          <w:rStyle w:val="40"/>
        </w:rPr>
        <w:footnoteRef/>
      </w:r>
      <w:r>
        <w:t xml:space="preserve"> </w:t>
      </w:r>
      <w:r>
        <w:rPr>
          <w:rFonts w:hint="eastAsia"/>
          <w:lang w:eastAsia="zh-CN"/>
        </w:rPr>
        <w:t>供应商需按提供的货物标的分别填写，未按规定填写的，视为未提供《中小企业</w:t>
      </w:r>
      <w:r>
        <w:rPr>
          <w:rFonts w:hint="eastAsia"/>
          <w:lang w:val="en-US" w:eastAsia="zh-CN"/>
        </w:rPr>
        <w:t>声明</w:t>
      </w:r>
      <w:r>
        <w:rPr>
          <w:rFonts w:hint="eastAsia"/>
          <w:lang w:eastAsia="zh-CN"/>
        </w:rPr>
        <w:t>函》。</w:t>
      </w:r>
    </w:p>
    <w:p w14:paraId="78DB380F">
      <w:pPr>
        <w:pStyle w:val="25"/>
        <w:snapToGrid w:val="0"/>
        <w:rPr>
          <w:rFonts w:hint="eastAsia"/>
          <w:lang w:val="en-US" w:eastAsia="zh-CN"/>
        </w:rPr>
      </w:pPr>
      <w:r>
        <w:rPr>
          <w:rFonts w:hint="eastAsia"/>
          <w:vertAlign w:val="superscript"/>
          <w:lang w:val="en-US" w:eastAsia="zh-CN"/>
        </w:rPr>
        <w:t>3</w:t>
      </w:r>
      <w:r>
        <w:rPr>
          <w:rFonts w:hint="eastAsia"/>
          <w:lang w:val="en-US" w:eastAsia="zh-CN"/>
        </w:rPr>
        <w:t>《中小企业声明函》由参加政府采购活动的供应商出具。以联合体形式参加政府采购活动或者合同分包的，声明函中需填写联合体中的中小企业或签订分包意向协议的中小企业相关信息，供应商应当在声明函“项目名称”部分标明联合体中中小企业承担的具体内容或者中小企业的具体分包内容。</w:t>
      </w:r>
    </w:p>
    <w:p w14:paraId="2C2A7E6B">
      <w:pPr>
        <w:pStyle w:val="25"/>
        <w:snapToGrid w:val="0"/>
        <w:rPr>
          <w:rFonts w:hint="default"/>
          <w:lang w:val="en-US" w:eastAsia="zh-CN"/>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35A9A">
    <w:pPr>
      <w:pStyle w:val="22"/>
      <w:pBdr>
        <w:bottom w:val="none" w:color="auto" w:sz="0" w:space="0"/>
      </w:pBdr>
      <w:jc w:val="left"/>
      <w:rPr>
        <w:rFonts w:hint="eastAsia" w:eastAsia="宋体"/>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C1B971"/>
    <w:multiLevelType w:val="singleLevel"/>
    <w:tmpl w:val="B5C1B971"/>
    <w:lvl w:ilvl="0" w:tentative="0">
      <w:start w:val="11"/>
      <w:numFmt w:val="decimal"/>
      <w:suff w:val="space"/>
      <w:lvlText w:val="%1."/>
      <w:lvlJc w:val="left"/>
    </w:lvl>
  </w:abstractNum>
  <w:abstractNum w:abstractNumId="1">
    <w:nsid w:val="D384FBE5"/>
    <w:multiLevelType w:val="singleLevel"/>
    <w:tmpl w:val="D384FBE5"/>
    <w:lvl w:ilvl="0" w:tentative="0">
      <w:start w:val="4"/>
      <w:numFmt w:val="chineseCounting"/>
      <w:suff w:val="nothing"/>
      <w:lvlText w:val="%1、"/>
      <w:lvlJc w:val="left"/>
      <w:rPr>
        <w:rFonts w:hint="eastAsia"/>
      </w:rPr>
    </w:lvl>
  </w:abstractNum>
  <w:abstractNum w:abstractNumId="2">
    <w:nsid w:val="25A84E1D"/>
    <w:multiLevelType w:val="singleLevel"/>
    <w:tmpl w:val="25A84E1D"/>
    <w:lvl w:ilvl="0" w:tentative="0">
      <w:start w:val="1"/>
      <w:numFmt w:val="decimal"/>
      <w:suff w:val="nothing"/>
      <w:lvlText w:val="（%1）"/>
      <w:lvlJc w:val="left"/>
    </w:lvl>
  </w:abstractNum>
  <w:abstractNum w:abstractNumId="3">
    <w:nsid w:val="3F1C3E7F"/>
    <w:multiLevelType w:val="singleLevel"/>
    <w:tmpl w:val="3F1C3E7F"/>
    <w:lvl w:ilvl="0" w:tentative="0">
      <w:start w:val="1"/>
      <w:numFmt w:val="decimal"/>
      <w:suff w:val="nothing"/>
      <w:lvlText w:val="%1、"/>
      <w:lvlJc w:val="left"/>
    </w:lvl>
  </w:abstractNum>
  <w:abstractNum w:abstractNumId="4">
    <w:nsid w:val="4065E8DA"/>
    <w:multiLevelType w:val="singleLevel"/>
    <w:tmpl w:val="4065E8DA"/>
    <w:lvl w:ilvl="0" w:tentative="0">
      <w:start w:val="1"/>
      <w:numFmt w:val="chineseCounting"/>
      <w:suff w:val="nothing"/>
      <w:lvlText w:val="%1、"/>
      <w:lvlJc w:val="left"/>
      <w:rPr>
        <w:rFonts w:hint="eastAsia"/>
      </w:rPr>
    </w:lvl>
  </w:abstractNum>
  <w:abstractNum w:abstractNumId="5">
    <w:nsid w:val="64E2BDCE"/>
    <w:multiLevelType w:val="singleLevel"/>
    <w:tmpl w:val="64E2BDCE"/>
    <w:lvl w:ilvl="0" w:tentative="0">
      <w:start w:val="2"/>
      <w:numFmt w:val="decimal"/>
      <w:suff w:val="nothing"/>
      <w:lvlText w:val="%1."/>
      <w:lvlJc w:val="left"/>
    </w:lvl>
  </w:abstractNum>
  <w:abstractNum w:abstractNumId="6">
    <w:nsid w:val="64E47E0C"/>
    <w:multiLevelType w:val="singleLevel"/>
    <w:tmpl w:val="64E47E0C"/>
    <w:lvl w:ilvl="0" w:tentative="0">
      <w:start w:val="2"/>
      <w:numFmt w:val="decimal"/>
      <w:suff w:val="nothing"/>
      <w:lvlText w:val="%1."/>
      <w:lvlJc w:val="left"/>
    </w:lvl>
  </w:abstractNum>
  <w:abstractNum w:abstractNumId="7">
    <w:nsid w:val="64E58083"/>
    <w:multiLevelType w:val="singleLevel"/>
    <w:tmpl w:val="64E58083"/>
    <w:lvl w:ilvl="0" w:tentative="0">
      <w:start w:val="10"/>
      <w:numFmt w:val="chineseCounting"/>
      <w:suff w:val="nothing"/>
      <w:lvlText w:val="%1、"/>
      <w:lvlJc w:val="left"/>
    </w:lvl>
  </w:abstractNum>
  <w:abstractNum w:abstractNumId="8">
    <w:nsid w:val="64EEF56A"/>
    <w:multiLevelType w:val="singleLevel"/>
    <w:tmpl w:val="64EEF56A"/>
    <w:lvl w:ilvl="0" w:tentative="0">
      <w:start w:val="1"/>
      <w:numFmt w:val="chineseCounting"/>
      <w:suff w:val="nothing"/>
      <w:lvlText w:val="%1、"/>
      <w:lvlJc w:val="left"/>
    </w:lvl>
  </w:abstractNum>
  <w:num w:numId="1">
    <w:abstractNumId w:val="1"/>
  </w:num>
  <w:num w:numId="2">
    <w:abstractNumId w:val="5"/>
  </w:num>
  <w:num w:numId="3">
    <w:abstractNumId w:val="7"/>
  </w:num>
  <w:num w:numId="4">
    <w:abstractNumId w:val="0"/>
  </w:num>
  <w:num w:numId="5">
    <w:abstractNumId w:val="8"/>
  </w:num>
  <w:num w:numId="6">
    <w:abstractNumId w:val="2"/>
  </w:num>
  <w:num w:numId="7">
    <w:abstractNumId w:val="3"/>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10"/>
  <w:drawingGridVerticalSpacing w:val="156"/>
  <w:displayHorizontalDrawingGridEvery w:val="1"/>
  <w:displayVerticalDrawingGridEvery w:val="1"/>
  <w:noPunctuationKerning w:val="1"/>
  <w:characterSpacingControl w:val="compressPunctuation"/>
  <w:footnotePr>
    <w:footnote w:id="4"/>
    <w:footnote w:id="5"/>
  </w:foot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ZlNGNlZWUzMDJiZTAyMjI1M2FlNmQ3MGUwNDRlYzkifQ=="/>
  </w:docVars>
  <w:rsids>
    <w:rsidRoot w:val="007C12CC"/>
    <w:rsid w:val="00000668"/>
    <w:rsid w:val="00001660"/>
    <w:rsid w:val="000036EF"/>
    <w:rsid w:val="00004B89"/>
    <w:rsid w:val="00007DA7"/>
    <w:rsid w:val="00011C70"/>
    <w:rsid w:val="00015AD4"/>
    <w:rsid w:val="000163D7"/>
    <w:rsid w:val="00017459"/>
    <w:rsid w:val="00021F2A"/>
    <w:rsid w:val="000222FA"/>
    <w:rsid w:val="00023E17"/>
    <w:rsid w:val="000246A1"/>
    <w:rsid w:val="00024A16"/>
    <w:rsid w:val="00026E80"/>
    <w:rsid w:val="00031558"/>
    <w:rsid w:val="00032335"/>
    <w:rsid w:val="00032783"/>
    <w:rsid w:val="00035948"/>
    <w:rsid w:val="000408C4"/>
    <w:rsid w:val="00041FE4"/>
    <w:rsid w:val="00046697"/>
    <w:rsid w:val="0004677D"/>
    <w:rsid w:val="00050590"/>
    <w:rsid w:val="00051366"/>
    <w:rsid w:val="000526C6"/>
    <w:rsid w:val="00052B12"/>
    <w:rsid w:val="00053337"/>
    <w:rsid w:val="00054BA4"/>
    <w:rsid w:val="00055C21"/>
    <w:rsid w:val="00056979"/>
    <w:rsid w:val="00057397"/>
    <w:rsid w:val="0006019C"/>
    <w:rsid w:val="00061464"/>
    <w:rsid w:val="0006264C"/>
    <w:rsid w:val="000657E0"/>
    <w:rsid w:val="0006634F"/>
    <w:rsid w:val="0006738D"/>
    <w:rsid w:val="0007059E"/>
    <w:rsid w:val="00072E78"/>
    <w:rsid w:val="000731F0"/>
    <w:rsid w:val="00074138"/>
    <w:rsid w:val="000743DD"/>
    <w:rsid w:val="0007588A"/>
    <w:rsid w:val="00081A37"/>
    <w:rsid w:val="00082B75"/>
    <w:rsid w:val="000839BF"/>
    <w:rsid w:val="00084183"/>
    <w:rsid w:val="00084F67"/>
    <w:rsid w:val="0008602F"/>
    <w:rsid w:val="00086A4E"/>
    <w:rsid w:val="00090600"/>
    <w:rsid w:val="00090A00"/>
    <w:rsid w:val="00092B4C"/>
    <w:rsid w:val="00093ABA"/>
    <w:rsid w:val="000958DC"/>
    <w:rsid w:val="0009654F"/>
    <w:rsid w:val="000A1518"/>
    <w:rsid w:val="000A1D01"/>
    <w:rsid w:val="000A2A84"/>
    <w:rsid w:val="000A32C6"/>
    <w:rsid w:val="000A3863"/>
    <w:rsid w:val="000A4196"/>
    <w:rsid w:val="000A42C7"/>
    <w:rsid w:val="000A4B2E"/>
    <w:rsid w:val="000A4EA5"/>
    <w:rsid w:val="000B07DD"/>
    <w:rsid w:val="000B0F4B"/>
    <w:rsid w:val="000B1C2C"/>
    <w:rsid w:val="000B58C4"/>
    <w:rsid w:val="000B7FD8"/>
    <w:rsid w:val="000C00DD"/>
    <w:rsid w:val="000C0146"/>
    <w:rsid w:val="000C22DB"/>
    <w:rsid w:val="000C405E"/>
    <w:rsid w:val="000C4129"/>
    <w:rsid w:val="000C4762"/>
    <w:rsid w:val="000C5D2D"/>
    <w:rsid w:val="000D03B4"/>
    <w:rsid w:val="000D0F0A"/>
    <w:rsid w:val="000D4EFB"/>
    <w:rsid w:val="000D501F"/>
    <w:rsid w:val="000D705A"/>
    <w:rsid w:val="000E583C"/>
    <w:rsid w:val="000F422B"/>
    <w:rsid w:val="00100B7D"/>
    <w:rsid w:val="00100C85"/>
    <w:rsid w:val="00100FCD"/>
    <w:rsid w:val="0010167E"/>
    <w:rsid w:val="001033D2"/>
    <w:rsid w:val="001114EB"/>
    <w:rsid w:val="001116C7"/>
    <w:rsid w:val="00111F41"/>
    <w:rsid w:val="00113423"/>
    <w:rsid w:val="0011411F"/>
    <w:rsid w:val="001145CD"/>
    <w:rsid w:val="00114DE5"/>
    <w:rsid w:val="00114EBA"/>
    <w:rsid w:val="001150A5"/>
    <w:rsid w:val="0012276E"/>
    <w:rsid w:val="00123E53"/>
    <w:rsid w:val="00126265"/>
    <w:rsid w:val="00126D87"/>
    <w:rsid w:val="00130034"/>
    <w:rsid w:val="00131F14"/>
    <w:rsid w:val="001329EB"/>
    <w:rsid w:val="001345C8"/>
    <w:rsid w:val="00136485"/>
    <w:rsid w:val="00136D53"/>
    <w:rsid w:val="00142470"/>
    <w:rsid w:val="001459D4"/>
    <w:rsid w:val="001464DD"/>
    <w:rsid w:val="001500D3"/>
    <w:rsid w:val="00150BFF"/>
    <w:rsid w:val="00151441"/>
    <w:rsid w:val="00153D4C"/>
    <w:rsid w:val="00156466"/>
    <w:rsid w:val="00156D44"/>
    <w:rsid w:val="001575FD"/>
    <w:rsid w:val="00161AEF"/>
    <w:rsid w:val="00162078"/>
    <w:rsid w:val="001648CD"/>
    <w:rsid w:val="00164BCE"/>
    <w:rsid w:val="001652F8"/>
    <w:rsid w:val="00165833"/>
    <w:rsid w:val="001659D8"/>
    <w:rsid w:val="00167ED2"/>
    <w:rsid w:val="00170C8C"/>
    <w:rsid w:val="001714B1"/>
    <w:rsid w:val="00175AEB"/>
    <w:rsid w:val="001763A5"/>
    <w:rsid w:val="00180A7F"/>
    <w:rsid w:val="0018291D"/>
    <w:rsid w:val="0018382C"/>
    <w:rsid w:val="0018390E"/>
    <w:rsid w:val="00183F9B"/>
    <w:rsid w:val="00185A39"/>
    <w:rsid w:val="00185F2C"/>
    <w:rsid w:val="00186AEA"/>
    <w:rsid w:val="001876EA"/>
    <w:rsid w:val="00187C36"/>
    <w:rsid w:val="00187D88"/>
    <w:rsid w:val="00193802"/>
    <w:rsid w:val="00193E56"/>
    <w:rsid w:val="00196B7A"/>
    <w:rsid w:val="001974BF"/>
    <w:rsid w:val="0019756E"/>
    <w:rsid w:val="001A0BE4"/>
    <w:rsid w:val="001A2203"/>
    <w:rsid w:val="001A4D34"/>
    <w:rsid w:val="001A67F1"/>
    <w:rsid w:val="001A761A"/>
    <w:rsid w:val="001B22E9"/>
    <w:rsid w:val="001B2AAD"/>
    <w:rsid w:val="001B3E78"/>
    <w:rsid w:val="001B4335"/>
    <w:rsid w:val="001B4B2D"/>
    <w:rsid w:val="001B5EFB"/>
    <w:rsid w:val="001B64AD"/>
    <w:rsid w:val="001C1F34"/>
    <w:rsid w:val="001C4A5B"/>
    <w:rsid w:val="001C5251"/>
    <w:rsid w:val="001C5AF6"/>
    <w:rsid w:val="001C6BC4"/>
    <w:rsid w:val="001D0F62"/>
    <w:rsid w:val="001D2331"/>
    <w:rsid w:val="001D3913"/>
    <w:rsid w:val="001D6A06"/>
    <w:rsid w:val="001D759C"/>
    <w:rsid w:val="001E0521"/>
    <w:rsid w:val="001E148C"/>
    <w:rsid w:val="001E2645"/>
    <w:rsid w:val="001E3B05"/>
    <w:rsid w:val="001E5BB0"/>
    <w:rsid w:val="001E6EF9"/>
    <w:rsid w:val="001F035E"/>
    <w:rsid w:val="001F1A9B"/>
    <w:rsid w:val="001F21D8"/>
    <w:rsid w:val="001F64F5"/>
    <w:rsid w:val="001F67E0"/>
    <w:rsid w:val="001F7DBD"/>
    <w:rsid w:val="00203068"/>
    <w:rsid w:val="00206D18"/>
    <w:rsid w:val="0021013C"/>
    <w:rsid w:val="002120D0"/>
    <w:rsid w:val="002125E6"/>
    <w:rsid w:val="00216424"/>
    <w:rsid w:val="00224333"/>
    <w:rsid w:val="00224CDC"/>
    <w:rsid w:val="002270B2"/>
    <w:rsid w:val="00230304"/>
    <w:rsid w:val="00230D10"/>
    <w:rsid w:val="002320BC"/>
    <w:rsid w:val="002332EA"/>
    <w:rsid w:val="002342C9"/>
    <w:rsid w:val="002404DA"/>
    <w:rsid w:val="00242277"/>
    <w:rsid w:val="00244015"/>
    <w:rsid w:val="002470DA"/>
    <w:rsid w:val="00247C91"/>
    <w:rsid w:val="00250692"/>
    <w:rsid w:val="00250C39"/>
    <w:rsid w:val="0025359C"/>
    <w:rsid w:val="00255D4B"/>
    <w:rsid w:val="002573C6"/>
    <w:rsid w:val="00262A61"/>
    <w:rsid w:val="00265F18"/>
    <w:rsid w:val="002726FB"/>
    <w:rsid w:val="0027449E"/>
    <w:rsid w:val="002771F5"/>
    <w:rsid w:val="00277B58"/>
    <w:rsid w:val="00280A47"/>
    <w:rsid w:val="00280D8F"/>
    <w:rsid w:val="00281347"/>
    <w:rsid w:val="002857AA"/>
    <w:rsid w:val="0029048E"/>
    <w:rsid w:val="00291539"/>
    <w:rsid w:val="00294EBC"/>
    <w:rsid w:val="0029626C"/>
    <w:rsid w:val="002A0B7A"/>
    <w:rsid w:val="002A0C82"/>
    <w:rsid w:val="002A2AD5"/>
    <w:rsid w:val="002A373E"/>
    <w:rsid w:val="002B067F"/>
    <w:rsid w:val="002B6D25"/>
    <w:rsid w:val="002B7D1D"/>
    <w:rsid w:val="002C008F"/>
    <w:rsid w:val="002C0964"/>
    <w:rsid w:val="002C3905"/>
    <w:rsid w:val="002C7DDE"/>
    <w:rsid w:val="002D402B"/>
    <w:rsid w:val="002D5D7E"/>
    <w:rsid w:val="002D73AE"/>
    <w:rsid w:val="002E09AB"/>
    <w:rsid w:val="002E2016"/>
    <w:rsid w:val="002E263A"/>
    <w:rsid w:val="002E372F"/>
    <w:rsid w:val="002E38A1"/>
    <w:rsid w:val="002E53EC"/>
    <w:rsid w:val="002E7B45"/>
    <w:rsid w:val="002F0D48"/>
    <w:rsid w:val="002F28CA"/>
    <w:rsid w:val="002F3919"/>
    <w:rsid w:val="002F5A38"/>
    <w:rsid w:val="002F5CBF"/>
    <w:rsid w:val="002F6A46"/>
    <w:rsid w:val="002F71FC"/>
    <w:rsid w:val="002F797B"/>
    <w:rsid w:val="002F7C1A"/>
    <w:rsid w:val="0030178C"/>
    <w:rsid w:val="00302602"/>
    <w:rsid w:val="0030262F"/>
    <w:rsid w:val="00306772"/>
    <w:rsid w:val="00306A59"/>
    <w:rsid w:val="00306F89"/>
    <w:rsid w:val="00307CE1"/>
    <w:rsid w:val="0031253B"/>
    <w:rsid w:val="00314009"/>
    <w:rsid w:val="0031795E"/>
    <w:rsid w:val="00321BCE"/>
    <w:rsid w:val="003230A0"/>
    <w:rsid w:val="00323546"/>
    <w:rsid w:val="00327B03"/>
    <w:rsid w:val="00331FC6"/>
    <w:rsid w:val="0033261E"/>
    <w:rsid w:val="003331D2"/>
    <w:rsid w:val="00334A11"/>
    <w:rsid w:val="00335BD1"/>
    <w:rsid w:val="003419CA"/>
    <w:rsid w:val="00346A47"/>
    <w:rsid w:val="0035016E"/>
    <w:rsid w:val="003502E7"/>
    <w:rsid w:val="0035067D"/>
    <w:rsid w:val="00350E02"/>
    <w:rsid w:val="00352BE5"/>
    <w:rsid w:val="003534C0"/>
    <w:rsid w:val="00354318"/>
    <w:rsid w:val="00354A64"/>
    <w:rsid w:val="00354DBD"/>
    <w:rsid w:val="00355FC0"/>
    <w:rsid w:val="00364647"/>
    <w:rsid w:val="00365CBF"/>
    <w:rsid w:val="00367111"/>
    <w:rsid w:val="0037029D"/>
    <w:rsid w:val="00370C8A"/>
    <w:rsid w:val="0037288F"/>
    <w:rsid w:val="00372E53"/>
    <w:rsid w:val="0037405F"/>
    <w:rsid w:val="00381E2B"/>
    <w:rsid w:val="00382165"/>
    <w:rsid w:val="003828C0"/>
    <w:rsid w:val="00383BFA"/>
    <w:rsid w:val="00384FE6"/>
    <w:rsid w:val="00395323"/>
    <w:rsid w:val="00395A66"/>
    <w:rsid w:val="00396042"/>
    <w:rsid w:val="00396685"/>
    <w:rsid w:val="003A0BC0"/>
    <w:rsid w:val="003A2FA7"/>
    <w:rsid w:val="003B035C"/>
    <w:rsid w:val="003B07A2"/>
    <w:rsid w:val="003B1AB5"/>
    <w:rsid w:val="003B4511"/>
    <w:rsid w:val="003B4C27"/>
    <w:rsid w:val="003B6F87"/>
    <w:rsid w:val="003C0054"/>
    <w:rsid w:val="003C0851"/>
    <w:rsid w:val="003C14AB"/>
    <w:rsid w:val="003C1E7C"/>
    <w:rsid w:val="003C2A86"/>
    <w:rsid w:val="003C3422"/>
    <w:rsid w:val="003C4E8A"/>
    <w:rsid w:val="003C668B"/>
    <w:rsid w:val="003D1437"/>
    <w:rsid w:val="003D51E5"/>
    <w:rsid w:val="003D629B"/>
    <w:rsid w:val="003D6FFA"/>
    <w:rsid w:val="003E35F5"/>
    <w:rsid w:val="003F1389"/>
    <w:rsid w:val="003F2938"/>
    <w:rsid w:val="003F4F88"/>
    <w:rsid w:val="003F647B"/>
    <w:rsid w:val="00400273"/>
    <w:rsid w:val="00400415"/>
    <w:rsid w:val="00400F8F"/>
    <w:rsid w:val="00401075"/>
    <w:rsid w:val="00403397"/>
    <w:rsid w:val="00405597"/>
    <w:rsid w:val="004056A0"/>
    <w:rsid w:val="00406F9F"/>
    <w:rsid w:val="004071DA"/>
    <w:rsid w:val="00420862"/>
    <w:rsid w:val="004233F9"/>
    <w:rsid w:val="004259A8"/>
    <w:rsid w:val="00427793"/>
    <w:rsid w:val="004277FA"/>
    <w:rsid w:val="00431295"/>
    <w:rsid w:val="0043527A"/>
    <w:rsid w:val="00436108"/>
    <w:rsid w:val="004368E1"/>
    <w:rsid w:val="00436A1E"/>
    <w:rsid w:val="00437F68"/>
    <w:rsid w:val="0044167C"/>
    <w:rsid w:val="00441691"/>
    <w:rsid w:val="004440D6"/>
    <w:rsid w:val="0044451B"/>
    <w:rsid w:val="0044660F"/>
    <w:rsid w:val="00446D5B"/>
    <w:rsid w:val="00447F5D"/>
    <w:rsid w:val="00451934"/>
    <w:rsid w:val="004522CD"/>
    <w:rsid w:val="00453DA2"/>
    <w:rsid w:val="00454103"/>
    <w:rsid w:val="00456FD9"/>
    <w:rsid w:val="00457964"/>
    <w:rsid w:val="004643AF"/>
    <w:rsid w:val="00464C62"/>
    <w:rsid w:val="00465A54"/>
    <w:rsid w:val="00474121"/>
    <w:rsid w:val="00474A2F"/>
    <w:rsid w:val="004753B1"/>
    <w:rsid w:val="00475A3B"/>
    <w:rsid w:val="00476556"/>
    <w:rsid w:val="004770FB"/>
    <w:rsid w:val="004837E8"/>
    <w:rsid w:val="00484A3D"/>
    <w:rsid w:val="0048581D"/>
    <w:rsid w:val="004859C3"/>
    <w:rsid w:val="00485EDF"/>
    <w:rsid w:val="00490A1F"/>
    <w:rsid w:val="004930E0"/>
    <w:rsid w:val="004967DA"/>
    <w:rsid w:val="004A11B8"/>
    <w:rsid w:val="004A2B4F"/>
    <w:rsid w:val="004A41B8"/>
    <w:rsid w:val="004A6596"/>
    <w:rsid w:val="004A7ED0"/>
    <w:rsid w:val="004B01DC"/>
    <w:rsid w:val="004B09D8"/>
    <w:rsid w:val="004B3660"/>
    <w:rsid w:val="004B42C6"/>
    <w:rsid w:val="004B4E67"/>
    <w:rsid w:val="004B58B4"/>
    <w:rsid w:val="004B7913"/>
    <w:rsid w:val="004B7CD4"/>
    <w:rsid w:val="004C1A76"/>
    <w:rsid w:val="004C2D18"/>
    <w:rsid w:val="004C37F4"/>
    <w:rsid w:val="004C3CC5"/>
    <w:rsid w:val="004C7D92"/>
    <w:rsid w:val="004D17B5"/>
    <w:rsid w:val="004D1CAF"/>
    <w:rsid w:val="004D1D4C"/>
    <w:rsid w:val="004D438D"/>
    <w:rsid w:val="004D6AA0"/>
    <w:rsid w:val="004D6EA3"/>
    <w:rsid w:val="004E095F"/>
    <w:rsid w:val="004E0ADC"/>
    <w:rsid w:val="004E0DC1"/>
    <w:rsid w:val="004E1DBF"/>
    <w:rsid w:val="004E2AF2"/>
    <w:rsid w:val="004E2BA2"/>
    <w:rsid w:val="004E3934"/>
    <w:rsid w:val="004E4ECE"/>
    <w:rsid w:val="004E55B9"/>
    <w:rsid w:val="004E7C5E"/>
    <w:rsid w:val="004F02CB"/>
    <w:rsid w:val="004F053A"/>
    <w:rsid w:val="004F2BA1"/>
    <w:rsid w:val="004F6640"/>
    <w:rsid w:val="00500EB1"/>
    <w:rsid w:val="00502229"/>
    <w:rsid w:val="005023EE"/>
    <w:rsid w:val="00506595"/>
    <w:rsid w:val="005112AC"/>
    <w:rsid w:val="00512F35"/>
    <w:rsid w:val="00516884"/>
    <w:rsid w:val="0051796C"/>
    <w:rsid w:val="00520D04"/>
    <w:rsid w:val="0052149F"/>
    <w:rsid w:val="005234C2"/>
    <w:rsid w:val="00523933"/>
    <w:rsid w:val="00524715"/>
    <w:rsid w:val="005275DB"/>
    <w:rsid w:val="00531E0F"/>
    <w:rsid w:val="00531EE8"/>
    <w:rsid w:val="00534655"/>
    <w:rsid w:val="00535D9F"/>
    <w:rsid w:val="0053654A"/>
    <w:rsid w:val="005365A9"/>
    <w:rsid w:val="00536D3A"/>
    <w:rsid w:val="005379D8"/>
    <w:rsid w:val="0054439D"/>
    <w:rsid w:val="005455D7"/>
    <w:rsid w:val="00545ACC"/>
    <w:rsid w:val="0054613F"/>
    <w:rsid w:val="00546F02"/>
    <w:rsid w:val="00547477"/>
    <w:rsid w:val="00550637"/>
    <w:rsid w:val="00551E54"/>
    <w:rsid w:val="00552A5B"/>
    <w:rsid w:val="0055493D"/>
    <w:rsid w:val="00555666"/>
    <w:rsid w:val="0055769A"/>
    <w:rsid w:val="005603D7"/>
    <w:rsid w:val="00560776"/>
    <w:rsid w:val="005651F2"/>
    <w:rsid w:val="00566BF2"/>
    <w:rsid w:val="00567FBF"/>
    <w:rsid w:val="0057009F"/>
    <w:rsid w:val="00575EC8"/>
    <w:rsid w:val="005770E1"/>
    <w:rsid w:val="00585C10"/>
    <w:rsid w:val="00585D18"/>
    <w:rsid w:val="005876D8"/>
    <w:rsid w:val="00590091"/>
    <w:rsid w:val="0059168E"/>
    <w:rsid w:val="00591E80"/>
    <w:rsid w:val="00592523"/>
    <w:rsid w:val="0059553F"/>
    <w:rsid w:val="005A0985"/>
    <w:rsid w:val="005A0C33"/>
    <w:rsid w:val="005A17B6"/>
    <w:rsid w:val="005A2897"/>
    <w:rsid w:val="005A6B6C"/>
    <w:rsid w:val="005B0EA2"/>
    <w:rsid w:val="005B3818"/>
    <w:rsid w:val="005B52B1"/>
    <w:rsid w:val="005C08FA"/>
    <w:rsid w:val="005C0E52"/>
    <w:rsid w:val="005C10F2"/>
    <w:rsid w:val="005C1831"/>
    <w:rsid w:val="005C3E17"/>
    <w:rsid w:val="005D1258"/>
    <w:rsid w:val="005D72BC"/>
    <w:rsid w:val="005E0927"/>
    <w:rsid w:val="005E0EB8"/>
    <w:rsid w:val="005E290B"/>
    <w:rsid w:val="005E61DB"/>
    <w:rsid w:val="005F14FD"/>
    <w:rsid w:val="005F16CD"/>
    <w:rsid w:val="005F267A"/>
    <w:rsid w:val="005F28F4"/>
    <w:rsid w:val="005F3424"/>
    <w:rsid w:val="005F39AC"/>
    <w:rsid w:val="00600642"/>
    <w:rsid w:val="00600F89"/>
    <w:rsid w:val="00605136"/>
    <w:rsid w:val="006063A3"/>
    <w:rsid w:val="0060753A"/>
    <w:rsid w:val="00607991"/>
    <w:rsid w:val="00610DCC"/>
    <w:rsid w:val="006120A9"/>
    <w:rsid w:val="00612C9E"/>
    <w:rsid w:val="00614B06"/>
    <w:rsid w:val="00614DE1"/>
    <w:rsid w:val="006169D0"/>
    <w:rsid w:val="00616C8F"/>
    <w:rsid w:val="00616EAA"/>
    <w:rsid w:val="0061768C"/>
    <w:rsid w:val="00621870"/>
    <w:rsid w:val="00626234"/>
    <w:rsid w:val="00626402"/>
    <w:rsid w:val="00627813"/>
    <w:rsid w:val="00633FA7"/>
    <w:rsid w:val="006426B9"/>
    <w:rsid w:val="00643045"/>
    <w:rsid w:val="00645C78"/>
    <w:rsid w:val="00646470"/>
    <w:rsid w:val="00646570"/>
    <w:rsid w:val="00650EC4"/>
    <w:rsid w:val="00652426"/>
    <w:rsid w:val="00653F99"/>
    <w:rsid w:val="0065519A"/>
    <w:rsid w:val="0065793E"/>
    <w:rsid w:val="00661B2B"/>
    <w:rsid w:val="00662776"/>
    <w:rsid w:val="006666FB"/>
    <w:rsid w:val="0066748C"/>
    <w:rsid w:val="00667F67"/>
    <w:rsid w:val="00670889"/>
    <w:rsid w:val="006708E4"/>
    <w:rsid w:val="00670BD0"/>
    <w:rsid w:val="006733AC"/>
    <w:rsid w:val="006762E2"/>
    <w:rsid w:val="00677EB4"/>
    <w:rsid w:val="00680F34"/>
    <w:rsid w:val="006815B2"/>
    <w:rsid w:val="00682060"/>
    <w:rsid w:val="006825D3"/>
    <w:rsid w:val="006826F0"/>
    <w:rsid w:val="00682AC8"/>
    <w:rsid w:val="0068510B"/>
    <w:rsid w:val="00687E71"/>
    <w:rsid w:val="00690343"/>
    <w:rsid w:val="006959B9"/>
    <w:rsid w:val="006A0C8E"/>
    <w:rsid w:val="006A43FF"/>
    <w:rsid w:val="006A45A1"/>
    <w:rsid w:val="006A4E33"/>
    <w:rsid w:val="006A6109"/>
    <w:rsid w:val="006A6791"/>
    <w:rsid w:val="006A7FB3"/>
    <w:rsid w:val="006A7FB6"/>
    <w:rsid w:val="006B1F57"/>
    <w:rsid w:val="006B23CA"/>
    <w:rsid w:val="006B3179"/>
    <w:rsid w:val="006B3693"/>
    <w:rsid w:val="006B43B6"/>
    <w:rsid w:val="006B6634"/>
    <w:rsid w:val="006B6F99"/>
    <w:rsid w:val="006B728F"/>
    <w:rsid w:val="006B7390"/>
    <w:rsid w:val="006B73C5"/>
    <w:rsid w:val="006B791C"/>
    <w:rsid w:val="006C2177"/>
    <w:rsid w:val="006C34E1"/>
    <w:rsid w:val="006C434D"/>
    <w:rsid w:val="006C5DBB"/>
    <w:rsid w:val="006D46D7"/>
    <w:rsid w:val="006D4D1C"/>
    <w:rsid w:val="006D4E10"/>
    <w:rsid w:val="006D539E"/>
    <w:rsid w:val="006D7AEE"/>
    <w:rsid w:val="006E08D1"/>
    <w:rsid w:val="006E0F4A"/>
    <w:rsid w:val="006E1B6F"/>
    <w:rsid w:val="006E280B"/>
    <w:rsid w:val="006E3610"/>
    <w:rsid w:val="006E3819"/>
    <w:rsid w:val="006E3977"/>
    <w:rsid w:val="006E3EA3"/>
    <w:rsid w:val="006E5673"/>
    <w:rsid w:val="006E57C3"/>
    <w:rsid w:val="006E6C7E"/>
    <w:rsid w:val="006F19FC"/>
    <w:rsid w:val="006F3A7D"/>
    <w:rsid w:val="006F6F4D"/>
    <w:rsid w:val="006F72D9"/>
    <w:rsid w:val="00700B4C"/>
    <w:rsid w:val="00706597"/>
    <w:rsid w:val="00706A8F"/>
    <w:rsid w:val="00707B59"/>
    <w:rsid w:val="007111A3"/>
    <w:rsid w:val="0071161C"/>
    <w:rsid w:val="007142A8"/>
    <w:rsid w:val="0071601D"/>
    <w:rsid w:val="00716115"/>
    <w:rsid w:val="00721582"/>
    <w:rsid w:val="007236E6"/>
    <w:rsid w:val="0072427E"/>
    <w:rsid w:val="007252FD"/>
    <w:rsid w:val="00730609"/>
    <w:rsid w:val="00731DA2"/>
    <w:rsid w:val="0073276D"/>
    <w:rsid w:val="00734122"/>
    <w:rsid w:val="00737F15"/>
    <w:rsid w:val="0074082A"/>
    <w:rsid w:val="007423F5"/>
    <w:rsid w:val="00742877"/>
    <w:rsid w:val="0074393D"/>
    <w:rsid w:val="00743991"/>
    <w:rsid w:val="00746AD4"/>
    <w:rsid w:val="0075032B"/>
    <w:rsid w:val="007515C4"/>
    <w:rsid w:val="007540CC"/>
    <w:rsid w:val="00754DC3"/>
    <w:rsid w:val="00755A08"/>
    <w:rsid w:val="00756231"/>
    <w:rsid w:val="00757287"/>
    <w:rsid w:val="00757D3C"/>
    <w:rsid w:val="00762466"/>
    <w:rsid w:val="00764146"/>
    <w:rsid w:val="007646F7"/>
    <w:rsid w:val="007663CC"/>
    <w:rsid w:val="00766C89"/>
    <w:rsid w:val="007673B6"/>
    <w:rsid w:val="007707AA"/>
    <w:rsid w:val="007708E0"/>
    <w:rsid w:val="00773B5E"/>
    <w:rsid w:val="00774962"/>
    <w:rsid w:val="00780DCA"/>
    <w:rsid w:val="007818C9"/>
    <w:rsid w:val="00781BFC"/>
    <w:rsid w:val="00782920"/>
    <w:rsid w:val="00785978"/>
    <w:rsid w:val="007865E1"/>
    <w:rsid w:val="007866F2"/>
    <w:rsid w:val="007935DE"/>
    <w:rsid w:val="007A009E"/>
    <w:rsid w:val="007A01F7"/>
    <w:rsid w:val="007A0AD8"/>
    <w:rsid w:val="007A0F8C"/>
    <w:rsid w:val="007A13C0"/>
    <w:rsid w:val="007A4490"/>
    <w:rsid w:val="007A4F56"/>
    <w:rsid w:val="007A7069"/>
    <w:rsid w:val="007A70D1"/>
    <w:rsid w:val="007A7526"/>
    <w:rsid w:val="007B14A8"/>
    <w:rsid w:val="007B283B"/>
    <w:rsid w:val="007B2F12"/>
    <w:rsid w:val="007B6900"/>
    <w:rsid w:val="007B7884"/>
    <w:rsid w:val="007C0294"/>
    <w:rsid w:val="007C12CC"/>
    <w:rsid w:val="007C3B0F"/>
    <w:rsid w:val="007C563E"/>
    <w:rsid w:val="007C6221"/>
    <w:rsid w:val="007C7B57"/>
    <w:rsid w:val="007D425A"/>
    <w:rsid w:val="007D5A19"/>
    <w:rsid w:val="007E193D"/>
    <w:rsid w:val="007E31A6"/>
    <w:rsid w:val="007E37B8"/>
    <w:rsid w:val="007E4F90"/>
    <w:rsid w:val="007E74AD"/>
    <w:rsid w:val="007E79B1"/>
    <w:rsid w:val="007F00ED"/>
    <w:rsid w:val="007F5FAD"/>
    <w:rsid w:val="007F620C"/>
    <w:rsid w:val="008004E8"/>
    <w:rsid w:val="00801B05"/>
    <w:rsid w:val="008025D3"/>
    <w:rsid w:val="00807A32"/>
    <w:rsid w:val="00807BB1"/>
    <w:rsid w:val="008102C8"/>
    <w:rsid w:val="00811C72"/>
    <w:rsid w:val="008127C3"/>
    <w:rsid w:val="00813B77"/>
    <w:rsid w:val="0081715B"/>
    <w:rsid w:val="00817D26"/>
    <w:rsid w:val="00821A14"/>
    <w:rsid w:val="0082398E"/>
    <w:rsid w:val="008266FA"/>
    <w:rsid w:val="00830484"/>
    <w:rsid w:val="00830A98"/>
    <w:rsid w:val="00831330"/>
    <w:rsid w:val="00831AF4"/>
    <w:rsid w:val="008373DB"/>
    <w:rsid w:val="00840D1C"/>
    <w:rsid w:val="00841CA6"/>
    <w:rsid w:val="00845524"/>
    <w:rsid w:val="00847236"/>
    <w:rsid w:val="008510BC"/>
    <w:rsid w:val="00851335"/>
    <w:rsid w:val="00851D92"/>
    <w:rsid w:val="00852E08"/>
    <w:rsid w:val="0085350D"/>
    <w:rsid w:val="00857EA5"/>
    <w:rsid w:val="0086159E"/>
    <w:rsid w:val="00870635"/>
    <w:rsid w:val="0087069A"/>
    <w:rsid w:val="0087135D"/>
    <w:rsid w:val="00871E09"/>
    <w:rsid w:val="00874451"/>
    <w:rsid w:val="00875714"/>
    <w:rsid w:val="008834FA"/>
    <w:rsid w:val="008836C9"/>
    <w:rsid w:val="00887A37"/>
    <w:rsid w:val="008944AF"/>
    <w:rsid w:val="0089587E"/>
    <w:rsid w:val="008970D5"/>
    <w:rsid w:val="008A1DE0"/>
    <w:rsid w:val="008A4078"/>
    <w:rsid w:val="008B0085"/>
    <w:rsid w:val="008B14A9"/>
    <w:rsid w:val="008B2B51"/>
    <w:rsid w:val="008B346E"/>
    <w:rsid w:val="008B4983"/>
    <w:rsid w:val="008B4E2A"/>
    <w:rsid w:val="008B5136"/>
    <w:rsid w:val="008B68FD"/>
    <w:rsid w:val="008B6F04"/>
    <w:rsid w:val="008C2E09"/>
    <w:rsid w:val="008C32D0"/>
    <w:rsid w:val="008C3677"/>
    <w:rsid w:val="008C3970"/>
    <w:rsid w:val="008C48F8"/>
    <w:rsid w:val="008D119C"/>
    <w:rsid w:val="008D3C61"/>
    <w:rsid w:val="008D6485"/>
    <w:rsid w:val="008D706D"/>
    <w:rsid w:val="008E1ADA"/>
    <w:rsid w:val="008E1C35"/>
    <w:rsid w:val="008E2427"/>
    <w:rsid w:val="008E46ED"/>
    <w:rsid w:val="008E512D"/>
    <w:rsid w:val="008E5891"/>
    <w:rsid w:val="008E5F09"/>
    <w:rsid w:val="008F0521"/>
    <w:rsid w:val="008F1DDA"/>
    <w:rsid w:val="008F39B8"/>
    <w:rsid w:val="00901748"/>
    <w:rsid w:val="009018E5"/>
    <w:rsid w:val="00901C1E"/>
    <w:rsid w:val="00902CF4"/>
    <w:rsid w:val="0090478A"/>
    <w:rsid w:val="009056D3"/>
    <w:rsid w:val="00905841"/>
    <w:rsid w:val="00907D77"/>
    <w:rsid w:val="00910A2F"/>
    <w:rsid w:val="00910F99"/>
    <w:rsid w:val="00914672"/>
    <w:rsid w:val="00916557"/>
    <w:rsid w:val="0092358B"/>
    <w:rsid w:val="009235E0"/>
    <w:rsid w:val="00924A8B"/>
    <w:rsid w:val="0092510C"/>
    <w:rsid w:val="0092521F"/>
    <w:rsid w:val="009252F3"/>
    <w:rsid w:val="00925562"/>
    <w:rsid w:val="00926E97"/>
    <w:rsid w:val="0092700A"/>
    <w:rsid w:val="00927144"/>
    <w:rsid w:val="009306D2"/>
    <w:rsid w:val="00933D99"/>
    <w:rsid w:val="009346ED"/>
    <w:rsid w:val="00935053"/>
    <w:rsid w:val="00937409"/>
    <w:rsid w:val="0093790A"/>
    <w:rsid w:val="00944D9B"/>
    <w:rsid w:val="00945A9B"/>
    <w:rsid w:val="00951290"/>
    <w:rsid w:val="009526AF"/>
    <w:rsid w:val="00952B22"/>
    <w:rsid w:val="009618EC"/>
    <w:rsid w:val="00961BBD"/>
    <w:rsid w:val="00962822"/>
    <w:rsid w:val="0096295D"/>
    <w:rsid w:val="00964479"/>
    <w:rsid w:val="00965FE0"/>
    <w:rsid w:val="0097195D"/>
    <w:rsid w:val="009721A4"/>
    <w:rsid w:val="009725F0"/>
    <w:rsid w:val="009752EE"/>
    <w:rsid w:val="00975602"/>
    <w:rsid w:val="00982994"/>
    <w:rsid w:val="00985EEB"/>
    <w:rsid w:val="0098675D"/>
    <w:rsid w:val="00990E2B"/>
    <w:rsid w:val="009923EB"/>
    <w:rsid w:val="0099514C"/>
    <w:rsid w:val="00996CE3"/>
    <w:rsid w:val="009A07C7"/>
    <w:rsid w:val="009A0958"/>
    <w:rsid w:val="009A1FE1"/>
    <w:rsid w:val="009A2DED"/>
    <w:rsid w:val="009A4BD5"/>
    <w:rsid w:val="009A5259"/>
    <w:rsid w:val="009A5F98"/>
    <w:rsid w:val="009A6CC8"/>
    <w:rsid w:val="009B00DA"/>
    <w:rsid w:val="009C17E0"/>
    <w:rsid w:val="009C21A8"/>
    <w:rsid w:val="009C457C"/>
    <w:rsid w:val="009C4B87"/>
    <w:rsid w:val="009D004A"/>
    <w:rsid w:val="009D0197"/>
    <w:rsid w:val="009D19AE"/>
    <w:rsid w:val="009D2805"/>
    <w:rsid w:val="009D3609"/>
    <w:rsid w:val="009D58BC"/>
    <w:rsid w:val="009D6957"/>
    <w:rsid w:val="009D73DB"/>
    <w:rsid w:val="009D7994"/>
    <w:rsid w:val="009E3963"/>
    <w:rsid w:val="009E46B1"/>
    <w:rsid w:val="009E7AD9"/>
    <w:rsid w:val="009F1992"/>
    <w:rsid w:val="009F1FFE"/>
    <w:rsid w:val="009F31B2"/>
    <w:rsid w:val="009F42E4"/>
    <w:rsid w:val="009F60DF"/>
    <w:rsid w:val="00A02373"/>
    <w:rsid w:val="00A0366E"/>
    <w:rsid w:val="00A04DCF"/>
    <w:rsid w:val="00A066BF"/>
    <w:rsid w:val="00A075EF"/>
    <w:rsid w:val="00A07CEB"/>
    <w:rsid w:val="00A100BF"/>
    <w:rsid w:val="00A1253B"/>
    <w:rsid w:val="00A130E7"/>
    <w:rsid w:val="00A17860"/>
    <w:rsid w:val="00A17FC8"/>
    <w:rsid w:val="00A21609"/>
    <w:rsid w:val="00A2174B"/>
    <w:rsid w:val="00A25B97"/>
    <w:rsid w:val="00A3179E"/>
    <w:rsid w:val="00A33051"/>
    <w:rsid w:val="00A331CA"/>
    <w:rsid w:val="00A33805"/>
    <w:rsid w:val="00A34DB9"/>
    <w:rsid w:val="00A3546D"/>
    <w:rsid w:val="00A35DEB"/>
    <w:rsid w:val="00A365D7"/>
    <w:rsid w:val="00A36E24"/>
    <w:rsid w:val="00A3731C"/>
    <w:rsid w:val="00A3757E"/>
    <w:rsid w:val="00A40262"/>
    <w:rsid w:val="00A40BCF"/>
    <w:rsid w:val="00A42A70"/>
    <w:rsid w:val="00A450A0"/>
    <w:rsid w:val="00A46D08"/>
    <w:rsid w:val="00A47CB3"/>
    <w:rsid w:val="00A51A79"/>
    <w:rsid w:val="00A5291B"/>
    <w:rsid w:val="00A53021"/>
    <w:rsid w:val="00A545EE"/>
    <w:rsid w:val="00A55909"/>
    <w:rsid w:val="00A605DD"/>
    <w:rsid w:val="00A6155A"/>
    <w:rsid w:val="00A65E47"/>
    <w:rsid w:val="00A67908"/>
    <w:rsid w:val="00A708C8"/>
    <w:rsid w:val="00A71F21"/>
    <w:rsid w:val="00A71F44"/>
    <w:rsid w:val="00A737B7"/>
    <w:rsid w:val="00A74034"/>
    <w:rsid w:val="00A77774"/>
    <w:rsid w:val="00A80B2E"/>
    <w:rsid w:val="00A8489E"/>
    <w:rsid w:val="00A85309"/>
    <w:rsid w:val="00A858C3"/>
    <w:rsid w:val="00A86488"/>
    <w:rsid w:val="00A86A21"/>
    <w:rsid w:val="00A87F68"/>
    <w:rsid w:val="00A94B75"/>
    <w:rsid w:val="00A97EBF"/>
    <w:rsid w:val="00AA04F9"/>
    <w:rsid w:val="00AA13B3"/>
    <w:rsid w:val="00AA2E6B"/>
    <w:rsid w:val="00AA551C"/>
    <w:rsid w:val="00AB1442"/>
    <w:rsid w:val="00AB56FB"/>
    <w:rsid w:val="00AB6EB6"/>
    <w:rsid w:val="00AB7755"/>
    <w:rsid w:val="00AC25B3"/>
    <w:rsid w:val="00AC301A"/>
    <w:rsid w:val="00AC3246"/>
    <w:rsid w:val="00AC3317"/>
    <w:rsid w:val="00AC35D7"/>
    <w:rsid w:val="00AC5C1B"/>
    <w:rsid w:val="00AC611F"/>
    <w:rsid w:val="00AC6B73"/>
    <w:rsid w:val="00AC6F1A"/>
    <w:rsid w:val="00AC7F17"/>
    <w:rsid w:val="00AD192B"/>
    <w:rsid w:val="00AD2B1E"/>
    <w:rsid w:val="00AD438F"/>
    <w:rsid w:val="00AD7006"/>
    <w:rsid w:val="00AD7780"/>
    <w:rsid w:val="00AE02D5"/>
    <w:rsid w:val="00AE0937"/>
    <w:rsid w:val="00AE0A4F"/>
    <w:rsid w:val="00AE2347"/>
    <w:rsid w:val="00AE32A1"/>
    <w:rsid w:val="00AE4129"/>
    <w:rsid w:val="00AE529B"/>
    <w:rsid w:val="00AE6F79"/>
    <w:rsid w:val="00AF02AD"/>
    <w:rsid w:val="00AF0EB1"/>
    <w:rsid w:val="00AF3D19"/>
    <w:rsid w:val="00AF7313"/>
    <w:rsid w:val="00AF77AF"/>
    <w:rsid w:val="00B00AA8"/>
    <w:rsid w:val="00B01D46"/>
    <w:rsid w:val="00B03325"/>
    <w:rsid w:val="00B03F3C"/>
    <w:rsid w:val="00B04E09"/>
    <w:rsid w:val="00B05431"/>
    <w:rsid w:val="00B06E7A"/>
    <w:rsid w:val="00B154C8"/>
    <w:rsid w:val="00B21AC2"/>
    <w:rsid w:val="00B21BC8"/>
    <w:rsid w:val="00B22D90"/>
    <w:rsid w:val="00B26143"/>
    <w:rsid w:val="00B26B85"/>
    <w:rsid w:val="00B27316"/>
    <w:rsid w:val="00B329DF"/>
    <w:rsid w:val="00B32CF4"/>
    <w:rsid w:val="00B34A5D"/>
    <w:rsid w:val="00B361A5"/>
    <w:rsid w:val="00B36583"/>
    <w:rsid w:val="00B372DE"/>
    <w:rsid w:val="00B37AFF"/>
    <w:rsid w:val="00B418E9"/>
    <w:rsid w:val="00B4292D"/>
    <w:rsid w:val="00B42D14"/>
    <w:rsid w:val="00B54429"/>
    <w:rsid w:val="00B54988"/>
    <w:rsid w:val="00B5583D"/>
    <w:rsid w:val="00B57119"/>
    <w:rsid w:val="00B60727"/>
    <w:rsid w:val="00B608FA"/>
    <w:rsid w:val="00B60C3D"/>
    <w:rsid w:val="00B64DE9"/>
    <w:rsid w:val="00B65206"/>
    <w:rsid w:val="00B66D3D"/>
    <w:rsid w:val="00B71560"/>
    <w:rsid w:val="00B71E95"/>
    <w:rsid w:val="00B75841"/>
    <w:rsid w:val="00B7599E"/>
    <w:rsid w:val="00B76C82"/>
    <w:rsid w:val="00B80DFC"/>
    <w:rsid w:val="00B80EDE"/>
    <w:rsid w:val="00B84254"/>
    <w:rsid w:val="00B859B8"/>
    <w:rsid w:val="00B87988"/>
    <w:rsid w:val="00B87B37"/>
    <w:rsid w:val="00B90574"/>
    <w:rsid w:val="00B90CBD"/>
    <w:rsid w:val="00B92E98"/>
    <w:rsid w:val="00B9529C"/>
    <w:rsid w:val="00B9543F"/>
    <w:rsid w:val="00B9553B"/>
    <w:rsid w:val="00BA3397"/>
    <w:rsid w:val="00BA597F"/>
    <w:rsid w:val="00BA7DC3"/>
    <w:rsid w:val="00BB1E29"/>
    <w:rsid w:val="00BB3ECA"/>
    <w:rsid w:val="00BB471C"/>
    <w:rsid w:val="00BB5D41"/>
    <w:rsid w:val="00BB61E6"/>
    <w:rsid w:val="00BB6415"/>
    <w:rsid w:val="00BB767C"/>
    <w:rsid w:val="00BC1890"/>
    <w:rsid w:val="00BC229A"/>
    <w:rsid w:val="00BC5C4C"/>
    <w:rsid w:val="00BC5CF2"/>
    <w:rsid w:val="00BC6B83"/>
    <w:rsid w:val="00BC6DAD"/>
    <w:rsid w:val="00BD2189"/>
    <w:rsid w:val="00BD40F4"/>
    <w:rsid w:val="00BD7565"/>
    <w:rsid w:val="00BE174B"/>
    <w:rsid w:val="00BE3E6D"/>
    <w:rsid w:val="00BE53FC"/>
    <w:rsid w:val="00BF0B98"/>
    <w:rsid w:val="00BF3D62"/>
    <w:rsid w:val="00BF5678"/>
    <w:rsid w:val="00BF6518"/>
    <w:rsid w:val="00BF7FC6"/>
    <w:rsid w:val="00C01DA2"/>
    <w:rsid w:val="00C032E8"/>
    <w:rsid w:val="00C03FE1"/>
    <w:rsid w:val="00C048B1"/>
    <w:rsid w:val="00C0539B"/>
    <w:rsid w:val="00C056EE"/>
    <w:rsid w:val="00C05C8D"/>
    <w:rsid w:val="00C117A2"/>
    <w:rsid w:val="00C12C73"/>
    <w:rsid w:val="00C15341"/>
    <w:rsid w:val="00C20E1F"/>
    <w:rsid w:val="00C215E3"/>
    <w:rsid w:val="00C23C3E"/>
    <w:rsid w:val="00C2419F"/>
    <w:rsid w:val="00C37429"/>
    <w:rsid w:val="00C37F16"/>
    <w:rsid w:val="00C37F6C"/>
    <w:rsid w:val="00C411E5"/>
    <w:rsid w:val="00C45262"/>
    <w:rsid w:val="00C452B7"/>
    <w:rsid w:val="00C45A12"/>
    <w:rsid w:val="00C468E2"/>
    <w:rsid w:val="00C46DC8"/>
    <w:rsid w:val="00C51F56"/>
    <w:rsid w:val="00C53837"/>
    <w:rsid w:val="00C53BA5"/>
    <w:rsid w:val="00C53E7F"/>
    <w:rsid w:val="00C53F5E"/>
    <w:rsid w:val="00C54DE0"/>
    <w:rsid w:val="00C56C4B"/>
    <w:rsid w:val="00C60BB5"/>
    <w:rsid w:val="00C62FBC"/>
    <w:rsid w:val="00C630C0"/>
    <w:rsid w:val="00C6392C"/>
    <w:rsid w:val="00C6488F"/>
    <w:rsid w:val="00C65FAA"/>
    <w:rsid w:val="00C66DF8"/>
    <w:rsid w:val="00C7317A"/>
    <w:rsid w:val="00C74A60"/>
    <w:rsid w:val="00C77B4B"/>
    <w:rsid w:val="00C77FD7"/>
    <w:rsid w:val="00C81ECD"/>
    <w:rsid w:val="00C84EF2"/>
    <w:rsid w:val="00C8530A"/>
    <w:rsid w:val="00C87CFF"/>
    <w:rsid w:val="00C87FE2"/>
    <w:rsid w:val="00C91EEF"/>
    <w:rsid w:val="00C92B04"/>
    <w:rsid w:val="00C93302"/>
    <w:rsid w:val="00C96476"/>
    <w:rsid w:val="00C966E5"/>
    <w:rsid w:val="00C97D01"/>
    <w:rsid w:val="00CA1862"/>
    <w:rsid w:val="00CA5271"/>
    <w:rsid w:val="00CB126E"/>
    <w:rsid w:val="00CB13F3"/>
    <w:rsid w:val="00CB53CC"/>
    <w:rsid w:val="00CB693C"/>
    <w:rsid w:val="00CC02B6"/>
    <w:rsid w:val="00CC0515"/>
    <w:rsid w:val="00CC1EDA"/>
    <w:rsid w:val="00CC218A"/>
    <w:rsid w:val="00CC4394"/>
    <w:rsid w:val="00CC44AE"/>
    <w:rsid w:val="00CC5556"/>
    <w:rsid w:val="00CC5671"/>
    <w:rsid w:val="00CC68F4"/>
    <w:rsid w:val="00CC776E"/>
    <w:rsid w:val="00CD1251"/>
    <w:rsid w:val="00CD1CF7"/>
    <w:rsid w:val="00CD1E58"/>
    <w:rsid w:val="00CD3365"/>
    <w:rsid w:val="00CD471E"/>
    <w:rsid w:val="00CD482D"/>
    <w:rsid w:val="00CD525B"/>
    <w:rsid w:val="00CD7A14"/>
    <w:rsid w:val="00CE0273"/>
    <w:rsid w:val="00CE2FCF"/>
    <w:rsid w:val="00CE318F"/>
    <w:rsid w:val="00CE6C4B"/>
    <w:rsid w:val="00CE6DA4"/>
    <w:rsid w:val="00CF36D8"/>
    <w:rsid w:val="00CF46D5"/>
    <w:rsid w:val="00CF7ADB"/>
    <w:rsid w:val="00D0033D"/>
    <w:rsid w:val="00D006B0"/>
    <w:rsid w:val="00D00BE4"/>
    <w:rsid w:val="00D02560"/>
    <w:rsid w:val="00D04121"/>
    <w:rsid w:val="00D077B1"/>
    <w:rsid w:val="00D111BB"/>
    <w:rsid w:val="00D115B1"/>
    <w:rsid w:val="00D12409"/>
    <w:rsid w:val="00D155CF"/>
    <w:rsid w:val="00D165BB"/>
    <w:rsid w:val="00D170E0"/>
    <w:rsid w:val="00D229F0"/>
    <w:rsid w:val="00D23291"/>
    <w:rsid w:val="00D24B67"/>
    <w:rsid w:val="00D25C54"/>
    <w:rsid w:val="00D3160B"/>
    <w:rsid w:val="00D32FD1"/>
    <w:rsid w:val="00D338D3"/>
    <w:rsid w:val="00D33F03"/>
    <w:rsid w:val="00D35ACB"/>
    <w:rsid w:val="00D360C6"/>
    <w:rsid w:val="00D365C0"/>
    <w:rsid w:val="00D40B48"/>
    <w:rsid w:val="00D42D0E"/>
    <w:rsid w:val="00D445DC"/>
    <w:rsid w:val="00D44DDC"/>
    <w:rsid w:val="00D45287"/>
    <w:rsid w:val="00D4573D"/>
    <w:rsid w:val="00D46EEB"/>
    <w:rsid w:val="00D475F2"/>
    <w:rsid w:val="00D4768A"/>
    <w:rsid w:val="00D5094C"/>
    <w:rsid w:val="00D519FF"/>
    <w:rsid w:val="00D5274E"/>
    <w:rsid w:val="00D53693"/>
    <w:rsid w:val="00D537A9"/>
    <w:rsid w:val="00D547AC"/>
    <w:rsid w:val="00D5490A"/>
    <w:rsid w:val="00D557A0"/>
    <w:rsid w:val="00D5644D"/>
    <w:rsid w:val="00D60A82"/>
    <w:rsid w:val="00D61169"/>
    <w:rsid w:val="00D61F43"/>
    <w:rsid w:val="00D63F07"/>
    <w:rsid w:val="00D664D5"/>
    <w:rsid w:val="00D66C0A"/>
    <w:rsid w:val="00D72E5B"/>
    <w:rsid w:val="00D745C3"/>
    <w:rsid w:val="00D76FB8"/>
    <w:rsid w:val="00D8053D"/>
    <w:rsid w:val="00D828CE"/>
    <w:rsid w:val="00D85C6B"/>
    <w:rsid w:val="00D90CAD"/>
    <w:rsid w:val="00D92A5C"/>
    <w:rsid w:val="00D93167"/>
    <w:rsid w:val="00D93747"/>
    <w:rsid w:val="00D93C60"/>
    <w:rsid w:val="00D93FCC"/>
    <w:rsid w:val="00D944F3"/>
    <w:rsid w:val="00DA1269"/>
    <w:rsid w:val="00DA2236"/>
    <w:rsid w:val="00DA2485"/>
    <w:rsid w:val="00DA3338"/>
    <w:rsid w:val="00DA4B9C"/>
    <w:rsid w:val="00DA4D00"/>
    <w:rsid w:val="00DB307A"/>
    <w:rsid w:val="00DB4DA3"/>
    <w:rsid w:val="00DB7FC5"/>
    <w:rsid w:val="00DC1D5F"/>
    <w:rsid w:val="00DC1FAD"/>
    <w:rsid w:val="00DC20F9"/>
    <w:rsid w:val="00DC56ED"/>
    <w:rsid w:val="00DC7F24"/>
    <w:rsid w:val="00DE28C4"/>
    <w:rsid w:val="00DE29A8"/>
    <w:rsid w:val="00DE4225"/>
    <w:rsid w:val="00DE7A57"/>
    <w:rsid w:val="00DE7C1A"/>
    <w:rsid w:val="00DE7D34"/>
    <w:rsid w:val="00DF1747"/>
    <w:rsid w:val="00DF43EA"/>
    <w:rsid w:val="00DF5FB1"/>
    <w:rsid w:val="00DF7126"/>
    <w:rsid w:val="00DF781B"/>
    <w:rsid w:val="00DF79CE"/>
    <w:rsid w:val="00E009F3"/>
    <w:rsid w:val="00E00DDC"/>
    <w:rsid w:val="00E01FA7"/>
    <w:rsid w:val="00E0432C"/>
    <w:rsid w:val="00E048E5"/>
    <w:rsid w:val="00E07574"/>
    <w:rsid w:val="00E07B26"/>
    <w:rsid w:val="00E07F21"/>
    <w:rsid w:val="00E13FB6"/>
    <w:rsid w:val="00E1487A"/>
    <w:rsid w:val="00E16DAB"/>
    <w:rsid w:val="00E2006D"/>
    <w:rsid w:val="00E25815"/>
    <w:rsid w:val="00E26F1D"/>
    <w:rsid w:val="00E3140F"/>
    <w:rsid w:val="00E31A51"/>
    <w:rsid w:val="00E3275C"/>
    <w:rsid w:val="00E33021"/>
    <w:rsid w:val="00E33342"/>
    <w:rsid w:val="00E3344C"/>
    <w:rsid w:val="00E34F51"/>
    <w:rsid w:val="00E35CC1"/>
    <w:rsid w:val="00E42B06"/>
    <w:rsid w:val="00E43C88"/>
    <w:rsid w:val="00E45060"/>
    <w:rsid w:val="00E46C4D"/>
    <w:rsid w:val="00E47625"/>
    <w:rsid w:val="00E543F8"/>
    <w:rsid w:val="00E55DD8"/>
    <w:rsid w:val="00E57F4D"/>
    <w:rsid w:val="00E57FDC"/>
    <w:rsid w:val="00E600D2"/>
    <w:rsid w:val="00E60ED6"/>
    <w:rsid w:val="00E611C6"/>
    <w:rsid w:val="00E62037"/>
    <w:rsid w:val="00E65773"/>
    <w:rsid w:val="00E65A5A"/>
    <w:rsid w:val="00E6719F"/>
    <w:rsid w:val="00E72946"/>
    <w:rsid w:val="00E757E9"/>
    <w:rsid w:val="00E7593F"/>
    <w:rsid w:val="00E768F9"/>
    <w:rsid w:val="00E771B0"/>
    <w:rsid w:val="00E77F8A"/>
    <w:rsid w:val="00E826CD"/>
    <w:rsid w:val="00E829CB"/>
    <w:rsid w:val="00E8554D"/>
    <w:rsid w:val="00E859F8"/>
    <w:rsid w:val="00E87C9B"/>
    <w:rsid w:val="00E9018A"/>
    <w:rsid w:val="00E93090"/>
    <w:rsid w:val="00E93C34"/>
    <w:rsid w:val="00E9444E"/>
    <w:rsid w:val="00EA2BCA"/>
    <w:rsid w:val="00EA2C71"/>
    <w:rsid w:val="00EA32F0"/>
    <w:rsid w:val="00EA5EF4"/>
    <w:rsid w:val="00EA76A4"/>
    <w:rsid w:val="00EA7E56"/>
    <w:rsid w:val="00EB021E"/>
    <w:rsid w:val="00EB0C4B"/>
    <w:rsid w:val="00EB0E52"/>
    <w:rsid w:val="00EB122C"/>
    <w:rsid w:val="00EB1F77"/>
    <w:rsid w:val="00EB75E0"/>
    <w:rsid w:val="00EC20DB"/>
    <w:rsid w:val="00EC63A7"/>
    <w:rsid w:val="00ED0D35"/>
    <w:rsid w:val="00ED1E20"/>
    <w:rsid w:val="00ED2FB9"/>
    <w:rsid w:val="00ED41DC"/>
    <w:rsid w:val="00ED4D48"/>
    <w:rsid w:val="00ED67AF"/>
    <w:rsid w:val="00ED70B4"/>
    <w:rsid w:val="00EE2DA4"/>
    <w:rsid w:val="00EE4005"/>
    <w:rsid w:val="00EE40E0"/>
    <w:rsid w:val="00EE4C19"/>
    <w:rsid w:val="00EE60AA"/>
    <w:rsid w:val="00EE6812"/>
    <w:rsid w:val="00EF19BF"/>
    <w:rsid w:val="00EF1F0F"/>
    <w:rsid w:val="00EF23AC"/>
    <w:rsid w:val="00EF36DF"/>
    <w:rsid w:val="00EF65C0"/>
    <w:rsid w:val="00EF7534"/>
    <w:rsid w:val="00EF7B68"/>
    <w:rsid w:val="00F00972"/>
    <w:rsid w:val="00F03CD9"/>
    <w:rsid w:val="00F05511"/>
    <w:rsid w:val="00F066A8"/>
    <w:rsid w:val="00F06C75"/>
    <w:rsid w:val="00F0715F"/>
    <w:rsid w:val="00F071CD"/>
    <w:rsid w:val="00F10C7F"/>
    <w:rsid w:val="00F124CD"/>
    <w:rsid w:val="00F127FE"/>
    <w:rsid w:val="00F14DB7"/>
    <w:rsid w:val="00F14F6E"/>
    <w:rsid w:val="00F21086"/>
    <w:rsid w:val="00F22ED1"/>
    <w:rsid w:val="00F24866"/>
    <w:rsid w:val="00F30258"/>
    <w:rsid w:val="00F32B6C"/>
    <w:rsid w:val="00F407D9"/>
    <w:rsid w:val="00F41844"/>
    <w:rsid w:val="00F41E24"/>
    <w:rsid w:val="00F45A66"/>
    <w:rsid w:val="00F47A5A"/>
    <w:rsid w:val="00F504AD"/>
    <w:rsid w:val="00F5287A"/>
    <w:rsid w:val="00F54EDC"/>
    <w:rsid w:val="00F56479"/>
    <w:rsid w:val="00F57D79"/>
    <w:rsid w:val="00F60526"/>
    <w:rsid w:val="00F6130E"/>
    <w:rsid w:val="00F61EE2"/>
    <w:rsid w:val="00F65C61"/>
    <w:rsid w:val="00F66421"/>
    <w:rsid w:val="00F72551"/>
    <w:rsid w:val="00F748B8"/>
    <w:rsid w:val="00F75123"/>
    <w:rsid w:val="00F76090"/>
    <w:rsid w:val="00F80464"/>
    <w:rsid w:val="00F80B63"/>
    <w:rsid w:val="00F8342E"/>
    <w:rsid w:val="00F8456D"/>
    <w:rsid w:val="00F847C6"/>
    <w:rsid w:val="00F87CC2"/>
    <w:rsid w:val="00F9063F"/>
    <w:rsid w:val="00F90B81"/>
    <w:rsid w:val="00F912E2"/>
    <w:rsid w:val="00F91DD6"/>
    <w:rsid w:val="00F92C3A"/>
    <w:rsid w:val="00F9354F"/>
    <w:rsid w:val="00F9528D"/>
    <w:rsid w:val="00F96F2A"/>
    <w:rsid w:val="00F97818"/>
    <w:rsid w:val="00FA1933"/>
    <w:rsid w:val="00FA3012"/>
    <w:rsid w:val="00FB0E0E"/>
    <w:rsid w:val="00FB0EBD"/>
    <w:rsid w:val="00FB27E2"/>
    <w:rsid w:val="00FB2D03"/>
    <w:rsid w:val="00FB2DAC"/>
    <w:rsid w:val="00FB44B4"/>
    <w:rsid w:val="00FB44BC"/>
    <w:rsid w:val="00FB4F69"/>
    <w:rsid w:val="00FB73F4"/>
    <w:rsid w:val="00FB784C"/>
    <w:rsid w:val="00FC130B"/>
    <w:rsid w:val="00FC271A"/>
    <w:rsid w:val="00FC2891"/>
    <w:rsid w:val="00FC3252"/>
    <w:rsid w:val="00FC4A60"/>
    <w:rsid w:val="00FC532D"/>
    <w:rsid w:val="00FC53E1"/>
    <w:rsid w:val="00FD0FA7"/>
    <w:rsid w:val="00FD1B1A"/>
    <w:rsid w:val="00FD3C9B"/>
    <w:rsid w:val="00FD3D7B"/>
    <w:rsid w:val="00FD4076"/>
    <w:rsid w:val="00FD497E"/>
    <w:rsid w:val="00FE0B80"/>
    <w:rsid w:val="00FE21DA"/>
    <w:rsid w:val="00FE2D09"/>
    <w:rsid w:val="00FE37C0"/>
    <w:rsid w:val="00FE3B94"/>
    <w:rsid w:val="00FE3E44"/>
    <w:rsid w:val="00FE4E97"/>
    <w:rsid w:val="00FE5708"/>
    <w:rsid w:val="00FE5D7D"/>
    <w:rsid w:val="00FE7244"/>
    <w:rsid w:val="00FE75B5"/>
    <w:rsid w:val="00FF122E"/>
    <w:rsid w:val="00FF1DE6"/>
    <w:rsid w:val="00FF44B7"/>
    <w:rsid w:val="00FF45BF"/>
    <w:rsid w:val="00FF5CD6"/>
    <w:rsid w:val="00FF5E86"/>
    <w:rsid w:val="012C72F9"/>
    <w:rsid w:val="0157532F"/>
    <w:rsid w:val="01A378BA"/>
    <w:rsid w:val="01DE3B3A"/>
    <w:rsid w:val="01E46DD2"/>
    <w:rsid w:val="01EA06B4"/>
    <w:rsid w:val="02233590"/>
    <w:rsid w:val="02235280"/>
    <w:rsid w:val="025F4662"/>
    <w:rsid w:val="02651C85"/>
    <w:rsid w:val="026856F1"/>
    <w:rsid w:val="02903314"/>
    <w:rsid w:val="02C55F94"/>
    <w:rsid w:val="02E8306D"/>
    <w:rsid w:val="03503319"/>
    <w:rsid w:val="03724F8C"/>
    <w:rsid w:val="03932724"/>
    <w:rsid w:val="03CA7B53"/>
    <w:rsid w:val="03E5328D"/>
    <w:rsid w:val="03F84E28"/>
    <w:rsid w:val="04082AD7"/>
    <w:rsid w:val="0413562B"/>
    <w:rsid w:val="04396BF3"/>
    <w:rsid w:val="045C0FA1"/>
    <w:rsid w:val="04994041"/>
    <w:rsid w:val="04BA465E"/>
    <w:rsid w:val="04D42960"/>
    <w:rsid w:val="04F9432E"/>
    <w:rsid w:val="0544679E"/>
    <w:rsid w:val="05693BAF"/>
    <w:rsid w:val="056C740B"/>
    <w:rsid w:val="057F6AF1"/>
    <w:rsid w:val="058A3504"/>
    <w:rsid w:val="05C428BD"/>
    <w:rsid w:val="05C92961"/>
    <w:rsid w:val="06452825"/>
    <w:rsid w:val="06717C57"/>
    <w:rsid w:val="069B7A22"/>
    <w:rsid w:val="06B238FA"/>
    <w:rsid w:val="06B9024C"/>
    <w:rsid w:val="06CE6A61"/>
    <w:rsid w:val="06D6165A"/>
    <w:rsid w:val="06D73361"/>
    <w:rsid w:val="06F26A84"/>
    <w:rsid w:val="06F459AE"/>
    <w:rsid w:val="070C0397"/>
    <w:rsid w:val="077E2BF8"/>
    <w:rsid w:val="07846919"/>
    <w:rsid w:val="07A957C8"/>
    <w:rsid w:val="07B35B25"/>
    <w:rsid w:val="080261BB"/>
    <w:rsid w:val="084E1123"/>
    <w:rsid w:val="087D379A"/>
    <w:rsid w:val="08AF30CA"/>
    <w:rsid w:val="08B05D91"/>
    <w:rsid w:val="08D062B9"/>
    <w:rsid w:val="08F17FDE"/>
    <w:rsid w:val="09141425"/>
    <w:rsid w:val="09145608"/>
    <w:rsid w:val="093C3EB9"/>
    <w:rsid w:val="09906774"/>
    <w:rsid w:val="099B2C5B"/>
    <w:rsid w:val="09E64F0E"/>
    <w:rsid w:val="0A2400D3"/>
    <w:rsid w:val="0A2739B9"/>
    <w:rsid w:val="0A640A60"/>
    <w:rsid w:val="0A9F53FE"/>
    <w:rsid w:val="0AF1680A"/>
    <w:rsid w:val="0B1810BC"/>
    <w:rsid w:val="0B4B4DC7"/>
    <w:rsid w:val="0B4F3CD2"/>
    <w:rsid w:val="0B88247C"/>
    <w:rsid w:val="0BC311BF"/>
    <w:rsid w:val="0BCB5EA8"/>
    <w:rsid w:val="0BF04982"/>
    <w:rsid w:val="0C06333C"/>
    <w:rsid w:val="0C140FD3"/>
    <w:rsid w:val="0C413C87"/>
    <w:rsid w:val="0C717C8D"/>
    <w:rsid w:val="0CC16FC4"/>
    <w:rsid w:val="0CC84B34"/>
    <w:rsid w:val="0CEF7F72"/>
    <w:rsid w:val="0D537D22"/>
    <w:rsid w:val="0D56446E"/>
    <w:rsid w:val="0D63273B"/>
    <w:rsid w:val="0D693B66"/>
    <w:rsid w:val="0D7B3E13"/>
    <w:rsid w:val="0E6516BD"/>
    <w:rsid w:val="0E7A73D2"/>
    <w:rsid w:val="0EDD68B5"/>
    <w:rsid w:val="0EE77EB9"/>
    <w:rsid w:val="0F1107CD"/>
    <w:rsid w:val="0F445666"/>
    <w:rsid w:val="0F69066A"/>
    <w:rsid w:val="0F6E2D33"/>
    <w:rsid w:val="0F785333"/>
    <w:rsid w:val="0F7A2FA5"/>
    <w:rsid w:val="0F7C62EE"/>
    <w:rsid w:val="0FE14621"/>
    <w:rsid w:val="0FF7304E"/>
    <w:rsid w:val="10106711"/>
    <w:rsid w:val="10204553"/>
    <w:rsid w:val="10487264"/>
    <w:rsid w:val="105E2D2D"/>
    <w:rsid w:val="107A6B0B"/>
    <w:rsid w:val="109C6786"/>
    <w:rsid w:val="111B5972"/>
    <w:rsid w:val="11281B00"/>
    <w:rsid w:val="11323CAC"/>
    <w:rsid w:val="114A755E"/>
    <w:rsid w:val="11527C58"/>
    <w:rsid w:val="11821D3D"/>
    <w:rsid w:val="11943A9B"/>
    <w:rsid w:val="119B31DD"/>
    <w:rsid w:val="11A829EF"/>
    <w:rsid w:val="11B761D9"/>
    <w:rsid w:val="11C81293"/>
    <w:rsid w:val="11E409D6"/>
    <w:rsid w:val="12091822"/>
    <w:rsid w:val="123478B9"/>
    <w:rsid w:val="123C3E93"/>
    <w:rsid w:val="12493FCA"/>
    <w:rsid w:val="1257753D"/>
    <w:rsid w:val="125D7CFC"/>
    <w:rsid w:val="12B5568B"/>
    <w:rsid w:val="12BF35C6"/>
    <w:rsid w:val="12D24976"/>
    <w:rsid w:val="12DF7E80"/>
    <w:rsid w:val="131B2782"/>
    <w:rsid w:val="13255472"/>
    <w:rsid w:val="132D6B13"/>
    <w:rsid w:val="13316D36"/>
    <w:rsid w:val="13395CD5"/>
    <w:rsid w:val="13462EA8"/>
    <w:rsid w:val="135C2413"/>
    <w:rsid w:val="13BB7B66"/>
    <w:rsid w:val="13D166F4"/>
    <w:rsid w:val="13EB2640"/>
    <w:rsid w:val="13F82B68"/>
    <w:rsid w:val="140C26C4"/>
    <w:rsid w:val="142B2B94"/>
    <w:rsid w:val="145A6D0F"/>
    <w:rsid w:val="14700951"/>
    <w:rsid w:val="148241DA"/>
    <w:rsid w:val="149620CC"/>
    <w:rsid w:val="14ED01F3"/>
    <w:rsid w:val="14F22BA0"/>
    <w:rsid w:val="15110F82"/>
    <w:rsid w:val="15121CB7"/>
    <w:rsid w:val="15207195"/>
    <w:rsid w:val="1522068E"/>
    <w:rsid w:val="15415788"/>
    <w:rsid w:val="154F3D54"/>
    <w:rsid w:val="157B6D9D"/>
    <w:rsid w:val="158E3078"/>
    <w:rsid w:val="15B61CF7"/>
    <w:rsid w:val="160A431F"/>
    <w:rsid w:val="16463F81"/>
    <w:rsid w:val="165B07C3"/>
    <w:rsid w:val="16895CFA"/>
    <w:rsid w:val="168B745A"/>
    <w:rsid w:val="16AA0B8D"/>
    <w:rsid w:val="16E318B9"/>
    <w:rsid w:val="16F60DCC"/>
    <w:rsid w:val="171E6A9F"/>
    <w:rsid w:val="17235D3A"/>
    <w:rsid w:val="1756720A"/>
    <w:rsid w:val="176E561B"/>
    <w:rsid w:val="178302A6"/>
    <w:rsid w:val="17831D1D"/>
    <w:rsid w:val="17876FC0"/>
    <w:rsid w:val="17954DCE"/>
    <w:rsid w:val="17C64637"/>
    <w:rsid w:val="18295BCE"/>
    <w:rsid w:val="186A1692"/>
    <w:rsid w:val="186C1C55"/>
    <w:rsid w:val="18864B3E"/>
    <w:rsid w:val="18AB490E"/>
    <w:rsid w:val="18C15639"/>
    <w:rsid w:val="18C748B7"/>
    <w:rsid w:val="18D54036"/>
    <w:rsid w:val="18DC4D80"/>
    <w:rsid w:val="18FE6404"/>
    <w:rsid w:val="19261715"/>
    <w:rsid w:val="196243E1"/>
    <w:rsid w:val="1977108C"/>
    <w:rsid w:val="198721A8"/>
    <w:rsid w:val="198757C9"/>
    <w:rsid w:val="198961D7"/>
    <w:rsid w:val="19C16A43"/>
    <w:rsid w:val="1A2767FD"/>
    <w:rsid w:val="1A41408A"/>
    <w:rsid w:val="1A7D7923"/>
    <w:rsid w:val="1AE147AC"/>
    <w:rsid w:val="1AEF6A85"/>
    <w:rsid w:val="1B161128"/>
    <w:rsid w:val="1B3E6DBA"/>
    <w:rsid w:val="1BCB5B2F"/>
    <w:rsid w:val="1BFC2ACA"/>
    <w:rsid w:val="1BFF1D08"/>
    <w:rsid w:val="1C7034EE"/>
    <w:rsid w:val="1C89348B"/>
    <w:rsid w:val="1C911FA0"/>
    <w:rsid w:val="1C913B5A"/>
    <w:rsid w:val="1CA13D9D"/>
    <w:rsid w:val="1CDA259A"/>
    <w:rsid w:val="1CDB0F99"/>
    <w:rsid w:val="1CE108A9"/>
    <w:rsid w:val="1D4610E6"/>
    <w:rsid w:val="1D630079"/>
    <w:rsid w:val="1D880AB9"/>
    <w:rsid w:val="1D895013"/>
    <w:rsid w:val="1D954F84"/>
    <w:rsid w:val="1DC435D6"/>
    <w:rsid w:val="1DE264E6"/>
    <w:rsid w:val="1DE972FF"/>
    <w:rsid w:val="1E0C3FCB"/>
    <w:rsid w:val="1E1B7769"/>
    <w:rsid w:val="1E212251"/>
    <w:rsid w:val="1E6E7FE9"/>
    <w:rsid w:val="1E721BDD"/>
    <w:rsid w:val="1E8D3973"/>
    <w:rsid w:val="1EC73863"/>
    <w:rsid w:val="1ED20D96"/>
    <w:rsid w:val="1F650434"/>
    <w:rsid w:val="1F9F1CA0"/>
    <w:rsid w:val="1FCE74B4"/>
    <w:rsid w:val="1FD639E8"/>
    <w:rsid w:val="1FDD77DD"/>
    <w:rsid w:val="200827EC"/>
    <w:rsid w:val="203033D2"/>
    <w:rsid w:val="20344F28"/>
    <w:rsid w:val="207421BF"/>
    <w:rsid w:val="207E2418"/>
    <w:rsid w:val="20A140CE"/>
    <w:rsid w:val="20A35C0A"/>
    <w:rsid w:val="20DA0310"/>
    <w:rsid w:val="20FD4ADD"/>
    <w:rsid w:val="21020B82"/>
    <w:rsid w:val="21086499"/>
    <w:rsid w:val="21465BA4"/>
    <w:rsid w:val="21471BB1"/>
    <w:rsid w:val="214C62A1"/>
    <w:rsid w:val="21AA59A0"/>
    <w:rsid w:val="21BD4261"/>
    <w:rsid w:val="21E97317"/>
    <w:rsid w:val="21F81C7C"/>
    <w:rsid w:val="22166994"/>
    <w:rsid w:val="221967A5"/>
    <w:rsid w:val="22252FC1"/>
    <w:rsid w:val="225511ED"/>
    <w:rsid w:val="22636C97"/>
    <w:rsid w:val="2294222A"/>
    <w:rsid w:val="231C68CD"/>
    <w:rsid w:val="23240C19"/>
    <w:rsid w:val="23267F95"/>
    <w:rsid w:val="23433F37"/>
    <w:rsid w:val="2368007E"/>
    <w:rsid w:val="237155C0"/>
    <w:rsid w:val="23D762F6"/>
    <w:rsid w:val="23EB0A79"/>
    <w:rsid w:val="23FF584D"/>
    <w:rsid w:val="24206E02"/>
    <w:rsid w:val="2447128A"/>
    <w:rsid w:val="245B133E"/>
    <w:rsid w:val="245F4025"/>
    <w:rsid w:val="24917277"/>
    <w:rsid w:val="24B11C2B"/>
    <w:rsid w:val="24BC483E"/>
    <w:rsid w:val="24D740D4"/>
    <w:rsid w:val="24FD311E"/>
    <w:rsid w:val="25191EC5"/>
    <w:rsid w:val="251C743B"/>
    <w:rsid w:val="256A1B76"/>
    <w:rsid w:val="257E5CE0"/>
    <w:rsid w:val="25AD01C7"/>
    <w:rsid w:val="25C962D4"/>
    <w:rsid w:val="25E606F4"/>
    <w:rsid w:val="25FD6F74"/>
    <w:rsid w:val="262E2AA0"/>
    <w:rsid w:val="26773DC1"/>
    <w:rsid w:val="26B00448"/>
    <w:rsid w:val="26C6591E"/>
    <w:rsid w:val="26C80DBF"/>
    <w:rsid w:val="26E063A6"/>
    <w:rsid w:val="273A6691"/>
    <w:rsid w:val="27513E1A"/>
    <w:rsid w:val="279938C3"/>
    <w:rsid w:val="280C709B"/>
    <w:rsid w:val="2840342E"/>
    <w:rsid w:val="28412D97"/>
    <w:rsid w:val="285A12A4"/>
    <w:rsid w:val="285B0DD2"/>
    <w:rsid w:val="28BE1BBC"/>
    <w:rsid w:val="28E06CB8"/>
    <w:rsid w:val="28F43411"/>
    <w:rsid w:val="29172BD5"/>
    <w:rsid w:val="29362931"/>
    <w:rsid w:val="294835A4"/>
    <w:rsid w:val="297C274F"/>
    <w:rsid w:val="29880CB5"/>
    <w:rsid w:val="29951F3C"/>
    <w:rsid w:val="29BE7825"/>
    <w:rsid w:val="2A1844F0"/>
    <w:rsid w:val="2A57460D"/>
    <w:rsid w:val="2A7118AB"/>
    <w:rsid w:val="2A8970EB"/>
    <w:rsid w:val="2AAA5B9B"/>
    <w:rsid w:val="2AB31920"/>
    <w:rsid w:val="2AD2678F"/>
    <w:rsid w:val="2B1C0AF0"/>
    <w:rsid w:val="2B986287"/>
    <w:rsid w:val="2BCF532D"/>
    <w:rsid w:val="2BD1345B"/>
    <w:rsid w:val="2BEE68D3"/>
    <w:rsid w:val="2BF2179A"/>
    <w:rsid w:val="2C121A74"/>
    <w:rsid w:val="2C397261"/>
    <w:rsid w:val="2C7B297A"/>
    <w:rsid w:val="2CBA67B5"/>
    <w:rsid w:val="2D4570D2"/>
    <w:rsid w:val="2D646780"/>
    <w:rsid w:val="2D775041"/>
    <w:rsid w:val="2D8B50ED"/>
    <w:rsid w:val="2D9C2F7E"/>
    <w:rsid w:val="2DA50F4C"/>
    <w:rsid w:val="2DD63B1F"/>
    <w:rsid w:val="2DE17B7E"/>
    <w:rsid w:val="2E313537"/>
    <w:rsid w:val="2E7A1657"/>
    <w:rsid w:val="2E8E4543"/>
    <w:rsid w:val="2E930F7E"/>
    <w:rsid w:val="2E9B588C"/>
    <w:rsid w:val="2EFE4199"/>
    <w:rsid w:val="2F0038B4"/>
    <w:rsid w:val="2F5401AD"/>
    <w:rsid w:val="2F5A47F2"/>
    <w:rsid w:val="2FC2414B"/>
    <w:rsid w:val="2FCE1E53"/>
    <w:rsid w:val="2FFB5962"/>
    <w:rsid w:val="300223C5"/>
    <w:rsid w:val="301A19EB"/>
    <w:rsid w:val="302317E6"/>
    <w:rsid w:val="306B1A30"/>
    <w:rsid w:val="30874363"/>
    <w:rsid w:val="30F80930"/>
    <w:rsid w:val="31007530"/>
    <w:rsid w:val="31104E97"/>
    <w:rsid w:val="31305F5D"/>
    <w:rsid w:val="314463AF"/>
    <w:rsid w:val="31740A64"/>
    <w:rsid w:val="319A14C2"/>
    <w:rsid w:val="31BC6AA5"/>
    <w:rsid w:val="32443D8F"/>
    <w:rsid w:val="325C4B54"/>
    <w:rsid w:val="3279134B"/>
    <w:rsid w:val="327C771F"/>
    <w:rsid w:val="32F830ED"/>
    <w:rsid w:val="330B7E50"/>
    <w:rsid w:val="337A507B"/>
    <w:rsid w:val="33BC15CB"/>
    <w:rsid w:val="33CF0199"/>
    <w:rsid w:val="33F57351"/>
    <w:rsid w:val="3418599B"/>
    <w:rsid w:val="341B6A4C"/>
    <w:rsid w:val="34484EC0"/>
    <w:rsid w:val="34503692"/>
    <w:rsid w:val="34637732"/>
    <w:rsid w:val="34871673"/>
    <w:rsid w:val="34A95AD1"/>
    <w:rsid w:val="34C82203"/>
    <w:rsid w:val="350C3281"/>
    <w:rsid w:val="352275BA"/>
    <w:rsid w:val="35300211"/>
    <w:rsid w:val="35655C86"/>
    <w:rsid w:val="356C3F20"/>
    <w:rsid w:val="35767511"/>
    <w:rsid w:val="357A4B82"/>
    <w:rsid w:val="357C29CD"/>
    <w:rsid w:val="35993C3A"/>
    <w:rsid w:val="35B33A6E"/>
    <w:rsid w:val="35E833E3"/>
    <w:rsid w:val="360C29B2"/>
    <w:rsid w:val="3624130E"/>
    <w:rsid w:val="36243D90"/>
    <w:rsid w:val="36934AE5"/>
    <w:rsid w:val="36C134E9"/>
    <w:rsid w:val="372507A1"/>
    <w:rsid w:val="37510318"/>
    <w:rsid w:val="37544AC7"/>
    <w:rsid w:val="375C0B95"/>
    <w:rsid w:val="3765424A"/>
    <w:rsid w:val="37873738"/>
    <w:rsid w:val="37B94726"/>
    <w:rsid w:val="37BD38F6"/>
    <w:rsid w:val="37C36C60"/>
    <w:rsid w:val="37D14052"/>
    <w:rsid w:val="384D1E10"/>
    <w:rsid w:val="38582CC5"/>
    <w:rsid w:val="38723D96"/>
    <w:rsid w:val="387A56B5"/>
    <w:rsid w:val="387C0DC3"/>
    <w:rsid w:val="38A50D04"/>
    <w:rsid w:val="38D90543"/>
    <w:rsid w:val="399C5807"/>
    <w:rsid w:val="39A34333"/>
    <w:rsid w:val="39A607ED"/>
    <w:rsid w:val="39C76189"/>
    <w:rsid w:val="3A2468A0"/>
    <w:rsid w:val="3A580668"/>
    <w:rsid w:val="3A9932B0"/>
    <w:rsid w:val="3ABF5A29"/>
    <w:rsid w:val="3AD303B0"/>
    <w:rsid w:val="3AD4203A"/>
    <w:rsid w:val="3B496C2E"/>
    <w:rsid w:val="3B525F8D"/>
    <w:rsid w:val="3B8223C6"/>
    <w:rsid w:val="3BCA3F69"/>
    <w:rsid w:val="3BDA652C"/>
    <w:rsid w:val="3C1C1F3E"/>
    <w:rsid w:val="3C2F0410"/>
    <w:rsid w:val="3C7A575B"/>
    <w:rsid w:val="3C9338B0"/>
    <w:rsid w:val="3CA27265"/>
    <w:rsid w:val="3CD964B6"/>
    <w:rsid w:val="3CE60CB8"/>
    <w:rsid w:val="3CFE2F67"/>
    <w:rsid w:val="3CFE3A1D"/>
    <w:rsid w:val="3D5A3AD8"/>
    <w:rsid w:val="3D5F4321"/>
    <w:rsid w:val="3DA63EA2"/>
    <w:rsid w:val="3E0D0E3B"/>
    <w:rsid w:val="3E103C7E"/>
    <w:rsid w:val="3E2B7127"/>
    <w:rsid w:val="3E2B7541"/>
    <w:rsid w:val="3E4F0ED9"/>
    <w:rsid w:val="3E706B87"/>
    <w:rsid w:val="3E986179"/>
    <w:rsid w:val="3F07082E"/>
    <w:rsid w:val="3F28637F"/>
    <w:rsid w:val="3F5A7A05"/>
    <w:rsid w:val="3F6D76B7"/>
    <w:rsid w:val="3F7F2514"/>
    <w:rsid w:val="3FF14FF5"/>
    <w:rsid w:val="401C11D4"/>
    <w:rsid w:val="406311E6"/>
    <w:rsid w:val="40691A0E"/>
    <w:rsid w:val="40BF5D6B"/>
    <w:rsid w:val="40E434F7"/>
    <w:rsid w:val="413E207F"/>
    <w:rsid w:val="41715084"/>
    <w:rsid w:val="41901BC3"/>
    <w:rsid w:val="41CC013A"/>
    <w:rsid w:val="41FD49FF"/>
    <w:rsid w:val="420A0DB2"/>
    <w:rsid w:val="423050F8"/>
    <w:rsid w:val="42507548"/>
    <w:rsid w:val="42530402"/>
    <w:rsid w:val="42782813"/>
    <w:rsid w:val="428D319E"/>
    <w:rsid w:val="42AD4AB9"/>
    <w:rsid w:val="42DE6BA5"/>
    <w:rsid w:val="42E85560"/>
    <w:rsid w:val="42F6477C"/>
    <w:rsid w:val="436E470C"/>
    <w:rsid w:val="437159C8"/>
    <w:rsid w:val="438F5389"/>
    <w:rsid w:val="43A90E39"/>
    <w:rsid w:val="43A92970"/>
    <w:rsid w:val="43B60A35"/>
    <w:rsid w:val="43B63EF8"/>
    <w:rsid w:val="43B970F5"/>
    <w:rsid w:val="43C720E8"/>
    <w:rsid w:val="43EE7018"/>
    <w:rsid w:val="440E76BA"/>
    <w:rsid w:val="446B42D5"/>
    <w:rsid w:val="449524C3"/>
    <w:rsid w:val="44B43840"/>
    <w:rsid w:val="44BA24EF"/>
    <w:rsid w:val="44D05BC3"/>
    <w:rsid w:val="44E87DB7"/>
    <w:rsid w:val="45066429"/>
    <w:rsid w:val="457C60E9"/>
    <w:rsid w:val="457D6285"/>
    <w:rsid w:val="459636CF"/>
    <w:rsid w:val="4598790C"/>
    <w:rsid w:val="460C4838"/>
    <w:rsid w:val="46110C9C"/>
    <w:rsid w:val="46164604"/>
    <w:rsid w:val="46315CB6"/>
    <w:rsid w:val="4657321A"/>
    <w:rsid w:val="467742C2"/>
    <w:rsid w:val="468144E6"/>
    <w:rsid w:val="46B833FF"/>
    <w:rsid w:val="46F8378A"/>
    <w:rsid w:val="47107E3C"/>
    <w:rsid w:val="47144F11"/>
    <w:rsid w:val="47574ED5"/>
    <w:rsid w:val="479012B6"/>
    <w:rsid w:val="47A47D96"/>
    <w:rsid w:val="47B83827"/>
    <w:rsid w:val="47BB36A1"/>
    <w:rsid w:val="47DB27A6"/>
    <w:rsid w:val="47E3360E"/>
    <w:rsid w:val="47E72D55"/>
    <w:rsid w:val="48217291"/>
    <w:rsid w:val="485A31EC"/>
    <w:rsid w:val="48807653"/>
    <w:rsid w:val="488C5052"/>
    <w:rsid w:val="48E44E8E"/>
    <w:rsid w:val="48EC1FEF"/>
    <w:rsid w:val="48EC5CE1"/>
    <w:rsid w:val="48F85E9A"/>
    <w:rsid w:val="48FD77BB"/>
    <w:rsid w:val="49163C1D"/>
    <w:rsid w:val="493F1FB5"/>
    <w:rsid w:val="4940325A"/>
    <w:rsid w:val="4974322E"/>
    <w:rsid w:val="49763A7A"/>
    <w:rsid w:val="49C33FCF"/>
    <w:rsid w:val="49FC6971"/>
    <w:rsid w:val="4A215C07"/>
    <w:rsid w:val="4A2D518C"/>
    <w:rsid w:val="4A653021"/>
    <w:rsid w:val="4AA15200"/>
    <w:rsid w:val="4AC46D25"/>
    <w:rsid w:val="4AF03348"/>
    <w:rsid w:val="4B260B31"/>
    <w:rsid w:val="4B532524"/>
    <w:rsid w:val="4B94506B"/>
    <w:rsid w:val="4BAE27EE"/>
    <w:rsid w:val="4BF66FAC"/>
    <w:rsid w:val="4C100436"/>
    <w:rsid w:val="4C2D0BAD"/>
    <w:rsid w:val="4C68100F"/>
    <w:rsid w:val="4C6F0F12"/>
    <w:rsid w:val="4CAA3CF8"/>
    <w:rsid w:val="4CF270B1"/>
    <w:rsid w:val="4CFE50C9"/>
    <w:rsid w:val="4D380365"/>
    <w:rsid w:val="4D38786F"/>
    <w:rsid w:val="4D5A4A24"/>
    <w:rsid w:val="4D907FA7"/>
    <w:rsid w:val="4DC06033"/>
    <w:rsid w:val="4DD43BE7"/>
    <w:rsid w:val="4DDE7E95"/>
    <w:rsid w:val="4DFD2B33"/>
    <w:rsid w:val="4E325642"/>
    <w:rsid w:val="4E47572A"/>
    <w:rsid w:val="4EB470B0"/>
    <w:rsid w:val="4EDC0EFF"/>
    <w:rsid w:val="4EE32CAA"/>
    <w:rsid w:val="4F3B1734"/>
    <w:rsid w:val="4F4B17C3"/>
    <w:rsid w:val="4F504145"/>
    <w:rsid w:val="4FC746F5"/>
    <w:rsid w:val="4FD80B7D"/>
    <w:rsid w:val="4FF057B7"/>
    <w:rsid w:val="500471C2"/>
    <w:rsid w:val="502411A9"/>
    <w:rsid w:val="502826FD"/>
    <w:rsid w:val="503556E2"/>
    <w:rsid w:val="505A7540"/>
    <w:rsid w:val="505A77E4"/>
    <w:rsid w:val="50895F5C"/>
    <w:rsid w:val="50934F86"/>
    <w:rsid w:val="50955E5F"/>
    <w:rsid w:val="509735BE"/>
    <w:rsid w:val="50E022F9"/>
    <w:rsid w:val="510E5149"/>
    <w:rsid w:val="514F4E6E"/>
    <w:rsid w:val="518F25AD"/>
    <w:rsid w:val="51C953F2"/>
    <w:rsid w:val="51FB473A"/>
    <w:rsid w:val="523E4584"/>
    <w:rsid w:val="5258516F"/>
    <w:rsid w:val="5281747E"/>
    <w:rsid w:val="528A3CB7"/>
    <w:rsid w:val="52E650D7"/>
    <w:rsid w:val="52EE57F5"/>
    <w:rsid w:val="52F85F08"/>
    <w:rsid w:val="53002392"/>
    <w:rsid w:val="530A2FBD"/>
    <w:rsid w:val="531E65D1"/>
    <w:rsid w:val="532835A2"/>
    <w:rsid w:val="536317BE"/>
    <w:rsid w:val="53FF4F9C"/>
    <w:rsid w:val="54005765"/>
    <w:rsid w:val="54016E61"/>
    <w:rsid w:val="542E3461"/>
    <w:rsid w:val="54383DF1"/>
    <w:rsid w:val="545117C6"/>
    <w:rsid w:val="54643E4C"/>
    <w:rsid w:val="547E01A6"/>
    <w:rsid w:val="548F5167"/>
    <w:rsid w:val="54B36981"/>
    <w:rsid w:val="54DC207E"/>
    <w:rsid w:val="54E06E04"/>
    <w:rsid w:val="54E3249D"/>
    <w:rsid w:val="55060979"/>
    <w:rsid w:val="558624CE"/>
    <w:rsid w:val="55A96B6D"/>
    <w:rsid w:val="55AF7A70"/>
    <w:rsid w:val="55BA21E7"/>
    <w:rsid w:val="560B26FA"/>
    <w:rsid w:val="56592A5E"/>
    <w:rsid w:val="56616819"/>
    <w:rsid w:val="568625CC"/>
    <w:rsid w:val="569F7B49"/>
    <w:rsid w:val="56E71A4B"/>
    <w:rsid w:val="5705319F"/>
    <w:rsid w:val="57816763"/>
    <w:rsid w:val="57DC43D5"/>
    <w:rsid w:val="581A4428"/>
    <w:rsid w:val="582248E5"/>
    <w:rsid w:val="58357BE5"/>
    <w:rsid w:val="58442781"/>
    <w:rsid w:val="58462588"/>
    <w:rsid w:val="58612950"/>
    <w:rsid w:val="58831FCD"/>
    <w:rsid w:val="58951D01"/>
    <w:rsid w:val="58E70919"/>
    <w:rsid w:val="59025AE4"/>
    <w:rsid w:val="596502D6"/>
    <w:rsid w:val="596E202C"/>
    <w:rsid w:val="597D0D79"/>
    <w:rsid w:val="59BB7545"/>
    <w:rsid w:val="59DE1FAE"/>
    <w:rsid w:val="59E92C6B"/>
    <w:rsid w:val="59EE7DF0"/>
    <w:rsid w:val="5A250136"/>
    <w:rsid w:val="5A2918D5"/>
    <w:rsid w:val="5A3F0FF3"/>
    <w:rsid w:val="5A414812"/>
    <w:rsid w:val="5A5A367E"/>
    <w:rsid w:val="5A6D2416"/>
    <w:rsid w:val="5A706E03"/>
    <w:rsid w:val="5A857E6B"/>
    <w:rsid w:val="5A863D53"/>
    <w:rsid w:val="5A93084C"/>
    <w:rsid w:val="5A9B6DEF"/>
    <w:rsid w:val="5B00252C"/>
    <w:rsid w:val="5B020185"/>
    <w:rsid w:val="5B09589A"/>
    <w:rsid w:val="5B1641C5"/>
    <w:rsid w:val="5B2232EB"/>
    <w:rsid w:val="5B375F86"/>
    <w:rsid w:val="5B4027DF"/>
    <w:rsid w:val="5B6A2FD1"/>
    <w:rsid w:val="5B874E3C"/>
    <w:rsid w:val="5B9A5618"/>
    <w:rsid w:val="5BA57C0C"/>
    <w:rsid w:val="5BBE42F8"/>
    <w:rsid w:val="5BC32443"/>
    <w:rsid w:val="5C6A3981"/>
    <w:rsid w:val="5CE904CC"/>
    <w:rsid w:val="5D472F1D"/>
    <w:rsid w:val="5D4D6FFA"/>
    <w:rsid w:val="5D672A25"/>
    <w:rsid w:val="5D687B0B"/>
    <w:rsid w:val="5DE60E2F"/>
    <w:rsid w:val="5DED03E7"/>
    <w:rsid w:val="5E1A4FFD"/>
    <w:rsid w:val="5E247C3C"/>
    <w:rsid w:val="5E2B5808"/>
    <w:rsid w:val="5E3A6165"/>
    <w:rsid w:val="5E451C2A"/>
    <w:rsid w:val="5E830B81"/>
    <w:rsid w:val="5E9A7E5A"/>
    <w:rsid w:val="5ED54D16"/>
    <w:rsid w:val="5F17532F"/>
    <w:rsid w:val="5F723263"/>
    <w:rsid w:val="5F7B430F"/>
    <w:rsid w:val="5FE14509"/>
    <w:rsid w:val="5FE815DF"/>
    <w:rsid w:val="602A0EDC"/>
    <w:rsid w:val="604E0F36"/>
    <w:rsid w:val="606469E6"/>
    <w:rsid w:val="60923885"/>
    <w:rsid w:val="60A00F13"/>
    <w:rsid w:val="60A25984"/>
    <w:rsid w:val="60BC2648"/>
    <w:rsid w:val="60CC3E9A"/>
    <w:rsid w:val="612D33D0"/>
    <w:rsid w:val="613A51F3"/>
    <w:rsid w:val="61751108"/>
    <w:rsid w:val="619745F8"/>
    <w:rsid w:val="619B24AC"/>
    <w:rsid w:val="61D27243"/>
    <w:rsid w:val="61F0301B"/>
    <w:rsid w:val="61FE4372"/>
    <w:rsid w:val="62062C34"/>
    <w:rsid w:val="620B6EED"/>
    <w:rsid w:val="621405F2"/>
    <w:rsid w:val="62200119"/>
    <w:rsid w:val="62854AEF"/>
    <w:rsid w:val="62901C41"/>
    <w:rsid w:val="62A12CFE"/>
    <w:rsid w:val="62A16231"/>
    <w:rsid w:val="62C3198F"/>
    <w:rsid w:val="62DB7CAF"/>
    <w:rsid w:val="62F24F2C"/>
    <w:rsid w:val="634E2D56"/>
    <w:rsid w:val="637B4CFE"/>
    <w:rsid w:val="637E2D0B"/>
    <w:rsid w:val="63905278"/>
    <w:rsid w:val="63D82434"/>
    <w:rsid w:val="63FD6E5E"/>
    <w:rsid w:val="64025D52"/>
    <w:rsid w:val="64577186"/>
    <w:rsid w:val="6464729D"/>
    <w:rsid w:val="64B01B9B"/>
    <w:rsid w:val="64D03F43"/>
    <w:rsid w:val="64DA345B"/>
    <w:rsid w:val="64DB03C5"/>
    <w:rsid w:val="64DB0A9B"/>
    <w:rsid w:val="64FD0B3D"/>
    <w:rsid w:val="65156394"/>
    <w:rsid w:val="65382F3E"/>
    <w:rsid w:val="654D7C2E"/>
    <w:rsid w:val="657C0938"/>
    <w:rsid w:val="65856C59"/>
    <w:rsid w:val="65931A70"/>
    <w:rsid w:val="65A31AB6"/>
    <w:rsid w:val="65B80DDC"/>
    <w:rsid w:val="65BB3D5F"/>
    <w:rsid w:val="660354D1"/>
    <w:rsid w:val="662A78CF"/>
    <w:rsid w:val="66344907"/>
    <w:rsid w:val="663C32BA"/>
    <w:rsid w:val="66C37A39"/>
    <w:rsid w:val="66CC6F22"/>
    <w:rsid w:val="66E111AA"/>
    <w:rsid w:val="66F07AE2"/>
    <w:rsid w:val="66F455A5"/>
    <w:rsid w:val="66FF63A4"/>
    <w:rsid w:val="67252299"/>
    <w:rsid w:val="672652D7"/>
    <w:rsid w:val="673C6E31"/>
    <w:rsid w:val="674C13C9"/>
    <w:rsid w:val="67601518"/>
    <w:rsid w:val="6762165E"/>
    <w:rsid w:val="67787B9A"/>
    <w:rsid w:val="67AC4DD4"/>
    <w:rsid w:val="67AF5FFF"/>
    <w:rsid w:val="680A0499"/>
    <w:rsid w:val="681D0424"/>
    <w:rsid w:val="682E285C"/>
    <w:rsid w:val="683E7CBF"/>
    <w:rsid w:val="68BF6344"/>
    <w:rsid w:val="68C02C9E"/>
    <w:rsid w:val="68DC1286"/>
    <w:rsid w:val="69235D4B"/>
    <w:rsid w:val="69A07950"/>
    <w:rsid w:val="69F52A11"/>
    <w:rsid w:val="6A056ADA"/>
    <w:rsid w:val="6A2B3C81"/>
    <w:rsid w:val="6A3928B9"/>
    <w:rsid w:val="6A702AFA"/>
    <w:rsid w:val="6AC86472"/>
    <w:rsid w:val="6B0936A1"/>
    <w:rsid w:val="6B0A0800"/>
    <w:rsid w:val="6B105DDA"/>
    <w:rsid w:val="6B503617"/>
    <w:rsid w:val="6B783FC0"/>
    <w:rsid w:val="6B916694"/>
    <w:rsid w:val="6BAC11BA"/>
    <w:rsid w:val="6BBB08EB"/>
    <w:rsid w:val="6BBD4DA7"/>
    <w:rsid w:val="6BC860B9"/>
    <w:rsid w:val="6C37455C"/>
    <w:rsid w:val="6CD314F8"/>
    <w:rsid w:val="6CE90E22"/>
    <w:rsid w:val="6D1A6FA7"/>
    <w:rsid w:val="6D33656E"/>
    <w:rsid w:val="6D371741"/>
    <w:rsid w:val="6D5E0469"/>
    <w:rsid w:val="6DFF1CCB"/>
    <w:rsid w:val="6E245CE4"/>
    <w:rsid w:val="6E2E172D"/>
    <w:rsid w:val="6E332FA8"/>
    <w:rsid w:val="6E3F653F"/>
    <w:rsid w:val="6E4F6056"/>
    <w:rsid w:val="6EA165BF"/>
    <w:rsid w:val="6ECA6BC6"/>
    <w:rsid w:val="6EFE0A05"/>
    <w:rsid w:val="6F6E155F"/>
    <w:rsid w:val="6F785EF4"/>
    <w:rsid w:val="6FC808DD"/>
    <w:rsid w:val="6FEA37CF"/>
    <w:rsid w:val="6FF17A47"/>
    <w:rsid w:val="700A03E3"/>
    <w:rsid w:val="702A5F16"/>
    <w:rsid w:val="70504A13"/>
    <w:rsid w:val="705736FF"/>
    <w:rsid w:val="70714729"/>
    <w:rsid w:val="70D568D4"/>
    <w:rsid w:val="70F604F0"/>
    <w:rsid w:val="711D4BB9"/>
    <w:rsid w:val="71351653"/>
    <w:rsid w:val="71391A42"/>
    <w:rsid w:val="715918A1"/>
    <w:rsid w:val="717103CD"/>
    <w:rsid w:val="717F35D3"/>
    <w:rsid w:val="719730EE"/>
    <w:rsid w:val="719775EC"/>
    <w:rsid w:val="71A37046"/>
    <w:rsid w:val="71EB4A5A"/>
    <w:rsid w:val="725A7714"/>
    <w:rsid w:val="728306A6"/>
    <w:rsid w:val="72A0799B"/>
    <w:rsid w:val="72BA0D0C"/>
    <w:rsid w:val="72C94629"/>
    <w:rsid w:val="731062C0"/>
    <w:rsid w:val="73363C9D"/>
    <w:rsid w:val="73CF0E9D"/>
    <w:rsid w:val="73CF676B"/>
    <w:rsid w:val="73D60121"/>
    <w:rsid w:val="73E02B3D"/>
    <w:rsid w:val="74192C1B"/>
    <w:rsid w:val="74216210"/>
    <w:rsid w:val="745F0D51"/>
    <w:rsid w:val="749F2C09"/>
    <w:rsid w:val="74B91BAD"/>
    <w:rsid w:val="74F97A85"/>
    <w:rsid w:val="751A3C7E"/>
    <w:rsid w:val="751F3561"/>
    <w:rsid w:val="75323FBE"/>
    <w:rsid w:val="758136C3"/>
    <w:rsid w:val="75932270"/>
    <w:rsid w:val="75B14049"/>
    <w:rsid w:val="75D223B0"/>
    <w:rsid w:val="75F01B62"/>
    <w:rsid w:val="75FF5CB1"/>
    <w:rsid w:val="760B38A9"/>
    <w:rsid w:val="76291D08"/>
    <w:rsid w:val="766A676F"/>
    <w:rsid w:val="770A3632"/>
    <w:rsid w:val="7730341B"/>
    <w:rsid w:val="77304C77"/>
    <w:rsid w:val="774C5829"/>
    <w:rsid w:val="7767567E"/>
    <w:rsid w:val="77760F4A"/>
    <w:rsid w:val="777A4144"/>
    <w:rsid w:val="778F17DF"/>
    <w:rsid w:val="778F76E0"/>
    <w:rsid w:val="77944DFE"/>
    <w:rsid w:val="77B15E27"/>
    <w:rsid w:val="77CA545A"/>
    <w:rsid w:val="77DE0AF1"/>
    <w:rsid w:val="77DE0B76"/>
    <w:rsid w:val="77F66F2E"/>
    <w:rsid w:val="782D54C0"/>
    <w:rsid w:val="782E6041"/>
    <w:rsid w:val="783F2BE9"/>
    <w:rsid w:val="784A7FBA"/>
    <w:rsid w:val="78685F3E"/>
    <w:rsid w:val="787B0173"/>
    <w:rsid w:val="7883171E"/>
    <w:rsid w:val="7890749E"/>
    <w:rsid w:val="78B83A5A"/>
    <w:rsid w:val="78B84B5B"/>
    <w:rsid w:val="78F62961"/>
    <w:rsid w:val="790750C0"/>
    <w:rsid w:val="79117EA3"/>
    <w:rsid w:val="79226841"/>
    <w:rsid w:val="79334EF2"/>
    <w:rsid w:val="794020AC"/>
    <w:rsid w:val="797E32F4"/>
    <w:rsid w:val="798449BF"/>
    <w:rsid w:val="79964F85"/>
    <w:rsid w:val="79BC5841"/>
    <w:rsid w:val="7A17139E"/>
    <w:rsid w:val="7A340F15"/>
    <w:rsid w:val="7A9F1461"/>
    <w:rsid w:val="7AE66264"/>
    <w:rsid w:val="7AF631D6"/>
    <w:rsid w:val="7AF75F2C"/>
    <w:rsid w:val="7B317ACB"/>
    <w:rsid w:val="7B55204D"/>
    <w:rsid w:val="7B797668"/>
    <w:rsid w:val="7BA55E2F"/>
    <w:rsid w:val="7BB018F0"/>
    <w:rsid w:val="7BC84884"/>
    <w:rsid w:val="7BD81108"/>
    <w:rsid w:val="7BE36117"/>
    <w:rsid w:val="7C1A2306"/>
    <w:rsid w:val="7C4D1DDB"/>
    <w:rsid w:val="7C5400DA"/>
    <w:rsid w:val="7C792C1C"/>
    <w:rsid w:val="7C7C17CE"/>
    <w:rsid w:val="7CB12DBF"/>
    <w:rsid w:val="7CD2057E"/>
    <w:rsid w:val="7D506CE6"/>
    <w:rsid w:val="7D6733BC"/>
    <w:rsid w:val="7D6C159C"/>
    <w:rsid w:val="7D8348A6"/>
    <w:rsid w:val="7DB12889"/>
    <w:rsid w:val="7DB321DD"/>
    <w:rsid w:val="7E0A4ADC"/>
    <w:rsid w:val="7E113E13"/>
    <w:rsid w:val="7E193711"/>
    <w:rsid w:val="7E264FFE"/>
    <w:rsid w:val="7E30606D"/>
    <w:rsid w:val="7E454021"/>
    <w:rsid w:val="7E7B7FD7"/>
    <w:rsid w:val="7EBB16E8"/>
    <w:rsid w:val="7EF03CFB"/>
    <w:rsid w:val="7F122C39"/>
    <w:rsid w:val="7F5F6CF5"/>
    <w:rsid w:val="7F9754A4"/>
    <w:rsid w:val="7FB65F35"/>
    <w:rsid w:val="7FC6768D"/>
    <w:rsid w:val="7FCB251C"/>
    <w:rsid w:val="7FF74E73"/>
    <w:rsid w:val="7FF836A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5"/>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6"/>
    <w:qFormat/>
    <w:uiPriority w:val="0"/>
    <w:pPr>
      <w:keepNext/>
      <w:keepLines/>
      <w:spacing w:before="260" w:after="260" w:line="416" w:lineRule="auto"/>
      <w:outlineLvl w:val="2"/>
    </w:pPr>
    <w:rPr>
      <w:b/>
      <w:bCs/>
      <w:sz w:val="32"/>
      <w:szCs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35">
    <w:name w:val="Default Paragraph Font"/>
    <w:semiHidden/>
    <w:qFormat/>
    <w:uiPriority w:val="0"/>
  </w:style>
  <w:style w:type="table" w:default="1" w:styleId="33">
    <w:name w:val="Normal Table"/>
    <w:semiHidden/>
    <w:qFormat/>
    <w:uiPriority w:val="0"/>
    <w:tblPr>
      <w:tblCellMar>
        <w:top w:w="0" w:type="dxa"/>
        <w:left w:w="108" w:type="dxa"/>
        <w:bottom w:w="0" w:type="dxa"/>
        <w:right w:w="108" w:type="dxa"/>
      </w:tblCellMar>
    </w:tblPr>
  </w:style>
  <w:style w:type="paragraph" w:styleId="6">
    <w:name w:val="toc 7"/>
    <w:basedOn w:val="1"/>
    <w:next w:val="1"/>
    <w:qFormat/>
    <w:uiPriority w:val="0"/>
    <w:pPr>
      <w:ind w:left="2520" w:leftChars="1200"/>
    </w:pPr>
  </w:style>
  <w:style w:type="paragraph" w:styleId="7">
    <w:name w:val="Normal Indent"/>
    <w:basedOn w:val="1"/>
    <w:link w:val="58"/>
    <w:qFormat/>
    <w:uiPriority w:val="0"/>
    <w:pPr>
      <w:ind w:firstLine="420" w:firstLineChars="200"/>
    </w:pPr>
  </w:style>
  <w:style w:type="paragraph" w:styleId="8">
    <w:name w:val="Document Map"/>
    <w:basedOn w:val="1"/>
    <w:qFormat/>
    <w:uiPriority w:val="0"/>
    <w:pPr>
      <w:shd w:val="clear" w:color="auto" w:fill="000080"/>
    </w:pPr>
  </w:style>
  <w:style w:type="paragraph" w:styleId="9">
    <w:name w:val="annotation text"/>
    <w:basedOn w:val="1"/>
    <w:link w:val="44"/>
    <w:qFormat/>
    <w:uiPriority w:val="0"/>
    <w:pPr>
      <w:jc w:val="left"/>
    </w:pPr>
    <w:rPr>
      <w:sz w:val="18"/>
      <w:szCs w:val="20"/>
    </w:rPr>
  </w:style>
  <w:style w:type="paragraph" w:styleId="10">
    <w:name w:val="Body Text"/>
    <w:basedOn w:val="1"/>
    <w:next w:val="11"/>
    <w:link w:val="51"/>
    <w:qFormat/>
    <w:uiPriority w:val="99"/>
    <w:pPr>
      <w:widowControl/>
      <w:spacing w:after="120"/>
      <w:jc w:val="left"/>
    </w:pPr>
  </w:style>
  <w:style w:type="paragraph" w:styleId="11">
    <w:name w:val="Body Text First Indent"/>
    <w:basedOn w:val="10"/>
    <w:next w:val="1"/>
    <w:qFormat/>
    <w:uiPriority w:val="0"/>
    <w:pPr>
      <w:ind w:firstLine="420" w:firstLineChars="100"/>
    </w:pPr>
    <w:rPr>
      <w:rFonts w:ascii="金山简黑体"/>
      <w:b/>
      <w:bCs/>
      <w:color w:val="auto"/>
      <w:spacing w:val="-8"/>
      <w:sz w:val="21"/>
      <w:szCs w:val="21"/>
    </w:rPr>
  </w:style>
  <w:style w:type="paragraph" w:styleId="12">
    <w:name w:val="Body Text Indent"/>
    <w:basedOn w:val="1"/>
    <w:next w:val="13"/>
    <w:link w:val="41"/>
    <w:qFormat/>
    <w:uiPriority w:val="0"/>
    <w:pPr>
      <w:ind w:firstLine="630"/>
    </w:pPr>
    <w:rPr>
      <w:sz w:val="32"/>
      <w:szCs w:val="20"/>
    </w:rPr>
  </w:style>
  <w:style w:type="paragraph" w:styleId="13">
    <w:name w:val="envelope return"/>
    <w:basedOn w:val="1"/>
    <w:qFormat/>
    <w:uiPriority w:val="0"/>
    <w:pPr>
      <w:snapToGrid w:val="0"/>
    </w:pPr>
    <w:rPr>
      <w:rFonts w:ascii="Arial" w:hAnsi="Arial"/>
    </w:rPr>
  </w:style>
  <w:style w:type="paragraph" w:styleId="14">
    <w:name w:val="Block Text"/>
    <w:basedOn w:val="1"/>
    <w:next w:val="1"/>
    <w:qFormat/>
    <w:uiPriority w:val="0"/>
    <w:pPr>
      <w:widowControl/>
      <w:ind w:left="1440" w:leftChars="700" w:right="1440" w:rightChars="700"/>
      <w:jc w:val="left"/>
    </w:pPr>
    <w:rPr>
      <w:rFonts w:ascii="Calibri" w:hAnsi="Calibri" w:cs="Calibri"/>
      <w:kern w:val="0"/>
      <w:sz w:val="20"/>
      <w:szCs w:val="20"/>
    </w:rPr>
  </w:style>
  <w:style w:type="paragraph" w:styleId="15">
    <w:name w:val="toc 5"/>
    <w:basedOn w:val="1"/>
    <w:next w:val="1"/>
    <w:qFormat/>
    <w:uiPriority w:val="0"/>
    <w:pPr>
      <w:ind w:left="1680" w:leftChars="800"/>
    </w:pPr>
  </w:style>
  <w:style w:type="paragraph" w:styleId="16">
    <w:name w:val="toc 3"/>
    <w:basedOn w:val="1"/>
    <w:next w:val="1"/>
    <w:qFormat/>
    <w:uiPriority w:val="0"/>
    <w:pPr>
      <w:ind w:left="840" w:leftChars="400"/>
    </w:pPr>
  </w:style>
  <w:style w:type="paragraph" w:styleId="17">
    <w:name w:val="Plain Text"/>
    <w:basedOn w:val="1"/>
    <w:next w:val="1"/>
    <w:link w:val="56"/>
    <w:qFormat/>
    <w:uiPriority w:val="0"/>
    <w:pPr>
      <w:autoSpaceDE w:val="0"/>
      <w:autoSpaceDN w:val="0"/>
      <w:adjustRightInd w:val="0"/>
    </w:pPr>
    <w:rPr>
      <w:rFonts w:ascii="宋体" w:hAnsi="Tms Rmn"/>
      <w:kern w:val="0"/>
      <w:szCs w:val="20"/>
    </w:rPr>
  </w:style>
  <w:style w:type="paragraph" w:styleId="18">
    <w:name w:val="toc 8"/>
    <w:basedOn w:val="1"/>
    <w:next w:val="1"/>
    <w:qFormat/>
    <w:uiPriority w:val="0"/>
    <w:pPr>
      <w:ind w:left="2940" w:leftChars="1400"/>
    </w:pPr>
  </w:style>
  <w:style w:type="paragraph" w:styleId="19">
    <w:name w:val="Body Text Indent 2"/>
    <w:basedOn w:val="1"/>
    <w:qFormat/>
    <w:uiPriority w:val="0"/>
    <w:pPr>
      <w:spacing w:after="120" w:line="480" w:lineRule="auto"/>
      <w:ind w:left="420" w:leftChars="200"/>
    </w:pPr>
  </w:style>
  <w:style w:type="paragraph" w:styleId="20">
    <w:name w:val="Balloon Text"/>
    <w:basedOn w:val="1"/>
    <w:semiHidden/>
    <w:qFormat/>
    <w:uiPriority w:val="0"/>
    <w:rPr>
      <w:sz w:val="18"/>
      <w:szCs w:val="18"/>
    </w:rPr>
  </w:style>
  <w:style w:type="paragraph" w:styleId="21">
    <w:name w:val="footer"/>
    <w:basedOn w:val="1"/>
    <w:link w:val="47"/>
    <w:qFormat/>
    <w:uiPriority w:val="99"/>
    <w:pPr>
      <w:tabs>
        <w:tab w:val="center" w:pos="4153"/>
        <w:tab w:val="right" w:pos="8306"/>
      </w:tabs>
      <w:snapToGrid w:val="0"/>
      <w:jc w:val="left"/>
    </w:pPr>
    <w:rPr>
      <w:sz w:val="18"/>
      <w:szCs w:val="20"/>
    </w:rPr>
  </w:style>
  <w:style w:type="paragraph" w:styleId="22">
    <w:name w:val="header"/>
    <w:basedOn w:val="1"/>
    <w:link w:val="57"/>
    <w:qFormat/>
    <w:uiPriority w:val="0"/>
    <w:pPr>
      <w:pBdr>
        <w:bottom w:val="single" w:color="auto" w:sz="6" w:space="1"/>
      </w:pBdr>
      <w:tabs>
        <w:tab w:val="center" w:pos="4153"/>
        <w:tab w:val="right" w:pos="8306"/>
      </w:tabs>
      <w:snapToGrid w:val="0"/>
      <w:jc w:val="center"/>
    </w:pPr>
    <w:rPr>
      <w:sz w:val="18"/>
      <w:szCs w:val="20"/>
    </w:rPr>
  </w:style>
  <w:style w:type="paragraph" w:styleId="23">
    <w:name w:val="toc 1"/>
    <w:basedOn w:val="1"/>
    <w:next w:val="1"/>
    <w:qFormat/>
    <w:uiPriority w:val="0"/>
  </w:style>
  <w:style w:type="paragraph" w:styleId="24">
    <w:name w:val="toc 4"/>
    <w:basedOn w:val="1"/>
    <w:next w:val="1"/>
    <w:qFormat/>
    <w:uiPriority w:val="0"/>
    <w:pPr>
      <w:ind w:left="1260" w:leftChars="600"/>
    </w:pPr>
  </w:style>
  <w:style w:type="paragraph" w:styleId="25">
    <w:name w:val="footnote text"/>
    <w:basedOn w:val="1"/>
    <w:qFormat/>
    <w:uiPriority w:val="0"/>
    <w:pPr>
      <w:snapToGrid w:val="0"/>
      <w:jc w:val="left"/>
    </w:pPr>
    <w:rPr>
      <w:sz w:val="18"/>
    </w:rPr>
  </w:style>
  <w:style w:type="paragraph" w:styleId="26">
    <w:name w:val="toc 6"/>
    <w:basedOn w:val="1"/>
    <w:next w:val="1"/>
    <w:qFormat/>
    <w:uiPriority w:val="0"/>
    <w:pPr>
      <w:ind w:left="2100" w:leftChars="1000"/>
    </w:pPr>
  </w:style>
  <w:style w:type="paragraph" w:styleId="27">
    <w:name w:val="Body Text Indent 3"/>
    <w:basedOn w:val="1"/>
    <w:link w:val="52"/>
    <w:qFormat/>
    <w:uiPriority w:val="0"/>
    <w:pPr>
      <w:spacing w:after="120"/>
      <w:ind w:left="420" w:leftChars="200"/>
    </w:pPr>
    <w:rPr>
      <w:sz w:val="16"/>
      <w:szCs w:val="16"/>
    </w:rPr>
  </w:style>
  <w:style w:type="paragraph" w:styleId="28">
    <w:name w:val="toc 2"/>
    <w:basedOn w:val="1"/>
    <w:next w:val="1"/>
    <w:qFormat/>
    <w:uiPriority w:val="0"/>
    <w:pPr>
      <w:ind w:left="420" w:leftChars="200"/>
    </w:pPr>
  </w:style>
  <w:style w:type="paragraph" w:styleId="29">
    <w:name w:val="toc 9"/>
    <w:basedOn w:val="1"/>
    <w:next w:val="1"/>
    <w:qFormat/>
    <w:uiPriority w:val="0"/>
    <w:pPr>
      <w:ind w:left="3360" w:leftChars="1600"/>
    </w:pPr>
  </w:style>
  <w:style w:type="paragraph" w:styleId="30">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31">
    <w:name w:val="annotation subject"/>
    <w:basedOn w:val="9"/>
    <w:next w:val="9"/>
    <w:link w:val="55"/>
    <w:qFormat/>
    <w:uiPriority w:val="0"/>
    <w:rPr>
      <w:rFonts w:eastAsia="宋体"/>
      <w:b/>
      <w:bCs/>
      <w:sz w:val="21"/>
      <w:szCs w:val="24"/>
      <w:lang w:val="en-US" w:eastAsia="zh-CN"/>
    </w:rPr>
  </w:style>
  <w:style w:type="paragraph" w:styleId="32">
    <w:name w:val="Body Text First Indent 2"/>
    <w:basedOn w:val="12"/>
    <w:next w:val="14"/>
    <w:qFormat/>
    <w:uiPriority w:val="0"/>
    <w:pPr>
      <w:spacing w:line="240" w:lineRule="auto"/>
      <w:ind w:left="420" w:leftChars="200" w:firstLine="420" w:firstLineChars="200"/>
    </w:pPr>
    <w:rPr>
      <w:rFonts w:ascii="Times New Roman" w:cs="Times New Roman"/>
      <w:spacing w:val="0"/>
      <w:sz w:val="21"/>
      <w:szCs w:val="21"/>
    </w:rPr>
  </w:style>
  <w:style w:type="table" w:styleId="34">
    <w:name w:val="Table Grid"/>
    <w:basedOn w:val="3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22"/>
    <w:rPr>
      <w:b/>
    </w:rPr>
  </w:style>
  <w:style w:type="character" w:styleId="37">
    <w:name w:val="page number"/>
    <w:basedOn w:val="35"/>
    <w:qFormat/>
    <w:uiPriority w:val="0"/>
  </w:style>
  <w:style w:type="character" w:styleId="38">
    <w:name w:val="Hyperlink"/>
    <w:qFormat/>
    <w:uiPriority w:val="0"/>
    <w:rPr>
      <w:color w:val="0000FF"/>
      <w:u w:val="single"/>
    </w:rPr>
  </w:style>
  <w:style w:type="character" w:styleId="39">
    <w:name w:val="annotation reference"/>
    <w:basedOn w:val="35"/>
    <w:qFormat/>
    <w:uiPriority w:val="0"/>
    <w:rPr>
      <w:sz w:val="21"/>
      <w:szCs w:val="21"/>
    </w:rPr>
  </w:style>
  <w:style w:type="character" w:styleId="40">
    <w:name w:val="footnote reference"/>
    <w:basedOn w:val="35"/>
    <w:qFormat/>
    <w:uiPriority w:val="0"/>
    <w:rPr>
      <w:vertAlign w:val="superscript"/>
    </w:rPr>
  </w:style>
  <w:style w:type="character" w:customStyle="1" w:styleId="41">
    <w:name w:val="正文文字首行缩进 Char"/>
    <w:link w:val="12"/>
    <w:qFormat/>
    <w:uiPriority w:val="0"/>
    <w:rPr>
      <w:rFonts w:eastAsia="宋体"/>
      <w:kern w:val="2"/>
      <w:sz w:val="32"/>
      <w:lang w:val="en-US" w:eastAsia="zh-CN" w:bidi="ar-SA"/>
    </w:rPr>
  </w:style>
  <w:style w:type="character" w:customStyle="1" w:styleId="42">
    <w:name w:val=" Char Char9"/>
    <w:qFormat/>
    <w:uiPriority w:val="0"/>
    <w:rPr>
      <w:kern w:val="2"/>
      <w:sz w:val="21"/>
    </w:rPr>
  </w:style>
  <w:style w:type="character" w:customStyle="1" w:styleId="43">
    <w:name w:val="批注文字 Char1"/>
    <w:qFormat/>
    <w:uiPriority w:val="0"/>
    <w:rPr>
      <w:kern w:val="2"/>
      <w:sz w:val="18"/>
      <w:lang w:bidi="ar-SA"/>
    </w:rPr>
  </w:style>
  <w:style w:type="character" w:customStyle="1" w:styleId="44">
    <w:name w:val=" Char Char2"/>
    <w:link w:val="9"/>
    <w:qFormat/>
    <w:uiPriority w:val="0"/>
    <w:rPr>
      <w:kern w:val="2"/>
      <w:sz w:val="18"/>
      <w:lang w:bidi="ar-SA"/>
    </w:rPr>
  </w:style>
  <w:style w:type="character" w:customStyle="1" w:styleId="45">
    <w:name w:val="Heading 2 Hidden Char"/>
    <w:basedOn w:val="35"/>
    <w:link w:val="3"/>
    <w:qFormat/>
    <w:uiPriority w:val="0"/>
    <w:rPr>
      <w:rFonts w:ascii="Arial" w:hAnsi="Arial" w:eastAsia="黑体"/>
      <w:b/>
      <w:bCs/>
      <w:kern w:val="2"/>
      <w:sz w:val="32"/>
      <w:szCs w:val="32"/>
      <w:lang w:val="en-US" w:eastAsia="zh-CN" w:bidi="ar-SA"/>
    </w:rPr>
  </w:style>
  <w:style w:type="character" w:customStyle="1" w:styleId="46">
    <w:name w:val=" Char Char4"/>
    <w:basedOn w:val="35"/>
    <w:link w:val="4"/>
    <w:semiHidden/>
    <w:qFormat/>
    <w:uiPriority w:val="0"/>
    <w:rPr>
      <w:rFonts w:eastAsia="宋体"/>
      <w:b/>
      <w:bCs/>
      <w:kern w:val="2"/>
      <w:sz w:val="32"/>
      <w:szCs w:val="32"/>
      <w:lang w:val="en-US" w:eastAsia="zh-CN" w:bidi="ar-SA"/>
    </w:rPr>
  </w:style>
  <w:style w:type="character" w:customStyle="1" w:styleId="47">
    <w:name w:val="fo Char"/>
    <w:link w:val="21"/>
    <w:qFormat/>
    <w:uiPriority w:val="99"/>
    <w:rPr>
      <w:rFonts w:eastAsia="宋体"/>
      <w:kern w:val="2"/>
      <w:sz w:val="18"/>
      <w:lang w:val="en-US" w:eastAsia="zh-CN" w:bidi="ar-SA"/>
    </w:rPr>
  </w:style>
  <w:style w:type="character" w:customStyle="1" w:styleId="48">
    <w:name w:val="列出段落 Char"/>
    <w:link w:val="49"/>
    <w:qFormat/>
    <w:uiPriority w:val="0"/>
    <w:rPr>
      <w:rFonts w:eastAsia="宋体"/>
      <w:kern w:val="2"/>
      <w:sz w:val="21"/>
      <w:szCs w:val="24"/>
      <w:lang w:val="en-US" w:eastAsia="zh-CN" w:bidi="ar-SA"/>
    </w:rPr>
  </w:style>
  <w:style w:type="paragraph" w:customStyle="1" w:styleId="49">
    <w:name w:val="列出段落"/>
    <w:basedOn w:val="1"/>
    <w:link w:val="48"/>
    <w:qFormat/>
    <w:uiPriority w:val="0"/>
    <w:pPr>
      <w:ind w:firstLine="420" w:firstLineChars="200"/>
    </w:pPr>
  </w:style>
  <w:style w:type="character" w:customStyle="1" w:styleId="50">
    <w:name w:val="（符号）邀请函中一、"/>
    <w:basedOn w:val="35"/>
    <w:qFormat/>
    <w:uiPriority w:val="0"/>
    <w:rPr>
      <w:rFonts w:ascii="黑体" w:hAnsi="黑体" w:eastAsia="黑体"/>
      <w:b/>
      <w:bCs/>
      <w:sz w:val="24"/>
    </w:rPr>
  </w:style>
  <w:style w:type="character" w:customStyle="1" w:styleId="51">
    <w:name w:val="正文文本 Char"/>
    <w:link w:val="10"/>
    <w:qFormat/>
    <w:uiPriority w:val="99"/>
  </w:style>
  <w:style w:type="character" w:customStyle="1" w:styleId="52">
    <w:name w:val=" Char Char3"/>
    <w:basedOn w:val="35"/>
    <w:link w:val="27"/>
    <w:qFormat/>
    <w:uiPriority w:val="0"/>
    <w:rPr>
      <w:kern w:val="2"/>
      <w:sz w:val="16"/>
      <w:szCs w:val="16"/>
    </w:rPr>
  </w:style>
  <w:style w:type="character" w:customStyle="1" w:styleId="53">
    <w:name w:val="GW-正文 Char"/>
    <w:link w:val="54"/>
    <w:qFormat/>
    <w:uiPriority w:val="0"/>
    <w:rPr>
      <w:rFonts w:eastAsia="仿宋_GB2312"/>
      <w:kern w:val="2"/>
      <w:sz w:val="24"/>
      <w:szCs w:val="24"/>
      <w:lang w:val="en-US" w:eastAsia="zh-CN" w:bidi="ar-SA"/>
    </w:rPr>
  </w:style>
  <w:style w:type="paragraph" w:customStyle="1" w:styleId="54">
    <w:name w:val="GW-正文"/>
    <w:basedOn w:val="1"/>
    <w:link w:val="53"/>
    <w:qFormat/>
    <w:uiPriority w:val="0"/>
    <w:pPr>
      <w:spacing w:line="360" w:lineRule="auto"/>
      <w:ind w:firstLine="200" w:firstLineChars="200"/>
    </w:pPr>
    <w:rPr>
      <w:rFonts w:eastAsia="仿宋_GB2312"/>
      <w:sz w:val="24"/>
    </w:rPr>
  </w:style>
  <w:style w:type="character" w:customStyle="1" w:styleId="55">
    <w:name w:val=" Char Char"/>
    <w:basedOn w:val="44"/>
    <w:link w:val="31"/>
    <w:qFormat/>
    <w:uiPriority w:val="0"/>
    <w:rPr>
      <w:b/>
      <w:bCs/>
      <w:sz w:val="21"/>
      <w:szCs w:val="24"/>
    </w:rPr>
  </w:style>
  <w:style w:type="character" w:customStyle="1" w:styleId="56">
    <w:name w:val=" Char Char1"/>
    <w:link w:val="17"/>
    <w:unhideWhenUsed/>
    <w:qFormat/>
    <w:uiPriority w:val="0"/>
    <w:rPr>
      <w:rFonts w:ascii="宋体" w:hAnsi="Tms Rmn" w:eastAsia="宋体"/>
      <w:sz w:val="21"/>
      <w:lang w:val="en-US" w:eastAsia="zh-CN" w:bidi="ar-SA"/>
    </w:rPr>
  </w:style>
  <w:style w:type="character" w:customStyle="1" w:styleId="57">
    <w:name w:val="h Char"/>
    <w:link w:val="22"/>
    <w:qFormat/>
    <w:uiPriority w:val="0"/>
    <w:rPr>
      <w:rFonts w:eastAsia="宋体"/>
      <w:kern w:val="2"/>
      <w:sz w:val="18"/>
      <w:lang w:val="en-US" w:eastAsia="zh-CN" w:bidi="ar-SA"/>
    </w:rPr>
  </w:style>
  <w:style w:type="character" w:customStyle="1" w:styleId="58">
    <w:name w:val="表正文 Char1"/>
    <w:link w:val="7"/>
    <w:qFormat/>
    <w:uiPriority w:val="0"/>
    <w:rPr>
      <w:rFonts w:eastAsia="宋体"/>
      <w:kern w:val="2"/>
      <w:sz w:val="21"/>
      <w:szCs w:val="24"/>
      <w:lang w:val="en-US" w:eastAsia="zh-CN" w:bidi="ar-SA"/>
    </w:rPr>
  </w:style>
  <w:style w:type="paragraph" w:customStyle="1" w:styleId="5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0">
    <w:name w:val="彩色列表 - 强调文字颜色 11"/>
    <w:basedOn w:val="1"/>
    <w:qFormat/>
    <w:uiPriority w:val="0"/>
    <w:pPr>
      <w:widowControl w:val="0"/>
      <w:ind w:firstLine="420" w:firstLineChars="200"/>
      <w:jc w:val="both"/>
    </w:pPr>
    <w:rPr>
      <w:rFonts w:ascii="Calibri" w:hAnsi="Calibri" w:eastAsia="宋体" w:cs="Times New Roman"/>
      <w:kern w:val="2"/>
      <w:sz w:val="21"/>
      <w:szCs w:val="22"/>
    </w:rPr>
  </w:style>
  <w:style w:type="paragraph" w:customStyle="1" w:styleId="61">
    <w:name w:val="Normal"/>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2">
    <w:name w:val="样式 首行缩进:  2 字符"/>
    <w:basedOn w:val="1"/>
    <w:qFormat/>
    <w:uiPriority w:val="0"/>
    <w:pPr>
      <w:spacing w:line="400" w:lineRule="exact"/>
      <w:ind w:firstLine="200" w:firstLineChars="200"/>
    </w:pPr>
    <w:rPr>
      <w:rFonts w:cs="宋体"/>
      <w:sz w:val="24"/>
    </w:rPr>
  </w:style>
  <w:style w:type="paragraph" w:customStyle="1" w:styleId="63">
    <w:name w:val="WPSOffice手动目录 1"/>
    <w:qFormat/>
    <w:uiPriority w:val="0"/>
    <w:pPr>
      <w:ind w:leftChars="0"/>
    </w:pPr>
    <w:rPr>
      <w:rFonts w:ascii="Times New Roman" w:hAnsi="Times New Roman" w:eastAsia="宋体" w:cs="Times New Roman"/>
      <w:sz w:val="20"/>
      <w:szCs w:val="20"/>
    </w:rPr>
  </w:style>
  <w:style w:type="paragraph" w:customStyle="1" w:styleId="64">
    <w:name w:val="Char Char Char Char Char Char Char Char Char Char Char Char Char Char1 Char Char Char Char"/>
    <w:basedOn w:val="1"/>
    <w:qFormat/>
    <w:uiPriority w:val="0"/>
    <w:rPr>
      <w:szCs w:val="21"/>
    </w:rPr>
  </w:style>
  <w:style w:type="paragraph" w:customStyle="1" w:styleId="65">
    <w:name w:val="样式 仿宋 行距: 1.5 倍行距"/>
    <w:basedOn w:val="1"/>
    <w:qFormat/>
    <w:uiPriority w:val="0"/>
    <w:pPr>
      <w:spacing w:line="360" w:lineRule="auto"/>
    </w:pPr>
    <w:rPr>
      <w:rFonts w:ascii="仿宋" w:hAnsi="仿宋" w:eastAsia="仿宋" w:cs="宋体"/>
      <w:sz w:val="24"/>
      <w:szCs w:val="20"/>
    </w:rPr>
  </w:style>
  <w:style w:type="paragraph" w:customStyle="1" w:styleId="66">
    <w:name w:val="p2"/>
    <w:basedOn w:val="1"/>
    <w:qFormat/>
    <w:uiPriority w:val="99"/>
    <w:pPr>
      <w:widowControl/>
      <w:spacing w:line="480" w:lineRule="auto"/>
      <w:ind w:firstLine="420"/>
      <w:jc w:val="left"/>
    </w:pPr>
    <w:rPr>
      <w:rFonts w:ascii="宋体" w:hAnsi="宋体" w:cs="宋体"/>
      <w:kern w:val="0"/>
    </w:rPr>
  </w:style>
  <w:style w:type="paragraph" w:customStyle="1" w:styleId="67">
    <w:name w:val="表格"/>
    <w:basedOn w:val="1"/>
    <w:qFormat/>
    <w:uiPriority w:val="0"/>
    <w:pPr>
      <w:spacing w:line="400" w:lineRule="exact"/>
    </w:pPr>
    <w:rPr>
      <w:sz w:val="24"/>
    </w:rPr>
  </w:style>
  <w:style w:type="paragraph" w:customStyle="1" w:styleId="68">
    <w:name w:val="正文首行缩进两字符"/>
    <w:basedOn w:val="1"/>
    <w:qFormat/>
    <w:uiPriority w:val="0"/>
    <w:pPr>
      <w:spacing w:line="360" w:lineRule="auto"/>
      <w:ind w:firstLine="200" w:firstLineChars="200"/>
    </w:pPr>
  </w:style>
  <w:style w:type="paragraph" w:customStyle="1" w:styleId="69">
    <w:name w:val="列出段落1"/>
    <w:basedOn w:val="1"/>
    <w:qFormat/>
    <w:uiPriority w:val="99"/>
    <w:pPr>
      <w:ind w:firstLine="420" w:firstLineChars="200"/>
    </w:pPr>
    <w:rPr>
      <w:rFonts w:ascii="Calibri" w:hAnsi="Calibri" w:eastAsia="宋体" w:cs="Times New Roman"/>
      <w:kern w:val="2"/>
    </w:rPr>
  </w:style>
  <w:style w:type="paragraph" w:customStyle="1" w:styleId="7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71">
    <w:name w:val="列出段落111"/>
    <w:basedOn w:val="1"/>
    <w:qFormat/>
    <w:uiPriority w:val="99"/>
    <w:pPr>
      <w:ind w:firstLine="420" w:firstLineChars="200"/>
    </w:pPr>
    <w:rPr>
      <w:lang w:val="zh-CN"/>
    </w:rPr>
  </w:style>
  <w:style w:type="paragraph" w:customStyle="1" w:styleId="72">
    <w:name w:val="WPSOffice手动目录 2"/>
    <w:qFormat/>
    <w:uiPriority w:val="0"/>
    <w:pPr>
      <w:ind w:leftChars="200"/>
    </w:pPr>
    <w:rPr>
      <w:rFonts w:ascii="Times New Roman" w:hAnsi="Times New Roman" w:eastAsia="宋体" w:cs="Times New Roman"/>
      <w:sz w:val="20"/>
      <w:szCs w:val="20"/>
    </w:rPr>
  </w:style>
  <w:style w:type="paragraph" w:customStyle="1" w:styleId="73">
    <w:name w:val="Table Text"/>
    <w:basedOn w:val="1"/>
    <w:semiHidden/>
    <w:qFormat/>
    <w:uiPriority w:val="0"/>
    <w:rPr>
      <w:rFonts w:ascii="黑体" w:hAnsi="黑体" w:eastAsia="黑体" w:cs="黑体"/>
      <w:sz w:val="18"/>
      <w:szCs w:val="1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870efea2-92ba-44dd-aba4-31482340b185</errorID>
      <errorWord> </errorWord>
      <group>L1_Punc</group>
      <groupName>标点问题</groupName>
      <ability>L2_Punc_CN</ability>
      <abilityName>标点符号问题</abilityName>
      <candidateList>
        <item/>
      </candidateList>
      <explain>此处空格冗余，建议删除。</explain>
      <paraID>7248278A</paraID>
      <start>12</start>
      <end>12</end>
      <status>modified</status>
      <modifiedWord/>
      <trackRevisions>false</trackRevisions>
    </reviewItem>
    <reviewItem>
      <errorID>f0d86ffe-7f5c-4f04-9452-924acd641919</errorID>
      <errorWord>发布</errorWord>
      <group>L1_Punc</group>
      <groupName>标点问题</groupName>
      <ability>L2_Punc_CN</ability>
      <abilityName>标点符号问题</abilityName>
      <candidateList>
        <item>发布。</item>
      </candidateList>
      <explain/>
      <paraID>7248278A</paraID>
      <start>15</start>
      <end>18</end>
      <status>modified</status>
      <modifiedWord>发布。</modifiedWord>
      <trackRevisions>false</trackRevisions>
    </reviewItem>
    <reviewItem>
      <errorID>7344d64b-257c-488a-b896-21bb15b2361f</errorID>
      <errorWord> </errorWord>
      <group>L1_Punc</group>
      <groupName>标点问题</groupName>
      <ability>L2_Punc_CN</ability>
      <abilityName>标点符号问题</abilityName>
      <candidateList>
        <item/>
      </candidateList>
      <explain>此处空格冗余，建议删除。</explain>
      <paraID> 9D87090</paraID>
      <start>22</start>
      <end>22</end>
      <status>modified</status>
      <modifiedWord/>
      <trackRevisions>false</trackRevisions>
    </reviewItem>
    <reviewItem>
      <errorID>37220aa9-a91d-4dba-a974-75a981a39f6c</errorID>
      <errorWord>编制</errorWord>
      <group>L1_Punc</group>
      <groupName>标点问题</groupName>
      <ability>L2_Punc_CN</ability>
      <abilityName>标点符号问题</abilityName>
      <candidateList>
        <item>编制。</item>
      </candidateList>
      <explain/>
      <paraID> 9D87090</paraID>
      <start>24</start>
      <end>26</end>
      <status>ignored</status>
      <modifiedWord/>
      <trackRevisions>false</trackRevisions>
    </reviewItem>
    <reviewItem>
      <errorID>f98417a2-57e9-42d8-8a72-c7bb455d882e</errorID>
      <errorWord>外挂</errorWord>
      <group>L1_Sensitive</group>
      <groupName>敏感问题</groupName>
      <ability>L2_Prohibited</ability>
      <abilityName>违禁内容</abilityName>
      <candidateList/>
      <explain>【违禁内容】句中涉及国家法律明令禁止的违禁内容，请注意甄别。</explain>
      <paraID> 194156E</paraID>
      <start>32</start>
      <end>34</end>
      <status>ignored</status>
      <modifiedWord/>
      <trackRevisions>false</trackRevisions>
    </reviewItem>
    <reviewItem>
      <errorID>864448a3-7527-47d6-8f35-a0fe4b12660b</errorID>
      <errorWord>外挂</errorWord>
      <group>L1_Sensitive</group>
      <groupName>敏感问题</groupName>
      <ability>L2_Prohibited</ability>
      <abilityName>违禁内容</abilityName>
      <candidateList/>
      <explain>【违禁内容】句中涉及国家法律明令禁止的违禁内容，请注意甄别。</explain>
      <paraID>4AD91D83</paraID>
      <start>27</start>
      <end>29</end>
      <status>ignored</status>
      <modifiedWord/>
      <trackRevisions>false</trackRevisions>
    </reviewItem>
    <reviewItem>
      <errorID>6ece4632-5e44-4e61-828f-28b9c164f59b</errorID>
      <errorWord>[2022]19号</errorWord>
      <group>L1_Knowledge</group>
      <groupName>知识性问题</groupName>
      <ability>L2_Knowledge</ability>
      <abilityName>其他知识</abilityName>
      <candidateList>
        <item>〔2022〕19号</item>
      </candidateList>
      <explain>发文字号格式错误。</explain>
      <paraID>70D1D797</paraID>
      <start>96</start>
      <end>105</end>
      <status>modified</status>
      <modifiedWord>〔2022〕19号</modifiedWord>
      <trackRevisions>false</trackRevisions>
    </reviewItem>
    <reviewItem>
      <errorID>984259d1-abab-4254-bb11-48498167c48b</errorID>
      <errorWord>参与</errorWord>
      <group>L1_Word</group>
      <groupName>字词问题</groupName>
      <ability>L2_Typo</ability>
      <abilityName>字词错误</abilityName>
      <candidateList>
        <item>按照</item>
      </candidateList>
      <explain/>
      <paraID>70D1D797</paraID>
      <start>125</start>
      <end>127</end>
      <status>modified</status>
      <modifiedWord>按照</modifiedWord>
      <trackRevisions>false</trackRevisions>
    </reviewItem>
    <reviewItem>
      <errorID>fe883013-3e2a-4e79-93fb-61b8dace8e67</errorID>
      <errorWord>评审</errorWord>
      <group>L1_Grammar</group>
      <groupName>语法问题</groupName>
      <ability>L2_Grammar</ability>
      <abilityName>语法错误</abilityName>
      <candidateList>
        <item>进行评审</item>
      </candidateList>
      <explain/>
      <paraID>70D1D797</paraID>
      <start>137</start>
      <end>141</end>
      <status>modified</status>
      <modifiedWord>进行评审</modifiedWord>
      <trackRevisions>false</trackRevisions>
    </reviewItem>
    <reviewItem>
      <errorID>0c2cf0c7-a238-4f98-a95c-d7c9cb5db16c</errorID>
      <errorWord> </errorWord>
      <group>L1_Punc</group>
      <groupName>标点问题</groupName>
      <ability>L2_Punc_CN</ability>
      <abilityName>标点符号问题</abilityName>
      <candidateList>
        <item/>
      </candidateList>
      <explain>此处空格冗余，建议删除。</explain>
      <paraID> 4F25729</paraID>
      <start>13</start>
      <end>13</end>
      <status>modified</status>
      <modifiedWord/>
      <trackRevisions>false</trackRevisions>
    </reviewItem>
    <reviewItem>
      <errorID>c399e594-7a32-4f66-98ac-707d2b53aff6</errorID>
      <errorWord> </errorWord>
      <group>L1_Punc</group>
      <groupName>标点问题</groupName>
      <ability>L2_Punc_CN</ability>
      <abilityName>标点符号问题</abilityName>
      <candidateList>
        <item/>
      </candidateList>
      <explain>此处空格冗余，建议删除。</explain>
      <paraID> 4F25729</paraID>
      <start>35</start>
      <end>35</end>
      <status>modified</status>
      <modifiedWord/>
      <trackRevisions>false</trackRevisions>
    </reviewItem>
    <reviewItem>
      <errorID>1fb1d263-21f5-42bd-a776-307ae08f893c</errorID>
      <errorWord>:</errorWord>
      <group>L1_Format</group>
      <groupName>格式问题</groupName>
      <ability>L2_HalfPunc_CN</ability>
      <abilityName>全半角问题</abilityName>
      <candidateList>
        <item>：</item>
      </candidateList>
      <explain>文本全半角错误。</explain>
      <paraID>52ECEB58</paraID>
      <start>11</start>
      <end>12</end>
      <status>modified</status>
      <modifiedWord>：</modifiedWord>
      <trackRevisions>false</trackRevisions>
    </reviewItem>
    <reviewItem>
      <errorID>e152e237-13f8-4e32-9f67-419eee5a4733</errorID>
      <errorWord>-</errorWord>
      <group>L1_Format</group>
      <groupName>格式问题</groupName>
      <ability>L2_HalfPunc_CN</ability>
      <abilityName>全半角问题</abilityName>
      <candidateList>
        <item>－</item>
      </candidateList>
      <explain>文本全半角错误。</explain>
      <paraID>52ECEB58</paraID>
      <start>22</start>
      <end>23</end>
      <status>modified</status>
      <modifiedWord>－</modifiedWord>
      <trackRevisions>false</trackRevisions>
    </reviewItem>
    <reviewItem>
      <errorID>98f3d16a-cf1f-4bd1-ac9d-e640969f0ece</errorID>
      <errorWord>-</errorWord>
      <group>L1_Format</group>
      <groupName>格式问题</groupName>
      <ability>L2_HalfPunc_CN</ability>
      <abilityName>全半角问题</abilityName>
      <candidateList>
        <item>－</item>
      </candidateList>
      <explain>文本全半角错误。</explain>
      <paraID>6488CBFF</paraID>
      <start>19</start>
      <end>20</end>
      <status>modified</status>
      <modifiedWord>－</modifiedWord>
      <trackRevisions>false</trackRevisions>
    </reviewItem>
    <reviewItem>
      <errorID>ff5955f6-4da9-4825-a22f-39a892855364</errorID>
      <errorWord>）；</errorWord>
      <group>L1_Format</group>
      <groupName>格式问题</groupName>
      <ability>L2_HalfPunc_CN</ability>
      <abilityName>全半角问题</abilityName>
      <candidateList>
        <item>);</item>
      </candidateList>
      <explain>文本全半角错误。</explain>
      <paraID>1868CF63</paraID>
      <start>184</start>
      <end>186</end>
      <status>modified</status>
      <modifiedWord>);</modifiedWord>
      <trackRevisions>false</trackRevisions>
    </reviewItem>
    <reviewItem>
      <errorID>c46c0af6-0358-49a0-a6d9-7ff182490375</errorID>
      <errorWord>：</errorWord>
      <group>L1_Punc</group>
      <groupName>标点问题</groupName>
      <ability>L2_Punc_CN</ability>
      <abilityName>标点符号问题</abilityName>
      <candidateList>
        <item>:</item>
      </candidateList>
      <explain/>
      <paraID>22BB804C</paraID>
      <start>36</start>
      <end>37</end>
      <status>modified</status>
      <modifiedWord>:</modifiedWord>
      <trackRevisions>false</trackRevisions>
    </reviewItem>
    <reviewItem>
      <errorID>46247df4-3eed-4c70-9e25-05f4332ef9f7</errorID>
      <errorWord>操作合</errorWord>
      <group>L1_Word</group>
      <groupName>字词问题</groupName>
      <ability>L2_Typo</ability>
      <abilityName>字词错误</abilityName>
      <candidateList>
        <item>操作台</item>
      </candidateList>
      <explain/>
      <paraID>5D7AA626</paraID>
      <start>8</start>
      <end>11</end>
      <status>ignored</status>
      <modifiedWord/>
      <trackRevisions>false</trackRevisions>
    </reviewItem>
    <reviewItem>
      <errorID>56fb856e-3f67-40a9-a39f-0a65e74137b6</errorID>
      <errorWord>，</errorWord>
      <group>L1_Word</group>
      <groupName>字词问题</groupName>
      <ability>L2_Typo</ability>
      <abilityName>字词错误</abilityName>
      <candidateList>
        <item>，在</item>
      </candidateList>
      <explain/>
      <paraID>5973CEE6</paraID>
      <start>35</start>
      <end>37</end>
      <status>modified</status>
      <modifiedWord>，在</modifiedWord>
      <trackRevisions>false</trackRevisions>
    </reviewItem>
    <reviewItem>
      <errorID>7779f9f6-67fb-4135-96de-26f47101ed1f</errorID>
      <errorWord>间</errorWord>
      <group>L1_Word</group>
      <groupName>字词问题</groupName>
      <ability>L2_Typo</ability>
      <abilityName>字词错误</abilityName>
      <candidateList>
        <item>间之</item>
      </candidateList>
      <explain/>
      <paraID>5973CEE6</paraID>
      <start>105</start>
      <end>107</end>
      <status>modified</status>
      <modifiedWord>间之</modifiedWord>
      <trackRevisions>false</trackRevisions>
    </reviewItem>
    <reviewItem>
      <errorID>fb91b1c9-7efc-4427-83ae-79fb5cf63c9e</errorID>
      <errorWord> </errorWord>
      <group>L1_Punc</group>
      <groupName>标点问题</groupName>
      <ability>L2_Punc_CN</ability>
      <abilityName>标点符号问题</abilityName>
      <candidateList>
        <item/>
      </candidateList>
      <explain>此处空格冗余，建议删除。</explain>
      <paraID>6E0C569F</paraID>
      <start>3</start>
      <end>3</end>
      <status>modified</status>
      <modifiedWord/>
      <trackRevisions>false</trackRevisions>
    </reviewItem>
    <reviewItem>
      <errorID>63215b15-4b06-4ef4-92b8-edce827e1c58</errorID>
      <errorWord> </errorWord>
      <group>L1_Punc</group>
      <groupName>标点问题</groupName>
      <ability>L2_Punc_CN</ability>
      <abilityName>标点符号问题</abilityName>
      <candidateList>
        <item/>
      </candidateList>
      <explain>此处空格冗余，建议删除。</explain>
      <paraID>6E0C569F</paraID>
      <start>15</start>
      <end>15</end>
      <status>modified</status>
      <modifiedWord/>
      <trackRevisions>false</trackRevisions>
    </reviewItem>
    <reviewItem>
      <errorID>bd0a5956-a8d8-4e58-9de3-fa0e39f4d579</errorID>
      <errorWord> </errorWord>
      <group>L1_Punc</group>
      <groupName>标点问题</groupName>
      <ability>L2_Punc_CN</ability>
      <abilityName>标点符号问题</abilityName>
      <candidateList>
        <item/>
      </candidateList>
      <explain>此处空格冗余，建议删除。</explain>
      <paraID>6E0C569F</paraID>
      <start>17</start>
      <end>17</end>
      <status>modified</status>
      <modifiedWord/>
      <trackRevisions>false</trackRevisions>
    </reviewItem>
    <reviewItem>
      <errorID>81144d22-2bd1-411e-91b6-13083ff2d247</errorID>
      <errorWord> </errorWord>
      <group>L1_Punc</group>
      <groupName>标点问题</groupName>
      <ability>L2_Punc_CN</ability>
      <abilityName>标点符号问题</abilityName>
      <candidateList>
        <item/>
      </candidateList>
      <explain>此处空格冗余，建议删除。</explain>
      <paraID>10225C53</paraID>
      <start>32</start>
      <end>32</end>
      <status>modified</status>
      <modifiedWord/>
      <trackRevisions>false</trackRevisions>
    </reviewItem>
    <reviewItem>
      <errorID>6bcd2878-bf6e-4bb0-8e85-cb0eaecc1e37</errorID>
      <errorWord>23</errorWord>
      <group>L1_Format</group>
      <groupName>格式问题</groupName>
      <ability>L2_Ordinal</ability>
      <abilityName>序号格式</abilityName>
      <candidateList>
        <item>21</item>
      </candidateList>
      <explain>标题顺序错误，请检查标题顺序是否合理。</explain>
      <paraID>4389652C</paraID>
      <start>12</start>
      <end>14</end>
      <status>ignored</status>
      <modifiedWord/>
      <trackRevisions>false</trackRevisions>
    </reviewItem>
    <reviewItem>
      <errorID>e4e71bb0-9587-4d5c-a427-b28b810cfc11</errorID>
      <errorWord>,</errorWord>
      <group>L1_Format</group>
      <groupName>格式问题</groupName>
      <ability>L2_HalfPunc_CN</ability>
      <abilityName>全半角问题</abilityName>
      <candidateList>
        <item>，</item>
      </candidateList>
      <explain>文本全半角错误。</explain>
      <paraID>162FCC6A</paraID>
      <start>31</start>
      <end>32</end>
      <status>modified</status>
      <modifiedWord>，</modifiedWord>
      <trackRevisions>false</trackRevisions>
    </reviewItem>
    <reviewItem>
      <errorID>32bf2749-f02d-4517-8887-ce7a6f3c33fc</errorID>
      <errorWord>,</errorWord>
      <group>L1_Format</group>
      <groupName>格式问题</groupName>
      <ability>L2_HalfPunc_CN</ability>
      <abilityName>全半角问题</abilityName>
      <candidateList>
        <item>，</item>
      </candidateList>
      <explain>文本全半角错误。</explain>
      <paraID>162FCC6A</paraID>
      <start>50</start>
      <end>51</end>
      <status>modified</status>
      <modifiedWord>，</modifiedWord>
      <trackRevisions>false</trackRevisions>
    </reviewItem>
    <reviewItem>
      <errorID>eb3bd634-a756-426b-bedb-629ec5c7c468</errorID>
      <errorWord>的：</errorWord>
      <group>L1_Word</group>
      <groupName>字词问题</groupName>
      <ability>L2_Typo</ability>
      <abilityName>字词错误</abilityName>
      <candidateList>
        <item>，</item>
      </candidateList>
      <explain/>
      <paraID>2667245B</paraID>
      <start>14</start>
      <end>15</end>
      <status>modified</status>
      <modifiedWord>，</modifiedWord>
      <trackRevisions>false</trackRevisions>
    </reviewItem>
    <reviewItem>
      <errorID>401e6cfc-8e61-4ca3-927d-d105984c79e0</errorID>
      <errorWord>&lt;</errorWord>
      <group>L1_Format</group>
      <groupName>格式问题</groupName>
      <ability>L2_HalfPunc_CN</ability>
      <abilityName>全半角问题</abilityName>
      <candidateList>
        <item>〈</item>
      </candidateList>
      <explain>文本全半角错误。</explain>
      <paraID>77935ACA</paraID>
      <start>49</start>
      <end>50</end>
      <status>modified</status>
      <modifiedWord>〈</modifiedWord>
      <trackRevisions>false</trackRevisions>
    </reviewItem>
    <reviewItem>
      <errorID>7a492bc2-94fb-4bcb-8a24-dcfc14b7dc35</errorID>
      <errorWord>&lt;</errorWord>
      <group>L1_Format</group>
      <groupName>格式问题</groupName>
      <ability>L2_HalfPunc_CN</ability>
      <abilityName>全半角问题</abilityName>
      <candidateList>
        <item>〈</item>
      </candidateList>
      <explain>文本全半角错误。</explain>
      <paraID>5091D6AF</paraID>
      <start>49</start>
      <end>50</end>
      <status>modified</status>
      <modifiedWord>〈</modifiedWord>
      <trackRevisions>false</trackRevisions>
    </reviewItem>
    <reviewItem>
      <errorID>eb9f57b7-6dcc-42f9-a678-b5aa82fbb8dc</errorID>
      <errorWord>或者</errorWord>
      <group>L1_Punc</group>
      <groupName>标点问题</groupName>
      <ability>L2_Punc_CN</ability>
      <abilityName>标点符号问题</abilityName>
      <candidateList>
        <item>，或者</item>
      </candidateList>
      <explain/>
      <paraID>24F837E8</paraID>
      <start>94</start>
      <end>97</end>
      <status>modified</status>
      <modifiedWord>，或者</modifiedWord>
      <trackRevisions>false</trackRevisions>
    </reviewItem>
    <reviewItem>
      <errorID>b5b690fa-9652-42d6-be7a-1a268c7531f6</errorID>
      <errorWord>合理性的或</errorWord>
      <group>L1_Word</group>
      <groupName>字词问题</groupName>
      <ability>L2_Typo</ability>
      <abilityName>字词错误</abilityName>
      <candidateList>
        <item>合理，或者</item>
      </candidateList>
      <explain/>
      <paraID>24F837E8</paraID>
      <start>108</start>
      <end>113</end>
      <status>modified</status>
      <modifiedWord>合理，或者</modifiedWord>
      <trackRevisions>false</trackRevisions>
    </reviewItem>
    <reviewItem>
      <errorID>73c38883-353a-42f9-b9d2-b6e74af6211f</errorID>
      <errorWord>说明书</errorWord>
      <group>L1_Word</group>
      <groupName>字词问题</groupName>
      <ability>L2_Typo</ability>
      <abilityName>字词错误</abilityName>
      <candidateList>
        <item>说明</item>
      </candidateList>
      <explain/>
      <paraID>24F837E8</paraID>
      <start>126</start>
      <end>128</end>
      <status>modified</status>
      <modifiedWord>说明</modifiedWord>
      <trackRevisions>false</trackRevisions>
    </reviewItem>
    <reviewItem>
      <errorID>d876c4b8-5f19-4301-b3ed-8200c2255941</errorID>
      <errorWord>作为</errorWord>
      <group>L1_Word</group>
      <groupName>字词问题</groupName>
      <ability>L2_Typo</ability>
      <abilityName>字词错误</abilityName>
      <candidateList>
        <item>作</item>
      </candidateList>
      <explain/>
      <paraID>24F837E8</paraID>
      <start>143</start>
      <end>144</end>
      <status>modified</status>
      <modifiedWord>作</modifiedWord>
      <trackRevisions>false</trackRevisions>
    </reviewItem>
    <reviewItem>
      <errorID>38a3997e-fbaf-4af0-8e3c-43b133852b22</errorID>
      <errorWord>。</errorWord>
      <group>L1_Punc</group>
      <groupName>标点问题</groupName>
      <ability>L2_Punc_CN</ability>
      <abilityName>标点符号问题</abilityName>
      <candidateList>
        <item/>
      </candidateList>
      <explain/>
      <paraID>2406D637</paraID>
      <start>18</start>
      <end>18</end>
      <status>modified</status>
      <modifiedWord/>
      <trackRevisions>false</trackRevisions>
    </reviewItem>
    <reviewItem>
      <errorID>d2de3463-d38b-4e46-a957-0f9c086be1fc</errorID>
      <errorWord> </errorWord>
      <group>L1_Punc</group>
      <groupName>标点问题</groupName>
      <ability>L2_Punc_CN</ability>
      <abilityName>标点符号问题</abilityName>
      <candidateList>
        <item/>
      </candidateList>
      <explain>此处空格冗余，建议删除。</explain>
      <paraID>673E0B44</paraID>
      <start>59</start>
      <end>59</end>
      <status>modified</status>
      <modifiedWord/>
      <trackRevisions>false</trackRevisions>
    </reviewItem>
    <reviewItem>
      <errorID>01202157-d65d-43b4-9c17-bf6ac803562d</errorID>
      <errorWord> </errorWord>
      <group>L1_Punc</group>
      <groupName>标点问题</groupName>
      <ability>L2_Punc_CN</ability>
      <abilityName>标点符号问题</abilityName>
      <candidateList>
        <item/>
      </candidateList>
      <explain>此处空格冗余，建议删除。</explain>
      <paraID>673E0B44</paraID>
      <start>76</start>
      <end>76</end>
      <status>modified</status>
      <modifiedWord/>
      <trackRevisions>false</trackRevisions>
    </reviewItem>
    <reviewItem>
      <errorID>57af35f0-b972-4c62-b33c-1626ee6515b3</errorID>
      <errorWord>采购的</errorWord>
      <group>L1_Word</group>
      <groupName>字词问题</groupName>
      <ability>L2_Typo</ability>
      <abilityName>字词错误</abilityName>
      <candidateList>
        <item>采购</item>
      </candidateList>
      <explain/>
      <paraID>3A51AA41</paraID>
      <start>16</start>
      <end>18</end>
      <status>modified</status>
      <modifiedWord>采购</modifiedWord>
      <trackRevisions>false</trackRevisions>
    </reviewItem>
    <reviewItem>
      <errorID>2541fdab-8997-4ff4-89e0-05ad2016c0f2</errorID>
      <errorWord>形式参加</errorWord>
      <group>L1_Grammar</group>
      <groupName>语法问题</groupName>
      <ability>L2_Grammar</ability>
      <abilityName>语法错误</abilityName>
      <candidateList>
        <item>形式</item>
      </candidateList>
      <explain/>
      <paraID>78516417</paraID>
      <start>43</start>
      <end>45</end>
      <status>modified</status>
      <modifiedWord>形式</modifiedWord>
      <trackRevisions>false</trackRevisions>
    </reviewItem>
    <reviewItem>
      <errorID>556dc03a-071a-4f20-ae53-0e4a574ba180</errorID>
      <errorWord>提供</errorWord>
      <group>L1_Word</group>
      <groupName>字词问题</groupName>
      <ability>L2_Typo</ability>
      <abilityName>字词错误</abilityName>
      <candidateList>
        <item>中提供</item>
      </candidateList>
      <explain/>
      <paraID>6395428F</paraID>
      <start>61</start>
      <end>64</end>
      <status>modified</status>
      <modifiedWord>中提供</modifiedWord>
      <trackRevisions>false</trackRevisions>
    </reviewItem>
    <reviewItem>
      <errorID>1bea8e5a-2496-43cf-aee7-6208c42f46f9</errorID>
      <errorWord>(</errorWord>
      <group>L1_Format</group>
      <groupName>格式问题</groupName>
      <ability>L2_HalfPunc_CN</ability>
      <abilityName>全半角问题</abilityName>
      <candidateList>
        <item>（</item>
      </candidateList>
      <explain>文本全半角错误。</explain>
      <paraID>2F332697</paraID>
      <start>8</start>
      <end>9</end>
      <status>modified</status>
      <modifiedWord>（</modifiedWord>
      <trackRevisions>false</trackRevisions>
    </reviewItem>
    <reviewItem>
      <errorID>203cd617-7597-406d-8186-3ad8e43129e6</errorID>
      <errorWord>)</errorWord>
      <group>L1_Format</group>
      <groupName>格式问题</groupName>
      <ability>L2_HalfPunc_CN</ability>
      <abilityName>全半角问题</abilityName>
      <candidateList>
        <item>）</item>
      </candidateList>
      <explain>文本全半角错误。</explain>
      <paraID>2F332697</paraID>
      <start>18</start>
      <end>19</end>
      <status>modified</status>
      <modifiedWord>）</modifiedWord>
      <trackRevisions>false</trackRevisions>
    </reviewItem>
    <reviewItem>
      <errorID>1d5f8e8f-c244-4603-82fb-d6ca9e36082c</errorID>
      <errorWord>期限内</errorWord>
      <group>L1_Word</group>
      <groupName>字词问题</groupName>
      <ability>L2_Typo</ability>
      <abilityName>字词错误</abilityName>
      <candidateList>
        <item>期限</item>
      </candidateList>
      <explain/>
      <paraID>6DC6B6BC</paraID>
      <start>167</start>
      <end>169</end>
      <status>modified</status>
      <modifiedWord>期限</modifiedWord>
      <trackRevisions>false</trackRevisions>
    </reviewItem>
    <reviewItem>
      <errorID>80b6d9fe-a22b-4e9b-8fee-e13d38087cd1</errorID>
      <errorWord>其它</errorWord>
      <group>L1_Word</group>
      <groupName>字词问题</groupName>
      <ability>L2_Alias</ability>
      <abilityName>也作/曾用词</abilityName>
      <candidateList>
        <item>其他</item>
      </candidateList>
      <explain>词汇[其它]为不规范表述或旧称，其规范书面表述为[其他]。</explain>
      <paraID>4C9951ED</paraID>
      <start>55</start>
      <end>57</end>
      <status>modified</status>
      <modifiedWord>其他</modifiedWord>
      <trackRevisions>false</trackRevisions>
    </reviewItem>
    <reviewItem>
      <errorID>a662797a-30af-467e-9d28-f6a705be2230</errorID>
      <errorWord>其它</errorWord>
      <group>L1_Word</group>
      <groupName>字词问题</groupName>
      <ability>L2_Alias</ability>
      <abilityName>也作/曾用词</abilityName>
      <candidateList>
        <item>其他</item>
      </candidateList>
      <explain>词汇[其它]为不规范表述或旧称，其规范书面表述为[其他]。</explain>
      <paraID>4C9951ED</paraID>
      <start>83</start>
      <end>85</end>
      <status>modified</status>
      <modifiedWord>其他</modifiedWord>
      <trackRevisions>false</trackRevisions>
    </reviewItem>
    <reviewItem>
      <errorID>d1628fad-f22e-44a3-885a-67045b3c3483</errorID>
      <errorWord>应当</errorWord>
      <group>L1_Word</group>
      <groupName>字词问题</groupName>
      <ability>L2_Typo</ability>
      <abilityName>字词错误</abilityName>
      <candidateList>
        <item>并</item>
      </candidateList>
      <explain/>
      <paraID>7E83013D</paraID>
      <start>36</start>
      <end>37</end>
      <status>modified</status>
      <modifiedWord>并</modifiedWord>
      <trackRevisions>false</trackRevisions>
    </reviewItem>
    <reviewItem>
      <errorID>3556a23f-a638-4121-a2ca-ddfc2262f8b3</errorID>
      <errorWord>、</errorWord>
      <group>L1_Punc</group>
      <groupName>标点问题</groupName>
      <ability>L2_Punc_CN</ability>
      <abilityName>标点符号问题</abilityName>
      <candidateList>
        <item>，</item>
      </candidateList>
      <explain/>
      <paraID>28563D8B</paraID>
      <start>68</start>
      <end>69</end>
      <status>modified</status>
      <modifiedWord>，</modifiedWord>
      <trackRevisions>false</trackRevisions>
    </reviewItem>
    <reviewItem>
      <errorID>bd21d6a2-bef0-4253-9db9-37863da68b7d</errorID>
      <errorWord>之日起</errorWord>
      <group>L1_Word</group>
      <groupName>字词问题</groupName>
      <ability>L2_Typo</ability>
      <abilityName>字词错误</abilityName>
      <candidateList>
        <item>之日</item>
      </candidateList>
      <explain/>
      <paraID> D418E24</paraID>
      <start>122</start>
      <end>125</end>
      <status>ignored</status>
      <modifiedWord/>
      <trackRevisions>false</trackRevisions>
    </reviewItem>
    <reviewItem>
      <errorID>fee9f7a7-8937-42f1-853d-dec9b81af161</errorID>
      <errorWord>响应</errorWord>
      <group>L1_Punc</group>
      <groupName>标点问题</groupName>
      <ability>L2_Punc_CN</ability>
      <abilityName>标点符号问题</abilityName>
      <candidateList>
        <item>、响应</item>
      </candidateList>
      <explain/>
      <paraID>4C9104EF</paraID>
      <start>46</start>
      <end>49</end>
      <status>modified</status>
      <modifiedWord>、响应</modifiedWord>
      <trackRevisions>false</trackRevisions>
    </reviewItem>
    <reviewItem>
      <errorID>18b43d55-40f6-4c52-bcc7-175cefb7515e</errorID>
      <errorWord>现场</errorWord>
      <group>L1_Grammar</group>
      <groupName>语法问题</groupName>
      <ability>L2_Grammar</ability>
      <abilityName>语法错误</abilityName>
      <candidateList>
        <item>进行现场</item>
      </candidateList>
      <explain/>
      <paraID>4C9104EF</paraID>
      <start>72</start>
      <end>76</end>
      <status>modified</status>
      <modifiedWord>进行现场</modifiedWord>
      <trackRevisions>false</trackRevisions>
    </reviewItem>
    <reviewItem>
      <errorID>79cc5cde-8978-4789-bdaa-5a0cb4557dca</errorID>
      <errorWord>或者</errorWord>
      <group>L1_Punc</group>
      <groupName>标点问题</groupName>
      <ability>L2_Punc_CN</ability>
      <abilityName>标点符号问题</abilityName>
      <candidateList>
        <item>，或者</item>
      </candidateList>
      <explain/>
      <paraID>1C421BA0</paraID>
      <start>125</start>
      <end>128</end>
      <status>modified</status>
      <modifiedWord>，或者</modifiedWord>
      <trackRevisions>false</trackRevisions>
    </reviewItem>
    <reviewItem>
      <errorID>5b883150-9252-42d0-8431-989b5346ff2d</errorID>
      <errorWord>作为无效处理</errorWord>
      <group>L1_Grammar</group>
      <groupName>语法问题</groupName>
      <ability>L2_Grammar</ability>
      <abilityName>语法错误</abilityName>
      <candidateList>
        <item>作废</item>
      </candidateList>
      <explain/>
      <paraID>1C421BA0</paraID>
      <start>140</start>
      <end>146</end>
      <status>ignored</status>
      <modifiedWord/>
      <trackRevisions>false</trackRevisions>
    </reviewItem>
    <reviewItem>
      <errorID>41ba6cb7-a04c-4fc9-adf0-b7de031b89e7</errorID>
      <errorWord>执行</errorWord>
      <group>L1_Word</group>
      <groupName>字词问题</groupName>
      <ability>L2_Typo</ability>
      <abilityName>字词错误</abilityName>
      <candidateList>
        <item>按照</item>
      </candidateList>
      <explain/>
      <paraID>486C9E97</paraID>
      <start>8</start>
      <end>10</end>
      <status>ignored</status>
      <modifiedWord/>
      <trackRevisions>false</trackRevisions>
    </reviewItem>
    <reviewItem>
      <errorID>c1cb089b-199f-4b2d-91a4-7be6761a869a</errorID>
      <errorWord>要求</errorWord>
      <group>L1_Word</group>
      <groupName>字词问题</groupName>
      <ability>L2_Typo</ability>
      <abilityName>字词错误</abilityName>
      <candidateList>
        <item>执行</item>
      </candidateList>
      <explain/>
      <paraID>486C9E97</paraID>
      <start>20</start>
      <end>22</end>
      <status>ignored</status>
      <modifiedWord/>
      <trackRevisions>false</trackRevisions>
    </reviewItem>
    <reviewItem>
      <errorID>0c605fa8-7543-41b9-9a14-c30498d4899a</errorID>
      <errorWord>由</errorWord>
      <group>L1_Grammar</group>
      <groupName>语法问题</groupName>
      <ability>L2_Grammar</ability>
      <abilityName>语法错误</abilityName>
      <candidateList>
        <item>内容，由</item>
      </candidateList>
      <explain/>
      <paraID>6FE39C57</paraID>
      <start>17</start>
      <end>21</end>
      <status>modified</status>
      <modifiedWord>内容，由</modifiedWord>
      <trackRevisions>false</trackRevisions>
    </reviewItem>
    <reviewItem>
      <errorID>e0989818-86e6-454f-83e0-3dde1a5b5e48</errorID>
      <errorWord>电子</errorWord>
      <group>L1_Grammar</group>
      <groupName>语法问题</groupName>
      <ability>L2_Grammar</ability>
      <abilityName>语法错误</abilityName>
      <candidateList>
        <item>进行电子</item>
      </candidateList>
      <explain/>
      <paraID>2EEA8E92</paraID>
      <start>39</start>
      <end>43</end>
      <status>modified</status>
      <modifiedWord>进行电子</modifiedWord>
      <trackRevisions>false</trackRevisions>
    </reviewItem>
    <reviewItem>
      <errorID>a6134633-9eab-4ece-886e-e9c493846fbd</errorID>
      <errorWord>：</errorWord>
      <group>L1_Punc</group>
      <groupName>标点问题</groupName>
      <ability>L2_Punc_CN</ability>
      <abilityName>标点符号问题</abilityName>
      <candidateList>
        <item>，</item>
      </candidateList>
      <explain/>
      <paraID>2EEA8E92</paraID>
      <start>50</start>
      <end>51</end>
      <status>modified</status>
      <modifiedWord>，</modifiedWord>
      <trackRevisions>false</trackRevisions>
    </reviewItem>
    <reviewItem>
      <errorID>9d25b460-64bb-4439-85ea-c07689659064</errorID>
      <errorWord>而导致</errorWord>
      <group>L1_Word</group>
      <groupName>字词问题</groupName>
      <ability>L2_Typo</ability>
      <abilityName>字词错误</abilityName>
      <candidateList>
        <item>，造成有</item>
      </candidateList>
      <explain/>
      <paraID>3F6A55B0</paraID>
      <start>32</start>
      <end>35</end>
      <status>ignored</status>
      <modifiedWord/>
      <trackRevisions>false</trackRevisions>
    </reviewItem>
    <reviewItem>
      <errorID>5c6e5b7a-06ad-44bc-960c-9465eb4f56a9</errorID>
      <errorWord>造成</errorWord>
      <group>L1_Word</group>
      <groupName>字词问题</groupName>
      <ability>L2_Typo</ability>
      <abilityName>字词错误</abilityName>
      <candidateList>
        <item>从而</item>
      </candidateList>
      <explain/>
      <paraID>3F6A55B0</paraID>
      <start>41</start>
      <end>43</end>
      <status>ignored</status>
      <modifiedWord/>
      <trackRevisions>false</trackRevisions>
    </reviewItem>
    <reviewItem>
      <errorID>cad6586a-ccd4-4238-9ed2-cc865caf0390</errorID>
      <errorWord>将</errorWord>
      <group>L1_Punc</group>
      <groupName>标点问题</groupName>
      <ability>L2_Punc_CN</ability>
      <abilityName>标点符号问题</abilityName>
      <candidateList>
        <item>，将</item>
      </candidateList>
      <explain/>
      <paraID>3F6A55B0</paraID>
      <start>58</start>
      <end>60</end>
      <status>modified</status>
      <modifiedWord>，将</modifiedWord>
      <trackRevisions>false</trackRevisions>
    </reviewItem>
    <reviewItem>
      <errorID>fcbe8454-fe45-42e6-8019-d91793b93b86</errorID>
      <errorWord>逾期</errorWord>
      <group>L1_Word</group>
      <groupName>字词问题</groupName>
      <ability>L2_Typo</ability>
      <abilityName>字词错误</abilityName>
      <candidateList>
        <item> 逾期</item>
      </candidateList>
      <explain/>
      <paraID> FBE07FA</paraID>
      <start>3</start>
      <end>6</end>
      <status>modified</status>
      <modifiedWord> 逾期</modifiedWord>
      <trackRevisions>false</trackRevisions>
    </reviewItem>
    <reviewItem>
      <errorID>6f59c5e7-f28a-4d59-99a1-836ac4ed1a33</errorID>
      <errorWord>3</errorWord>
      <group>L1_Word</group>
      <groupName>字词问题</groupName>
      <ability>L2_Typo</ability>
      <abilityName>字词错误</abilityName>
      <candidateList>
        <item>三</item>
      </candidateList>
      <explain/>
      <paraID>2ED27002</paraID>
      <start>16</start>
      <end>17</end>
      <status>ignored</status>
      <modifiedWord/>
      <trackRevisions>false</trackRevisions>
    </reviewItem>
    <reviewItem>
      <errorID>a937ae47-6f28-4f55-bb99-b5497348c204</errorID>
      <errorWord>或</errorWord>
      <group>L1_Punc</group>
      <groupName>标点问题</groupName>
      <ability>L2_Punc_CN</ability>
      <abilityName>标点符号问题</abilityName>
      <candidateList>
        <item>；或</item>
      </candidateList>
      <explain/>
      <paraID>17652020</paraID>
      <start>28</start>
      <end>30</end>
      <status>modified</status>
      <modifiedWord>；或</modifiedWord>
      <trackRevisions>false</trackRevisions>
    </reviewItem>
    <reviewItem>
      <errorID>81770aea-8f41-436e-b382-2beff7a3c2bc</errorID>
      <errorWord>采购</errorWord>
      <group>L1_Grammar</group>
      <groupName>语法问题</groupName>
      <ability>L2_Grammar</ability>
      <abilityName>语法错误</abilityName>
      <candidateList>
        <item> 在采购</item>
      </candidateList>
      <explain/>
      <paraID>53C67ABD</paraID>
      <start>2</start>
      <end>6</end>
      <status>modified</status>
      <modifiedWord> 在采购</modifiedWord>
      <trackRevisions>false</trackRevisions>
    </reviewItem>
    <reviewItem>
      <errorID>1e284892-9b35-4016-8525-51d75162cbd6</errorID>
      <errorWord>人</errorWord>
      <group>L1_Word</group>
      <groupName>字词问题</groupName>
      <ability>L2_Typo</ability>
      <abilityName>字词错误</abilityName>
      <candidateList>
        <item>人在</item>
      </candidateList>
      <explain/>
      <paraID>53C67ABD</paraID>
      <start>6</start>
      <end>8</end>
      <status>modified</status>
      <modifiedWord>人在</modifiedWord>
      <trackRevisions>false</trackRevisions>
    </reviewItem>
    <reviewItem>
      <errorID>17c4ea8b-6658-4637-9a74-4838e3125172</errorID>
      <errorWord>发现</errorWord>
      <group>L1_Word</group>
      <groupName>字词问题</groupName>
      <ability>L2_Typo</ability>
      <abilityName>字词错误</abilityName>
      <candidateList>
        <item> 发现</item>
      </candidateList>
      <explain/>
      <paraID>5CD691CA</paraID>
      <start>3</start>
      <end>6</end>
      <status>modified</status>
      <modifiedWord> 发现</modifiedWord>
      <trackRevisions>false</trackRevisions>
    </reviewItem>
    <reviewItem>
      <errorID>13edf34d-53c3-4f9f-bca8-c267d72d8c2b</errorID>
      <errorWord>成交</errorWord>
      <group>L1_Word</group>
      <groupName>字词问题</groupName>
      <ability>L2_Typo</ability>
      <abilityName>字词错误</abilityName>
      <candidateList>
        <item> 成交</item>
      </candidateList>
      <explain/>
      <paraID>3AF871F8</paraID>
      <start>3</start>
      <end>6</end>
      <status>modified</status>
      <modifiedWord> 成交</modifiedWord>
      <trackRevisions>false</trackRevisions>
    </reviewItem>
    <reviewItem>
      <errorID>0b22d5c2-51c0-4764-ac2d-58e9807aa180</errorID>
      <errorWord>成交</errorWord>
      <group>L1_Word</group>
      <groupName>字词问题</groupName>
      <ability>L2_Typo</ability>
      <abilityName>字词错误</abilityName>
      <candidateList>
        <item> 成交</item>
      </candidateList>
      <explain/>
      <paraID>5715B9EA</paraID>
      <start>3</start>
      <end>6</end>
      <status>modified</status>
      <modifiedWord> 成交</modifiedWord>
      <trackRevisions>false</trackRevisions>
    </reviewItem>
    <reviewItem>
      <errorID>c12d85e7-cc43-4048-953c-4ce8e6ca74d7</errorID>
      <errorWord>成交</errorWord>
      <group>L1_Word</group>
      <groupName>字词问题</groupName>
      <ability>L2_Typo</ability>
      <abilityName>字词错误</abilityName>
      <candidateList>
        <item> 成交</item>
      </candidateList>
      <explain/>
      <paraID> D68D8BC</paraID>
      <start>3</start>
      <end>6</end>
      <status>modified</status>
      <modifiedWord> 成交</modifiedWord>
      <trackRevisions>false</trackRevisions>
    </reviewItem>
    <reviewItem>
      <errorID>fb061ba2-c373-4986-aa55-d522335b7b69</errorID>
      <errorWord>成交</errorWord>
      <group>L1_Word</group>
      <groupName>字词问题</groupName>
      <ability>L2_Typo</ability>
      <abilityName>字词错误</abilityName>
      <candidateList>
        <item> 成交</item>
      </candidateList>
      <explain/>
      <paraID>1F6A8ABC</paraID>
      <start>3</start>
      <end>6</end>
      <status>modified</status>
      <modifiedWord> 成交</modifiedWord>
      <trackRevisions>false</trackRevisions>
    </reviewItem>
    <reviewItem>
      <errorID>3d2e71ae-49f3-4a90-96af-5b5ba01182ff</errorID>
      <errorWord>[2020]46号</errorWord>
      <group>L1_Knowledge</group>
      <groupName>知识性问题</groupName>
      <ability>L2_Knowledge</ability>
      <abilityName>其他知识</abilityName>
      <candidateList>
        <item>〔2020〕46号</item>
      </candidateList>
      <explain>发文字号格式错误。</explain>
      <paraID>1A3F0DB6</paraID>
      <start>31</start>
      <end>40</end>
      <status>modified</status>
      <modifiedWord>〔2020〕46号</modifiedWord>
      <trackRevisions>false</trackRevisions>
    </reviewItem>
    <reviewItem>
      <errorID>f1ddb363-ddbf-44e3-a871-59e4e7983153</errorID>
      <errorWord>合同副本自</errorWord>
      <group>L1_Grammar</group>
      <groupName>语法问题</groupName>
      <ability>L2_Grammar</ability>
      <abilityName>语法错误</abilityName>
      <candidateList>
        <item>合同</item>
      </candidateList>
      <explain/>
      <paraID> 65EDC56</paraID>
      <start>10</start>
      <end>15</end>
      <status>ignored</status>
      <modifiedWord/>
      <trackRevisions>false</trackRevisions>
    </reviewItem>
    <reviewItem>
      <errorID>5b77a385-6ed9-4275-846e-3a4d9770432e</errorID>
      <errorWord>举报的</errorWord>
      <group>L1_Word</group>
      <groupName>字词问题</groupName>
      <ability>L2_Typo</ability>
      <abilityName>字词错误</abilityName>
      <candidateList>
        <item>举报</item>
      </candidateList>
      <explain/>
      <paraID>7D6FE90C</paraID>
      <start>117</start>
      <end>119</end>
      <status>modified</status>
      <modifiedWord>举报</modifiedWord>
      <trackRevisions>false</trackRevisions>
    </reviewItem>
    <reviewItem>
      <errorID>bcdf0742-92dc-42ec-8759-1bc5b8e3e4db</errorID>
      <errorWord>、或</errorWord>
      <group>L1_Word</group>
      <groupName>字词问题</groupName>
      <ability>L2_Typo</ability>
      <abilityName>字词错误</abilityName>
      <candidateList>
        <item>或</item>
      </candidateList>
      <explain/>
      <paraID>42E4E228</paraID>
      <start>14</start>
      <end>15</end>
      <status>modified</status>
      <modifiedWord>或</modifiedWord>
      <trackRevisions>false</trackRevisions>
    </reviewItem>
    <reviewItem>
      <errorID>e1a5616d-11a3-4a39-a16c-86d2fb6c8905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823E092</paraID>
      <start>26</start>
      <end>27</end>
      <status>modified</status>
      <modifiedWord>—</modifiedWord>
      <trackRevisions>false</trackRevisions>
    </reviewItem>
    <reviewItem>
      <errorID>933cb7a5-494d-42f2-a74c-985cba7c3e06</errorID>
      <errorWord>同时将</errorWord>
      <group>L1_Grammar</group>
      <groupName>语法问题</groupName>
      <ability>L2_Grammar</ability>
      <abilityName>语法错误</abilityName>
      <candidateList>
        <item>将</item>
      </candidateList>
      <explain/>
      <paraID> 823E092</paraID>
      <start>38</start>
      <end>41</end>
      <status>ignored</status>
      <modifiedWord/>
      <trackRevisions>false</trackRevisions>
    </reviewItem>
    <reviewItem>
      <errorID>d8f5359f-a896-46a9-a2d5-5e9482f31833</errorID>
      <errorWord>被</errorWord>
      <group>L1_Word</group>
      <groupName>字词问题</groupName>
      <ability>L2_Typo</ability>
      <abilityName>字词错误</abilityName>
      <candidateList>
        <item>其被</item>
      </candidateList>
      <explain/>
      <paraID> 823E092</paraID>
      <start>43</start>
      <end>44</end>
      <status>ignored</status>
      <modifiedWord/>
      <trackRevisions>false</trackRevisions>
    </reviewItem>
    <reviewItem>
      <errorID>06799b50-c1ef-4c4e-aec3-e605078db976</errorID>
      <errorWord>》</errorWord>
      <group>L1_Word</group>
      <groupName>字词问题</groupName>
      <ability>L2_Typo</ability>
      <abilityName>字词错误</abilityName>
      <candidateList>
        <item>》和</item>
      </candidateList>
      <explain/>
      <paraID>731478CF</paraID>
      <start>140</start>
      <end>142</end>
      <status>modified</status>
      <modifiedWord>》和</modifiedWord>
      <trackRevisions>false</trackRevisions>
    </reviewItem>
    <reviewItem>
      <errorID>9103f6ff-1893-4ee1-9592-9a22c59458af</errorID>
      <errorWord>“</errorWord>
      <group>L1_Punc</group>
      <groupName>标点问题</groupName>
      <ability>L2_Punc_CN</ability>
      <abilityName>标点符号问题</abilityName>
      <candidateList>
        <item/>
      </candidateList>
      <explain/>
      <paraID>3D1FBF57</paraID>
      <start>69</start>
      <end>70</end>
      <status>ignored</status>
      <modifiedWord/>
      <trackRevisions>false</trackRevisions>
    </reviewItem>
    <reviewItem>
      <errorID>47cbd197-6eff-4a93-9432-8d0f3a913d96</errorID>
      <errorWord>”</errorWord>
      <group>L1_Punc</group>
      <groupName>标点问题</groupName>
      <ability>L2_Punc_CN</ability>
      <abilityName>标点符号问题</abilityName>
      <candidateList>
        <item/>
      </candidateList>
      <explain/>
      <paraID>3D1FBF57</paraID>
      <start>78</start>
      <end>79</end>
      <status>ignored</status>
      <modifiedWord/>
      <trackRevisions>false</trackRevisions>
    </reviewItem>
    <reviewItem>
      <errorID>5d845794-0545-4449-a9b3-b5f45613cbe9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3D1FBF57</paraID>
      <start>83</start>
      <end>87</end>
      <status>ignored</status>
      <modifiedWord/>
      <trackRevisions>false</trackRevisions>
    </reviewItem>
    <reviewItem>
      <errorID>4c05cd6d-a084-4dc4-bea1-98820be014c7</errorID>
      <errorWord>参加所</errorWord>
      <group>L1_Word</group>
      <groupName>字词问题</groupName>
      <ability>L2_Typo</ability>
      <abilityName>字词错误</abilityName>
      <candidateList>
        <item>参加</item>
      </candidateList>
      <explain/>
      <paraID>4C6A922A</paraID>
      <start>15</start>
      <end>17</end>
      <status>modified</status>
      <modifiedWord>参加</modifiedWord>
      <trackRevisions>false</trackRevisions>
    </reviewItem>
    <reviewItem>
      <errorID>d3790736-aeb6-4777-a770-50b12058a0e0</errorID>
      <errorWord>做出</errorWord>
      <group>L1_Word</group>
      <groupName>字词问题</groupName>
      <ability>L2_Typo</ability>
      <abilityName>字词错误</abilityName>
      <candidateList>
        <item>作出</item>
      </candidateList>
      <explain/>
      <paraID>67652E9A</paraID>
      <start>33</start>
      <end>35</end>
      <status>modified</status>
      <modifiedWord>作出</modifiedWord>
      <trackRevisions>false</trackRevisions>
    </reviewItem>
    <reviewItem>
      <errorID>b23ae8f6-ef0b-41d7-89c3-0afa15665d7a</errorID>
      <errorWord>做出</errorWord>
      <group>L1_Word</group>
      <groupName>字词问题</groupName>
      <ability>L2_Typo</ability>
      <abilityName>字词错误</abilityName>
      <candidateList>
        <item>作出</item>
      </candidateList>
      <explain/>
      <paraID>125494F7</paraID>
      <start>43</start>
      <end>45</end>
      <status>modified</status>
      <modifiedWord>作出</modifiedWord>
      <trackRevisions>false</trackRevisions>
    </reviewItem>
    <reviewItem>
      <errorID>b96110fe-18eb-430f-a5e6-24551f26348f</errorID>
      <errorWord>其  他</errorWord>
      <group>L1_Grammar</group>
      <groupName>语法问题</groupName>
      <ability>L2_Grammar</ability>
      <abilityName>语法错误</abilityName>
      <candidateList>
        <item>其他</item>
      </candidateList>
      <explain/>
      <paraID>2991F624</paraID>
      <start>0</start>
      <end>2</end>
      <status>modified</status>
      <modifiedWord>其他</modifiedWord>
      <trackRevisions>false</trackRevisions>
    </reviewItem>
    <reviewItem>
      <errorID>787dfa7b-9f4a-45f1-8593-ac60ff0fa4e0</errorID>
      <errorWord>[2020]123号</errorWord>
      <group>L1_Knowledge</group>
      <groupName>知识性问题</groupName>
      <ability>L2_Knowledge</ability>
      <abilityName>其他知识</abilityName>
      <candidateList>
        <item>〔2020〕123号</item>
      </candidateList>
      <explain>发文字号格式错误。</explain>
      <paraID>246068A7</paraID>
      <start>61</start>
      <end>71</end>
      <status>modified</status>
      <modifiedWord>〔2020〕123号</modifiedWord>
      <trackRevisions>false</trackRevisions>
    </reviewItem>
    <reviewItem>
      <errorID>66a7a95c-1f29-4e1b-a046-8069e797d045</errorID>
      <errorWord>,</errorWord>
      <group>L1_Format</group>
      <groupName>格式问题</groupName>
      <ability>L2_HalfPunc_CN</ability>
      <abilityName>全半角问题</abilityName>
      <candidateList>
        <item>，</item>
      </candidateList>
      <explain>文本全半角错误。</explain>
      <paraID>2F3BF3E1</paraID>
      <start>32</start>
      <end>33</end>
      <status>modified</status>
      <modifiedWord>，</modifiedWord>
      <trackRevisions>false</trackRevisions>
    </reviewItem>
    <reviewItem>
      <errorID>85ee4c24-9465-4956-84f2-d036b5be8fa7</errorID>
      <errorWord>,</errorWord>
      <group>L1_Punc</group>
      <groupName>标点问题</groupName>
      <ability>L2_Punc_CN</ability>
      <abilityName>标点符号问题</abilityName>
      <candidateList>
        <item>；</item>
      </candidateList>
      <explain/>
      <paraID>2F3BF3E1</paraID>
      <start>51</start>
      <end>52</end>
      <status>modified</status>
      <modifiedWord>；</modifiedWord>
      <trackRevisions>false</trackRevisions>
    </reviewItem>
    <reviewItem>
      <errorID>ba354339-0da9-475a-ae21-8bbbc3da31dd</errorID>
      <errorWord>进行</errorWord>
      <group>L1_Word</group>
      <groupName>字词问题</groupName>
      <ability>L2_Typo</ability>
      <abilityName>字词错误</abilityName>
      <candidateList>
        <item>给予</item>
      </candidateList>
      <explain/>
      <paraID>4922ED12</paraID>
      <start>88</start>
      <end>90</end>
      <status>ignored</status>
      <modifiedWord/>
      <trackRevisions>false</trackRevisions>
    </reviewItem>
    <reviewItem>
      <errorID>80877aa1-6c86-455e-bca7-be12ffa89c52</errorID>
      <errorWord>〔2017〕 141号</errorWord>
      <group>L1_Knowledge</group>
      <groupName>知识性问题</groupName>
      <ability>L2_Knowledge</ability>
      <abilityName>其他知识</abilityName>
      <candidateList>
        <item>〔2017〕141号</item>
      </candidateList>
      <explain>发文字号格式错误。</explain>
      <paraID>106778CB</paraID>
      <start>45</start>
      <end>55</end>
      <status>modified</status>
      <modifiedWord>〔2017〕141号</modifiedWord>
      <trackRevisions>false</trackRevisions>
    </reviewItem>
    <reviewItem>
      <errorID>6e004bd0-8197-4285-8c30-d3917bcf4ed5</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1F08D401</paraID>
      <start>32</start>
      <end>46</end>
      <status>modified</status>
      <modifiedWord>《中华人民共和国政府采购法》</modifiedWord>
      <trackRevisions>false</trackRevisions>
    </reviewItem>
    <reviewItem>
      <errorID>e1ff513e-eaa0-48b8-8afc-5e7d2a3d988a</errorID>
      <errorWord>本国</errorWord>
      <group>L1_Word</group>
      <groupName>字词问题</groupName>
      <ability>L2_Typo</ability>
      <abilityName>字词错误</abilityName>
      <candidateList>
        <item> 本国</item>
      </candidateList>
      <explain/>
      <paraID>3B376F41</paraID>
      <start>3</start>
      <end>6</end>
      <status>modified</status>
      <modifiedWord> 本国</modifiedWord>
      <trackRevisions>false</trackRevisions>
    </reviewItem>
    <reviewItem>
      <errorID>83d9f329-6598-4ff9-9e84-708229d84124</errorID>
      <errorWord>本国</errorWord>
      <group>L1_Word</group>
      <groupName>字词问题</groupName>
      <ability>L2_Typo</ability>
      <abilityName>字词错误</abilityName>
      <candidateList>
        <item> 本国</item>
      </candidateList>
      <explain/>
      <paraID>512448DE</paraID>
      <start>3</start>
      <end>6</end>
      <status>modified</status>
      <modifiedWord> 本国</modifiedWord>
      <trackRevisions>false</trackRevisions>
    </reviewItem>
    <reviewItem>
      <errorID>1d09ccf7-1fc3-461a-a9f7-70c8d98f3f24</errorID>
      <errorWord>对</errorWord>
      <group>L1_Word</group>
      <groupName>字词问题</groupName>
      <ability>L2_Typo</ability>
      <abilityName>字词错误</abilityName>
      <candidateList>
        <item> 对</item>
      </candidateList>
      <explain/>
      <paraID>636FFCDE</paraID>
      <start>3</start>
      <end>5</end>
      <status>modified</status>
      <modifiedWord> 对</modifiedWord>
      <trackRevisions>false</trackRevisions>
    </reviewItem>
    <reviewItem>
      <errorID>27e3954e-d214-48ae-9c9d-4f954063006d</errorID>
      <errorWord>“</errorWord>
      <group>L1_Punc</group>
      <groupName>标点问题</groupName>
      <ability>L2_Punc_CN</ability>
      <abilityName>标点符号问题</abilityName>
      <candidateList>
        <item/>
      </candidateList>
      <explain/>
      <paraID>6F9B4D28</paraID>
      <start>37</start>
      <end>38</end>
      <status>ignored</status>
      <modifiedWord/>
      <trackRevisions>false</trackRevisions>
    </reviewItem>
    <reviewItem>
      <errorID>97ed3241-1e3d-4a71-bc1f-bb0b73eb0f5d</errorID>
      <errorWord>”</errorWord>
      <group>L1_Punc</group>
      <groupName>标点问题</groupName>
      <ability>L2_Punc_CN</ability>
      <abilityName>标点符号问题</abilityName>
      <candidateList>
        <item/>
      </candidateList>
      <explain/>
      <paraID>6F9B4D28</paraID>
      <start>47</start>
      <end>48</end>
      <status>ignored</status>
      <modifiedWord/>
      <trackRevisions>false</trackRevisions>
    </reviewItem>
    <reviewItem>
      <errorID>7cc53177-a182-48df-a677-fd1e661173d9</errorID>
      <errorWord>响应</errorWord>
      <group>L1_Word</group>
      <groupName>字词问题</groupName>
      <ability>L2_Typo</ability>
      <abilityName>字词错误</abilityName>
      <candidateList>
        <item> 响应</item>
      </candidateList>
      <explain/>
      <paraID> A378D07</paraID>
      <start>5</start>
      <end>8</end>
      <status>modified</status>
      <modifiedWord> 响应</modifiedWord>
      <trackRevisions>false</trackRevisions>
    </reviewItem>
    <reviewItem>
      <errorID>2b45cd8d-3d63-4d02-81f5-73ee1a26dc47</errorID>
      <errorWord>在</errorWord>
      <group>L1_Word</group>
      <groupName>字词问题</groupName>
      <ability>L2_Typo</ability>
      <abilityName>字词错误</abilityName>
      <candidateList>
        <item> 在</item>
      </candidateList>
      <explain/>
      <paraID>20BBEE44</paraID>
      <start>5</start>
      <end>7</end>
      <status>modified</status>
      <modifiedWord> 在</modifiedWord>
      <trackRevisions>false</trackRevisions>
    </reviewItem>
    <reviewItem>
      <errorID>001e4a3b-cc31-44b8-acff-3dd30e587e4c</errorID>
      <errorWord>采购</errorWord>
      <group>L1_Word</group>
      <groupName>字词问题</groupName>
      <ability>L2_Typo</ability>
      <abilityName>字词错误</abilityName>
      <candidateList>
        <item> 采购</item>
      </candidateList>
      <explain/>
      <paraID>500CA9F1</paraID>
      <start>5</start>
      <end>8</end>
      <status>modified</status>
      <modifiedWord> 采购</modifiedWord>
      <trackRevisions>false</trackRevisions>
    </reviewItem>
    <reviewItem>
      <errorID>92ce36f9-3b81-49ba-893b-140a08e29404</errorID>
      <errorWord>供应商</errorWord>
      <group>L1_Word</group>
      <groupName>字词问题</groupName>
      <ability>L2_Typo</ability>
      <abilityName>字词错误</abilityName>
      <candidateList>
        <item> 供应商</item>
      </candidateList>
      <explain/>
      <paraID>325EA4E7</paraID>
      <start>5</start>
      <end>9</end>
      <status>modified</status>
      <modifiedWord> 供应商</modifiedWord>
      <trackRevisions>false</trackRevisions>
    </reviewItem>
    <reviewItem>
      <errorID>673dce8a-9740-47ea-90b8-fb6ffa8ba5c5</errorID>
      <errorWord>：</errorWord>
      <group>L1_Punc</group>
      <groupName>标点问题</groupName>
      <ability>L2_Punc_CN</ability>
      <abilityName>标点符号问题</abilityName>
      <candidateList>
        <item>:</item>
      </candidateList>
      <explain/>
      <paraID>573D32AD</paraID>
      <start>19</start>
      <end>20</end>
      <status>modified</status>
      <modifiedWord>:</modifiedWord>
      <trackRevisions>false</trackRevisions>
    </reviewItem>
    <reviewItem>
      <errorID>f1c59433-152a-4792-a932-c22834cd0a47</errorID>
      <errorWord>在</errorWord>
      <group>L1_Word</group>
      <groupName>字词问题</groupName>
      <ability>L2_Typo</ability>
      <abilityName>字词错误</abilityName>
      <candidateList>
        <item> 在</item>
      </candidateList>
      <explain/>
      <paraID> AB4B154</paraID>
      <start>5</start>
      <end>7</end>
      <status>modified</status>
      <modifiedWord> 在</modifiedWord>
      <trackRevisions>false</trackRevisions>
    </reviewItem>
    <reviewItem>
      <errorID>2fd7d375-54f5-4d6d-8c08-b9425879c148</errorID>
      <errorWord>修改</errorWord>
      <group>L1_Word</group>
      <groupName>字词问题</groupName>
      <ability>L2_Typo</ability>
      <abilityName>字词错误</abilityName>
      <candidateList>
        <item> 修改</item>
      </candidateList>
      <explain/>
      <paraID>66652E93</paraID>
      <start>5</start>
      <end>8</end>
      <status>modified</status>
      <modifiedWord> 修改</modifiedWord>
      <trackRevisions>false</trackRevisions>
    </reviewItem>
    <reviewItem>
      <errorID>c382471d-18df-4133-8ff5-55f4098ece01</errorID>
      <errorWord>！</errorWord>
      <group>L1_Punc</group>
      <groupName>标点问题</groupName>
      <ability>L2_Punc_CN</ability>
      <abilityName>标点符号问题</abilityName>
      <candidateList>
        <item>。</item>
      </candidateList>
      <explain/>
      <paraID>125A5BB9</paraID>
      <start>44</start>
      <end>45</end>
      <status>ignored</status>
      <modifiedWord/>
      <trackRevisions>false</trackRevisions>
    </reviewItem>
    <reviewItem>
      <errorID>85485c20-84c6-4948-80a2-bc77f081bb9b</errorID>
      <errorWord>本</errorWord>
      <group>L1_Word</group>
      <groupName>字词问题</groupName>
      <ability>L2_Typo</ability>
      <abilityName>字词错误</abilityName>
      <candidateList>
        <item> 本</item>
      </candidateList>
      <explain/>
      <paraID>13404C75</paraID>
      <start>3</start>
      <end>5</end>
      <status>modified</status>
      <modifiedWord> 本</modifiedWord>
      <trackRevisions>false</trackRevisions>
    </reviewItem>
    <reviewItem>
      <errorID>2b1bd04d-a6ad-4f6a-bd5f-dec448ac8c10</errorID>
      <errorWord>引</errorWord>
      <group>L1_Grammar</group>
      <groupName>语法问题</groupName>
      <ability>L2_Grammar</ability>
      <abilityName>语法错误</abilityName>
      <candidateList>
        <item>引用的</item>
      </candidateList>
      <explain/>
      <paraID>13404C75</paraID>
      <start>11</start>
      <end>14</end>
      <status>modified</status>
      <modifiedWord>引用的</modifiedWord>
      <trackRevisions>false</trackRevisions>
    </reviewItem>
    <reviewItem>
      <errorID>12e7615d-000d-43f0-aa0c-9fba0e779546</errorID>
      <errorWord>做</errorWord>
      <group>L1_Word</group>
      <groupName>字词问题</groupName>
      <ability>L2_Typo</ability>
      <abilityName>字词错误</abilityName>
      <candidateList>
        <item>作</item>
      </candidateList>
      <explain>存在发音相同字词的误用。</explain>
      <paraID>13404C75</paraID>
      <start>132</start>
      <end>133</end>
      <status>modified</status>
      <modifiedWord>作</modifiedWord>
      <trackRevisions>false</trackRevisions>
    </reviewItem>
    <reviewItem>
      <errorID>f2e40a98-02b5-4766-8c5e-0211d0a5e6cc</errorID>
      <errorWord>中小企业划型标准规定</errorWord>
      <group>L1_Punc</group>
      <groupName>标点问题</groupName>
      <ability>L2_Punc_CN</ability>
      <abilityName>标点符号问题</abilityName>
      <candidateList>
        <item>《中小企业划型标准规定》</item>
      </candidateList>
      <explain/>
      <paraID>3340597A</paraID>
      <start>2</start>
      <end>14</end>
      <status>modified</status>
      <modifiedWord>《中小企业划型标准规定》</modifiedWord>
      <trackRevisions>false</trackRevisions>
    </reviewItem>
    <reviewItem>
      <errorID>e9b1337a-b8eb-48d0-998a-0d5be0c83aba</errorID>
      <errorWord>该</errorWord>
      <group>L1_Punc</group>
      <groupName>标点问题</groupName>
      <ability>L2_Punc_CN</ability>
      <abilityName>标点符号问题</abilityName>
      <candidateList>
        <item>，该</item>
      </candidateList>
      <explain/>
      <paraID>3340597A</paraID>
      <start>32</start>
      <end>34</end>
      <status>modified</status>
      <modifiedWord>，该</modifiedWord>
      <trackRevisions>false</trackRevisions>
    </reviewItem>
    <reviewItem>
      <errorID>5cf7a401-1ba6-4422-ac4c-4058243dab31</errorID>
      <errorWord>内呼</errorWord>
      <group>L1_Word</group>
      <groupName>字词问题</groupName>
      <ability>L2_Typo</ability>
      <abilityName>字词错误</abilityName>
      <candidateList>
        <item>内容</item>
      </candidateList>
      <explain/>
      <paraID>4EEB7AF1</paraID>
      <start>8</start>
      <end>10</end>
      <status>ignored</status>
      <modifiedWord/>
      <trackRevisions>false</trackRevisions>
    </reviewItem>
    <reviewItem>
      <errorID>d8b7065f-cce4-4f62-b045-e45af0f19f12</errorID>
      <errorWord>(</errorWord>
      <group>L1_Format</group>
      <groupName>格式问题</groupName>
      <ability>L2_HalfPunc_CN</ability>
      <abilityName>全半角问题</abilityName>
      <candidateList>
        <item>（</item>
      </candidateList>
      <explain>文本全半角错误。</explain>
      <paraID>3D0EC937</paraID>
      <start>5</start>
      <end>6</end>
      <status>modified</status>
      <modifiedWord>（</modifiedWord>
      <trackRevisions>false</trackRevisions>
    </reviewItem>
    <reviewItem>
      <errorID>66f89ba0-56d5-4f1c-b84b-425eb74539ca</errorID>
      <errorWord>）</errorWord>
      <group>L1_Punc</group>
      <groupName>标点问题</groupName>
      <ability>L2_Punc_CN</ability>
      <abilityName>标点符号问题</abilityName>
      <candidateList>
        <item/>
      </candidateList>
      <explain/>
      <paraID>3D0EC937</paraID>
      <start>22</start>
      <end>22</end>
      <status>modified</status>
      <modifiedWord/>
      <trackRevisions>false</trackRevisions>
    </reviewItem>
    <reviewItem>
      <errorID>d4101ffc-ab29-41c1-b514-cc5b0ad817d9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3D0EC937</paraID>
      <start>22</start>
      <end>23</end>
      <status>ignored</status>
      <modifiedWord/>
      <trackRevisions>false</trackRevisions>
    </reviewItem>
    <reviewItem>
      <errorID>22abdc68-faa9-43f7-ad73-b69b9fb12b17</errorID>
      <errorWord>(</errorWord>
      <group>L1_Format</group>
      <groupName>格式问题</groupName>
      <ability>L2_HalfPunc_CN</ability>
      <abilityName>全半角问题</abilityName>
      <candidateList>
        <item>（</item>
      </candidateList>
      <explain>文本全半角错误。</explain>
      <paraID>3802D74F</paraID>
      <start>5</start>
      <end>6</end>
      <status>modified</status>
      <modifiedWord>（</modifiedWord>
      <trackRevisions>false</trackRevisions>
    </reviewItem>
    <reviewItem>
      <errorID>655bdd76-7682-4bec-8d96-e8e4bb308a64</errorID>
      <errorWord>T10060</errorWord>
      <group>L1_Grammar</group>
      <groupName>语法问题</groupName>
      <ability>L2_Grammar</ability>
      <abilityName>语法错误</abilityName>
      <candidateList>
        <item>T</item>
      </candidateList>
      <explain/>
      <paraID>65FE7738</paraID>
      <start>52</start>
      <end>58</end>
      <status>ignored</status>
      <modifiedWord/>
      <trackRevisions>false</trackRevisions>
    </reviewItem>
    <reviewItem>
      <errorID>a879cbb4-f2ba-4923-83b8-be0280f39477</errorID>
      <errorWord>2023</errorWord>
      <group>L1_Grammar</group>
      <groupName>语法问题</groupName>
      <ability>L2_Grammar</ability>
      <abilityName>语法错误</abilityName>
      <candidateList>
        <item>10060—2023</item>
      </candidateList>
      <explain/>
      <paraID>65FE7738</paraID>
      <start>59</start>
      <end>63</end>
      <status>ignored</status>
      <modifiedWord/>
      <trackRevisions>false</trackRevisions>
    </reviewItem>
    <reviewItem>
      <errorID>e9fdba5c-548e-4024-8c8e-5fe899a09e71</errorID>
      <errorWord>T10060</errorWord>
      <group>L1_Grammar</group>
      <groupName>语法问题</groupName>
      <ability>L2_Grammar</ability>
      <abilityName>语法错误</abilityName>
      <candidateList>
        <item>T</item>
      </candidateList>
      <explain/>
      <paraID>7FCA73D3</paraID>
      <start>41</start>
      <end>47</end>
      <status>ignored</status>
      <modifiedWord/>
      <trackRevisions>false</trackRevisions>
    </reviewItem>
    <reviewItem>
      <errorID>24a350b4-01c2-4275-8e00-0753361f3a05</errorID>
      <errorWord>2023</errorWord>
      <group>L1_Grammar</group>
      <groupName>语法问题</groupName>
      <ability>L2_Grammar</ability>
      <abilityName>语法错误</abilityName>
      <candidateList>
        <item>10060—2023</item>
      </candidateList>
      <explain/>
      <paraID>7FCA73D3</paraID>
      <start>48</start>
      <end>52</end>
      <status>ignored</status>
      <modifiedWord/>
      <trackRevisions>false</trackRevisions>
    </reviewItem>
    <reviewItem>
      <errorID>1def6432-a99d-47ca-b36b-78385fd4488b</errorID>
      <errorWord>常备</errorWord>
      <group>L1_Word</group>
      <groupName>字词问题</groupName>
      <ability>L2_Typo</ability>
      <abilityName>字词错误</abilityName>
      <candidateList>
        <item>备</item>
      </candidateList>
      <explain/>
      <paraID>3D72E55C</paraID>
      <start>7</start>
      <end>9</end>
      <status>ignored</status>
      <modifiedWord/>
      <trackRevisions>false</trackRevisions>
    </reviewItem>
    <reviewItem>
      <errorID>c286b6fb-f6ce-4713-a2fe-0dc8ca6f796f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99B353B</paraID>
      <start>54</start>
      <end>55</end>
      <status>ignored</status>
      <modifiedWord/>
      <trackRevisions>false</trackRevisions>
    </reviewItem>
    <reviewItem>
      <errorID>13b54762-264b-43c3-a8df-e2c73a6787ba</errorID>
      <errorWord>(</errorWord>
      <group>L1_Format</group>
      <groupName>格式问题</groupName>
      <ability>L2_HalfPunc_CN</ability>
      <abilityName>全半角问题</abilityName>
      <candidateList>
        <item>（</item>
      </candidateList>
      <explain>文本全半角错误。</explain>
      <paraID>2ECDBFEF</paraID>
      <start>21</start>
      <end>22</end>
      <status>modified</status>
      <modifiedWord>（</modifiedWord>
      <trackRevisions>false</trackRevisions>
    </reviewItem>
    <reviewItem>
      <errorID>50bce8db-6e0f-47c3-8516-82ee2083bcbc</errorID>
      <errorWord>(</errorWord>
      <group>L1_Format</group>
      <groupName>格式问题</groupName>
      <ability>L2_HalfPunc_CN</ability>
      <abilityName>全半角问题</abilityName>
      <candidateList>
        <item>（</item>
      </candidateList>
      <explain>文本全半角错误。</explain>
      <paraID>2129721C</paraID>
      <start>9</start>
      <end>10</end>
      <status>modified</status>
      <modifiedWord>（</modifiedWord>
      <trackRevisions>false</trackRevisions>
    </reviewItem>
    <reviewItem>
      <errorID>a15f5dc1-d4ff-425e-b1a7-ac651cd9220f</errorID>
      <errorWord>)</errorWord>
      <group>L1_Format</group>
      <groupName>格式问题</groupName>
      <ability>L2_HalfPunc_CN</ability>
      <abilityName>全半角问题</abilityName>
      <candidateList>
        <item>）</item>
      </candidateList>
      <explain>文本全半角错误。</explain>
      <paraID>2129721C</paraID>
      <start>44</start>
      <end>45</end>
      <status>modified</status>
      <modifiedWord>）</modifiedWord>
      <trackRevisions>false</trackRevisions>
    </reviewItem>
    <reviewItem>
      <errorID>df1879a2-2e71-48a4-9952-7d3ef967392f</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49CEFBB7</paraID>
      <start>16</start>
      <end>32</end>
      <status>modified</status>
      <modifiedWord>中华人民共和国政府采购法实施条例</modifiedWord>
      <trackRevisions>false</trackRevisions>
    </reviewItem>
    <reviewItem>
      <errorID>db8bb571-efab-4a2d-96df-da096a79218b</errorID>
      <errorWord>）</errorWord>
      <group>L1_Word</group>
      <groupName>字词问题</groupName>
      <ability>L2_Typo</ability>
      <abilityName>字词错误</abilityName>
      <candidateList>
        <item>）和</item>
      </candidateList>
      <explain/>
      <paraID>451DF89A</paraID>
      <start>43</start>
      <end>45</end>
      <status>modified</status>
      <modifiedWord>）和</modifiedWord>
      <trackRevisions>false</trackRevisions>
    </reviewItem>
    <reviewItem>
      <errorID>4101ccec-ccc0-4589-a007-e44b3f4448e1</errorID>
      <errorWord>:</errorWord>
      <group>L1_Format</group>
      <groupName>格式问题</groupName>
      <ability>L2_HalfPunc_CN</ability>
      <abilityName>全半角问题</abilityName>
      <candidateList>
        <item>：</item>
      </candidateList>
      <explain>文本全半角错误。</explain>
      <paraID>71EAD13D</paraID>
      <start>8</start>
      <end>9</end>
      <status>modified</status>
      <modifiedWord>：</modifiedWord>
      <trackRevisions>false</trackRevisions>
    </reviewItem>
    <reviewItem>
      <errorID>fbe413f2-a6cb-43d2-b2c9-fdc38fadcddb</errorID>
      <errorWord>。】</errorWord>
      <group>L1_Punc</group>
      <groupName>标点问题</groupName>
      <ability>L2_Punc_CN</ability>
      <abilityName>标点符号问题</abilityName>
      <candidateList>
        <item>】</item>
      </candidateList>
      <explain/>
      <paraID>6CE13010</paraID>
      <start>182</start>
      <end>183</end>
      <status>modified</status>
      <modifiedWord>】</modifiedWord>
      <trackRevisions>false</trackRevisions>
    </reviewItem>
    <reviewItem>
      <errorID>500ac690-5b3b-4a8e-8fc7-aea5f3ec87d7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5823AB8</paraID>
      <start>0</start>
      <end>2</end>
      <status>modified</status>
      <modifiedWord>1.</modifiedWord>
      <trackRevisions>false</trackRevisions>
    </reviewItem>
    <reviewItem>
      <errorID>092f2464-1214-4807-b748-c11f11a0643b</errorID>
      <errorWord>所必须的</errorWord>
      <group>L1_Word</group>
      <groupName>字词问题</groupName>
      <ability>L2_Typo</ability>
      <abilityName>字词错误</abilityName>
      <candidateList>
        <item>所必需的</item>
      </candidateList>
      <explain/>
      <paraID>6B2B41C5</paraID>
      <start>9</start>
      <end>13</end>
      <status>ignored</status>
      <modifiedWord/>
      <trackRevisions>false</trackRevisions>
    </reviewItem>
    <reviewItem>
      <errorID>63d04737-7f72-4100-986b-f583afc6ea5c</errorID>
      <errorWord>所必须的</errorWord>
      <group>L1_Word</group>
      <groupName>字词问题</groupName>
      <ability>L2_Typo</ability>
      <abilityName>字词错误</abilityName>
      <candidateList>
        <item>所必需的</item>
      </candidateList>
      <explain/>
      <paraID>4DDB5854</paraID>
      <start>11</start>
      <end>15</end>
      <status>ignored</status>
      <modifiedWord/>
      <trackRevisions>false</trackRevisions>
    </reviewItem>
    <reviewItem>
      <errorID>831317ef-680a-49ff-a353-a19a3839b87d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262D7BBA</paraID>
      <start>7</start>
      <end>10</end>
      <status>ignored</status>
      <modifiedWord/>
      <trackRevisions>false</trackRevisions>
    </reviewItem>
    <reviewItem>
      <errorID>3ab0f98a-5741-44b1-99b9-07ca2d3403be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259C1F7C</paraID>
      <start>0</start>
      <end>2</end>
      <status>modified</status>
      <modifiedWord>1.</modifiedWord>
      <trackRevisions>false</trackRevisions>
    </reviewItem>
    <reviewItem>
      <errorID>84d29f2c-5c7e-44b2-b159-01439051fe0b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22536411</paraID>
      <start>0</start>
      <end>2</end>
      <status>modified</status>
      <modifiedWord>2.</modifiedWord>
      <trackRevisions>false</trackRevisions>
    </reviewItem>
    <reviewItem>
      <errorID>8a7c1dad-34cf-4783-be2d-6a7c79cb2bb7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77594BE7</paraID>
      <start>0</start>
      <end>2</end>
      <status>modified</status>
      <modifiedWord>3.</modifiedWord>
      <trackRevisions>false</trackRevisions>
    </reviewItem>
    <reviewItem>
      <errorID>13e804db-8231-4489-a4c8-f23107461197</errorID>
      <errorWord>&lt;</errorWord>
      <group>L1_Format</group>
      <groupName>格式问题</groupName>
      <ability>L2_HalfPunc_CN</ability>
      <abilityName>全半角问题</abilityName>
      <candidateList>
        <item>〈</item>
      </candidateList>
      <explain>文本全半角错误。</explain>
      <paraID> DB46653</paraID>
      <start>47</start>
      <end>48</end>
      <status>modified</status>
      <modifiedWord>〈</modifiedWord>
      <trackRevisions>false</trackRevisions>
    </reviewItem>
    <reviewItem>
      <errorID>b6b336c9-f5e1-4eaa-9dd5-0aa00be67b6d</errorID>
      <errorWord>&lt;</errorWord>
      <group>L1_Format</group>
      <groupName>格式问题</groupName>
      <ability>L2_HalfPunc_CN</ability>
      <abilityName>全半角问题</abilityName>
      <candidateList>
        <item>〈</item>
      </candidateList>
      <explain>文本全半角错误。</explain>
      <paraID> C6D1247</paraID>
      <start>47</start>
      <end>48</end>
      <status>modified</status>
      <modifiedWord>〈</modifiedWord>
      <trackRevisions>false</trackRevisions>
    </reviewItem>
    <reviewItem>
      <errorID>b235fa5c-93bf-4f11-82da-ed96cef4ff10</errorID>
      <errorWord>&lt;</errorWord>
      <group>L1_Format</group>
      <groupName>格式问题</groupName>
      <ability>L2_HalfPunc_CN</ability>
      <abilityName>全半角问题</abilityName>
      <candidateList>
        <item>〈</item>
      </candidateList>
      <explain>文本全半角错误。</explain>
      <paraID>6AD70284</paraID>
      <start>32</start>
      <end>33</end>
      <status>modified</status>
      <modifiedWord>〈</modifiedWord>
      <trackRevisions>false</trackRevisions>
    </reviewItem>
    <reviewItem>
      <errorID>cd5e8513-38f2-4e46-87f9-5d84945ac470</errorID>
      <errorWord>当</errorWord>
      <group>L1_Word</group>
      <groupName>字词问题</groupName>
      <ability>L2_Typo</ability>
      <abilityName>字词错误</abilityName>
      <candidateList>
        <item>当在</item>
      </candidateList>
      <explain/>
      <paraID>6163F734</paraID>
      <start>32</start>
      <end>34</end>
      <status>modified</status>
      <modifiedWord>当在</modifiedWord>
      <trackRevisions>false</trackRevisions>
    </reviewItem>
    <reviewItem>
      <errorID>f2086479-ebdd-4f37-80e1-dd4cf7ffb511</errorID>
      <errorWord>有</errorWord>
      <group>L1_Word</group>
      <groupName>字词问题</groupName>
      <ability>L2_Typo</ability>
      <abilityName>字词错误</abilityName>
      <candidateList>
        <item>由</item>
      </candidateList>
      <explain/>
      <paraID>6BB1AFAC</paraID>
      <start>38</start>
      <end>39</end>
      <status>modified</status>
      <modifiedWord>由</modifiedWord>
      <trackRevisions>false</trackRevisions>
    </reviewItem>
    <reviewItem>
      <errorID>12c66653-ed86-4825-a024-3a3ac2a11a05</errorID>
      <errorWord>(</errorWord>
      <group>L1_Format</group>
      <groupName>格式问题</groupName>
      <ability>L2_HalfPunc_CN</ability>
      <abilityName>全半角问题</abilityName>
      <candidateList>
        <item>（</item>
      </candidateList>
      <explain>文本全半角错误。</explain>
      <paraID>47333A77</paraID>
      <start>22</start>
      <end>23</end>
      <status>modified</status>
      <modifiedWord>（</modifiedWord>
      <trackRevisions>false</trackRevisions>
    </reviewItem>
    <reviewItem>
      <errorID>c468da50-7ed3-4590-a37d-ed4c831a7797</errorID>
      <errorWord>)</errorWord>
      <group>L1_Format</group>
      <groupName>格式问题</groupName>
      <ability>L2_HalfPunc_CN</ability>
      <abilityName>全半角问题</abilityName>
      <candidateList>
        <item>）</item>
      </candidateList>
      <explain>文本全半角错误。</explain>
      <paraID>47333A77</paraID>
      <start>32</start>
      <end>33</end>
      <status>modified</status>
      <modifiedWord>）</modifiedWord>
      <trackRevisions>false</trackRevisions>
    </reviewItem>
    <reviewItem>
      <errorID>8126e6fd-6663-4e7e-b47e-fcedb644ef3f</errorID>
      <errorWord>所必须的</errorWord>
      <group>L1_Word</group>
      <groupName>字词问题</groupName>
      <ability>L2_Typo</ability>
      <abilityName>字词错误</abilityName>
      <candidateList>
        <item>所必需的</item>
      </candidateList>
      <explain/>
      <paraID>7E65EBD6</paraID>
      <start>12</start>
      <end>16</end>
      <status>ignored</status>
      <modifiedWord/>
      <trackRevisions>false</trackRevisions>
    </reviewItem>
    <reviewItem>
      <errorID>10472b5c-b7f7-4952-8a70-3056245d9c31</errorID>
      <errorWord>其它</errorWord>
      <group>L1_Word</group>
      <groupName>字词问题</groupName>
      <ability>L2_Alias</ability>
      <abilityName>也作/曾用词</abilityName>
      <candidateList>
        <item>其他</item>
      </candidateList>
      <explain>词汇[其它]为不规范表述或旧称，其规范书面表述为[其他]。</explain>
      <paraID>46CA8546</paraID>
      <start>7</start>
      <end>9</end>
      <status>ignored</status>
      <modifiedWord/>
      <trackRevisions>false</trackRevisions>
    </reviewItem>
    <reviewItem>
      <errorID>41be85d7-fda6-4a36-a624-b370341a06be</errorID>
      <errorWord>:</errorWord>
      <group>L1_Format</group>
      <groupName>格式问题</groupName>
      <ability>L2_HalfPunc_CN</ability>
      <abilityName>全半角问题</abilityName>
      <candidateList>
        <item>：</item>
      </candidateList>
      <explain>文本全半角错误。</explain>
      <paraID>27EE22A9</paraID>
      <start>6</start>
      <end>7</end>
      <status>modified</status>
      <modifiedWord>：</modifiedWord>
      <trackRevisions>false</trackRevisions>
    </reviewItem>
    <reviewItem>
      <errorID>fd88eeed-f42b-4e1d-a90e-e0bded36277d</errorID>
      <errorWord>外挂</errorWord>
      <group>L1_Sensitive</group>
      <groupName>敏感问题</groupName>
      <ability>L2_Prohibited</ability>
      <abilityName>违禁内容</abilityName>
      <candidateList/>
      <explain>【违禁内容】句中涉及国家法律明令禁止的违禁内容，请注意甄别。</explain>
      <paraID>1478D317</paraID>
      <start>3</start>
      <end>5</end>
      <status>ignored</status>
      <modifiedWord/>
      <trackRevisions>false</trackRevisions>
    </reviewItem>
    <reviewItem>
      <errorID>07dee688-562e-47b9-bf76-22adf679cfa6</errorID>
      <errorWord>,</errorWord>
      <group>L1_Format</group>
      <groupName>格式问题</groupName>
      <ability>L2_HalfPunc_CN</ability>
      <abilityName>全半角问题</abilityName>
      <candidateList>
        <item>，</item>
      </candidateList>
      <explain>文本全半角错误。</explain>
      <paraID>5CC82E57</paraID>
      <start>16</start>
      <end>17</end>
      <status>modified</status>
      <modifiedWord>，</modifiedWord>
      <trackRevisions>false</trackRevisions>
    </reviewItem>
    <reviewItem>
      <errorID>154eda94-8d20-4803-8576-2e33ea085051</errorID>
      <errorWord>（</errorWord>
      <group>L1_Punc</group>
      <groupName>标点问题</groupName>
      <ability>L2_Punc_CN</ability>
      <abilityName>标点符号问题</abilityName>
      <candidateList/>
      <explain>同一形式括号套用。</explain>
      <paraID>6CD36B2D</paraID>
      <start>45</start>
      <end>46</end>
      <status>ignored</status>
      <modifiedWord/>
      <trackRevisions>false</trackRevisions>
    </reviewItem>
    <reviewItem>
      <errorID>17af6ee5-39e2-4db6-8980-7852edfc5ab4</errorID>
      <errorWord>）</errorWord>
      <group>L1_Punc</group>
      <groupName>标点问题</groupName>
      <ability>L2_Punc_CN</ability>
      <abilityName>标点符号问题</abilityName>
      <candidateList/>
      <explain>同一形式括号套用。</explain>
      <paraID>6CD36B2D</paraID>
      <start>47</start>
      <end>48</end>
      <status>ignored</status>
      <modifiedWord/>
      <trackRevisions>false</trackRevisions>
    </reviewItem>
    <reviewItem>
      <errorID>20f266a7-90ea-4781-84de-443b5c28bbe3</errorID>
      <errorWord>１</errorWord>
      <group>L1_Format</group>
      <groupName>格式问题</groupName>
      <ability>L2_HalfPunc_CN</ability>
      <abilityName>全半角问题</abilityName>
      <candidateList>
        <item>1</item>
      </candidateList>
      <explain>文本全半角错误。</explain>
      <paraID>6CD36B2D</paraID>
      <start>53</start>
      <end>54</end>
      <status>modified</status>
      <modifiedWord>1</modifiedWord>
      <trackRevisions>false</trackRevisions>
    </reviewItem>
    <reviewItem>
      <errorID>647a2c8a-5630-497f-ba4a-c53e8a5c1cc7</errorID>
      <errorWord>（</errorWord>
      <group>L1_Punc</group>
      <groupName>标点问题</groupName>
      <ability>L2_Punc_CN</ability>
      <abilityName>标点符号问题</abilityName>
      <candidateList/>
      <explain>同一形式括号套用。</explain>
      <paraID>6CD36B2D</paraID>
      <start>55</start>
      <end>56</end>
      <status>ignored</status>
      <modifiedWord/>
      <trackRevisions>false</trackRevisions>
    </reviewItem>
    <reviewItem>
      <errorID>d1cd3fcd-c2f3-4d25-90cb-48d8344fe2d5</errorID>
      <errorWord>）</errorWord>
      <group>L1_Punc</group>
      <groupName>标点问题</groupName>
      <ability>L2_Punc_CN</ability>
      <abilityName>标点符号问题</abilityName>
      <candidateList/>
      <explain>同一形式括号套用。</explain>
      <paraID>6CD36B2D</paraID>
      <start>57</start>
      <end>58</end>
      <status>ignored</status>
      <modifiedWord/>
      <trackRevisions>false</trackRevisions>
    </reviewItem>
    <reviewItem>
      <errorID>48af0d3e-f734-4b25-99ec-0ca0d2770665</errorID>
      <errorWord>２</errorWord>
      <group>L1_Format</group>
      <groupName>格式问题</groupName>
      <ability>L2_HalfPunc_CN</ability>
      <abilityName>全半角问题</abilityName>
      <candidateList>
        <item>2</item>
      </candidateList>
      <explain>文本全半角错误。</explain>
      <paraID>6CD36B2D</paraID>
      <start>63</start>
      <end>64</end>
      <status>modified</status>
      <modifiedWord>2</modifiedWord>
      <trackRevisions>false</trackRevisions>
    </reviewItem>
    <reviewItem>
      <errorID>e6c68667-0903-438d-8d1a-f991d307d9bd</errorID>
      <errorWord>（</errorWord>
      <group>L1_Punc</group>
      <groupName>标点问题</groupName>
      <ability>L2_Punc_CN</ability>
      <abilityName>标点符号问题</abilityName>
      <candidateList/>
      <explain>同一形式括号套用。</explain>
      <paraID>6CD36B2D</paraID>
      <start>66</start>
      <end>67</end>
      <status>ignored</status>
      <modifiedWord/>
      <trackRevisions>false</trackRevisions>
    </reviewItem>
    <reviewItem>
      <errorID>f89a9805-1e93-4988-8d53-1cb338ebfbd5</errorID>
      <errorWord>）</errorWord>
      <group>L1_Punc</group>
      <groupName>标点问题</groupName>
      <ability>L2_Punc_CN</ability>
      <abilityName>标点符号问题</abilityName>
      <candidateList/>
      <explain>同一形式括号套用。</explain>
      <paraID>6CD36B2D</paraID>
      <start>68</start>
      <end>69</end>
      <status>ignored</status>
      <modifiedWord/>
      <trackRevisions>false</trackRevisions>
    </reviewItem>
    <reviewItem>
      <errorID>3a634692-741c-4781-9ad8-47b34cf058a7</errorID>
      <errorWord>予</errorWord>
      <group>L1_Word</group>
      <groupName>字词问题</groupName>
      <ability>L2_Typo</ability>
      <abilityName>字词错误</abilityName>
      <candidateList>
        <item>予以</item>
      </candidateList>
      <explain/>
      <paraID>1545AA23</paraID>
      <start>129</start>
      <end>131</end>
      <status>modified</status>
      <modifiedWord>予以</modifiedWord>
      <trackRevisions>false</trackRevisions>
    </reviewItem>
    <reviewItem>
      <errorID>da711c0e-15df-401e-9cc6-4ff906470cce</errorID>
      <errorWord>:</errorWord>
      <group>L1_Format</group>
      <groupName>格式问题</groupName>
      <ability>L2_HalfPunc_CN</ability>
      <abilityName>全半角问题</abilityName>
      <candidateList>
        <item>：</item>
      </candidateList>
      <explain>文本全半角错误。</explain>
      <paraID>7BA2EC3C</paraID>
      <start>1</start>
      <end>2</end>
      <status>modified</status>
      <modifiedWord>：</modifiedWord>
      <trackRevisions>false</trackRevisions>
    </reviewItem>
    <reviewItem>
      <errorID>d3a6fc7d-7c29-47be-886c-1be442010a31</errorID>
      <errorWord>文件的</errorWord>
      <group>L1_Word</group>
      <groupName>字词问题</groupName>
      <ability>L2_Typo</ability>
      <abilityName>字词错误</abilityName>
      <candidateList>
        <item>文件</item>
      </candidateList>
      <explain/>
      <paraID>638C267E</paraID>
      <start>8</start>
      <end>11</end>
      <status>ignored</status>
      <modifiedWord/>
      <trackRevisions>false</trackRevisions>
    </reviewItem>
    <reviewItem>
      <errorID>ee32fbd8-3de8-4c30-8d66-dcd61659fcf7</errorID>
      <errorWord>(</errorWord>
      <group>L1_Format</group>
      <groupName>格式问题</groupName>
      <ability>L2_HalfPunc_CN</ability>
      <abilityName>全半角问题</abilityName>
      <candidateList>
        <item>（</item>
      </candidateList>
      <explain>文本全半角错误。</explain>
      <paraID>6389C206</paraID>
      <start>22</start>
      <end>23</end>
      <status>modified</status>
      <modifiedWord>（</modifiedWord>
      <trackRevisions>false</trackRevisions>
    </reviewItem>
    <reviewItem>
      <errorID>2e461bdf-f318-4aab-8158-cf8960c652b7</errorID>
      <errorWord>)</errorWord>
      <group>L1_Format</group>
      <groupName>格式问题</groupName>
      <ability>L2_HalfPunc_CN</ability>
      <abilityName>全半角问题</abilityName>
      <candidateList>
        <item>）</item>
      </candidateList>
      <explain>文本全半角错误。</explain>
      <paraID>6389C206</paraID>
      <start>32</start>
      <end>33</end>
      <status>modified</status>
      <modifiedWord>）</modifiedWord>
      <trackRevisions>false</trackRevisions>
    </reviewItem>
    <reviewItem>
      <errorID>a3104a89-dabb-4773-b91b-db2f08b9d84a</errorID>
      <errorWord>所必须的</errorWord>
      <group>L1_Word</group>
      <groupName>字词问题</groupName>
      <ability>L2_Typo</ability>
      <abilityName>字词错误</abilityName>
      <candidateList>
        <item>所必需的</item>
      </candidateList>
      <explain/>
      <paraID>37204332</paraID>
      <start>12</start>
      <end>16</end>
      <status>ignored</status>
      <modifiedWord/>
      <trackRevisions>false</trackRevisions>
    </reviewItem>
    <reviewItem>
      <errorID>1a60facb-3618-4878-9617-51bb75afe8f1</errorID>
      <errorWord>：）</errorWord>
      <group>L1_Punc</group>
      <groupName>标点问题</groupName>
      <ability>L2_Punc_CN</ability>
      <abilityName>标点符号问题</abilityName>
      <candidateList>
        <item>）</item>
      </candidateList>
      <explain/>
      <paraID>33039951</paraID>
      <start>30</start>
      <end>31</end>
      <status>modified</status>
      <modifiedWord>）</modifiedWord>
      <trackRevisions>false</trackRevisions>
    </reviewItem>
    <reviewItem>
      <errorID>28fc084a-963b-4cb4-8d52-85c64d68f533</errorID>
      <errorWord>[2020]123号</errorWord>
      <group>L1_Knowledge</group>
      <groupName>知识性问题</groupName>
      <ability>L2_Knowledge</ability>
      <abilityName>其他知识</abilityName>
      <candidateList>
        <item>〔2020〕123号</item>
      </candidateList>
      <explain>发文字号格式错误。</explain>
      <paraID>6C3783D0</paraID>
      <start>62</start>
      <end>72</end>
      <status>modified</status>
      <modifiedWord>〔2020〕123号</modifiedWord>
      <trackRevisions>false</trackRevisions>
    </reviewItem>
    <reviewItem>
      <errorID>2d62e153-21c9-4204-989d-a7c710e06f7b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1C34CF6</paraID>
      <start>37</start>
      <end>40</end>
      <status>ignored</status>
      <modifiedWord/>
      <trackRevisions>false</trackRevisions>
    </reviewItem>
    <reviewItem>
      <errorID>ff8ad848-d1b7-4adf-8367-61ec7446055d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1C34CF6</paraID>
      <start>44</start>
      <end>47</end>
      <status>ignored</status>
      <modifiedWord/>
      <trackRevisions>false</trackRevisions>
    </reviewItem>
    <reviewItem>
      <errorID>89591164-db32-4a69-a830-fed6ed169697</errorID>
      <errorWord>(</errorWord>
      <group>L1_Format</group>
      <groupName>格式问题</groupName>
      <ability>L2_HalfPunc_CN</ability>
      <abilityName>全半角问题</abilityName>
      <candidateList>
        <item>（</item>
      </candidateList>
      <explain>文本全半角错误。</explain>
      <paraID>348AB7B4</paraID>
      <start>0</start>
      <end>1</end>
      <status>modified</status>
      <modifiedWord>（</modifiedWord>
      <trackRevisions>false</trackRevisions>
    </reviewItem>
    <reviewItem>
      <errorID>577addf3-b809-4a09-836d-bcf60d5408ef</errorID>
      <errorWord>)</errorWord>
      <group>L1_Format</group>
      <groupName>格式问题</groupName>
      <ability>L2_HalfPunc_CN</ability>
      <abilityName>全半角问题</abilityName>
      <candidateList>
        <item>）</item>
      </candidateList>
      <explain>文本全半角错误。</explain>
      <paraID>348AB7B4</paraID>
      <start>13</start>
      <end>14</end>
      <status>modified</status>
      <modifiedWord>）</modifiedWord>
      <trackRevisions>false</trackRevisions>
    </reviewItem>
    <reviewItem>
      <errorID>c962b425-f768-4cb9-950e-9bdb5296ed41</errorID>
      <errorWord>(</errorWord>
      <group>L1_Format</group>
      <groupName>格式问题</groupName>
      <ability>L2_HalfPunc_CN</ability>
      <abilityName>全半角问题</abilityName>
      <candidateList>
        <item>（</item>
      </candidateList>
      <explain>文本全半角错误。</explain>
      <paraID>341F94FC</paraID>
      <start>6</start>
      <end>7</end>
      <status>modified</status>
      <modifiedWord>（</modifiedWord>
      <trackRevisions>false</trackRevisions>
    </reviewItem>
    <reviewItem>
      <errorID>3da25119-83e2-4091-8121-6928b2f52b83</errorID>
      <errorWord>)</errorWord>
      <group>L1_Format</group>
      <groupName>格式问题</groupName>
      <ability>L2_HalfPunc_CN</ability>
      <abilityName>全半角问题</abilityName>
      <candidateList>
        <item>）</item>
      </candidateList>
      <explain>文本全半角错误。</explain>
      <paraID>341F94FC</paraID>
      <start>9</start>
      <end>10</end>
      <status>modified</status>
      <modifiedWord>）</modifiedWord>
      <trackRevisions>false</trackRevisions>
    </reviewItem>
    <reviewItem>
      <errorID>6ca82903-2b81-4ca5-b0d2-2661d4f51cd3</errorID>
      <errorWord>:</errorWord>
      <group>L1_Format</group>
      <groupName>格式问题</groupName>
      <ability>L2_HalfPunc_CN</ability>
      <abilityName>全半角问题</abilityName>
      <candidateList>
        <item>：</item>
      </candidateList>
      <explain>文本全半角错误。</explain>
      <paraID>5B0416F0</paraID>
      <start>6</start>
      <end>7</end>
      <status>modified</status>
      <modifiedWord>：</modifiedWord>
      <trackRevisions>false</trackRevisions>
    </reviewItem>
    <reviewItem>
      <errorID>eb6a5d27-effa-4eea-a552-a66b2fbd50be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65320307</paraID>
      <start>0</start>
      <end>2</end>
      <status>modified</status>
      <modifiedWord>1.</modifiedWord>
      <trackRevisions>false</trackRevisions>
    </reviewItem>
    <reviewItem>
      <errorID>5a47adf8-4638-4f8c-9ca5-855287ea5848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7993A653</paraID>
      <start>0</start>
      <end>2</end>
      <status>modified</status>
      <modifiedWord>2.</modifiedWord>
      <trackRevisions>false</trackRevisions>
    </reviewItem>
    <reviewItem>
      <errorID>195d1088-ff78-4c13-adb6-be361aa75f00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B3D852D</paraID>
      <start>0</start>
      <end>2</end>
      <status>modified</status>
      <modifiedWord>3.</modifiedWord>
      <trackRevisions>false</trackRevisions>
    </reviewItem>
    <reviewItem>
      <errorID>5195aa36-02bc-49d8-bdb7-97e31875950d</errorID>
      <errorWord>“</errorWord>
      <group>L1_Punc</group>
      <groupName>标点问题</groupName>
      <ability>L2_Punc_CN</ability>
      <abilityName>标点符号问题</abilityName>
      <candidateList>
        <item>”</item>
      </candidateList>
      <explain>注意检查双引号的方向是否正确。</explain>
      <paraID> B3D852D</paraID>
      <start>55</start>
      <end>56</end>
      <status>modified</status>
      <modifiedWord>”</modifiedWord>
      <trackRevisions>false</trackRevisions>
    </reviewItem>
    <reviewItem>
      <errorID>6f6ecea0-d738-42b3-a527-7f0c3cf36963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6D3AF561</paraID>
      <start>0</start>
      <end>2</end>
      <status>modified</status>
      <modifiedWord>4.</modifiedWord>
      <trackRevisions>false</trackRevisions>
    </reviewItem>
    <reviewItem>
      <errorID>6b25ac11-56ef-4ebd-927d-04dd9a0e571d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4D923FF2</paraID>
      <start>0</start>
      <end>2</end>
      <status>modified</status>
      <modifiedWord>5.</modifiedWord>
      <trackRevisions>false</trackRevisions>
    </reviewItem>
    <reviewItem>
      <errorID>6aa1b003-0a1c-41fb-a552-6e3098f4cbe6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51F44B9F</paraID>
      <start>0</start>
      <end>2</end>
      <status>modified</status>
      <modifiedWord>2.</modifiedWord>
      <trackRevisions>false</trackRevisions>
    </reviewItem>
    <reviewItem>
      <errorID>20e07570-1ee0-4286-b891-21a9a468a209</errorID>
      <errorWord>〔2017〕 141号</errorWord>
      <group>L1_Knowledge</group>
      <groupName>知识性问题</groupName>
      <ability>L2_Knowledge</ability>
      <abilityName>其他知识</abilityName>
      <candidateList>
        <item>〔2017〕141号</item>
      </candidateList>
      <explain>发文字号格式错误。</explain>
      <paraID>67A8D61D</paraID>
      <start>49</start>
      <end>59</end>
      <status>modified</status>
      <modifiedWord>〔2017〕141号</modifiedWord>
      <trackRevisions>false</trackRevisions>
    </reviewItem>
    <reviewItem>
      <errorID>4b8bc1dc-1e12-4f2a-ad49-a2fb4d39e5ac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5B3F3ED1</paraID>
      <start>0</start>
      <end>2</end>
      <status>modified</status>
      <modifiedWord>2.</modifiedWord>
      <trackRevisions>false</trackRevisions>
    </reviewItem>
    <reviewItem>
      <errorID>b436714f-5e8a-462b-ab41-49bccff5eb47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6422E558</paraID>
      <start>0</start>
      <end>2</end>
      <status>modified</status>
      <modifiedWord>2.</modifiedWord>
      <trackRevisions>false</trackRevisions>
    </reviewItem>
    <reviewItem>
      <errorID>8ecebb29-52e3-402c-a7d7-7eb687ce1803</errorID>
      <errorWord>:</errorWord>
      <group>L1_Format</group>
      <groupName>格式问题</groupName>
      <ability>L2_HalfPunc_CN</ability>
      <abilityName>全半角问题</abilityName>
      <candidateList>
        <item>：</item>
      </candidateList>
      <explain>文本全半角错误。</explain>
      <paraID>607CB003</paraID>
      <start>6</start>
      <end>7</end>
      <status>modified</status>
      <modifiedWord>：</modifiedWord>
      <trackRevisions>false</trackRevisions>
    </reviewItem>
    <reviewItem>
      <errorID>74b397fc-1ecc-4eb7-85df-65dc84da5b8c</errorID>
      <errorWord>（</errorWord>
      <group>L1_Format</group>
      <groupName>格式问题</groupName>
      <ability>L2_HalfPunc_CN</ability>
      <abilityName>全半角问题</abilityName>
      <candidateList>
        <item>(</item>
      </candidateList>
      <explain>文本全半角错误。</explain>
      <paraID>53A99777</paraID>
      <start>0</start>
      <end>1</end>
      <status>modified</status>
      <modifiedWord>(</modifiedWord>
      <trackRevisions>false</trackRevisions>
    </reviewItem>
    <reviewItem>
      <errorID>983a2c77-2e43-4382-a1e0-e2e9b306b131</errorID>
      <errorWord>）</errorWord>
      <group>L1_Format</group>
      <groupName>格式问题</groupName>
      <ability>L2_HalfPunc_CN</ability>
      <abilityName>全半角问题</abilityName>
      <candidateList>
        <item>)</item>
      </candidateList>
      <explain>文本全半角错误。</explain>
      <paraID>53A99777</paraID>
      <start>2</start>
      <end>3</end>
      <status>modified</status>
      <modifiedWord>)</modifiedWord>
      <trackRevisions>false</trackRevisions>
    </reviewItem>
    <reviewItem>
      <errorID>ca5b2492-d28f-45cd-8c85-cf10a59a9ea7</errorID>
      <errorWord>技术支持的</errorWord>
      <group>L1_Word</group>
      <groupName>字词问题</groupName>
      <ability>L2_Typo</ability>
      <abilityName>字词错误</abilityName>
      <candidateList>
        <item>技术支持</item>
      </candidateList>
      <explain/>
      <paraID> 99FEB16</paraID>
      <start>3</start>
      <end>7</end>
      <status>modified</status>
      <modifiedWord>技术支持</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953caa-b17a-45c7-a458-96889c6f6a20}">
  <ds:schemaRefs/>
</ds:datastoreItem>
</file>

<file path=docProps/app.xml><?xml version="1.0" encoding="utf-8"?>
<Properties xmlns="http://schemas.openxmlformats.org/officeDocument/2006/extended-properties" xmlns:vt="http://schemas.openxmlformats.org/officeDocument/2006/docPropsVTypes">
  <Template>Normal</Template>
  <Company>www.levovo.com</Company>
  <Pages>90</Pages>
  <Words>43126</Words>
  <Characters>45484</Characters>
  <Lines>204</Lines>
  <Paragraphs>57</Paragraphs>
  <TotalTime>15</TotalTime>
  <ScaleCrop>false</ScaleCrop>
  <LinksUpToDate>false</LinksUpToDate>
  <CharactersWithSpaces>47381</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2017-11-12T11:09:00Z</dcterms:created>
  <dc:creator>吴正新</dc:creator>
  <cp:lastModifiedBy>合凡</cp:lastModifiedBy>
  <cp:lastPrinted>2026-09-16T03:02:00Z</cp:lastPrinted>
  <dcterms:modified xsi:type="dcterms:W3CDTF">2026-10-13T00:53:29Z</dcterms:modified>
  <dc:title>招标编号：xx政采招[xxxx] xxx号</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5C3F9F6B374D4256AD2576A48297C628_13</vt:lpwstr>
  </property>
  <property fmtid="{D5CDD505-2E9C-101B-9397-08002B2CF9AE}" pid="4" name="KSOTemplateDocerSaveRecord">
    <vt:lpwstr>eyJoZGlkIjoiYTUyOWRlMTc2YjQ2MDViYWI4ZGNjMWQ1NzU2MGJiOTEiLCJ1c2VySWQiOiI1NDIxNDM1MjkifQ==</vt:lpwstr>
  </property>
</Properties>
</file>