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C6C0B88">
      <w:pPr>
        <w:pStyle w:val="4"/>
        <w:jc w:val="center"/>
        <w:outlineLvl w:val="1"/>
      </w:pPr>
      <w:r>
        <w:rPr>
          <w:rFonts w:hint="eastAsia" w:ascii="仿宋_GB2312" w:hAnsi="仿宋_GB2312" w:eastAsia="仿宋_GB2312" w:cs="仿宋_GB2312"/>
          <w:b/>
          <w:sz w:val="36"/>
          <w:lang w:val="en-US" w:eastAsia="zh-CN"/>
        </w:rPr>
        <w:t>采购需</w:t>
      </w:r>
      <w:r>
        <w:rPr>
          <w:rFonts w:ascii="仿宋_GB2312" w:hAnsi="仿宋_GB2312" w:eastAsia="仿宋_GB2312" w:cs="仿宋_GB2312"/>
          <w:b/>
          <w:sz w:val="36"/>
        </w:rPr>
        <w:t>求</w:t>
      </w:r>
      <w:bookmarkStart w:id="0" w:name="_GoBack"/>
      <w:bookmarkEnd w:id="0"/>
    </w:p>
    <w:p w14:paraId="5D5D7BB9">
      <w:pPr>
        <w:pStyle w:val="4"/>
        <w:ind w:firstLine="480"/>
        <w:jc w:val="left"/>
      </w:pPr>
      <w:r>
        <w:rPr>
          <w:rFonts w:ascii="仿宋_GB2312" w:hAnsi="仿宋_GB2312" w:eastAsia="仿宋_GB2312" w:cs="仿宋_GB2312"/>
        </w:rPr>
        <w:t>（注：本章的技术、服务及其他要求中，带“★”的要求为实质性要求。采购人、代理机构应当根据项目实际要求合理设定，并在第五章符合性审查中明确响应要求。）</w:t>
      </w:r>
    </w:p>
    <w:p w14:paraId="53C727B1">
      <w:pPr>
        <w:pStyle w:val="4"/>
        <w:jc w:val="left"/>
        <w:outlineLvl w:val="2"/>
      </w:pPr>
      <w:r>
        <w:rPr>
          <w:rFonts w:ascii="仿宋_GB2312" w:hAnsi="仿宋_GB2312" w:eastAsia="仿宋_GB2312" w:cs="仿宋_GB2312"/>
          <w:b/>
          <w:sz w:val="28"/>
        </w:rPr>
        <w:t>3.1.采购内容</w:t>
      </w:r>
    </w:p>
    <w:p w14:paraId="23431CA2">
      <w:pPr>
        <w:pStyle w:val="4"/>
        <w:jc w:val="left"/>
      </w:pPr>
      <w:r>
        <w:rPr>
          <w:rFonts w:ascii="仿宋_GB2312" w:hAnsi="仿宋_GB2312" w:eastAsia="仿宋_GB2312" w:cs="仿宋_GB2312"/>
        </w:rPr>
        <w:t>采购包1：</w:t>
      </w:r>
    </w:p>
    <w:p w14:paraId="48BBFF2D">
      <w:pPr>
        <w:pStyle w:val="4"/>
        <w:jc w:val="left"/>
      </w:pPr>
      <w:r>
        <w:rPr>
          <w:rFonts w:ascii="仿宋_GB2312" w:hAnsi="仿宋_GB2312" w:eastAsia="仿宋_GB2312" w:cs="仿宋_GB2312"/>
        </w:rPr>
        <w:t>采购包预算金额（元）: 1,260,000.00</w:t>
      </w:r>
    </w:p>
    <w:p w14:paraId="4B83EB38">
      <w:pPr>
        <w:pStyle w:val="4"/>
        <w:jc w:val="left"/>
      </w:pPr>
      <w:r>
        <w:rPr>
          <w:rFonts w:ascii="仿宋_GB2312" w:hAnsi="仿宋_GB2312" w:eastAsia="仿宋_GB2312" w:cs="仿宋_GB2312"/>
        </w:rPr>
        <w:t>采购包最高限价（元）: 1,260,000.00</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44"/>
        <w:gridCol w:w="1116"/>
        <w:gridCol w:w="762"/>
        <w:gridCol w:w="820"/>
        <w:gridCol w:w="1416"/>
        <w:gridCol w:w="704"/>
        <w:gridCol w:w="704"/>
        <w:gridCol w:w="704"/>
        <w:gridCol w:w="704"/>
        <w:gridCol w:w="574"/>
        <w:gridCol w:w="574"/>
      </w:tblGrid>
      <w:tr w14:paraId="4293ADD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456" w:type="dxa"/>
          </w:tcPr>
          <w:p w14:paraId="3237FB66">
            <w:pPr>
              <w:pStyle w:val="4"/>
              <w:jc w:val="center"/>
            </w:pPr>
            <w:r>
              <w:rPr>
                <w:rFonts w:ascii="仿宋_GB2312" w:hAnsi="仿宋_GB2312" w:eastAsia="仿宋_GB2312" w:cs="仿宋_GB2312"/>
              </w:rPr>
              <w:t>序号</w:t>
            </w:r>
          </w:p>
        </w:tc>
        <w:tc>
          <w:tcPr>
            <w:tcW w:w="821" w:type="dxa"/>
          </w:tcPr>
          <w:p w14:paraId="33D0D96E">
            <w:pPr>
              <w:pStyle w:val="4"/>
              <w:jc w:val="center"/>
            </w:pPr>
            <w:r>
              <w:rPr>
                <w:rFonts w:ascii="仿宋_GB2312" w:hAnsi="仿宋_GB2312" w:eastAsia="仿宋_GB2312" w:cs="仿宋_GB2312"/>
              </w:rPr>
              <w:t>采购品目名称</w:t>
            </w:r>
          </w:p>
        </w:tc>
        <w:tc>
          <w:tcPr>
            <w:tcW w:w="821" w:type="dxa"/>
          </w:tcPr>
          <w:p w14:paraId="30CFDCD6">
            <w:pPr>
              <w:pStyle w:val="4"/>
              <w:jc w:val="center"/>
            </w:pPr>
            <w:r>
              <w:rPr>
                <w:rFonts w:ascii="仿宋_GB2312" w:hAnsi="仿宋_GB2312" w:eastAsia="仿宋_GB2312" w:cs="仿宋_GB2312"/>
              </w:rPr>
              <w:t>标的名称</w:t>
            </w:r>
          </w:p>
        </w:tc>
        <w:tc>
          <w:tcPr>
            <w:tcW w:w="821" w:type="dxa"/>
          </w:tcPr>
          <w:p w14:paraId="1C2FDBAF">
            <w:pPr>
              <w:pStyle w:val="4"/>
              <w:jc w:val="center"/>
            </w:pPr>
            <w:r>
              <w:rPr>
                <w:rFonts w:ascii="仿宋_GB2312" w:hAnsi="仿宋_GB2312" w:eastAsia="仿宋_GB2312" w:cs="仿宋_GB2312"/>
              </w:rPr>
              <w:t>数量</w:t>
            </w:r>
            <w:r>
              <w:br w:type="textWrapping"/>
            </w:r>
            <w:r>
              <w:rPr>
                <w:rFonts w:ascii="仿宋_GB2312" w:hAnsi="仿宋_GB2312" w:eastAsia="仿宋_GB2312" w:cs="仿宋_GB2312"/>
              </w:rPr>
              <w:t>(计量单位)</w:t>
            </w:r>
          </w:p>
        </w:tc>
        <w:tc>
          <w:tcPr>
            <w:tcW w:w="821" w:type="dxa"/>
          </w:tcPr>
          <w:p w14:paraId="790E8665">
            <w:pPr>
              <w:pStyle w:val="4"/>
              <w:jc w:val="center"/>
            </w:pPr>
            <w:r>
              <w:rPr>
                <w:rFonts w:ascii="仿宋_GB2312" w:hAnsi="仿宋_GB2312" w:eastAsia="仿宋_GB2312" w:cs="仿宋_GB2312"/>
              </w:rPr>
              <w:t>标的金额 （元）</w:t>
            </w:r>
          </w:p>
        </w:tc>
        <w:tc>
          <w:tcPr>
            <w:tcW w:w="821" w:type="dxa"/>
          </w:tcPr>
          <w:p w14:paraId="2B1235B4">
            <w:pPr>
              <w:pStyle w:val="4"/>
              <w:jc w:val="center"/>
            </w:pPr>
            <w:r>
              <w:rPr>
                <w:rFonts w:ascii="仿宋_GB2312" w:hAnsi="仿宋_GB2312" w:eastAsia="仿宋_GB2312" w:cs="仿宋_GB2312"/>
              </w:rPr>
              <w:t>所属行业</w:t>
            </w:r>
          </w:p>
        </w:tc>
        <w:tc>
          <w:tcPr>
            <w:tcW w:w="821" w:type="dxa"/>
          </w:tcPr>
          <w:p w14:paraId="7DE8AABB">
            <w:pPr>
              <w:pStyle w:val="4"/>
              <w:jc w:val="center"/>
            </w:pPr>
            <w:r>
              <w:rPr>
                <w:rFonts w:ascii="仿宋_GB2312" w:hAnsi="仿宋_GB2312" w:eastAsia="仿宋_GB2312" w:cs="仿宋_GB2312"/>
              </w:rPr>
              <w:t>是否涉及核心产品</w:t>
            </w:r>
          </w:p>
        </w:tc>
        <w:tc>
          <w:tcPr>
            <w:tcW w:w="821" w:type="dxa"/>
          </w:tcPr>
          <w:p w14:paraId="74D9E5EA">
            <w:pPr>
              <w:pStyle w:val="4"/>
              <w:jc w:val="center"/>
            </w:pPr>
            <w:r>
              <w:rPr>
                <w:rFonts w:ascii="仿宋_GB2312" w:hAnsi="仿宋_GB2312" w:eastAsia="仿宋_GB2312" w:cs="仿宋_GB2312"/>
              </w:rPr>
              <w:t>是否涉及采购进口产品</w:t>
            </w:r>
          </w:p>
        </w:tc>
        <w:tc>
          <w:tcPr>
            <w:tcW w:w="821" w:type="dxa"/>
          </w:tcPr>
          <w:p w14:paraId="2EAD6151">
            <w:pPr>
              <w:pStyle w:val="4"/>
              <w:jc w:val="center"/>
            </w:pPr>
            <w:r>
              <w:rPr>
                <w:rFonts w:ascii="仿宋_GB2312" w:hAnsi="仿宋_GB2312" w:eastAsia="仿宋_GB2312" w:cs="仿宋_GB2312"/>
              </w:rPr>
              <w:t>是否涉及强制采购节能产品</w:t>
            </w:r>
          </w:p>
        </w:tc>
        <w:tc>
          <w:tcPr>
            <w:tcW w:w="639" w:type="dxa"/>
          </w:tcPr>
          <w:p w14:paraId="1E1C4ACA">
            <w:pPr>
              <w:pStyle w:val="4"/>
              <w:jc w:val="center"/>
            </w:pPr>
            <w:r>
              <w:rPr>
                <w:rFonts w:ascii="仿宋_GB2312" w:hAnsi="仿宋_GB2312" w:eastAsia="仿宋_GB2312" w:cs="仿宋_GB2312"/>
              </w:rPr>
              <w:t>是否涉及优先采购节能产品</w:t>
            </w:r>
          </w:p>
        </w:tc>
        <w:tc>
          <w:tcPr>
            <w:tcW w:w="639" w:type="dxa"/>
          </w:tcPr>
          <w:p w14:paraId="5D72E9FE">
            <w:pPr>
              <w:pStyle w:val="4"/>
              <w:jc w:val="center"/>
            </w:pPr>
            <w:r>
              <w:rPr>
                <w:rFonts w:ascii="仿宋_GB2312" w:hAnsi="仿宋_GB2312" w:eastAsia="仿宋_GB2312" w:cs="仿宋_GB2312"/>
              </w:rPr>
              <w:t>是否涉及优先采购环境标志产品</w:t>
            </w:r>
          </w:p>
        </w:tc>
      </w:tr>
      <w:tr w14:paraId="1CFA391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18DAADD8">
            <w:pPr>
              <w:pStyle w:val="4"/>
              <w:jc w:val="left"/>
            </w:pPr>
            <w:r>
              <w:rPr>
                <w:rFonts w:ascii="仿宋_GB2312" w:hAnsi="仿宋_GB2312" w:eastAsia="仿宋_GB2312" w:cs="仿宋_GB2312"/>
              </w:rPr>
              <w:t>1</w:t>
            </w:r>
          </w:p>
        </w:tc>
        <w:tc>
          <w:tcPr>
            <w:tcW w:w="821" w:type="dxa"/>
          </w:tcPr>
          <w:p w14:paraId="3E948BEE">
            <w:pPr>
              <w:pStyle w:val="4"/>
              <w:jc w:val="left"/>
            </w:pPr>
            <w:r>
              <w:rPr>
                <w:rFonts w:ascii="仿宋_GB2312" w:hAnsi="仿宋_GB2312" w:eastAsia="仿宋_GB2312" w:cs="仿宋_GB2312"/>
              </w:rPr>
              <w:t>A02430900 无人机</w:t>
            </w:r>
          </w:p>
        </w:tc>
        <w:tc>
          <w:tcPr>
            <w:tcW w:w="821" w:type="dxa"/>
          </w:tcPr>
          <w:p w14:paraId="17F9800B">
            <w:pPr>
              <w:pStyle w:val="4"/>
              <w:jc w:val="left"/>
            </w:pPr>
            <w:r>
              <w:rPr>
                <w:rFonts w:ascii="仿宋_GB2312" w:hAnsi="仿宋_GB2312" w:eastAsia="仿宋_GB2312" w:cs="仿宋_GB2312"/>
              </w:rPr>
              <w:t>邛崃市镇(街道)应急管理能力建设重点项目无人机及机巢采购（具体标的名称详见采购清单）</w:t>
            </w:r>
          </w:p>
        </w:tc>
        <w:tc>
          <w:tcPr>
            <w:tcW w:w="821" w:type="dxa"/>
          </w:tcPr>
          <w:p w14:paraId="6FF80666">
            <w:pPr>
              <w:pStyle w:val="4"/>
              <w:jc w:val="right"/>
            </w:pPr>
            <w:r>
              <w:rPr>
                <w:rFonts w:ascii="仿宋_GB2312" w:hAnsi="仿宋_GB2312" w:eastAsia="仿宋_GB2312" w:cs="仿宋_GB2312"/>
              </w:rPr>
              <w:t>1.00（项）</w:t>
            </w:r>
          </w:p>
        </w:tc>
        <w:tc>
          <w:tcPr>
            <w:tcW w:w="821" w:type="dxa"/>
          </w:tcPr>
          <w:p w14:paraId="70525816">
            <w:pPr>
              <w:pStyle w:val="4"/>
              <w:jc w:val="right"/>
            </w:pPr>
            <w:r>
              <w:rPr>
                <w:rFonts w:ascii="仿宋_GB2312" w:hAnsi="仿宋_GB2312" w:eastAsia="仿宋_GB2312" w:cs="仿宋_GB2312"/>
              </w:rPr>
              <w:t>1,260,000.00</w:t>
            </w:r>
          </w:p>
        </w:tc>
        <w:tc>
          <w:tcPr>
            <w:tcW w:w="821" w:type="dxa"/>
          </w:tcPr>
          <w:p w14:paraId="1EA766F9">
            <w:pPr>
              <w:pStyle w:val="4"/>
              <w:jc w:val="left"/>
            </w:pPr>
            <w:r>
              <w:rPr>
                <w:rFonts w:ascii="仿宋_GB2312" w:hAnsi="仿宋_GB2312" w:eastAsia="仿宋_GB2312" w:cs="仿宋_GB2312"/>
              </w:rPr>
              <w:t>工业</w:t>
            </w:r>
          </w:p>
        </w:tc>
        <w:tc>
          <w:tcPr>
            <w:tcW w:w="821" w:type="dxa"/>
          </w:tcPr>
          <w:p w14:paraId="77589189">
            <w:pPr>
              <w:pStyle w:val="4"/>
              <w:jc w:val="left"/>
            </w:pPr>
            <w:r>
              <w:rPr>
                <w:rFonts w:ascii="仿宋_GB2312" w:hAnsi="仿宋_GB2312" w:eastAsia="仿宋_GB2312" w:cs="仿宋_GB2312"/>
              </w:rPr>
              <w:t>是</w:t>
            </w:r>
          </w:p>
        </w:tc>
        <w:tc>
          <w:tcPr>
            <w:tcW w:w="821" w:type="dxa"/>
          </w:tcPr>
          <w:p w14:paraId="603B3E2A">
            <w:pPr>
              <w:pStyle w:val="4"/>
              <w:jc w:val="left"/>
            </w:pPr>
            <w:r>
              <w:rPr>
                <w:rFonts w:ascii="仿宋_GB2312" w:hAnsi="仿宋_GB2312" w:eastAsia="仿宋_GB2312" w:cs="仿宋_GB2312"/>
              </w:rPr>
              <w:t>否</w:t>
            </w:r>
          </w:p>
        </w:tc>
        <w:tc>
          <w:tcPr>
            <w:tcW w:w="821" w:type="dxa"/>
          </w:tcPr>
          <w:p w14:paraId="1F7539B6">
            <w:pPr>
              <w:pStyle w:val="4"/>
              <w:jc w:val="left"/>
            </w:pPr>
            <w:r>
              <w:rPr>
                <w:rFonts w:ascii="仿宋_GB2312" w:hAnsi="仿宋_GB2312" w:eastAsia="仿宋_GB2312" w:cs="仿宋_GB2312"/>
              </w:rPr>
              <w:t>否</w:t>
            </w:r>
          </w:p>
        </w:tc>
        <w:tc>
          <w:tcPr>
            <w:tcW w:w="639" w:type="dxa"/>
          </w:tcPr>
          <w:p w14:paraId="6694B5FC">
            <w:pPr>
              <w:pStyle w:val="4"/>
              <w:jc w:val="left"/>
            </w:pPr>
            <w:r>
              <w:rPr>
                <w:rFonts w:ascii="仿宋_GB2312" w:hAnsi="仿宋_GB2312" w:eastAsia="仿宋_GB2312" w:cs="仿宋_GB2312"/>
              </w:rPr>
              <w:t>否</w:t>
            </w:r>
          </w:p>
        </w:tc>
        <w:tc>
          <w:tcPr>
            <w:tcW w:w="639" w:type="dxa"/>
          </w:tcPr>
          <w:p w14:paraId="2FBFA4E4">
            <w:pPr>
              <w:pStyle w:val="4"/>
              <w:jc w:val="left"/>
            </w:pPr>
            <w:r>
              <w:rPr>
                <w:rFonts w:ascii="仿宋_GB2312" w:hAnsi="仿宋_GB2312" w:eastAsia="仿宋_GB2312" w:cs="仿宋_GB2312"/>
              </w:rPr>
              <w:t>否</w:t>
            </w:r>
          </w:p>
        </w:tc>
      </w:tr>
    </w:tbl>
    <w:p w14:paraId="5D2C71F7">
      <w:pPr>
        <w:pStyle w:val="4"/>
        <w:jc w:val="left"/>
      </w:pPr>
      <w:r>
        <w:rPr>
          <w:rFonts w:ascii="仿宋_GB2312" w:hAnsi="仿宋_GB2312" w:eastAsia="仿宋_GB2312" w:cs="仿宋_GB2312"/>
        </w:rPr>
        <w:t>是否适用本国产品标准：是</w:t>
      </w:r>
    </w:p>
    <w:p w14:paraId="42D1A81E">
      <w:pPr>
        <w:pStyle w:val="4"/>
        <w:jc w:val="left"/>
        <w:outlineLvl w:val="3"/>
      </w:pPr>
      <w:r>
        <w:rPr>
          <w:rFonts w:ascii="仿宋_GB2312" w:hAnsi="仿宋_GB2312" w:eastAsia="仿宋_GB2312" w:cs="仿宋_GB2312"/>
          <w:b/>
          <w:sz w:val="24"/>
        </w:rPr>
        <w:t>报价要求</w:t>
      </w:r>
    </w:p>
    <w:p w14:paraId="51CCDC5D">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024"/>
        <w:gridCol w:w="1707"/>
        <w:gridCol w:w="1138"/>
        <w:gridCol w:w="1416"/>
        <w:gridCol w:w="1138"/>
        <w:gridCol w:w="1934"/>
      </w:tblGrid>
      <w:tr w14:paraId="799D606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56C16270">
            <w:pPr>
              <w:pStyle w:val="4"/>
              <w:jc w:val="center"/>
            </w:pPr>
            <w:r>
              <w:rPr>
                <w:rFonts w:ascii="仿宋_GB2312" w:hAnsi="仿宋_GB2312" w:eastAsia="仿宋_GB2312" w:cs="仿宋_GB2312"/>
              </w:rPr>
              <w:t>序号</w:t>
            </w:r>
          </w:p>
        </w:tc>
        <w:tc>
          <w:tcPr>
            <w:tcW w:w="1707" w:type="dxa"/>
          </w:tcPr>
          <w:p w14:paraId="3BBAE952">
            <w:pPr>
              <w:pStyle w:val="4"/>
              <w:jc w:val="center"/>
            </w:pPr>
            <w:r>
              <w:rPr>
                <w:rFonts w:ascii="仿宋_GB2312" w:hAnsi="仿宋_GB2312" w:eastAsia="仿宋_GB2312" w:cs="仿宋_GB2312"/>
              </w:rPr>
              <w:t>报价内容</w:t>
            </w:r>
          </w:p>
        </w:tc>
        <w:tc>
          <w:tcPr>
            <w:tcW w:w="1138" w:type="dxa"/>
          </w:tcPr>
          <w:p w14:paraId="67420A05">
            <w:pPr>
              <w:pStyle w:val="4"/>
              <w:jc w:val="center"/>
            </w:pPr>
            <w:r>
              <w:rPr>
                <w:rFonts w:ascii="仿宋_GB2312" w:hAnsi="仿宋_GB2312" w:eastAsia="仿宋_GB2312" w:cs="仿宋_GB2312"/>
              </w:rPr>
              <w:t>数量（计量单位）</w:t>
            </w:r>
          </w:p>
        </w:tc>
        <w:tc>
          <w:tcPr>
            <w:tcW w:w="1365" w:type="dxa"/>
          </w:tcPr>
          <w:p w14:paraId="47AF2BB5">
            <w:pPr>
              <w:pStyle w:val="4"/>
              <w:jc w:val="center"/>
            </w:pPr>
            <w:r>
              <w:rPr>
                <w:rFonts w:ascii="仿宋_GB2312" w:hAnsi="仿宋_GB2312" w:eastAsia="仿宋_GB2312" w:cs="仿宋_GB2312"/>
              </w:rPr>
              <w:t>最高限价</w:t>
            </w:r>
          </w:p>
        </w:tc>
        <w:tc>
          <w:tcPr>
            <w:tcW w:w="1138" w:type="dxa"/>
          </w:tcPr>
          <w:p w14:paraId="209561E3">
            <w:pPr>
              <w:pStyle w:val="4"/>
              <w:jc w:val="center"/>
            </w:pPr>
            <w:r>
              <w:rPr>
                <w:rFonts w:ascii="仿宋_GB2312" w:hAnsi="仿宋_GB2312" w:eastAsia="仿宋_GB2312" w:cs="仿宋_GB2312"/>
              </w:rPr>
              <w:t>价款形式</w:t>
            </w:r>
          </w:p>
        </w:tc>
        <w:tc>
          <w:tcPr>
            <w:tcW w:w="1934" w:type="dxa"/>
          </w:tcPr>
          <w:p w14:paraId="39F44FA9">
            <w:pPr>
              <w:pStyle w:val="4"/>
              <w:jc w:val="center"/>
            </w:pPr>
            <w:r>
              <w:rPr>
                <w:rFonts w:ascii="仿宋_GB2312" w:hAnsi="仿宋_GB2312" w:eastAsia="仿宋_GB2312" w:cs="仿宋_GB2312"/>
              </w:rPr>
              <w:t>报价说明</w:t>
            </w:r>
          </w:p>
        </w:tc>
      </w:tr>
      <w:tr w14:paraId="74D3DB2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62189343">
            <w:pPr>
              <w:pStyle w:val="4"/>
              <w:jc w:val="center"/>
            </w:pPr>
            <w:r>
              <w:rPr>
                <w:rFonts w:ascii="仿宋_GB2312" w:hAnsi="仿宋_GB2312" w:eastAsia="仿宋_GB2312" w:cs="仿宋_GB2312"/>
              </w:rPr>
              <w:t>1</w:t>
            </w:r>
          </w:p>
        </w:tc>
        <w:tc>
          <w:tcPr>
            <w:tcW w:w="1707" w:type="dxa"/>
          </w:tcPr>
          <w:p w14:paraId="2A3F0E1C">
            <w:pPr>
              <w:pStyle w:val="4"/>
              <w:jc w:val="center"/>
            </w:pPr>
            <w:r>
              <w:rPr>
                <w:rFonts w:ascii="仿宋_GB2312" w:hAnsi="仿宋_GB2312" w:eastAsia="仿宋_GB2312" w:cs="仿宋_GB2312"/>
              </w:rPr>
              <w:t>邛崃市镇(街道)应急管理能力建设重点项目无人机及机巢采购（二次）</w:t>
            </w:r>
          </w:p>
        </w:tc>
        <w:tc>
          <w:tcPr>
            <w:tcW w:w="1138" w:type="dxa"/>
          </w:tcPr>
          <w:p w14:paraId="5289328B">
            <w:pPr>
              <w:pStyle w:val="4"/>
              <w:jc w:val="center"/>
            </w:pPr>
            <w:r>
              <w:rPr>
                <w:rFonts w:ascii="仿宋_GB2312" w:hAnsi="仿宋_GB2312" w:eastAsia="仿宋_GB2312" w:cs="仿宋_GB2312"/>
              </w:rPr>
              <w:t>1.00（项）</w:t>
            </w:r>
          </w:p>
        </w:tc>
        <w:tc>
          <w:tcPr>
            <w:tcW w:w="1365" w:type="dxa"/>
          </w:tcPr>
          <w:p w14:paraId="08AA19C9">
            <w:pPr>
              <w:pStyle w:val="4"/>
              <w:jc w:val="center"/>
            </w:pPr>
            <w:r>
              <w:rPr>
                <w:rFonts w:ascii="仿宋_GB2312" w:hAnsi="仿宋_GB2312" w:eastAsia="仿宋_GB2312" w:cs="仿宋_GB2312"/>
              </w:rPr>
              <w:t>1,260,000.00</w:t>
            </w:r>
          </w:p>
        </w:tc>
        <w:tc>
          <w:tcPr>
            <w:tcW w:w="1138" w:type="dxa"/>
          </w:tcPr>
          <w:p w14:paraId="2A3EAA49">
            <w:pPr>
              <w:pStyle w:val="4"/>
              <w:jc w:val="center"/>
            </w:pPr>
            <w:r>
              <w:rPr>
                <w:rFonts w:ascii="仿宋_GB2312" w:hAnsi="仿宋_GB2312" w:eastAsia="仿宋_GB2312" w:cs="仿宋_GB2312"/>
              </w:rPr>
              <w:t>总价</w:t>
            </w:r>
          </w:p>
        </w:tc>
        <w:tc>
          <w:tcPr>
            <w:tcW w:w="1934" w:type="dxa"/>
          </w:tcPr>
          <w:p w14:paraId="4D402BB0">
            <w:pPr>
              <w:pStyle w:val="4"/>
              <w:jc w:val="left"/>
            </w:pPr>
            <w:r>
              <w:rPr>
                <w:rFonts w:ascii="仿宋_GB2312" w:hAnsi="仿宋_GB2312" w:eastAsia="仿宋_GB2312" w:cs="仿宋_GB2312"/>
              </w:rPr>
              <w:t>无</w:t>
            </w:r>
          </w:p>
        </w:tc>
      </w:tr>
    </w:tbl>
    <w:p w14:paraId="5053A83B">
      <w:pPr>
        <w:pStyle w:val="4"/>
        <w:ind w:firstLine="480"/>
        <w:jc w:val="left"/>
      </w:pPr>
      <w:r>
        <w:rPr>
          <w:rFonts w:ascii="仿宋_GB2312" w:hAnsi="仿宋_GB2312" w:eastAsia="仿宋_GB2312" w:cs="仿宋_GB2312"/>
        </w:rPr>
        <w:t>★注：投标人响应产品应当明确品牌和规格型号并指向唯一产品，不能指向唯一产品的，应通过报价表唯一产品说明栏补充说明。</w:t>
      </w:r>
    </w:p>
    <w:p w14:paraId="7C0984CC">
      <w:pPr>
        <w:pStyle w:val="4"/>
        <w:jc w:val="left"/>
        <w:outlineLvl w:val="3"/>
      </w:pPr>
      <w:r>
        <w:rPr>
          <w:rFonts w:ascii="仿宋_GB2312" w:hAnsi="仿宋_GB2312" w:eastAsia="仿宋_GB2312" w:cs="仿宋_GB2312"/>
          <w:b/>
          <w:sz w:val="24"/>
        </w:rPr>
        <w:t>本项目涉及核心产品：</w:t>
      </w:r>
    </w:p>
    <w:p w14:paraId="11A6D243">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3E5B468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71F9AD9D">
            <w:pPr>
              <w:pStyle w:val="4"/>
              <w:jc w:val="center"/>
            </w:pPr>
            <w:r>
              <w:rPr>
                <w:rFonts w:ascii="仿宋_GB2312" w:hAnsi="仿宋_GB2312" w:eastAsia="仿宋_GB2312" w:cs="仿宋_GB2312"/>
              </w:rPr>
              <w:t>序号</w:t>
            </w:r>
          </w:p>
        </w:tc>
        <w:tc>
          <w:tcPr>
            <w:tcW w:w="2492" w:type="dxa"/>
          </w:tcPr>
          <w:p w14:paraId="3E476533">
            <w:pPr>
              <w:pStyle w:val="4"/>
              <w:jc w:val="center"/>
            </w:pPr>
            <w:r>
              <w:rPr>
                <w:rFonts w:ascii="仿宋_GB2312" w:hAnsi="仿宋_GB2312" w:eastAsia="仿宋_GB2312" w:cs="仿宋_GB2312"/>
              </w:rPr>
              <w:t>采购品目名称</w:t>
            </w:r>
          </w:p>
        </w:tc>
        <w:tc>
          <w:tcPr>
            <w:tcW w:w="2492" w:type="dxa"/>
          </w:tcPr>
          <w:p w14:paraId="61A88B0B">
            <w:pPr>
              <w:pStyle w:val="4"/>
              <w:jc w:val="center"/>
            </w:pPr>
            <w:r>
              <w:rPr>
                <w:rFonts w:ascii="仿宋_GB2312" w:hAnsi="仿宋_GB2312" w:eastAsia="仿宋_GB2312" w:cs="仿宋_GB2312"/>
              </w:rPr>
              <w:t>标的名称</w:t>
            </w:r>
          </w:p>
        </w:tc>
        <w:tc>
          <w:tcPr>
            <w:tcW w:w="2492" w:type="dxa"/>
          </w:tcPr>
          <w:p w14:paraId="310604B7">
            <w:pPr>
              <w:pStyle w:val="4"/>
              <w:jc w:val="center"/>
            </w:pPr>
            <w:r>
              <w:rPr>
                <w:rFonts w:ascii="仿宋_GB2312" w:hAnsi="仿宋_GB2312" w:eastAsia="仿宋_GB2312" w:cs="仿宋_GB2312"/>
              </w:rPr>
              <w:t>产品名称</w:t>
            </w:r>
          </w:p>
        </w:tc>
      </w:tr>
      <w:tr w14:paraId="6B119E6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4AFFE1D4">
            <w:pPr>
              <w:pStyle w:val="4"/>
              <w:jc w:val="left"/>
            </w:pPr>
            <w:r>
              <w:rPr>
                <w:rFonts w:ascii="仿宋_GB2312" w:hAnsi="仿宋_GB2312" w:eastAsia="仿宋_GB2312" w:cs="仿宋_GB2312"/>
              </w:rPr>
              <w:t>1</w:t>
            </w:r>
          </w:p>
        </w:tc>
        <w:tc>
          <w:tcPr>
            <w:tcW w:w="2492" w:type="dxa"/>
          </w:tcPr>
          <w:p w14:paraId="48AF1100">
            <w:pPr>
              <w:pStyle w:val="4"/>
              <w:jc w:val="left"/>
            </w:pPr>
            <w:r>
              <w:rPr>
                <w:rFonts w:ascii="仿宋_GB2312" w:hAnsi="仿宋_GB2312" w:eastAsia="仿宋_GB2312" w:cs="仿宋_GB2312"/>
              </w:rPr>
              <w:t>A02430900 无人机</w:t>
            </w:r>
          </w:p>
        </w:tc>
        <w:tc>
          <w:tcPr>
            <w:tcW w:w="2492" w:type="dxa"/>
          </w:tcPr>
          <w:p w14:paraId="40373451">
            <w:pPr>
              <w:pStyle w:val="4"/>
              <w:jc w:val="left"/>
            </w:pPr>
            <w:r>
              <w:rPr>
                <w:rFonts w:ascii="仿宋_GB2312" w:hAnsi="仿宋_GB2312" w:eastAsia="仿宋_GB2312" w:cs="仿宋_GB2312"/>
              </w:rPr>
              <w:t>邛崃市镇(街道)应急管理能力建设重点项目无人机及机巢采购（具体标的名称详见采购清单）</w:t>
            </w:r>
          </w:p>
        </w:tc>
        <w:tc>
          <w:tcPr>
            <w:tcW w:w="2492" w:type="dxa"/>
          </w:tcPr>
          <w:p w14:paraId="10A0D56E">
            <w:pPr>
              <w:pStyle w:val="4"/>
              <w:jc w:val="left"/>
            </w:pPr>
            <w:r>
              <w:rPr>
                <w:rFonts w:ascii="仿宋_GB2312" w:hAnsi="仿宋_GB2312" w:eastAsia="仿宋_GB2312" w:cs="仿宋_GB2312"/>
              </w:rPr>
              <w:t>轻型多旋翼无人机、小型多旋翼无人机</w:t>
            </w:r>
          </w:p>
        </w:tc>
      </w:tr>
    </w:tbl>
    <w:p w14:paraId="7ABE10E3">
      <w:pPr>
        <w:pStyle w:val="4"/>
        <w:ind w:firstLine="480"/>
        <w:jc w:val="left"/>
      </w:pPr>
      <w:r>
        <w:rPr>
          <w:rFonts w:ascii="仿宋_GB2312" w:hAnsi="仿宋_GB2312" w:eastAsia="仿宋_GB2312" w:cs="仿宋_GB2312"/>
        </w:rPr>
        <w:t>注：涉及核心产品的，具体评审规定见第五章。</w:t>
      </w:r>
    </w:p>
    <w:p w14:paraId="5D3BC90E">
      <w:pPr>
        <w:pStyle w:val="4"/>
        <w:jc w:val="left"/>
        <w:outlineLvl w:val="3"/>
      </w:pPr>
      <w:r>
        <w:rPr>
          <w:rFonts w:ascii="仿宋_GB2312" w:hAnsi="仿宋_GB2312" w:eastAsia="仿宋_GB2312" w:cs="仿宋_GB2312"/>
          <w:b/>
          <w:sz w:val="24"/>
        </w:rPr>
        <w:t>本项目涉及采购进口产品：</w:t>
      </w:r>
    </w:p>
    <w:p w14:paraId="367EE8F8">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11A0BC1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05DB756F">
            <w:pPr>
              <w:pStyle w:val="4"/>
              <w:jc w:val="center"/>
            </w:pPr>
            <w:r>
              <w:rPr>
                <w:rFonts w:ascii="仿宋_GB2312" w:hAnsi="仿宋_GB2312" w:eastAsia="仿宋_GB2312" w:cs="仿宋_GB2312"/>
              </w:rPr>
              <w:t>序号</w:t>
            </w:r>
          </w:p>
        </w:tc>
        <w:tc>
          <w:tcPr>
            <w:tcW w:w="2492" w:type="dxa"/>
          </w:tcPr>
          <w:p w14:paraId="63276AA0">
            <w:pPr>
              <w:pStyle w:val="4"/>
              <w:jc w:val="center"/>
            </w:pPr>
            <w:r>
              <w:rPr>
                <w:rFonts w:ascii="仿宋_GB2312" w:hAnsi="仿宋_GB2312" w:eastAsia="仿宋_GB2312" w:cs="仿宋_GB2312"/>
              </w:rPr>
              <w:t>采购品目名称</w:t>
            </w:r>
          </w:p>
        </w:tc>
        <w:tc>
          <w:tcPr>
            <w:tcW w:w="2492" w:type="dxa"/>
          </w:tcPr>
          <w:p w14:paraId="1ED14CC6">
            <w:pPr>
              <w:pStyle w:val="4"/>
              <w:jc w:val="center"/>
            </w:pPr>
            <w:r>
              <w:rPr>
                <w:rFonts w:ascii="仿宋_GB2312" w:hAnsi="仿宋_GB2312" w:eastAsia="仿宋_GB2312" w:cs="仿宋_GB2312"/>
              </w:rPr>
              <w:t>标的名称</w:t>
            </w:r>
          </w:p>
        </w:tc>
        <w:tc>
          <w:tcPr>
            <w:tcW w:w="2492" w:type="dxa"/>
          </w:tcPr>
          <w:p w14:paraId="6C8EC169">
            <w:pPr>
              <w:pStyle w:val="4"/>
              <w:jc w:val="center"/>
            </w:pPr>
            <w:r>
              <w:rPr>
                <w:rFonts w:ascii="仿宋_GB2312" w:hAnsi="仿宋_GB2312" w:eastAsia="仿宋_GB2312" w:cs="仿宋_GB2312"/>
              </w:rPr>
              <w:t>产品名称</w:t>
            </w:r>
          </w:p>
        </w:tc>
      </w:tr>
      <w:tr w14:paraId="6AAF295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699E2C4B">
            <w:pPr>
              <w:pStyle w:val="4"/>
              <w:jc w:val="center"/>
            </w:pPr>
            <w:r>
              <w:rPr>
                <w:rFonts w:ascii="仿宋_GB2312" w:hAnsi="仿宋_GB2312" w:eastAsia="仿宋_GB2312" w:cs="仿宋_GB2312"/>
              </w:rPr>
              <w:t>不涉及</w:t>
            </w:r>
          </w:p>
        </w:tc>
      </w:tr>
    </w:tbl>
    <w:p w14:paraId="4E385530">
      <w:pPr>
        <w:pStyle w:val="4"/>
        <w:ind w:firstLine="480"/>
        <w:jc w:val="left"/>
      </w:pPr>
      <w:r>
        <w:rPr>
          <w:rFonts w:ascii="仿宋_GB2312" w:hAnsi="仿宋_GB2312" w:eastAsia="仿宋_GB2312" w:cs="仿宋_GB2312"/>
        </w:rPr>
        <w:t>★注：不涉及采购进口产品时，投标人不得提供进口产品进行响应；涉及采购进口产品时，如国产产品满足采购需求，也可提供国产产品进行响应。</w:t>
      </w:r>
    </w:p>
    <w:p w14:paraId="31528BAD">
      <w:pPr>
        <w:pStyle w:val="4"/>
        <w:jc w:val="left"/>
        <w:outlineLvl w:val="3"/>
      </w:pPr>
      <w:r>
        <w:rPr>
          <w:rFonts w:ascii="仿宋_GB2312" w:hAnsi="仿宋_GB2312" w:eastAsia="仿宋_GB2312" w:cs="仿宋_GB2312"/>
          <w:b/>
          <w:sz w:val="24"/>
        </w:rPr>
        <w:t>本项目涉及强制采购节能产品：</w:t>
      </w:r>
    </w:p>
    <w:p w14:paraId="529D58FF">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393FAD4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2D9498C8">
            <w:pPr>
              <w:pStyle w:val="4"/>
              <w:jc w:val="center"/>
            </w:pPr>
            <w:r>
              <w:rPr>
                <w:rFonts w:ascii="仿宋_GB2312" w:hAnsi="仿宋_GB2312" w:eastAsia="仿宋_GB2312" w:cs="仿宋_GB2312"/>
              </w:rPr>
              <w:t>序号</w:t>
            </w:r>
          </w:p>
        </w:tc>
        <w:tc>
          <w:tcPr>
            <w:tcW w:w="2492" w:type="dxa"/>
          </w:tcPr>
          <w:p w14:paraId="2763F88D">
            <w:pPr>
              <w:pStyle w:val="4"/>
              <w:jc w:val="center"/>
            </w:pPr>
            <w:r>
              <w:rPr>
                <w:rFonts w:ascii="仿宋_GB2312" w:hAnsi="仿宋_GB2312" w:eastAsia="仿宋_GB2312" w:cs="仿宋_GB2312"/>
              </w:rPr>
              <w:t>采购品目名称</w:t>
            </w:r>
          </w:p>
        </w:tc>
        <w:tc>
          <w:tcPr>
            <w:tcW w:w="2492" w:type="dxa"/>
          </w:tcPr>
          <w:p w14:paraId="59C37D5E">
            <w:pPr>
              <w:pStyle w:val="4"/>
              <w:jc w:val="center"/>
            </w:pPr>
            <w:r>
              <w:rPr>
                <w:rFonts w:ascii="仿宋_GB2312" w:hAnsi="仿宋_GB2312" w:eastAsia="仿宋_GB2312" w:cs="仿宋_GB2312"/>
              </w:rPr>
              <w:t>标的名称</w:t>
            </w:r>
          </w:p>
        </w:tc>
        <w:tc>
          <w:tcPr>
            <w:tcW w:w="2492" w:type="dxa"/>
          </w:tcPr>
          <w:p w14:paraId="4A8239D1">
            <w:pPr>
              <w:pStyle w:val="4"/>
              <w:jc w:val="center"/>
            </w:pPr>
            <w:r>
              <w:rPr>
                <w:rFonts w:ascii="仿宋_GB2312" w:hAnsi="仿宋_GB2312" w:eastAsia="仿宋_GB2312" w:cs="仿宋_GB2312"/>
              </w:rPr>
              <w:t>产品名称</w:t>
            </w:r>
          </w:p>
        </w:tc>
      </w:tr>
      <w:tr w14:paraId="3EAD1E5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104B0596">
            <w:pPr>
              <w:pStyle w:val="4"/>
              <w:jc w:val="center"/>
            </w:pPr>
            <w:r>
              <w:rPr>
                <w:rFonts w:ascii="仿宋_GB2312" w:hAnsi="仿宋_GB2312" w:eastAsia="仿宋_GB2312" w:cs="仿宋_GB2312"/>
              </w:rPr>
              <w:t>不涉及</w:t>
            </w:r>
          </w:p>
        </w:tc>
      </w:tr>
    </w:tbl>
    <w:p w14:paraId="35D43C7C">
      <w:pPr>
        <w:pStyle w:val="4"/>
        <w:ind w:firstLine="480"/>
        <w:jc w:val="left"/>
      </w:pPr>
      <w:r>
        <w:rPr>
          <w:rFonts w:ascii="仿宋_GB2312" w:hAnsi="仿宋_GB2312" w:eastAsia="仿宋_GB2312" w:cs="仿宋_GB2312"/>
        </w:rPr>
        <w:t>★注：响应产品属于《节能产品政府采购品目清单》中政府强制采购的产品，投标人应当提供由国家确定的认证机构出具的、处于有效期之内的节能产品认证证书的原件扫描件或“全国认证认可信息公共服务平台”（http://cx.cnca.cn）的认证信息截图，否则作无效投标处理。具体要求详见第五章符合性审查表。</w:t>
      </w:r>
    </w:p>
    <w:p w14:paraId="4B03B5FF">
      <w:pPr>
        <w:pStyle w:val="4"/>
        <w:jc w:val="left"/>
      </w:pPr>
      <w:r>
        <w:rPr>
          <w:rFonts w:ascii="仿宋_GB2312" w:hAnsi="仿宋_GB2312" w:eastAsia="仿宋_GB2312" w:cs="仿宋_GB2312"/>
          <w:b/>
        </w:rPr>
        <w:t>本项目涉及优先采购节能产品：</w:t>
      </w:r>
    </w:p>
    <w:p w14:paraId="445B223D">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70EFEA1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2790F056">
            <w:pPr>
              <w:pStyle w:val="4"/>
              <w:jc w:val="center"/>
            </w:pPr>
            <w:r>
              <w:rPr>
                <w:rFonts w:ascii="仿宋_GB2312" w:hAnsi="仿宋_GB2312" w:eastAsia="仿宋_GB2312" w:cs="仿宋_GB2312"/>
              </w:rPr>
              <w:t>序号</w:t>
            </w:r>
          </w:p>
        </w:tc>
        <w:tc>
          <w:tcPr>
            <w:tcW w:w="2492" w:type="dxa"/>
          </w:tcPr>
          <w:p w14:paraId="1D7FEE2B">
            <w:pPr>
              <w:pStyle w:val="4"/>
              <w:jc w:val="center"/>
            </w:pPr>
            <w:r>
              <w:rPr>
                <w:rFonts w:ascii="仿宋_GB2312" w:hAnsi="仿宋_GB2312" w:eastAsia="仿宋_GB2312" w:cs="仿宋_GB2312"/>
              </w:rPr>
              <w:t>采购品目名称</w:t>
            </w:r>
          </w:p>
        </w:tc>
        <w:tc>
          <w:tcPr>
            <w:tcW w:w="2492" w:type="dxa"/>
          </w:tcPr>
          <w:p w14:paraId="2608E7E6">
            <w:pPr>
              <w:pStyle w:val="4"/>
              <w:jc w:val="center"/>
            </w:pPr>
            <w:r>
              <w:rPr>
                <w:rFonts w:ascii="仿宋_GB2312" w:hAnsi="仿宋_GB2312" w:eastAsia="仿宋_GB2312" w:cs="仿宋_GB2312"/>
              </w:rPr>
              <w:t>标的名称</w:t>
            </w:r>
          </w:p>
        </w:tc>
        <w:tc>
          <w:tcPr>
            <w:tcW w:w="2492" w:type="dxa"/>
          </w:tcPr>
          <w:p w14:paraId="713606DC">
            <w:pPr>
              <w:pStyle w:val="4"/>
              <w:jc w:val="center"/>
            </w:pPr>
            <w:r>
              <w:rPr>
                <w:rFonts w:ascii="仿宋_GB2312" w:hAnsi="仿宋_GB2312" w:eastAsia="仿宋_GB2312" w:cs="仿宋_GB2312"/>
              </w:rPr>
              <w:t>产品名称</w:t>
            </w:r>
          </w:p>
        </w:tc>
      </w:tr>
      <w:tr w14:paraId="70ADF90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1C433C22">
            <w:pPr>
              <w:pStyle w:val="4"/>
              <w:jc w:val="center"/>
            </w:pPr>
            <w:r>
              <w:rPr>
                <w:rFonts w:ascii="仿宋_GB2312" w:hAnsi="仿宋_GB2312" w:eastAsia="仿宋_GB2312" w:cs="仿宋_GB2312"/>
              </w:rPr>
              <w:t>不涉及</w:t>
            </w:r>
          </w:p>
        </w:tc>
      </w:tr>
    </w:tbl>
    <w:p w14:paraId="52B43B9B">
      <w:pPr>
        <w:pStyle w:val="4"/>
        <w:ind w:firstLine="480"/>
        <w:jc w:val="left"/>
      </w:pPr>
      <w:r>
        <w:rPr>
          <w:rFonts w:ascii="仿宋_GB2312" w:hAnsi="仿宋_GB2312" w:eastAsia="仿宋_GB2312" w:cs="仿宋_GB2312"/>
        </w:rPr>
        <w:t>注：响应产品属于《节能产品政府采购品目清单》中优先采购的产品，投标人提供由国家确定的认证机构出具的、处于有效期之内的节能产品认证证书的原件扫描件或“全国认证认可信息公共服务平台”（http://cx.cnca.cn）的认证信息截图，可以享受优先采购政策。具体要求详见第五章规定。</w:t>
      </w:r>
    </w:p>
    <w:p w14:paraId="1A13D16C">
      <w:pPr>
        <w:pStyle w:val="4"/>
        <w:jc w:val="left"/>
        <w:outlineLvl w:val="3"/>
      </w:pPr>
      <w:r>
        <w:rPr>
          <w:rFonts w:ascii="仿宋_GB2312" w:hAnsi="仿宋_GB2312" w:eastAsia="仿宋_GB2312" w:cs="仿宋_GB2312"/>
          <w:b/>
          <w:sz w:val="24"/>
        </w:rPr>
        <w:t>本项目涉及优先采购环境标志产品：</w:t>
      </w:r>
    </w:p>
    <w:p w14:paraId="0C939DB6">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099976F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5991F315">
            <w:pPr>
              <w:pStyle w:val="4"/>
              <w:jc w:val="center"/>
            </w:pPr>
            <w:r>
              <w:rPr>
                <w:rFonts w:ascii="仿宋_GB2312" w:hAnsi="仿宋_GB2312" w:eastAsia="仿宋_GB2312" w:cs="仿宋_GB2312"/>
              </w:rPr>
              <w:t>序号</w:t>
            </w:r>
          </w:p>
        </w:tc>
        <w:tc>
          <w:tcPr>
            <w:tcW w:w="2492" w:type="dxa"/>
          </w:tcPr>
          <w:p w14:paraId="5B856641">
            <w:pPr>
              <w:pStyle w:val="4"/>
              <w:jc w:val="center"/>
            </w:pPr>
            <w:r>
              <w:rPr>
                <w:rFonts w:ascii="仿宋_GB2312" w:hAnsi="仿宋_GB2312" w:eastAsia="仿宋_GB2312" w:cs="仿宋_GB2312"/>
              </w:rPr>
              <w:t>采购品目名称</w:t>
            </w:r>
          </w:p>
        </w:tc>
        <w:tc>
          <w:tcPr>
            <w:tcW w:w="2492" w:type="dxa"/>
          </w:tcPr>
          <w:p w14:paraId="45524CCF">
            <w:pPr>
              <w:pStyle w:val="4"/>
              <w:jc w:val="center"/>
            </w:pPr>
            <w:r>
              <w:rPr>
                <w:rFonts w:ascii="仿宋_GB2312" w:hAnsi="仿宋_GB2312" w:eastAsia="仿宋_GB2312" w:cs="仿宋_GB2312"/>
              </w:rPr>
              <w:t>标的名称</w:t>
            </w:r>
          </w:p>
        </w:tc>
        <w:tc>
          <w:tcPr>
            <w:tcW w:w="2492" w:type="dxa"/>
          </w:tcPr>
          <w:p w14:paraId="54304947">
            <w:pPr>
              <w:pStyle w:val="4"/>
              <w:jc w:val="center"/>
            </w:pPr>
            <w:r>
              <w:rPr>
                <w:rFonts w:ascii="仿宋_GB2312" w:hAnsi="仿宋_GB2312" w:eastAsia="仿宋_GB2312" w:cs="仿宋_GB2312"/>
              </w:rPr>
              <w:t>产品名称</w:t>
            </w:r>
          </w:p>
        </w:tc>
      </w:tr>
      <w:tr w14:paraId="2946794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7FBEA289">
            <w:pPr>
              <w:pStyle w:val="4"/>
              <w:jc w:val="center"/>
            </w:pPr>
            <w:r>
              <w:rPr>
                <w:rFonts w:ascii="仿宋_GB2312" w:hAnsi="仿宋_GB2312" w:eastAsia="仿宋_GB2312" w:cs="仿宋_GB2312"/>
              </w:rPr>
              <w:t>不涉及</w:t>
            </w:r>
          </w:p>
        </w:tc>
      </w:tr>
    </w:tbl>
    <w:p w14:paraId="174370B4">
      <w:pPr>
        <w:pStyle w:val="4"/>
        <w:ind w:firstLine="480"/>
        <w:jc w:val="left"/>
      </w:pPr>
      <w:r>
        <w:rPr>
          <w:rFonts w:ascii="仿宋_GB2312" w:hAnsi="仿宋_GB2312" w:eastAsia="仿宋_GB2312" w:cs="仿宋_GB2312"/>
        </w:rPr>
        <w:t>注：响应产品属于《环境标志产品政府采购品目清单》中的产品，投标人提供由国家确定的认证机构出具的、处于有效期之内的环境标志产品认证证书的原件扫描件或“全国认证认可信息公共服务平台”（http://cx.cnca.cn）的认证信息截图，可以享受优先采购政策。具体要求详见第五章规定。</w:t>
      </w:r>
    </w:p>
    <w:p w14:paraId="143E0B1D">
      <w:pPr>
        <w:pStyle w:val="4"/>
        <w:jc w:val="left"/>
        <w:outlineLvl w:val="2"/>
      </w:pPr>
      <w:r>
        <w:rPr>
          <w:rFonts w:ascii="仿宋_GB2312" w:hAnsi="仿宋_GB2312" w:eastAsia="仿宋_GB2312" w:cs="仿宋_GB2312"/>
          <w:b/>
          <w:sz w:val="28"/>
        </w:rPr>
        <w:t>3.2.技术要求</w:t>
      </w:r>
    </w:p>
    <w:p w14:paraId="1C75233A">
      <w:pPr>
        <w:pStyle w:val="4"/>
        <w:jc w:val="left"/>
      </w:pPr>
      <w:r>
        <w:rPr>
          <w:rFonts w:ascii="仿宋_GB2312" w:hAnsi="仿宋_GB2312" w:eastAsia="仿宋_GB2312" w:cs="仿宋_GB2312"/>
        </w:rPr>
        <w:t>采购包1：</w:t>
      </w:r>
    </w:p>
    <w:p w14:paraId="6E3DB3ED">
      <w:pPr>
        <w:pStyle w:val="4"/>
        <w:jc w:val="left"/>
      </w:pPr>
      <w:r>
        <w:rPr>
          <w:rFonts w:ascii="仿宋_GB2312" w:hAnsi="仿宋_GB2312" w:eastAsia="仿宋_GB2312" w:cs="仿宋_GB2312"/>
        </w:rPr>
        <w:t>标的名称：邛崃市镇(街道)应急管理能力建设重点项目无人机及机巢采购（具体标的名称详见采购清单）</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4921B46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415" w:type="dxa"/>
          </w:tcPr>
          <w:p w14:paraId="4B62E439">
            <w:pPr>
              <w:pStyle w:val="4"/>
              <w:jc w:val="center"/>
            </w:pPr>
            <w:r>
              <w:rPr>
                <w:rFonts w:ascii="仿宋_GB2312" w:hAnsi="仿宋_GB2312" w:eastAsia="仿宋_GB2312" w:cs="仿宋_GB2312"/>
              </w:rPr>
              <w:t>序号</w:t>
            </w:r>
          </w:p>
        </w:tc>
        <w:tc>
          <w:tcPr>
            <w:tcW w:w="581" w:type="dxa"/>
          </w:tcPr>
          <w:p w14:paraId="0274EE74">
            <w:pPr>
              <w:pStyle w:val="4"/>
              <w:jc w:val="center"/>
            </w:pPr>
            <w:r>
              <w:rPr>
                <w:rFonts w:ascii="仿宋_GB2312" w:hAnsi="仿宋_GB2312" w:eastAsia="仿宋_GB2312" w:cs="仿宋_GB2312"/>
              </w:rPr>
              <w:t>符号标识</w:t>
            </w:r>
          </w:p>
        </w:tc>
        <w:tc>
          <w:tcPr>
            <w:tcW w:w="1495" w:type="dxa"/>
          </w:tcPr>
          <w:p w14:paraId="3E9E3742">
            <w:pPr>
              <w:pStyle w:val="4"/>
              <w:jc w:val="center"/>
            </w:pPr>
            <w:r>
              <w:rPr>
                <w:rFonts w:ascii="仿宋_GB2312" w:hAnsi="仿宋_GB2312" w:eastAsia="仿宋_GB2312" w:cs="仿宋_GB2312"/>
              </w:rPr>
              <w:t>技术要求名称</w:t>
            </w:r>
          </w:p>
        </w:tc>
        <w:tc>
          <w:tcPr>
            <w:tcW w:w="5814" w:type="dxa"/>
          </w:tcPr>
          <w:p w14:paraId="28D7FD81">
            <w:pPr>
              <w:pStyle w:val="4"/>
              <w:jc w:val="center"/>
            </w:pPr>
            <w:r>
              <w:rPr>
                <w:rFonts w:ascii="仿宋_GB2312" w:hAnsi="仿宋_GB2312" w:eastAsia="仿宋_GB2312" w:cs="仿宋_GB2312"/>
              </w:rPr>
              <w:t>技术参数与性能指标</w:t>
            </w:r>
          </w:p>
        </w:tc>
      </w:tr>
      <w:tr w14:paraId="400AF0B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4E00959">
            <w:pPr>
              <w:pStyle w:val="4"/>
              <w:jc w:val="center"/>
            </w:pPr>
            <w:r>
              <w:rPr>
                <w:rFonts w:ascii="仿宋_GB2312" w:hAnsi="仿宋_GB2312" w:eastAsia="仿宋_GB2312" w:cs="仿宋_GB2312"/>
              </w:rPr>
              <w:t>1</w:t>
            </w:r>
          </w:p>
        </w:tc>
        <w:tc>
          <w:tcPr>
            <w:tcW w:w="581" w:type="dxa"/>
          </w:tcPr>
          <w:p w14:paraId="369F9A41"/>
        </w:tc>
        <w:tc>
          <w:tcPr>
            <w:tcW w:w="1495" w:type="dxa"/>
          </w:tcPr>
          <w:p w14:paraId="5D38E29F">
            <w:pPr>
              <w:pStyle w:val="4"/>
              <w:jc w:val="left"/>
            </w:pPr>
            <w:r>
              <w:rPr>
                <w:rFonts w:ascii="仿宋_GB2312" w:hAnsi="仿宋_GB2312" w:eastAsia="仿宋_GB2312" w:cs="仿宋_GB2312"/>
              </w:rPr>
              <w:t>标的信息汇总（采购清单）</w:t>
            </w:r>
          </w:p>
        </w:tc>
        <w:tc>
          <w:tcPr>
            <w:tcW w:w="5814" w:type="dxa"/>
          </w:tcPr>
          <w:tbl>
            <w:tblPr>
              <w:tblStyle w:val="2"/>
              <w:tblW w:w="0" w:type="auto"/>
              <w:tblInd w:w="135"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420"/>
              <w:gridCol w:w="857"/>
              <w:gridCol w:w="525"/>
              <w:gridCol w:w="696"/>
              <w:gridCol w:w="534"/>
              <w:gridCol w:w="598"/>
              <w:gridCol w:w="534"/>
              <w:gridCol w:w="598"/>
              <w:gridCol w:w="696"/>
            </w:tblGrid>
            <w:tr w14:paraId="1840855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90"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6944E6E1">
                  <w:pPr>
                    <w:pStyle w:val="4"/>
                    <w:jc w:val="center"/>
                  </w:pPr>
                  <w:r>
                    <w:rPr>
                      <w:rFonts w:ascii="仿宋_GB2312" w:hAnsi="仿宋_GB2312" w:eastAsia="仿宋_GB2312" w:cs="仿宋_GB2312"/>
                      <w:sz w:val="21"/>
                    </w:rPr>
                    <w:t>序号</w:t>
                  </w:r>
                </w:p>
              </w:tc>
              <w:tc>
                <w:tcPr>
                  <w:tcW w:w="915"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1C8C7827">
                  <w:pPr>
                    <w:pStyle w:val="4"/>
                    <w:jc w:val="center"/>
                  </w:pPr>
                  <w:r>
                    <w:rPr>
                      <w:rFonts w:ascii="仿宋_GB2312" w:hAnsi="仿宋_GB2312" w:eastAsia="仿宋_GB2312" w:cs="仿宋_GB2312"/>
                      <w:sz w:val="21"/>
                    </w:rPr>
                    <w:t>标的名称</w:t>
                  </w:r>
                </w:p>
              </w:tc>
              <w:tc>
                <w:tcPr>
                  <w:tcW w:w="488"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75BD6AB7">
                  <w:pPr>
                    <w:pStyle w:val="4"/>
                    <w:jc w:val="center"/>
                  </w:pPr>
                  <w:r>
                    <w:rPr>
                      <w:rFonts w:ascii="仿宋_GB2312" w:hAnsi="仿宋_GB2312" w:eastAsia="仿宋_GB2312" w:cs="仿宋_GB2312"/>
                      <w:sz w:val="21"/>
                    </w:rPr>
                    <w:t>数量</w:t>
                  </w:r>
                  <w:r>
                    <w:br w:type="textWrapping"/>
                  </w:r>
                  <w:r>
                    <w:rPr>
                      <w:rFonts w:ascii="仿宋_GB2312" w:hAnsi="仿宋_GB2312" w:eastAsia="仿宋_GB2312" w:cs="仿宋_GB2312"/>
                      <w:sz w:val="21"/>
                    </w:rPr>
                    <w:t>(计量单位)</w:t>
                  </w:r>
                </w:p>
              </w:tc>
              <w:tc>
                <w:tcPr>
                  <w:tcW w:w="732"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2D6A5039">
                  <w:pPr>
                    <w:pStyle w:val="4"/>
                    <w:jc w:val="center"/>
                  </w:pPr>
                  <w:r>
                    <w:rPr>
                      <w:rFonts w:ascii="仿宋_GB2312" w:hAnsi="仿宋_GB2312" w:eastAsia="仿宋_GB2312" w:cs="仿宋_GB2312"/>
                      <w:sz w:val="21"/>
                    </w:rPr>
                    <w:t>所属行业</w:t>
                  </w:r>
                </w:p>
              </w:tc>
              <w:tc>
                <w:tcPr>
                  <w:tcW w:w="549"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3F7F56EA">
                  <w:pPr>
                    <w:pStyle w:val="4"/>
                    <w:jc w:val="center"/>
                  </w:pPr>
                  <w:r>
                    <w:rPr>
                      <w:rFonts w:ascii="仿宋_GB2312" w:hAnsi="仿宋_GB2312" w:eastAsia="仿宋_GB2312" w:cs="仿宋_GB2312"/>
                      <w:sz w:val="21"/>
                    </w:rPr>
                    <w:t>是否涉及核心产品</w:t>
                  </w:r>
                </w:p>
              </w:tc>
              <w:tc>
                <w:tcPr>
                  <w:tcW w:w="622"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19079F66">
                  <w:pPr>
                    <w:pStyle w:val="4"/>
                    <w:jc w:val="center"/>
                  </w:pPr>
                  <w:r>
                    <w:rPr>
                      <w:rFonts w:ascii="仿宋_GB2312" w:hAnsi="仿宋_GB2312" w:eastAsia="仿宋_GB2312" w:cs="仿宋_GB2312"/>
                      <w:sz w:val="21"/>
                    </w:rPr>
                    <w:t>是否涉及采购进口产品</w:t>
                  </w:r>
                </w:p>
              </w:tc>
              <w:tc>
                <w:tcPr>
                  <w:tcW w:w="549"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2B2063BA">
                  <w:pPr>
                    <w:pStyle w:val="4"/>
                    <w:jc w:val="center"/>
                  </w:pPr>
                  <w:r>
                    <w:rPr>
                      <w:rFonts w:ascii="仿宋_GB2312" w:hAnsi="仿宋_GB2312" w:eastAsia="仿宋_GB2312" w:cs="仿宋_GB2312"/>
                      <w:sz w:val="21"/>
                    </w:rPr>
                    <w:t>是否涉及强制采购节能产品</w:t>
                  </w:r>
                </w:p>
              </w:tc>
              <w:tc>
                <w:tcPr>
                  <w:tcW w:w="622"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23053696">
                  <w:pPr>
                    <w:pStyle w:val="4"/>
                    <w:jc w:val="center"/>
                  </w:pPr>
                  <w:r>
                    <w:rPr>
                      <w:rFonts w:ascii="仿宋_GB2312" w:hAnsi="仿宋_GB2312" w:eastAsia="仿宋_GB2312" w:cs="仿宋_GB2312"/>
                      <w:sz w:val="21"/>
                    </w:rPr>
                    <w:t>是否涉及优先采购节能产品</w:t>
                  </w:r>
                </w:p>
              </w:tc>
              <w:tc>
                <w:tcPr>
                  <w:tcW w:w="732"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10F7A829">
                  <w:pPr>
                    <w:pStyle w:val="4"/>
                    <w:jc w:val="center"/>
                  </w:pPr>
                  <w:r>
                    <w:rPr>
                      <w:rFonts w:ascii="仿宋_GB2312" w:hAnsi="仿宋_GB2312" w:eastAsia="仿宋_GB2312" w:cs="仿宋_GB2312"/>
                      <w:sz w:val="21"/>
                    </w:rPr>
                    <w:t>是否涉及优先采购环境标志产品</w:t>
                  </w:r>
                </w:p>
              </w:tc>
            </w:tr>
            <w:tr w14:paraId="3505AFB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9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9D28BF7">
                  <w:pPr>
                    <w:pStyle w:val="4"/>
                    <w:jc w:val="left"/>
                  </w:pPr>
                  <w:r>
                    <w:rPr>
                      <w:rFonts w:ascii="仿宋_GB2312" w:hAnsi="仿宋_GB2312" w:eastAsia="仿宋_GB2312" w:cs="仿宋_GB2312"/>
                      <w:sz w:val="21"/>
                    </w:rPr>
                    <w:t>1</w:t>
                  </w:r>
                </w:p>
              </w:tc>
              <w:tc>
                <w:tcPr>
                  <w:tcW w:w="91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7774A68">
                  <w:pPr>
                    <w:pStyle w:val="4"/>
                    <w:jc w:val="left"/>
                  </w:pPr>
                  <w:r>
                    <w:rPr>
                      <w:rFonts w:ascii="仿宋_GB2312" w:hAnsi="仿宋_GB2312" w:eastAsia="仿宋_GB2312" w:cs="仿宋_GB2312"/>
                      <w:sz w:val="19"/>
                    </w:rPr>
                    <w:t>轻型多旋翼无人机机巢</w:t>
                  </w:r>
                </w:p>
                <w:p w14:paraId="5775D24A">
                  <w:pPr>
                    <w:pStyle w:val="4"/>
                    <w:jc w:val="center"/>
                  </w:pPr>
                </w:p>
              </w:tc>
              <w:tc>
                <w:tcPr>
                  <w:tcW w:w="488" w:type="dxa"/>
                  <w:tcBorders>
                    <w:top w:val="nil"/>
                    <w:left w:val="nil"/>
                    <w:bottom w:val="single" w:color="000000" w:sz="4" w:space="0"/>
                    <w:right w:val="single" w:color="000000" w:sz="4" w:space="0"/>
                  </w:tcBorders>
                  <w:tcMar>
                    <w:top w:w="0" w:type="dxa"/>
                    <w:left w:w="105" w:type="dxa"/>
                    <w:bottom w:w="0" w:type="dxa"/>
                    <w:right w:w="105" w:type="dxa"/>
                  </w:tcMar>
                  <w:vAlign w:val="top"/>
                </w:tcPr>
                <w:p w14:paraId="381B83CE">
                  <w:pPr>
                    <w:pStyle w:val="4"/>
                    <w:jc w:val="left"/>
                  </w:pPr>
                  <w:r>
                    <w:rPr>
                      <w:rFonts w:ascii="仿宋_GB2312" w:hAnsi="仿宋_GB2312" w:eastAsia="仿宋_GB2312" w:cs="仿宋_GB2312"/>
                      <w:sz w:val="19"/>
                    </w:rPr>
                    <w:t>6套</w:t>
                  </w:r>
                </w:p>
              </w:tc>
              <w:tc>
                <w:tcPr>
                  <w:tcW w:w="732" w:type="dxa"/>
                  <w:tcBorders>
                    <w:top w:val="nil"/>
                    <w:left w:val="nil"/>
                    <w:bottom w:val="single" w:color="000000" w:sz="4" w:space="0"/>
                    <w:right w:val="single" w:color="000000" w:sz="4" w:space="0"/>
                  </w:tcBorders>
                  <w:tcMar>
                    <w:top w:w="0" w:type="dxa"/>
                    <w:left w:w="105" w:type="dxa"/>
                    <w:bottom w:w="0" w:type="dxa"/>
                    <w:right w:w="105" w:type="dxa"/>
                  </w:tcMar>
                  <w:vAlign w:val="top"/>
                </w:tcPr>
                <w:p w14:paraId="112BE3F0">
                  <w:pPr>
                    <w:pStyle w:val="4"/>
                    <w:jc w:val="left"/>
                  </w:pPr>
                  <w:r>
                    <w:rPr>
                      <w:rFonts w:ascii="仿宋_GB2312" w:hAnsi="仿宋_GB2312" w:eastAsia="仿宋_GB2312" w:cs="仿宋_GB2312"/>
                      <w:sz w:val="21"/>
                    </w:rPr>
                    <w:t>工业</w:t>
                  </w:r>
                </w:p>
              </w:tc>
              <w:tc>
                <w:tcPr>
                  <w:tcW w:w="549" w:type="dxa"/>
                  <w:tcBorders>
                    <w:top w:val="nil"/>
                    <w:left w:val="nil"/>
                    <w:bottom w:val="single" w:color="000000" w:sz="4" w:space="0"/>
                    <w:right w:val="single" w:color="000000" w:sz="4" w:space="0"/>
                  </w:tcBorders>
                  <w:tcMar>
                    <w:top w:w="0" w:type="dxa"/>
                    <w:left w:w="105" w:type="dxa"/>
                    <w:bottom w:w="0" w:type="dxa"/>
                    <w:right w:w="105" w:type="dxa"/>
                  </w:tcMar>
                  <w:vAlign w:val="top"/>
                </w:tcPr>
                <w:p w14:paraId="38106FC5">
                  <w:pPr>
                    <w:pStyle w:val="4"/>
                    <w:jc w:val="left"/>
                  </w:pPr>
                  <w:r>
                    <w:rPr>
                      <w:rFonts w:ascii="仿宋_GB2312" w:hAnsi="仿宋_GB2312" w:eastAsia="仿宋_GB2312" w:cs="仿宋_GB2312"/>
                      <w:sz w:val="21"/>
                    </w:rPr>
                    <w:t>否</w:t>
                  </w:r>
                </w:p>
              </w:tc>
              <w:tc>
                <w:tcPr>
                  <w:tcW w:w="622" w:type="dxa"/>
                  <w:tcBorders>
                    <w:top w:val="nil"/>
                    <w:left w:val="nil"/>
                    <w:bottom w:val="single" w:color="000000" w:sz="4" w:space="0"/>
                    <w:right w:val="single" w:color="000000" w:sz="4" w:space="0"/>
                  </w:tcBorders>
                  <w:tcMar>
                    <w:top w:w="0" w:type="dxa"/>
                    <w:left w:w="105" w:type="dxa"/>
                    <w:bottom w:w="0" w:type="dxa"/>
                    <w:right w:w="105" w:type="dxa"/>
                  </w:tcMar>
                  <w:vAlign w:val="top"/>
                </w:tcPr>
                <w:p w14:paraId="113A7657">
                  <w:pPr>
                    <w:pStyle w:val="4"/>
                    <w:jc w:val="left"/>
                  </w:pPr>
                  <w:r>
                    <w:rPr>
                      <w:rFonts w:ascii="仿宋_GB2312" w:hAnsi="仿宋_GB2312" w:eastAsia="仿宋_GB2312" w:cs="仿宋_GB2312"/>
                      <w:sz w:val="21"/>
                    </w:rPr>
                    <w:t>否</w:t>
                  </w:r>
                </w:p>
              </w:tc>
              <w:tc>
                <w:tcPr>
                  <w:tcW w:w="549" w:type="dxa"/>
                  <w:tcBorders>
                    <w:top w:val="nil"/>
                    <w:left w:val="nil"/>
                    <w:bottom w:val="single" w:color="000000" w:sz="4" w:space="0"/>
                    <w:right w:val="single" w:color="000000" w:sz="4" w:space="0"/>
                  </w:tcBorders>
                  <w:tcMar>
                    <w:top w:w="0" w:type="dxa"/>
                    <w:left w:w="105" w:type="dxa"/>
                    <w:bottom w:w="0" w:type="dxa"/>
                    <w:right w:w="105" w:type="dxa"/>
                  </w:tcMar>
                  <w:vAlign w:val="top"/>
                </w:tcPr>
                <w:p w14:paraId="78DFEF94">
                  <w:pPr>
                    <w:pStyle w:val="4"/>
                    <w:jc w:val="left"/>
                  </w:pPr>
                  <w:r>
                    <w:rPr>
                      <w:rFonts w:ascii="仿宋_GB2312" w:hAnsi="仿宋_GB2312" w:eastAsia="仿宋_GB2312" w:cs="仿宋_GB2312"/>
                      <w:sz w:val="21"/>
                    </w:rPr>
                    <w:t>否</w:t>
                  </w:r>
                </w:p>
              </w:tc>
              <w:tc>
                <w:tcPr>
                  <w:tcW w:w="622" w:type="dxa"/>
                  <w:tcBorders>
                    <w:top w:val="nil"/>
                    <w:left w:val="nil"/>
                    <w:bottom w:val="single" w:color="000000" w:sz="4" w:space="0"/>
                    <w:right w:val="single" w:color="000000" w:sz="4" w:space="0"/>
                  </w:tcBorders>
                  <w:tcMar>
                    <w:top w:w="0" w:type="dxa"/>
                    <w:left w:w="105" w:type="dxa"/>
                    <w:bottom w:w="0" w:type="dxa"/>
                    <w:right w:w="105" w:type="dxa"/>
                  </w:tcMar>
                  <w:vAlign w:val="top"/>
                </w:tcPr>
                <w:p w14:paraId="217350DB">
                  <w:pPr>
                    <w:pStyle w:val="4"/>
                    <w:jc w:val="left"/>
                  </w:pPr>
                  <w:r>
                    <w:rPr>
                      <w:rFonts w:ascii="仿宋_GB2312" w:hAnsi="仿宋_GB2312" w:eastAsia="仿宋_GB2312" w:cs="仿宋_GB2312"/>
                      <w:sz w:val="21"/>
                    </w:rPr>
                    <w:t>否</w:t>
                  </w:r>
                </w:p>
              </w:tc>
              <w:tc>
                <w:tcPr>
                  <w:tcW w:w="732" w:type="dxa"/>
                  <w:tcBorders>
                    <w:top w:val="nil"/>
                    <w:left w:val="nil"/>
                    <w:bottom w:val="single" w:color="000000" w:sz="4" w:space="0"/>
                    <w:right w:val="single" w:color="000000" w:sz="4" w:space="0"/>
                  </w:tcBorders>
                  <w:tcMar>
                    <w:top w:w="0" w:type="dxa"/>
                    <w:left w:w="105" w:type="dxa"/>
                    <w:bottom w:w="0" w:type="dxa"/>
                    <w:right w:w="105" w:type="dxa"/>
                  </w:tcMar>
                  <w:vAlign w:val="top"/>
                </w:tcPr>
                <w:p w14:paraId="70B8DF8A">
                  <w:pPr>
                    <w:pStyle w:val="4"/>
                    <w:jc w:val="left"/>
                  </w:pPr>
                  <w:r>
                    <w:rPr>
                      <w:rFonts w:ascii="仿宋_GB2312" w:hAnsi="仿宋_GB2312" w:eastAsia="仿宋_GB2312" w:cs="仿宋_GB2312"/>
                      <w:sz w:val="21"/>
                    </w:rPr>
                    <w:t>否</w:t>
                  </w:r>
                </w:p>
              </w:tc>
            </w:tr>
            <w:tr w14:paraId="3A3A355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9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FB696FC">
                  <w:pPr>
                    <w:pStyle w:val="4"/>
                    <w:jc w:val="left"/>
                  </w:pPr>
                  <w:r>
                    <w:rPr>
                      <w:rFonts w:ascii="仿宋_GB2312" w:hAnsi="仿宋_GB2312" w:eastAsia="仿宋_GB2312" w:cs="仿宋_GB2312"/>
                      <w:sz w:val="21"/>
                    </w:rPr>
                    <w:t>2</w:t>
                  </w:r>
                </w:p>
              </w:tc>
              <w:tc>
                <w:tcPr>
                  <w:tcW w:w="91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360B9B8">
                  <w:pPr>
                    <w:pStyle w:val="4"/>
                    <w:jc w:val="left"/>
                  </w:pPr>
                  <w:r>
                    <w:rPr>
                      <w:rFonts w:ascii="仿宋_GB2312" w:hAnsi="仿宋_GB2312" w:eastAsia="仿宋_GB2312" w:cs="仿宋_GB2312"/>
                      <w:sz w:val="19"/>
                    </w:rPr>
                    <w:t>轻型多旋翼无人机</w:t>
                  </w:r>
                </w:p>
                <w:p w14:paraId="51332B53">
                  <w:pPr>
                    <w:pStyle w:val="4"/>
                    <w:jc w:val="center"/>
                  </w:pPr>
                </w:p>
              </w:tc>
              <w:tc>
                <w:tcPr>
                  <w:tcW w:w="488" w:type="dxa"/>
                  <w:tcBorders>
                    <w:top w:val="nil"/>
                    <w:left w:val="nil"/>
                    <w:bottom w:val="single" w:color="000000" w:sz="4" w:space="0"/>
                    <w:right w:val="single" w:color="000000" w:sz="4" w:space="0"/>
                  </w:tcBorders>
                  <w:tcMar>
                    <w:top w:w="0" w:type="dxa"/>
                    <w:left w:w="105" w:type="dxa"/>
                    <w:bottom w:w="0" w:type="dxa"/>
                    <w:right w:w="105" w:type="dxa"/>
                  </w:tcMar>
                  <w:vAlign w:val="top"/>
                </w:tcPr>
                <w:p w14:paraId="24A8FAAB">
                  <w:pPr>
                    <w:pStyle w:val="4"/>
                    <w:jc w:val="left"/>
                  </w:pPr>
                  <w:r>
                    <w:rPr>
                      <w:rFonts w:ascii="仿宋_GB2312" w:hAnsi="仿宋_GB2312" w:eastAsia="仿宋_GB2312" w:cs="仿宋_GB2312"/>
                      <w:sz w:val="19"/>
                    </w:rPr>
                    <w:t>6套</w:t>
                  </w:r>
                </w:p>
              </w:tc>
              <w:tc>
                <w:tcPr>
                  <w:tcW w:w="732" w:type="dxa"/>
                  <w:tcBorders>
                    <w:top w:val="nil"/>
                    <w:left w:val="nil"/>
                    <w:bottom w:val="single" w:color="000000" w:sz="4" w:space="0"/>
                    <w:right w:val="single" w:color="000000" w:sz="4" w:space="0"/>
                  </w:tcBorders>
                  <w:tcMar>
                    <w:top w:w="0" w:type="dxa"/>
                    <w:left w:w="105" w:type="dxa"/>
                    <w:bottom w:w="0" w:type="dxa"/>
                    <w:right w:w="105" w:type="dxa"/>
                  </w:tcMar>
                  <w:vAlign w:val="top"/>
                </w:tcPr>
                <w:p w14:paraId="5951C25D">
                  <w:pPr>
                    <w:pStyle w:val="4"/>
                    <w:jc w:val="left"/>
                  </w:pPr>
                  <w:r>
                    <w:rPr>
                      <w:rFonts w:ascii="仿宋_GB2312" w:hAnsi="仿宋_GB2312" w:eastAsia="仿宋_GB2312" w:cs="仿宋_GB2312"/>
                      <w:sz w:val="21"/>
                    </w:rPr>
                    <w:t>工业</w:t>
                  </w:r>
                </w:p>
              </w:tc>
              <w:tc>
                <w:tcPr>
                  <w:tcW w:w="549" w:type="dxa"/>
                  <w:tcBorders>
                    <w:top w:val="nil"/>
                    <w:left w:val="nil"/>
                    <w:bottom w:val="single" w:color="000000" w:sz="4" w:space="0"/>
                    <w:right w:val="single" w:color="000000" w:sz="4" w:space="0"/>
                  </w:tcBorders>
                  <w:tcMar>
                    <w:top w:w="0" w:type="dxa"/>
                    <w:left w:w="105" w:type="dxa"/>
                    <w:bottom w:w="0" w:type="dxa"/>
                    <w:right w:w="105" w:type="dxa"/>
                  </w:tcMar>
                  <w:vAlign w:val="top"/>
                </w:tcPr>
                <w:p w14:paraId="330F26E4">
                  <w:pPr>
                    <w:pStyle w:val="4"/>
                    <w:jc w:val="left"/>
                  </w:pPr>
                  <w:r>
                    <w:rPr>
                      <w:rFonts w:ascii="仿宋_GB2312" w:hAnsi="仿宋_GB2312" w:eastAsia="仿宋_GB2312" w:cs="仿宋_GB2312"/>
                      <w:b/>
                      <w:sz w:val="21"/>
                    </w:rPr>
                    <w:t>是</w:t>
                  </w:r>
                </w:p>
              </w:tc>
              <w:tc>
                <w:tcPr>
                  <w:tcW w:w="622" w:type="dxa"/>
                  <w:tcBorders>
                    <w:top w:val="nil"/>
                    <w:left w:val="nil"/>
                    <w:bottom w:val="single" w:color="000000" w:sz="4" w:space="0"/>
                    <w:right w:val="single" w:color="000000" w:sz="4" w:space="0"/>
                  </w:tcBorders>
                  <w:tcMar>
                    <w:top w:w="0" w:type="dxa"/>
                    <w:left w:w="105" w:type="dxa"/>
                    <w:bottom w:w="0" w:type="dxa"/>
                    <w:right w:w="105" w:type="dxa"/>
                  </w:tcMar>
                  <w:vAlign w:val="top"/>
                </w:tcPr>
                <w:p w14:paraId="2DB0B2DC">
                  <w:pPr>
                    <w:pStyle w:val="4"/>
                    <w:jc w:val="left"/>
                  </w:pPr>
                  <w:r>
                    <w:rPr>
                      <w:rFonts w:ascii="仿宋_GB2312" w:hAnsi="仿宋_GB2312" w:eastAsia="仿宋_GB2312" w:cs="仿宋_GB2312"/>
                      <w:sz w:val="21"/>
                    </w:rPr>
                    <w:t>否</w:t>
                  </w:r>
                </w:p>
              </w:tc>
              <w:tc>
                <w:tcPr>
                  <w:tcW w:w="549" w:type="dxa"/>
                  <w:tcBorders>
                    <w:top w:val="nil"/>
                    <w:left w:val="nil"/>
                    <w:bottom w:val="single" w:color="000000" w:sz="4" w:space="0"/>
                    <w:right w:val="single" w:color="000000" w:sz="4" w:space="0"/>
                  </w:tcBorders>
                  <w:tcMar>
                    <w:top w:w="0" w:type="dxa"/>
                    <w:left w:w="105" w:type="dxa"/>
                    <w:bottom w:w="0" w:type="dxa"/>
                    <w:right w:w="105" w:type="dxa"/>
                  </w:tcMar>
                  <w:vAlign w:val="top"/>
                </w:tcPr>
                <w:p w14:paraId="25A47743">
                  <w:pPr>
                    <w:pStyle w:val="4"/>
                    <w:jc w:val="left"/>
                  </w:pPr>
                  <w:r>
                    <w:rPr>
                      <w:rFonts w:ascii="仿宋_GB2312" w:hAnsi="仿宋_GB2312" w:eastAsia="仿宋_GB2312" w:cs="仿宋_GB2312"/>
                      <w:sz w:val="21"/>
                    </w:rPr>
                    <w:t>否</w:t>
                  </w:r>
                </w:p>
              </w:tc>
              <w:tc>
                <w:tcPr>
                  <w:tcW w:w="622" w:type="dxa"/>
                  <w:tcBorders>
                    <w:top w:val="nil"/>
                    <w:left w:val="nil"/>
                    <w:bottom w:val="single" w:color="000000" w:sz="4" w:space="0"/>
                    <w:right w:val="single" w:color="000000" w:sz="4" w:space="0"/>
                  </w:tcBorders>
                  <w:tcMar>
                    <w:top w:w="0" w:type="dxa"/>
                    <w:left w:w="105" w:type="dxa"/>
                    <w:bottom w:w="0" w:type="dxa"/>
                    <w:right w:w="105" w:type="dxa"/>
                  </w:tcMar>
                  <w:vAlign w:val="top"/>
                </w:tcPr>
                <w:p w14:paraId="4150F639">
                  <w:pPr>
                    <w:pStyle w:val="4"/>
                    <w:jc w:val="left"/>
                  </w:pPr>
                  <w:r>
                    <w:rPr>
                      <w:rFonts w:ascii="仿宋_GB2312" w:hAnsi="仿宋_GB2312" w:eastAsia="仿宋_GB2312" w:cs="仿宋_GB2312"/>
                      <w:sz w:val="21"/>
                    </w:rPr>
                    <w:t>否</w:t>
                  </w:r>
                </w:p>
              </w:tc>
              <w:tc>
                <w:tcPr>
                  <w:tcW w:w="732" w:type="dxa"/>
                  <w:tcBorders>
                    <w:top w:val="nil"/>
                    <w:left w:val="nil"/>
                    <w:bottom w:val="single" w:color="000000" w:sz="4" w:space="0"/>
                    <w:right w:val="single" w:color="000000" w:sz="4" w:space="0"/>
                  </w:tcBorders>
                  <w:tcMar>
                    <w:top w:w="0" w:type="dxa"/>
                    <w:left w:w="105" w:type="dxa"/>
                    <w:bottom w:w="0" w:type="dxa"/>
                    <w:right w:w="105" w:type="dxa"/>
                  </w:tcMar>
                  <w:vAlign w:val="top"/>
                </w:tcPr>
                <w:p w14:paraId="1738368E">
                  <w:pPr>
                    <w:pStyle w:val="4"/>
                    <w:jc w:val="left"/>
                  </w:pPr>
                  <w:r>
                    <w:rPr>
                      <w:rFonts w:ascii="仿宋_GB2312" w:hAnsi="仿宋_GB2312" w:eastAsia="仿宋_GB2312" w:cs="仿宋_GB2312"/>
                      <w:sz w:val="21"/>
                    </w:rPr>
                    <w:t>否</w:t>
                  </w:r>
                </w:p>
              </w:tc>
            </w:tr>
            <w:tr w14:paraId="424C02C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9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B055B42">
                  <w:pPr>
                    <w:pStyle w:val="4"/>
                    <w:jc w:val="left"/>
                  </w:pPr>
                  <w:r>
                    <w:rPr>
                      <w:rFonts w:ascii="仿宋_GB2312" w:hAnsi="仿宋_GB2312" w:eastAsia="仿宋_GB2312" w:cs="仿宋_GB2312"/>
                      <w:sz w:val="21"/>
                    </w:rPr>
                    <w:t>3</w:t>
                  </w:r>
                </w:p>
              </w:tc>
              <w:tc>
                <w:tcPr>
                  <w:tcW w:w="91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A8DE5F1">
                  <w:pPr>
                    <w:pStyle w:val="4"/>
                    <w:jc w:val="left"/>
                  </w:pPr>
                  <w:r>
                    <w:rPr>
                      <w:rFonts w:ascii="仿宋_GB2312" w:hAnsi="仿宋_GB2312" w:eastAsia="仿宋_GB2312" w:cs="仿宋_GB2312"/>
                      <w:sz w:val="19"/>
                    </w:rPr>
                    <w:t>小型多旋翼无人机机巢</w:t>
                  </w:r>
                </w:p>
                <w:p w14:paraId="31AA96FC">
                  <w:pPr>
                    <w:pStyle w:val="4"/>
                    <w:jc w:val="center"/>
                  </w:pPr>
                </w:p>
              </w:tc>
              <w:tc>
                <w:tcPr>
                  <w:tcW w:w="488" w:type="dxa"/>
                  <w:tcBorders>
                    <w:top w:val="nil"/>
                    <w:left w:val="nil"/>
                    <w:bottom w:val="single" w:color="000000" w:sz="4" w:space="0"/>
                    <w:right w:val="single" w:color="000000" w:sz="4" w:space="0"/>
                  </w:tcBorders>
                  <w:tcMar>
                    <w:top w:w="0" w:type="dxa"/>
                    <w:left w:w="105" w:type="dxa"/>
                    <w:bottom w:w="0" w:type="dxa"/>
                    <w:right w:w="105" w:type="dxa"/>
                  </w:tcMar>
                  <w:vAlign w:val="top"/>
                </w:tcPr>
                <w:p w14:paraId="3C9537AB">
                  <w:pPr>
                    <w:pStyle w:val="4"/>
                    <w:jc w:val="left"/>
                  </w:pPr>
                  <w:r>
                    <w:rPr>
                      <w:rFonts w:ascii="仿宋_GB2312" w:hAnsi="仿宋_GB2312" w:eastAsia="仿宋_GB2312" w:cs="仿宋_GB2312"/>
                      <w:sz w:val="19"/>
                    </w:rPr>
                    <w:t>1套</w:t>
                  </w:r>
                </w:p>
              </w:tc>
              <w:tc>
                <w:tcPr>
                  <w:tcW w:w="732" w:type="dxa"/>
                  <w:tcBorders>
                    <w:top w:val="nil"/>
                    <w:left w:val="nil"/>
                    <w:bottom w:val="single" w:color="000000" w:sz="4" w:space="0"/>
                    <w:right w:val="single" w:color="000000" w:sz="4" w:space="0"/>
                  </w:tcBorders>
                  <w:tcMar>
                    <w:top w:w="0" w:type="dxa"/>
                    <w:left w:w="105" w:type="dxa"/>
                    <w:bottom w:w="0" w:type="dxa"/>
                    <w:right w:w="105" w:type="dxa"/>
                  </w:tcMar>
                  <w:vAlign w:val="top"/>
                </w:tcPr>
                <w:p w14:paraId="25ED8F18">
                  <w:pPr>
                    <w:pStyle w:val="4"/>
                    <w:jc w:val="left"/>
                  </w:pPr>
                  <w:r>
                    <w:rPr>
                      <w:rFonts w:ascii="仿宋_GB2312" w:hAnsi="仿宋_GB2312" w:eastAsia="仿宋_GB2312" w:cs="仿宋_GB2312"/>
                      <w:sz w:val="21"/>
                    </w:rPr>
                    <w:t>工业</w:t>
                  </w:r>
                </w:p>
              </w:tc>
              <w:tc>
                <w:tcPr>
                  <w:tcW w:w="549" w:type="dxa"/>
                  <w:tcBorders>
                    <w:top w:val="nil"/>
                    <w:left w:val="nil"/>
                    <w:bottom w:val="single" w:color="000000" w:sz="4" w:space="0"/>
                    <w:right w:val="single" w:color="000000" w:sz="4" w:space="0"/>
                  </w:tcBorders>
                  <w:tcMar>
                    <w:top w:w="0" w:type="dxa"/>
                    <w:left w:w="105" w:type="dxa"/>
                    <w:bottom w:w="0" w:type="dxa"/>
                    <w:right w:w="105" w:type="dxa"/>
                  </w:tcMar>
                  <w:vAlign w:val="top"/>
                </w:tcPr>
                <w:p w14:paraId="3F35761D">
                  <w:pPr>
                    <w:pStyle w:val="4"/>
                    <w:jc w:val="left"/>
                  </w:pPr>
                  <w:r>
                    <w:rPr>
                      <w:rFonts w:ascii="仿宋_GB2312" w:hAnsi="仿宋_GB2312" w:eastAsia="仿宋_GB2312" w:cs="仿宋_GB2312"/>
                      <w:sz w:val="21"/>
                    </w:rPr>
                    <w:t>否</w:t>
                  </w:r>
                </w:p>
              </w:tc>
              <w:tc>
                <w:tcPr>
                  <w:tcW w:w="622" w:type="dxa"/>
                  <w:tcBorders>
                    <w:top w:val="nil"/>
                    <w:left w:val="nil"/>
                    <w:bottom w:val="single" w:color="000000" w:sz="4" w:space="0"/>
                    <w:right w:val="single" w:color="000000" w:sz="4" w:space="0"/>
                  </w:tcBorders>
                  <w:tcMar>
                    <w:top w:w="0" w:type="dxa"/>
                    <w:left w:w="105" w:type="dxa"/>
                    <w:bottom w:w="0" w:type="dxa"/>
                    <w:right w:w="105" w:type="dxa"/>
                  </w:tcMar>
                  <w:vAlign w:val="top"/>
                </w:tcPr>
                <w:p w14:paraId="63FA4070">
                  <w:pPr>
                    <w:pStyle w:val="4"/>
                    <w:jc w:val="left"/>
                  </w:pPr>
                  <w:r>
                    <w:rPr>
                      <w:rFonts w:ascii="仿宋_GB2312" w:hAnsi="仿宋_GB2312" w:eastAsia="仿宋_GB2312" w:cs="仿宋_GB2312"/>
                      <w:sz w:val="21"/>
                    </w:rPr>
                    <w:t>否</w:t>
                  </w:r>
                </w:p>
              </w:tc>
              <w:tc>
                <w:tcPr>
                  <w:tcW w:w="549" w:type="dxa"/>
                  <w:tcBorders>
                    <w:top w:val="nil"/>
                    <w:left w:val="nil"/>
                    <w:bottom w:val="single" w:color="000000" w:sz="4" w:space="0"/>
                    <w:right w:val="single" w:color="000000" w:sz="4" w:space="0"/>
                  </w:tcBorders>
                  <w:tcMar>
                    <w:top w:w="0" w:type="dxa"/>
                    <w:left w:w="105" w:type="dxa"/>
                    <w:bottom w:w="0" w:type="dxa"/>
                    <w:right w:w="105" w:type="dxa"/>
                  </w:tcMar>
                  <w:vAlign w:val="top"/>
                </w:tcPr>
                <w:p w14:paraId="6BFAF419">
                  <w:pPr>
                    <w:pStyle w:val="4"/>
                    <w:jc w:val="left"/>
                  </w:pPr>
                  <w:r>
                    <w:rPr>
                      <w:rFonts w:ascii="仿宋_GB2312" w:hAnsi="仿宋_GB2312" w:eastAsia="仿宋_GB2312" w:cs="仿宋_GB2312"/>
                      <w:sz w:val="21"/>
                    </w:rPr>
                    <w:t>否</w:t>
                  </w:r>
                </w:p>
              </w:tc>
              <w:tc>
                <w:tcPr>
                  <w:tcW w:w="622" w:type="dxa"/>
                  <w:tcBorders>
                    <w:top w:val="nil"/>
                    <w:left w:val="nil"/>
                    <w:bottom w:val="single" w:color="000000" w:sz="4" w:space="0"/>
                    <w:right w:val="single" w:color="000000" w:sz="4" w:space="0"/>
                  </w:tcBorders>
                  <w:tcMar>
                    <w:top w:w="0" w:type="dxa"/>
                    <w:left w:w="105" w:type="dxa"/>
                    <w:bottom w:w="0" w:type="dxa"/>
                    <w:right w:w="105" w:type="dxa"/>
                  </w:tcMar>
                  <w:vAlign w:val="top"/>
                </w:tcPr>
                <w:p w14:paraId="4FC135A9">
                  <w:pPr>
                    <w:pStyle w:val="4"/>
                    <w:jc w:val="left"/>
                  </w:pPr>
                  <w:r>
                    <w:rPr>
                      <w:rFonts w:ascii="仿宋_GB2312" w:hAnsi="仿宋_GB2312" w:eastAsia="仿宋_GB2312" w:cs="仿宋_GB2312"/>
                      <w:sz w:val="21"/>
                    </w:rPr>
                    <w:t>否</w:t>
                  </w:r>
                </w:p>
              </w:tc>
              <w:tc>
                <w:tcPr>
                  <w:tcW w:w="732" w:type="dxa"/>
                  <w:tcBorders>
                    <w:top w:val="nil"/>
                    <w:left w:val="nil"/>
                    <w:bottom w:val="single" w:color="000000" w:sz="4" w:space="0"/>
                    <w:right w:val="single" w:color="000000" w:sz="4" w:space="0"/>
                  </w:tcBorders>
                  <w:tcMar>
                    <w:top w:w="0" w:type="dxa"/>
                    <w:left w:w="105" w:type="dxa"/>
                    <w:bottom w:w="0" w:type="dxa"/>
                    <w:right w:w="105" w:type="dxa"/>
                  </w:tcMar>
                  <w:vAlign w:val="top"/>
                </w:tcPr>
                <w:p w14:paraId="4DBACE1C">
                  <w:pPr>
                    <w:pStyle w:val="4"/>
                    <w:jc w:val="left"/>
                  </w:pPr>
                  <w:r>
                    <w:rPr>
                      <w:rFonts w:ascii="仿宋_GB2312" w:hAnsi="仿宋_GB2312" w:eastAsia="仿宋_GB2312" w:cs="仿宋_GB2312"/>
                      <w:sz w:val="21"/>
                    </w:rPr>
                    <w:t>否</w:t>
                  </w:r>
                </w:p>
              </w:tc>
            </w:tr>
            <w:tr w14:paraId="0737F42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9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57C1939">
                  <w:pPr>
                    <w:pStyle w:val="4"/>
                    <w:jc w:val="left"/>
                  </w:pPr>
                  <w:r>
                    <w:rPr>
                      <w:rFonts w:ascii="仿宋_GB2312" w:hAnsi="仿宋_GB2312" w:eastAsia="仿宋_GB2312" w:cs="仿宋_GB2312"/>
                      <w:sz w:val="21"/>
                    </w:rPr>
                    <w:t>4</w:t>
                  </w:r>
                </w:p>
              </w:tc>
              <w:tc>
                <w:tcPr>
                  <w:tcW w:w="91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9004AAB">
                  <w:pPr>
                    <w:pStyle w:val="4"/>
                    <w:jc w:val="center"/>
                  </w:pPr>
                  <w:r>
                    <w:rPr>
                      <w:rFonts w:ascii="仿宋_GB2312" w:hAnsi="仿宋_GB2312" w:eastAsia="仿宋_GB2312" w:cs="仿宋_GB2312"/>
                      <w:sz w:val="19"/>
                    </w:rPr>
                    <w:t>小型多旋翼无人机</w:t>
                  </w:r>
                </w:p>
              </w:tc>
              <w:tc>
                <w:tcPr>
                  <w:tcW w:w="488" w:type="dxa"/>
                  <w:tcBorders>
                    <w:top w:val="nil"/>
                    <w:left w:val="nil"/>
                    <w:bottom w:val="single" w:color="000000" w:sz="4" w:space="0"/>
                    <w:right w:val="single" w:color="000000" w:sz="4" w:space="0"/>
                  </w:tcBorders>
                  <w:tcMar>
                    <w:top w:w="0" w:type="dxa"/>
                    <w:left w:w="105" w:type="dxa"/>
                    <w:bottom w:w="0" w:type="dxa"/>
                    <w:right w:w="105" w:type="dxa"/>
                  </w:tcMar>
                  <w:vAlign w:val="top"/>
                </w:tcPr>
                <w:p w14:paraId="334A616A">
                  <w:pPr>
                    <w:pStyle w:val="4"/>
                    <w:jc w:val="left"/>
                  </w:pPr>
                  <w:r>
                    <w:rPr>
                      <w:rFonts w:ascii="仿宋_GB2312" w:hAnsi="仿宋_GB2312" w:eastAsia="仿宋_GB2312" w:cs="仿宋_GB2312"/>
                      <w:sz w:val="19"/>
                    </w:rPr>
                    <w:t>1套</w:t>
                  </w:r>
                </w:p>
              </w:tc>
              <w:tc>
                <w:tcPr>
                  <w:tcW w:w="732" w:type="dxa"/>
                  <w:tcBorders>
                    <w:top w:val="nil"/>
                    <w:left w:val="nil"/>
                    <w:bottom w:val="single" w:color="000000" w:sz="4" w:space="0"/>
                    <w:right w:val="single" w:color="000000" w:sz="4" w:space="0"/>
                  </w:tcBorders>
                  <w:tcMar>
                    <w:top w:w="0" w:type="dxa"/>
                    <w:left w:w="105" w:type="dxa"/>
                    <w:bottom w:w="0" w:type="dxa"/>
                    <w:right w:w="105" w:type="dxa"/>
                  </w:tcMar>
                  <w:vAlign w:val="top"/>
                </w:tcPr>
                <w:p w14:paraId="5EF60C47">
                  <w:pPr>
                    <w:pStyle w:val="4"/>
                    <w:jc w:val="left"/>
                  </w:pPr>
                  <w:r>
                    <w:rPr>
                      <w:rFonts w:ascii="仿宋_GB2312" w:hAnsi="仿宋_GB2312" w:eastAsia="仿宋_GB2312" w:cs="仿宋_GB2312"/>
                      <w:sz w:val="21"/>
                    </w:rPr>
                    <w:t>工业</w:t>
                  </w:r>
                </w:p>
              </w:tc>
              <w:tc>
                <w:tcPr>
                  <w:tcW w:w="549" w:type="dxa"/>
                  <w:tcBorders>
                    <w:top w:val="nil"/>
                    <w:left w:val="nil"/>
                    <w:bottom w:val="single" w:color="000000" w:sz="4" w:space="0"/>
                    <w:right w:val="single" w:color="000000" w:sz="4" w:space="0"/>
                  </w:tcBorders>
                  <w:tcMar>
                    <w:top w:w="0" w:type="dxa"/>
                    <w:left w:w="105" w:type="dxa"/>
                    <w:bottom w:w="0" w:type="dxa"/>
                    <w:right w:w="105" w:type="dxa"/>
                  </w:tcMar>
                  <w:vAlign w:val="top"/>
                </w:tcPr>
                <w:p w14:paraId="75B980A5">
                  <w:pPr>
                    <w:pStyle w:val="4"/>
                    <w:jc w:val="left"/>
                  </w:pPr>
                  <w:r>
                    <w:rPr>
                      <w:rFonts w:ascii="仿宋_GB2312" w:hAnsi="仿宋_GB2312" w:eastAsia="仿宋_GB2312" w:cs="仿宋_GB2312"/>
                      <w:b/>
                      <w:sz w:val="21"/>
                    </w:rPr>
                    <w:t>是</w:t>
                  </w:r>
                </w:p>
              </w:tc>
              <w:tc>
                <w:tcPr>
                  <w:tcW w:w="622" w:type="dxa"/>
                  <w:tcBorders>
                    <w:top w:val="nil"/>
                    <w:left w:val="nil"/>
                    <w:bottom w:val="single" w:color="000000" w:sz="4" w:space="0"/>
                    <w:right w:val="single" w:color="000000" w:sz="4" w:space="0"/>
                  </w:tcBorders>
                  <w:tcMar>
                    <w:top w:w="0" w:type="dxa"/>
                    <w:left w:w="105" w:type="dxa"/>
                    <w:bottom w:w="0" w:type="dxa"/>
                    <w:right w:w="105" w:type="dxa"/>
                  </w:tcMar>
                  <w:vAlign w:val="top"/>
                </w:tcPr>
                <w:p w14:paraId="5CBB948A">
                  <w:pPr>
                    <w:pStyle w:val="4"/>
                    <w:jc w:val="left"/>
                  </w:pPr>
                  <w:r>
                    <w:rPr>
                      <w:rFonts w:ascii="仿宋_GB2312" w:hAnsi="仿宋_GB2312" w:eastAsia="仿宋_GB2312" w:cs="仿宋_GB2312"/>
                      <w:sz w:val="21"/>
                    </w:rPr>
                    <w:t>否</w:t>
                  </w:r>
                </w:p>
              </w:tc>
              <w:tc>
                <w:tcPr>
                  <w:tcW w:w="549" w:type="dxa"/>
                  <w:tcBorders>
                    <w:top w:val="nil"/>
                    <w:left w:val="nil"/>
                    <w:bottom w:val="single" w:color="000000" w:sz="4" w:space="0"/>
                    <w:right w:val="single" w:color="000000" w:sz="4" w:space="0"/>
                  </w:tcBorders>
                  <w:tcMar>
                    <w:top w:w="0" w:type="dxa"/>
                    <w:left w:w="105" w:type="dxa"/>
                    <w:bottom w:w="0" w:type="dxa"/>
                    <w:right w:w="105" w:type="dxa"/>
                  </w:tcMar>
                  <w:vAlign w:val="top"/>
                </w:tcPr>
                <w:p w14:paraId="0DBE6620">
                  <w:pPr>
                    <w:pStyle w:val="4"/>
                    <w:jc w:val="left"/>
                  </w:pPr>
                  <w:r>
                    <w:rPr>
                      <w:rFonts w:ascii="仿宋_GB2312" w:hAnsi="仿宋_GB2312" w:eastAsia="仿宋_GB2312" w:cs="仿宋_GB2312"/>
                      <w:sz w:val="21"/>
                    </w:rPr>
                    <w:t>否</w:t>
                  </w:r>
                </w:p>
              </w:tc>
              <w:tc>
                <w:tcPr>
                  <w:tcW w:w="622" w:type="dxa"/>
                  <w:tcBorders>
                    <w:top w:val="nil"/>
                    <w:left w:val="nil"/>
                    <w:bottom w:val="single" w:color="000000" w:sz="4" w:space="0"/>
                    <w:right w:val="single" w:color="000000" w:sz="4" w:space="0"/>
                  </w:tcBorders>
                  <w:tcMar>
                    <w:top w:w="0" w:type="dxa"/>
                    <w:left w:w="105" w:type="dxa"/>
                    <w:bottom w:w="0" w:type="dxa"/>
                    <w:right w:w="105" w:type="dxa"/>
                  </w:tcMar>
                  <w:vAlign w:val="top"/>
                </w:tcPr>
                <w:p w14:paraId="6B1ACBA0">
                  <w:pPr>
                    <w:pStyle w:val="4"/>
                    <w:jc w:val="left"/>
                  </w:pPr>
                  <w:r>
                    <w:rPr>
                      <w:rFonts w:ascii="仿宋_GB2312" w:hAnsi="仿宋_GB2312" w:eastAsia="仿宋_GB2312" w:cs="仿宋_GB2312"/>
                      <w:sz w:val="21"/>
                    </w:rPr>
                    <w:t>否</w:t>
                  </w:r>
                </w:p>
              </w:tc>
              <w:tc>
                <w:tcPr>
                  <w:tcW w:w="732" w:type="dxa"/>
                  <w:tcBorders>
                    <w:top w:val="nil"/>
                    <w:left w:val="nil"/>
                    <w:bottom w:val="single" w:color="000000" w:sz="4" w:space="0"/>
                    <w:right w:val="single" w:color="000000" w:sz="4" w:space="0"/>
                  </w:tcBorders>
                  <w:tcMar>
                    <w:top w:w="0" w:type="dxa"/>
                    <w:left w:w="105" w:type="dxa"/>
                    <w:bottom w:w="0" w:type="dxa"/>
                    <w:right w:w="105" w:type="dxa"/>
                  </w:tcMar>
                  <w:vAlign w:val="top"/>
                </w:tcPr>
                <w:p w14:paraId="19BAA6F5">
                  <w:pPr>
                    <w:pStyle w:val="4"/>
                    <w:jc w:val="left"/>
                  </w:pPr>
                  <w:r>
                    <w:rPr>
                      <w:rFonts w:ascii="仿宋_GB2312" w:hAnsi="仿宋_GB2312" w:eastAsia="仿宋_GB2312" w:cs="仿宋_GB2312"/>
                      <w:sz w:val="21"/>
                    </w:rPr>
                    <w:t>否</w:t>
                  </w:r>
                </w:p>
              </w:tc>
            </w:tr>
            <w:tr w14:paraId="2CD1F3A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9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6F8566B">
                  <w:pPr>
                    <w:pStyle w:val="4"/>
                    <w:jc w:val="left"/>
                  </w:pPr>
                  <w:r>
                    <w:rPr>
                      <w:rFonts w:ascii="仿宋_GB2312" w:hAnsi="仿宋_GB2312" w:eastAsia="仿宋_GB2312" w:cs="仿宋_GB2312"/>
                      <w:sz w:val="21"/>
                    </w:rPr>
                    <w:t>5</w:t>
                  </w:r>
                </w:p>
              </w:tc>
              <w:tc>
                <w:tcPr>
                  <w:tcW w:w="91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FF0A9DC">
                  <w:pPr>
                    <w:pStyle w:val="4"/>
                    <w:jc w:val="left"/>
                  </w:pPr>
                  <w:r>
                    <w:rPr>
                      <w:rFonts w:ascii="仿宋_GB2312" w:hAnsi="仿宋_GB2312" w:eastAsia="仿宋_GB2312" w:cs="仿宋_GB2312"/>
                      <w:sz w:val="19"/>
                    </w:rPr>
                    <w:t>算法定制</w:t>
                  </w:r>
                </w:p>
                <w:p w14:paraId="5C1BA2B7">
                  <w:pPr>
                    <w:pStyle w:val="4"/>
                    <w:jc w:val="center"/>
                  </w:pPr>
                </w:p>
              </w:tc>
              <w:tc>
                <w:tcPr>
                  <w:tcW w:w="488" w:type="dxa"/>
                  <w:tcBorders>
                    <w:top w:val="nil"/>
                    <w:left w:val="nil"/>
                    <w:bottom w:val="single" w:color="000000" w:sz="4" w:space="0"/>
                    <w:right w:val="single" w:color="000000" w:sz="4" w:space="0"/>
                  </w:tcBorders>
                  <w:tcMar>
                    <w:top w:w="0" w:type="dxa"/>
                    <w:left w:w="105" w:type="dxa"/>
                    <w:bottom w:w="0" w:type="dxa"/>
                    <w:right w:w="105" w:type="dxa"/>
                  </w:tcMar>
                  <w:vAlign w:val="top"/>
                </w:tcPr>
                <w:p w14:paraId="7B67053E">
                  <w:pPr>
                    <w:pStyle w:val="4"/>
                    <w:jc w:val="left"/>
                  </w:pPr>
                  <w:r>
                    <w:rPr>
                      <w:rFonts w:ascii="仿宋_GB2312" w:hAnsi="仿宋_GB2312" w:eastAsia="仿宋_GB2312" w:cs="仿宋_GB2312"/>
                      <w:sz w:val="19"/>
                    </w:rPr>
                    <w:t>1套</w:t>
                  </w:r>
                </w:p>
              </w:tc>
              <w:tc>
                <w:tcPr>
                  <w:tcW w:w="732" w:type="dxa"/>
                  <w:tcBorders>
                    <w:top w:val="nil"/>
                    <w:left w:val="nil"/>
                    <w:bottom w:val="single" w:color="000000" w:sz="4" w:space="0"/>
                    <w:right w:val="single" w:color="000000" w:sz="4" w:space="0"/>
                  </w:tcBorders>
                  <w:tcMar>
                    <w:top w:w="0" w:type="dxa"/>
                    <w:left w:w="105" w:type="dxa"/>
                    <w:bottom w:w="0" w:type="dxa"/>
                    <w:right w:w="105" w:type="dxa"/>
                  </w:tcMar>
                  <w:vAlign w:val="top"/>
                </w:tcPr>
                <w:p w14:paraId="500B3335">
                  <w:pPr>
                    <w:pStyle w:val="4"/>
                    <w:jc w:val="left"/>
                  </w:pPr>
                  <w:r>
                    <w:rPr>
                      <w:rFonts w:ascii="仿宋_GB2312" w:hAnsi="仿宋_GB2312" w:eastAsia="仿宋_GB2312" w:cs="仿宋_GB2312"/>
                      <w:sz w:val="21"/>
                    </w:rPr>
                    <w:t>软件和信息技术服务业</w:t>
                  </w:r>
                </w:p>
              </w:tc>
              <w:tc>
                <w:tcPr>
                  <w:tcW w:w="549" w:type="dxa"/>
                  <w:tcBorders>
                    <w:top w:val="nil"/>
                    <w:left w:val="nil"/>
                    <w:bottom w:val="single" w:color="000000" w:sz="4" w:space="0"/>
                    <w:right w:val="single" w:color="000000" w:sz="4" w:space="0"/>
                  </w:tcBorders>
                  <w:tcMar>
                    <w:top w:w="0" w:type="dxa"/>
                    <w:left w:w="105" w:type="dxa"/>
                    <w:bottom w:w="0" w:type="dxa"/>
                    <w:right w:w="105" w:type="dxa"/>
                  </w:tcMar>
                  <w:vAlign w:val="top"/>
                </w:tcPr>
                <w:p w14:paraId="79994C22">
                  <w:pPr>
                    <w:pStyle w:val="4"/>
                    <w:jc w:val="left"/>
                  </w:pPr>
                  <w:r>
                    <w:rPr>
                      <w:rFonts w:ascii="仿宋_GB2312" w:hAnsi="仿宋_GB2312" w:eastAsia="仿宋_GB2312" w:cs="仿宋_GB2312"/>
                      <w:sz w:val="21"/>
                    </w:rPr>
                    <w:t>否</w:t>
                  </w:r>
                </w:p>
              </w:tc>
              <w:tc>
                <w:tcPr>
                  <w:tcW w:w="622" w:type="dxa"/>
                  <w:tcBorders>
                    <w:top w:val="nil"/>
                    <w:left w:val="nil"/>
                    <w:bottom w:val="single" w:color="000000" w:sz="4" w:space="0"/>
                    <w:right w:val="single" w:color="000000" w:sz="4" w:space="0"/>
                  </w:tcBorders>
                  <w:tcMar>
                    <w:top w:w="0" w:type="dxa"/>
                    <w:left w:w="105" w:type="dxa"/>
                    <w:bottom w:w="0" w:type="dxa"/>
                    <w:right w:w="105" w:type="dxa"/>
                  </w:tcMar>
                  <w:vAlign w:val="top"/>
                </w:tcPr>
                <w:p w14:paraId="7FF0BE4C">
                  <w:pPr>
                    <w:pStyle w:val="4"/>
                    <w:jc w:val="left"/>
                  </w:pPr>
                  <w:r>
                    <w:rPr>
                      <w:rFonts w:ascii="仿宋_GB2312" w:hAnsi="仿宋_GB2312" w:eastAsia="仿宋_GB2312" w:cs="仿宋_GB2312"/>
                      <w:sz w:val="21"/>
                    </w:rPr>
                    <w:t>否</w:t>
                  </w:r>
                </w:p>
              </w:tc>
              <w:tc>
                <w:tcPr>
                  <w:tcW w:w="549" w:type="dxa"/>
                  <w:tcBorders>
                    <w:top w:val="nil"/>
                    <w:left w:val="nil"/>
                    <w:bottom w:val="single" w:color="000000" w:sz="4" w:space="0"/>
                    <w:right w:val="single" w:color="000000" w:sz="4" w:space="0"/>
                  </w:tcBorders>
                  <w:tcMar>
                    <w:top w:w="0" w:type="dxa"/>
                    <w:left w:w="105" w:type="dxa"/>
                    <w:bottom w:w="0" w:type="dxa"/>
                    <w:right w:w="105" w:type="dxa"/>
                  </w:tcMar>
                  <w:vAlign w:val="top"/>
                </w:tcPr>
                <w:p w14:paraId="584E8AF4">
                  <w:pPr>
                    <w:pStyle w:val="4"/>
                    <w:jc w:val="left"/>
                  </w:pPr>
                  <w:r>
                    <w:rPr>
                      <w:rFonts w:ascii="仿宋_GB2312" w:hAnsi="仿宋_GB2312" w:eastAsia="仿宋_GB2312" w:cs="仿宋_GB2312"/>
                      <w:sz w:val="21"/>
                    </w:rPr>
                    <w:t>否</w:t>
                  </w:r>
                </w:p>
              </w:tc>
              <w:tc>
                <w:tcPr>
                  <w:tcW w:w="622" w:type="dxa"/>
                  <w:tcBorders>
                    <w:top w:val="nil"/>
                    <w:left w:val="nil"/>
                    <w:bottom w:val="single" w:color="000000" w:sz="4" w:space="0"/>
                    <w:right w:val="single" w:color="000000" w:sz="4" w:space="0"/>
                  </w:tcBorders>
                  <w:tcMar>
                    <w:top w:w="0" w:type="dxa"/>
                    <w:left w:w="105" w:type="dxa"/>
                    <w:bottom w:w="0" w:type="dxa"/>
                    <w:right w:w="105" w:type="dxa"/>
                  </w:tcMar>
                  <w:vAlign w:val="top"/>
                </w:tcPr>
                <w:p w14:paraId="64B600FB">
                  <w:pPr>
                    <w:pStyle w:val="4"/>
                    <w:jc w:val="left"/>
                  </w:pPr>
                  <w:r>
                    <w:rPr>
                      <w:rFonts w:ascii="仿宋_GB2312" w:hAnsi="仿宋_GB2312" w:eastAsia="仿宋_GB2312" w:cs="仿宋_GB2312"/>
                      <w:sz w:val="21"/>
                    </w:rPr>
                    <w:t>否</w:t>
                  </w:r>
                </w:p>
              </w:tc>
              <w:tc>
                <w:tcPr>
                  <w:tcW w:w="732" w:type="dxa"/>
                  <w:tcBorders>
                    <w:top w:val="nil"/>
                    <w:left w:val="nil"/>
                    <w:bottom w:val="single" w:color="000000" w:sz="4" w:space="0"/>
                    <w:right w:val="single" w:color="000000" w:sz="4" w:space="0"/>
                  </w:tcBorders>
                  <w:tcMar>
                    <w:top w:w="0" w:type="dxa"/>
                    <w:left w:w="105" w:type="dxa"/>
                    <w:bottom w:w="0" w:type="dxa"/>
                    <w:right w:w="105" w:type="dxa"/>
                  </w:tcMar>
                  <w:vAlign w:val="top"/>
                </w:tcPr>
                <w:p w14:paraId="503311D9">
                  <w:pPr>
                    <w:pStyle w:val="4"/>
                    <w:jc w:val="left"/>
                  </w:pPr>
                  <w:r>
                    <w:rPr>
                      <w:rFonts w:ascii="仿宋_GB2312" w:hAnsi="仿宋_GB2312" w:eastAsia="仿宋_GB2312" w:cs="仿宋_GB2312"/>
                      <w:sz w:val="21"/>
                    </w:rPr>
                    <w:t>否</w:t>
                  </w:r>
                </w:p>
              </w:tc>
            </w:tr>
          </w:tbl>
          <w:p w14:paraId="33F06B96"/>
        </w:tc>
      </w:tr>
      <w:tr w14:paraId="0EA9DF5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6EEC949">
            <w:pPr>
              <w:pStyle w:val="4"/>
              <w:jc w:val="center"/>
            </w:pPr>
            <w:r>
              <w:rPr>
                <w:rFonts w:ascii="仿宋_GB2312" w:hAnsi="仿宋_GB2312" w:eastAsia="仿宋_GB2312" w:cs="仿宋_GB2312"/>
              </w:rPr>
              <w:t>2</w:t>
            </w:r>
          </w:p>
        </w:tc>
        <w:tc>
          <w:tcPr>
            <w:tcW w:w="581" w:type="dxa"/>
          </w:tcPr>
          <w:p w14:paraId="0CAD7580"/>
        </w:tc>
        <w:tc>
          <w:tcPr>
            <w:tcW w:w="1495" w:type="dxa"/>
          </w:tcPr>
          <w:p w14:paraId="4375EA08">
            <w:pPr>
              <w:pStyle w:val="4"/>
              <w:jc w:val="left"/>
            </w:pPr>
            <w:r>
              <w:rPr>
                <w:rFonts w:ascii="仿宋_GB2312" w:hAnsi="仿宋_GB2312" w:eastAsia="仿宋_GB2312" w:cs="仿宋_GB2312"/>
              </w:rPr>
              <w:t>技术参数与性能指标</w:t>
            </w:r>
          </w:p>
        </w:tc>
        <w:tc>
          <w:tcPr>
            <w:tcW w:w="5814" w:type="dxa"/>
          </w:tcPr>
          <w:p w14:paraId="275A84E1">
            <w:pPr>
              <w:pStyle w:val="4"/>
              <w:jc w:val="left"/>
            </w:pPr>
            <w:r>
              <w:rPr>
                <w:rFonts w:ascii="仿宋_GB2312" w:hAnsi="仿宋_GB2312" w:eastAsia="仿宋_GB2312" w:cs="仿宋_GB2312"/>
              </w:rPr>
              <w:t>标的名称：轻型多旋翼无人机机巢</w:t>
            </w:r>
          </w:p>
          <w:tbl>
            <w:tblPr>
              <w:tblStyle w:val="2"/>
              <w:tblW w:w="0" w:type="auto"/>
              <w:tblInd w:w="135"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450"/>
              <w:gridCol w:w="3835"/>
              <w:gridCol w:w="495"/>
              <w:gridCol w:w="678"/>
            </w:tblGrid>
            <w:tr w14:paraId="100125F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19"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779DC69A">
                  <w:pPr>
                    <w:pStyle w:val="4"/>
                    <w:jc w:val="center"/>
                  </w:pPr>
                  <w:r>
                    <w:rPr>
                      <w:rFonts w:ascii="仿宋_GB2312" w:hAnsi="仿宋_GB2312" w:eastAsia="仿宋_GB2312" w:cs="仿宋_GB2312"/>
                      <w:sz w:val="24"/>
                    </w:rPr>
                    <w:t>名称</w:t>
                  </w:r>
                </w:p>
              </w:tc>
              <w:tc>
                <w:tcPr>
                  <w:tcW w:w="4076"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139EB751">
                  <w:pPr>
                    <w:pStyle w:val="4"/>
                    <w:jc w:val="center"/>
                  </w:pPr>
                  <w:r>
                    <w:rPr>
                      <w:rFonts w:ascii="仿宋_GB2312" w:hAnsi="仿宋_GB2312" w:eastAsia="仿宋_GB2312" w:cs="仿宋_GB2312"/>
                      <w:sz w:val="24"/>
                    </w:rPr>
                    <w:t>技术参数及性能指标</w:t>
                  </w:r>
                </w:p>
              </w:tc>
              <w:tc>
                <w:tcPr>
                  <w:tcW w:w="500"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378DD694">
                  <w:pPr>
                    <w:pStyle w:val="4"/>
                    <w:jc w:val="center"/>
                  </w:pPr>
                  <w:r>
                    <w:rPr>
                      <w:rFonts w:ascii="仿宋_GB2312" w:hAnsi="仿宋_GB2312" w:eastAsia="仿宋_GB2312" w:cs="仿宋_GB2312"/>
                      <w:sz w:val="24"/>
                    </w:rPr>
                    <w:t>数量</w:t>
                  </w:r>
                </w:p>
              </w:tc>
              <w:tc>
                <w:tcPr>
                  <w:tcW w:w="702"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006CAC44">
                  <w:pPr>
                    <w:pStyle w:val="4"/>
                    <w:jc w:val="center"/>
                  </w:pPr>
                  <w:r>
                    <w:rPr>
                      <w:rFonts w:ascii="仿宋_GB2312" w:hAnsi="仿宋_GB2312" w:eastAsia="仿宋_GB2312" w:cs="仿宋_GB2312"/>
                      <w:sz w:val="24"/>
                    </w:rPr>
                    <w:t>单位</w:t>
                  </w:r>
                </w:p>
              </w:tc>
            </w:tr>
            <w:tr w14:paraId="5FB5B88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1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809D68A">
                  <w:pPr>
                    <w:pStyle w:val="4"/>
                    <w:jc w:val="both"/>
                  </w:pPr>
                  <w:r>
                    <w:rPr>
                      <w:rFonts w:ascii="仿宋_GB2312" w:hAnsi="仿宋_GB2312" w:eastAsia="仿宋_GB2312" w:cs="仿宋_GB2312"/>
                      <w:sz w:val="21"/>
                    </w:rPr>
                    <w:t>轻型多旋翼无人机机巢</w:t>
                  </w:r>
                </w:p>
              </w:tc>
              <w:tc>
                <w:tcPr>
                  <w:tcW w:w="4076" w:type="dxa"/>
                  <w:tcBorders>
                    <w:top w:val="nil"/>
                    <w:left w:val="nil"/>
                    <w:bottom w:val="single" w:color="000000" w:sz="4" w:space="0"/>
                    <w:right w:val="single" w:color="000000" w:sz="4" w:space="0"/>
                  </w:tcBorders>
                  <w:tcMar>
                    <w:top w:w="0" w:type="dxa"/>
                    <w:left w:w="105" w:type="dxa"/>
                    <w:bottom w:w="0" w:type="dxa"/>
                    <w:right w:w="105" w:type="dxa"/>
                  </w:tcMar>
                  <w:vAlign w:val="top"/>
                </w:tcPr>
                <w:p w14:paraId="5B661299">
                  <w:pPr>
                    <w:pStyle w:val="4"/>
                    <w:jc w:val="left"/>
                  </w:pPr>
                  <w:r>
                    <w:rPr>
                      <w:rFonts w:ascii="仿宋_GB2312" w:hAnsi="仿宋_GB2312" w:eastAsia="仿宋_GB2312" w:cs="仿宋_GB2312"/>
                      <w:sz w:val="19"/>
                    </w:rPr>
                    <w:t>▲1. 总重量应≤50kg；</w:t>
                  </w:r>
                </w:p>
                <w:p w14:paraId="66DC9016">
                  <w:pPr>
                    <w:pStyle w:val="4"/>
                    <w:jc w:val="left"/>
                  </w:pPr>
                  <w:r>
                    <w:rPr>
                      <w:rFonts w:ascii="仿宋_GB2312" w:hAnsi="仿宋_GB2312" w:eastAsia="仿宋_GB2312" w:cs="仿宋_GB2312"/>
                      <w:sz w:val="19"/>
                    </w:rPr>
                    <w:t>2.机库舱盖闭合尺寸(mm)应≤650×550×370（不含气象站、雨量计、天线高度）；</w:t>
                  </w:r>
                </w:p>
                <w:p w14:paraId="26416D02">
                  <w:pPr>
                    <w:pStyle w:val="4"/>
                    <w:jc w:val="left"/>
                  </w:pPr>
                  <w:r>
                    <w:rPr>
                      <w:rFonts w:ascii="仿宋_GB2312" w:hAnsi="仿宋_GB2312" w:eastAsia="仿宋_GB2312" w:cs="仿宋_GB2312"/>
                      <w:sz w:val="19"/>
                    </w:rPr>
                    <w:t>3.机库舱盖开启尺寸(mm)应≤1360×550×370（不含气象站、雨量计、天线高度）；</w:t>
                  </w:r>
                </w:p>
                <w:p w14:paraId="421AB2F2">
                  <w:pPr>
                    <w:pStyle w:val="4"/>
                    <w:jc w:val="left"/>
                  </w:pPr>
                  <w:r>
                    <w:rPr>
                      <w:rFonts w:ascii="仿宋_GB2312" w:hAnsi="仿宋_GB2312" w:eastAsia="仿宋_GB2312" w:cs="仿宋_GB2312"/>
                      <w:sz w:val="19"/>
                    </w:rPr>
                    <w:t>4.电源应满足AC220V同时具备过流保护、过温保护、短路保护功能；</w:t>
                  </w:r>
                </w:p>
                <w:p w14:paraId="7C13189F">
                  <w:pPr>
                    <w:pStyle w:val="4"/>
                    <w:jc w:val="left"/>
                  </w:pPr>
                  <w:r>
                    <w:rPr>
                      <w:rFonts w:ascii="仿宋_GB2312" w:hAnsi="仿宋_GB2312" w:eastAsia="仿宋_GB2312" w:cs="仿宋_GB2312"/>
                      <w:sz w:val="19"/>
                    </w:rPr>
                    <w:t>▲5. 防护等级应≥IP55；</w:t>
                  </w:r>
                </w:p>
                <w:p w14:paraId="5D50A1A8">
                  <w:pPr>
                    <w:pStyle w:val="4"/>
                    <w:jc w:val="left"/>
                  </w:pPr>
                  <w:r>
                    <w:rPr>
                      <w:rFonts w:ascii="仿宋_GB2312" w:hAnsi="仿宋_GB2312" w:eastAsia="仿宋_GB2312" w:cs="仿宋_GB2312"/>
                      <w:sz w:val="19"/>
                    </w:rPr>
                    <w:t>6.输入功率应≤1500W；</w:t>
                  </w:r>
                </w:p>
                <w:p w14:paraId="0087FC56">
                  <w:pPr>
                    <w:pStyle w:val="4"/>
                    <w:jc w:val="left"/>
                  </w:pPr>
                  <w:r>
                    <w:rPr>
                      <w:rFonts w:ascii="仿宋_GB2312" w:hAnsi="仿宋_GB2312" w:eastAsia="仿宋_GB2312" w:cs="仿宋_GB2312"/>
                      <w:sz w:val="19"/>
                    </w:rPr>
                    <w:t>7. 安装形式应满足地面、楼顶安装、驻塔；</w:t>
                  </w:r>
                </w:p>
                <w:p w14:paraId="63C8214E">
                  <w:pPr>
                    <w:pStyle w:val="4"/>
                    <w:jc w:val="left"/>
                  </w:pPr>
                  <w:r>
                    <w:rPr>
                      <w:rFonts w:ascii="仿宋_GB2312" w:hAnsi="仿宋_GB2312" w:eastAsia="仿宋_GB2312" w:cs="仿宋_GB2312"/>
                      <w:sz w:val="19"/>
                    </w:rPr>
                    <w:t>8.补电形式应满足自动充电；</w:t>
                  </w:r>
                </w:p>
                <w:p w14:paraId="3C780B2A">
                  <w:pPr>
                    <w:pStyle w:val="4"/>
                    <w:jc w:val="left"/>
                  </w:pPr>
                  <w:r>
                    <w:rPr>
                      <w:rFonts w:ascii="仿宋_GB2312" w:hAnsi="仿宋_GB2312" w:eastAsia="仿宋_GB2312" w:cs="仿宋_GB2312"/>
                      <w:sz w:val="19"/>
                    </w:rPr>
                    <w:t>▲9. 充电时长应≤35分钟（充电温度25℃，飞行器电池电量从10%充至90%）；</w:t>
                  </w:r>
                </w:p>
                <w:p w14:paraId="10B05D84">
                  <w:pPr>
                    <w:pStyle w:val="4"/>
                    <w:jc w:val="left"/>
                  </w:pPr>
                  <w:r>
                    <w:rPr>
                      <w:rFonts w:ascii="仿宋_GB2312" w:hAnsi="仿宋_GB2312" w:eastAsia="仿宋_GB2312" w:cs="仿宋_GB2312"/>
                      <w:sz w:val="19"/>
                    </w:rPr>
                    <w:t>10.空调类型应满足TEC温控；</w:t>
                  </w:r>
                </w:p>
                <w:p w14:paraId="156B2DF7">
                  <w:pPr>
                    <w:pStyle w:val="4"/>
                    <w:jc w:val="left"/>
                  </w:pPr>
                  <w:r>
                    <w:rPr>
                      <w:rFonts w:ascii="仿宋_GB2312" w:hAnsi="仿宋_GB2312" w:eastAsia="仿宋_GB2312" w:cs="仿宋_GB2312"/>
                      <w:sz w:val="19"/>
                    </w:rPr>
                    <w:t>11.无人机与无人机自动机库自有信道影像传输时延应≤300ms；</w:t>
                  </w:r>
                </w:p>
                <w:p w14:paraId="26DF9A28">
                  <w:pPr>
                    <w:pStyle w:val="4"/>
                    <w:jc w:val="left"/>
                  </w:pPr>
                  <w:r>
                    <w:rPr>
                      <w:rFonts w:ascii="仿宋_GB2312" w:hAnsi="仿宋_GB2312" w:eastAsia="仿宋_GB2312" w:cs="仿宋_GB2312"/>
                      <w:sz w:val="19"/>
                    </w:rPr>
                    <w:t>▲12. 应具备夜视功能内置摄像头且清晰度≥720P；</w:t>
                  </w:r>
                </w:p>
                <w:p w14:paraId="1C021701">
                  <w:pPr>
                    <w:pStyle w:val="4"/>
                    <w:jc w:val="left"/>
                  </w:pPr>
                  <w:r>
                    <w:rPr>
                      <w:rFonts w:ascii="仿宋_GB2312" w:hAnsi="仿宋_GB2312" w:eastAsia="仿宋_GB2312" w:cs="仿宋_GB2312"/>
                      <w:sz w:val="19"/>
                    </w:rPr>
                    <w:t>13.应满足集成风速计，温湿度传感器和外置摄像头，一体化设计。其中外置摄像头应具备超广角镜头，夜视功能，清晰度≥1080P；</w:t>
                  </w:r>
                </w:p>
                <w:p w14:paraId="74627613">
                  <w:pPr>
                    <w:pStyle w:val="4"/>
                    <w:jc w:val="left"/>
                  </w:pPr>
                  <w:r>
                    <w:rPr>
                      <w:rFonts w:ascii="仿宋_GB2312" w:hAnsi="仿宋_GB2312" w:eastAsia="仿宋_GB2312" w:cs="仿宋_GB2312"/>
                      <w:sz w:val="19"/>
                    </w:rPr>
                    <w:t>14.应具备无人机自动机库供电中断后，无人机禁止起飞；起飞后，任务即中断、无人机返航；</w:t>
                  </w:r>
                </w:p>
                <w:p w14:paraId="25C74B63">
                  <w:pPr>
                    <w:pStyle w:val="4"/>
                    <w:jc w:val="left"/>
                  </w:pPr>
                  <w:r>
                    <w:rPr>
                      <w:rFonts w:ascii="仿宋_GB2312" w:hAnsi="仿宋_GB2312" w:eastAsia="仿宋_GB2312" w:cs="仿宋_GB2312"/>
                      <w:sz w:val="19"/>
                    </w:rPr>
                    <w:t>15.应具备安全起飞自检功能；</w:t>
                  </w:r>
                </w:p>
                <w:p w14:paraId="234056B0">
                  <w:pPr>
                    <w:pStyle w:val="4"/>
                    <w:jc w:val="left"/>
                  </w:pPr>
                  <w:r>
                    <w:rPr>
                      <w:rFonts w:ascii="仿宋_GB2312" w:hAnsi="仿宋_GB2312" w:eastAsia="仿宋_GB2312" w:cs="仿宋_GB2312"/>
                      <w:sz w:val="19"/>
                    </w:rPr>
                    <w:t>16.无人机应具备在巡检过程中，因异常情况中断任务并返航后，可重新起飞，从断点继续执行巡检任务；</w:t>
                  </w:r>
                </w:p>
                <w:p w14:paraId="5A959699">
                  <w:pPr>
                    <w:pStyle w:val="4"/>
                    <w:jc w:val="left"/>
                  </w:pPr>
                  <w:r>
                    <w:rPr>
                      <w:rFonts w:ascii="仿宋_GB2312" w:hAnsi="仿宋_GB2312" w:eastAsia="仿宋_GB2312" w:cs="仿宋_GB2312"/>
                      <w:sz w:val="19"/>
                    </w:rPr>
                    <w:t>▲17. 应支持机库与遥控器进行A、B控切换：机库在执行巡检任务过程中，若出现紧急情况，支持手动切换控制权至遥控器，手动接管无人机；紧急情况处理完成后，支持将控制权切换回机库，继续执行巡检任务；</w:t>
                  </w:r>
                </w:p>
                <w:p w14:paraId="55F8B0F3">
                  <w:pPr>
                    <w:pStyle w:val="4"/>
                    <w:jc w:val="left"/>
                  </w:pPr>
                  <w:r>
                    <w:rPr>
                      <w:rFonts w:ascii="仿宋_GB2312" w:hAnsi="仿宋_GB2312" w:eastAsia="仿宋_GB2312" w:cs="仿宋_GB2312"/>
                      <w:sz w:val="19"/>
                    </w:rPr>
                    <w:t>18.应支持远程升级机库、无人机、无人机电池、固件；</w:t>
                  </w:r>
                </w:p>
                <w:p w14:paraId="69E910BF">
                  <w:pPr>
                    <w:pStyle w:val="4"/>
                    <w:jc w:val="left"/>
                  </w:pPr>
                  <w:r>
                    <w:rPr>
                      <w:rFonts w:ascii="仿宋_GB2312" w:hAnsi="仿宋_GB2312" w:eastAsia="仿宋_GB2312" w:cs="仿宋_GB2312"/>
                      <w:sz w:val="19"/>
                    </w:rPr>
                    <w:t>19.应具备RTK/视觉精准降落，降落精度应≤10cm；</w:t>
                  </w:r>
                </w:p>
                <w:p w14:paraId="05697AC5">
                  <w:pPr>
                    <w:pStyle w:val="4"/>
                    <w:jc w:val="left"/>
                  </w:pPr>
                  <w:r>
                    <w:rPr>
                      <w:rFonts w:ascii="仿宋_GB2312" w:hAnsi="仿宋_GB2312" w:eastAsia="仿宋_GB2312" w:cs="仿宋_GB2312"/>
                      <w:sz w:val="19"/>
                    </w:rPr>
                    <w:t>20.应支持无公网条件下具有RTK精度定位功能，定位精度≤10cm；</w:t>
                  </w:r>
                </w:p>
                <w:p w14:paraId="196E7762">
                  <w:pPr>
                    <w:pStyle w:val="4"/>
                    <w:jc w:val="left"/>
                  </w:pPr>
                  <w:r>
                    <w:rPr>
                      <w:rFonts w:ascii="仿宋_GB2312" w:hAnsi="仿宋_GB2312" w:eastAsia="仿宋_GB2312" w:cs="仿宋_GB2312"/>
                      <w:sz w:val="19"/>
                    </w:rPr>
                    <w:t>21.抗风能力支持巡检过程≥6级，精准降落≥5级；</w:t>
                  </w:r>
                </w:p>
                <w:p w14:paraId="531C2C6F">
                  <w:pPr>
                    <w:pStyle w:val="4"/>
                    <w:jc w:val="left"/>
                  </w:pPr>
                  <w:r>
                    <w:rPr>
                      <w:rFonts w:ascii="仿宋_GB2312" w:hAnsi="仿宋_GB2312" w:eastAsia="仿宋_GB2312" w:cs="仿宋_GB2312"/>
                      <w:sz w:val="19"/>
                    </w:rPr>
                    <w:t>22.应具备夜间精准降落能力；</w:t>
                  </w:r>
                </w:p>
                <w:p w14:paraId="5913B689">
                  <w:pPr>
                    <w:pStyle w:val="4"/>
                    <w:jc w:val="left"/>
                  </w:pPr>
                  <w:r>
                    <w:rPr>
                      <w:rFonts w:ascii="仿宋_GB2312" w:hAnsi="仿宋_GB2312" w:eastAsia="仿宋_GB2312" w:cs="仿宋_GB2312"/>
                      <w:sz w:val="19"/>
                    </w:rPr>
                    <w:t>23.降落时间应≤3分钟（返航高度120m，飞机备降悬停到降落完成到舱门关闭）；</w:t>
                  </w:r>
                </w:p>
                <w:p w14:paraId="22FD0ECA">
                  <w:pPr>
                    <w:pStyle w:val="4"/>
                    <w:jc w:val="left"/>
                  </w:pPr>
                  <w:r>
                    <w:rPr>
                      <w:rFonts w:ascii="仿宋_GB2312" w:hAnsi="仿宋_GB2312" w:eastAsia="仿宋_GB2312" w:cs="仿宋_GB2312"/>
                      <w:sz w:val="19"/>
                    </w:rPr>
                    <w:t>24.应具备降落异常时自动备降功能；</w:t>
                  </w:r>
                </w:p>
                <w:p w14:paraId="4D8E62A8">
                  <w:pPr>
                    <w:pStyle w:val="4"/>
                    <w:jc w:val="left"/>
                  </w:pPr>
                  <w:r>
                    <w:rPr>
                      <w:rFonts w:ascii="仿宋_GB2312" w:hAnsi="仿宋_GB2312" w:eastAsia="仿宋_GB2312" w:cs="仿宋_GB2312"/>
                      <w:sz w:val="19"/>
                    </w:rPr>
                    <w:t>25.无遮挡无干扰条件下，无人机机库作业半径应≥8km；</w:t>
                  </w:r>
                </w:p>
                <w:p w14:paraId="1A46714A">
                  <w:pPr>
                    <w:pStyle w:val="4"/>
                    <w:jc w:val="left"/>
                  </w:pPr>
                  <w:r>
                    <w:rPr>
                      <w:rFonts w:ascii="仿宋_GB2312" w:hAnsi="仿宋_GB2312" w:eastAsia="仿宋_GB2312" w:cs="仿宋_GB2312"/>
                      <w:sz w:val="19"/>
                    </w:rPr>
                    <w:t>26.在-20℃-50℃试验环境，设备在试验期间及试验前后都应能正常工作；</w:t>
                  </w:r>
                </w:p>
                <w:p w14:paraId="5EE00099">
                  <w:pPr>
                    <w:pStyle w:val="4"/>
                    <w:jc w:val="left"/>
                  </w:pPr>
                  <w:r>
                    <w:rPr>
                      <w:rFonts w:ascii="仿宋_GB2312" w:hAnsi="仿宋_GB2312" w:eastAsia="仿宋_GB2312" w:cs="仿宋_GB2312"/>
                      <w:sz w:val="19"/>
                    </w:rPr>
                    <w:t>27.工作湿度应≤95%RH，无凝露；</w:t>
                  </w:r>
                </w:p>
                <w:p w14:paraId="215DBCDE">
                  <w:pPr>
                    <w:pStyle w:val="4"/>
                    <w:jc w:val="left"/>
                  </w:pPr>
                  <w:r>
                    <w:rPr>
                      <w:rFonts w:ascii="仿宋_GB2312" w:hAnsi="仿宋_GB2312" w:eastAsia="仿宋_GB2312" w:cs="仿宋_GB2312"/>
                      <w:sz w:val="19"/>
                    </w:rPr>
                    <w:t>▲28. 无人机连续无故障出入机库及起降次数不小于200次；</w:t>
                  </w:r>
                </w:p>
                <w:p w14:paraId="3BFCD815">
                  <w:pPr>
                    <w:pStyle w:val="4"/>
                    <w:jc w:val="left"/>
                  </w:pPr>
                  <w:r>
                    <w:rPr>
                      <w:rFonts w:ascii="仿宋_GB2312" w:hAnsi="仿宋_GB2312" w:eastAsia="仿宋_GB2312" w:cs="仿宋_GB2312"/>
                      <w:sz w:val="19"/>
                    </w:rPr>
                    <w:t>29.设备应支持雨量传感器、振动传感器、烟雾传感器、水浸传感器、舱内温湿度传感器；</w:t>
                  </w:r>
                </w:p>
                <w:p w14:paraId="271607ED">
                  <w:pPr>
                    <w:pStyle w:val="4"/>
                    <w:jc w:val="left"/>
                  </w:pPr>
                  <w:r>
                    <w:rPr>
                      <w:rFonts w:ascii="仿宋_GB2312" w:hAnsi="仿宋_GB2312" w:eastAsia="仿宋_GB2312" w:cs="仿宋_GB2312"/>
                      <w:sz w:val="19"/>
                    </w:rPr>
                    <w:t>30.设备应具备SIM卡槽，支持4G/5G网络，在原有图传的基础上，与 4G/5G 网络共同协作，如原有图传信号受遮挡或干扰，用户仍可借助 4G 网络操控无人机。</w:t>
                  </w:r>
                </w:p>
              </w:tc>
              <w:tc>
                <w:tcPr>
                  <w:tcW w:w="5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D92D6DE">
                  <w:pPr>
                    <w:pStyle w:val="4"/>
                    <w:jc w:val="center"/>
                  </w:pPr>
                  <w:r>
                    <w:rPr>
                      <w:rFonts w:ascii="仿宋_GB2312" w:hAnsi="仿宋_GB2312" w:eastAsia="仿宋_GB2312" w:cs="仿宋_GB2312"/>
                      <w:sz w:val="24"/>
                    </w:rPr>
                    <w:t>6</w:t>
                  </w:r>
                </w:p>
              </w:tc>
              <w:tc>
                <w:tcPr>
                  <w:tcW w:w="7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1DCF5A87">
                  <w:pPr>
                    <w:pStyle w:val="4"/>
                    <w:jc w:val="center"/>
                  </w:pPr>
                  <w:r>
                    <w:rPr>
                      <w:rFonts w:ascii="仿宋_GB2312" w:hAnsi="仿宋_GB2312" w:eastAsia="仿宋_GB2312" w:cs="仿宋_GB2312"/>
                      <w:sz w:val="24"/>
                    </w:rPr>
                    <w:t>套</w:t>
                  </w:r>
                </w:p>
              </w:tc>
            </w:tr>
          </w:tbl>
          <w:p w14:paraId="04E1A2B4">
            <w:pPr>
              <w:pStyle w:val="4"/>
              <w:ind w:firstLine="236"/>
              <w:jc w:val="both"/>
            </w:pPr>
            <w:r>
              <w:rPr>
                <w:rFonts w:ascii="仿宋_GB2312" w:hAnsi="仿宋_GB2312" w:eastAsia="仿宋_GB2312" w:cs="仿宋_GB2312"/>
                <w:b/>
                <w:sz w:val="24"/>
              </w:rPr>
              <w:t>注：1、带“▲”号参数应提供第三方检测机构出具的检测（检验）报告扫描件并加盖投标人电子签章。</w:t>
            </w:r>
          </w:p>
          <w:p w14:paraId="3422168C">
            <w:pPr>
              <w:pStyle w:val="4"/>
              <w:jc w:val="left"/>
            </w:pPr>
            <w:r>
              <w:rPr>
                <w:rFonts w:ascii="仿宋_GB2312" w:hAnsi="仿宋_GB2312" w:eastAsia="仿宋_GB2312" w:cs="仿宋_GB2312"/>
                <w:b/>
                <w:sz w:val="24"/>
              </w:rPr>
              <w:t>2、其他参数没有要求提供证明材料的，以投标响应文件为准。</w:t>
            </w:r>
          </w:p>
          <w:p w14:paraId="3E603EF1">
            <w:pPr>
              <w:pStyle w:val="4"/>
              <w:jc w:val="left"/>
            </w:pPr>
            <w:r>
              <w:rPr>
                <w:rFonts w:ascii="仿宋_GB2312" w:hAnsi="仿宋_GB2312" w:eastAsia="仿宋_GB2312" w:cs="仿宋_GB2312"/>
              </w:rPr>
              <w:t>标的名称：轻型多旋翼无人机</w:t>
            </w:r>
          </w:p>
          <w:tbl>
            <w:tblPr>
              <w:tblStyle w:val="2"/>
              <w:tblW w:w="0" w:type="auto"/>
              <w:tblInd w:w="135"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450"/>
              <w:gridCol w:w="3860"/>
              <w:gridCol w:w="478"/>
              <w:gridCol w:w="670"/>
            </w:tblGrid>
            <w:tr w14:paraId="04C97E9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20"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633A605C">
                  <w:pPr>
                    <w:pStyle w:val="4"/>
                    <w:jc w:val="center"/>
                  </w:pPr>
                  <w:r>
                    <w:rPr>
                      <w:rFonts w:ascii="仿宋_GB2312" w:hAnsi="仿宋_GB2312" w:eastAsia="仿宋_GB2312" w:cs="仿宋_GB2312"/>
                      <w:sz w:val="24"/>
                    </w:rPr>
                    <w:t>名称</w:t>
                  </w:r>
                </w:p>
              </w:tc>
              <w:tc>
                <w:tcPr>
                  <w:tcW w:w="4102"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73D33A2F">
                  <w:pPr>
                    <w:pStyle w:val="4"/>
                    <w:jc w:val="center"/>
                  </w:pPr>
                  <w:r>
                    <w:rPr>
                      <w:rFonts w:ascii="仿宋_GB2312" w:hAnsi="仿宋_GB2312" w:eastAsia="仿宋_GB2312" w:cs="仿宋_GB2312"/>
                      <w:sz w:val="24"/>
                    </w:rPr>
                    <w:t>技术参数及性能指标</w:t>
                  </w:r>
                </w:p>
              </w:tc>
              <w:tc>
                <w:tcPr>
                  <w:tcW w:w="481"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53812C15">
                  <w:pPr>
                    <w:pStyle w:val="4"/>
                    <w:jc w:val="center"/>
                  </w:pPr>
                  <w:r>
                    <w:rPr>
                      <w:rFonts w:ascii="仿宋_GB2312" w:hAnsi="仿宋_GB2312" w:eastAsia="仿宋_GB2312" w:cs="仿宋_GB2312"/>
                      <w:sz w:val="24"/>
                    </w:rPr>
                    <w:t>数量</w:t>
                  </w:r>
                </w:p>
              </w:tc>
              <w:tc>
                <w:tcPr>
                  <w:tcW w:w="694"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4B31A242">
                  <w:pPr>
                    <w:pStyle w:val="4"/>
                    <w:jc w:val="center"/>
                  </w:pPr>
                  <w:r>
                    <w:rPr>
                      <w:rFonts w:ascii="仿宋_GB2312" w:hAnsi="仿宋_GB2312" w:eastAsia="仿宋_GB2312" w:cs="仿宋_GB2312"/>
                      <w:sz w:val="24"/>
                    </w:rPr>
                    <w:t>单位</w:t>
                  </w:r>
                </w:p>
              </w:tc>
            </w:tr>
            <w:tr w14:paraId="140585D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D97CCD5">
                  <w:pPr>
                    <w:pStyle w:val="4"/>
                    <w:jc w:val="both"/>
                  </w:pPr>
                  <w:r>
                    <w:rPr>
                      <w:rFonts w:ascii="仿宋_GB2312" w:hAnsi="仿宋_GB2312" w:eastAsia="仿宋_GB2312" w:cs="仿宋_GB2312"/>
                      <w:sz w:val="21"/>
                    </w:rPr>
                    <w:t>轻型多旋翼无人机</w:t>
                  </w:r>
                </w:p>
              </w:tc>
              <w:tc>
                <w:tcPr>
                  <w:tcW w:w="41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0DE4AD2F">
                  <w:pPr>
                    <w:pStyle w:val="4"/>
                    <w:jc w:val="left"/>
                  </w:pPr>
                  <w:r>
                    <w:rPr>
                      <w:rFonts w:ascii="仿宋_GB2312" w:hAnsi="仿宋_GB2312" w:eastAsia="仿宋_GB2312" w:cs="仿宋_GB2312"/>
                      <w:sz w:val="19"/>
                    </w:rPr>
                    <w:t>▲1.多旋翼无人机轴距应≤500mm；</w:t>
                  </w:r>
                </w:p>
                <w:p w14:paraId="2DA44CDB">
                  <w:pPr>
                    <w:pStyle w:val="4"/>
                    <w:jc w:val="left"/>
                  </w:pPr>
                  <w:r>
                    <w:rPr>
                      <w:rFonts w:ascii="仿宋_GB2312" w:hAnsi="仿宋_GB2312" w:eastAsia="仿宋_GB2312" w:cs="仿宋_GB2312"/>
                      <w:sz w:val="19"/>
                    </w:rPr>
                    <w:t>2.多旋翼无人机折叠尺寸(mm)(桨叶)应≤278×190×123，展开尺寸(mm)(桨叶)应≤600×530×128；</w:t>
                  </w:r>
                </w:p>
                <w:p w14:paraId="58817B36">
                  <w:pPr>
                    <w:pStyle w:val="4"/>
                    <w:jc w:val="left"/>
                  </w:pPr>
                  <w:r>
                    <w:rPr>
                      <w:rFonts w:ascii="仿宋_GB2312" w:hAnsi="仿宋_GB2312" w:eastAsia="仿宋_GB2312" w:cs="仿宋_GB2312"/>
                      <w:sz w:val="19"/>
                    </w:rPr>
                    <w:t>▲3.多旋翼无人机最大起飞重量应≥2050g；</w:t>
                  </w:r>
                </w:p>
                <w:p w14:paraId="345F7A9F">
                  <w:pPr>
                    <w:pStyle w:val="4"/>
                    <w:jc w:val="left"/>
                  </w:pPr>
                  <w:r>
                    <w:rPr>
                      <w:rFonts w:ascii="仿宋_GB2312" w:hAnsi="仿宋_GB2312" w:eastAsia="仿宋_GB2312" w:cs="仿宋_GB2312"/>
                      <w:sz w:val="19"/>
                    </w:rPr>
                    <w:t>4.多旋翼无人机空机重量应≤1900g；</w:t>
                  </w:r>
                </w:p>
                <w:p w14:paraId="1887E5B7">
                  <w:pPr>
                    <w:pStyle w:val="4"/>
                    <w:jc w:val="left"/>
                  </w:pPr>
                  <w:r>
                    <w:rPr>
                      <w:rFonts w:ascii="仿宋_GB2312" w:hAnsi="仿宋_GB2312" w:eastAsia="仿宋_GB2312" w:cs="仿宋_GB2312"/>
                      <w:sz w:val="19"/>
                    </w:rPr>
                    <w:t>▲5.多旋翼无人机最大飞行续航时间应≥50min</w:t>
                  </w:r>
                </w:p>
                <w:p w14:paraId="4182EA58">
                  <w:pPr>
                    <w:pStyle w:val="4"/>
                    <w:jc w:val="left"/>
                  </w:pPr>
                  <w:r>
                    <w:rPr>
                      <w:rFonts w:ascii="仿宋_GB2312" w:hAnsi="仿宋_GB2312" w:eastAsia="仿宋_GB2312" w:cs="仿宋_GB2312"/>
                      <w:sz w:val="19"/>
                    </w:rPr>
                    <w:t>6.多旋翼无人机最大可承受风速应≥14m/s，最大可抗风7级；</w:t>
                  </w:r>
                </w:p>
                <w:p w14:paraId="2D8C683E">
                  <w:pPr>
                    <w:pStyle w:val="4"/>
                    <w:jc w:val="left"/>
                  </w:pPr>
                  <w:r>
                    <w:rPr>
                      <w:rFonts w:ascii="仿宋_GB2312" w:hAnsi="仿宋_GB2312" w:eastAsia="仿宋_GB2312" w:cs="仿宋_GB2312"/>
                      <w:sz w:val="19"/>
                    </w:rPr>
                    <w:t>7.多旋翼无人机最大平飞速度应≥21m/s；</w:t>
                  </w:r>
                </w:p>
                <w:p w14:paraId="12992F05">
                  <w:pPr>
                    <w:pStyle w:val="4"/>
                    <w:jc w:val="left"/>
                  </w:pPr>
                  <w:r>
                    <w:rPr>
                      <w:rFonts w:ascii="仿宋_GB2312" w:hAnsi="仿宋_GB2312" w:eastAsia="仿宋_GB2312" w:cs="仿宋_GB2312"/>
                      <w:sz w:val="19"/>
                    </w:rPr>
                    <w:t>8.多旋翼无人机最大续航里程应≥35km；</w:t>
                  </w:r>
                </w:p>
                <w:p w14:paraId="646D176A">
                  <w:pPr>
                    <w:pStyle w:val="4"/>
                    <w:jc w:val="left"/>
                  </w:pPr>
                  <w:r>
                    <w:rPr>
                      <w:rFonts w:ascii="仿宋_GB2312" w:hAnsi="仿宋_GB2312" w:eastAsia="仿宋_GB2312" w:cs="仿宋_GB2312"/>
                      <w:sz w:val="19"/>
                    </w:rPr>
                    <w:t>9.多旋翼无人机电池容量应≥8000mAh，4S电池；</w:t>
                  </w:r>
                </w:p>
                <w:p w14:paraId="0090085C">
                  <w:pPr>
                    <w:pStyle w:val="4"/>
                    <w:jc w:val="left"/>
                  </w:pPr>
                  <w:r>
                    <w:rPr>
                      <w:rFonts w:ascii="仿宋_GB2312" w:hAnsi="仿宋_GB2312" w:eastAsia="仿宋_GB2312" w:cs="仿宋_GB2312"/>
                      <w:sz w:val="19"/>
                    </w:rPr>
                    <w:t>10.多旋翼无人机电池充电环境温度应满足0℃~45℃；</w:t>
                  </w:r>
                </w:p>
                <w:p w14:paraId="1B9DD2E4">
                  <w:pPr>
                    <w:pStyle w:val="4"/>
                    <w:jc w:val="left"/>
                  </w:pPr>
                  <w:r>
                    <w:rPr>
                      <w:rFonts w:ascii="仿宋_GB2312" w:hAnsi="仿宋_GB2312" w:eastAsia="仿宋_GB2312" w:cs="仿宋_GB2312"/>
                      <w:sz w:val="19"/>
                    </w:rPr>
                    <w:t>▲11.无人机应支持1台遥控器控制2台无人机，支持2台遥控器对1台无人机进行控制，支持中继组网、点对多点组网功能；</w:t>
                  </w:r>
                </w:p>
                <w:p w14:paraId="4CC30ACA">
                  <w:pPr>
                    <w:pStyle w:val="4"/>
                    <w:jc w:val="left"/>
                  </w:pPr>
                  <w:r>
                    <w:rPr>
                      <w:rFonts w:ascii="仿宋_GB2312" w:hAnsi="仿宋_GB2312" w:eastAsia="仿宋_GB2312" w:cs="仿宋_GB2312"/>
                      <w:sz w:val="19"/>
                    </w:rPr>
                    <w:t>12.支持RTK定位；</w:t>
                  </w:r>
                </w:p>
                <w:p w14:paraId="06AF34CD">
                  <w:pPr>
                    <w:pStyle w:val="4"/>
                    <w:jc w:val="left"/>
                  </w:pPr>
                  <w:r>
                    <w:rPr>
                      <w:rFonts w:ascii="仿宋_GB2312" w:hAnsi="仿宋_GB2312" w:eastAsia="仿宋_GB2312" w:cs="仿宋_GB2312"/>
                      <w:sz w:val="19"/>
                    </w:rPr>
                    <w:t>13.支持户外定位；</w:t>
                  </w:r>
                </w:p>
                <w:p w14:paraId="4AFEE325">
                  <w:pPr>
                    <w:pStyle w:val="4"/>
                    <w:jc w:val="left"/>
                  </w:pPr>
                  <w:r>
                    <w:rPr>
                      <w:rFonts w:ascii="仿宋_GB2312" w:hAnsi="仿宋_GB2312" w:eastAsia="仿宋_GB2312" w:cs="仿宋_GB2312"/>
                      <w:sz w:val="19"/>
                    </w:rPr>
                    <w:t>14.多旋翼无人机最大起飞海拔应≥6000m；</w:t>
                  </w:r>
                </w:p>
                <w:p w14:paraId="09B87E38">
                  <w:pPr>
                    <w:pStyle w:val="4"/>
                    <w:jc w:val="left"/>
                  </w:pPr>
                  <w:r>
                    <w:rPr>
                      <w:rFonts w:ascii="仿宋_GB2312" w:hAnsi="仿宋_GB2312" w:eastAsia="仿宋_GB2312" w:cs="仿宋_GB2312"/>
                      <w:sz w:val="19"/>
                    </w:rPr>
                    <w:t>▲15.多旋翼无人机应支持一键/失联/低电量返航功能；</w:t>
                  </w:r>
                </w:p>
                <w:p w14:paraId="4B223961">
                  <w:pPr>
                    <w:pStyle w:val="4"/>
                    <w:jc w:val="left"/>
                  </w:pPr>
                  <w:r>
                    <w:rPr>
                      <w:rFonts w:ascii="仿宋_GB2312" w:hAnsi="仿宋_GB2312" w:eastAsia="仿宋_GB2312" w:cs="仿宋_GB2312"/>
                      <w:sz w:val="19"/>
                    </w:rPr>
                    <w:t>16.冷启动搜星时间应≤30s（单点），最小搜星颗数应≥3颗（室外），热启动搜星时间应≤20s；</w:t>
                  </w:r>
                </w:p>
                <w:p w14:paraId="7EABE0AB">
                  <w:pPr>
                    <w:pStyle w:val="4"/>
                    <w:jc w:val="left"/>
                  </w:pPr>
                  <w:r>
                    <w:rPr>
                      <w:rFonts w:ascii="仿宋_GB2312" w:hAnsi="仿宋_GB2312" w:eastAsia="仿宋_GB2312" w:cs="仿宋_GB2312"/>
                      <w:sz w:val="19"/>
                    </w:rPr>
                    <w:t>17.无人机应在-20℃-50℃试验环境，设备在试验期间及试验前后，都能正常工作；</w:t>
                  </w:r>
                </w:p>
                <w:p w14:paraId="795C1428">
                  <w:pPr>
                    <w:pStyle w:val="4"/>
                    <w:jc w:val="left"/>
                  </w:pPr>
                  <w:r>
                    <w:rPr>
                      <w:rFonts w:ascii="仿宋_GB2312" w:hAnsi="仿宋_GB2312" w:eastAsia="仿宋_GB2312" w:cs="仿宋_GB2312"/>
                      <w:sz w:val="19"/>
                    </w:rPr>
                    <w:t>18.支持移动平台精准起降功能；</w:t>
                  </w:r>
                </w:p>
                <w:p w14:paraId="2E9D4A60">
                  <w:pPr>
                    <w:pStyle w:val="4"/>
                    <w:jc w:val="left"/>
                  </w:pPr>
                  <w:r>
                    <w:rPr>
                      <w:rFonts w:ascii="仿宋_GB2312" w:hAnsi="仿宋_GB2312" w:eastAsia="仿宋_GB2312" w:cs="仿宋_GB2312"/>
                      <w:sz w:val="19"/>
                    </w:rPr>
                    <w:t>▲19.支持人、车、船目标移动跟踪,最大目标检测数量≥64个，综合目标识别准确率≥90%；</w:t>
                  </w:r>
                </w:p>
                <w:p w14:paraId="79A4E93A">
                  <w:pPr>
                    <w:pStyle w:val="4"/>
                    <w:jc w:val="left"/>
                  </w:pPr>
                  <w:r>
                    <w:rPr>
                      <w:rFonts w:ascii="仿宋_GB2312" w:hAnsi="仿宋_GB2312" w:eastAsia="仿宋_GB2312" w:cs="仿宋_GB2312"/>
                      <w:sz w:val="19"/>
                    </w:rPr>
                    <w:t>20.支持一键全景功能，支持航点、正射、倾斜、航带、仿地等航线作业类型。支持在无人机拍摄的可见光视频与照片上记录拍摄时的坐标和时间；</w:t>
                  </w:r>
                </w:p>
                <w:p w14:paraId="252A327E">
                  <w:pPr>
                    <w:pStyle w:val="4"/>
                    <w:jc w:val="left"/>
                  </w:pPr>
                  <w:r>
                    <w:rPr>
                      <w:rFonts w:ascii="仿宋_GB2312" w:hAnsi="仿宋_GB2312" w:eastAsia="仿宋_GB2312" w:cs="仿宋_GB2312"/>
                      <w:sz w:val="19"/>
                    </w:rPr>
                    <w:t>21.无人机最大信号有效距离应满足FCC≥15km；SRRC≥8km；MIC/CE≥8km；</w:t>
                  </w:r>
                </w:p>
                <w:p w14:paraId="7652EAEA">
                  <w:pPr>
                    <w:pStyle w:val="4"/>
                    <w:jc w:val="left"/>
                  </w:pPr>
                  <w:r>
                    <w:rPr>
                      <w:rFonts w:ascii="仿宋_GB2312" w:hAnsi="仿宋_GB2312" w:eastAsia="仿宋_GB2312" w:cs="仿宋_GB2312"/>
                      <w:sz w:val="19"/>
                    </w:rPr>
                    <w:t>▲22.支持双发四收一体天线，发射天线≥2个，接收天线≥4 个。</w:t>
                  </w:r>
                </w:p>
                <w:p w14:paraId="125FFD4E">
                  <w:pPr>
                    <w:pStyle w:val="4"/>
                    <w:jc w:val="left"/>
                  </w:pPr>
                  <w:r>
                    <w:rPr>
                      <w:rFonts w:ascii="仿宋_GB2312" w:hAnsi="仿宋_GB2312" w:eastAsia="仿宋_GB2312" w:cs="仿宋_GB2312"/>
                      <w:sz w:val="19"/>
                    </w:rPr>
                    <w:t>23.图传链路支持AES-256 加密。</w:t>
                  </w:r>
                </w:p>
                <w:p w14:paraId="048DC4E1">
                  <w:pPr>
                    <w:pStyle w:val="4"/>
                    <w:jc w:val="left"/>
                  </w:pPr>
                  <w:r>
                    <w:rPr>
                      <w:rFonts w:ascii="仿宋_GB2312" w:hAnsi="仿宋_GB2312" w:eastAsia="仿宋_GB2312" w:cs="仿宋_GB2312"/>
                      <w:sz w:val="19"/>
                    </w:rPr>
                    <w:t>24.支持六向全向避障,支持六向双目视觉系统辅以机身底部红外传感器进行避障。</w:t>
                  </w:r>
                </w:p>
                <w:p w14:paraId="2ADC2EA8">
                  <w:pPr>
                    <w:pStyle w:val="4"/>
                    <w:jc w:val="left"/>
                  </w:pPr>
                  <w:r>
                    <w:rPr>
                      <w:rFonts w:ascii="仿宋_GB2312" w:hAnsi="仿宋_GB2312" w:eastAsia="仿宋_GB2312" w:cs="仿宋_GB2312"/>
                      <w:sz w:val="19"/>
                    </w:rPr>
                    <w:t>25.支持视觉辅助定位。</w:t>
                  </w:r>
                </w:p>
                <w:p w14:paraId="1F80BDAC">
                  <w:pPr>
                    <w:pStyle w:val="4"/>
                    <w:jc w:val="left"/>
                  </w:pPr>
                  <w:r>
                    <w:rPr>
                      <w:rFonts w:ascii="仿宋_GB2312" w:hAnsi="仿宋_GB2312" w:eastAsia="仿宋_GB2312" w:cs="仿宋_GB2312"/>
                      <w:sz w:val="19"/>
                    </w:rPr>
                    <w:t>26.支持三轴机械增稳平台；</w:t>
                  </w:r>
                </w:p>
                <w:p w14:paraId="1E466707">
                  <w:pPr>
                    <w:pStyle w:val="4"/>
                    <w:jc w:val="left"/>
                  </w:pPr>
                  <w:r>
                    <w:rPr>
                      <w:rFonts w:ascii="仿宋_GB2312" w:hAnsi="仿宋_GB2312" w:eastAsia="仿宋_GB2312" w:cs="仿宋_GB2312"/>
                      <w:sz w:val="19"/>
                    </w:rPr>
                    <w:t>▲27.遥控器屏幕尺寸≥7英寸；</w:t>
                  </w:r>
                </w:p>
                <w:p w14:paraId="1216EBD3">
                  <w:pPr>
                    <w:pStyle w:val="4"/>
                    <w:jc w:val="left"/>
                  </w:pPr>
                  <w:r>
                    <w:rPr>
                      <w:rFonts w:ascii="仿宋_GB2312" w:hAnsi="仿宋_GB2312" w:eastAsia="仿宋_GB2312" w:cs="仿宋_GB2312"/>
                      <w:sz w:val="19"/>
                    </w:rPr>
                    <w:t>28.遥控器屏幕分辨率应≥1920*1200；</w:t>
                  </w:r>
                </w:p>
                <w:p w14:paraId="4E197061">
                  <w:pPr>
                    <w:pStyle w:val="4"/>
                    <w:jc w:val="left"/>
                  </w:pPr>
                  <w:r>
                    <w:rPr>
                      <w:rFonts w:ascii="仿宋_GB2312" w:hAnsi="仿宋_GB2312" w:eastAsia="仿宋_GB2312" w:cs="仿宋_GB2312"/>
                      <w:sz w:val="19"/>
                    </w:rPr>
                    <w:t>29.遥控器屏幕亮度应≥1000nits；</w:t>
                  </w:r>
                </w:p>
                <w:p w14:paraId="79ACC7C9">
                  <w:pPr>
                    <w:pStyle w:val="4"/>
                    <w:jc w:val="left"/>
                  </w:pPr>
                  <w:r>
                    <w:rPr>
                      <w:rFonts w:ascii="仿宋_GB2312" w:hAnsi="仿宋_GB2312" w:eastAsia="仿宋_GB2312" w:cs="仿宋_GB2312"/>
                      <w:sz w:val="19"/>
                    </w:rPr>
                    <w:t>30.遥控器电池容量≥6000mAh；</w:t>
                  </w:r>
                </w:p>
                <w:p w14:paraId="0D40C1DE">
                  <w:pPr>
                    <w:pStyle w:val="4"/>
                    <w:jc w:val="left"/>
                  </w:pPr>
                  <w:r>
                    <w:rPr>
                      <w:rFonts w:ascii="仿宋_GB2312" w:hAnsi="仿宋_GB2312" w:eastAsia="仿宋_GB2312" w:cs="仿宋_GB2312"/>
                      <w:sz w:val="19"/>
                    </w:rPr>
                    <w:t>▲31.广角相机影像传感器应≥1/2英寸CMOS，有效像素≥4800万；</w:t>
                  </w:r>
                </w:p>
                <w:p w14:paraId="7487DEB8">
                  <w:pPr>
                    <w:pStyle w:val="4"/>
                    <w:jc w:val="left"/>
                  </w:pPr>
                  <w:r>
                    <w:rPr>
                      <w:rFonts w:ascii="仿宋_GB2312" w:hAnsi="仿宋_GB2312" w:eastAsia="仿宋_GB2312" w:cs="仿宋_GB2312"/>
                      <w:sz w:val="19"/>
                    </w:rPr>
                    <w:t>32.广角相机视场角应≥84°；</w:t>
                  </w:r>
                </w:p>
                <w:p w14:paraId="2C7B178B">
                  <w:pPr>
                    <w:pStyle w:val="4"/>
                    <w:jc w:val="left"/>
                  </w:pPr>
                  <w:r>
                    <w:rPr>
                      <w:rFonts w:ascii="仿宋_GB2312" w:hAnsi="仿宋_GB2312" w:eastAsia="仿宋_GB2312" w:cs="仿宋_GB2312"/>
                      <w:sz w:val="19"/>
                    </w:rPr>
                    <w:t>33.广角相机等效焦距应≥24mm；</w:t>
                  </w:r>
                </w:p>
                <w:p w14:paraId="3E6CA7CD">
                  <w:pPr>
                    <w:pStyle w:val="4"/>
                    <w:jc w:val="left"/>
                  </w:pPr>
                  <w:r>
                    <w:rPr>
                      <w:rFonts w:ascii="仿宋_GB2312" w:hAnsi="仿宋_GB2312" w:eastAsia="仿宋_GB2312" w:cs="仿宋_GB2312"/>
                      <w:sz w:val="19"/>
                    </w:rPr>
                    <w:t>34.广角相机录像分辨率≥3840×2160；</w:t>
                  </w:r>
                </w:p>
                <w:p w14:paraId="6C060D8A">
                  <w:pPr>
                    <w:pStyle w:val="4"/>
                    <w:jc w:val="left"/>
                  </w:pPr>
                  <w:r>
                    <w:rPr>
                      <w:rFonts w:ascii="仿宋_GB2312" w:hAnsi="仿宋_GB2312" w:eastAsia="仿宋_GB2312" w:cs="仿宋_GB2312"/>
                      <w:sz w:val="19"/>
                    </w:rPr>
                    <w:t>35.广角相机最大照片尺寸≥8000×6000；</w:t>
                  </w:r>
                </w:p>
                <w:p w14:paraId="3660F30E">
                  <w:pPr>
                    <w:pStyle w:val="4"/>
                    <w:jc w:val="left"/>
                  </w:pPr>
                  <w:r>
                    <w:rPr>
                      <w:rFonts w:ascii="仿宋_GB2312" w:hAnsi="仿宋_GB2312" w:eastAsia="仿宋_GB2312" w:cs="仿宋_GB2312"/>
                      <w:sz w:val="19"/>
                    </w:rPr>
                    <w:t>▲36.长焦相机影像传感器应≥1/2英寸CMOS，有效像素≥4800万；</w:t>
                  </w:r>
                </w:p>
                <w:p w14:paraId="5659DDAD">
                  <w:pPr>
                    <w:pStyle w:val="4"/>
                    <w:jc w:val="left"/>
                  </w:pPr>
                  <w:r>
                    <w:rPr>
                      <w:rFonts w:ascii="仿宋_GB2312" w:hAnsi="仿宋_GB2312" w:eastAsia="仿宋_GB2312" w:cs="仿宋_GB2312"/>
                      <w:sz w:val="19"/>
                    </w:rPr>
                    <w:t>▲37.长焦相机应≥10倍光学变焦，最大≥160倍混合变焦；</w:t>
                  </w:r>
                </w:p>
                <w:p w14:paraId="1DD6D22F">
                  <w:pPr>
                    <w:pStyle w:val="4"/>
                    <w:jc w:val="left"/>
                  </w:pPr>
                  <w:r>
                    <w:rPr>
                      <w:rFonts w:ascii="仿宋_GB2312" w:hAnsi="仿宋_GB2312" w:eastAsia="仿宋_GB2312" w:cs="仿宋_GB2312"/>
                      <w:sz w:val="19"/>
                    </w:rPr>
                    <w:t>38.长焦相机录像分辨率≥3840×2160；</w:t>
                  </w:r>
                </w:p>
                <w:p w14:paraId="28C81416">
                  <w:pPr>
                    <w:pStyle w:val="4"/>
                    <w:jc w:val="left"/>
                  </w:pPr>
                  <w:r>
                    <w:rPr>
                      <w:rFonts w:ascii="仿宋_GB2312" w:hAnsi="仿宋_GB2312" w:eastAsia="仿宋_GB2312" w:cs="仿宋_GB2312"/>
                      <w:sz w:val="19"/>
                    </w:rPr>
                    <w:t>39.长焦相机最大照片尺寸≥8000×6000；</w:t>
                  </w:r>
                </w:p>
                <w:p w14:paraId="7908F120">
                  <w:pPr>
                    <w:pStyle w:val="4"/>
                    <w:jc w:val="left"/>
                  </w:pPr>
                  <w:r>
                    <w:rPr>
                      <w:rFonts w:ascii="仿宋_GB2312" w:hAnsi="仿宋_GB2312" w:eastAsia="仿宋_GB2312" w:cs="仿宋_GB2312"/>
                      <w:sz w:val="19"/>
                    </w:rPr>
                    <w:t>40.长焦相机光圈应满足f/3.7-f/4.2；</w:t>
                  </w:r>
                </w:p>
                <w:p w14:paraId="21D40237">
                  <w:pPr>
                    <w:pStyle w:val="4"/>
                    <w:jc w:val="left"/>
                  </w:pPr>
                  <w:r>
                    <w:rPr>
                      <w:rFonts w:ascii="仿宋_GB2312" w:hAnsi="仿宋_GB2312" w:eastAsia="仿宋_GB2312" w:cs="仿宋_GB2312"/>
                      <w:sz w:val="19"/>
                    </w:rPr>
                    <w:t>41.红外相机拍照分辨率应≥640×512；</w:t>
                  </w:r>
                </w:p>
                <w:p w14:paraId="690BBA71">
                  <w:pPr>
                    <w:pStyle w:val="4"/>
                    <w:jc w:val="left"/>
                  </w:pPr>
                  <w:r>
                    <w:rPr>
                      <w:rFonts w:ascii="仿宋_GB2312" w:hAnsi="仿宋_GB2312" w:eastAsia="仿宋_GB2312" w:cs="仿宋_GB2312"/>
                      <w:sz w:val="19"/>
                    </w:rPr>
                    <w:t>▲42.红外相机变焦倍数≥32倍；</w:t>
                  </w:r>
                </w:p>
                <w:p w14:paraId="7E920768">
                  <w:pPr>
                    <w:pStyle w:val="4"/>
                    <w:jc w:val="left"/>
                  </w:pPr>
                  <w:r>
                    <w:rPr>
                      <w:rFonts w:ascii="仿宋_GB2312" w:hAnsi="仿宋_GB2312" w:eastAsia="仿宋_GB2312" w:cs="仿宋_GB2312"/>
                      <w:sz w:val="19"/>
                    </w:rPr>
                    <w:t>43.红外相机焦距≥14mm；</w:t>
                  </w:r>
                </w:p>
                <w:p w14:paraId="642E3887">
                  <w:pPr>
                    <w:pStyle w:val="4"/>
                    <w:jc w:val="left"/>
                  </w:pPr>
                  <w:r>
                    <w:rPr>
                      <w:rFonts w:ascii="仿宋_GB2312" w:hAnsi="仿宋_GB2312" w:eastAsia="仿宋_GB2312" w:cs="仿宋_GB2312"/>
                      <w:sz w:val="19"/>
                    </w:rPr>
                    <w:t>44.红外相机测温范围-20℃至150℃（高增益模式）</w:t>
                  </w:r>
                </w:p>
                <w:p w14:paraId="673D7449">
                  <w:pPr>
                    <w:pStyle w:val="4"/>
                    <w:jc w:val="left"/>
                  </w:pPr>
                  <w:r>
                    <w:rPr>
                      <w:rFonts w:ascii="仿宋_GB2312" w:hAnsi="仿宋_GB2312" w:eastAsia="仿宋_GB2312" w:cs="仿宋_GB2312"/>
                      <w:sz w:val="19"/>
                    </w:rPr>
                    <w:t>45.激光波长应≥905nm；</w:t>
                  </w:r>
                </w:p>
                <w:p w14:paraId="77C9BEBB">
                  <w:pPr>
                    <w:pStyle w:val="4"/>
                    <w:jc w:val="left"/>
                  </w:pPr>
                  <w:r>
                    <w:rPr>
                      <w:rFonts w:ascii="仿宋_GB2312" w:hAnsi="仿宋_GB2312" w:eastAsia="仿宋_GB2312" w:cs="仿宋_GB2312"/>
                      <w:sz w:val="19"/>
                    </w:rPr>
                    <w:t>46.激光测距最大测量范围≥1500m；</w:t>
                  </w:r>
                </w:p>
                <w:p w14:paraId="48CB99F0">
                  <w:pPr>
                    <w:pStyle w:val="4"/>
                    <w:jc w:val="left"/>
                  </w:pPr>
                  <w:r>
                    <w:rPr>
                      <w:rFonts w:ascii="仿宋_GB2312" w:hAnsi="仿宋_GB2312" w:eastAsia="仿宋_GB2312" w:cs="仿宋_GB2312"/>
                      <w:sz w:val="19"/>
                    </w:rPr>
                    <w:t>47.喊话照明设备最大功率：≥30W；</w:t>
                  </w:r>
                </w:p>
                <w:p w14:paraId="3D89AC6D">
                  <w:pPr>
                    <w:pStyle w:val="4"/>
                    <w:jc w:val="left"/>
                  </w:pPr>
                  <w:r>
                    <w:rPr>
                      <w:rFonts w:ascii="仿宋_GB2312" w:hAnsi="仿宋_GB2312" w:eastAsia="仿宋_GB2312" w:cs="仿宋_GB2312"/>
                      <w:sz w:val="19"/>
                    </w:rPr>
                    <w:t>48.喊话照明设备重量：≤160g；</w:t>
                  </w:r>
                </w:p>
                <w:p w14:paraId="2B9E3A04">
                  <w:pPr>
                    <w:pStyle w:val="4"/>
                    <w:jc w:val="left"/>
                  </w:pPr>
                  <w:r>
                    <w:rPr>
                      <w:rFonts w:ascii="仿宋_GB2312" w:hAnsi="仿宋_GB2312" w:eastAsia="仿宋_GB2312" w:cs="仿宋_GB2312"/>
                      <w:sz w:val="19"/>
                    </w:rPr>
                    <w:t>49.广播距离：≥300米；</w:t>
                  </w:r>
                </w:p>
                <w:p w14:paraId="19E13575">
                  <w:pPr>
                    <w:pStyle w:val="4"/>
                    <w:jc w:val="left"/>
                  </w:pPr>
                  <w:r>
                    <w:rPr>
                      <w:rFonts w:ascii="仿宋_GB2312" w:hAnsi="仿宋_GB2312" w:eastAsia="仿宋_GB2312" w:cs="仿宋_GB2312"/>
                      <w:sz w:val="19"/>
                    </w:rPr>
                    <w:t>50.照明探照角度：≥14°；</w:t>
                  </w:r>
                </w:p>
                <w:p w14:paraId="63733FFD">
                  <w:pPr>
                    <w:pStyle w:val="4"/>
                    <w:jc w:val="left"/>
                  </w:pPr>
                  <w:r>
                    <w:rPr>
                      <w:rFonts w:ascii="仿宋_GB2312" w:hAnsi="仿宋_GB2312" w:eastAsia="仿宋_GB2312" w:cs="仿宋_GB2312"/>
                      <w:sz w:val="19"/>
                    </w:rPr>
                    <w:t>51.照明距离：≥150m；</w:t>
                  </w:r>
                </w:p>
                <w:p w14:paraId="14577583">
                  <w:pPr>
                    <w:pStyle w:val="4"/>
                    <w:jc w:val="left"/>
                  </w:pPr>
                  <w:r>
                    <w:rPr>
                      <w:rFonts w:ascii="仿宋_GB2312" w:hAnsi="仿宋_GB2312" w:eastAsia="仿宋_GB2312" w:cs="仿宋_GB2312"/>
                      <w:sz w:val="19"/>
                    </w:rPr>
                    <w:t>52.照明光通量：≥3000lm；</w:t>
                  </w:r>
                </w:p>
                <w:p w14:paraId="430C1F48">
                  <w:pPr>
                    <w:pStyle w:val="4"/>
                    <w:jc w:val="left"/>
                  </w:pPr>
                  <w:r>
                    <w:rPr>
                      <w:rFonts w:ascii="仿宋_GB2312" w:hAnsi="仿宋_GB2312" w:eastAsia="仿宋_GB2312" w:cs="仿宋_GB2312"/>
                      <w:sz w:val="19"/>
                    </w:rPr>
                    <w:t>53.照明探照面积：50m：≥110㎡；100m：≥450㎡；150m：≥1000㎡；</w:t>
                  </w:r>
                </w:p>
                <w:p w14:paraId="7D96EE72">
                  <w:pPr>
                    <w:pStyle w:val="4"/>
                    <w:jc w:val="left"/>
                  </w:pPr>
                  <w:r>
                    <w:rPr>
                      <w:rFonts w:ascii="仿宋_GB2312" w:hAnsi="仿宋_GB2312" w:eastAsia="仿宋_GB2312" w:cs="仿宋_GB2312"/>
                      <w:sz w:val="19"/>
                    </w:rPr>
                    <w:t>54.照明中心照度：50m：≥30Lux；100m：≥8Lux；150m：≥4Lux；</w:t>
                  </w:r>
                </w:p>
                <w:p w14:paraId="5D4E78FA">
                  <w:pPr>
                    <w:pStyle w:val="4"/>
                    <w:jc w:val="left"/>
                  </w:pPr>
                  <w:r>
                    <w:rPr>
                      <w:rFonts w:ascii="仿宋_GB2312" w:hAnsi="仿宋_GB2312" w:eastAsia="仿宋_GB2312" w:cs="仿宋_GB2312"/>
                      <w:sz w:val="19"/>
                    </w:rPr>
                    <w:t>▲55.多旋翼无人机防护等级应≥IP55；</w:t>
                  </w:r>
                </w:p>
              </w:tc>
              <w:tc>
                <w:tcPr>
                  <w:tcW w:w="481" w:type="dxa"/>
                  <w:tcBorders>
                    <w:top w:val="nil"/>
                    <w:left w:val="nil"/>
                    <w:bottom w:val="single" w:color="000000" w:sz="4" w:space="0"/>
                    <w:right w:val="single" w:color="000000" w:sz="4" w:space="0"/>
                  </w:tcBorders>
                  <w:tcMar>
                    <w:top w:w="0" w:type="dxa"/>
                    <w:left w:w="105" w:type="dxa"/>
                    <w:bottom w:w="0" w:type="dxa"/>
                    <w:right w:w="105" w:type="dxa"/>
                  </w:tcMar>
                  <w:vAlign w:val="top"/>
                </w:tcPr>
                <w:p w14:paraId="122C2A0C">
                  <w:pPr>
                    <w:pStyle w:val="4"/>
                    <w:jc w:val="center"/>
                  </w:pPr>
                  <w:r>
                    <w:rPr>
                      <w:rFonts w:ascii="仿宋_GB2312" w:hAnsi="仿宋_GB2312" w:eastAsia="仿宋_GB2312" w:cs="仿宋_GB2312"/>
                      <w:sz w:val="24"/>
                    </w:rPr>
                    <w:t>6</w:t>
                  </w:r>
                </w:p>
              </w:tc>
              <w:tc>
                <w:tcPr>
                  <w:tcW w:w="694" w:type="dxa"/>
                  <w:tcBorders>
                    <w:top w:val="nil"/>
                    <w:left w:val="nil"/>
                    <w:bottom w:val="single" w:color="000000" w:sz="4" w:space="0"/>
                    <w:right w:val="single" w:color="000000" w:sz="4" w:space="0"/>
                  </w:tcBorders>
                  <w:tcMar>
                    <w:top w:w="0" w:type="dxa"/>
                    <w:left w:w="105" w:type="dxa"/>
                    <w:bottom w:w="0" w:type="dxa"/>
                    <w:right w:w="105" w:type="dxa"/>
                  </w:tcMar>
                  <w:vAlign w:val="top"/>
                </w:tcPr>
                <w:p w14:paraId="14834372">
                  <w:pPr>
                    <w:pStyle w:val="4"/>
                    <w:jc w:val="center"/>
                  </w:pPr>
                  <w:r>
                    <w:rPr>
                      <w:rFonts w:ascii="仿宋_GB2312" w:hAnsi="仿宋_GB2312" w:eastAsia="仿宋_GB2312" w:cs="仿宋_GB2312"/>
                      <w:sz w:val="24"/>
                    </w:rPr>
                    <w:t>套</w:t>
                  </w:r>
                </w:p>
              </w:tc>
            </w:tr>
          </w:tbl>
          <w:p w14:paraId="47D5F982">
            <w:pPr>
              <w:pStyle w:val="4"/>
              <w:ind w:firstLine="236"/>
              <w:jc w:val="both"/>
            </w:pPr>
            <w:r>
              <w:rPr>
                <w:rFonts w:ascii="仿宋_GB2312" w:hAnsi="仿宋_GB2312" w:eastAsia="仿宋_GB2312" w:cs="仿宋_GB2312"/>
                <w:b/>
                <w:sz w:val="24"/>
              </w:rPr>
              <w:t>注：1、带“▲”号参数应提供第三方检测机构出具的检测（检验）报告扫描件并加盖投标人电子签章。</w:t>
            </w:r>
          </w:p>
          <w:p w14:paraId="2F9EE0EF">
            <w:pPr>
              <w:pStyle w:val="4"/>
              <w:jc w:val="left"/>
            </w:pPr>
            <w:r>
              <w:rPr>
                <w:rFonts w:ascii="仿宋_GB2312" w:hAnsi="仿宋_GB2312" w:eastAsia="仿宋_GB2312" w:cs="仿宋_GB2312"/>
                <w:b/>
                <w:sz w:val="24"/>
              </w:rPr>
              <w:t>2、其他参数没有要求提供证明材料的，以投标响应文件为准。</w:t>
            </w:r>
          </w:p>
          <w:p w14:paraId="38580108">
            <w:pPr>
              <w:pStyle w:val="4"/>
              <w:jc w:val="left"/>
            </w:pPr>
            <w:r>
              <w:rPr>
                <w:rFonts w:ascii="仿宋_GB2312" w:hAnsi="仿宋_GB2312" w:eastAsia="仿宋_GB2312" w:cs="仿宋_GB2312"/>
              </w:rPr>
              <w:t>标的名称：小型多旋翼无人机机巢</w:t>
            </w:r>
          </w:p>
          <w:tbl>
            <w:tblPr>
              <w:tblStyle w:val="2"/>
              <w:tblW w:w="0" w:type="auto"/>
              <w:tblInd w:w="135"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450"/>
              <w:gridCol w:w="3865"/>
              <w:gridCol w:w="480"/>
              <w:gridCol w:w="663"/>
            </w:tblGrid>
            <w:tr w14:paraId="7F09ABC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22"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60B7421E">
                  <w:pPr>
                    <w:pStyle w:val="4"/>
                    <w:jc w:val="center"/>
                  </w:pPr>
                  <w:r>
                    <w:rPr>
                      <w:rFonts w:ascii="仿宋_GB2312" w:hAnsi="仿宋_GB2312" w:eastAsia="仿宋_GB2312" w:cs="仿宋_GB2312"/>
                      <w:sz w:val="24"/>
                    </w:rPr>
                    <w:t>名称</w:t>
                  </w:r>
                </w:p>
              </w:tc>
              <w:tc>
                <w:tcPr>
                  <w:tcW w:w="4107"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5E4AC5B6">
                  <w:pPr>
                    <w:pStyle w:val="4"/>
                    <w:jc w:val="center"/>
                  </w:pPr>
                  <w:r>
                    <w:rPr>
                      <w:rFonts w:ascii="仿宋_GB2312" w:hAnsi="仿宋_GB2312" w:eastAsia="仿宋_GB2312" w:cs="仿宋_GB2312"/>
                      <w:sz w:val="24"/>
                    </w:rPr>
                    <w:t>技术参数及性能指标</w:t>
                  </w:r>
                </w:p>
              </w:tc>
              <w:tc>
                <w:tcPr>
                  <w:tcW w:w="483"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430942BC">
                  <w:pPr>
                    <w:pStyle w:val="4"/>
                    <w:jc w:val="center"/>
                  </w:pPr>
                  <w:r>
                    <w:rPr>
                      <w:rFonts w:ascii="仿宋_GB2312" w:hAnsi="仿宋_GB2312" w:eastAsia="仿宋_GB2312" w:cs="仿宋_GB2312"/>
                      <w:sz w:val="24"/>
                    </w:rPr>
                    <w:t>数量</w:t>
                  </w:r>
                </w:p>
              </w:tc>
              <w:tc>
                <w:tcPr>
                  <w:tcW w:w="686"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1607DE38">
                  <w:pPr>
                    <w:pStyle w:val="4"/>
                    <w:jc w:val="center"/>
                  </w:pPr>
                  <w:r>
                    <w:rPr>
                      <w:rFonts w:ascii="仿宋_GB2312" w:hAnsi="仿宋_GB2312" w:eastAsia="仿宋_GB2312" w:cs="仿宋_GB2312"/>
                      <w:sz w:val="24"/>
                    </w:rPr>
                    <w:t>单位</w:t>
                  </w:r>
                </w:p>
              </w:tc>
            </w:tr>
            <w:tr w14:paraId="1D7B31F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2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9D0ED4F">
                  <w:pPr>
                    <w:pStyle w:val="4"/>
                    <w:jc w:val="both"/>
                  </w:pPr>
                  <w:r>
                    <w:rPr>
                      <w:rFonts w:ascii="仿宋_GB2312" w:hAnsi="仿宋_GB2312" w:eastAsia="仿宋_GB2312" w:cs="仿宋_GB2312"/>
                      <w:sz w:val="21"/>
                    </w:rPr>
                    <w:t>小型多旋翼无人机机巢</w:t>
                  </w:r>
                </w:p>
              </w:tc>
              <w:tc>
                <w:tcPr>
                  <w:tcW w:w="4107" w:type="dxa"/>
                  <w:tcBorders>
                    <w:top w:val="nil"/>
                    <w:left w:val="nil"/>
                    <w:bottom w:val="single" w:color="000000" w:sz="4" w:space="0"/>
                    <w:right w:val="single" w:color="000000" w:sz="4" w:space="0"/>
                  </w:tcBorders>
                  <w:tcMar>
                    <w:top w:w="0" w:type="dxa"/>
                    <w:left w:w="105" w:type="dxa"/>
                    <w:bottom w:w="0" w:type="dxa"/>
                    <w:right w:w="105" w:type="dxa"/>
                  </w:tcMar>
                  <w:vAlign w:val="top"/>
                </w:tcPr>
                <w:p w14:paraId="58471D8E">
                  <w:pPr>
                    <w:pStyle w:val="4"/>
                    <w:jc w:val="left"/>
                  </w:pPr>
                  <w:r>
                    <w:rPr>
                      <w:rFonts w:ascii="仿宋_GB2312" w:hAnsi="仿宋_GB2312" w:eastAsia="仿宋_GB2312" w:cs="仿宋_GB2312"/>
                      <w:sz w:val="19"/>
                    </w:rPr>
                    <w:t>1.无人机机库闭合状态下尺寸（mm）≤800×1100×1430（不包含气象站），无人机机库展开状态下尺寸（mm）≤1900×1100×840（不包含气象站）；</w:t>
                  </w:r>
                </w:p>
                <w:p w14:paraId="01D4210D">
                  <w:pPr>
                    <w:pStyle w:val="4"/>
                    <w:jc w:val="left"/>
                  </w:pPr>
                  <w:r>
                    <w:rPr>
                      <w:rFonts w:ascii="仿宋_GB2312" w:hAnsi="仿宋_GB2312" w:eastAsia="仿宋_GB2312" w:cs="仿宋_GB2312"/>
                      <w:sz w:val="19"/>
                    </w:rPr>
                    <w:t>▲2.无人机机库总重量≤180kg；</w:t>
                  </w:r>
                </w:p>
                <w:p w14:paraId="0E90A209">
                  <w:pPr>
                    <w:pStyle w:val="4"/>
                    <w:jc w:val="left"/>
                  </w:pPr>
                  <w:r>
                    <w:rPr>
                      <w:rFonts w:ascii="仿宋_GB2312" w:hAnsi="仿宋_GB2312" w:eastAsia="仿宋_GB2312" w:cs="仿宋_GB2312"/>
                      <w:sz w:val="19"/>
                    </w:rPr>
                    <w:t>▲3.图传与控制距离：≥10km（空旷无干扰最远距离）；</w:t>
                  </w:r>
                </w:p>
                <w:p w14:paraId="3AE977AD">
                  <w:pPr>
                    <w:pStyle w:val="4"/>
                    <w:jc w:val="left"/>
                  </w:pPr>
                  <w:r>
                    <w:rPr>
                      <w:rFonts w:ascii="仿宋_GB2312" w:hAnsi="仿宋_GB2312" w:eastAsia="仿宋_GB2312" w:cs="仿宋_GB2312"/>
                      <w:sz w:val="19"/>
                    </w:rPr>
                    <w:t>▲4.无人机机库防护等级≥IP55；</w:t>
                  </w:r>
                </w:p>
                <w:p w14:paraId="498C800B">
                  <w:pPr>
                    <w:pStyle w:val="4"/>
                    <w:jc w:val="left"/>
                  </w:pPr>
                  <w:r>
                    <w:rPr>
                      <w:rFonts w:ascii="仿宋_GB2312" w:hAnsi="仿宋_GB2312" w:eastAsia="仿宋_GB2312" w:cs="仿宋_GB2312"/>
                      <w:sz w:val="19"/>
                    </w:rPr>
                    <w:t>▲5.设备飞行器电池电量从10%充至90%，无人机电池充电时间≤25min；</w:t>
                  </w:r>
                </w:p>
                <w:p w14:paraId="3E0AC24E">
                  <w:pPr>
                    <w:pStyle w:val="4"/>
                    <w:jc w:val="left"/>
                  </w:pPr>
                  <w:r>
                    <w:rPr>
                      <w:rFonts w:ascii="仿宋_GB2312" w:hAnsi="仿宋_GB2312" w:eastAsia="仿宋_GB2312" w:cs="仿宋_GB2312"/>
                      <w:sz w:val="19"/>
                    </w:rPr>
                    <w:t>6.设备应具备风速、雨量、温度、湿度、气压感知功能；</w:t>
                  </w:r>
                </w:p>
                <w:p w14:paraId="1F2C5E48">
                  <w:pPr>
                    <w:pStyle w:val="4"/>
                    <w:jc w:val="left"/>
                  </w:pPr>
                  <w:r>
                    <w:rPr>
                      <w:rFonts w:ascii="仿宋_GB2312" w:hAnsi="仿宋_GB2312" w:eastAsia="仿宋_GB2312" w:cs="仿宋_GB2312"/>
                      <w:sz w:val="19"/>
                    </w:rPr>
                    <w:t>7.设备应具备链路中断返航、断点续飞、自动备降功能，无人机降落失败时可自动备降到预设地点并告警功能。</w:t>
                  </w:r>
                </w:p>
                <w:p w14:paraId="6206F72C">
                  <w:pPr>
                    <w:pStyle w:val="4"/>
                    <w:jc w:val="left"/>
                  </w:pPr>
                  <w:r>
                    <w:rPr>
                      <w:rFonts w:ascii="仿宋_GB2312" w:hAnsi="仿宋_GB2312" w:eastAsia="仿宋_GB2312" w:cs="仿宋_GB2312"/>
                      <w:sz w:val="19"/>
                    </w:rPr>
                    <w:t>8.机库自带监控设备，可见光分辨率≥1920×1080P；</w:t>
                  </w:r>
                </w:p>
                <w:p w14:paraId="7D9D6262">
                  <w:pPr>
                    <w:pStyle w:val="4"/>
                    <w:jc w:val="left"/>
                  </w:pPr>
                  <w:r>
                    <w:rPr>
                      <w:rFonts w:ascii="仿宋_GB2312" w:hAnsi="仿宋_GB2312" w:eastAsia="仿宋_GB2312" w:cs="仿宋_GB2312"/>
                      <w:sz w:val="19"/>
                    </w:rPr>
                    <w:t>9.无人机机库外部供电中断时，UPS维持机库稳定运行时间≥40min；</w:t>
                  </w:r>
                </w:p>
                <w:p w14:paraId="0DC9AC2A">
                  <w:pPr>
                    <w:pStyle w:val="4"/>
                    <w:jc w:val="left"/>
                  </w:pPr>
                  <w:r>
                    <w:rPr>
                      <w:rFonts w:ascii="仿宋_GB2312" w:hAnsi="仿宋_GB2312" w:eastAsia="仿宋_GB2312" w:cs="仿宋_GB2312"/>
                      <w:sz w:val="19"/>
                    </w:rPr>
                    <w:t>▲10.机库设备工作温度应满足-30℃至+50℃；</w:t>
                  </w:r>
                </w:p>
                <w:p w14:paraId="298B1174">
                  <w:pPr>
                    <w:pStyle w:val="4"/>
                    <w:jc w:val="left"/>
                  </w:pPr>
                  <w:r>
                    <w:rPr>
                      <w:rFonts w:ascii="仿宋_GB2312" w:hAnsi="仿宋_GB2312" w:eastAsia="仿宋_GB2312" w:cs="仿宋_GB2312"/>
                      <w:sz w:val="19"/>
                    </w:rPr>
                    <w:t>11.机库设备供电电压应符合100~240VAC，具备过流保护、过温保护、短路保护功能；</w:t>
                  </w:r>
                </w:p>
                <w:p w14:paraId="0B86B5EC">
                  <w:pPr>
                    <w:pStyle w:val="4"/>
                    <w:jc w:val="left"/>
                  </w:pPr>
                  <w:r>
                    <w:rPr>
                      <w:rFonts w:ascii="仿宋_GB2312" w:hAnsi="仿宋_GB2312" w:eastAsia="仿宋_GB2312" w:cs="仿宋_GB2312"/>
                      <w:sz w:val="19"/>
                    </w:rPr>
                    <w:t>12.设备最大工作海拔高度≥5500m；</w:t>
                  </w:r>
                </w:p>
              </w:tc>
              <w:tc>
                <w:tcPr>
                  <w:tcW w:w="483" w:type="dxa"/>
                  <w:tcBorders>
                    <w:top w:val="nil"/>
                    <w:left w:val="nil"/>
                    <w:bottom w:val="single" w:color="000000" w:sz="4" w:space="0"/>
                    <w:right w:val="single" w:color="000000" w:sz="4" w:space="0"/>
                  </w:tcBorders>
                  <w:tcMar>
                    <w:top w:w="0" w:type="dxa"/>
                    <w:left w:w="105" w:type="dxa"/>
                    <w:bottom w:w="0" w:type="dxa"/>
                    <w:right w:w="105" w:type="dxa"/>
                  </w:tcMar>
                  <w:vAlign w:val="top"/>
                </w:tcPr>
                <w:p w14:paraId="3935837D">
                  <w:pPr>
                    <w:pStyle w:val="4"/>
                    <w:jc w:val="center"/>
                  </w:pPr>
                  <w:r>
                    <w:rPr>
                      <w:rFonts w:ascii="仿宋_GB2312" w:hAnsi="仿宋_GB2312" w:eastAsia="仿宋_GB2312" w:cs="仿宋_GB2312"/>
                      <w:sz w:val="24"/>
                    </w:rPr>
                    <w:t>1</w:t>
                  </w:r>
                </w:p>
              </w:tc>
              <w:tc>
                <w:tcPr>
                  <w:tcW w:w="686" w:type="dxa"/>
                  <w:tcBorders>
                    <w:top w:val="nil"/>
                    <w:left w:val="nil"/>
                    <w:bottom w:val="single" w:color="000000" w:sz="4" w:space="0"/>
                    <w:right w:val="single" w:color="000000" w:sz="4" w:space="0"/>
                  </w:tcBorders>
                  <w:tcMar>
                    <w:top w:w="0" w:type="dxa"/>
                    <w:left w:w="105" w:type="dxa"/>
                    <w:bottom w:w="0" w:type="dxa"/>
                    <w:right w:w="105" w:type="dxa"/>
                  </w:tcMar>
                  <w:vAlign w:val="top"/>
                </w:tcPr>
                <w:p w14:paraId="462F826E">
                  <w:pPr>
                    <w:pStyle w:val="4"/>
                    <w:jc w:val="center"/>
                  </w:pPr>
                  <w:r>
                    <w:rPr>
                      <w:rFonts w:ascii="仿宋_GB2312" w:hAnsi="仿宋_GB2312" w:eastAsia="仿宋_GB2312" w:cs="仿宋_GB2312"/>
                      <w:sz w:val="24"/>
                    </w:rPr>
                    <w:t>套</w:t>
                  </w:r>
                </w:p>
              </w:tc>
            </w:tr>
          </w:tbl>
          <w:p w14:paraId="12D41629">
            <w:pPr>
              <w:pStyle w:val="4"/>
              <w:ind w:firstLine="236"/>
              <w:jc w:val="both"/>
            </w:pPr>
            <w:r>
              <w:rPr>
                <w:rFonts w:ascii="仿宋_GB2312" w:hAnsi="仿宋_GB2312" w:eastAsia="仿宋_GB2312" w:cs="仿宋_GB2312"/>
                <w:b/>
                <w:sz w:val="24"/>
              </w:rPr>
              <w:t>注：1、带“▲”号参数应提供第三方检测机构出具的检测（检验）报告扫描件并加盖投标人电子签章。</w:t>
            </w:r>
          </w:p>
          <w:p w14:paraId="1C41CF8A">
            <w:pPr>
              <w:pStyle w:val="4"/>
              <w:jc w:val="left"/>
            </w:pPr>
            <w:r>
              <w:rPr>
                <w:rFonts w:ascii="仿宋_GB2312" w:hAnsi="仿宋_GB2312" w:eastAsia="仿宋_GB2312" w:cs="仿宋_GB2312"/>
                <w:b/>
                <w:sz w:val="24"/>
              </w:rPr>
              <w:t>2、其他参数没有要求提供证明材料的，以投标响应文件为准。</w:t>
            </w:r>
          </w:p>
          <w:p w14:paraId="4C9A1C9D">
            <w:pPr>
              <w:pStyle w:val="4"/>
              <w:jc w:val="left"/>
            </w:pPr>
            <w:r>
              <w:rPr>
                <w:rFonts w:ascii="仿宋_GB2312" w:hAnsi="仿宋_GB2312" w:eastAsia="仿宋_GB2312" w:cs="仿宋_GB2312"/>
              </w:rPr>
              <w:t>标的名称：小型多旋翼无人机</w:t>
            </w:r>
          </w:p>
          <w:tbl>
            <w:tblPr>
              <w:tblStyle w:val="2"/>
              <w:tblW w:w="0" w:type="auto"/>
              <w:tblInd w:w="135"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450"/>
              <w:gridCol w:w="3861"/>
              <w:gridCol w:w="487"/>
              <w:gridCol w:w="660"/>
            </w:tblGrid>
            <w:tr w14:paraId="1DCD4EC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20"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12933C54">
                  <w:pPr>
                    <w:pStyle w:val="4"/>
                    <w:jc w:val="center"/>
                  </w:pPr>
                  <w:r>
                    <w:rPr>
                      <w:rFonts w:ascii="仿宋_GB2312" w:hAnsi="仿宋_GB2312" w:eastAsia="仿宋_GB2312" w:cs="仿宋_GB2312"/>
                      <w:sz w:val="24"/>
                    </w:rPr>
                    <w:t>名称</w:t>
                  </w:r>
                </w:p>
              </w:tc>
              <w:tc>
                <w:tcPr>
                  <w:tcW w:w="4102"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042C0697">
                  <w:pPr>
                    <w:pStyle w:val="4"/>
                    <w:jc w:val="center"/>
                  </w:pPr>
                  <w:r>
                    <w:rPr>
                      <w:rFonts w:ascii="仿宋_GB2312" w:hAnsi="仿宋_GB2312" w:eastAsia="仿宋_GB2312" w:cs="仿宋_GB2312"/>
                      <w:sz w:val="24"/>
                    </w:rPr>
                    <w:t>技术参数及性能指标</w:t>
                  </w:r>
                </w:p>
              </w:tc>
              <w:tc>
                <w:tcPr>
                  <w:tcW w:w="491"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09F1495E">
                  <w:pPr>
                    <w:pStyle w:val="4"/>
                    <w:jc w:val="center"/>
                  </w:pPr>
                  <w:r>
                    <w:rPr>
                      <w:rFonts w:ascii="仿宋_GB2312" w:hAnsi="仿宋_GB2312" w:eastAsia="仿宋_GB2312" w:cs="仿宋_GB2312"/>
                      <w:sz w:val="24"/>
                    </w:rPr>
                    <w:t>数量</w:t>
                  </w:r>
                </w:p>
              </w:tc>
              <w:tc>
                <w:tcPr>
                  <w:tcW w:w="684"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34175AEA">
                  <w:pPr>
                    <w:pStyle w:val="4"/>
                    <w:jc w:val="center"/>
                  </w:pPr>
                  <w:r>
                    <w:rPr>
                      <w:rFonts w:ascii="仿宋_GB2312" w:hAnsi="仿宋_GB2312" w:eastAsia="仿宋_GB2312" w:cs="仿宋_GB2312"/>
                      <w:sz w:val="24"/>
                    </w:rPr>
                    <w:t>单位</w:t>
                  </w:r>
                </w:p>
              </w:tc>
            </w:tr>
            <w:tr w14:paraId="2778B55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21B9921">
                  <w:pPr>
                    <w:pStyle w:val="4"/>
                    <w:jc w:val="left"/>
                  </w:pPr>
                  <w:r>
                    <w:rPr>
                      <w:rFonts w:ascii="仿宋_GB2312" w:hAnsi="仿宋_GB2312" w:eastAsia="仿宋_GB2312" w:cs="仿宋_GB2312"/>
                      <w:sz w:val="19"/>
                    </w:rPr>
                    <w:t>小型多旋翼无人机</w:t>
                  </w:r>
                </w:p>
                <w:p w14:paraId="18B2BA85">
                  <w:pPr>
                    <w:pStyle w:val="4"/>
                    <w:jc w:val="both"/>
                  </w:pPr>
                </w:p>
              </w:tc>
              <w:tc>
                <w:tcPr>
                  <w:tcW w:w="4102" w:type="dxa"/>
                  <w:tcBorders>
                    <w:top w:val="nil"/>
                    <w:left w:val="nil"/>
                    <w:bottom w:val="single" w:color="000000" w:sz="4" w:space="0"/>
                    <w:right w:val="single" w:color="000000" w:sz="4" w:space="0"/>
                  </w:tcBorders>
                  <w:tcMar>
                    <w:top w:w="0" w:type="dxa"/>
                    <w:left w:w="105" w:type="dxa"/>
                    <w:bottom w:w="0" w:type="dxa"/>
                    <w:right w:w="105" w:type="dxa"/>
                  </w:tcMar>
                  <w:vAlign w:val="top"/>
                </w:tcPr>
                <w:p w14:paraId="7970F92C">
                  <w:pPr>
                    <w:pStyle w:val="4"/>
                    <w:jc w:val="left"/>
                  </w:pPr>
                  <w:r>
                    <w:rPr>
                      <w:rFonts w:ascii="仿宋_GB2312" w:hAnsi="仿宋_GB2312" w:eastAsia="仿宋_GB2312" w:cs="仿宋_GB2312"/>
                      <w:sz w:val="19"/>
                    </w:rPr>
                    <w:t>1.无人机轴距≥900mm；</w:t>
                  </w:r>
                </w:p>
                <w:p w14:paraId="0BAAC948">
                  <w:pPr>
                    <w:pStyle w:val="4"/>
                    <w:jc w:val="left"/>
                  </w:pPr>
                  <w:r>
                    <w:rPr>
                      <w:rFonts w:ascii="仿宋_GB2312" w:hAnsi="仿宋_GB2312" w:eastAsia="仿宋_GB2312" w:cs="仿宋_GB2312"/>
                      <w:sz w:val="19"/>
                    </w:rPr>
                    <w:t>▲2.无人机最大起飞重量应≥10kg；</w:t>
                  </w:r>
                </w:p>
                <w:p w14:paraId="71AAF6B0">
                  <w:pPr>
                    <w:pStyle w:val="4"/>
                    <w:jc w:val="left"/>
                  </w:pPr>
                  <w:r>
                    <w:rPr>
                      <w:rFonts w:ascii="仿宋_GB2312" w:hAnsi="仿宋_GB2312" w:eastAsia="仿宋_GB2312" w:cs="仿宋_GB2312"/>
                      <w:sz w:val="19"/>
                    </w:rPr>
                    <w:t>▲3.无人机最大负载重量≥3kg；</w:t>
                  </w:r>
                </w:p>
                <w:p w14:paraId="22965017">
                  <w:pPr>
                    <w:pStyle w:val="4"/>
                    <w:jc w:val="left"/>
                  </w:pPr>
                  <w:r>
                    <w:rPr>
                      <w:rFonts w:ascii="仿宋_GB2312" w:hAnsi="仿宋_GB2312" w:eastAsia="仿宋_GB2312" w:cs="仿宋_GB2312"/>
                      <w:sz w:val="19"/>
                    </w:rPr>
                    <w:t>▲4.在标准飞行工况下，最大飞行续航时间应≥60min；</w:t>
                  </w:r>
                </w:p>
                <w:p w14:paraId="0015B400">
                  <w:pPr>
                    <w:pStyle w:val="4"/>
                    <w:jc w:val="left"/>
                  </w:pPr>
                  <w:r>
                    <w:rPr>
                      <w:rFonts w:ascii="仿宋_GB2312" w:hAnsi="仿宋_GB2312" w:eastAsia="仿宋_GB2312" w:cs="仿宋_GB2312"/>
                      <w:sz w:val="19"/>
                    </w:rPr>
                    <w:t>5.无人机起降和飞行抗风能力应能达到7级；</w:t>
                  </w:r>
                </w:p>
                <w:p w14:paraId="208BDEDF">
                  <w:pPr>
                    <w:pStyle w:val="4"/>
                    <w:jc w:val="left"/>
                  </w:pPr>
                  <w:r>
                    <w:rPr>
                      <w:rFonts w:ascii="仿宋_GB2312" w:hAnsi="仿宋_GB2312" w:eastAsia="仿宋_GB2312" w:cs="仿宋_GB2312"/>
                      <w:sz w:val="19"/>
                    </w:rPr>
                    <w:t>▲6.无人机应支持全向视觉感知和TOF避障系统，TOF避障距离0.5m~10m；</w:t>
                  </w:r>
                </w:p>
                <w:p w14:paraId="11DD867E">
                  <w:pPr>
                    <w:pStyle w:val="4"/>
                    <w:jc w:val="left"/>
                  </w:pPr>
                  <w:r>
                    <w:rPr>
                      <w:rFonts w:ascii="仿宋_GB2312" w:hAnsi="仿宋_GB2312" w:eastAsia="仿宋_GB2312" w:cs="仿宋_GB2312"/>
                      <w:sz w:val="19"/>
                    </w:rPr>
                    <w:t>7.无人机应支持前视FPV，分辨率不小于1080P；</w:t>
                  </w:r>
                </w:p>
                <w:p w14:paraId="112E5B26">
                  <w:pPr>
                    <w:pStyle w:val="4"/>
                    <w:jc w:val="left"/>
                  </w:pPr>
                  <w:r>
                    <w:rPr>
                      <w:rFonts w:ascii="仿宋_GB2312" w:hAnsi="仿宋_GB2312" w:eastAsia="仿宋_GB2312" w:cs="仿宋_GB2312"/>
                      <w:sz w:val="19"/>
                    </w:rPr>
                    <w:t>▲8.无人机防护等级应为≥IP55；</w:t>
                  </w:r>
                </w:p>
                <w:p w14:paraId="58E83C35">
                  <w:pPr>
                    <w:pStyle w:val="4"/>
                    <w:jc w:val="left"/>
                  </w:pPr>
                  <w:r>
                    <w:rPr>
                      <w:rFonts w:ascii="仿宋_GB2312" w:hAnsi="仿宋_GB2312" w:eastAsia="仿宋_GB2312" w:cs="仿宋_GB2312"/>
                      <w:sz w:val="19"/>
                    </w:rPr>
                    <w:t>9.无人机最大起飞海拔高度≥5000m;</w:t>
                  </w:r>
                </w:p>
                <w:p w14:paraId="2579265F">
                  <w:pPr>
                    <w:pStyle w:val="4"/>
                    <w:jc w:val="left"/>
                  </w:pPr>
                  <w:r>
                    <w:rPr>
                      <w:rFonts w:ascii="仿宋_GB2312" w:hAnsi="仿宋_GB2312" w:eastAsia="仿宋_GB2312" w:cs="仿宋_GB2312"/>
                      <w:sz w:val="19"/>
                    </w:rPr>
                    <w:t>10.无人机应同时支持下置双云台+上置单云台同时挂载使用；</w:t>
                  </w:r>
                </w:p>
                <w:p w14:paraId="44E1739A">
                  <w:pPr>
                    <w:pStyle w:val="4"/>
                    <w:jc w:val="left"/>
                  </w:pPr>
                  <w:r>
                    <w:rPr>
                      <w:rFonts w:ascii="仿宋_GB2312" w:hAnsi="仿宋_GB2312" w:eastAsia="仿宋_GB2312" w:cs="仿宋_GB2312"/>
                      <w:sz w:val="19"/>
                    </w:rPr>
                    <w:t>▲11.无人机应支持电池热插拔，当飞行器降落需要更换电池时可不关闭飞行器电源；</w:t>
                  </w:r>
                </w:p>
                <w:p w14:paraId="7B522EF4">
                  <w:pPr>
                    <w:pStyle w:val="4"/>
                    <w:jc w:val="left"/>
                  </w:pPr>
                  <w:r>
                    <w:rPr>
                      <w:rFonts w:ascii="仿宋_GB2312" w:hAnsi="仿宋_GB2312" w:eastAsia="仿宋_GB2312" w:cs="仿宋_GB2312"/>
                      <w:sz w:val="19"/>
                    </w:rPr>
                    <w:t>▲12.单组电池容量应≥16000mAh，电池能量≥360Wh；</w:t>
                  </w:r>
                </w:p>
                <w:p w14:paraId="1FF76E6C">
                  <w:pPr>
                    <w:pStyle w:val="4"/>
                    <w:jc w:val="left"/>
                  </w:pPr>
                  <w:r>
                    <w:rPr>
                      <w:rFonts w:ascii="仿宋_GB2312" w:hAnsi="仿宋_GB2312" w:eastAsia="仿宋_GB2312" w:cs="仿宋_GB2312"/>
                      <w:sz w:val="19"/>
                    </w:rPr>
                    <w:t>13.无人机应具备RTK定位功能、失控保护功能、低电量保护功能、航线飞行功能、自主起降功能、禁飞区设置功能、电子围栏功能、航向锁定功能、返航点、锁定功能、热点环绕功能、断桨保护、辅助定高功能；</w:t>
                  </w:r>
                </w:p>
                <w:p w14:paraId="4CC7F2CC">
                  <w:pPr>
                    <w:pStyle w:val="4"/>
                    <w:jc w:val="left"/>
                  </w:pPr>
                  <w:r>
                    <w:rPr>
                      <w:rFonts w:ascii="仿宋_GB2312" w:hAnsi="仿宋_GB2312" w:eastAsia="仿宋_GB2312" w:cs="仿宋_GB2312"/>
                      <w:sz w:val="19"/>
                    </w:rPr>
                    <w:t>14.无人机最大水平飞行速度≥20m/s；</w:t>
                  </w:r>
                </w:p>
                <w:p w14:paraId="6152FBE1">
                  <w:pPr>
                    <w:pStyle w:val="4"/>
                    <w:jc w:val="left"/>
                  </w:pPr>
                  <w:r>
                    <w:rPr>
                      <w:rFonts w:ascii="仿宋_GB2312" w:hAnsi="仿宋_GB2312" w:eastAsia="仿宋_GB2312" w:cs="仿宋_GB2312"/>
                      <w:sz w:val="19"/>
                    </w:rPr>
                    <w:t>15.无人机应具有开机自检测通过系统，支持电压显示，低电量时自动警告功能；</w:t>
                  </w:r>
                </w:p>
                <w:p w14:paraId="0010E86E">
                  <w:pPr>
                    <w:pStyle w:val="4"/>
                    <w:jc w:val="left"/>
                  </w:pPr>
                  <w:r>
                    <w:rPr>
                      <w:rFonts w:ascii="仿宋_GB2312" w:hAnsi="仿宋_GB2312" w:eastAsia="仿宋_GB2312" w:cs="仿宋_GB2312"/>
                      <w:sz w:val="19"/>
                    </w:rPr>
                    <w:t>16.无人机工作温度范围应满足-20℃至＋55℃；</w:t>
                  </w:r>
                </w:p>
                <w:p w14:paraId="2B5CA8FF">
                  <w:pPr>
                    <w:pStyle w:val="4"/>
                    <w:jc w:val="left"/>
                  </w:pPr>
                  <w:r>
                    <w:rPr>
                      <w:rFonts w:ascii="仿宋_GB2312" w:hAnsi="仿宋_GB2312" w:eastAsia="仿宋_GB2312" w:cs="仿宋_GB2312"/>
                      <w:sz w:val="19"/>
                    </w:rPr>
                    <w:t>17.无人机工作湿度应≤95%RH（无凝结）；</w:t>
                  </w:r>
                </w:p>
                <w:p w14:paraId="1F758ACE">
                  <w:pPr>
                    <w:pStyle w:val="4"/>
                    <w:jc w:val="left"/>
                  </w:pPr>
                  <w:r>
                    <w:rPr>
                      <w:rFonts w:ascii="仿宋_GB2312" w:hAnsi="仿宋_GB2312" w:eastAsia="仿宋_GB2312" w:cs="仿宋_GB2312"/>
                      <w:sz w:val="19"/>
                    </w:rPr>
                    <w:t>18.无人机支持多模定位；</w:t>
                  </w:r>
                </w:p>
                <w:p w14:paraId="3593A69F">
                  <w:pPr>
                    <w:pStyle w:val="4"/>
                    <w:jc w:val="left"/>
                  </w:pPr>
                  <w:r>
                    <w:rPr>
                      <w:rFonts w:ascii="仿宋_GB2312" w:hAnsi="仿宋_GB2312" w:eastAsia="仿宋_GB2312" w:cs="仿宋_GB2312"/>
                      <w:sz w:val="19"/>
                    </w:rPr>
                    <w:t>▲19.具备视觉定位能力，定位精度不超过5%*航程；</w:t>
                  </w:r>
                </w:p>
                <w:p w14:paraId="15010838">
                  <w:pPr>
                    <w:pStyle w:val="4"/>
                    <w:jc w:val="left"/>
                  </w:pPr>
                  <w:r>
                    <w:rPr>
                      <w:rFonts w:ascii="仿宋_GB2312" w:hAnsi="仿宋_GB2312" w:eastAsia="仿宋_GB2312" w:cs="仿宋_GB2312"/>
                      <w:sz w:val="19"/>
                    </w:rPr>
                    <w:t>20.遥控器屏幕尺寸应≥8英寸；</w:t>
                  </w:r>
                </w:p>
                <w:p w14:paraId="71DA4F77">
                  <w:pPr>
                    <w:pStyle w:val="4"/>
                    <w:jc w:val="left"/>
                  </w:pPr>
                  <w:r>
                    <w:rPr>
                      <w:rFonts w:ascii="仿宋_GB2312" w:hAnsi="仿宋_GB2312" w:eastAsia="仿宋_GB2312" w:cs="仿宋_GB2312"/>
                      <w:sz w:val="19"/>
                    </w:rPr>
                    <w:t>21.遥控器分辨率应≥1280×720；</w:t>
                  </w:r>
                </w:p>
                <w:p w14:paraId="49EFB45A">
                  <w:pPr>
                    <w:pStyle w:val="4"/>
                    <w:jc w:val="left"/>
                  </w:pPr>
                  <w:r>
                    <w:rPr>
                      <w:rFonts w:ascii="仿宋_GB2312" w:hAnsi="仿宋_GB2312" w:eastAsia="仿宋_GB2312" w:cs="仿宋_GB2312"/>
                      <w:sz w:val="19"/>
                    </w:rPr>
                    <w:t>▲22.长焦可见光相机影像传感器≥1/2 英寸CMOS，有效像素≥4800 万；</w:t>
                  </w:r>
                </w:p>
                <w:p w14:paraId="7A59C939">
                  <w:pPr>
                    <w:pStyle w:val="4"/>
                    <w:jc w:val="left"/>
                  </w:pPr>
                  <w:r>
                    <w:rPr>
                      <w:rFonts w:ascii="仿宋_GB2312" w:hAnsi="仿宋_GB2312" w:eastAsia="仿宋_GB2312" w:cs="仿宋_GB2312"/>
                      <w:sz w:val="19"/>
                    </w:rPr>
                    <w:t>▲23.长焦可见光相机光学变焦≥25倍；</w:t>
                  </w:r>
                </w:p>
                <w:p w14:paraId="44EDC425">
                  <w:pPr>
                    <w:pStyle w:val="4"/>
                    <w:jc w:val="left"/>
                  </w:pPr>
                  <w:r>
                    <w:rPr>
                      <w:rFonts w:ascii="仿宋_GB2312" w:hAnsi="仿宋_GB2312" w:eastAsia="仿宋_GB2312" w:cs="仿宋_GB2312"/>
                      <w:sz w:val="19"/>
                    </w:rPr>
                    <w:t>24.长焦可见光相机最大图像分辨率≥8000×6000；</w:t>
                  </w:r>
                </w:p>
                <w:p w14:paraId="7ED1DB56">
                  <w:pPr>
                    <w:pStyle w:val="4"/>
                    <w:jc w:val="left"/>
                  </w:pPr>
                  <w:r>
                    <w:rPr>
                      <w:rFonts w:ascii="仿宋_GB2312" w:hAnsi="仿宋_GB2312" w:eastAsia="仿宋_GB2312" w:cs="仿宋_GB2312"/>
                      <w:sz w:val="19"/>
                    </w:rPr>
                    <w:t>25.长焦可见光相机视频帧率≥25fps；</w:t>
                  </w:r>
                </w:p>
                <w:p w14:paraId="76E15968">
                  <w:pPr>
                    <w:pStyle w:val="4"/>
                    <w:jc w:val="left"/>
                  </w:pPr>
                  <w:r>
                    <w:rPr>
                      <w:rFonts w:ascii="仿宋_GB2312" w:hAnsi="仿宋_GB2312" w:eastAsia="仿宋_GB2312" w:cs="仿宋_GB2312"/>
                      <w:sz w:val="19"/>
                    </w:rPr>
                    <w:t>▲26.广角相机影像传感器≥1/1.32 英寸 CMOS，有效像素≥4800万；</w:t>
                  </w:r>
                </w:p>
                <w:p w14:paraId="5D622EC1">
                  <w:pPr>
                    <w:pStyle w:val="4"/>
                    <w:jc w:val="left"/>
                  </w:pPr>
                  <w:r>
                    <w:rPr>
                      <w:rFonts w:ascii="仿宋_GB2312" w:hAnsi="仿宋_GB2312" w:eastAsia="仿宋_GB2312" w:cs="仿宋_GB2312"/>
                      <w:sz w:val="19"/>
                    </w:rPr>
                    <w:t>▲27.广角相机最大图像分辨率≥8000×6000；</w:t>
                  </w:r>
                </w:p>
                <w:p w14:paraId="6CAA08C1">
                  <w:pPr>
                    <w:pStyle w:val="4"/>
                    <w:jc w:val="left"/>
                  </w:pPr>
                  <w:r>
                    <w:rPr>
                      <w:rFonts w:ascii="仿宋_GB2312" w:hAnsi="仿宋_GB2312" w:eastAsia="仿宋_GB2312" w:cs="仿宋_GB2312"/>
                      <w:sz w:val="19"/>
                    </w:rPr>
                    <w:t>28.红外相机分辨率≥640×512；</w:t>
                  </w:r>
                </w:p>
                <w:p w14:paraId="15B0BE3D">
                  <w:pPr>
                    <w:pStyle w:val="4"/>
                    <w:jc w:val="left"/>
                  </w:pPr>
                  <w:r>
                    <w:rPr>
                      <w:rFonts w:ascii="仿宋_GB2312" w:hAnsi="仿宋_GB2312" w:eastAsia="仿宋_GB2312" w:cs="仿宋_GB2312"/>
                      <w:sz w:val="19"/>
                    </w:rPr>
                    <w:t>29.红外相机测温方式应支持中心测温/指点测温矩形框测温；</w:t>
                  </w:r>
                </w:p>
                <w:p w14:paraId="743DFE9F">
                  <w:pPr>
                    <w:pStyle w:val="4"/>
                    <w:jc w:val="left"/>
                  </w:pPr>
                  <w:r>
                    <w:rPr>
                      <w:rFonts w:ascii="仿宋_GB2312" w:hAnsi="仿宋_GB2312" w:eastAsia="仿宋_GB2312" w:cs="仿宋_GB2312"/>
                      <w:sz w:val="19"/>
                    </w:rPr>
                    <w:t>30.红外相机测温范围应满足低温模式：-20°C~150°C(默认)，高温模式：0°C~550°C；</w:t>
                  </w:r>
                </w:p>
                <w:p w14:paraId="5EBC8B90">
                  <w:pPr>
                    <w:pStyle w:val="4"/>
                    <w:jc w:val="left"/>
                  </w:pPr>
                  <w:r>
                    <w:rPr>
                      <w:rFonts w:ascii="仿宋_GB2312" w:hAnsi="仿宋_GB2312" w:eastAsia="仿宋_GB2312" w:cs="仿宋_GB2312"/>
                      <w:sz w:val="19"/>
                    </w:rPr>
                    <w:t>31.激光测距仪测量范围≥1400m；</w:t>
                  </w:r>
                </w:p>
                <w:p w14:paraId="26982A8A">
                  <w:pPr>
                    <w:pStyle w:val="4"/>
                    <w:jc w:val="left"/>
                  </w:pPr>
                  <w:r>
                    <w:rPr>
                      <w:rFonts w:ascii="仿宋_GB2312" w:hAnsi="仿宋_GB2312" w:eastAsia="仿宋_GB2312" w:cs="仿宋_GB2312"/>
                      <w:sz w:val="19"/>
                    </w:rPr>
                    <w:t>32.激光测距精度应满足：距离＜400m时精度≤1米，距离&gt;400m时精度≤ 0.4%；</w:t>
                  </w:r>
                </w:p>
                <w:p w14:paraId="7617059C">
                  <w:pPr>
                    <w:pStyle w:val="4"/>
                    <w:jc w:val="left"/>
                  </w:pPr>
                  <w:r>
                    <w:rPr>
                      <w:rFonts w:ascii="仿宋_GB2312" w:hAnsi="仿宋_GB2312" w:eastAsia="仿宋_GB2312" w:cs="仿宋_GB2312"/>
                      <w:sz w:val="19"/>
                    </w:rPr>
                    <w:t>▲33.喊话器声压应≥130dB；</w:t>
                  </w:r>
                </w:p>
                <w:p w14:paraId="5B9DF0DE">
                  <w:pPr>
                    <w:pStyle w:val="4"/>
                    <w:jc w:val="left"/>
                  </w:pPr>
                  <w:r>
                    <w:rPr>
                      <w:rFonts w:ascii="仿宋_GB2312" w:hAnsi="仿宋_GB2312" w:eastAsia="仿宋_GB2312" w:cs="仿宋_GB2312"/>
                      <w:sz w:val="19"/>
                    </w:rPr>
                    <w:t>▲34.喊话器有效广播距离应≥550米；</w:t>
                  </w:r>
                </w:p>
                <w:p w14:paraId="40CE6440">
                  <w:pPr>
                    <w:pStyle w:val="4"/>
                    <w:jc w:val="left"/>
                  </w:pPr>
                  <w:r>
                    <w:rPr>
                      <w:rFonts w:ascii="仿宋_GB2312" w:hAnsi="仿宋_GB2312" w:eastAsia="仿宋_GB2312" w:cs="仿宋_GB2312"/>
                      <w:sz w:val="19"/>
                    </w:rPr>
                    <w:t>35.喊话器云台角度应可以通过遥控设备进行俯仰调节，调节角度范围不小于0~90°；</w:t>
                  </w:r>
                </w:p>
                <w:p w14:paraId="21722766">
                  <w:pPr>
                    <w:pStyle w:val="4"/>
                    <w:jc w:val="left"/>
                  </w:pPr>
                  <w:r>
                    <w:rPr>
                      <w:rFonts w:ascii="仿宋_GB2312" w:hAnsi="仿宋_GB2312" w:eastAsia="仿宋_GB2312" w:cs="仿宋_GB2312"/>
                      <w:sz w:val="19"/>
                    </w:rPr>
                    <w:t>36.喊话器应符合实时喊话，录音上传，音频文件，播放背景音乐(自动闪避),文字转语音(支持方言)，音频格式应支持MP3、wav、m4a、flac、aac。</w:t>
                  </w:r>
                </w:p>
              </w:tc>
              <w:tc>
                <w:tcPr>
                  <w:tcW w:w="491" w:type="dxa"/>
                  <w:tcBorders>
                    <w:top w:val="nil"/>
                    <w:left w:val="nil"/>
                    <w:bottom w:val="single" w:color="000000" w:sz="4" w:space="0"/>
                    <w:right w:val="single" w:color="000000" w:sz="4" w:space="0"/>
                  </w:tcBorders>
                  <w:tcMar>
                    <w:top w:w="0" w:type="dxa"/>
                    <w:left w:w="105" w:type="dxa"/>
                    <w:bottom w:w="0" w:type="dxa"/>
                    <w:right w:w="105" w:type="dxa"/>
                  </w:tcMar>
                  <w:vAlign w:val="top"/>
                </w:tcPr>
                <w:p w14:paraId="25F1701E">
                  <w:pPr>
                    <w:pStyle w:val="4"/>
                    <w:jc w:val="center"/>
                  </w:pPr>
                  <w:r>
                    <w:rPr>
                      <w:rFonts w:ascii="仿宋_GB2312" w:hAnsi="仿宋_GB2312" w:eastAsia="仿宋_GB2312" w:cs="仿宋_GB2312"/>
                      <w:sz w:val="24"/>
                    </w:rPr>
                    <w:t>1</w:t>
                  </w:r>
                </w:p>
              </w:tc>
              <w:tc>
                <w:tcPr>
                  <w:tcW w:w="684" w:type="dxa"/>
                  <w:tcBorders>
                    <w:top w:val="nil"/>
                    <w:left w:val="nil"/>
                    <w:bottom w:val="single" w:color="000000" w:sz="4" w:space="0"/>
                    <w:right w:val="single" w:color="000000" w:sz="4" w:space="0"/>
                  </w:tcBorders>
                  <w:tcMar>
                    <w:top w:w="0" w:type="dxa"/>
                    <w:left w:w="105" w:type="dxa"/>
                    <w:bottom w:w="0" w:type="dxa"/>
                    <w:right w:w="105" w:type="dxa"/>
                  </w:tcMar>
                  <w:vAlign w:val="top"/>
                </w:tcPr>
                <w:p w14:paraId="250D7C4D">
                  <w:pPr>
                    <w:pStyle w:val="4"/>
                    <w:jc w:val="center"/>
                  </w:pPr>
                  <w:r>
                    <w:rPr>
                      <w:rFonts w:ascii="仿宋_GB2312" w:hAnsi="仿宋_GB2312" w:eastAsia="仿宋_GB2312" w:cs="仿宋_GB2312"/>
                      <w:sz w:val="24"/>
                    </w:rPr>
                    <w:t>套</w:t>
                  </w:r>
                </w:p>
              </w:tc>
            </w:tr>
          </w:tbl>
          <w:p w14:paraId="36DEDC72">
            <w:pPr>
              <w:pStyle w:val="4"/>
              <w:ind w:firstLine="236"/>
              <w:jc w:val="both"/>
            </w:pPr>
            <w:r>
              <w:rPr>
                <w:rFonts w:ascii="仿宋_GB2312" w:hAnsi="仿宋_GB2312" w:eastAsia="仿宋_GB2312" w:cs="仿宋_GB2312"/>
                <w:b/>
                <w:sz w:val="24"/>
              </w:rPr>
              <w:t>注：1、带“▲”号参数应提供第三方检测机构出具的检测（检验）报告扫描件并加盖投标人电子签章。</w:t>
            </w:r>
          </w:p>
          <w:p w14:paraId="26E961DC">
            <w:pPr>
              <w:pStyle w:val="4"/>
              <w:jc w:val="left"/>
            </w:pPr>
            <w:r>
              <w:rPr>
                <w:rFonts w:ascii="仿宋_GB2312" w:hAnsi="仿宋_GB2312" w:eastAsia="仿宋_GB2312" w:cs="仿宋_GB2312"/>
                <w:b/>
                <w:sz w:val="24"/>
              </w:rPr>
              <w:t>2、其他参数没有要求提供证明材料的，以投标响应文件为准。</w:t>
            </w:r>
          </w:p>
          <w:p w14:paraId="7BFCC134">
            <w:pPr>
              <w:pStyle w:val="4"/>
              <w:jc w:val="left"/>
            </w:pPr>
            <w:r>
              <w:rPr>
                <w:rFonts w:ascii="仿宋_GB2312" w:hAnsi="仿宋_GB2312" w:eastAsia="仿宋_GB2312" w:cs="仿宋_GB2312"/>
              </w:rPr>
              <w:t>标的名称：算法定制</w:t>
            </w:r>
          </w:p>
          <w:tbl>
            <w:tblPr>
              <w:tblStyle w:val="2"/>
              <w:tblW w:w="0" w:type="auto"/>
              <w:tblInd w:w="135"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450"/>
              <w:gridCol w:w="3840"/>
              <w:gridCol w:w="477"/>
              <w:gridCol w:w="691"/>
            </w:tblGrid>
            <w:tr w14:paraId="755BE06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19"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090237E0">
                  <w:pPr>
                    <w:pStyle w:val="4"/>
                    <w:jc w:val="center"/>
                  </w:pPr>
                  <w:r>
                    <w:rPr>
                      <w:rFonts w:ascii="仿宋_GB2312" w:hAnsi="仿宋_GB2312" w:eastAsia="仿宋_GB2312" w:cs="仿宋_GB2312"/>
                      <w:sz w:val="24"/>
                    </w:rPr>
                    <w:t>名称</w:t>
                  </w:r>
                </w:p>
              </w:tc>
              <w:tc>
                <w:tcPr>
                  <w:tcW w:w="4087"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0D63C156">
                  <w:pPr>
                    <w:pStyle w:val="4"/>
                    <w:jc w:val="center"/>
                  </w:pPr>
                  <w:r>
                    <w:rPr>
                      <w:rFonts w:ascii="仿宋_GB2312" w:hAnsi="仿宋_GB2312" w:eastAsia="仿宋_GB2312" w:cs="仿宋_GB2312"/>
                      <w:sz w:val="24"/>
                    </w:rPr>
                    <w:t>技术参数及性能指标</w:t>
                  </w:r>
                </w:p>
              </w:tc>
              <w:tc>
                <w:tcPr>
                  <w:tcW w:w="479"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3AC97A8B">
                  <w:pPr>
                    <w:pStyle w:val="4"/>
                    <w:jc w:val="center"/>
                  </w:pPr>
                  <w:r>
                    <w:rPr>
                      <w:rFonts w:ascii="仿宋_GB2312" w:hAnsi="仿宋_GB2312" w:eastAsia="仿宋_GB2312" w:cs="仿宋_GB2312"/>
                      <w:sz w:val="24"/>
                    </w:rPr>
                    <w:t>数量</w:t>
                  </w:r>
                </w:p>
              </w:tc>
              <w:tc>
                <w:tcPr>
                  <w:tcW w:w="713"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1DBD35B4">
                  <w:pPr>
                    <w:pStyle w:val="4"/>
                    <w:jc w:val="center"/>
                  </w:pPr>
                  <w:r>
                    <w:rPr>
                      <w:rFonts w:ascii="仿宋_GB2312" w:hAnsi="仿宋_GB2312" w:eastAsia="仿宋_GB2312" w:cs="仿宋_GB2312"/>
                      <w:sz w:val="24"/>
                    </w:rPr>
                    <w:t>单位</w:t>
                  </w:r>
                </w:p>
              </w:tc>
            </w:tr>
            <w:tr w14:paraId="44724CA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1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BBAE7D6">
                  <w:pPr>
                    <w:pStyle w:val="4"/>
                    <w:jc w:val="left"/>
                  </w:pPr>
                  <w:r>
                    <w:rPr>
                      <w:rFonts w:ascii="仿宋_GB2312" w:hAnsi="仿宋_GB2312" w:eastAsia="仿宋_GB2312" w:cs="仿宋_GB2312"/>
                      <w:sz w:val="19"/>
                    </w:rPr>
                    <w:t>算法定制</w:t>
                  </w:r>
                </w:p>
                <w:p w14:paraId="2FB3D640">
                  <w:pPr>
                    <w:pStyle w:val="4"/>
                    <w:jc w:val="both"/>
                  </w:pPr>
                </w:p>
              </w:tc>
              <w:tc>
                <w:tcPr>
                  <w:tcW w:w="4087" w:type="dxa"/>
                  <w:tcBorders>
                    <w:top w:val="nil"/>
                    <w:left w:val="nil"/>
                    <w:bottom w:val="single" w:color="000000" w:sz="4" w:space="0"/>
                    <w:right w:val="single" w:color="000000" w:sz="4" w:space="0"/>
                  </w:tcBorders>
                  <w:tcMar>
                    <w:top w:w="0" w:type="dxa"/>
                    <w:left w:w="105" w:type="dxa"/>
                    <w:bottom w:w="0" w:type="dxa"/>
                    <w:right w:w="105" w:type="dxa"/>
                  </w:tcMar>
                  <w:vAlign w:val="top"/>
                </w:tcPr>
                <w:p w14:paraId="39613DB4">
                  <w:pPr>
                    <w:pStyle w:val="4"/>
                    <w:jc w:val="left"/>
                  </w:pPr>
                  <w:r>
                    <w:rPr>
                      <w:rFonts w:ascii="仿宋_GB2312" w:hAnsi="仿宋_GB2312" w:eastAsia="仿宋_GB2312" w:cs="仿宋_GB2312"/>
                      <w:sz w:val="19"/>
                    </w:rPr>
                    <w:t>1.支持无人机红外视频储酒罐高温异常检测，输出目标位置、最高温度、最低温度、平均温度、异常区域及报警信息。支持配置检测开关、测温区域、温度阈值和温差阈值。无人机飞行高度为20～30 m，红外视频分辨率≥为640×512，储酒罐目标尺寸不小于20×20像素；局部热点检测时目标尺寸不小于30×30像素。在目标无遮挡、热成像清晰且满足测温条件的情况下，高温异常识别率不低于90%。</w:t>
                  </w:r>
                </w:p>
                <w:p w14:paraId="3EFFB42A">
                  <w:pPr>
                    <w:pStyle w:val="4"/>
                    <w:jc w:val="left"/>
                  </w:pPr>
                  <w:r>
                    <w:rPr>
                      <w:rFonts w:ascii="仿宋_GB2312" w:hAnsi="仿宋_GB2312" w:eastAsia="仿宋_GB2312" w:cs="仿宋_GB2312"/>
                      <w:sz w:val="19"/>
                    </w:rPr>
                    <w:t>2.支持无人机可见光视频有色可燃气体泄漏检测，识别异常气团、喷射状泄漏及持续扩散现象，输出泄漏目标位置、气团区域、扩散方向、持续时间及报警信息。支持配置检测开关、检测区域、持续时间阈值及报警等级。无人机作业航高为30～50m，支持3840×2160和1920×1080视频输入。场景要求：4K模式下有色气团目标尺寸不小于60×60像素，1080P模式下不小于30×30像素；气体与背景具有明显颜色差异，泄漏区域无遮挡。在满足飞行和场景要求的条件下，有色可燃气体泄漏识别率不低于90%。</w:t>
                  </w:r>
                </w:p>
                <w:p w14:paraId="5DE839B7">
                  <w:pPr>
                    <w:pStyle w:val="4"/>
                    <w:jc w:val="left"/>
                  </w:pPr>
                  <w:r>
                    <w:rPr>
                      <w:rFonts w:ascii="仿宋_GB2312" w:hAnsi="仿宋_GB2312" w:eastAsia="仿宋_GB2312" w:cs="仿宋_GB2312"/>
                      <w:sz w:val="19"/>
                    </w:rPr>
                    <w:t>3.支持无人机可见光视频河道水位监测。首次人工标定固定水位参考线和监测区域，后续通过图像配准将参考线映射至实时画面，并结合水面分割结果，判断水面低于、接近、达到或超过参考线，输出水位状态、变化趋势、风险等级及报警信息。</w:t>
                  </w:r>
                </w:p>
                <w:p w14:paraId="6B726C99">
                  <w:pPr>
                    <w:pStyle w:val="4"/>
                    <w:jc w:val="left"/>
                  </w:pPr>
                  <w:r>
                    <w:rPr>
                      <w:rFonts w:ascii="仿宋_GB2312" w:hAnsi="仿宋_GB2312" w:eastAsia="仿宋_GB2312" w:cs="仿宋_GB2312"/>
                      <w:sz w:val="19"/>
                    </w:rPr>
                    <w:t>4.无人机采用俯拍或斜俯拍方式，建议航高 20～50m、云台俯角 －45°～－90°，支持1080P和4K视频。1080P画面中参考线有效长度建议不小于 50像素，水面区域不小于 80×80像素。</w:t>
                  </w:r>
                </w:p>
                <w:p w14:paraId="5AE9402C">
                  <w:pPr>
                    <w:pStyle w:val="4"/>
                    <w:jc w:val="left"/>
                  </w:pPr>
                  <w:r>
                    <w:rPr>
                      <w:rFonts w:ascii="仿宋_GB2312" w:hAnsi="仿宋_GB2312" w:eastAsia="仿宋_GB2312" w:cs="仿宋_GB2312"/>
                      <w:sz w:val="19"/>
                    </w:rPr>
                    <w:t>5.算法结合连续视频中的水面位置、覆盖范围及越线持续时间，输出正常、关注、预警、危险四级山洪风险。在满足画面清晰、参考线可见及无遮挡条件下，水位状态识别率不低于 90%。</w:t>
                  </w:r>
                </w:p>
              </w:tc>
              <w:tc>
                <w:tcPr>
                  <w:tcW w:w="479" w:type="dxa"/>
                  <w:tcBorders>
                    <w:top w:val="nil"/>
                    <w:left w:val="nil"/>
                    <w:bottom w:val="single" w:color="000000" w:sz="4" w:space="0"/>
                    <w:right w:val="single" w:color="000000" w:sz="4" w:space="0"/>
                  </w:tcBorders>
                  <w:tcMar>
                    <w:top w:w="0" w:type="dxa"/>
                    <w:left w:w="105" w:type="dxa"/>
                    <w:bottom w:w="0" w:type="dxa"/>
                    <w:right w:w="105" w:type="dxa"/>
                  </w:tcMar>
                  <w:vAlign w:val="top"/>
                </w:tcPr>
                <w:p w14:paraId="3E83E1B5">
                  <w:pPr>
                    <w:pStyle w:val="4"/>
                    <w:jc w:val="center"/>
                  </w:pPr>
                  <w:r>
                    <w:rPr>
                      <w:rFonts w:ascii="仿宋_GB2312" w:hAnsi="仿宋_GB2312" w:eastAsia="仿宋_GB2312" w:cs="仿宋_GB2312"/>
                      <w:sz w:val="24"/>
                    </w:rPr>
                    <w:t>1</w:t>
                  </w:r>
                </w:p>
              </w:tc>
              <w:tc>
                <w:tcPr>
                  <w:tcW w:w="713" w:type="dxa"/>
                  <w:tcBorders>
                    <w:top w:val="nil"/>
                    <w:left w:val="nil"/>
                    <w:bottom w:val="single" w:color="000000" w:sz="4" w:space="0"/>
                    <w:right w:val="single" w:color="000000" w:sz="4" w:space="0"/>
                  </w:tcBorders>
                  <w:tcMar>
                    <w:top w:w="0" w:type="dxa"/>
                    <w:left w:w="105" w:type="dxa"/>
                    <w:bottom w:w="0" w:type="dxa"/>
                    <w:right w:w="105" w:type="dxa"/>
                  </w:tcMar>
                  <w:vAlign w:val="top"/>
                </w:tcPr>
                <w:p w14:paraId="1AC7E570">
                  <w:pPr>
                    <w:pStyle w:val="4"/>
                    <w:jc w:val="center"/>
                  </w:pPr>
                  <w:r>
                    <w:rPr>
                      <w:rFonts w:ascii="仿宋_GB2312" w:hAnsi="仿宋_GB2312" w:eastAsia="仿宋_GB2312" w:cs="仿宋_GB2312"/>
                      <w:sz w:val="24"/>
                    </w:rPr>
                    <w:t>套</w:t>
                  </w:r>
                </w:p>
              </w:tc>
            </w:tr>
          </w:tbl>
          <w:p w14:paraId="235C3B60">
            <w:pPr>
              <w:pStyle w:val="4"/>
              <w:jc w:val="left"/>
            </w:pPr>
            <w:r>
              <w:rPr>
                <w:rFonts w:ascii="仿宋_GB2312" w:hAnsi="仿宋_GB2312" w:eastAsia="仿宋_GB2312" w:cs="仿宋_GB2312"/>
                <w:b/>
                <w:sz w:val="24"/>
              </w:rPr>
              <w:t>注：参数没有要求提供证明材料的，以投标响应文件为准。</w:t>
            </w:r>
          </w:p>
          <w:p w14:paraId="4F963C99">
            <w:pPr>
              <w:pStyle w:val="4"/>
              <w:jc w:val="left"/>
            </w:pPr>
          </w:p>
        </w:tc>
      </w:tr>
    </w:tbl>
    <w:p w14:paraId="2B9A9C77">
      <w:pPr>
        <w:pStyle w:val="4"/>
        <w:jc w:val="left"/>
        <w:outlineLvl w:val="2"/>
      </w:pPr>
      <w:r>
        <w:rPr>
          <w:rFonts w:ascii="仿宋_GB2312" w:hAnsi="仿宋_GB2312" w:eastAsia="仿宋_GB2312" w:cs="仿宋_GB2312"/>
          <w:b/>
          <w:sz w:val="28"/>
        </w:rPr>
        <w:t>3.3.服务要求</w:t>
      </w:r>
    </w:p>
    <w:p w14:paraId="43DFD520">
      <w:pPr>
        <w:pStyle w:val="4"/>
        <w:jc w:val="left"/>
        <w:outlineLvl w:val="3"/>
      </w:pPr>
      <w:r>
        <w:rPr>
          <w:rFonts w:ascii="仿宋_GB2312" w:hAnsi="仿宋_GB2312" w:eastAsia="仿宋_GB2312" w:cs="仿宋_GB2312"/>
          <w:b/>
          <w:sz w:val="24"/>
        </w:rPr>
        <w:t>3.3.1.服务内容要求</w:t>
      </w:r>
    </w:p>
    <w:p w14:paraId="09A8B6F8">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0876E83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415" w:type="dxa"/>
          </w:tcPr>
          <w:p w14:paraId="3F074DAF">
            <w:pPr>
              <w:pStyle w:val="4"/>
              <w:jc w:val="center"/>
            </w:pPr>
            <w:r>
              <w:rPr>
                <w:rFonts w:ascii="仿宋_GB2312" w:hAnsi="仿宋_GB2312" w:eastAsia="仿宋_GB2312" w:cs="仿宋_GB2312"/>
              </w:rPr>
              <w:t xml:space="preserve"> 序号</w:t>
            </w:r>
          </w:p>
        </w:tc>
        <w:tc>
          <w:tcPr>
            <w:tcW w:w="581" w:type="dxa"/>
          </w:tcPr>
          <w:p w14:paraId="3CC8F319">
            <w:pPr>
              <w:pStyle w:val="4"/>
              <w:jc w:val="center"/>
            </w:pPr>
            <w:r>
              <w:rPr>
                <w:rFonts w:ascii="仿宋_GB2312" w:hAnsi="仿宋_GB2312" w:eastAsia="仿宋_GB2312" w:cs="仿宋_GB2312"/>
              </w:rPr>
              <w:t xml:space="preserve"> 符号标识</w:t>
            </w:r>
          </w:p>
        </w:tc>
        <w:tc>
          <w:tcPr>
            <w:tcW w:w="1495" w:type="dxa"/>
          </w:tcPr>
          <w:p w14:paraId="5E35D62E">
            <w:pPr>
              <w:pStyle w:val="4"/>
              <w:jc w:val="center"/>
            </w:pPr>
            <w:r>
              <w:rPr>
                <w:rFonts w:ascii="仿宋_GB2312" w:hAnsi="仿宋_GB2312" w:eastAsia="仿宋_GB2312" w:cs="仿宋_GB2312"/>
              </w:rPr>
              <w:t xml:space="preserve"> 服务要求名称</w:t>
            </w:r>
          </w:p>
        </w:tc>
        <w:tc>
          <w:tcPr>
            <w:tcW w:w="5814" w:type="dxa"/>
          </w:tcPr>
          <w:p w14:paraId="24E11B04">
            <w:pPr>
              <w:pStyle w:val="4"/>
              <w:jc w:val="center"/>
            </w:pPr>
            <w:r>
              <w:rPr>
                <w:rFonts w:ascii="仿宋_GB2312" w:hAnsi="仿宋_GB2312" w:eastAsia="仿宋_GB2312" w:cs="仿宋_GB2312"/>
              </w:rPr>
              <w:t xml:space="preserve"> 服务要求内容</w:t>
            </w:r>
          </w:p>
        </w:tc>
      </w:tr>
      <w:tr w14:paraId="19A13BF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98EFA9E">
            <w:pPr>
              <w:pStyle w:val="4"/>
              <w:jc w:val="center"/>
            </w:pPr>
            <w:r>
              <w:rPr>
                <w:rFonts w:ascii="仿宋_GB2312" w:hAnsi="仿宋_GB2312" w:eastAsia="仿宋_GB2312" w:cs="仿宋_GB2312"/>
              </w:rPr>
              <w:t>1</w:t>
            </w:r>
          </w:p>
        </w:tc>
        <w:tc>
          <w:tcPr>
            <w:tcW w:w="581" w:type="dxa"/>
          </w:tcPr>
          <w:p w14:paraId="07E0C354">
            <w:pPr>
              <w:pStyle w:val="4"/>
              <w:jc w:val="center"/>
            </w:pPr>
            <w:r>
              <w:rPr>
                <w:rFonts w:ascii="仿宋_GB2312" w:hAnsi="仿宋_GB2312" w:eastAsia="仿宋_GB2312" w:cs="仿宋_GB2312"/>
              </w:rPr>
              <w:t>★</w:t>
            </w:r>
          </w:p>
        </w:tc>
        <w:tc>
          <w:tcPr>
            <w:tcW w:w="1495" w:type="dxa"/>
          </w:tcPr>
          <w:p w14:paraId="2FC32128">
            <w:pPr>
              <w:pStyle w:val="4"/>
              <w:jc w:val="left"/>
            </w:pPr>
            <w:r>
              <w:rPr>
                <w:rFonts w:ascii="仿宋_GB2312" w:hAnsi="仿宋_GB2312" w:eastAsia="仿宋_GB2312" w:cs="仿宋_GB2312"/>
              </w:rPr>
              <w:t>其他要求</w:t>
            </w:r>
          </w:p>
        </w:tc>
        <w:tc>
          <w:tcPr>
            <w:tcW w:w="5814" w:type="dxa"/>
          </w:tcPr>
          <w:p w14:paraId="239686EF">
            <w:pPr>
              <w:pStyle w:val="4"/>
              <w:ind w:firstLine="472"/>
              <w:jc w:val="both"/>
            </w:pPr>
            <w:r>
              <w:rPr>
                <w:rFonts w:ascii="仿宋_GB2312" w:hAnsi="仿宋_GB2312" w:eastAsia="仿宋_GB2312" w:cs="仿宋_GB2312"/>
                <w:b/>
                <w:sz w:val="24"/>
              </w:rPr>
              <w:t>★</w:t>
            </w:r>
            <w:r>
              <w:rPr>
                <w:rFonts w:ascii="仿宋_GB2312" w:hAnsi="仿宋_GB2312" w:eastAsia="仿宋_GB2312" w:cs="仿宋_GB2312"/>
                <w:sz w:val="24"/>
              </w:rPr>
              <w:t>1、投标人须提供全新的货物(含零部件、配件、使用说明书等)，表面无划伤、无碰撞痕迹，且权属清楚，不得侵害他人的知识产权，不得以次充好，产品来源渠道必须合法，按招标人要求送达指定地点，同时按招标人的要求做好售后服务工作。</w:t>
            </w:r>
          </w:p>
          <w:p w14:paraId="38740B21">
            <w:pPr>
              <w:pStyle w:val="4"/>
              <w:ind w:firstLine="472"/>
              <w:jc w:val="both"/>
            </w:pPr>
            <w:r>
              <w:rPr>
                <w:rFonts w:ascii="仿宋_GB2312" w:hAnsi="仿宋_GB2312" w:eastAsia="仿宋_GB2312" w:cs="仿宋_GB2312"/>
                <w:b/>
                <w:sz w:val="24"/>
              </w:rPr>
              <w:t>★</w:t>
            </w:r>
            <w:r>
              <w:rPr>
                <w:rFonts w:ascii="仿宋_GB2312" w:hAnsi="仿宋_GB2312" w:eastAsia="仿宋_GB2312" w:cs="仿宋_GB2312"/>
                <w:sz w:val="24"/>
              </w:rPr>
              <w:t>2、投标人提供的产品必须符合或优于国家标准、行业标准、地方标准等标准、规范，以及招标文件的质量要求和技术指标与出厂标准，本项目所涉及的国家标准/行业标准等有更新的，以最新标准执行。</w:t>
            </w:r>
          </w:p>
          <w:p w14:paraId="3A5DE6F7">
            <w:pPr>
              <w:pStyle w:val="4"/>
              <w:ind w:firstLine="472"/>
              <w:jc w:val="both"/>
            </w:pPr>
            <w:r>
              <w:rPr>
                <w:rFonts w:ascii="仿宋_GB2312" w:hAnsi="仿宋_GB2312" w:eastAsia="仿宋_GB2312" w:cs="仿宋_GB2312"/>
                <w:b/>
                <w:sz w:val="24"/>
              </w:rPr>
              <w:t>★</w:t>
            </w:r>
            <w:r>
              <w:rPr>
                <w:rFonts w:ascii="仿宋_GB2312" w:hAnsi="仿宋_GB2312" w:eastAsia="仿宋_GB2312" w:cs="仿宋_GB2312"/>
                <w:sz w:val="24"/>
              </w:rPr>
              <w:t>3、货物质量出现问题，投标人应负责三包(包修、包换、包退)，费用由投标人承担货物制造质量出现问题，投标人应负责三包(包修、包换、包退)，费用由投标人承担。</w:t>
            </w:r>
          </w:p>
          <w:p w14:paraId="56EEED91">
            <w:pPr>
              <w:pStyle w:val="4"/>
              <w:ind w:firstLine="472"/>
              <w:jc w:val="both"/>
            </w:pPr>
            <w:r>
              <w:rPr>
                <w:rFonts w:ascii="仿宋_GB2312" w:hAnsi="仿宋_GB2312" w:eastAsia="仿宋_GB2312" w:cs="仿宋_GB2312"/>
                <w:b/>
                <w:sz w:val="24"/>
              </w:rPr>
              <w:t>★</w:t>
            </w:r>
            <w:r>
              <w:rPr>
                <w:rFonts w:ascii="仿宋_GB2312" w:hAnsi="仿宋_GB2312" w:eastAsia="仿宋_GB2312" w:cs="仿宋_GB2312"/>
                <w:sz w:val="24"/>
              </w:rPr>
              <w:t>4、本项目的货物均需提供配送及安装服务。</w:t>
            </w:r>
          </w:p>
          <w:p w14:paraId="1BA32D5F">
            <w:pPr>
              <w:pStyle w:val="4"/>
              <w:ind w:firstLine="472"/>
              <w:jc w:val="both"/>
            </w:pPr>
            <w:r>
              <w:rPr>
                <w:rFonts w:ascii="仿宋_GB2312" w:hAnsi="仿宋_GB2312" w:eastAsia="仿宋_GB2312" w:cs="仿宋_GB2312"/>
                <w:b/>
                <w:sz w:val="24"/>
              </w:rPr>
              <w:t>★</w:t>
            </w:r>
            <w:r>
              <w:rPr>
                <w:rFonts w:ascii="仿宋_GB2312" w:hAnsi="仿宋_GB2312" w:eastAsia="仿宋_GB2312" w:cs="仿宋_GB2312"/>
                <w:sz w:val="24"/>
              </w:rPr>
              <w:t>5、安全要求：投标人须承诺已知晓完成本项目所涉及到的一切风险，在合同履行过程中由于投标人或其工作人员原因出现的给他人或自身造成伤害的安全责任(含事故)均由投标人自行承担相应责任。</w:t>
            </w:r>
          </w:p>
          <w:p w14:paraId="2047C2F1">
            <w:pPr>
              <w:pStyle w:val="4"/>
              <w:ind w:firstLine="472"/>
              <w:jc w:val="both"/>
            </w:pPr>
            <w:r>
              <w:rPr>
                <w:rFonts w:ascii="仿宋_GB2312" w:hAnsi="仿宋_GB2312" w:eastAsia="仿宋_GB2312" w:cs="仿宋_GB2312"/>
                <w:b/>
                <w:sz w:val="24"/>
              </w:rPr>
              <w:t>★</w:t>
            </w:r>
            <w:r>
              <w:rPr>
                <w:rFonts w:ascii="仿宋_GB2312" w:hAnsi="仿宋_GB2312" w:eastAsia="仿宋_GB2312" w:cs="仿宋_GB2312"/>
                <w:sz w:val="24"/>
              </w:rPr>
              <w:t>6、报价要求：本项目按总价报价，均用人民币表示，报价应是最终用户验收合格后的总价，包括货物（服务）、运杂费（含转运）、人工、保险、税费、检测费用（如有）、辅材（如有）、咨询、培训、安装、敷设、招标代理费用和采购文件规定的其它费用及合同签订过程中可预见和不可预见费用等。投标人需自行考虑本项目在实施期间的可能产生的一切费用，采购人不再另行支付与本项目相关的任何费用。</w:t>
            </w:r>
          </w:p>
          <w:p w14:paraId="4A56B11C">
            <w:pPr>
              <w:pStyle w:val="4"/>
              <w:ind w:firstLine="472"/>
              <w:jc w:val="both"/>
            </w:pPr>
            <w:r>
              <w:rPr>
                <w:rFonts w:ascii="仿宋_GB2312" w:hAnsi="仿宋_GB2312" w:eastAsia="仿宋_GB2312" w:cs="仿宋_GB2312"/>
                <w:b/>
                <w:sz w:val="24"/>
              </w:rPr>
              <w:t>★</w:t>
            </w:r>
            <w:r>
              <w:rPr>
                <w:rFonts w:ascii="仿宋_GB2312" w:hAnsi="仿宋_GB2312" w:eastAsia="仿宋_GB2312" w:cs="仿宋_GB2312"/>
                <w:sz w:val="24"/>
              </w:rPr>
              <w:t>7、所投产品若涉及到国家强制性认证产品或其他国家强制要求，投标人须承诺在中标后签订合同前向采购人提供国家强制性产品认证证书(CCC证书)或其他国家强制要求证明材料复印件（采购文件中另有规定的除外）。</w:t>
            </w:r>
          </w:p>
          <w:p w14:paraId="051CA304">
            <w:pPr>
              <w:pStyle w:val="4"/>
              <w:ind w:firstLine="472"/>
              <w:jc w:val="both"/>
            </w:pPr>
            <w:r>
              <w:rPr>
                <w:rFonts w:ascii="仿宋_GB2312" w:hAnsi="仿宋_GB2312" w:eastAsia="仿宋_GB2312" w:cs="仿宋_GB2312"/>
                <w:sz w:val="24"/>
              </w:rPr>
              <w:t>★8、提供无人机机身险3年，保险需涵盖无人机及其云台功能模块。</w:t>
            </w:r>
          </w:p>
          <w:p w14:paraId="6CE318A5">
            <w:pPr>
              <w:pStyle w:val="4"/>
              <w:ind w:firstLine="472"/>
              <w:jc w:val="both"/>
            </w:pPr>
            <w:r>
              <w:rPr>
                <w:rFonts w:ascii="仿宋_GB2312" w:hAnsi="仿宋_GB2312" w:eastAsia="仿宋_GB2312" w:cs="仿宋_GB2312"/>
                <w:sz w:val="24"/>
              </w:rPr>
              <w:t>★9、提供无人机三责险3年，保额不低于100万/架/年。</w:t>
            </w:r>
          </w:p>
          <w:p w14:paraId="76B25139">
            <w:pPr>
              <w:pStyle w:val="4"/>
              <w:ind w:firstLine="472"/>
              <w:jc w:val="both"/>
            </w:pPr>
            <w:r>
              <w:rPr>
                <w:rFonts w:ascii="仿宋_GB2312" w:hAnsi="仿宋_GB2312" w:eastAsia="仿宋_GB2312" w:cs="仿宋_GB2312"/>
                <w:sz w:val="24"/>
              </w:rPr>
              <w:t xml:space="preserve">★10、实现7台设备的接网接电、场地勘探、施工安装、官方验收、并与网统飞智巡综合服务平台互联互通（原平台品牌为：低空数联，型号：定制），中标后，由采购人向中标供应商提供完整平台接口文档。  </w:t>
            </w:r>
          </w:p>
          <w:p w14:paraId="2B9FC6A4">
            <w:pPr>
              <w:pStyle w:val="4"/>
              <w:jc w:val="left"/>
            </w:pPr>
            <w:r>
              <w:rPr>
                <w:rFonts w:ascii="仿宋_GB2312" w:hAnsi="仿宋_GB2312" w:eastAsia="仿宋_GB2312" w:cs="仿宋_GB2312"/>
                <w:b/>
                <w:sz w:val="24"/>
              </w:rPr>
              <w:t>注：以上1-10项须提供承诺函并加盖投标人电子签章，格式自拟。</w:t>
            </w:r>
          </w:p>
        </w:tc>
      </w:tr>
    </w:tbl>
    <w:p w14:paraId="73A7BB29">
      <w:pPr>
        <w:pStyle w:val="4"/>
        <w:jc w:val="left"/>
        <w:outlineLvl w:val="3"/>
      </w:pPr>
      <w:r>
        <w:rPr>
          <w:rFonts w:ascii="仿宋_GB2312" w:hAnsi="仿宋_GB2312" w:eastAsia="仿宋_GB2312" w:cs="仿宋_GB2312"/>
          <w:b/>
          <w:sz w:val="24"/>
        </w:rPr>
        <w:t>3.3.2.商务要求</w:t>
      </w:r>
    </w:p>
    <w:p w14:paraId="4B372E85">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076"/>
        <w:gridCol w:w="2076"/>
        <w:gridCol w:w="2076"/>
        <w:gridCol w:w="2076"/>
      </w:tblGrid>
      <w:tr w14:paraId="372AA5D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43A14370">
            <w:pPr>
              <w:pStyle w:val="4"/>
              <w:jc w:val="left"/>
            </w:pPr>
            <w:r>
              <w:rPr>
                <w:rFonts w:ascii="仿宋_GB2312" w:hAnsi="仿宋_GB2312" w:eastAsia="仿宋_GB2312" w:cs="仿宋_GB2312"/>
              </w:rPr>
              <w:t>序号</w:t>
            </w:r>
          </w:p>
        </w:tc>
        <w:tc>
          <w:tcPr>
            <w:tcW w:w="2076" w:type="dxa"/>
          </w:tcPr>
          <w:p w14:paraId="3D2D1746">
            <w:pPr>
              <w:pStyle w:val="4"/>
              <w:jc w:val="left"/>
            </w:pPr>
            <w:r>
              <w:rPr>
                <w:rFonts w:ascii="仿宋_GB2312" w:hAnsi="仿宋_GB2312" w:eastAsia="仿宋_GB2312" w:cs="仿宋_GB2312"/>
              </w:rPr>
              <w:t>符号标识</w:t>
            </w:r>
          </w:p>
        </w:tc>
        <w:tc>
          <w:tcPr>
            <w:tcW w:w="2076" w:type="dxa"/>
          </w:tcPr>
          <w:p w14:paraId="0242A748">
            <w:pPr>
              <w:pStyle w:val="4"/>
              <w:jc w:val="left"/>
            </w:pPr>
            <w:r>
              <w:rPr>
                <w:rFonts w:ascii="仿宋_GB2312" w:hAnsi="仿宋_GB2312" w:eastAsia="仿宋_GB2312" w:cs="仿宋_GB2312"/>
              </w:rPr>
              <w:t>商务要求名称</w:t>
            </w:r>
          </w:p>
        </w:tc>
        <w:tc>
          <w:tcPr>
            <w:tcW w:w="2076" w:type="dxa"/>
          </w:tcPr>
          <w:p w14:paraId="749FEA97">
            <w:pPr>
              <w:pStyle w:val="4"/>
              <w:jc w:val="left"/>
            </w:pPr>
            <w:r>
              <w:rPr>
                <w:rFonts w:ascii="仿宋_GB2312" w:hAnsi="仿宋_GB2312" w:eastAsia="仿宋_GB2312" w:cs="仿宋_GB2312"/>
              </w:rPr>
              <w:t>商务要求内容</w:t>
            </w:r>
          </w:p>
        </w:tc>
      </w:tr>
      <w:tr w14:paraId="4AEA728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2BCAF2CC">
            <w:pPr>
              <w:pStyle w:val="4"/>
              <w:jc w:val="left"/>
            </w:pPr>
            <w:r>
              <w:rPr>
                <w:rFonts w:ascii="仿宋_GB2312" w:hAnsi="仿宋_GB2312" w:eastAsia="仿宋_GB2312" w:cs="仿宋_GB2312"/>
              </w:rPr>
              <w:t>1</w:t>
            </w:r>
          </w:p>
        </w:tc>
        <w:tc>
          <w:tcPr>
            <w:tcW w:w="2076" w:type="dxa"/>
          </w:tcPr>
          <w:p w14:paraId="4F6B3ED2">
            <w:pPr>
              <w:pStyle w:val="4"/>
              <w:jc w:val="left"/>
            </w:pPr>
            <w:r>
              <w:rPr>
                <w:rFonts w:ascii="仿宋_GB2312" w:hAnsi="仿宋_GB2312" w:eastAsia="仿宋_GB2312" w:cs="仿宋_GB2312"/>
              </w:rPr>
              <w:t>★</w:t>
            </w:r>
          </w:p>
        </w:tc>
        <w:tc>
          <w:tcPr>
            <w:tcW w:w="2076" w:type="dxa"/>
          </w:tcPr>
          <w:p w14:paraId="1530A93F">
            <w:pPr>
              <w:pStyle w:val="4"/>
              <w:jc w:val="left"/>
            </w:pPr>
            <w:r>
              <w:rPr>
                <w:rFonts w:ascii="仿宋_GB2312" w:hAnsi="仿宋_GB2312" w:eastAsia="仿宋_GB2312" w:cs="仿宋_GB2312"/>
              </w:rPr>
              <w:t>交货时间</w:t>
            </w:r>
          </w:p>
        </w:tc>
        <w:tc>
          <w:tcPr>
            <w:tcW w:w="2076" w:type="dxa"/>
          </w:tcPr>
          <w:p w14:paraId="0AF22A5D">
            <w:pPr>
              <w:pStyle w:val="4"/>
              <w:jc w:val="left"/>
            </w:pPr>
            <w:r>
              <w:rPr>
                <w:rFonts w:ascii="仿宋_GB2312" w:hAnsi="仿宋_GB2312" w:eastAsia="仿宋_GB2312" w:cs="仿宋_GB2312"/>
              </w:rPr>
              <w:t>自合同签订起付款后30个工作日内到货， 到货后60个工作日完成货物安装调试。</w:t>
            </w:r>
          </w:p>
        </w:tc>
      </w:tr>
      <w:tr w14:paraId="6A80A43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5056AC7A">
            <w:pPr>
              <w:pStyle w:val="4"/>
              <w:jc w:val="left"/>
            </w:pPr>
            <w:r>
              <w:rPr>
                <w:rFonts w:ascii="仿宋_GB2312" w:hAnsi="仿宋_GB2312" w:eastAsia="仿宋_GB2312" w:cs="仿宋_GB2312"/>
              </w:rPr>
              <w:t>2</w:t>
            </w:r>
          </w:p>
        </w:tc>
        <w:tc>
          <w:tcPr>
            <w:tcW w:w="2076" w:type="dxa"/>
          </w:tcPr>
          <w:p w14:paraId="23323917">
            <w:pPr>
              <w:pStyle w:val="4"/>
              <w:jc w:val="left"/>
            </w:pPr>
            <w:r>
              <w:rPr>
                <w:rFonts w:ascii="仿宋_GB2312" w:hAnsi="仿宋_GB2312" w:eastAsia="仿宋_GB2312" w:cs="仿宋_GB2312"/>
              </w:rPr>
              <w:t>★</w:t>
            </w:r>
          </w:p>
        </w:tc>
        <w:tc>
          <w:tcPr>
            <w:tcW w:w="2076" w:type="dxa"/>
          </w:tcPr>
          <w:p w14:paraId="4A3A85D1">
            <w:pPr>
              <w:pStyle w:val="4"/>
              <w:jc w:val="left"/>
            </w:pPr>
            <w:r>
              <w:rPr>
                <w:rFonts w:ascii="仿宋_GB2312" w:hAnsi="仿宋_GB2312" w:eastAsia="仿宋_GB2312" w:cs="仿宋_GB2312"/>
              </w:rPr>
              <w:t>交货地点</w:t>
            </w:r>
          </w:p>
        </w:tc>
        <w:tc>
          <w:tcPr>
            <w:tcW w:w="2076" w:type="dxa"/>
          </w:tcPr>
          <w:p w14:paraId="7BCA918F">
            <w:pPr>
              <w:pStyle w:val="4"/>
              <w:jc w:val="left"/>
            </w:pPr>
            <w:r>
              <w:rPr>
                <w:rFonts w:ascii="仿宋_GB2312" w:hAnsi="仿宋_GB2312" w:eastAsia="仿宋_GB2312" w:cs="仿宋_GB2312"/>
              </w:rPr>
              <w:t>采购人指定地点</w:t>
            </w:r>
          </w:p>
        </w:tc>
      </w:tr>
      <w:tr w14:paraId="0BBFD76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40A8A8E3">
            <w:pPr>
              <w:pStyle w:val="4"/>
              <w:jc w:val="left"/>
            </w:pPr>
            <w:r>
              <w:rPr>
                <w:rFonts w:ascii="仿宋_GB2312" w:hAnsi="仿宋_GB2312" w:eastAsia="仿宋_GB2312" w:cs="仿宋_GB2312"/>
              </w:rPr>
              <w:t>3</w:t>
            </w:r>
          </w:p>
        </w:tc>
        <w:tc>
          <w:tcPr>
            <w:tcW w:w="2076" w:type="dxa"/>
          </w:tcPr>
          <w:p w14:paraId="5FE4B461">
            <w:pPr>
              <w:pStyle w:val="4"/>
              <w:jc w:val="left"/>
            </w:pPr>
            <w:r>
              <w:rPr>
                <w:rFonts w:ascii="仿宋_GB2312" w:hAnsi="仿宋_GB2312" w:eastAsia="仿宋_GB2312" w:cs="仿宋_GB2312"/>
              </w:rPr>
              <w:t>★</w:t>
            </w:r>
          </w:p>
        </w:tc>
        <w:tc>
          <w:tcPr>
            <w:tcW w:w="2076" w:type="dxa"/>
          </w:tcPr>
          <w:p w14:paraId="01D29C20">
            <w:pPr>
              <w:pStyle w:val="4"/>
              <w:jc w:val="left"/>
            </w:pPr>
            <w:r>
              <w:rPr>
                <w:rFonts w:ascii="仿宋_GB2312" w:hAnsi="仿宋_GB2312" w:eastAsia="仿宋_GB2312" w:cs="仿宋_GB2312"/>
              </w:rPr>
              <w:t>支付方式</w:t>
            </w:r>
          </w:p>
        </w:tc>
        <w:tc>
          <w:tcPr>
            <w:tcW w:w="2076" w:type="dxa"/>
          </w:tcPr>
          <w:p w14:paraId="40EAD616">
            <w:pPr>
              <w:pStyle w:val="4"/>
              <w:jc w:val="left"/>
            </w:pPr>
            <w:r>
              <w:rPr>
                <w:rFonts w:ascii="仿宋_GB2312" w:hAnsi="仿宋_GB2312" w:eastAsia="仿宋_GB2312" w:cs="仿宋_GB2312"/>
              </w:rPr>
              <w:t>分期付款</w:t>
            </w:r>
          </w:p>
        </w:tc>
      </w:tr>
      <w:tr w14:paraId="50A29CE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2F3C696C">
            <w:pPr>
              <w:pStyle w:val="4"/>
              <w:jc w:val="left"/>
            </w:pPr>
            <w:r>
              <w:rPr>
                <w:rFonts w:ascii="仿宋_GB2312" w:hAnsi="仿宋_GB2312" w:eastAsia="仿宋_GB2312" w:cs="仿宋_GB2312"/>
              </w:rPr>
              <w:t>4</w:t>
            </w:r>
          </w:p>
        </w:tc>
        <w:tc>
          <w:tcPr>
            <w:tcW w:w="2076" w:type="dxa"/>
          </w:tcPr>
          <w:p w14:paraId="0F0158B1">
            <w:pPr>
              <w:pStyle w:val="4"/>
              <w:jc w:val="left"/>
            </w:pPr>
            <w:r>
              <w:rPr>
                <w:rFonts w:ascii="仿宋_GB2312" w:hAnsi="仿宋_GB2312" w:eastAsia="仿宋_GB2312" w:cs="仿宋_GB2312"/>
              </w:rPr>
              <w:t>★</w:t>
            </w:r>
          </w:p>
        </w:tc>
        <w:tc>
          <w:tcPr>
            <w:tcW w:w="2076" w:type="dxa"/>
          </w:tcPr>
          <w:p w14:paraId="63D03064">
            <w:pPr>
              <w:pStyle w:val="4"/>
              <w:jc w:val="left"/>
            </w:pPr>
            <w:r>
              <w:rPr>
                <w:rFonts w:ascii="仿宋_GB2312" w:hAnsi="仿宋_GB2312" w:eastAsia="仿宋_GB2312" w:cs="仿宋_GB2312"/>
              </w:rPr>
              <w:t>付款进度安排</w:t>
            </w:r>
          </w:p>
        </w:tc>
        <w:tc>
          <w:tcPr>
            <w:tcW w:w="2076" w:type="dxa"/>
          </w:tcPr>
          <w:p w14:paraId="47F6A2A0">
            <w:pPr>
              <w:pStyle w:val="4"/>
              <w:jc w:val="left"/>
            </w:pPr>
            <w:r>
              <w:rPr>
                <w:rFonts w:ascii="仿宋_GB2312" w:hAnsi="仿宋_GB2312" w:eastAsia="仿宋_GB2312" w:cs="仿宋_GB2312"/>
              </w:rPr>
              <w:t>1付款条件：签订采购合同后，达到该付款条件起10个工作日内，支付合同总金额的40.00%</w:t>
            </w:r>
          </w:p>
          <w:p w14:paraId="0AEDD00E">
            <w:pPr>
              <w:pStyle w:val="4"/>
              <w:jc w:val="left"/>
            </w:pPr>
            <w:r>
              <w:rPr>
                <w:rFonts w:ascii="仿宋_GB2312" w:hAnsi="仿宋_GB2312" w:eastAsia="仿宋_GB2312" w:cs="仿宋_GB2312"/>
              </w:rPr>
              <w:t>2付款条件：完成货物安装调试并验收合格，达到该付款条件起10个工作日内，支付合同总金额的60.00%</w:t>
            </w:r>
          </w:p>
        </w:tc>
      </w:tr>
      <w:tr w14:paraId="652EA16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316ECDD8">
            <w:pPr>
              <w:pStyle w:val="4"/>
              <w:jc w:val="left"/>
            </w:pPr>
            <w:r>
              <w:rPr>
                <w:rFonts w:ascii="仿宋_GB2312" w:hAnsi="仿宋_GB2312" w:eastAsia="仿宋_GB2312" w:cs="仿宋_GB2312"/>
              </w:rPr>
              <w:t>5</w:t>
            </w:r>
          </w:p>
        </w:tc>
        <w:tc>
          <w:tcPr>
            <w:tcW w:w="2076" w:type="dxa"/>
          </w:tcPr>
          <w:p w14:paraId="77C77FF9">
            <w:pPr>
              <w:pStyle w:val="4"/>
              <w:jc w:val="left"/>
            </w:pPr>
            <w:r>
              <w:rPr>
                <w:rFonts w:ascii="仿宋_GB2312" w:hAnsi="仿宋_GB2312" w:eastAsia="仿宋_GB2312" w:cs="仿宋_GB2312"/>
              </w:rPr>
              <w:t>★</w:t>
            </w:r>
          </w:p>
        </w:tc>
        <w:tc>
          <w:tcPr>
            <w:tcW w:w="2076" w:type="dxa"/>
          </w:tcPr>
          <w:p w14:paraId="43269679">
            <w:pPr>
              <w:pStyle w:val="4"/>
              <w:jc w:val="left"/>
            </w:pPr>
            <w:r>
              <w:rPr>
                <w:rFonts w:ascii="仿宋_GB2312" w:hAnsi="仿宋_GB2312" w:eastAsia="仿宋_GB2312" w:cs="仿宋_GB2312"/>
              </w:rPr>
              <w:t>验收、交付标准和方法</w:t>
            </w:r>
          </w:p>
        </w:tc>
        <w:tc>
          <w:tcPr>
            <w:tcW w:w="2076" w:type="dxa"/>
          </w:tcPr>
          <w:p w14:paraId="50A5C76A">
            <w:pPr>
              <w:pStyle w:val="4"/>
              <w:jc w:val="left"/>
            </w:pPr>
            <w:r>
              <w:rPr>
                <w:rFonts w:ascii="仿宋_GB2312" w:hAnsi="仿宋_GB2312" w:eastAsia="仿宋_GB2312" w:cs="仿宋_GB2312"/>
              </w:rPr>
              <w:t>1、按国家有关规定以及采购文件的服务要求和技术指标、供应商的响应文件及承诺与采购合同约定标准进行验收；采购人与供应商双方如对质量要求和技术指标的约定标准有相互抵触或异议的事项，由采购人在采购文件及响应文件中按质量要求和技术指标比较优胜的原则确定该项的约定标准进行验收。 2、其余未尽事宜按照《财政部关于进一步加强政府采购需求和履约验收管理的指导意见》（财库〔2016〕205号）的要求进行验收。</w:t>
            </w:r>
          </w:p>
        </w:tc>
      </w:tr>
      <w:tr w14:paraId="4FC3ED1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119E8960">
            <w:pPr>
              <w:pStyle w:val="4"/>
              <w:jc w:val="left"/>
            </w:pPr>
            <w:r>
              <w:rPr>
                <w:rFonts w:ascii="仿宋_GB2312" w:hAnsi="仿宋_GB2312" w:eastAsia="仿宋_GB2312" w:cs="仿宋_GB2312"/>
              </w:rPr>
              <w:t>6</w:t>
            </w:r>
          </w:p>
        </w:tc>
        <w:tc>
          <w:tcPr>
            <w:tcW w:w="2076" w:type="dxa"/>
          </w:tcPr>
          <w:p w14:paraId="4B35C269">
            <w:pPr>
              <w:pStyle w:val="4"/>
              <w:jc w:val="left"/>
            </w:pPr>
            <w:r>
              <w:rPr>
                <w:rFonts w:ascii="仿宋_GB2312" w:hAnsi="仿宋_GB2312" w:eastAsia="仿宋_GB2312" w:cs="仿宋_GB2312"/>
              </w:rPr>
              <w:t>★</w:t>
            </w:r>
          </w:p>
        </w:tc>
        <w:tc>
          <w:tcPr>
            <w:tcW w:w="2076" w:type="dxa"/>
          </w:tcPr>
          <w:p w14:paraId="4BD290B4">
            <w:pPr>
              <w:pStyle w:val="4"/>
              <w:jc w:val="left"/>
            </w:pPr>
            <w:r>
              <w:rPr>
                <w:rFonts w:ascii="仿宋_GB2312" w:hAnsi="仿宋_GB2312" w:eastAsia="仿宋_GB2312" w:cs="仿宋_GB2312"/>
              </w:rPr>
              <w:t>包装方式及运输</w:t>
            </w:r>
          </w:p>
        </w:tc>
        <w:tc>
          <w:tcPr>
            <w:tcW w:w="2076" w:type="dxa"/>
          </w:tcPr>
          <w:p w14:paraId="3C83CF71">
            <w:pPr>
              <w:pStyle w:val="4"/>
              <w:jc w:val="left"/>
            </w:pPr>
            <w:r>
              <w:rPr>
                <w:rFonts w:ascii="仿宋_GB2312" w:hAnsi="仿宋_GB2312" w:eastAsia="仿宋_GB2312" w:cs="仿宋_GB2312"/>
              </w:rPr>
              <w:t>涉及的商品包装和快递包装，均应符合《商品包装政府采购需求标准（试行）》《快递包装政府采购需求标准（试行）》的要求，包装应适应于远距离运输、防潮、防震、防锈和防野蛮装卸，以确保货物安全无损运抵指定地点。</w:t>
            </w:r>
          </w:p>
        </w:tc>
      </w:tr>
      <w:tr w14:paraId="4A0ABE5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3625DB3B">
            <w:pPr>
              <w:pStyle w:val="4"/>
              <w:jc w:val="left"/>
            </w:pPr>
            <w:r>
              <w:rPr>
                <w:rFonts w:ascii="仿宋_GB2312" w:hAnsi="仿宋_GB2312" w:eastAsia="仿宋_GB2312" w:cs="仿宋_GB2312"/>
              </w:rPr>
              <w:t>7</w:t>
            </w:r>
          </w:p>
        </w:tc>
        <w:tc>
          <w:tcPr>
            <w:tcW w:w="2076" w:type="dxa"/>
          </w:tcPr>
          <w:p w14:paraId="7D5AEB43">
            <w:pPr>
              <w:pStyle w:val="4"/>
              <w:jc w:val="left"/>
            </w:pPr>
            <w:r>
              <w:rPr>
                <w:rFonts w:ascii="仿宋_GB2312" w:hAnsi="仿宋_GB2312" w:eastAsia="仿宋_GB2312" w:cs="仿宋_GB2312"/>
              </w:rPr>
              <w:t>★</w:t>
            </w:r>
          </w:p>
        </w:tc>
        <w:tc>
          <w:tcPr>
            <w:tcW w:w="2076" w:type="dxa"/>
          </w:tcPr>
          <w:p w14:paraId="46B7263D">
            <w:pPr>
              <w:pStyle w:val="4"/>
              <w:jc w:val="left"/>
            </w:pPr>
            <w:r>
              <w:rPr>
                <w:rFonts w:ascii="仿宋_GB2312" w:hAnsi="仿宋_GB2312" w:eastAsia="仿宋_GB2312" w:cs="仿宋_GB2312"/>
              </w:rPr>
              <w:t>质量保修范围和保修期</w:t>
            </w:r>
          </w:p>
        </w:tc>
        <w:tc>
          <w:tcPr>
            <w:tcW w:w="2076" w:type="dxa"/>
          </w:tcPr>
          <w:p w14:paraId="35CC3861">
            <w:pPr>
              <w:pStyle w:val="4"/>
              <w:jc w:val="left"/>
            </w:pPr>
            <w:r>
              <w:rPr>
                <w:rFonts w:ascii="仿宋_GB2312" w:hAnsi="仿宋_GB2312" w:eastAsia="仿宋_GB2312" w:cs="仿宋_GB2312"/>
              </w:rPr>
              <w:t>质保期：自验收合格之日起一年（其中电池质保半年）。对质量问题，应无条件调换或退货，供应商接到调换通知后，3 小时内完成调换，由此产生的费用由供应商自行负责。</w:t>
            </w:r>
          </w:p>
        </w:tc>
      </w:tr>
      <w:tr w14:paraId="4C3FC6E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7598B7B1">
            <w:pPr>
              <w:pStyle w:val="4"/>
              <w:jc w:val="left"/>
            </w:pPr>
            <w:r>
              <w:rPr>
                <w:rFonts w:ascii="仿宋_GB2312" w:hAnsi="仿宋_GB2312" w:eastAsia="仿宋_GB2312" w:cs="仿宋_GB2312"/>
              </w:rPr>
              <w:t>8</w:t>
            </w:r>
          </w:p>
        </w:tc>
        <w:tc>
          <w:tcPr>
            <w:tcW w:w="2076" w:type="dxa"/>
          </w:tcPr>
          <w:p w14:paraId="0466F10B">
            <w:pPr>
              <w:pStyle w:val="4"/>
              <w:jc w:val="left"/>
            </w:pPr>
            <w:r>
              <w:rPr>
                <w:rFonts w:ascii="仿宋_GB2312" w:hAnsi="仿宋_GB2312" w:eastAsia="仿宋_GB2312" w:cs="仿宋_GB2312"/>
              </w:rPr>
              <w:t>★</w:t>
            </w:r>
          </w:p>
        </w:tc>
        <w:tc>
          <w:tcPr>
            <w:tcW w:w="2076" w:type="dxa"/>
          </w:tcPr>
          <w:p w14:paraId="4067434E">
            <w:pPr>
              <w:pStyle w:val="4"/>
              <w:jc w:val="left"/>
            </w:pPr>
            <w:r>
              <w:rPr>
                <w:rFonts w:ascii="仿宋_GB2312" w:hAnsi="仿宋_GB2312" w:eastAsia="仿宋_GB2312" w:cs="仿宋_GB2312"/>
              </w:rPr>
              <w:t>违约责任与解决争议的方法</w:t>
            </w:r>
          </w:p>
        </w:tc>
        <w:tc>
          <w:tcPr>
            <w:tcW w:w="2076" w:type="dxa"/>
          </w:tcPr>
          <w:p w14:paraId="5993E0A2">
            <w:pPr>
              <w:pStyle w:val="4"/>
              <w:jc w:val="left"/>
            </w:pPr>
            <w:r>
              <w:rPr>
                <w:rFonts w:ascii="仿宋_GB2312" w:hAnsi="仿宋_GB2312" w:eastAsia="仿宋_GB2312" w:cs="仿宋_GB2312"/>
              </w:rPr>
              <w:t>违约责任 1、供应商必须遵守采购合同并执行合同中的各项规定，保证采购合同的正常履行。 2、如因供应商工作人员在履行职务过程中的疏忽、失职、过错等故意或者过失原因给采购人造成损失或侵害，包括但不限于采购人本身的财产损失、由此而导致的采购人对任何第三方的法律责任等，供应商对此均应承担全部的赔偿责任。 3、供应商必须遵守采购合同按时完成合同相关工作。 4、供应商应当遵守采购人的相关项目需求及相关技术要求及实质性条款，实施完成采购合同应当完全满足相关项目需求及相关技术要求及实质性条款，若供应商瑕疵履行采购合同，采购人有权向供应商要求赔偿合同总价款 20%的违约金，若造成相关损失的，采购人有权要求供应商承担所有赔偿责任。 5、有下列情形之一的，当事人可以解除合同： （1）因不可抗力致使不能实现合同目的(由于非供应商或采购人原因，致使合同实质性条款无法实现的)； （2）当事人一方迟延履行主要债务，经催告后在合理期限内仍未履行； （3）当事人一方迟延履行债务或者有其他违约行为致使不能实现合同目的； （4）法律规定的其他情形。 解决争议的方法 1、因货物及相应服务的质量问题发生争议，由采购人或其指定的第三方机构进行质量鉴定。货物及相应服务符合标准的，鉴定费由采购人承担；货物及相应服务不符合质量标准的，鉴定费由供应商承担。 2、合同履行期间,若双方发生争议，可协商或由有关部门调解解决，协商或调解不成的，向采购人所在地仲裁委员会申请仲裁或向采购人所在地人民法院起诉。</w:t>
            </w:r>
          </w:p>
        </w:tc>
      </w:tr>
    </w:tbl>
    <w:p w14:paraId="72C741BB">
      <w:pPr>
        <w:pStyle w:val="4"/>
        <w:jc w:val="left"/>
        <w:outlineLvl w:val="2"/>
      </w:pPr>
      <w:r>
        <w:rPr>
          <w:rFonts w:ascii="仿宋_GB2312" w:hAnsi="仿宋_GB2312" w:eastAsia="仿宋_GB2312" w:cs="仿宋_GB2312"/>
          <w:b/>
          <w:sz w:val="28"/>
        </w:rPr>
        <w:t>3.4.其他要求</w:t>
      </w:r>
    </w:p>
    <w:p w14:paraId="7EF73D69">
      <w:pPr>
        <w:pStyle w:val="4"/>
        <w:jc w:val="left"/>
      </w:pPr>
      <w:r>
        <w:rPr>
          <w:rFonts w:ascii="仿宋_GB2312" w:hAnsi="仿宋_GB2312" w:eastAsia="仿宋_GB2312" w:cs="仿宋_GB2312"/>
        </w:rPr>
        <w:t>1、因系统固化原因，具体标的名称详见”标的信息汇总（采购清单）“。 2、供应商应提供针对本项目的实施方案，内容包含：①重难点分析；②现状分析；③货物安装执行方案；④实施流程、项目时间进度安排及关键点把握控制；⑤技术人员配置；⑥质量保障措施； 售后服务方案：①售后（保修、退换货）流程安排；②应急预案；③产品培训方案；④售后人员配置方案；⑤售后服务质量保证措施；⑥易损件、核心部件定期检查方案；⑦巡检服务周期及维护措施等。</w:t>
      </w:r>
    </w:p>
    <w:p w14:paraId="5E89B34A">
      <w:r>
        <w:rPr>
          <w:rFonts w:ascii="仿宋_GB2312" w:hAnsi="仿宋_GB2312" w:eastAsia="仿宋_GB2312" w:cs="仿宋_GB2312"/>
        </w:rPr>
        <w:t xml:space="preserve"> </w:t>
      </w:r>
      <w:r>
        <w:rPr>
          <w:rFonts w:ascii="仿宋_GB2312" w:hAnsi="仿宋_GB2312" w:eastAsia="仿宋_GB2312" w:cs="仿宋_GB2312"/>
        </w:rPr>
        <w:br w:type="textWrapping"/>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KSOFE4500885">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FE94FBC"/>
    <w:rsid w:val="2FE94FB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paragraph" w:customStyle="1" w:styleId="4">
    <w:name w:val="null3"/>
    <w:hidden/>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15</Pages>
  <Words>0</Words>
  <Characters>0</Characters>
  <Lines>0</Lines>
  <Paragraphs>0</Paragraphs>
  <TotalTime>0</TotalTime>
  <ScaleCrop>false</ScaleCrop>
  <LinksUpToDate>false</LinksUpToDate>
  <CharactersWithSpaces>0</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2026-10-10T03:06:00Z</dcterms:created>
  <dc:creator>Administrator</dc:creator>
  <cp:lastModifiedBy>Administrator</cp:lastModifiedBy>
  <dcterms:modified xsi:type="dcterms:W3CDTF">2026-10-10T03:06:45Z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123819E9469248649D57ED3C9D72AA08_11</vt:lpwstr>
  </property>
  <property fmtid="{D5CDD505-2E9C-101B-9397-08002B2CF9AE}" pid="4" name="KSOTemplateDocerSaveRecord">
    <vt:lpwstr>eyJoZGlkIjoiMjNhZTlkNTUyZmZkMTcyNjVlNDY2MzRkZGQyZGNjOGEiLCJ1c2VySWQiOiI4NDM0NzUyNzcifQ==</vt:lpwstr>
  </property>
</Properties>
</file>