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EB577">
      <w:pPr>
        <w:pStyle w:val="5"/>
        <w:jc w:val="center"/>
        <w:outlineLvl w:val="1"/>
        <w:rPr>
          <w:rFonts w:hint="default"/>
          <w:color w:val="auto"/>
          <w:highlight w:val="none"/>
        </w:rPr>
      </w:pPr>
      <w:r>
        <w:rPr>
          <w:b/>
          <w:color w:val="auto"/>
          <w:sz w:val="36"/>
          <w:highlight w:val="none"/>
        </w:rPr>
        <w:t>第五章 合同文本</w:t>
      </w:r>
    </w:p>
    <w:p w14:paraId="02367776">
      <w:pPr>
        <w:pStyle w:val="5"/>
        <w:rPr>
          <w:rFonts w:hint="default"/>
          <w:color w:val="auto"/>
          <w:highlight w:val="none"/>
        </w:rPr>
      </w:pPr>
      <w:r>
        <w:rPr>
          <w:rFonts w:ascii="宋体" w:hAnsi="宋体" w:cs="宋体"/>
          <w:b/>
          <w:color w:val="auto"/>
          <w:sz w:val="48"/>
          <w:highlight w:val="none"/>
        </w:rPr>
        <w:t xml:space="preserve"> </w:t>
      </w:r>
    </w:p>
    <w:p w14:paraId="38D8DC57">
      <w:pPr>
        <w:pStyle w:val="5"/>
        <w:shd w:val="clear" w:color="auto" w:fill="FFFFFF"/>
        <w:jc w:val="center"/>
        <w:rPr>
          <w:rFonts w:hint="default"/>
          <w:color w:val="auto"/>
          <w:highlight w:val="none"/>
        </w:rPr>
      </w:pPr>
      <w:r>
        <w:rPr>
          <w:rFonts w:ascii="宋体" w:hAnsi="宋体" w:cs="宋体"/>
          <w:b/>
          <w:color w:val="auto"/>
          <w:sz w:val="48"/>
          <w:highlight w:val="none"/>
        </w:rPr>
        <w:t xml:space="preserve"> </w:t>
      </w:r>
    </w:p>
    <w:p w14:paraId="52AD3E47">
      <w:pPr>
        <w:pStyle w:val="5"/>
        <w:shd w:val="clear" w:color="auto" w:fill="FFFFFF"/>
        <w:jc w:val="center"/>
        <w:rPr>
          <w:rFonts w:hint="default"/>
          <w:color w:val="auto"/>
          <w:highlight w:val="none"/>
        </w:rPr>
      </w:pPr>
      <w:r>
        <w:rPr>
          <w:rFonts w:ascii="宋体" w:hAnsi="宋体" w:cs="宋体"/>
          <w:b/>
          <w:color w:val="auto"/>
          <w:sz w:val="48"/>
          <w:highlight w:val="none"/>
        </w:rPr>
        <w:t xml:space="preserve"> </w:t>
      </w:r>
    </w:p>
    <w:p w14:paraId="43A9C9AB">
      <w:pPr>
        <w:pStyle w:val="5"/>
        <w:shd w:val="clear" w:color="auto" w:fill="FFFFFF"/>
        <w:jc w:val="center"/>
        <w:rPr>
          <w:rFonts w:hint="default"/>
          <w:color w:val="auto"/>
          <w:highlight w:val="none"/>
        </w:rPr>
      </w:pPr>
      <w:r>
        <w:rPr>
          <w:rFonts w:ascii="宋体" w:hAnsi="宋体" w:cs="宋体"/>
          <w:b/>
          <w:color w:val="auto"/>
          <w:sz w:val="48"/>
          <w:highlight w:val="none"/>
        </w:rPr>
        <w:t xml:space="preserve"> </w:t>
      </w:r>
    </w:p>
    <w:p w14:paraId="7487ABC9">
      <w:pPr>
        <w:pStyle w:val="5"/>
        <w:shd w:val="clear" w:color="auto" w:fill="FFFFFF"/>
        <w:jc w:val="center"/>
        <w:rPr>
          <w:rFonts w:hint="default"/>
          <w:color w:val="auto"/>
          <w:highlight w:val="none"/>
        </w:rPr>
      </w:pPr>
      <w:r>
        <w:rPr>
          <w:rFonts w:ascii="宋体" w:hAnsi="宋体" w:cs="宋体"/>
          <w:b/>
          <w:color w:val="auto"/>
          <w:sz w:val="48"/>
          <w:highlight w:val="none"/>
        </w:rPr>
        <w:t>广东省政府采购</w:t>
      </w:r>
    </w:p>
    <w:p w14:paraId="656763B2">
      <w:pPr>
        <w:pStyle w:val="5"/>
        <w:shd w:val="clear" w:color="auto" w:fill="FFFFFF"/>
        <w:spacing w:before="150" w:after="150"/>
        <w:jc w:val="both"/>
        <w:rPr>
          <w:rFonts w:hint="default"/>
          <w:color w:val="auto"/>
          <w:highlight w:val="none"/>
        </w:rPr>
      </w:pPr>
      <w:r>
        <w:rPr>
          <w:rFonts w:ascii="Helvetica" w:hAnsi="Helvetica" w:eastAsia="Helvetica" w:cs="Helvetica"/>
          <w:color w:val="auto"/>
          <w:sz w:val="27"/>
          <w:highlight w:val="none"/>
        </w:rPr>
        <w:t xml:space="preserve"> </w:t>
      </w:r>
    </w:p>
    <w:p w14:paraId="2FB4C5A0">
      <w:pPr>
        <w:pStyle w:val="5"/>
        <w:shd w:val="clear" w:color="auto" w:fill="FFFFFF"/>
        <w:jc w:val="center"/>
        <w:rPr>
          <w:rFonts w:hint="default"/>
          <w:color w:val="auto"/>
          <w:highlight w:val="none"/>
        </w:rPr>
      </w:pPr>
      <w:r>
        <w:rPr>
          <w:rFonts w:ascii="宋体" w:hAnsi="宋体" w:cs="宋体"/>
          <w:b/>
          <w:color w:val="auto"/>
          <w:sz w:val="48"/>
          <w:highlight w:val="none"/>
        </w:rPr>
        <w:t>合　同　书</w:t>
      </w:r>
    </w:p>
    <w:p w14:paraId="4E16A555">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left="598" w:leftChars="285" w:firstLine="1800" w:firstLineChars="900"/>
        <w:jc w:val="both"/>
        <w:textAlignment w:val="auto"/>
        <w:rPr>
          <w:color w:val="auto"/>
          <w:highlight w:val="none"/>
          <w:lang w:eastAsia="zh-CN"/>
        </w:rPr>
      </w:pPr>
      <w:r>
        <w:rPr>
          <w:color w:val="auto"/>
          <w:highlight w:val="none"/>
          <w:lang w:eastAsia="zh-CN"/>
        </w:rPr>
        <w:t>（本合同属于</w:t>
      </w:r>
      <w:r>
        <w:rPr>
          <w:rFonts w:hint="eastAsia"/>
          <w:color w:val="auto"/>
          <w:highlight w:val="none"/>
          <w:lang w:val="en-US" w:eastAsia="zh-CN"/>
        </w:rPr>
        <w:t>小微</w:t>
      </w:r>
      <w:r>
        <w:rPr>
          <w:color w:val="auto"/>
          <w:highlight w:val="none"/>
          <w:lang w:eastAsia="zh-CN"/>
        </w:rPr>
        <w:t>企业预留份额合同）</w:t>
      </w:r>
    </w:p>
    <w:p w14:paraId="3CB5134D">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cs="宋体"/>
          <w:color w:val="auto"/>
          <w:sz w:val="28"/>
          <w:szCs w:val="28"/>
          <w:highlight w:val="none"/>
        </w:rPr>
      </w:pPr>
    </w:p>
    <w:p w14:paraId="2AB2603C">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cs="宋体"/>
          <w:color w:val="auto"/>
          <w:sz w:val="28"/>
          <w:szCs w:val="28"/>
          <w:highlight w:val="none"/>
        </w:rPr>
      </w:pPr>
    </w:p>
    <w:p w14:paraId="5166047A">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eastAsia" w:ascii="宋体" w:hAnsi="宋体" w:cs="宋体"/>
          <w:color w:val="auto"/>
          <w:sz w:val="28"/>
          <w:szCs w:val="28"/>
          <w:highlight w:val="none"/>
          <w:u w:val="single"/>
          <w:lang w:val="en-US" w:eastAsia="zh-CN"/>
        </w:rPr>
      </w:pPr>
      <w:r>
        <w:rPr>
          <w:rFonts w:ascii="宋体" w:hAnsi="宋体" w:cs="宋体"/>
          <w:color w:val="auto"/>
          <w:sz w:val="28"/>
          <w:szCs w:val="28"/>
          <w:highlight w:val="none"/>
        </w:rPr>
        <w:t>采购计划编号：</w:t>
      </w:r>
      <w:r>
        <w:rPr>
          <w:rFonts w:hint="eastAsia" w:ascii="宋体" w:hAnsi="宋体" w:cs="宋体"/>
          <w:color w:val="auto"/>
          <w:sz w:val="28"/>
          <w:szCs w:val="28"/>
          <w:highlight w:val="none"/>
          <w:u w:val="single"/>
          <w:lang w:val="en-US" w:eastAsia="zh-CN"/>
        </w:rPr>
        <w:t xml:space="preserve">                             </w:t>
      </w:r>
    </w:p>
    <w:p w14:paraId="3B01C4B4">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default" w:ascii="宋体" w:hAnsi="宋体" w:cs="宋体"/>
          <w:color w:val="auto"/>
          <w:sz w:val="28"/>
          <w:szCs w:val="28"/>
          <w:highlight w:val="none"/>
          <w:u w:val="single"/>
          <w:lang w:val="en-US" w:eastAsia="zh-CN"/>
        </w:rPr>
      </w:pPr>
    </w:p>
    <w:p w14:paraId="2D5B9D2F">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eastAsia" w:ascii="宋体" w:hAnsi="宋体" w:cs="宋体"/>
          <w:color w:val="auto"/>
          <w:sz w:val="28"/>
          <w:szCs w:val="28"/>
          <w:highlight w:val="none"/>
          <w:u w:val="single"/>
          <w:lang w:val="en-US" w:eastAsia="zh-CN"/>
        </w:rPr>
      </w:pPr>
      <w:r>
        <w:rPr>
          <w:rFonts w:ascii="宋体" w:hAnsi="宋体" w:cs="宋体"/>
          <w:color w:val="auto"/>
          <w:sz w:val="28"/>
          <w:szCs w:val="28"/>
          <w:highlight w:val="none"/>
        </w:rPr>
        <w:t>项目编号：</w:t>
      </w:r>
      <w:r>
        <w:rPr>
          <w:rFonts w:hint="eastAsia" w:ascii="宋体" w:hAnsi="宋体" w:cs="宋体"/>
          <w:color w:val="auto"/>
          <w:sz w:val="28"/>
          <w:szCs w:val="28"/>
          <w:highlight w:val="none"/>
          <w:u w:val="single"/>
          <w:lang w:val="en-US" w:eastAsia="zh-CN"/>
        </w:rPr>
        <w:t xml:space="preserve">                                 </w:t>
      </w:r>
    </w:p>
    <w:p w14:paraId="7562C605">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default" w:ascii="宋体" w:hAnsi="宋体" w:cs="宋体"/>
          <w:color w:val="auto"/>
          <w:sz w:val="28"/>
          <w:szCs w:val="28"/>
          <w:highlight w:val="none"/>
          <w:u w:val="single"/>
          <w:lang w:val="en-US" w:eastAsia="zh-CN"/>
        </w:rPr>
      </w:pPr>
    </w:p>
    <w:p w14:paraId="59068904">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eastAsia" w:ascii="宋体" w:hAnsi="宋体" w:eastAsia="宋体" w:cs="宋体"/>
          <w:color w:val="auto"/>
          <w:sz w:val="28"/>
          <w:szCs w:val="28"/>
          <w:highlight w:val="none"/>
          <w:u w:val="single"/>
          <w:lang w:val="en-US" w:eastAsia="zh-CN"/>
        </w:rPr>
      </w:pPr>
      <w:r>
        <w:rPr>
          <w:rFonts w:ascii="宋体" w:hAnsi="宋体" w:cs="宋体"/>
          <w:color w:val="auto"/>
          <w:sz w:val="28"/>
          <w:szCs w:val="28"/>
          <w:highlight w:val="none"/>
        </w:rPr>
        <w:t>项目名</w:t>
      </w:r>
      <w:r>
        <w:rPr>
          <w:rFonts w:hint="eastAsia" w:ascii="宋体" w:hAnsi="宋体" w:eastAsia="宋体" w:cs="宋体"/>
          <w:color w:val="auto"/>
          <w:sz w:val="28"/>
          <w:szCs w:val="28"/>
          <w:highlight w:val="none"/>
          <w:u w:val="single"/>
          <w:lang w:val="en-US" w:eastAsia="zh-CN"/>
        </w:rPr>
        <w:t>称： 广州市殡葬服务中心骨灰盒箱（盅）遗像及灵牌位制作服务采购项目</w:t>
      </w:r>
    </w:p>
    <w:p w14:paraId="3140F7B1">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hint="eastAsia" w:ascii="宋体" w:hAnsi="宋体" w:eastAsia="宋体" w:cs="宋体"/>
          <w:color w:val="auto"/>
          <w:sz w:val="28"/>
          <w:szCs w:val="28"/>
          <w:highlight w:val="none"/>
          <w:u w:val="single"/>
          <w:lang w:val="en-US" w:eastAsia="zh-CN"/>
        </w:rPr>
      </w:pPr>
    </w:p>
    <w:p w14:paraId="5A1E91AC">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eastAsia="宋体" w:cs="宋体"/>
          <w:color w:val="auto"/>
          <w:sz w:val="28"/>
          <w:szCs w:val="28"/>
          <w:highlight w:val="none"/>
        </w:rPr>
      </w:pPr>
      <w:r>
        <w:rPr>
          <w:rFonts w:ascii="宋体" w:hAnsi="宋体" w:eastAsia="宋体" w:cs="宋体"/>
          <w:color w:val="auto"/>
          <w:sz w:val="28"/>
          <w:szCs w:val="28"/>
          <w:highlight w:val="none"/>
        </w:rPr>
        <w:t>甲方：</w:t>
      </w:r>
      <w:r>
        <w:rPr>
          <w:rFonts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广州市殡葬服务中心                </w:t>
      </w:r>
      <w:r>
        <w:rPr>
          <w:rFonts w:ascii="宋体" w:hAnsi="宋体" w:eastAsia="宋体" w:cs="宋体"/>
          <w:color w:val="auto"/>
          <w:sz w:val="28"/>
          <w:szCs w:val="28"/>
          <w:highlight w:val="none"/>
        </w:rPr>
        <w:t xml:space="preserve">   </w:t>
      </w:r>
    </w:p>
    <w:p w14:paraId="1843C0FC">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eastAsia="宋体" w:cs="宋体"/>
          <w:color w:val="auto"/>
          <w:sz w:val="28"/>
          <w:szCs w:val="28"/>
          <w:highlight w:val="none"/>
        </w:rPr>
      </w:pPr>
    </w:p>
    <w:p w14:paraId="306CBBC6">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cs="宋体"/>
          <w:b/>
          <w:color w:val="auto"/>
          <w:sz w:val="28"/>
          <w:szCs w:val="28"/>
          <w:highlight w:val="none"/>
          <w:u w:val="single" w:color="FFFFFF"/>
        </w:rPr>
      </w:pPr>
      <w:r>
        <w:rPr>
          <w:rFonts w:ascii="宋体" w:hAnsi="宋体" w:eastAsia="宋体" w:cs="宋体"/>
          <w:color w:val="auto"/>
          <w:sz w:val="28"/>
          <w:szCs w:val="28"/>
          <w:highlight w:val="none"/>
        </w:rPr>
        <w:t>乙方：</w:t>
      </w:r>
      <w:r>
        <w:rPr>
          <w:rFonts w:hint="eastAsia" w:ascii="宋体" w:hAnsi="宋体" w:eastAsia="宋体" w:cs="宋体"/>
          <w:color w:val="auto"/>
          <w:sz w:val="28"/>
          <w:szCs w:val="28"/>
          <w:highlight w:val="none"/>
          <w:u w:val="single"/>
          <w:lang w:val="en-US" w:eastAsia="zh-CN"/>
        </w:rPr>
        <w:t xml:space="preserve">                                     </w:t>
      </w:r>
      <w:r>
        <w:rPr>
          <w:rFonts w:ascii="宋体" w:hAnsi="宋体" w:cs="宋体"/>
          <w:b/>
          <w:color w:val="auto"/>
          <w:sz w:val="28"/>
          <w:szCs w:val="28"/>
          <w:highlight w:val="none"/>
          <w:u w:val="single" w:color="FFFFFF"/>
        </w:rPr>
        <w:t>　</w:t>
      </w:r>
    </w:p>
    <w:p w14:paraId="52EB7BF6">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jc w:val="both"/>
        <w:textAlignment w:val="auto"/>
        <w:rPr>
          <w:rFonts w:ascii="宋体" w:hAnsi="宋体" w:cs="宋体"/>
          <w:b/>
          <w:color w:val="auto"/>
          <w:sz w:val="27"/>
          <w:highlight w:val="none"/>
          <w:u w:val="single" w:color="FFFFFF"/>
        </w:rPr>
      </w:pPr>
      <w:r>
        <w:rPr>
          <w:rFonts w:ascii="宋体" w:hAnsi="宋体" w:cs="宋体"/>
          <w:b/>
          <w:color w:val="auto"/>
          <w:sz w:val="27"/>
          <w:highlight w:val="none"/>
          <w:u w:val="single" w:color="FFFFFF"/>
        </w:rPr>
        <w:t xml:space="preserve">　   </w:t>
      </w:r>
    </w:p>
    <w:p w14:paraId="5B3E50DA">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jc w:val="both"/>
        <w:textAlignment w:val="auto"/>
        <w:rPr>
          <w:rFonts w:ascii="宋体" w:hAnsi="宋体" w:cs="宋体"/>
          <w:b/>
          <w:color w:val="auto"/>
          <w:sz w:val="27"/>
          <w:highlight w:val="none"/>
          <w:u w:val="single" w:color="FFFFFF"/>
        </w:rPr>
      </w:pPr>
    </w:p>
    <w:p w14:paraId="34C1939D">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rFonts w:ascii="宋体" w:hAnsi="宋体" w:cs="宋体"/>
          <w:color w:val="auto"/>
          <w:sz w:val="30"/>
          <w:szCs w:val="30"/>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根据</w:t>
      </w:r>
      <w:r>
        <w:rPr>
          <w:rFonts w:hint="eastAsia" w:ascii="宋体" w:hAnsi="宋体" w:eastAsia="宋体" w:cs="宋体"/>
          <w:color w:val="auto"/>
          <w:sz w:val="24"/>
          <w:szCs w:val="18"/>
          <w:highlight w:val="none"/>
          <w:u w:val="single"/>
          <w:lang w:val="en-US" w:eastAsia="zh-CN"/>
        </w:rPr>
        <w:t>广州市殡葬服务中心骨灰盒箱（盅）遗像及灵牌位制作服务采购项目</w:t>
      </w:r>
      <w:r>
        <w:rPr>
          <w:rFonts w:hint="eastAsia" w:ascii="宋体" w:hAnsi="宋体" w:eastAsia="宋体" w:cs="宋体"/>
          <w:color w:val="auto"/>
          <w:sz w:val="24"/>
          <w:szCs w:val="24"/>
          <w:highlight w:val="none"/>
        </w:rPr>
        <w:t>的采购结果，按照《中华人民共和国政府采购法》《中华人民共和国民法典》的规定，经双方协商，本着平等互利和诚实信用的原则，一致同意遵守本合同如下。</w:t>
      </w:r>
    </w:p>
    <w:p w14:paraId="727E7F42">
      <w:pPr>
        <w:snapToGrid w:val="0"/>
        <w:spacing w:line="560" w:lineRule="exact"/>
        <w:ind w:firstLine="480" w:firstLineChars="200"/>
        <w:rPr>
          <w:rFonts w:hint="eastAsia" w:ascii="黑体" w:hAnsi="黑体" w:eastAsia="黑体" w:cs="黑体"/>
          <w:b w:val="0"/>
          <w:bCs w:val="0"/>
          <w:color w:val="auto"/>
          <w:sz w:val="24"/>
          <w:highlight w:val="none"/>
        </w:rPr>
      </w:pPr>
      <w:r>
        <w:rPr>
          <w:rFonts w:hint="eastAsia" w:ascii="黑体" w:hAnsi="黑体" w:eastAsia="黑体" w:cs="黑体"/>
          <w:b w:val="0"/>
          <w:bCs w:val="0"/>
          <w:color w:val="auto"/>
          <w:sz w:val="24"/>
          <w:highlight w:val="none"/>
          <w:lang w:val="en-US" w:eastAsia="zh-CN"/>
        </w:rPr>
        <w:t>一、合同金额及</w:t>
      </w:r>
      <w:r>
        <w:rPr>
          <w:rFonts w:hint="eastAsia" w:ascii="黑体" w:hAnsi="黑体" w:eastAsia="黑体" w:cs="黑体"/>
          <w:b w:val="0"/>
          <w:bCs w:val="0"/>
          <w:color w:val="auto"/>
          <w:sz w:val="24"/>
          <w:highlight w:val="none"/>
        </w:rPr>
        <w:t>服务期限</w:t>
      </w:r>
    </w:p>
    <w:p w14:paraId="274D6E56">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合同期1年，服务期为2026年10月</w:t>
      </w:r>
      <w:r>
        <w:rPr>
          <w:rFonts w:hint="eastAsia" w:ascii="宋体" w:hAnsi="宋体" w:eastAsia="宋体" w:cs="宋体"/>
          <w:color w:val="auto"/>
          <w:sz w:val="24"/>
          <w:szCs w:val="24"/>
          <w:highlight w:val="none"/>
          <w:u w:val="single"/>
          <w:lang w:val="en-US" w:eastAsia="zh-CN"/>
        </w:rPr>
        <w:t>1日</w:t>
      </w:r>
      <w:r>
        <w:rPr>
          <w:rFonts w:hint="eastAsia" w:ascii="宋体" w:hAnsi="宋体" w:eastAsia="宋体" w:cs="宋体"/>
          <w:color w:val="auto"/>
          <w:sz w:val="24"/>
          <w:szCs w:val="24"/>
          <w:highlight w:val="none"/>
          <w:u w:val="single"/>
        </w:rPr>
        <w:t>至2027年9月</w:t>
      </w:r>
      <w:r>
        <w:rPr>
          <w:rFonts w:hint="eastAsia" w:ascii="宋体" w:hAnsi="宋体" w:eastAsia="宋体" w:cs="宋体"/>
          <w:color w:val="auto"/>
          <w:sz w:val="24"/>
          <w:szCs w:val="24"/>
          <w:highlight w:val="none"/>
          <w:u w:val="single"/>
          <w:lang w:val="en-US" w:eastAsia="zh-CN"/>
        </w:rPr>
        <w:t>30日</w:t>
      </w:r>
      <w:r>
        <w:rPr>
          <w:rFonts w:hint="eastAsia" w:ascii="宋体" w:hAnsi="宋体" w:eastAsia="宋体" w:cs="宋体"/>
          <w:color w:val="auto"/>
          <w:sz w:val="24"/>
          <w:szCs w:val="24"/>
          <w:highlight w:val="none"/>
          <w:u w:val="single"/>
        </w:rPr>
        <w:t>，合同到期或供货金额满165万元</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即合同预算金额）</w:t>
      </w:r>
      <w:r>
        <w:rPr>
          <w:rFonts w:hint="eastAsia" w:ascii="宋体" w:hAnsi="宋体" w:eastAsia="宋体" w:cs="宋体"/>
          <w:color w:val="auto"/>
          <w:sz w:val="24"/>
          <w:szCs w:val="24"/>
          <w:highlight w:val="none"/>
          <w:u w:val="single"/>
        </w:rPr>
        <w:t>，则</w:t>
      </w:r>
      <w:r>
        <w:rPr>
          <w:rFonts w:hint="eastAsia" w:ascii="宋体" w:hAnsi="宋体" w:cs="宋体"/>
          <w:color w:val="auto"/>
          <w:sz w:val="24"/>
          <w:szCs w:val="24"/>
          <w:highlight w:val="none"/>
          <w:u w:val="single"/>
          <w:lang w:val="en-US" w:eastAsia="zh-CN"/>
        </w:rPr>
        <w:t>本</w:t>
      </w:r>
      <w:r>
        <w:rPr>
          <w:rFonts w:hint="eastAsia" w:ascii="宋体" w:hAnsi="宋体" w:eastAsia="宋体" w:cs="宋体"/>
          <w:color w:val="auto"/>
          <w:sz w:val="24"/>
          <w:szCs w:val="24"/>
          <w:highlight w:val="none"/>
          <w:u w:val="single"/>
        </w:rPr>
        <w:t>合同终止</w:t>
      </w:r>
      <w:r>
        <w:rPr>
          <w:rFonts w:hint="eastAsia" w:ascii="宋体" w:hAnsi="宋体" w:cs="宋体"/>
          <w:color w:val="auto"/>
          <w:sz w:val="24"/>
          <w:szCs w:val="24"/>
          <w:highlight w:val="none"/>
          <w:u w:val="single"/>
          <w:lang w:eastAsia="zh-CN"/>
        </w:rPr>
        <w:t>，</w:t>
      </w:r>
      <w:r>
        <w:rPr>
          <w:rFonts w:hint="eastAsia"/>
          <w:color w:val="auto"/>
          <w:spacing w:val="0"/>
          <w:sz w:val="24"/>
          <w:szCs w:val="24"/>
          <w:highlight w:val="none"/>
          <w:lang w:eastAsia="zh-CN"/>
        </w:rPr>
        <w:t>以时间在先者为准</w:t>
      </w:r>
      <w:r>
        <w:rPr>
          <w:rFonts w:hint="eastAsia" w:ascii="宋体" w:hAnsi="宋体" w:eastAsia="宋体" w:cs="宋体"/>
          <w:color w:val="auto"/>
          <w:sz w:val="24"/>
          <w:szCs w:val="24"/>
          <w:highlight w:val="none"/>
          <w:u w:val="single"/>
          <w:lang w:eastAsia="zh-CN"/>
        </w:rPr>
        <w:t>。</w:t>
      </w:r>
    </w:p>
    <w:p w14:paraId="7AEEEE4F">
      <w:pPr>
        <w:snapToGrid w:val="0"/>
        <w:spacing w:line="560" w:lineRule="exact"/>
        <w:ind w:firstLine="480" w:firstLineChars="2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二、服务范围及采购内容</w:t>
      </w:r>
    </w:p>
    <w:p w14:paraId="632338CE">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（一）服务地点：银河园、铭恩园、新塘公墓、观音山公墓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具体以甲方指定的地点为准。</w:t>
      </w:r>
    </w:p>
    <w:p w14:paraId="7FE43D3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（二）服务内容</w:t>
      </w:r>
      <w:r>
        <w:rPr>
          <w:rFonts w:hint="eastAsia" w:ascii="宋体" w:hAnsi="宋体" w:eastAsia="宋体" w:cs="宋体"/>
          <w:color w:val="auto"/>
          <w:sz w:val="24"/>
          <w:szCs w:val="24"/>
          <w:highlight w:val="none"/>
          <w:lang w:val="en-US" w:eastAsia="zh-CN"/>
        </w:rPr>
        <w:t>及产品规格：</w:t>
      </w:r>
    </w:p>
    <w:p w14:paraId="0C8F562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乙方为甲方提供骨灰盒箱（盅）遗像及灵牌位制作服务，具体规格及要求如下：</w:t>
      </w:r>
    </w:p>
    <w:tbl>
      <w:tblPr>
        <w:tblStyle w:val="3"/>
        <w:tblpPr w:leftFromText="180" w:rightFromText="180" w:vertAnchor="text" w:horzAnchor="page" w:tblpX="1787" w:tblpY="347"/>
        <w:tblOverlap w:val="never"/>
        <w:tblW w:w="835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530"/>
        <w:gridCol w:w="638"/>
        <w:gridCol w:w="1247"/>
        <w:gridCol w:w="4261"/>
      </w:tblGrid>
      <w:tr w14:paraId="70F4E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2" w:hRule="atLeast"/>
        </w:trPr>
        <w:tc>
          <w:tcPr>
            <w:tcW w:w="675" w:type="dxa"/>
            <w:noWrap w:val="0"/>
            <w:vAlign w:val="center"/>
          </w:tcPr>
          <w:p w14:paraId="29DB716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30" w:type="dxa"/>
            <w:noWrap w:val="0"/>
            <w:vAlign w:val="center"/>
          </w:tcPr>
          <w:p w14:paraId="6964E4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产品类别</w:t>
            </w:r>
          </w:p>
        </w:tc>
        <w:tc>
          <w:tcPr>
            <w:tcW w:w="638" w:type="dxa"/>
            <w:noWrap w:val="0"/>
            <w:vAlign w:val="center"/>
          </w:tcPr>
          <w:p w14:paraId="12F5A62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1247" w:type="dxa"/>
            <w:noWrap w:val="0"/>
            <w:vAlign w:val="center"/>
          </w:tcPr>
          <w:p w14:paraId="4AFCFCF6">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单价</w:t>
            </w:r>
          </w:p>
        </w:tc>
        <w:tc>
          <w:tcPr>
            <w:tcW w:w="4261" w:type="dxa"/>
            <w:noWrap w:val="0"/>
            <w:vAlign w:val="center"/>
          </w:tcPr>
          <w:p w14:paraId="401E38F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规格（均为外部尺寸）</w:t>
            </w:r>
          </w:p>
          <w:p w14:paraId="3B3B8B3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椭圆长、短径（cm）</w:t>
            </w:r>
          </w:p>
          <w:p w14:paraId="629F961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宽、厚、高（cm）</w:t>
            </w:r>
          </w:p>
        </w:tc>
      </w:tr>
      <w:tr w14:paraId="6AFCD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3" w:hRule="atLeast"/>
        </w:trPr>
        <w:tc>
          <w:tcPr>
            <w:tcW w:w="675" w:type="dxa"/>
            <w:vMerge w:val="restart"/>
            <w:noWrap w:val="0"/>
            <w:vAlign w:val="center"/>
          </w:tcPr>
          <w:p w14:paraId="1398D16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30" w:type="dxa"/>
            <w:noWrap w:val="0"/>
            <w:vAlign w:val="center"/>
          </w:tcPr>
          <w:p w14:paraId="0D9382A6">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彩色金属相片</w:t>
            </w:r>
          </w:p>
        </w:tc>
        <w:tc>
          <w:tcPr>
            <w:tcW w:w="638" w:type="dxa"/>
            <w:noWrap w:val="0"/>
            <w:vAlign w:val="center"/>
          </w:tcPr>
          <w:p w14:paraId="553204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007D2BDF">
            <w:pPr>
              <w:spacing w:line="360" w:lineRule="auto"/>
              <w:jc w:val="center"/>
              <w:rPr>
                <w:rFonts w:hint="eastAsia" w:ascii="宋体" w:hAnsi="宋体" w:cs="宋体"/>
                <w:color w:val="auto"/>
                <w:szCs w:val="21"/>
                <w:highlight w:val="none"/>
              </w:rPr>
            </w:pPr>
          </w:p>
        </w:tc>
        <w:tc>
          <w:tcPr>
            <w:tcW w:w="4261" w:type="dxa"/>
            <w:noWrap w:val="0"/>
            <w:vAlign w:val="center"/>
          </w:tcPr>
          <w:p w14:paraId="5C4A7DFC">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长径</w:t>
            </w:r>
            <w:r>
              <w:rPr>
                <w:rFonts w:ascii="宋体" w:hAnsi="宋体" w:cs="宋体"/>
                <w:bCs/>
                <w:color w:val="auto"/>
                <w:kern w:val="0"/>
                <w:szCs w:val="21"/>
                <w:highlight w:val="none"/>
              </w:rPr>
              <w:t>×</w:t>
            </w:r>
            <w:r>
              <w:rPr>
                <w:rFonts w:hint="eastAsia" w:ascii="宋体" w:hAnsi="宋体"/>
                <w:bCs/>
                <w:color w:val="auto"/>
                <w:szCs w:val="21"/>
                <w:highlight w:val="none"/>
              </w:rPr>
              <w:t>短径=5</w:t>
            </w:r>
            <w:r>
              <w:rPr>
                <w:rFonts w:ascii="宋体" w:hAnsi="宋体" w:cs="宋体"/>
                <w:bCs/>
                <w:color w:val="auto"/>
                <w:kern w:val="0"/>
                <w:szCs w:val="21"/>
                <w:highlight w:val="none"/>
              </w:rPr>
              <w:t>×</w:t>
            </w:r>
            <w:r>
              <w:rPr>
                <w:rFonts w:hint="eastAsia" w:ascii="宋体" w:hAnsi="宋体"/>
                <w:bCs/>
                <w:color w:val="auto"/>
                <w:szCs w:val="21"/>
                <w:highlight w:val="none"/>
              </w:rPr>
              <w:t>4</w:t>
            </w:r>
          </w:p>
          <w:p w14:paraId="052447F2">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厚度</w:t>
            </w:r>
            <w:r>
              <w:rPr>
                <w:rFonts w:hint="eastAsia" w:ascii="宋体" w:hAnsi="宋体" w:cs="宋体"/>
                <w:bCs/>
                <w:color w:val="auto"/>
                <w:kern w:val="0"/>
                <w:szCs w:val="21"/>
                <w:highlight w:val="none"/>
              </w:rPr>
              <w:t>≤</w:t>
            </w:r>
            <w:r>
              <w:rPr>
                <w:rFonts w:hint="eastAsia" w:ascii="宋体" w:hAnsi="宋体"/>
                <w:bCs/>
                <w:color w:val="auto"/>
                <w:szCs w:val="21"/>
                <w:highlight w:val="none"/>
              </w:rPr>
              <w:t>0.5mm</w:t>
            </w:r>
          </w:p>
          <w:p w14:paraId="334AF775">
            <w:pPr>
              <w:spacing w:line="360" w:lineRule="auto"/>
              <w:jc w:val="center"/>
              <w:rPr>
                <w:rFonts w:hint="eastAsia" w:ascii="宋体" w:hAnsi="宋体" w:cs="宋体"/>
                <w:color w:val="auto"/>
                <w:szCs w:val="21"/>
                <w:highlight w:val="none"/>
              </w:rPr>
            </w:pPr>
            <w:r>
              <w:rPr>
                <w:rFonts w:hint="eastAsia" w:ascii="宋体" w:hAnsi="宋体"/>
                <w:bCs/>
                <w:color w:val="auto"/>
                <w:szCs w:val="21"/>
                <w:highlight w:val="none"/>
              </w:rPr>
              <w:t>铜制金属材质</w:t>
            </w:r>
          </w:p>
        </w:tc>
      </w:tr>
      <w:tr w14:paraId="316B8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continue"/>
            <w:noWrap w:val="0"/>
            <w:vAlign w:val="center"/>
          </w:tcPr>
          <w:p w14:paraId="5E713E90">
            <w:pPr>
              <w:spacing w:line="360" w:lineRule="auto"/>
              <w:jc w:val="center"/>
              <w:rPr>
                <w:rFonts w:hint="eastAsia" w:ascii="宋体" w:hAnsi="宋体" w:cs="宋体"/>
                <w:color w:val="auto"/>
                <w:szCs w:val="21"/>
                <w:highlight w:val="none"/>
              </w:rPr>
            </w:pPr>
          </w:p>
        </w:tc>
        <w:tc>
          <w:tcPr>
            <w:tcW w:w="1530" w:type="dxa"/>
            <w:noWrap w:val="0"/>
            <w:vAlign w:val="center"/>
          </w:tcPr>
          <w:p w14:paraId="3F3BA7B9">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黑白金属相片</w:t>
            </w:r>
          </w:p>
        </w:tc>
        <w:tc>
          <w:tcPr>
            <w:tcW w:w="638" w:type="dxa"/>
            <w:noWrap w:val="0"/>
            <w:vAlign w:val="center"/>
          </w:tcPr>
          <w:p w14:paraId="494E91E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69B33C58">
            <w:pPr>
              <w:spacing w:line="360" w:lineRule="auto"/>
              <w:jc w:val="center"/>
              <w:rPr>
                <w:rFonts w:hint="eastAsia" w:ascii="宋体" w:hAnsi="宋体" w:cs="宋体"/>
                <w:color w:val="auto"/>
                <w:szCs w:val="21"/>
                <w:highlight w:val="none"/>
              </w:rPr>
            </w:pPr>
          </w:p>
        </w:tc>
        <w:tc>
          <w:tcPr>
            <w:tcW w:w="4261" w:type="dxa"/>
            <w:noWrap w:val="0"/>
            <w:vAlign w:val="center"/>
          </w:tcPr>
          <w:p w14:paraId="5496641B">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长径</w:t>
            </w:r>
            <w:r>
              <w:rPr>
                <w:rFonts w:ascii="宋体" w:hAnsi="宋体" w:cs="宋体"/>
                <w:bCs/>
                <w:color w:val="auto"/>
                <w:kern w:val="0"/>
                <w:szCs w:val="21"/>
                <w:highlight w:val="none"/>
              </w:rPr>
              <w:t>×</w:t>
            </w:r>
            <w:r>
              <w:rPr>
                <w:rFonts w:hint="eastAsia" w:ascii="宋体" w:hAnsi="宋体"/>
                <w:bCs/>
                <w:color w:val="auto"/>
                <w:szCs w:val="21"/>
                <w:highlight w:val="none"/>
              </w:rPr>
              <w:t>短径=5</w:t>
            </w:r>
            <w:r>
              <w:rPr>
                <w:rFonts w:ascii="宋体" w:hAnsi="宋体" w:cs="宋体"/>
                <w:bCs/>
                <w:color w:val="auto"/>
                <w:kern w:val="0"/>
                <w:szCs w:val="21"/>
                <w:highlight w:val="none"/>
              </w:rPr>
              <w:t>×</w:t>
            </w:r>
            <w:r>
              <w:rPr>
                <w:rFonts w:hint="eastAsia" w:ascii="宋体" w:hAnsi="宋体"/>
                <w:bCs/>
                <w:color w:val="auto"/>
                <w:szCs w:val="21"/>
                <w:highlight w:val="none"/>
              </w:rPr>
              <w:t>4</w:t>
            </w:r>
          </w:p>
          <w:p w14:paraId="51451EA2">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厚度</w:t>
            </w:r>
            <w:r>
              <w:rPr>
                <w:rFonts w:hint="eastAsia" w:ascii="宋体" w:hAnsi="宋体" w:cs="宋体"/>
                <w:bCs/>
                <w:color w:val="auto"/>
                <w:kern w:val="0"/>
                <w:szCs w:val="21"/>
                <w:highlight w:val="none"/>
              </w:rPr>
              <w:t>≤</w:t>
            </w:r>
            <w:r>
              <w:rPr>
                <w:rFonts w:hint="eastAsia" w:ascii="宋体" w:hAnsi="宋体"/>
                <w:bCs/>
                <w:color w:val="auto"/>
                <w:szCs w:val="21"/>
                <w:highlight w:val="none"/>
              </w:rPr>
              <w:t>0.5mm</w:t>
            </w:r>
          </w:p>
          <w:p w14:paraId="12783528">
            <w:pPr>
              <w:spacing w:line="360" w:lineRule="auto"/>
              <w:jc w:val="center"/>
              <w:rPr>
                <w:rFonts w:hint="eastAsia" w:ascii="宋体" w:hAnsi="宋体" w:cs="宋体"/>
                <w:color w:val="auto"/>
                <w:szCs w:val="21"/>
                <w:highlight w:val="none"/>
              </w:rPr>
            </w:pPr>
            <w:r>
              <w:rPr>
                <w:rFonts w:hint="eastAsia" w:ascii="宋体" w:hAnsi="宋体"/>
                <w:bCs/>
                <w:color w:val="auto"/>
                <w:szCs w:val="21"/>
                <w:highlight w:val="none"/>
              </w:rPr>
              <w:t>铜制金属材质</w:t>
            </w:r>
          </w:p>
        </w:tc>
      </w:tr>
      <w:tr w14:paraId="22E11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restart"/>
            <w:noWrap w:val="0"/>
            <w:vAlign w:val="center"/>
          </w:tcPr>
          <w:p w14:paraId="5409E83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30" w:type="dxa"/>
            <w:noWrap w:val="0"/>
            <w:vAlign w:val="center"/>
          </w:tcPr>
          <w:p w14:paraId="425C0B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灵牌位一类</w:t>
            </w:r>
          </w:p>
        </w:tc>
        <w:tc>
          <w:tcPr>
            <w:tcW w:w="638" w:type="dxa"/>
            <w:noWrap w:val="0"/>
            <w:vAlign w:val="center"/>
          </w:tcPr>
          <w:p w14:paraId="30411C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4DCD830E">
            <w:pPr>
              <w:spacing w:line="360" w:lineRule="auto"/>
              <w:jc w:val="center"/>
              <w:rPr>
                <w:rFonts w:hint="eastAsia" w:ascii="宋体" w:hAnsi="宋体" w:cs="宋体"/>
                <w:color w:val="auto"/>
                <w:szCs w:val="21"/>
                <w:highlight w:val="none"/>
              </w:rPr>
            </w:pPr>
          </w:p>
        </w:tc>
        <w:tc>
          <w:tcPr>
            <w:tcW w:w="4261" w:type="dxa"/>
            <w:vMerge w:val="restart"/>
            <w:noWrap w:val="0"/>
            <w:vAlign w:val="center"/>
          </w:tcPr>
          <w:p w14:paraId="58FC0DEB">
            <w:pPr>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一二类牌位高度不超过20cm</w:t>
            </w:r>
          </w:p>
          <w:p w14:paraId="272ADB24">
            <w:pPr>
              <w:jc w:val="left"/>
              <w:rPr>
                <w:rFonts w:hint="eastAsia" w:ascii="宋体" w:hAnsi="宋体" w:cs="宋体"/>
                <w:color w:val="auto"/>
                <w:szCs w:val="21"/>
                <w:highlight w:val="none"/>
              </w:rPr>
            </w:pPr>
            <w:r>
              <w:rPr>
                <w:rFonts w:hint="eastAsia" w:ascii="宋体" w:hAnsi="宋体" w:cs="宋体"/>
                <w:bCs/>
                <w:color w:val="auto"/>
                <w:kern w:val="0"/>
                <w:szCs w:val="21"/>
                <w:highlight w:val="none"/>
              </w:rPr>
              <w:t>三至</w:t>
            </w:r>
            <w:r>
              <w:rPr>
                <w:rFonts w:hint="eastAsia" w:ascii="宋体" w:hAnsi="宋体" w:cs="宋体"/>
                <w:bCs/>
                <w:color w:val="auto"/>
                <w:kern w:val="0"/>
                <w:szCs w:val="21"/>
                <w:highlight w:val="none"/>
                <w:lang w:val="en-US" w:eastAsia="zh-CN"/>
              </w:rPr>
              <w:t>六</w:t>
            </w:r>
            <w:r>
              <w:rPr>
                <w:rFonts w:hint="eastAsia" w:ascii="宋体" w:hAnsi="宋体" w:cs="宋体"/>
                <w:bCs/>
                <w:color w:val="auto"/>
                <w:kern w:val="0"/>
                <w:szCs w:val="21"/>
                <w:highlight w:val="none"/>
              </w:rPr>
              <w:t>类牌位：</w:t>
            </w:r>
            <w:r>
              <w:rPr>
                <w:rFonts w:hint="eastAsia" w:ascii="宋体" w:hAnsi="宋体" w:cs="宋体"/>
                <w:color w:val="auto"/>
                <w:szCs w:val="21"/>
                <w:highlight w:val="none"/>
              </w:rPr>
              <w:t>宽×厚×高≤15×6×26</w:t>
            </w:r>
            <w:r>
              <w:rPr>
                <w:rFonts w:hint="eastAsia" w:ascii="宋体" w:hAnsi="宋体" w:cs="宋体"/>
                <w:bCs/>
                <w:color w:val="auto"/>
                <w:kern w:val="0"/>
                <w:szCs w:val="21"/>
                <w:highlight w:val="none"/>
              </w:rPr>
              <w:t>cm</w:t>
            </w:r>
          </w:p>
          <w:p w14:paraId="4051CF4E">
            <w:pPr>
              <w:jc w:val="left"/>
              <w:rPr>
                <w:rFonts w:hint="eastAsia" w:ascii="宋体" w:hAnsi="宋体" w:cs="宋体"/>
                <w:color w:val="auto"/>
                <w:szCs w:val="21"/>
                <w:highlight w:val="none"/>
              </w:rPr>
            </w:pPr>
            <w:r>
              <w:rPr>
                <w:rFonts w:hint="eastAsia" w:ascii="宋体" w:hAnsi="宋体" w:cs="宋体"/>
                <w:color w:val="auto"/>
                <w:szCs w:val="21"/>
                <w:highlight w:val="none"/>
              </w:rPr>
              <w:t>单件重量：不少于0.5Kg</w:t>
            </w:r>
          </w:p>
          <w:p w14:paraId="3358C1BA">
            <w:pPr>
              <w:jc w:val="left"/>
              <w:rPr>
                <w:rFonts w:hint="eastAsia" w:ascii="宋体" w:hAnsi="宋体" w:cs="宋体"/>
                <w:bCs/>
                <w:color w:val="auto"/>
                <w:kern w:val="0"/>
                <w:szCs w:val="21"/>
                <w:highlight w:val="none"/>
              </w:rPr>
            </w:pPr>
            <w:r>
              <w:rPr>
                <w:rFonts w:hint="eastAsia" w:ascii="宋体" w:hAnsi="宋体" w:cs="宋体"/>
                <w:color w:val="auto"/>
                <w:szCs w:val="21"/>
                <w:highlight w:val="none"/>
              </w:rPr>
              <w:t>木制牌</w:t>
            </w:r>
            <w:bookmarkStart w:id="0" w:name="_GoBack"/>
            <w:bookmarkEnd w:id="0"/>
            <w:r>
              <w:rPr>
                <w:rFonts w:hint="eastAsia" w:ascii="宋体" w:hAnsi="宋体" w:cs="宋体"/>
                <w:color w:val="auto"/>
                <w:szCs w:val="21"/>
                <w:highlight w:val="none"/>
              </w:rPr>
              <w:t>位主要部位须榫卯结构</w:t>
            </w:r>
          </w:p>
          <w:p w14:paraId="644BAB3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灵牌位材质类别需包含汉白玉、大理石、</w:t>
            </w:r>
            <w:r>
              <w:rPr>
                <w:rFonts w:hint="eastAsia" w:ascii="宋体" w:hAnsi="宋体" w:eastAsia="宋体" w:cs="宋体"/>
                <w:color w:val="auto"/>
                <w:szCs w:val="21"/>
                <w:highlight w:val="none"/>
                <w:lang w:val="en-US" w:eastAsia="zh-CN"/>
              </w:rPr>
              <w:t>透明亚克力</w:t>
            </w:r>
            <w:r>
              <w:rPr>
                <w:rFonts w:hint="eastAsia" w:ascii="宋体" w:hAnsi="宋体" w:eastAsia="宋体" w:cs="宋体"/>
                <w:color w:val="auto"/>
                <w:szCs w:val="21"/>
                <w:highlight w:val="none"/>
              </w:rPr>
              <w:t>、木制（</w:t>
            </w:r>
            <w:r>
              <w:rPr>
                <w:rFonts w:hint="eastAsia" w:ascii="宋体" w:hAnsi="宋体" w:eastAsia="宋体" w:cs="宋体"/>
                <w:color w:val="auto"/>
                <w:szCs w:val="21"/>
                <w:highlight w:val="none"/>
                <w:lang w:eastAsia="zh-CN"/>
              </w:rPr>
              <w:t>檀木</w:t>
            </w:r>
            <w:r>
              <w:rPr>
                <w:rFonts w:hint="eastAsia" w:ascii="宋体" w:hAnsi="宋体" w:eastAsia="宋体" w:cs="宋体"/>
                <w:color w:val="auto"/>
                <w:szCs w:val="21"/>
                <w:highlight w:val="none"/>
              </w:rPr>
              <w:t>、樟</w:t>
            </w:r>
            <w:r>
              <w:rPr>
                <w:rFonts w:hint="eastAsia" w:ascii="宋体" w:hAnsi="宋体" w:eastAsia="宋体" w:cs="宋体"/>
                <w:color w:val="auto"/>
                <w:szCs w:val="21"/>
                <w:highlight w:val="none"/>
                <w:lang w:eastAsia="zh-CN"/>
              </w:rPr>
              <w:t>木</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菠萝格</w:t>
            </w:r>
            <w:r>
              <w:rPr>
                <w:rFonts w:hint="eastAsia" w:ascii="宋体" w:hAnsi="宋体" w:eastAsia="宋体" w:cs="宋体"/>
                <w:color w:val="auto"/>
                <w:szCs w:val="21"/>
                <w:highlight w:val="none"/>
              </w:rPr>
              <w:t>）材质。</w:t>
            </w:r>
          </w:p>
        </w:tc>
      </w:tr>
      <w:tr w14:paraId="452BE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4DA6426F">
            <w:pPr>
              <w:spacing w:line="360" w:lineRule="auto"/>
              <w:jc w:val="center"/>
              <w:rPr>
                <w:rFonts w:hint="eastAsia" w:ascii="宋体" w:hAnsi="宋体" w:cs="宋体"/>
                <w:color w:val="auto"/>
                <w:szCs w:val="21"/>
                <w:highlight w:val="none"/>
              </w:rPr>
            </w:pPr>
          </w:p>
        </w:tc>
        <w:tc>
          <w:tcPr>
            <w:tcW w:w="1530" w:type="dxa"/>
            <w:noWrap w:val="0"/>
            <w:vAlign w:val="center"/>
          </w:tcPr>
          <w:p w14:paraId="39615C5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灵牌位二类</w:t>
            </w:r>
          </w:p>
        </w:tc>
        <w:tc>
          <w:tcPr>
            <w:tcW w:w="638" w:type="dxa"/>
            <w:noWrap w:val="0"/>
            <w:vAlign w:val="center"/>
          </w:tcPr>
          <w:p w14:paraId="3B37E8F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2C62A97B">
            <w:pPr>
              <w:spacing w:line="360" w:lineRule="auto"/>
              <w:jc w:val="center"/>
              <w:rPr>
                <w:rFonts w:hint="eastAsia" w:ascii="宋体" w:hAnsi="宋体" w:cs="宋体"/>
                <w:color w:val="auto"/>
                <w:szCs w:val="21"/>
                <w:highlight w:val="none"/>
              </w:rPr>
            </w:pPr>
          </w:p>
        </w:tc>
        <w:tc>
          <w:tcPr>
            <w:tcW w:w="4261" w:type="dxa"/>
            <w:vMerge w:val="continue"/>
            <w:noWrap w:val="0"/>
            <w:vAlign w:val="center"/>
          </w:tcPr>
          <w:p w14:paraId="00BFBFED">
            <w:pPr>
              <w:spacing w:line="360" w:lineRule="auto"/>
              <w:jc w:val="center"/>
              <w:rPr>
                <w:rFonts w:hint="eastAsia" w:ascii="宋体" w:hAnsi="宋体" w:cs="宋体"/>
                <w:color w:val="auto"/>
                <w:szCs w:val="21"/>
                <w:highlight w:val="none"/>
              </w:rPr>
            </w:pPr>
          </w:p>
        </w:tc>
      </w:tr>
      <w:tr w14:paraId="34026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675" w:type="dxa"/>
            <w:vMerge w:val="continue"/>
            <w:noWrap w:val="0"/>
            <w:vAlign w:val="center"/>
          </w:tcPr>
          <w:p w14:paraId="73253AB0">
            <w:pPr>
              <w:spacing w:line="360" w:lineRule="auto"/>
              <w:jc w:val="center"/>
              <w:rPr>
                <w:rFonts w:hint="eastAsia" w:ascii="宋体" w:hAnsi="宋体" w:cs="宋体"/>
                <w:color w:val="auto"/>
                <w:szCs w:val="21"/>
                <w:highlight w:val="none"/>
              </w:rPr>
            </w:pPr>
          </w:p>
        </w:tc>
        <w:tc>
          <w:tcPr>
            <w:tcW w:w="1530" w:type="dxa"/>
            <w:noWrap w:val="0"/>
            <w:vAlign w:val="center"/>
          </w:tcPr>
          <w:p w14:paraId="3C308D6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灵牌位三类</w:t>
            </w:r>
          </w:p>
        </w:tc>
        <w:tc>
          <w:tcPr>
            <w:tcW w:w="638" w:type="dxa"/>
            <w:noWrap w:val="0"/>
            <w:vAlign w:val="center"/>
          </w:tcPr>
          <w:p w14:paraId="29FB06E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40CB1E34">
            <w:pPr>
              <w:spacing w:line="360" w:lineRule="auto"/>
              <w:jc w:val="center"/>
              <w:rPr>
                <w:rFonts w:hint="eastAsia" w:ascii="宋体" w:hAnsi="宋体" w:cs="宋体"/>
                <w:color w:val="auto"/>
                <w:szCs w:val="21"/>
                <w:highlight w:val="none"/>
              </w:rPr>
            </w:pPr>
          </w:p>
        </w:tc>
        <w:tc>
          <w:tcPr>
            <w:tcW w:w="4261" w:type="dxa"/>
            <w:vMerge w:val="continue"/>
            <w:noWrap w:val="0"/>
            <w:vAlign w:val="center"/>
          </w:tcPr>
          <w:p w14:paraId="05C26AEA">
            <w:pPr>
              <w:spacing w:line="360" w:lineRule="auto"/>
              <w:jc w:val="center"/>
              <w:rPr>
                <w:rFonts w:hint="eastAsia" w:ascii="宋体" w:hAnsi="宋体" w:cs="宋体"/>
                <w:color w:val="auto"/>
                <w:szCs w:val="21"/>
                <w:highlight w:val="none"/>
              </w:rPr>
            </w:pPr>
          </w:p>
        </w:tc>
      </w:tr>
      <w:tr w14:paraId="7EB42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675" w:type="dxa"/>
            <w:vMerge w:val="continue"/>
            <w:noWrap w:val="0"/>
            <w:vAlign w:val="center"/>
          </w:tcPr>
          <w:p w14:paraId="4F8C58AF">
            <w:pPr>
              <w:spacing w:line="360" w:lineRule="auto"/>
              <w:jc w:val="center"/>
              <w:rPr>
                <w:rFonts w:hint="eastAsia" w:ascii="宋体" w:hAnsi="宋体" w:cs="宋体"/>
                <w:color w:val="auto"/>
                <w:szCs w:val="21"/>
                <w:highlight w:val="none"/>
              </w:rPr>
            </w:pPr>
          </w:p>
        </w:tc>
        <w:tc>
          <w:tcPr>
            <w:tcW w:w="1530" w:type="dxa"/>
            <w:noWrap w:val="0"/>
            <w:vAlign w:val="center"/>
          </w:tcPr>
          <w:p w14:paraId="15BAD85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灵牌位四类</w:t>
            </w:r>
          </w:p>
        </w:tc>
        <w:tc>
          <w:tcPr>
            <w:tcW w:w="638" w:type="dxa"/>
            <w:noWrap w:val="0"/>
            <w:vAlign w:val="center"/>
          </w:tcPr>
          <w:p w14:paraId="29CFF56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0137CA36">
            <w:pPr>
              <w:spacing w:line="360" w:lineRule="auto"/>
              <w:jc w:val="center"/>
              <w:rPr>
                <w:rFonts w:hint="eastAsia" w:ascii="宋体" w:hAnsi="宋体" w:cs="宋体"/>
                <w:color w:val="auto"/>
                <w:szCs w:val="21"/>
                <w:highlight w:val="none"/>
              </w:rPr>
            </w:pPr>
          </w:p>
        </w:tc>
        <w:tc>
          <w:tcPr>
            <w:tcW w:w="4261" w:type="dxa"/>
            <w:vMerge w:val="continue"/>
            <w:noWrap w:val="0"/>
            <w:vAlign w:val="center"/>
          </w:tcPr>
          <w:p w14:paraId="20EE7FB1">
            <w:pPr>
              <w:spacing w:line="360" w:lineRule="auto"/>
              <w:jc w:val="center"/>
              <w:rPr>
                <w:rFonts w:hint="eastAsia" w:ascii="宋体" w:hAnsi="宋体" w:cs="宋体"/>
                <w:color w:val="auto"/>
                <w:szCs w:val="21"/>
                <w:highlight w:val="none"/>
              </w:rPr>
            </w:pPr>
          </w:p>
        </w:tc>
      </w:tr>
      <w:tr w14:paraId="7A051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24AC793E">
            <w:pPr>
              <w:spacing w:line="360" w:lineRule="auto"/>
              <w:jc w:val="center"/>
              <w:rPr>
                <w:rFonts w:hint="eastAsia" w:ascii="宋体" w:hAnsi="宋体" w:cs="宋体"/>
                <w:color w:val="auto"/>
                <w:szCs w:val="21"/>
                <w:highlight w:val="none"/>
              </w:rPr>
            </w:pPr>
          </w:p>
        </w:tc>
        <w:tc>
          <w:tcPr>
            <w:tcW w:w="1530" w:type="dxa"/>
            <w:noWrap w:val="0"/>
            <w:vAlign w:val="center"/>
          </w:tcPr>
          <w:p w14:paraId="4CA5072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灵牌位五类</w:t>
            </w:r>
          </w:p>
        </w:tc>
        <w:tc>
          <w:tcPr>
            <w:tcW w:w="638" w:type="dxa"/>
            <w:noWrap w:val="0"/>
            <w:vAlign w:val="center"/>
          </w:tcPr>
          <w:p w14:paraId="6452C60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6E01EEFE">
            <w:pPr>
              <w:spacing w:line="360" w:lineRule="auto"/>
              <w:jc w:val="center"/>
              <w:rPr>
                <w:rFonts w:hint="eastAsia" w:ascii="宋体" w:hAnsi="宋体" w:cs="宋体"/>
                <w:color w:val="auto"/>
                <w:szCs w:val="21"/>
                <w:highlight w:val="none"/>
              </w:rPr>
            </w:pPr>
          </w:p>
        </w:tc>
        <w:tc>
          <w:tcPr>
            <w:tcW w:w="4261" w:type="dxa"/>
            <w:vMerge w:val="continue"/>
            <w:noWrap w:val="0"/>
            <w:vAlign w:val="center"/>
          </w:tcPr>
          <w:p w14:paraId="6F1691B6">
            <w:pPr>
              <w:spacing w:line="360" w:lineRule="auto"/>
              <w:jc w:val="center"/>
              <w:rPr>
                <w:rFonts w:hint="eastAsia" w:ascii="宋体" w:hAnsi="宋体" w:cs="宋体"/>
                <w:color w:val="auto"/>
                <w:szCs w:val="21"/>
                <w:highlight w:val="none"/>
              </w:rPr>
            </w:pPr>
          </w:p>
        </w:tc>
      </w:tr>
      <w:tr w14:paraId="4B3FF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675" w:type="dxa"/>
            <w:vMerge w:val="continue"/>
            <w:noWrap w:val="0"/>
            <w:vAlign w:val="center"/>
          </w:tcPr>
          <w:p w14:paraId="691EE3D1">
            <w:pPr>
              <w:spacing w:line="360" w:lineRule="auto"/>
              <w:jc w:val="center"/>
              <w:rPr>
                <w:rFonts w:hint="eastAsia" w:ascii="宋体" w:hAnsi="宋体" w:cs="宋体"/>
                <w:color w:val="auto"/>
                <w:szCs w:val="21"/>
                <w:highlight w:val="none"/>
              </w:rPr>
            </w:pPr>
          </w:p>
        </w:tc>
        <w:tc>
          <w:tcPr>
            <w:tcW w:w="1530" w:type="dxa"/>
            <w:noWrap w:val="0"/>
            <w:vAlign w:val="center"/>
          </w:tcPr>
          <w:p w14:paraId="0AF442D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灵牌位六类</w:t>
            </w:r>
          </w:p>
        </w:tc>
        <w:tc>
          <w:tcPr>
            <w:tcW w:w="638" w:type="dxa"/>
            <w:noWrap w:val="0"/>
            <w:vAlign w:val="center"/>
          </w:tcPr>
          <w:p w14:paraId="22556E5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7E7DF211">
            <w:pPr>
              <w:spacing w:line="360" w:lineRule="auto"/>
              <w:jc w:val="center"/>
              <w:rPr>
                <w:rFonts w:hint="eastAsia" w:ascii="宋体" w:hAnsi="宋体" w:cs="宋体"/>
                <w:color w:val="auto"/>
                <w:szCs w:val="21"/>
                <w:highlight w:val="none"/>
              </w:rPr>
            </w:pPr>
          </w:p>
        </w:tc>
        <w:tc>
          <w:tcPr>
            <w:tcW w:w="4261" w:type="dxa"/>
            <w:vMerge w:val="continue"/>
            <w:noWrap w:val="0"/>
            <w:vAlign w:val="center"/>
          </w:tcPr>
          <w:p w14:paraId="35FF7CC1">
            <w:pPr>
              <w:spacing w:line="360" w:lineRule="auto"/>
              <w:jc w:val="center"/>
              <w:rPr>
                <w:rFonts w:hint="eastAsia" w:ascii="宋体" w:hAnsi="宋体" w:cs="宋体"/>
                <w:color w:val="auto"/>
                <w:szCs w:val="21"/>
                <w:highlight w:val="none"/>
              </w:rPr>
            </w:pPr>
          </w:p>
        </w:tc>
      </w:tr>
    </w:tbl>
    <w:p w14:paraId="1C245C3C">
      <w:pPr>
        <w:snapToGrid w:val="0"/>
        <w:spacing w:line="560" w:lineRule="exact"/>
        <w:ind w:firstLine="720" w:firstLineChars="300"/>
        <w:rPr>
          <w:rFonts w:hint="default"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三、服务要求</w:t>
      </w:r>
    </w:p>
    <w:p w14:paraId="7E4DB6D3">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必须遵守服务承诺，合作期间，在广州市范围内（除番禺、花都、增城、从化殡仪馆外）不得经营与</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(广州市殡葬服务中心)有同类竞争的殡葬业务，包括</w:t>
      </w:r>
      <w:r>
        <w:rPr>
          <w:rFonts w:hint="eastAsia" w:ascii="宋体" w:hAnsi="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销售殡仪用(商)品、鲜花及殡葬服务等，否则，</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有权单方面终止合同。</w:t>
      </w:r>
    </w:p>
    <w:p w14:paraId="0B83D01B">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.为确保在各类突发与紧急场景下，</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能够为逝者家属提供高效、精准、合规且充满温情的骨灰箱（盒）金属相片及灵牌位定制服务，</w:t>
      </w:r>
      <w:r>
        <w:rPr>
          <w:rFonts w:hint="eastAsia" w:ascii="宋体" w:hAnsi="宋体" w:cs="宋体"/>
          <w:color w:val="auto"/>
          <w:sz w:val="24"/>
          <w:szCs w:val="24"/>
          <w:highlight w:val="none"/>
          <w:lang w:val="en-US" w:eastAsia="zh-CN"/>
        </w:rPr>
        <w:t>甲方对乙方</w:t>
      </w:r>
      <w:r>
        <w:rPr>
          <w:rFonts w:hint="eastAsia" w:ascii="宋体" w:hAnsi="宋体" w:eastAsia="宋体" w:cs="宋体"/>
          <w:color w:val="auto"/>
          <w:sz w:val="24"/>
          <w:szCs w:val="24"/>
          <w:highlight w:val="none"/>
        </w:rPr>
        <w:t>相关要求如下：</w:t>
      </w:r>
    </w:p>
    <w:p w14:paraId="34FD6B9C">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应急保障措施</w:t>
      </w:r>
    </w:p>
    <w:p w14:paraId="659711FB">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资源储备保障：建立专项原材料与成品库存体系，针对金属相片材质、灵牌位基材及配件实行分级储备，确保极端情况下可立即启动供应。</w:t>
      </w:r>
    </w:p>
    <w:p w14:paraId="53F41635">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合规流程保障：严格遵循殡葬服务相关法律法规及行业标准，全流程建立溯源台账，确保数据、材料和流程的合法合规与隐私安全。</w:t>
      </w:r>
    </w:p>
    <w:p w14:paraId="722B58F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应急响应时间要求：①</w:t>
      </w:r>
      <w:r>
        <w:rPr>
          <w:rFonts w:hint="eastAsia" w:ascii="宋体" w:hAnsi="宋体" w:eastAsia="宋体" w:cs="宋体"/>
          <w:color w:val="auto"/>
          <w:sz w:val="24"/>
          <w:szCs w:val="24"/>
          <w:highlight w:val="none"/>
        </w:rPr>
        <w:t>首响时限：在接收到应急需求后的 30 分钟内，必须完成需求受理、信息确认与应急工单派发，启动专属绿色通道。</w:t>
      </w: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rPr>
        <w:t>出样时限：在资料齐全的情况下，2 小时内完成金属相片初稿 / 灵牌位设计稿的确认与打样，确保家属第一时间看到方案。</w:t>
      </w: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rPr>
        <w:t>成品交付：针对同城紧急场景，承诺 4-8 小时内完成成品制作与送达；跨区域特殊应急需求，协调最快物流通道，力争 24 小时内交付。</w:t>
      </w:r>
    </w:p>
    <w:p w14:paraId="0ECAA1C3">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供货时间、地点及驻点人员要求</w:t>
      </w:r>
    </w:p>
    <w:p w14:paraId="4C96287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1.交货方式：分批交货。</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rPr>
        <w:t>应在接到</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通知后 24 小时内保证供货（以送达</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指定地点为准）。</w:t>
      </w:r>
    </w:p>
    <w:p w14:paraId="43C7F97A">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金属相片交货要求：</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rPr>
        <w:t>收到制作单后 2 小时内在</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指定地点交货。</w:t>
      </w:r>
    </w:p>
    <w:p w14:paraId="42FF0F60">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.灵牌位的交货要求：</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rPr>
        <w:t>应在</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通知后 24小时内在</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指定地点交货。</w:t>
      </w:r>
    </w:p>
    <w:p w14:paraId="4471C97D">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.制作及交货地点：</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指定地点（含铭恩园、银河园、新塘公墓和观音山公墓）。</w:t>
      </w:r>
    </w:p>
    <w:p w14:paraId="3A6E1A83">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rPr>
        <w:t>.为保证服务质量，</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需派至少两名员工常驻</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单位提供本项目相关产品的现场制作服务，驻场人员需服从</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单位相关工作安排，遵守甲方单位纪律。</w:t>
      </w:r>
    </w:p>
    <w:p w14:paraId="3A987756">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default"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应按照《中华人民共和国劳动法》的相关规定发放工资，驻场工作人员工资不得低于广州市企业职工最低工资标准（工资不含按国家规定</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必须支付的社会保险及其他应付费用）。</w:t>
      </w:r>
    </w:p>
    <w:p w14:paraId="68C7961E">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default"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应按照《中华人民共和国社会保险法》和《住房公积金管理条例》的相关规定，为驻场工作人员支付国家规定必须购买的社会保险费用（基本养老保险、基本医疗保险、工伤保险、失业保险、生育保险）和缴存住房公积金，并且</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有权不定期抽查缴纳情况，</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须无条件配合，并在接到</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抽查通知后三日内提供相应材料。</w:t>
      </w:r>
    </w:p>
    <w:p w14:paraId="08985B6D">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甲方不因签署和履行本合同与乙方派出的驻场工作人员形成劳动关系，如乙方的驻场该工作人员基于其驻场服务向甲方提出任何涉及劳动关系的主张，均由乙方负责处理及承担因此产生的一切费用；若甲方为此被任何第三方主张或要求支付任何费用的，均由乙方承担。</w:t>
      </w:r>
    </w:p>
    <w:p w14:paraId="6DB140F4">
      <w:pPr>
        <w:snapToGrid w:val="0"/>
        <w:spacing w:line="560" w:lineRule="exact"/>
        <w:ind w:firstLine="720" w:firstLineChars="3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四、质量标准</w:t>
      </w:r>
    </w:p>
    <w:p w14:paraId="68D6A2BD">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乙方提供的</w:t>
      </w:r>
      <w:r>
        <w:rPr>
          <w:rFonts w:hint="default" w:ascii="宋体" w:hAnsi="宋体" w:eastAsia="宋体" w:cs="宋体"/>
          <w:color w:val="auto"/>
          <w:sz w:val="24"/>
          <w:szCs w:val="24"/>
          <w:highlight w:val="none"/>
        </w:rPr>
        <w:t>产品需符合国家相关法律法规以及国家质量标准的要求，是自主生产的、完整的、质量合格的、全新的正品，其技术性能应满足各项规格参数和安全性能的要求。</w:t>
      </w:r>
    </w:p>
    <w:p w14:paraId="70F0B244">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乙方</w:t>
      </w:r>
      <w:r>
        <w:rPr>
          <w:rFonts w:hint="eastAsia" w:ascii="宋体" w:hAnsi="宋体" w:cs="宋体"/>
          <w:color w:val="auto"/>
          <w:sz w:val="24"/>
          <w:szCs w:val="24"/>
          <w:highlight w:val="none"/>
          <w:lang w:val="en-US" w:eastAsia="zh-CN"/>
        </w:rPr>
        <w:t>须</w:t>
      </w:r>
      <w:r>
        <w:rPr>
          <w:rFonts w:hint="default" w:ascii="宋体" w:hAnsi="宋体" w:eastAsia="宋体" w:cs="宋体"/>
          <w:color w:val="auto"/>
          <w:sz w:val="24"/>
          <w:szCs w:val="24"/>
          <w:highlight w:val="none"/>
        </w:rPr>
        <w:t>对所提供的商品实行质量“三包”，质保期为具体货物验收合格交付终端客户使用后三年。</w:t>
      </w:r>
      <w:r>
        <w:rPr>
          <w:rFonts w:hint="eastAsia" w:ascii="宋体" w:hAnsi="宋体" w:cs="宋体"/>
          <w:color w:val="auto"/>
          <w:sz w:val="24"/>
          <w:szCs w:val="24"/>
          <w:highlight w:val="none"/>
          <w:lang w:val="en-US" w:eastAsia="zh-CN"/>
        </w:rPr>
        <w:t>乙方</w:t>
      </w:r>
      <w:r>
        <w:rPr>
          <w:rFonts w:hint="default" w:ascii="宋体" w:hAnsi="宋体" w:eastAsia="宋体" w:cs="宋体"/>
          <w:color w:val="auto"/>
          <w:sz w:val="24"/>
          <w:szCs w:val="24"/>
          <w:highlight w:val="none"/>
        </w:rPr>
        <w:t>应当在收到</w:t>
      </w:r>
      <w:r>
        <w:rPr>
          <w:rFonts w:hint="eastAsia" w:ascii="宋体" w:hAnsi="宋体" w:cs="宋体"/>
          <w:color w:val="auto"/>
          <w:sz w:val="24"/>
          <w:szCs w:val="24"/>
          <w:highlight w:val="none"/>
          <w:lang w:val="en-US" w:eastAsia="zh-CN"/>
        </w:rPr>
        <w:t>甲方</w:t>
      </w:r>
      <w:r>
        <w:rPr>
          <w:rFonts w:hint="default" w:ascii="宋体" w:hAnsi="宋体" w:eastAsia="宋体" w:cs="宋体"/>
          <w:color w:val="auto"/>
          <w:sz w:val="24"/>
          <w:szCs w:val="24"/>
          <w:highlight w:val="none"/>
        </w:rPr>
        <w:t>质保通知后3日内作出实质性响应，否则</w:t>
      </w:r>
      <w:r>
        <w:rPr>
          <w:rFonts w:hint="eastAsia" w:ascii="宋体" w:hAnsi="宋体" w:cs="宋体"/>
          <w:color w:val="auto"/>
          <w:sz w:val="24"/>
          <w:szCs w:val="24"/>
          <w:highlight w:val="none"/>
          <w:lang w:val="en-US" w:eastAsia="zh-CN"/>
        </w:rPr>
        <w:t>甲方</w:t>
      </w:r>
      <w:r>
        <w:rPr>
          <w:rFonts w:hint="default" w:ascii="宋体" w:hAnsi="宋体" w:eastAsia="宋体" w:cs="宋体"/>
          <w:color w:val="auto"/>
          <w:sz w:val="24"/>
          <w:szCs w:val="24"/>
          <w:highlight w:val="none"/>
        </w:rPr>
        <w:t>有权直接另行委托第三方处理，由此产生的费用和责任后果均由</w:t>
      </w:r>
      <w:r>
        <w:rPr>
          <w:rFonts w:hint="eastAsia" w:ascii="宋体" w:hAnsi="宋体" w:cs="宋体"/>
          <w:color w:val="auto"/>
          <w:sz w:val="24"/>
          <w:szCs w:val="24"/>
          <w:highlight w:val="none"/>
          <w:lang w:val="en-US" w:eastAsia="zh-CN"/>
        </w:rPr>
        <w:t>乙方</w:t>
      </w:r>
      <w:r>
        <w:rPr>
          <w:rFonts w:hint="default" w:ascii="宋体" w:hAnsi="宋体" w:eastAsia="宋体" w:cs="宋体"/>
          <w:color w:val="auto"/>
          <w:sz w:val="24"/>
          <w:szCs w:val="24"/>
          <w:highlight w:val="none"/>
        </w:rPr>
        <w:t>承担。若因产品质量问题给</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造成损失的，</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应负全部责任。</w:t>
      </w:r>
    </w:p>
    <w:p w14:paraId="517CEB20">
      <w:pPr>
        <w:snapToGrid w:val="0"/>
        <w:spacing w:line="560" w:lineRule="exact"/>
        <w:ind w:firstLine="720" w:firstLineChars="3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五、预付款及结算方式</w:t>
      </w:r>
    </w:p>
    <w:p w14:paraId="5DB26C08">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1.本项目采购供货方式为销售方式，合同签订并</w:t>
      </w:r>
      <w:r>
        <w:rPr>
          <w:rFonts w:hint="eastAsia" w:ascii="宋体" w:hAnsi="宋体" w:cs="宋体"/>
          <w:color w:val="auto"/>
          <w:sz w:val="24"/>
          <w:szCs w:val="24"/>
          <w:highlight w:val="none"/>
          <w:lang w:val="en-US" w:eastAsia="zh-CN"/>
        </w:rPr>
        <w:t>乙方向甲方</w:t>
      </w:r>
      <w:r>
        <w:rPr>
          <w:rFonts w:hint="default" w:ascii="宋体" w:hAnsi="宋体" w:eastAsia="宋体" w:cs="宋体"/>
          <w:color w:val="auto"/>
          <w:sz w:val="24"/>
          <w:szCs w:val="24"/>
          <w:highlight w:val="none"/>
        </w:rPr>
        <w:t>正常供货后，</w:t>
      </w:r>
      <w:r>
        <w:rPr>
          <w:rFonts w:hint="eastAsia" w:ascii="宋体" w:hAnsi="宋体" w:cs="宋体"/>
          <w:color w:val="auto"/>
          <w:sz w:val="24"/>
          <w:szCs w:val="24"/>
          <w:highlight w:val="none"/>
          <w:lang w:val="en-US" w:eastAsia="zh-CN"/>
        </w:rPr>
        <w:t>甲方的</w:t>
      </w:r>
      <w:r>
        <w:rPr>
          <w:rFonts w:hint="default" w:ascii="宋体" w:hAnsi="宋体" w:eastAsia="宋体" w:cs="宋体"/>
          <w:color w:val="auto"/>
          <w:sz w:val="24"/>
          <w:szCs w:val="24"/>
          <w:highlight w:val="none"/>
        </w:rPr>
        <w:t>产品零售价由</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自行确定，</w:t>
      </w:r>
      <w:r>
        <w:rPr>
          <w:rFonts w:hint="eastAsia" w:ascii="宋体" w:hAnsi="宋体" w:cs="宋体"/>
          <w:color w:val="auto"/>
          <w:sz w:val="24"/>
          <w:szCs w:val="24"/>
          <w:highlight w:val="none"/>
          <w:lang w:val="en-US" w:eastAsia="zh-CN"/>
        </w:rPr>
        <w:t>本合同</w:t>
      </w:r>
      <w:r>
        <w:rPr>
          <w:rFonts w:hint="default" w:ascii="宋体" w:hAnsi="宋体" w:eastAsia="宋体" w:cs="宋体"/>
          <w:color w:val="auto"/>
          <w:sz w:val="24"/>
          <w:szCs w:val="24"/>
          <w:highlight w:val="none"/>
        </w:rPr>
        <w:t>成交价与</w:t>
      </w:r>
      <w:r>
        <w:rPr>
          <w:rFonts w:hint="eastAsia" w:ascii="宋体" w:hAnsi="宋体" w:cs="宋体"/>
          <w:color w:val="auto"/>
          <w:sz w:val="24"/>
          <w:szCs w:val="24"/>
          <w:highlight w:val="none"/>
          <w:lang w:val="en-US" w:eastAsia="zh-CN"/>
        </w:rPr>
        <w:t>甲方确定的</w:t>
      </w:r>
      <w:r>
        <w:rPr>
          <w:rFonts w:hint="default" w:ascii="宋体" w:hAnsi="宋体" w:eastAsia="宋体" w:cs="宋体"/>
          <w:color w:val="auto"/>
          <w:sz w:val="24"/>
          <w:szCs w:val="24"/>
          <w:highlight w:val="none"/>
        </w:rPr>
        <w:t>零售价之间的差额归</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所有。</w:t>
      </w:r>
      <w:r>
        <w:rPr>
          <w:rFonts w:hint="eastAsia" w:ascii="宋体" w:hAnsi="宋体" w:cs="宋体"/>
          <w:color w:val="auto"/>
          <w:sz w:val="24"/>
          <w:szCs w:val="24"/>
          <w:highlight w:val="none"/>
          <w:lang w:val="en-US" w:eastAsia="zh-CN"/>
        </w:rPr>
        <w:t>甲方</w:t>
      </w:r>
      <w:r>
        <w:rPr>
          <w:rFonts w:hint="default" w:ascii="宋体" w:hAnsi="宋体" w:eastAsia="宋体" w:cs="宋体"/>
          <w:color w:val="auto"/>
          <w:sz w:val="24"/>
          <w:szCs w:val="24"/>
          <w:highlight w:val="none"/>
        </w:rPr>
        <w:t>按月进行实销实结（单价×</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每月实际销售数量）。</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应在每月15日前，向</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提供上月实际销售的账单，经</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确认后，由</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进行付款。</w:t>
      </w:r>
    </w:p>
    <w:p w14:paraId="766925FE">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凭以下有效文件，由</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在收到</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提供的</w:t>
      </w:r>
      <w:r>
        <w:rPr>
          <w:rFonts w:hint="eastAsia" w:ascii="宋体" w:hAnsi="宋体" w:cs="宋体"/>
          <w:color w:val="auto"/>
          <w:sz w:val="24"/>
          <w:szCs w:val="24"/>
          <w:highlight w:val="none"/>
          <w:lang w:val="en-US" w:eastAsia="zh-CN"/>
        </w:rPr>
        <w:t>等额合法有效且符合甲方财务制度要求的</w:t>
      </w:r>
      <w:r>
        <w:rPr>
          <w:rFonts w:hint="eastAsia" w:ascii="宋体" w:hAnsi="宋体" w:eastAsia="宋体" w:cs="宋体"/>
          <w:color w:val="auto"/>
          <w:sz w:val="24"/>
          <w:szCs w:val="24"/>
          <w:highlight w:val="none"/>
        </w:rPr>
        <w:t>正式发票后 5 个工作日内，按财务规定办理采购货款的财政集中支付手续。</w:t>
      </w:r>
    </w:p>
    <w:p w14:paraId="2F2603C5">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合同复印件；（首次支付提供）</w:t>
      </w:r>
    </w:p>
    <w:p w14:paraId="62653B07">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中标通知书；（首次支付提供）</w:t>
      </w:r>
    </w:p>
    <w:p w14:paraId="7E096C50">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请款申请书；(加盖</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公章)</w:t>
      </w:r>
    </w:p>
    <w:p w14:paraId="1768FAE8">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每月供货签单；（双方签章确认）</w:t>
      </w:r>
    </w:p>
    <w:p w14:paraId="334C0452">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合同支付记录表。</w:t>
      </w:r>
    </w:p>
    <w:p w14:paraId="13A4E376">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.在中国境内、外发生的与本合同执行有关的一切税费均由</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承担。</w:t>
      </w:r>
    </w:p>
    <w:p w14:paraId="733D5398">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default" w:ascii="宋体" w:hAnsi="宋体" w:eastAsia="宋体" w:cs="宋体"/>
          <w:color w:val="auto"/>
          <w:sz w:val="24"/>
          <w:szCs w:val="24"/>
          <w:highlight w:val="none"/>
        </w:rPr>
        <w:t>.甲方有权直接从对乙方的应付未付款中，对乙方应当承担的包括但不限于违约金、损害赔偿金等一切款项进行抵扣。</w:t>
      </w:r>
    </w:p>
    <w:p w14:paraId="36483ECA">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snapToGrid/>
          <w:color w:val="auto"/>
          <w:kern w:val="0"/>
          <w:sz w:val="24"/>
          <w:szCs w:val="24"/>
          <w:highlight w:val="none"/>
          <w:lang w:val="zh-CN" w:eastAsia="zh-CN" w:bidi="zh-CN"/>
        </w:rPr>
      </w:pPr>
      <w:r>
        <w:rPr>
          <w:rFonts w:hint="eastAsia" w:ascii="宋体" w:hAnsi="宋体" w:cs="宋体"/>
          <w:color w:val="auto"/>
          <w:sz w:val="24"/>
          <w:szCs w:val="24"/>
          <w:highlight w:val="none"/>
          <w:lang w:val="en-US" w:eastAsia="zh-CN"/>
        </w:rPr>
        <w:t>5.预付款按本项目合同总金额中2026年度应付金额的30%，即人民币123750元计算，每一期结算时先行抵扣预付款，直至所有预付款抵扣完毕再支付进度款。每月15日前乙方需提供上一个月的业务统计表格和甲方进行核对，经核对无误后，乙方出具正式税务专票。</w:t>
      </w:r>
      <w:r>
        <w:rPr>
          <w:rFonts w:hint="eastAsia" w:ascii="宋体" w:hAnsi="宋体" w:cs="宋体"/>
          <w:snapToGrid/>
          <w:color w:val="auto"/>
          <w:kern w:val="0"/>
          <w:sz w:val="24"/>
          <w:szCs w:val="24"/>
          <w:highlight w:val="none"/>
          <w:lang w:val="zh-CN" w:eastAsia="zh-CN" w:bidi="zh-CN"/>
        </w:rPr>
        <w:t>乙方怠于提供发票，甲方有权顺延付款期限，乙方不得据此怠于履行任何一项或几项合同义务。</w:t>
      </w:r>
    </w:p>
    <w:p w14:paraId="0CCE165B">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cs="宋体"/>
          <w:snapToGrid/>
          <w:color w:val="auto"/>
          <w:kern w:val="0"/>
          <w:sz w:val="24"/>
          <w:szCs w:val="24"/>
          <w:highlight w:val="none"/>
          <w:lang w:val="en-US" w:eastAsia="zh-CN" w:bidi="zh-CN"/>
        </w:rPr>
      </w:pPr>
      <w:r>
        <w:rPr>
          <w:rFonts w:hint="eastAsia" w:ascii="宋体" w:hAnsi="宋体" w:cs="宋体"/>
          <w:snapToGrid/>
          <w:color w:val="auto"/>
          <w:kern w:val="0"/>
          <w:sz w:val="24"/>
          <w:szCs w:val="24"/>
          <w:highlight w:val="none"/>
          <w:lang w:val="en-US" w:eastAsia="zh-CN" w:bidi="zh-CN"/>
        </w:rPr>
        <w:t>6.甲方有权直接从对乙方的应付未付款中，对乙方应当承担的包括但不限于违约金、损害赔偿金等一切款项进行抵扣。</w:t>
      </w:r>
    </w:p>
    <w:p w14:paraId="21ED0855">
      <w:pPr>
        <w:snapToGrid w:val="0"/>
        <w:spacing w:line="560" w:lineRule="exact"/>
        <w:ind w:firstLine="480" w:firstLineChars="200"/>
        <w:rPr>
          <w:rFonts w:hint="default"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六</w:t>
      </w:r>
      <w:r>
        <w:rPr>
          <w:rFonts w:hint="default" w:ascii="黑体" w:hAnsi="黑体" w:eastAsia="黑体" w:cs="黑体"/>
          <w:b w:val="0"/>
          <w:bCs w:val="0"/>
          <w:color w:val="auto"/>
          <w:sz w:val="24"/>
          <w:highlight w:val="none"/>
          <w:lang w:val="en-US" w:eastAsia="zh-CN"/>
        </w:rPr>
        <w:t>.验收要求</w:t>
      </w:r>
    </w:p>
    <w:p w14:paraId="611F514A">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交付的货物需与中标样品的材料以及磋商文件的详细参数相符，否则</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有权拒绝收货，并要求</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重新进行交付，交货时间不顺延，由此造成的损失由</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承担。</w:t>
      </w:r>
    </w:p>
    <w:p w14:paraId="1C40721F">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按国家有关规定、规范进行验收，必要时邀请相关的专业人员或机构参与验收。因货物质量问题发生争议时，由本地质量技术监督部门鉴定。货物符合质量技术标准的，鉴定费由</w:t>
      </w:r>
      <w:r>
        <w:rPr>
          <w:rFonts w:hint="eastAsia" w:ascii="宋体" w:hAnsi="宋体" w:cs="宋体"/>
          <w:color w:val="auto"/>
          <w:sz w:val="24"/>
          <w:szCs w:val="24"/>
          <w:highlight w:val="none"/>
          <w:lang w:eastAsia="zh-CN"/>
        </w:rPr>
        <w:t>甲方</w:t>
      </w:r>
      <w:r>
        <w:rPr>
          <w:rFonts w:hint="default" w:ascii="宋体" w:hAnsi="宋体" w:eastAsia="宋体" w:cs="宋体"/>
          <w:color w:val="auto"/>
          <w:sz w:val="24"/>
          <w:szCs w:val="24"/>
          <w:highlight w:val="none"/>
        </w:rPr>
        <w:t>承担；否则鉴定费由</w:t>
      </w:r>
      <w:r>
        <w:rPr>
          <w:rFonts w:hint="eastAsia" w:ascii="宋体" w:hAnsi="宋体" w:cs="宋体"/>
          <w:color w:val="auto"/>
          <w:sz w:val="24"/>
          <w:szCs w:val="24"/>
          <w:highlight w:val="none"/>
          <w:lang w:eastAsia="zh-CN"/>
        </w:rPr>
        <w:t>乙方</w:t>
      </w:r>
      <w:r>
        <w:rPr>
          <w:rFonts w:hint="default" w:ascii="宋体" w:hAnsi="宋体" w:eastAsia="宋体" w:cs="宋体"/>
          <w:color w:val="auto"/>
          <w:sz w:val="24"/>
          <w:szCs w:val="24"/>
          <w:highlight w:val="none"/>
        </w:rPr>
        <w:t>承担。</w:t>
      </w:r>
    </w:p>
    <w:p w14:paraId="01312AB4">
      <w:pPr>
        <w:spacing w:line="560" w:lineRule="exact"/>
        <w:ind w:firstLine="480" w:firstLineChars="200"/>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七、履约保证金</w:t>
      </w:r>
    </w:p>
    <w:p w14:paraId="7A87F94A">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（一）提交时间：签订合同后5个工作日内提供。</w:t>
      </w:r>
    </w:p>
    <w:p w14:paraId="09E06C77">
      <w:pPr>
        <w:spacing w:line="5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（二）收取比例：合同总价5%</w:t>
      </w:r>
      <w:r>
        <w:rPr>
          <w:rFonts w:hint="eastAsia" w:ascii="宋体" w:hAnsi="宋体" w:cs="宋体"/>
          <w:color w:val="auto"/>
          <w:sz w:val="24"/>
          <w:szCs w:val="24"/>
          <w:highlight w:val="none"/>
          <w:lang w:val="en-US" w:eastAsia="zh-CN"/>
        </w:rPr>
        <w:t>，即人民币82500元。</w:t>
      </w:r>
    </w:p>
    <w:p w14:paraId="7DA720DF">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（三）方式：履约保证金以支票、汇票、本票或者金融机构、担保机构出具的保函等非现金形式向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 xml:space="preserve">提交履约保证金。 </w:t>
      </w:r>
    </w:p>
    <w:p w14:paraId="7A595A86">
      <w:pPr>
        <w:spacing w:line="560" w:lineRule="exact"/>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（四）若</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没有违约行为，履约保证金在整体服务验收合格后15个工作日内由</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无息退还</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。如因政府财政部门审批延误，</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无按期归还，</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不用承担违约责任。</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逾期退还履约保证金的，除应当退还履约保证金的本金外，还应当按中国人民银行授权的全国银行间同业拆借中心在逾期当月公布的1年期贷款市场报价利率支付超期资金占用费，但因</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 xml:space="preserve">自身原因导致无法及时退还的除外。 </w:t>
      </w:r>
    </w:p>
    <w:p w14:paraId="1228BA7B">
      <w:pPr>
        <w:snapToGrid w:val="0"/>
        <w:spacing w:line="560" w:lineRule="exact"/>
        <w:ind w:firstLine="720" w:firstLineChars="3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八、违约责任</w:t>
      </w:r>
    </w:p>
    <w:p w14:paraId="456969B7">
      <w:pPr>
        <w:spacing w:line="5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应按照国家及广州地方税务部门的要求出具正式合法的税务专用发票，且税务发票要与</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的工商、税务资料相符合，否则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有权</w:t>
      </w:r>
      <w:r>
        <w:rPr>
          <w:rFonts w:hint="eastAsia" w:ascii="宋体" w:hAnsi="宋体" w:cs="宋体"/>
          <w:color w:val="auto"/>
          <w:sz w:val="24"/>
          <w:szCs w:val="24"/>
          <w:highlight w:val="none"/>
          <w:lang w:val="en-US" w:eastAsia="zh-CN"/>
        </w:rPr>
        <w:t>暂</w:t>
      </w:r>
      <w:r>
        <w:rPr>
          <w:rFonts w:hint="eastAsia" w:ascii="宋体" w:hAnsi="宋体" w:eastAsia="宋体" w:cs="宋体"/>
          <w:color w:val="auto"/>
          <w:sz w:val="24"/>
          <w:szCs w:val="24"/>
          <w:highlight w:val="none"/>
          <w:lang w:val="en-US" w:eastAsia="zh-CN"/>
        </w:rPr>
        <w:t>不支付服务款项。</w:t>
      </w:r>
      <w:r>
        <w:rPr>
          <w:rFonts w:hint="eastAsia" w:ascii="宋体" w:hAnsi="宋体" w:cs="宋体"/>
          <w:color w:val="auto"/>
          <w:sz w:val="24"/>
          <w:szCs w:val="24"/>
          <w:highlight w:val="none"/>
          <w:lang w:val="en-US" w:eastAsia="zh-CN"/>
        </w:rPr>
        <w:t>由此造成的损失由乙方自行承担。</w:t>
      </w:r>
    </w:p>
    <w:p w14:paraId="70E4377A">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（二）如因</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的原因</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未能按要求完成服务的，</w:t>
      </w:r>
      <w:r>
        <w:rPr>
          <w:rFonts w:hint="eastAsia" w:ascii="宋体" w:hAnsi="宋体" w:cs="宋体"/>
          <w:color w:val="auto"/>
          <w:sz w:val="24"/>
          <w:szCs w:val="24"/>
          <w:highlight w:val="none"/>
          <w:lang w:val="en-US" w:eastAsia="zh-CN"/>
        </w:rPr>
        <w:t>乙方</w:t>
      </w:r>
      <w:r>
        <w:rPr>
          <w:rFonts w:hint="eastAsia"/>
          <w:color w:val="auto"/>
          <w:sz w:val="24"/>
          <w:szCs w:val="24"/>
          <w:highlight w:val="none"/>
          <w:lang w:val="en-US" w:eastAsia="zh-CN"/>
        </w:rPr>
        <w:t>应当免费进行整改，以通过甲方验收合格的产品交付日期作为乙方实际履行供货义务的日期，乙方据此向甲方承担逾期交付的违约责任（如需），</w:t>
      </w:r>
      <w:r>
        <w:rPr>
          <w:rFonts w:hint="eastAsia" w:ascii="宋体" w:hAnsi="宋体" w:cs="宋体"/>
          <w:color w:val="auto"/>
          <w:sz w:val="24"/>
          <w:szCs w:val="24"/>
          <w:highlight w:val="none"/>
          <w:lang w:val="en-US" w:eastAsia="zh-CN"/>
        </w:rPr>
        <w:t>乙方还</w:t>
      </w:r>
      <w:r>
        <w:rPr>
          <w:rFonts w:hint="eastAsia" w:ascii="宋体" w:hAnsi="宋体" w:eastAsia="宋体" w:cs="宋体"/>
          <w:color w:val="auto"/>
          <w:sz w:val="24"/>
          <w:szCs w:val="24"/>
          <w:highlight w:val="none"/>
          <w:lang w:val="en-US" w:eastAsia="zh-CN"/>
        </w:rPr>
        <w:t>应积极与</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共同解决顾客的投诉和纠纷</w:t>
      </w:r>
      <w:r>
        <w:rPr>
          <w:rFonts w:hint="eastAsia" w:ascii="宋体" w:hAnsi="宋体" w:cs="宋体"/>
          <w:color w:val="auto"/>
          <w:sz w:val="24"/>
          <w:szCs w:val="24"/>
          <w:highlight w:val="none"/>
          <w:lang w:val="en-US" w:eastAsia="zh-CN"/>
        </w:rPr>
        <w:t>外</w:t>
      </w:r>
      <w:r>
        <w:rPr>
          <w:rFonts w:hint="eastAsia" w:ascii="宋体" w:hAnsi="宋体" w:eastAsia="宋体" w:cs="宋体"/>
          <w:color w:val="auto"/>
          <w:sz w:val="24"/>
          <w:szCs w:val="24"/>
          <w:highlight w:val="none"/>
          <w:lang w:val="en-US" w:eastAsia="zh-CN"/>
        </w:rPr>
        <w:t>，并承担由此产生的费用。</w:t>
      </w:r>
    </w:p>
    <w:p w14:paraId="1135BE26">
      <w:pPr>
        <w:spacing w:line="5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（三）若乙方未能按照合同约定时间交付的</w:t>
      </w:r>
      <w:r>
        <w:rPr>
          <w:rFonts w:hint="eastAsia"/>
          <w:color w:val="auto"/>
          <w:sz w:val="24"/>
          <w:szCs w:val="24"/>
          <w:highlight w:val="none"/>
          <w:lang w:val="en-US" w:eastAsia="zh-CN"/>
        </w:rPr>
        <w:t>，每逾期一个小时，甲方有权要求乙方按照该批次货物的货款1</w:t>
      </w:r>
      <w:r>
        <w:rPr>
          <w:rFonts w:hint="eastAsia" w:ascii="宋体" w:hAnsi="宋体" w:cs="宋体"/>
          <w:color w:val="auto"/>
          <w:sz w:val="24"/>
          <w:szCs w:val="24"/>
          <w:highlight w:val="none"/>
          <w:lang w:val="en-US" w:eastAsia="zh-CN"/>
        </w:rPr>
        <w:t>0%</w:t>
      </w:r>
      <w:r>
        <w:rPr>
          <w:rFonts w:hint="eastAsia"/>
          <w:color w:val="auto"/>
          <w:sz w:val="24"/>
          <w:szCs w:val="24"/>
          <w:highlight w:val="none"/>
          <w:lang w:val="en-US" w:eastAsia="zh-CN"/>
        </w:rPr>
        <w:t>承担违约金，逾期48个小时，甲方有权另行向第三方进行采购，因此产生的费用全部由乙方承担。合同期限内，若乙方累计5次逾期交付，甲方有权单方解除合同，并要求乙方赔偿由此造成的损失。</w:t>
      </w:r>
    </w:p>
    <w:p w14:paraId="2E815EA0">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遇到不可抗力因素影响服务的，应积极与</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一同做好善后工作，</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未能收取顾客服务费用的，无需向</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支付服务费用。</w:t>
      </w:r>
    </w:p>
    <w:p w14:paraId="0ACFFBC2">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lang w:val="en-US" w:eastAsia="zh-CN"/>
        </w:rPr>
        <w:t>）合作期间，</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若有损害</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利益的任何行为，</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有权按损害的严重程度要求</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赔偿，在履约保证金中扣除，不足部分由</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补齐。</w:t>
      </w:r>
    </w:p>
    <w:p w14:paraId="684414AF">
      <w:pPr>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情况如下：</w:t>
      </w:r>
    </w:p>
    <w:p w14:paraId="49D4F4B6">
      <w:pPr>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1.因</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lang w:val="en-US" w:eastAsia="zh-CN"/>
        </w:rPr>
        <w:t>违约导致工作缺失，</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lang w:val="en-US" w:eastAsia="zh-CN"/>
        </w:rPr>
        <w:t>书面通知2次后仍不整改的，单次扣除20%履约保证金；</w:t>
      </w:r>
    </w:p>
    <w:p w14:paraId="21950FC7">
      <w:pPr>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2.有明显证据证明</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lang w:val="en-US" w:eastAsia="zh-CN"/>
        </w:rPr>
        <w:t>未履行本合同约定的，单次扣除20%履约保证金；</w:t>
      </w:r>
    </w:p>
    <w:p w14:paraId="06D5F585">
      <w:pPr>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lang w:val="en-US" w:eastAsia="zh-CN"/>
        </w:rPr>
        <w:t>累计三次交货不及时或质量出现问题，单次扣除20%履约保证金；</w:t>
      </w:r>
    </w:p>
    <w:p w14:paraId="1939FCC5">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不得向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以外的单位或个人透露</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非公开的业务信息及秘密，否则，</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有权单方面终止合同，并保留追究法律责任的权利。</w:t>
      </w:r>
    </w:p>
    <w:p w14:paraId="29A2566B">
      <w:pPr>
        <w:spacing w:line="5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（七）如因乙方原因导致合同解除的，甲方有权要求乙方按照合同金额的20%支付违约金，并赔偿甲方由此造成的所有损失。</w:t>
      </w:r>
    </w:p>
    <w:p w14:paraId="3CE4D33B">
      <w:pPr>
        <w:snapToGrid w:val="0"/>
        <w:spacing w:line="560" w:lineRule="exact"/>
        <w:ind w:firstLine="480" w:firstLineChars="2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九、争端的解决</w:t>
      </w:r>
    </w:p>
    <w:p w14:paraId="742991E4">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合同执行过程中发生的任何争议，双方应协商解决。如双方不能通过友好协商解决，甲、乙双方一致同意向甲方所在地人民法院提起诉讼。</w:t>
      </w:r>
    </w:p>
    <w:p w14:paraId="1FE8E1A7">
      <w:pPr>
        <w:snapToGrid w:val="0"/>
        <w:spacing w:line="560" w:lineRule="exact"/>
        <w:ind w:firstLine="480" w:firstLineChars="200"/>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lang w:val="en-US" w:eastAsia="zh-CN"/>
        </w:rPr>
        <w:t>十、其他</w:t>
      </w:r>
    </w:p>
    <w:p w14:paraId="06B7829E">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组成本合同的文件包括但不限于如下:(1)本合同及其补充协议;(2)中标(成交)通知书;(3)招标文件及相关文件(含澄清.答疑.修改.补遗);(4)投标文件(按招标文件规定要求的响应文件及其附件);(5)双方洽商形成的书面文件。文件解释和适用的先后顺序按上述排列顺序确定。</w:t>
      </w:r>
    </w:p>
    <w:p w14:paraId="1B8B9625">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2.如一方地址、电话、传真号码有变更，应在变更当日内书面通知对方，否则，应承担相应责任。</w:t>
      </w:r>
    </w:p>
    <w:p w14:paraId="097C4811">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3.除甲方事先书面同意外，乙方不得部分或全部转让其应履行的合同项下的义务</w:t>
      </w:r>
      <w:r>
        <w:rPr>
          <w:rFonts w:hint="eastAsia" w:ascii="宋体" w:hAnsi="宋体" w:cs="宋体"/>
          <w:color w:val="auto"/>
          <w:sz w:val="24"/>
          <w:szCs w:val="24"/>
          <w:highlight w:val="none"/>
          <w:lang w:val="en-US" w:eastAsia="zh-CN"/>
        </w:rPr>
        <w:t>，否则，甲方有权单方解除合同，并要求乙方按照合同预算金额的20%支付违约金</w:t>
      </w:r>
      <w:r>
        <w:rPr>
          <w:rFonts w:hint="eastAsia" w:ascii="宋体" w:hAnsi="宋体" w:eastAsia="宋体" w:cs="宋体"/>
          <w:color w:val="auto"/>
          <w:sz w:val="24"/>
          <w:szCs w:val="24"/>
          <w:highlight w:val="none"/>
          <w:lang w:val="en-US" w:eastAsia="zh-CN"/>
        </w:rPr>
        <w:t>。</w:t>
      </w:r>
    </w:p>
    <w:p w14:paraId="434DCF1B">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4.乙方必须严格遵守法律、法规、规章制度等规定，不得有弄虚作假、造事实等行为，如有违反并导致中标人资格被取消的，乙方需承担相应责任，甲方有权单方解除合同。</w:t>
      </w:r>
    </w:p>
    <w:p w14:paraId="3F79B7C5">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5.乙方须完全遵守《中华人民共和国劳动合同法》有关规定和《中华人民共和国妇女权益保障法》中关于“劳动和社会保障权益”的有关要求。</w:t>
      </w:r>
    </w:p>
    <w:p w14:paraId="6C973054">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6.合同自甲乙双方法人代表或其授权代表签字盖章之日起生效。合同一式6份，其中甲方执4份，乙方执2份，均具有同等法律效力。</w:t>
      </w:r>
    </w:p>
    <w:p w14:paraId="43BFF420">
      <w:pPr>
        <w:spacing w:line="560" w:lineRule="exact"/>
        <w:ind w:firstLine="480" w:firstLineChars="200"/>
        <w:rPr>
          <w:rFonts w:hint="eastAsia" w:ascii="宋体" w:hAnsi="宋体" w:eastAsia="宋体" w:cs="宋体"/>
          <w:color w:val="auto"/>
          <w:sz w:val="24"/>
          <w:szCs w:val="24"/>
          <w:highlight w:val="none"/>
          <w:lang w:val="en-US" w:eastAsia="zh-CN"/>
        </w:rPr>
      </w:pPr>
    </w:p>
    <w:p w14:paraId="1C896C50">
      <w:p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附件:1.廉洁自律承诺书(合作单位)</w:t>
      </w:r>
    </w:p>
    <w:p w14:paraId="388FBC36">
      <w:pPr>
        <w:numPr>
          <w:ilvl w:val="0"/>
          <w:numId w:val="1"/>
        </w:numPr>
        <w:spacing w:line="5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成交通知书</w:t>
      </w:r>
    </w:p>
    <w:p w14:paraId="42B23CDA">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64FB61CC">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06208353">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6401496B">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58647490">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1ABE8597">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color w:val="auto"/>
          <w:sz w:val="24"/>
          <w:szCs w:val="24"/>
          <w:highlight w:val="none"/>
        </w:rPr>
      </w:pPr>
      <w:r>
        <w:rPr>
          <w:rFonts w:ascii="宋体" w:hAnsi="宋体" w:cs="宋体"/>
          <w:b/>
          <w:color w:val="auto"/>
          <w:sz w:val="24"/>
          <w:szCs w:val="24"/>
          <w:highlight w:val="none"/>
        </w:rPr>
        <w:t xml:space="preserve">甲方（盖章）：                </w:t>
      </w:r>
      <w:r>
        <w:rPr>
          <w:rFonts w:hint="eastAsia" w:ascii="宋体" w:hAnsi="宋体" w:cs="宋体"/>
          <w:b/>
          <w:color w:val="auto"/>
          <w:sz w:val="24"/>
          <w:szCs w:val="24"/>
          <w:highlight w:val="none"/>
          <w:lang w:val="en-US" w:eastAsia="zh-CN"/>
        </w:rPr>
        <w:t xml:space="preserve">         </w:t>
      </w:r>
      <w:r>
        <w:rPr>
          <w:rFonts w:ascii="宋体" w:hAnsi="宋体" w:cs="宋体"/>
          <w:b/>
          <w:color w:val="auto"/>
          <w:sz w:val="24"/>
          <w:szCs w:val="24"/>
          <w:highlight w:val="none"/>
        </w:rPr>
        <w:t>乙方（盖章）：</w:t>
      </w:r>
    </w:p>
    <w:p w14:paraId="447BAF6B">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color w:val="auto"/>
          <w:sz w:val="24"/>
          <w:szCs w:val="24"/>
          <w:highlight w:val="none"/>
        </w:rPr>
      </w:pPr>
      <w:r>
        <w:rPr>
          <w:rFonts w:ascii="宋体" w:hAnsi="宋体" w:cs="宋体"/>
          <w:b/>
          <w:color w:val="auto"/>
          <w:sz w:val="24"/>
          <w:szCs w:val="24"/>
          <w:highlight w:val="none"/>
        </w:rPr>
        <w:t xml:space="preserve">代表：                      </w:t>
      </w:r>
      <w:r>
        <w:rPr>
          <w:rFonts w:hint="eastAsia" w:ascii="宋体" w:hAnsi="宋体" w:cs="宋体"/>
          <w:b/>
          <w:color w:val="auto"/>
          <w:sz w:val="24"/>
          <w:szCs w:val="24"/>
          <w:highlight w:val="none"/>
          <w:lang w:val="en-US" w:eastAsia="zh-CN"/>
        </w:rPr>
        <w:t xml:space="preserve">          </w:t>
      </w:r>
      <w:r>
        <w:rPr>
          <w:rFonts w:ascii="宋体" w:hAnsi="宋体" w:cs="宋体"/>
          <w:b/>
          <w:color w:val="auto"/>
          <w:sz w:val="24"/>
          <w:szCs w:val="24"/>
          <w:highlight w:val="none"/>
        </w:rPr>
        <w:t xml:space="preserve"> 代表：</w:t>
      </w:r>
    </w:p>
    <w:p w14:paraId="2AD70D91">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rFonts w:hint="default" w:eastAsia="宋体"/>
          <w:color w:val="auto"/>
          <w:sz w:val="24"/>
          <w:szCs w:val="24"/>
          <w:highlight w:val="none"/>
          <w:lang w:val="en-US" w:eastAsia="zh-CN"/>
        </w:rPr>
      </w:pPr>
      <w:r>
        <w:rPr>
          <w:rFonts w:ascii="宋体" w:hAnsi="宋体" w:cs="宋体"/>
          <w:color w:val="auto"/>
          <w:sz w:val="24"/>
          <w:szCs w:val="24"/>
          <w:highlight w:val="none"/>
        </w:rPr>
        <w:t>签订地点：</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签订地点：</w:t>
      </w:r>
    </w:p>
    <w:p w14:paraId="5B806945">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color w:val="auto"/>
          <w:sz w:val="24"/>
          <w:szCs w:val="24"/>
          <w:highlight w:val="none"/>
        </w:rPr>
      </w:pPr>
      <w:r>
        <w:rPr>
          <w:rFonts w:ascii="宋体" w:hAnsi="宋体" w:cs="宋体"/>
          <w:color w:val="auto"/>
          <w:sz w:val="24"/>
          <w:szCs w:val="24"/>
          <w:highlight w:val="none"/>
        </w:rPr>
        <w:t xml:space="preserve">签订日期：　　　年　　月　　日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签订日期：　　　年　　月　　日</w:t>
      </w:r>
    </w:p>
    <w:p w14:paraId="4A278B10">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jc w:val="both"/>
        <w:textAlignment w:val="auto"/>
        <w:rPr>
          <w:color w:val="auto"/>
          <w:sz w:val="24"/>
          <w:szCs w:val="24"/>
          <w:highlight w:val="none"/>
        </w:rPr>
      </w:pPr>
      <w:r>
        <w:rPr>
          <w:rFonts w:hint="eastAsia" w:ascii="宋体" w:hAnsi="宋体"/>
          <w:color w:val="auto"/>
          <w:sz w:val="24"/>
          <w:highlight w:val="none"/>
          <w:lang w:val="en-US" w:eastAsia="zh-CN"/>
        </w:rPr>
        <w:t xml:space="preserve">                                        </w:t>
      </w:r>
      <w:r>
        <w:rPr>
          <w:rFonts w:ascii="宋体" w:hAnsi="宋体" w:cs="宋体"/>
          <w:color w:val="auto"/>
          <w:sz w:val="24"/>
          <w:szCs w:val="24"/>
          <w:highlight w:val="none"/>
        </w:rPr>
        <w:t>开户名称：</w:t>
      </w:r>
    </w:p>
    <w:p w14:paraId="6E546D61">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0" w:firstLineChars="2000"/>
        <w:jc w:val="both"/>
        <w:textAlignment w:val="auto"/>
        <w:rPr>
          <w:rFonts w:ascii="宋体" w:hAnsi="宋体" w:cs="宋体"/>
          <w:color w:val="auto"/>
          <w:sz w:val="24"/>
          <w:szCs w:val="24"/>
          <w:highlight w:val="none"/>
        </w:rPr>
      </w:pPr>
      <w:r>
        <w:rPr>
          <w:rFonts w:ascii="宋体" w:hAnsi="宋体" w:cs="宋体"/>
          <w:color w:val="auto"/>
          <w:sz w:val="24"/>
          <w:szCs w:val="24"/>
          <w:highlight w:val="none"/>
        </w:rPr>
        <w:t>银行帐号：</w:t>
      </w:r>
    </w:p>
    <w:p w14:paraId="7EA68368">
      <w:pPr>
        <w:pStyle w:val="5"/>
        <w:keepNext w:val="0"/>
        <w:keepLines w:val="0"/>
        <w:pageBreakBefore w:val="0"/>
        <w:widowControl/>
        <w:shd w:val="clear" w:color="auto" w:fill="FFFFFF"/>
        <w:kinsoku/>
        <w:wordWrap/>
        <w:overflowPunct/>
        <w:topLinePunct w:val="0"/>
        <w:autoSpaceDE/>
        <w:autoSpaceDN/>
        <w:bidi w:val="0"/>
        <w:adjustRightInd/>
        <w:snapToGrid/>
        <w:spacing w:line="560" w:lineRule="exact"/>
        <w:ind w:firstLine="4800" w:firstLineChars="2000"/>
        <w:jc w:val="both"/>
        <w:textAlignment w:val="auto"/>
        <w:rPr>
          <w:color w:val="auto"/>
          <w:sz w:val="24"/>
          <w:szCs w:val="24"/>
          <w:highlight w:val="none"/>
        </w:rPr>
      </w:pPr>
      <w:r>
        <w:rPr>
          <w:rFonts w:ascii="宋体" w:hAnsi="宋体" w:cs="宋体"/>
          <w:color w:val="auto"/>
          <w:sz w:val="24"/>
          <w:szCs w:val="24"/>
          <w:highlight w:val="none"/>
        </w:rPr>
        <w:t>开 户 行：</w:t>
      </w:r>
    </w:p>
    <w:p w14:paraId="2C2E0F36">
      <w:pPr>
        <w:adjustRightInd w:val="0"/>
        <w:snapToGrid w:val="0"/>
        <w:spacing w:line="560" w:lineRule="exact"/>
        <w:ind w:left="4" w:firstLine="480" w:firstLineChars="200"/>
        <w:rPr>
          <w:rFonts w:hint="default" w:ascii="宋体" w:hAnsi="宋体" w:eastAsia="宋体"/>
          <w:color w:val="auto"/>
          <w:sz w:val="24"/>
          <w:highlight w:val="none"/>
          <w:lang w:val="en-US" w:eastAsia="zh-CN"/>
        </w:rPr>
      </w:pPr>
    </w:p>
    <w:p w14:paraId="3241CFA3">
      <w:pPr>
        <w:widowControl w:val="0"/>
        <w:numPr>
          <w:ilvl w:val="0"/>
          <w:numId w:val="0"/>
        </w:numPr>
        <w:spacing w:line="560" w:lineRule="exact"/>
        <w:jc w:val="both"/>
        <w:rPr>
          <w:rFonts w:hint="eastAsia" w:ascii="宋体" w:hAnsi="宋体" w:eastAsia="宋体" w:cs="宋体"/>
          <w:color w:val="auto"/>
          <w:sz w:val="24"/>
          <w:szCs w:val="24"/>
          <w:highlight w:val="none"/>
          <w:lang w:val="en-US" w:eastAsia="zh-CN"/>
        </w:rPr>
      </w:pPr>
    </w:p>
    <w:p w14:paraId="6035616E">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left="0" w:leftChars="0" w:firstLine="600" w:firstLineChars="300"/>
        <w:jc w:val="both"/>
        <w:textAlignment w:val="auto"/>
        <w:rPr>
          <w:color w:val="auto"/>
          <w:highlight w:val="none"/>
        </w:rPr>
      </w:pPr>
    </w:p>
    <w:p w14:paraId="46CFEBC1">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left="0" w:leftChars="0" w:firstLine="600" w:firstLineChars="300"/>
        <w:jc w:val="both"/>
        <w:textAlignment w:val="auto"/>
        <w:rPr>
          <w:color w:val="auto"/>
          <w:highlight w:val="none"/>
        </w:rPr>
      </w:pPr>
    </w:p>
    <w:p w14:paraId="3E511011">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left="0" w:leftChars="0" w:firstLine="0" w:firstLineChars="0"/>
        <w:jc w:val="both"/>
        <w:textAlignment w:val="auto"/>
        <w:rPr>
          <w:color w:val="auto"/>
          <w:highlight w:val="none"/>
        </w:rPr>
      </w:pPr>
    </w:p>
    <w:p w14:paraId="19228C3E">
      <w:pPr>
        <w:pStyle w:val="5"/>
        <w:keepNext w:val="0"/>
        <w:keepLines w:val="0"/>
        <w:pageBreakBefore w:val="0"/>
        <w:widowControl/>
        <w:shd w:val="clear" w:color="auto" w:fill="FFFFFF"/>
        <w:kinsoku/>
        <w:wordWrap/>
        <w:overflowPunct/>
        <w:topLinePunct w:val="0"/>
        <w:autoSpaceDE/>
        <w:autoSpaceDN/>
        <w:bidi w:val="0"/>
        <w:adjustRightInd/>
        <w:snapToGrid/>
        <w:spacing w:line="480" w:lineRule="auto"/>
        <w:ind w:firstLine="560" w:firstLineChars="200"/>
        <w:jc w:val="both"/>
        <w:textAlignment w:val="auto"/>
        <w:rPr>
          <w:rFonts w:ascii="宋体" w:hAnsi="宋体" w:cs="宋体"/>
          <w:color w:val="auto"/>
          <w:sz w:val="28"/>
          <w:szCs w:val="28"/>
          <w:highlight w:val="none"/>
        </w:rPr>
      </w:pPr>
    </w:p>
    <w:p w14:paraId="4A75045E">
      <w:pPr>
        <w:pStyle w:val="5"/>
        <w:spacing w:line="560" w:lineRule="exact"/>
        <w:ind w:firstLine="0" w:firstLineChars="0"/>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eastAsia="zh-CN"/>
        </w:rPr>
        <w:t xml:space="preserve">附件 </w:t>
      </w:r>
      <w:r>
        <w:rPr>
          <w:rFonts w:hint="eastAsia" w:ascii="宋体" w:hAnsi="宋体" w:cs="宋体"/>
          <w:color w:val="auto"/>
          <w:kern w:val="2"/>
          <w:sz w:val="24"/>
          <w:szCs w:val="24"/>
          <w:highlight w:val="none"/>
          <w:lang w:val="en-US" w:eastAsia="zh-CN"/>
        </w:rPr>
        <w:t>1</w:t>
      </w:r>
    </w:p>
    <w:p w14:paraId="2E58445C">
      <w:pPr>
        <w:pStyle w:val="5"/>
        <w:ind w:firstLine="1968" w:firstLineChars="700"/>
        <w:rPr>
          <w:rFonts w:hint="default"/>
          <w:b/>
          <w:bCs/>
          <w:color w:val="auto"/>
          <w:sz w:val="28"/>
          <w:szCs w:val="28"/>
          <w:highlight w:val="none"/>
        </w:rPr>
      </w:pPr>
      <w:r>
        <w:rPr>
          <w:rFonts w:hint="default"/>
          <w:b/>
          <w:bCs/>
          <w:color w:val="auto"/>
          <w:sz w:val="28"/>
          <w:szCs w:val="28"/>
          <w:highlight w:val="none"/>
        </w:rPr>
        <w:t>廉洁自律承诺书（合作单位）</w:t>
      </w:r>
    </w:p>
    <w:p w14:paraId="1BD61A16">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我单位作为广州市殡葬服务中心（以下简称中心）的合作单位，与中心签署《广州市殡葬服务中心骨灰盒箱（盅）遗像及灵牌位制作服务采购项目合同》（以下称“合同”）。现就合同履行期间的廉洁自律工作做以下郑重承诺：</w:t>
      </w:r>
    </w:p>
    <w:p w14:paraId="0951E6A9">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一、在合同履行过程中，我单位将严格遵守国家法律、法规以及中心的相关纪律规定，依法经营、诚实守信、公平竞争、规范服务，自觉抵制不正当手段竞争行为，切实维护中心利益和办丧群众合法权益，共同打造廉洁殡葬形象。</w:t>
      </w:r>
    </w:p>
    <w:p w14:paraId="78C773E5">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二、合同履行期间，我单位保证廉洁自律，遵守商业道德，诚信经营，确保本单位员工不做有损中心利益的事，不泄露中心的商业秘密及其他相关工作信息，不利用为中心供货提供或服务的便利谋取不正当利益。</w:t>
      </w:r>
    </w:p>
    <w:p w14:paraId="15D89F36">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三、我单位将加强员工的职业技能和职业道德教育，做好岗位培训、形象培训，工作中注意文明礼貌用语，树立“在中心服务就是代表中心形象”的意识，共同维护中心的良好形象。做好员工的廉洁教育，确保员工不利用职务便利向群众索取或收取红包、利是、小费及其他相关财物。</w:t>
      </w:r>
    </w:p>
    <w:p w14:paraId="48C4575B">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四、合同签署及履行期间，绝不向中心工作人员提供礼金、回扣、红包等财物，以谋取不正当利益。</w:t>
      </w:r>
    </w:p>
    <w:p w14:paraId="644FF2E5">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五、在工作中如发现中心工作人员或其他第三人有违法违纪和损坏中心利益及形象的行为，应及时制止，并向中心</w:t>
      </w:r>
    </w:p>
    <w:p w14:paraId="058AFF35">
      <w:pPr>
        <w:pStyle w:val="5"/>
        <w:spacing w:line="560" w:lineRule="exact"/>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举报。</w:t>
      </w:r>
    </w:p>
    <w:p w14:paraId="25DC1F97">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六、自觉接受政府部门、社会和中心的监督。如我单位员工在工作过程中，因违反有关规定给中心造成不良影响的，我单位将主动承担一切责任，赔偿一切经济损失，并采取积极有效手段消除不良影响。</w:t>
      </w:r>
    </w:p>
    <w:p w14:paraId="419FFE4F">
      <w:pPr>
        <w:pStyle w:val="5"/>
        <w:spacing w:line="560" w:lineRule="exact"/>
        <w:ind w:firstLine="480" w:firstLineChars="200"/>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七、我单位承诺严格遵守以上事项，如有违反，视为我单位严重违约，中心可作解除合同处理，还可向政府信用信息部门举报，同时将我单位列入不再合作名单。</w:t>
      </w:r>
    </w:p>
    <w:p w14:paraId="7056C36C">
      <w:pPr>
        <w:pStyle w:val="5"/>
        <w:spacing w:line="560" w:lineRule="exact"/>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特此承诺。</w:t>
      </w:r>
    </w:p>
    <w:p w14:paraId="7A5AD12C">
      <w:pPr>
        <w:pStyle w:val="5"/>
        <w:spacing w:line="560" w:lineRule="exact"/>
        <w:rPr>
          <w:rFonts w:hint="eastAsia" w:ascii="宋体" w:hAnsi="宋体" w:cs="宋体"/>
          <w:color w:val="auto"/>
          <w:kern w:val="2"/>
          <w:sz w:val="24"/>
          <w:szCs w:val="24"/>
          <w:highlight w:val="none"/>
          <w:lang w:eastAsia="zh-CN"/>
        </w:rPr>
      </w:pPr>
    </w:p>
    <w:p w14:paraId="0751BE92">
      <w:pPr>
        <w:pStyle w:val="5"/>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合作项目名称：</w:t>
      </w:r>
    </w:p>
    <w:p w14:paraId="3A418B0D">
      <w:pPr>
        <w:pStyle w:val="5"/>
        <w:rPr>
          <w:rFonts w:hint="eastAsia" w:ascii="宋体" w:hAnsi="宋体" w:cs="宋体"/>
          <w:color w:val="auto"/>
          <w:kern w:val="2"/>
          <w:sz w:val="24"/>
          <w:szCs w:val="24"/>
          <w:highlight w:val="none"/>
          <w:lang w:eastAsia="zh-CN"/>
        </w:rPr>
      </w:pPr>
    </w:p>
    <w:p w14:paraId="706D256B">
      <w:pPr>
        <w:pStyle w:val="5"/>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单位（盖章）：</w:t>
      </w:r>
    </w:p>
    <w:p w14:paraId="2CAF8FB0">
      <w:pPr>
        <w:pStyle w:val="5"/>
        <w:rPr>
          <w:rFonts w:hint="eastAsia" w:ascii="宋体" w:hAnsi="宋体" w:cs="宋体"/>
          <w:color w:val="auto"/>
          <w:kern w:val="2"/>
          <w:sz w:val="24"/>
          <w:szCs w:val="24"/>
          <w:highlight w:val="none"/>
          <w:lang w:eastAsia="zh-CN"/>
        </w:rPr>
      </w:pPr>
    </w:p>
    <w:p w14:paraId="322F31D8">
      <w:pPr>
        <w:pStyle w:val="5"/>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法定代表人（或授权代表）签名：</w:t>
      </w:r>
    </w:p>
    <w:p w14:paraId="2E822E4E">
      <w:pPr>
        <w:pStyle w:val="5"/>
        <w:rPr>
          <w:rFonts w:hint="eastAsia" w:ascii="宋体" w:hAnsi="宋体" w:cs="宋体"/>
          <w:color w:val="auto"/>
          <w:kern w:val="2"/>
          <w:sz w:val="24"/>
          <w:szCs w:val="24"/>
          <w:highlight w:val="none"/>
          <w:lang w:eastAsia="zh-CN"/>
        </w:rPr>
      </w:pPr>
    </w:p>
    <w:p w14:paraId="31299DBC">
      <w:pPr>
        <w:pStyle w:val="5"/>
        <w:rPr>
          <w:rFonts w:hint="eastAsia" w:ascii="宋体" w:hAnsi="宋体" w:cs="宋体"/>
          <w:color w:val="auto"/>
          <w:kern w:val="2"/>
          <w:sz w:val="24"/>
          <w:szCs w:val="24"/>
          <w:highlight w:val="none"/>
          <w:lang w:eastAsia="zh-CN"/>
        </w:rPr>
      </w:pPr>
      <w:r>
        <w:rPr>
          <w:rFonts w:hint="eastAsia" w:ascii="宋体" w:hAnsi="宋体" w:cs="宋体"/>
          <w:color w:val="auto"/>
          <w:kern w:val="2"/>
          <w:sz w:val="24"/>
          <w:szCs w:val="24"/>
          <w:highlight w:val="none"/>
          <w:lang w:eastAsia="zh-CN"/>
        </w:rPr>
        <w:t>日期：</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lang w:eastAsia="zh-CN"/>
        </w:rPr>
        <w:t>年</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lang w:eastAsia="zh-CN"/>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lang w:eastAsia="zh-CN"/>
        </w:rPr>
        <w:t>日</w:t>
      </w:r>
    </w:p>
    <w:p w14:paraId="39D7F6AE">
      <w:pPr>
        <w:pStyle w:val="5"/>
        <w:rPr>
          <w:rFonts w:hint="default"/>
          <w:color w:val="auto"/>
          <w:highlight w:val="none"/>
        </w:rPr>
      </w:pPr>
    </w:p>
    <w:p w14:paraId="66EB3DB8">
      <w:pPr>
        <w:pStyle w:val="5"/>
        <w:shd w:val="clear" w:color="auto" w:fill="FFFFFF"/>
        <w:spacing w:line="560" w:lineRule="exact"/>
        <w:jc w:val="both"/>
        <w:rPr>
          <w:rFonts w:hint="eastAsia" w:ascii="宋体" w:hAnsi="宋体" w:cs="宋体"/>
          <w:color w:val="auto"/>
          <w:sz w:val="24"/>
          <w:szCs w:val="24"/>
          <w:highlight w:val="none"/>
        </w:rPr>
      </w:pPr>
    </w:p>
    <w:p w14:paraId="6AA70441">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KSOF7FC4CF2A">
    <w:panose1 w:val="020B0604020202020204"/>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CAFCC"/>
    <w:multiLevelType w:val="singleLevel"/>
    <w:tmpl w:val="035CAFCC"/>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1B29FE"/>
    <w:rsid w:val="30BF5E88"/>
    <w:rsid w:val="5A1B2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4938</Words>
  <Characters>5059</Characters>
  <Lines>0</Lines>
  <Paragraphs>0</Paragraphs>
  <TotalTime>0</TotalTime>
  <ScaleCrop>false</ScaleCrop>
  <LinksUpToDate>false</LinksUpToDate>
  <CharactersWithSpaces>5375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2026-06-05T07:30:00Z</dcterms:created>
  <dc:creator>徐刚</dc:creator>
  <cp:lastModifiedBy>徐刚</cp:lastModifiedBy>
  <dcterms:modified xsi:type="dcterms:W3CDTF">2026-06-10T02:53:13Z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57667DBF8F9248CA8FC79DF4121357FA_11</vt:lpwstr>
  </property>
  <property fmtid="{D5CDD505-2E9C-101B-9397-08002B2CF9AE}" pid="4" name="KSOTemplateDocerSaveRecord">
    <vt:lpwstr>eyJoZGlkIjoiYTliNmY2YjQ0YjU1Mjg0YmJmZDkzOTQ2MWFjMDJlZTYiLCJ1c2VySWQiOiIzMjQ1MTU5MDQifQ==</vt:lpwstr>
  </property>
</Properties>
</file>