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版本号：N513326202600008820260617001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道孚县鲜水镇居民区更新改造项目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N5133262026000088</w:t>
      </w:r>
    </w:p>
    <w:p>
      <w:pPr>
        <w:pStyle w:val="null3"/>
        <w:jc w:val="left"/>
        <w:outlineLvl w:val="2"/>
      </w:pPr>
      <w:r>
        <w:rPr>
          <w:rFonts w:ascii="仿宋_GB2312" w:hAnsi="仿宋_GB2312" w:cs="仿宋_GB2312" w:eastAsia="仿宋_GB2312"/>
          <w:sz w:val="28"/>
          <w:b/>
        </w:rPr>
        <w:t>道孚县发展和改革局</w:t>
      </w:r>
    </w:p>
    <w:p>
      <w:pPr>
        <w:pStyle w:val="null3"/>
        <w:jc w:val="center"/>
        <w:outlineLvl w:val="2"/>
      </w:pPr>
      <w:r>
        <w:rPr>
          <w:rFonts w:ascii="仿宋_GB2312" w:hAnsi="仿宋_GB2312" w:cs="仿宋_GB2312" w:eastAsia="仿宋_GB2312"/>
          <w:sz w:val="28"/>
          <w:b/>
        </w:rPr>
        <w:t>重庆大正建设工程经济技术有限公司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（以下简称“代理机构”）受 </w:t>
      </w:r>
      <w:r>
        <w:rPr>
          <w:rFonts w:ascii="仿宋_GB2312" w:hAnsi="仿宋_GB2312" w:cs="仿宋_GB2312" w:eastAsia="仿宋_GB2312"/>
        </w:rPr>
        <w:t>道孚县发展和改革局</w:t>
      </w:r>
      <w:r>
        <w:rPr>
          <w:rFonts w:ascii="仿宋_GB2312" w:hAnsi="仿宋_GB2312" w:cs="仿宋_GB2312" w:eastAsia="仿宋_GB2312"/>
        </w:rPr>
        <w:t xml:space="preserve"> 委托，拟对 </w:t>
      </w:r>
      <w:r>
        <w:rPr>
          <w:rFonts w:ascii="仿宋_GB2312" w:hAnsi="仿宋_GB2312" w:cs="仿宋_GB2312" w:eastAsia="仿宋_GB2312"/>
        </w:rPr>
        <w:t>道孚县鲜水镇居民区更新改造项目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甘孜藏族自治州道孚县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N5133262026000088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道孚县鲜水镇居民区更新改造项目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该项目位于道孚县鲜水镇，项目总投资:1900万元。项目主要内容: 主要包括道路照明、街道亮化工程、道路修复工程、围墙修复等工程。其中:道路照明包含县道照明更新改造路灯114套，巷道照明改造路灯250套;街道亮化工程包含照明配电箱10台及节点照明灯改造;道路修复工程包含主街道10300平方米，支巷3750平方米;围墙修复1247米。</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供应商以联合体形式参加本采购包的，联合体各方均应当为中小企业。组成联合体的中小企业与联合体内其他企业之间不得存在直接控股、管理关系。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备国家建设行政主管部门颁发的工程设计市政行业（燃气工程、轨道交通工程除外）乙级及以上资质和工程勘察专业类（岩土工程（勘察））乙级及以上资质（描述：供应商具备国家建设行政主管部门颁发的工程设计市政行业（燃气工程、轨道交通工程除外）乙级及以上资质和工程勘察专业类（岩土工程（勘察））乙级及以上资质（提供有效的资质证书复印件并进行电子签章））</w:t>
      </w:r>
    </w:p>
    <w:p>
      <w:pPr>
        <w:pStyle w:val="null3"/>
        <w:jc w:val="left"/>
      </w:pPr>
      <w:r>
        <w:rPr>
          <w:rFonts w:ascii="仿宋_GB2312" w:hAnsi="仿宋_GB2312" w:cs="仿宋_GB2312" w:eastAsia="仿宋_GB2312"/>
        </w:rPr>
        <w:t>2、本项目接受联合体参与磋商（描述：（1）若组成联合体投标，联合体成员必须签订联合体协议，联合体牵头人为工程设计市政行业（燃气工程、轨道交通工程除外）乙级及上资质，并明确各联合体成员单位所承担的服务范围、服务内容、责任和权利。（2）已组成联合体的单位不能再与其他单位组成联合体参加投标。（3）联合体成员不得超过2家；企业集团母、子公司不得分别组成联合体投标。（4）若为非联合体参与投标则不提供。）</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道孚县发展和改革局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道孚县鲜水镇</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惠路鸣</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18190227337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重庆大正建设工程经济技术有限公司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成都市金牛区蜀西路88号6号门7051-7060</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028-86669985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采购包1：666,300.00元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代理服务费收费标准：按照《四川省政府采购营商环境指标提升专项行动工作方案》规定的 “成本 + 合理利润” 原则执行，以项目成交价为基数，按 1.5% 的基准费率下浮 20% 计取相关费用</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道孚县发展和改革局</w:t>
      </w:r>
      <w:r>
        <w:rPr>
          <w:rFonts w:ascii="仿宋_GB2312" w:hAnsi="仿宋_GB2312" w:cs="仿宋_GB2312" w:eastAsia="仿宋_GB2312"/>
        </w:rPr>
        <w:t xml:space="preserve"> 和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道孚县发展和改革局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一次性验收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其他未尽事宜将按照《财政部关于进一步加强政府采购需求和履约验收管理的指导意见》(财库(2016) 205号)、《政府采购需求管理办法》(财库(2021) 22号)的要求及国家行业主管部门规定的标准、方法和内容进行验收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按照本项目采购文件中“技术要求”及成交人响应文件进行验收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按照本项目采购文件中“商务服务要求”及成交人响应文件进行验收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 205号)、《政府采购需求管理办法》(财库(2021) 22号)的要求及国家行业主管部门规定的标准、方法和内容进行验收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道孚县发展和改革局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联系人：惠老师</w:t>
      </w:r>
    </w:p>
    <w:p>
      <w:pPr>
        <w:pStyle w:val="null3"/>
        <w:jc w:val="left"/>
      </w:pPr>
      <w:r>
        <w:rPr>
          <w:rFonts w:ascii="仿宋_GB2312" w:hAnsi="仿宋_GB2312" w:cs="仿宋_GB2312" w:eastAsia="仿宋_GB2312"/>
        </w:rPr>
        <w:t>联系电话：18190227337</w:t>
      </w:r>
    </w:p>
    <w:p>
      <w:pPr>
        <w:pStyle w:val="null3"/>
        <w:jc w:val="left"/>
      </w:pPr>
      <w:r>
        <w:rPr>
          <w:rFonts w:ascii="仿宋_GB2312" w:hAnsi="仿宋_GB2312" w:cs="仿宋_GB2312" w:eastAsia="仿宋_GB2312"/>
        </w:rPr>
        <w:t>地址：道孚县鲜水镇</w:t>
      </w:r>
    </w:p>
    <w:p>
      <w:pPr>
        <w:pStyle w:val="null3"/>
        <w:jc w:val="left"/>
      </w:pPr>
      <w:r>
        <w:rPr>
          <w:rFonts w:ascii="仿宋_GB2312" w:hAnsi="仿宋_GB2312" w:cs="仿宋_GB2312" w:eastAsia="仿宋_GB2312"/>
        </w:rPr>
        <w:t>邮编：626400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联系人：唐老师</w:t>
      </w:r>
    </w:p>
    <w:p>
      <w:pPr>
        <w:pStyle w:val="null3"/>
        <w:jc w:val="left"/>
      </w:pPr>
      <w:r>
        <w:rPr>
          <w:rFonts w:ascii="仿宋_GB2312" w:hAnsi="仿宋_GB2312" w:cs="仿宋_GB2312" w:eastAsia="仿宋_GB2312"/>
        </w:rPr>
        <w:t>联系电话：028-86669985</w:t>
      </w:r>
    </w:p>
    <w:p>
      <w:pPr>
        <w:pStyle w:val="null3"/>
        <w:jc w:val="left"/>
      </w:pPr>
      <w:r>
        <w:rPr>
          <w:rFonts w:ascii="仿宋_GB2312" w:hAnsi="仿宋_GB2312" w:cs="仿宋_GB2312" w:eastAsia="仿宋_GB2312"/>
        </w:rPr>
        <w:t>地址：成都市金牛区蜀西路88号6号门7051-7060</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666,300.00</w:t>
      </w:r>
    </w:p>
    <w:p>
      <w:pPr>
        <w:pStyle w:val="null3"/>
        <w:jc w:val="left"/>
      </w:pPr>
      <w:r>
        <w:rPr>
          <w:rFonts w:ascii="仿宋_GB2312" w:hAnsi="仿宋_GB2312" w:cs="仿宋_GB2312" w:eastAsia="仿宋_GB2312"/>
        </w:rPr>
        <w:t>采购包最高限价（元）: 666,300.00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道孚县鲜水镇居民区更新改造项目勘察设计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666,300.00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道孚县鲜水镇居民区更新改造项目勘察设计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666,300.00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标的名称：道孚县鲜水镇居民区更新改造项目勘察设计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勘察设计服务要求</w:t>
            </w:r>
          </w:p>
        </w:tc>
        <w:tc>
          <w:tcPr>
            <w:tcW w:type="dxa" w:w="5814"/>
          </w:tcPr>
          <w:p>
            <w:pPr>
              <w:pStyle w:val="null3"/>
              <w:ind w:firstLine="480"/>
              <w:jc w:val="both"/>
            </w:pPr>
            <w:r>
              <w:rPr>
                <w:rFonts w:ascii="仿宋_GB2312" w:hAnsi="仿宋_GB2312" w:cs="仿宋_GB2312" w:eastAsia="仿宋_GB2312"/>
                <w:sz w:val="24"/>
              </w:rPr>
              <w:t>一、项目背景介绍</w:t>
            </w:r>
          </w:p>
          <w:p>
            <w:pPr>
              <w:pStyle w:val="null3"/>
              <w:ind w:firstLine="480"/>
              <w:jc w:val="both"/>
            </w:pPr>
            <w:r>
              <w:rPr>
                <w:rFonts w:ascii="仿宋_GB2312" w:hAnsi="仿宋_GB2312" w:cs="仿宋_GB2312" w:eastAsia="仿宋_GB2312"/>
                <w:sz w:val="24"/>
              </w:rPr>
              <w:t>该项目位于道孚县鲜水镇，项目总投资</w:t>
            </w:r>
            <w:r>
              <w:rPr>
                <w:rFonts w:ascii="仿宋_GB2312" w:hAnsi="仿宋_GB2312" w:cs="仿宋_GB2312" w:eastAsia="仿宋_GB2312"/>
                <w:sz w:val="24"/>
              </w:rPr>
              <w:t>:</w:t>
            </w:r>
            <w:r>
              <w:rPr>
                <w:rFonts w:ascii="仿宋_GB2312" w:hAnsi="仿宋_GB2312" w:cs="仿宋_GB2312" w:eastAsia="仿宋_GB2312"/>
                <w:sz w:val="24"/>
              </w:rPr>
              <w:t>1900</w:t>
            </w:r>
            <w:r>
              <w:rPr>
                <w:rFonts w:ascii="仿宋_GB2312" w:hAnsi="仿宋_GB2312" w:cs="仿宋_GB2312" w:eastAsia="仿宋_GB2312"/>
                <w:sz w:val="24"/>
              </w:rPr>
              <w:t>万元。项目主要内容</w:t>
            </w:r>
            <w:r>
              <w:rPr>
                <w:rFonts w:ascii="仿宋_GB2312" w:hAnsi="仿宋_GB2312" w:cs="仿宋_GB2312" w:eastAsia="仿宋_GB2312"/>
                <w:sz w:val="24"/>
              </w:rPr>
              <w:t>:</w:t>
            </w:r>
            <w:r>
              <w:rPr>
                <w:rFonts w:ascii="仿宋_GB2312" w:hAnsi="仿宋_GB2312" w:cs="仿宋_GB2312" w:eastAsia="仿宋_GB2312"/>
                <w:sz w:val="24"/>
              </w:rPr>
              <w:t>主要包括道路照明、街道亮化工程、道路修复工程、围墙修复等工程。其中</w:t>
            </w:r>
            <w:r>
              <w:rPr>
                <w:rFonts w:ascii="仿宋_GB2312" w:hAnsi="仿宋_GB2312" w:cs="仿宋_GB2312" w:eastAsia="仿宋_GB2312"/>
                <w:sz w:val="24"/>
              </w:rPr>
              <w:t>:</w:t>
            </w:r>
            <w:r>
              <w:rPr>
                <w:rFonts w:ascii="仿宋_GB2312" w:hAnsi="仿宋_GB2312" w:cs="仿宋_GB2312" w:eastAsia="仿宋_GB2312"/>
                <w:sz w:val="24"/>
              </w:rPr>
              <w:t>道路照明包含县道照明更新改造路灯</w:t>
            </w:r>
            <w:r>
              <w:rPr>
                <w:rFonts w:ascii="仿宋_GB2312" w:hAnsi="仿宋_GB2312" w:cs="仿宋_GB2312" w:eastAsia="仿宋_GB2312"/>
                <w:sz w:val="24"/>
              </w:rPr>
              <w:t>114</w:t>
            </w:r>
            <w:r>
              <w:rPr>
                <w:rFonts w:ascii="仿宋_GB2312" w:hAnsi="仿宋_GB2312" w:cs="仿宋_GB2312" w:eastAsia="仿宋_GB2312"/>
                <w:sz w:val="24"/>
              </w:rPr>
              <w:t>套，巷道照明改造路灯</w:t>
            </w:r>
            <w:r>
              <w:rPr>
                <w:rFonts w:ascii="仿宋_GB2312" w:hAnsi="仿宋_GB2312" w:cs="仿宋_GB2312" w:eastAsia="仿宋_GB2312"/>
                <w:sz w:val="24"/>
              </w:rPr>
              <w:t>250</w:t>
            </w:r>
            <w:r>
              <w:rPr>
                <w:rFonts w:ascii="仿宋_GB2312" w:hAnsi="仿宋_GB2312" w:cs="仿宋_GB2312" w:eastAsia="仿宋_GB2312"/>
                <w:sz w:val="24"/>
              </w:rPr>
              <w:t>套</w:t>
            </w:r>
            <w:r>
              <w:rPr>
                <w:rFonts w:ascii="仿宋_GB2312" w:hAnsi="仿宋_GB2312" w:cs="仿宋_GB2312" w:eastAsia="仿宋_GB2312"/>
                <w:sz w:val="24"/>
              </w:rPr>
              <w:t>;</w:t>
            </w:r>
            <w:r>
              <w:rPr>
                <w:rFonts w:ascii="仿宋_GB2312" w:hAnsi="仿宋_GB2312" w:cs="仿宋_GB2312" w:eastAsia="仿宋_GB2312"/>
                <w:sz w:val="24"/>
              </w:rPr>
              <w:t>街道亮化工程包含照明配电箱</w:t>
            </w:r>
            <w:r>
              <w:rPr>
                <w:rFonts w:ascii="仿宋_GB2312" w:hAnsi="仿宋_GB2312" w:cs="仿宋_GB2312" w:eastAsia="仿宋_GB2312"/>
                <w:sz w:val="24"/>
              </w:rPr>
              <w:t>10</w:t>
            </w:r>
            <w:r>
              <w:rPr>
                <w:rFonts w:ascii="仿宋_GB2312" w:hAnsi="仿宋_GB2312" w:cs="仿宋_GB2312" w:eastAsia="仿宋_GB2312"/>
                <w:sz w:val="24"/>
              </w:rPr>
              <w:t>台及节点照明灯改造</w:t>
            </w:r>
            <w:r>
              <w:rPr>
                <w:rFonts w:ascii="仿宋_GB2312" w:hAnsi="仿宋_GB2312" w:cs="仿宋_GB2312" w:eastAsia="仿宋_GB2312"/>
                <w:sz w:val="24"/>
              </w:rPr>
              <w:t>;</w:t>
            </w:r>
            <w:r>
              <w:rPr>
                <w:rFonts w:ascii="仿宋_GB2312" w:hAnsi="仿宋_GB2312" w:cs="仿宋_GB2312" w:eastAsia="仿宋_GB2312"/>
                <w:sz w:val="24"/>
              </w:rPr>
              <w:t>道路修复工程包含主街道</w:t>
            </w:r>
            <w:r>
              <w:rPr>
                <w:rFonts w:ascii="仿宋_GB2312" w:hAnsi="仿宋_GB2312" w:cs="仿宋_GB2312" w:eastAsia="仿宋_GB2312"/>
                <w:sz w:val="24"/>
              </w:rPr>
              <w:t>10300</w:t>
            </w:r>
            <w:r>
              <w:rPr>
                <w:rFonts w:ascii="仿宋_GB2312" w:hAnsi="仿宋_GB2312" w:cs="仿宋_GB2312" w:eastAsia="仿宋_GB2312"/>
                <w:sz w:val="24"/>
              </w:rPr>
              <w:t>平方米，支巷</w:t>
            </w:r>
            <w:r>
              <w:rPr>
                <w:rFonts w:ascii="仿宋_GB2312" w:hAnsi="仿宋_GB2312" w:cs="仿宋_GB2312" w:eastAsia="仿宋_GB2312"/>
                <w:sz w:val="24"/>
              </w:rPr>
              <w:t>3750</w:t>
            </w:r>
            <w:r>
              <w:rPr>
                <w:rFonts w:ascii="仿宋_GB2312" w:hAnsi="仿宋_GB2312" w:cs="仿宋_GB2312" w:eastAsia="仿宋_GB2312"/>
                <w:sz w:val="24"/>
              </w:rPr>
              <w:t>平方米</w:t>
            </w:r>
            <w:r>
              <w:rPr>
                <w:rFonts w:ascii="仿宋_GB2312" w:hAnsi="仿宋_GB2312" w:cs="仿宋_GB2312" w:eastAsia="仿宋_GB2312"/>
                <w:sz w:val="24"/>
              </w:rPr>
              <w:t>;</w:t>
            </w:r>
            <w:r>
              <w:rPr>
                <w:rFonts w:ascii="仿宋_GB2312" w:hAnsi="仿宋_GB2312" w:cs="仿宋_GB2312" w:eastAsia="仿宋_GB2312"/>
                <w:sz w:val="24"/>
              </w:rPr>
              <w:t>围墙修复</w:t>
            </w:r>
            <w:r>
              <w:rPr>
                <w:rFonts w:ascii="仿宋_GB2312" w:hAnsi="仿宋_GB2312" w:cs="仿宋_GB2312" w:eastAsia="仿宋_GB2312"/>
                <w:sz w:val="24"/>
              </w:rPr>
              <w:t>1247</w:t>
            </w:r>
            <w:r>
              <w:rPr>
                <w:rFonts w:ascii="仿宋_GB2312" w:hAnsi="仿宋_GB2312" w:cs="仿宋_GB2312" w:eastAsia="仿宋_GB2312"/>
                <w:sz w:val="24"/>
              </w:rPr>
              <w:t>米。</w:t>
            </w:r>
          </w:p>
          <w:p>
            <w:pPr>
              <w:pStyle w:val="null3"/>
              <w:ind w:firstLine="480"/>
              <w:jc w:val="both"/>
            </w:pPr>
            <w:r>
              <w:rPr>
                <w:rFonts w:ascii="仿宋_GB2312" w:hAnsi="仿宋_GB2312" w:cs="仿宋_GB2312" w:eastAsia="仿宋_GB2312"/>
                <w:sz w:val="24"/>
              </w:rPr>
              <w:t>现采购“道孚县鲜水镇居民区更新改造项目勘察设计”包含勘察、初步设计、施工图设计、概算编制、预算编制。</w:t>
            </w:r>
          </w:p>
          <w:p>
            <w:pPr>
              <w:pStyle w:val="null3"/>
              <w:ind w:firstLine="480"/>
              <w:jc w:val="both"/>
            </w:pPr>
            <w:r>
              <w:rPr>
                <w:rFonts w:ascii="仿宋_GB2312" w:hAnsi="仿宋_GB2312" w:cs="仿宋_GB2312" w:eastAsia="仿宋_GB2312"/>
                <w:sz w:val="24"/>
              </w:rPr>
              <w:t>二、主要工作内容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）勘察：包含工程测量、岩土工程勘察和施工过程的配合工作。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）设计：包含初步设计</w:t>
            </w:r>
            <w:r>
              <w:rPr>
                <w:rFonts w:ascii="仿宋_GB2312" w:hAnsi="仿宋_GB2312" w:cs="仿宋_GB2312" w:eastAsia="仿宋_GB2312"/>
                <w:sz w:val="24"/>
              </w:rPr>
              <w:t>(</w:t>
            </w:r>
            <w:r>
              <w:rPr>
                <w:rFonts w:ascii="仿宋_GB2312" w:hAnsi="仿宋_GB2312" w:cs="仿宋_GB2312" w:eastAsia="仿宋_GB2312"/>
                <w:sz w:val="24"/>
              </w:rPr>
              <w:t>含概算</w:t>
            </w:r>
            <w:r>
              <w:rPr>
                <w:rFonts w:ascii="仿宋_GB2312" w:hAnsi="仿宋_GB2312" w:cs="仿宋_GB2312" w:eastAsia="仿宋_GB2312"/>
                <w:sz w:val="24"/>
              </w:rPr>
              <w:t>)</w:t>
            </w:r>
            <w:r>
              <w:rPr>
                <w:rFonts w:ascii="仿宋_GB2312" w:hAnsi="仿宋_GB2312" w:cs="仿宋_GB2312" w:eastAsia="仿宋_GB2312"/>
                <w:sz w:val="24"/>
              </w:rPr>
              <w:t>、施工图设计、概算编制、预算编制、工程设计变更及施工过程的配合工作。</w:t>
            </w:r>
          </w:p>
          <w:p>
            <w:pPr>
              <w:pStyle w:val="null3"/>
              <w:ind w:firstLine="560"/>
              <w:jc w:val="both"/>
            </w:pPr>
            <w:r>
              <w:rPr>
                <w:rFonts w:ascii="仿宋_GB2312" w:hAnsi="仿宋_GB2312" w:cs="仿宋_GB2312" w:eastAsia="仿宋_GB2312"/>
                <w:sz w:val="24"/>
              </w:rPr>
              <w:t>三、质量标准</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质量要求：本项目所有勘察、设计、造价编制等工作成果，必须严格遵守国家、行业及四川省现行有效的规范、规程、技术标准及相关法律法规。整体工作深度、内容完整性、技术合理性、编制精度均需满足项目建设审批、施工实施及后期运维使用需求，所有成果文件做到依据充分、数据准确、图纸规范、文本严谨，质量达到合格及以上标准。</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）验收标准：按国家及行业现行建设管理规定与技术验收规范、验收以成果文件齐全、内容符合规范要求、满足审查及施工落地条件为基准。</w:t>
            </w:r>
          </w:p>
          <w:p>
            <w:pPr>
              <w:pStyle w:val="null3"/>
              <w:ind w:firstLine="560"/>
              <w:jc w:val="both"/>
            </w:pPr>
            <w:r>
              <w:rPr>
                <w:rFonts w:ascii="仿宋_GB2312" w:hAnsi="仿宋_GB2312" w:cs="仿宋_GB2312" w:eastAsia="仿宋_GB2312"/>
                <w:sz w:val="24"/>
              </w:rPr>
              <w:t>四、成果文件</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）成果文件的组成：工程地质勘察报告、地形图、设计说明书、初步设计报告、设计图纸、施工图、预算清单等；</w:t>
            </w:r>
            <w:r>
              <w:rPr>
                <w:rFonts w:ascii="仿宋_GB2312" w:hAnsi="仿宋_GB2312" w:cs="仿宋_GB2312" w:eastAsia="仿宋_GB2312"/>
                <w:sz w:val="20"/>
              </w:rPr>
              <w:t xml:space="preserve">    </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）成果文件的格式要求：符合国家、行业、项目所在地的规范要求；</w:t>
            </w:r>
            <w:r>
              <w:rPr>
                <w:rFonts w:ascii="仿宋_GB2312" w:hAnsi="仿宋_GB2312" w:cs="仿宋_GB2312" w:eastAsia="仿宋_GB2312"/>
                <w:sz w:val="20"/>
              </w:rPr>
              <w:t xml:space="preserve">   </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）成果文件的份数要求：至少应包含地质勘察报告、地形图、初步设计文件、施工图设计文件等各</w:t>
            </w:r>
            <w:r>
              <w:rPr>
                <w:rFonts w:ascii="仿宋_GB2312" w:hAnsi="仿宋_GB2312" w:cs="仿宋_GB2312" w:eastAsia="仿宋_GB2312"/>
                <w:sz w:val="24"/>
              </w:rPr>
              <w:t>3</w:t>
            </w:r>
            <w:r>
              <w:rPr>
                <w:rFonts w:ascii="仿宋_GB2312" w:hAnsi="仿宋_GB2312" w:cs="仿宋_GB2312" w:eastAsia="仿宋_GB2312"/>
                <w:sz w:val="24"/>
              </w:rPr>
              <w:t>份。</w:t>
            </w:r>
          </w:p>
          <w:p>
            <w:pPr>
              <w:pStyle w:val="null3"/>
              <w:ind w:firstLine="560"/>
              <w:jc w:val="both"/>
            </w:pPr>
            <w:r>
              <w:rPr>
                <w:rFonts w:ascii="仿宋_GB2312" w:hAnsi="仿宋_GB2312" w:cs="仿宋_GB2312" w:eastAsia="仿宋_GB2312"/>
                <w:sz w:val="24"/>
              </w:rPr>
              <w:t>五、其他要求</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）成交供应商须全程主动配合建设单位开展图纸内部审核、施工图联合审查、财政投资评审送审等全流程工作；</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）针对审查、财评过程中相关主管部门、评审专家提出的修改意见，须及时响应、无偿进行图纸调整、文本修改、概算预算校核完善；</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）负责做好全过程答疑解惑、资料补充报送工作，直至图纸审查通过、财评批复完成及后续相关备案手续办结；</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4"/>
              </w:rPr>
              <w:t>（4）服务周期内须保持人员稳定，确保对接顺畅、修改及时，保障项目前期审批及后续施工推进不受影响。</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勘察成果提交期限：合同签订后 20 日历天；设计成果提交期限：合同签订后 60 日历天；后续施工配合服务期限：至工程竣工验收合格之日止</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道孚县鲜水镇。</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 205号)、《政府采购需求管理办法》(财库(2021) 22号)的要求及国家行业主管部门规定的标准、方法和内容进行验收。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预付款，采购合同签订后，采购人收到来自成交供应商开具的增值税等额发票后，达到付款条件起10个工作日内，支付合同总金额的40.0%</w:t>
            </w:r>
            <w:r>
              <w:br/>
            </w:r>
            <w:r>
              <w:rPr>
                <w:rFonts w:ascii="仿宋_GB2312" w:hAnsi="仿宋_GB2312" w:cs="仿宋_GB2312" w:eastAsia="仿宋_GB2312"/>
              </w:rPr>
              <w:t>2、</w:t>
            </w:r>
            <w:r>
              <w:rPr>
                <w:rFonts w:ascii="仿宋_GB2312" w:hAnsi="仿宋_GB2312" w:cs="仿宋_GB2312" w:eastAsia="仿宋_GB2312"/>
              </w:rPr>
              <w:t>进度款，提交勘察设计成果资料后，达到付款条件起10个工作日内，支付合同总金额的40.0%</w:t>
            </w:r>
            <w:r>
              <w:br/>
            </w:r>
            <w:r>
              <w:rPr>
                <w:rFonts w:ascii="仿宋_GB2312" w:hAnsi="仿宋_GB2312" w:cs="仿宋_GB2312" w:eastAsia="仿宋_GB2312"/>
              </w:rPr>
              <w:t>3、</w:t>
            </w:r>
            <w:r>
              <w:rPr>
                <w:rFonts w:ascii="仿宋_GB2312" w:hAnsi="仿宋_GB2312" w:cs="仿宋_GB2312" w:eastAsia="仿宋_GB2312"/>
              </w:rPr>
              <w:t>尾款，工程竣工验收合格后，达到付款条件起10个工作日内，支付合同总金额的20.0%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 ①双方必须遵守本合同并执行合同中的各项规定，保证本合同的正常履行。 ②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争议解决办法： ①在执行本合同中发生的或与本合同有关的争端，双方应通过友好协商解决，经协商不能达成协议时，应向当地人民法院提起诉讼解决。 ②仲裁裁决应为最终决定，并对双方具有约束力。 ③除另有裁决外，仲裁费或诉讼费应由败诉方负担。 ④在仲裁或诉讼期间，除正在进行仲裁或诉讼部分外，合同其他部分继续执行。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与评审因素相对应的要求（非实质性要求）：(一) 拟投入本项目人员：项目负责人、道路专业负责人、结构专业负责人、造价专业负责人、勘察项目负责人。（二）项目勘察设计技术及服务方案：1、勘察设计思路、勘察设计工作目标； 2、项目背景和需求分析； 3、勘察设计服务管理及人员配备； 4、工期计划、设计进度保证措施； 5、勘察设计质量保障措施； 6、勘察设计服务承诺及保障措施； 7、勘察设计工作的重点难点分析与解决对策。（三）后续服务方案：（1）后续服务人员配置；（2）后续服务保障措施；（3）响应时间；（4）突发事件处理措施。（四）供应商自2023年1月1日（含）以来承担过的类似设计或勘察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000000"/>
        </w:rPr>
        <w:t>本项目第三章“技术、服务及其他要求”中“</w:t>
      </w:r>
      <w:r>
        <w:rPr>
          <w:rFonts w:ascii="仿宋_GB2312" w:hAnsi="仿宋_GB2312" w:cs="仿宋_GB2312" w:eastAsia="仿宋_GB2312"/>
          <w:sz w:val="19"/>
          <w:color w:val="000000"/>
        </w:rPr>
        <w:t>3.2.</w:t>
      </w:r>
      <w:r>
        <w:rPr>
          <w:rFonts w:ascii="仿宋_GB2312" w:hAnsi="仿宋_GB2312" w:cs="仿宋_GB2312" w:eastAsia="仿宋_GB2312"/>
          <w:sz w:val="19"/>
          <w:color w:val="000000"/>
        </w:rPr>
        <w:t>技术要求”，“</w:t>
      </w:r>
      <w:r>
        <w:rPr>
          <w:rFonts w:ascii="仿宋_GB2312" w:hAnsi="仿宋_GB2312" w:cs="仿宋_GB2312" w:eastAsia="仿宋_GB2312"/>
          <w:sz w:val="19"/>
          <w:color w:val="000000"/>
        </w:rPr>
        <w:t>3.3.</w:t>
      </w:r>
      <w:r>
        <w:rPr>
          <w:rFonts w:ascii="仿宋_GB2312" w:hAnsi="仿宋_GB2312" w:cs="仿宋_GB2312" w:eastAsia="仿宋_GB2312"/>
          <w:sz w:val="19"/>
          <w:color w:val="000000"/>
        </w:rPr>
        <w:t>服务要求”的实质性内容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19"/>
          <w:color w:val="000000"/>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应提供健全的财务会计制度的证明材料：①可提供2024或2025年度经审计的财务报告（包含审计报告和审计报告中所涉及的财务报表和报表附注），②也可提供供应商内部的2024或2025年度财务报表（至少包含资产负债表），③也可提供截至投标文件递交截止日一年内银行出具的资信证明，④供应商注册时间截至投标文件递交截止日不足一年的，也可提供加盖工商备案主管部门印章的公司章程。供应商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供应商具备国家建设行政主管部门颁发的工程设计市政行业（燃气工程、轨道交通工程除外）乙级及以上资质和工程勘察专业类（岩土工程（勘察））乙级及以上资质</w:t>
            </w:r>
          </w:p>
        </w:tc>
        <w:tc>
          <w:tcPr>
            <w:tcW w:type="dxa" w:w="3322"/>
          </w:tcPr>
          <w:p>
            <w:pPr>
              <w:pStyle w:val="null3"/>
              <w:jc w:val="left"/>
            </w:pPr>
            <w:r>
              <w:rPr>
                <w:rFonts w:ascii="仿宋_GB2312" w:hAnsi="仿宋_GB2312" w:cs="仿宋_GB2312" w:eastAsia="仿宋_GB2312"/>
              </w:rPr>
              <w:t>供应商具备国家建设行政主管部门颁发的工程设计市政行业（燃气工程、轨道交通工程除外）乙级及以上资质和工程勘察专业类（岩土工程（勘察））乙级及以上资质（提供有效的资质证书复印件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本项目接受联合体参与磋商</w:t>
            </w:r>
          </w:p>
        </w:tc>
        <w:tc>
          <w:tcPr>
            <w:tcW w:type="dxa" w:w="3322"/>
          </w:tcPr>
          <w:p>
            <w:pPr>
              <w:pStyle w:val="null3"/>
              <w:jc w:val="left"/>
            </w:pPr>
            <w:r>
              <w:rPr>
                <w:rFonts w:ascii="仿宋_GB2312" w:hAnsi="仿宋_GB2312" w:cs="仿宋_GB2312" w:eastAsia="仿宋_GB2312"/>
              </w:rPr>
              <w:t>（1）若组成联合体投标，联合体成员必须签订联合体协议，联合体牵头人为工程设计市政行业（燃气工程、轨道交通工程除外）乙级及上资质，并明确各联合体成员单位所承担的服务范围、服务内容、责任和权利。（2）已组成联合体的单位不能再与其他单位组成联合体参加投标。（3）联合体成员不得超过2家；企业集团母、子公司不得分别组成联合体投标。（4）若为非联合体参与投标则不提供。</w:t>
            </w:r>
          </w:p>
        </w:tc>
        <w:tc>
          <w:tcPr>
            <w:tcW w:type="dxa" w:w="1661"/>
          </w:tcPr>
          <w:p>
            <w:pPr>
              <w:pStyle w:val="null3"/>
              <w:jc w:val="left"/>
            </w:pPr>
            <w:r>
              <w:rPr>
                <w:rFonts w:ascii="仿宋_GB2312" w:hAnsi="仿宋_GB2312" w:cs="仿宋_GB2312" w:eastAsia="仿宋_GB2312"/>
              </w:rPr>
              <w:t>联合体协议书</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实质性审查</w:t>
            </w:r>
          </w:p>
        </w:tc>
        <w:tc>
          <w:tcPr>
            <w:tcW w:type="dxa" w:w="3322"/>
          </w:tcPr>
          <w:p>
            <w:pPr>
              <w:pStyle w:val="null3"/>
              <w:jc w:val="left"/>
            </w:pPr>
            <w:r>
              <w:rPr>
                <w:rFonts w:ascii="仿宋_GB2312" w:hAnsi="仿宋_GB2312" w:cs="仿宋_GB2312" w:eastAsia="仿宋_GB2312"/>
              </w:rPr>
              <w:t>因系统固化原因，序号1中的“无需供应商单独提供材料进行响应，只需供应商承诺严格遵守并执行的相关实质性要求。”无法编辑，本项目实质性审查以此处描述为准。 1、采购文件中没有要求供应商需要提供承诺函或证明资料进行响应的实质性条款，供应商根据系统给定的格式文件“投标（响应）函，技术、服务、商务应答表”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供应商应提交的相关证明材料,技术、服务、商务应答表,投标（响应）函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项目勘察设计技术及服务方案、后续服务方案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拟投入本项目人员</w:t>
            </w:r>
          </w:p>
        </w:tc>
        <w:tc>
          <w:tcPr>
            <w:tcW w:type="dxa" w:w="2575"/>
          </w:tcPr>
          <w:p>
            <w:pPr>
              <w:pStyle w:val="null3"/>
              <w:jc w:val="left"/>
            </w:pPr>
            <w:r>
              <w:rPr>
                <w:rFonts w:ascii="仿宋_GB2312" w:hAnsi="仿宋_GB2312" w:cs="仿宋_GB2312" w:eastAsia="仿宋_GB2312"/>
              </w:rPr>
              <w:t>1、项目负责人：具备注册电气工程师（供配电）得3分，在满足前述要求的基础上同时具备工程类中级职称加1分，高级及以上职称加2分，本项最高得5分。 2、道路专业负责人：具备注册土木工程师（道路工程）得2分，在满足前述要求的基础上同时具备工程类中级职称加1分，高级及以上职称加2分，本项最高得4分。 3、结构专业负责人：具备一级注册结构师得2分，在满足前述要求的基础上同时具备工程类中级职称加1分，高级及以上职称加2分，本项最高得4分； 4、造价专业负责人：具备一级注册造价工程师或全国注册造价工程师得2分，在满足前述要求的基础上同时具备工程类中级职称加0.5分，高级及以上职称加1分，本项最高得3分。 5、勘察项目负责人（1人）：具有注册土木工程师（岩土）证书得2分，在满足前述要求的基础上同时具备工程类中级职称加1分，高级及以上职称加2分，本项最高得4分。 注：1.以上人员不得重复计分。 2.提供相关人员证书影印件或扫描件并进行电子签章。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项目勘察设计技术及服务方案</w:t>
            </w:r>
          </w:p>
        </w:tc>
        <w:tc>
          <w:tcPr>
            <w:tcW w:type="dxa" w:w="2575"/>
          </w:tcPr>
          <w:p>
            <w:pPr>
              <w:pStyle w:val="null3"/>
              <w:jc w:val="left"/>
            </w:pPr>
            <w:r>
              <w:rPr>
                <w:rFonts w:ascii="仿宋_GB2312" w:hAnsi="仿宋_GB2312" w:cs="仿宋_GB2312" w:eastAsia="仿宋_GB2312"/>
              </w:rPr>
              <w:t>根据供应商对本项目提供的项目设计技术及服务方案进行评审，方案包含 1、勘察设计思路、勘察设计工作目标； 2、项目背景和需求分析； 3、勘察设计服务管理及人员配备； 4、工期计划、设计进度保证措施； 5、勘察设计质量保障措施； 6、勘察设计服务承诺及保障措施； 7、勘察设计工作的重点难点分析与解决对策； 上述内容齐全且无缺陷的得49分，每缺少一项内容扣7分；每项内容中每有一处内容存在缺陷的扣3.5分，每项内容最多扣7分，扣完为止，未提供不得分。 （注：(1)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⑤方案内容与本项目采购需求无关等任意一种情形。(2）评审专家结合项目实际情况和响应文件评审。）</w:t>
            </w:r>
          </w:p>
        </w:tc>
        <w:tc>
          <w:tcPr>
            <w:tcW w:type="dxa" w:w="831"/>
          </w:tcPr>
          <w:p>
            <w:pPr>
              <w:pStyle w:val="null3"/>
              <w:jc w:val="center"/>
            </w:pPr>
            <w:r>
              <w:rPr>
                <w:rFonts w:ascii="仿宋_GB2312" w:hAnsi="仿宋_GB2312" w:cs="仿宋_GB2312" w:eastAsia="仿宋_GB2312"/>
              </w:rPr>
              <w:t>49.0000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供应商自2023年1月1日（含）以来承担过的类似设计或勘察业绩，每提供一个设计类或勘察类业绩得3分，本项总分最高得9分；未提供者不得分。 注：1、供应商提供中标 (成交) 通知书或合同复印件并加供应商电子签章。 2、以上类似业绩以签订合同的时间为准。 若为联合体投标，设计业绩由设计单位提供，勘察业绩由勘察单位提供。</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根据供应商提供的后续服务方案进行综合评分，包含以下内容：（1）后续服务人员配置；（2）后续服务保障措施；（3）响应时间；（4）突发事件处理措施。 上述内容齐全且无缺陷的得12分，每缺少一项内容扣3分；每项内容中每有一处内容存在缺陷的扣1.5分，每项内容最多扣3分，扣完为止，未提供不得分。 （注：(1)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⑤方案内容与本项目采购需求无关等任意一种情形。(2）评审专家结合项目实际情况和响应文件评审。）</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满足磋商文件要求且响应报价最低的为评标基准价，其价格分为满分。其他供应商的价格分统一按照下列公式计算：报价得分=(评标基准价／响应报价)×10%×100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详见附件：联合体协议书</w:t>
      </w:r>
    </w:p>
    <w:p>
      <w:pPr>
        <w:pStyle w:val="null3"/>
        <w:ind w:firstLine="960"/>
        <w:jc w:val="left"/>
      </w:pPr>
      <w:r>
        <w:rPr>
          <w:rFonts w:ascii="仿宋_GB2312" w:hAnsi="仿宋_GB2312" w:cs="仿宋_GB2312" w:eastAsia="仿宋_GB2312"/>
        </w:rPr>
        <w:t>详见附件：技术、服务、商务应答表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