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1D941">
      <w:pPr>
        <w:rPr>
          <w:rFonts w:hint="eastAsia"/>
          <w:sz w:val="28"/>
          <w:szCs w:val="36"/>
          <w:lang w:val="en-US" w:eastAsia="zh-CN"/>
        </w:rPr>
      </w:pPr>
      <w:r>
        <w:rPr>
          <w:rFonts w:hint="eastAsia"/>
          <w:sz w:val="28"/>
          <w:szCs w:val="36"/>
          <w:lang w:val="en-US" w:eastAsia="zh-CN"/>
        </w:rPr>
        <w:t>附表一：技术参数</w:t>
      </w:r>
    </w:p>
    <w:tbl>
      <w:tblPr>
        <w:tblStyle w:val="2"/>
        <w:tblW w:w="10338" w:type="dxa"/>
        <w:tblInd w:w="-926"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0"/>
        <w:gridCol w:w="649"/>
        <w:gridCol w:w="8769"/>
      </w:tblGrid>
      <w:tr w14:paraId="4D2621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0" w:type="dxa"/>
            <w:vAlign w:val="center"/>
          </w:tcPr>
          <w:p w14:paraId="5E43B88F">
            <w:pPr>
              <w:pStyle w:val="5"/>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参数性质</w:t>
            </w:r>
          </w:p>
        </w:tc>
        <w:tc>
          <w:tcPr>
            <w:tcW w:w="649" w:type="dxa"/>
            <w:vAlign w:val="center"/>
          </w:tcPr>
          <w:p w14:paraId="5D31FFE7">
            <w:pPr>
              <w:pStyle w:val="5"/>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8769" w:type="dxa"/>
            <w:vAlign w:val="center"/>
          </w:tcPr>
          <w:p w14:paraId="0849F1CB">
            <w:pPr>
              <w:pStyle w:val="5"/>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具体技术(参数)要求</w:t>
            </w:r>
          </w:p>
        </w:tc>
      </w:tr>
      <w:tr w14:paraId="074A45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0" w:type="dxa"/>
            <w:vAlign w:val="center"/>
          </w:tcPr>
          <w:p w14:paraId="108B2E10">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p>
        </w:tc>
        <w:tc>
          <w:tcPr>
            <w:tcW w:w="649" w:type="dxa"/>
            <w:vAlign w:val="center"/>
          </w:tcPr>
          <w:p w14:paraId="3F37A6AB">
            <w:pPr>
              <w:pStyle w:val="5"/>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8769" w:type="dxa"/>
          </w:tcPr>
          <w:p w14:paraId="6A41E0C2">
            <w:pPr>
              <w:pStyle w:val="5"/>
              <w:keepNext w:val="0"/>
              <w:keepLines w:val="0"/>
              <w:pageBreakBefore w:val="0"/>
              <w:numPr>
                <w:ilvl w:val="0"/>
                <w:numId w:val="1"/>
              </w:numPr>
              <w:kinsoku/>
              <w:wordWrap/>
              <w:overflowPunct/>
              <w:topLinePunct w:val="0"/>
              <w:autoSpaceDE/>
              <w:autoSpaceDN/>
              <w:bidi w:val="0"/>
              <w:adjustRightInd/>
              <w:snapToGrid/>
              <w:spacing w:line="408" w:lineRule="auto"/>
              <w:textAlignment w:val="auto"/>
              <w:rPr>
                <w:rFonts w:hint="eastAsia" w:ascii="仿宋" w:hAnsi="仿宋" w:eastAsia="仿宋" w:cs="仿宋"/>
                <w:kern w:val="0"/>
                <w:sz w:val="24"/>
                <w:szCs w:val="24"/>
                <w:lang w:val="en-US" w:eastAsia="zh-Hans"/>
              </w:rPr>
            </w:pPr>
            <w:r>
              <w:rPr>
                <w:rFonts w:hint="eastAsia" w:ascii="仿宋" w:hAnsi="仿宋" w:eastAsia="仿宋" w:cs="仿宋"/>
                <w:b/>
                <w:sz w:val="24"/>
                <w:szCs w:val="24"/>
              </w:rPr>
              <w:t>项目总体要求</w:t>
            </w:r>
          </w:p>
          <w:p w14:paraId="271C2060">
            <w:pPr>
              <w:pStyle w:val="5"/>
              <w:keepNext w:val="0"/>
              <w:keepLines w:val="0"/>
              <w:pageBreakBefore w:val="0"/>
              <w:numPr>
                <w:ilvl w:val="0"/>
                <w:numId w:val="0"/>
              </w:numPr>
              <w:kinsoku/>
              <w:wordWrap/>
              <w:overflowPunct/>
              <w:topLinePunct w:val="0"/>
              <w:autoSpaceDE/>
              <w:autoSpaceDN/>
              <w:bidi w:val="0"/>
              <w:adjustRightInd/>
              <w:snapToGrid/>
              <w:spacing w:line="408" w:lineRule="auto"/>
              <w:textAlignment w:val="auto"/>
              <w:rPr>
                <w:rFonts w:hint="eastAsia" w:ascii="仿宋" w:hAnsi="仿宋" w:eastAsia="仿宋" w:cs="仿宋"/>
                <w:kern w:val="0"/>
                <w:sz w:val="24"/>
                <w:szCs w:val="24"/>
                <w:lang w:val="en-US" w:eastAsia="zh-Hans"/>
              </w:rPr>
            </w:pPr>
            <w:r>
              <w:rPr>
                <w:rFonts w:hint="eastAsia" w:ascii="仿宋" w:hAnsi="仿宋" w:eastAsia="仿宋" w:cs="仿宋"/>
                <w:b/>
                <w:sz w:val="24"/>
                <w:szCs w:val="24"/>
                <w:lang w:eastAsia="zh-CN"/>
              </w:rPr>
              <w:t>（</w:t>
            </w:r>
            <w:r>
              <w:rPr>
                <w:rFonts w:hint="eastAsia" w:ascii="仿宋" w:hAnsi="仿宋" w:eastAsia="仿宋" w:cs="仿宋"/>
                <w:b/>
                <w:sz w:val="24"/>
                <w:szCs w:val="24"/>
                <w:lang w:val="en-US" w:eastAsia="zh-CN"/>
              </w:rPr>
              <w:t>1）总体要求</w:t>
            </w:r>
            <w:r>
              <w:rPr>
                <w:rFonts w:hint="eastAsia" w:ascii="仿宋" w:hAnsi="仿宋" w:eastAsia="仿宋" w:cs="仿宋"/>
                <w:kern w:val="0"/>
                <w:sz w:val="24"/>
                <w:szCs w:val="24"/>
                <w:lang w:val="en-US" w:eastAsia="zh-Hans"/>
              </w:rPr>
              <w:br w:type="textWrapping"/>
            </w:r>
            <w:r>
              <w:rPr>
                <w:rFonts w:hint="eastAsia" w:ascii="仿宋" w:hAnsi="仿宋" w:eastAsia="仿宋" w:cs="仿宋"/>
                <w:kern w:val="0"/>
                <w:sz w:val="24"/>
                <w:szCs w:val="24"/>
                <w:lang w:val="en-US" w:eastAsia="zh-Hans"/>
              </w:rPr>
              <w:t xml:space="preserve">  电白区行政机关属于办公重地，对安全性、保密性、规范性要求严格，具体为：区政府楼、区委楼、区人大、政协楼、区大会堂、区行政中心机关大院停车场、区行政中心闸口一、闸口二、</w:t>
            </w:r>
            <w:r>
              <w:rPr>
                <w:rFonts w:hint="eastAsia" w:ascii="仿宋" w:hAnsi="仿宋" w:eastAsia="仿宋" w:cs="仿宋"/>
                <w:kern w:val="0"/>
                <w:sz w:val="24"/>
                <w:szCs w:val="24"/>
                <w:lang w:val="en-US" w:eastAsia="zh-CN"/>
              </w:rPr>
              <w:t>区</w:t>
            </w:r>
            <w:r>
              <w:rPr>
                <w:rFonts w:hint="eastAsia" w:ascii="仿宋" w:hAnsi="仿宋" w:eastAsia="仿宋" w:cs="仿宋"/>
                <w:kern w:val="0"/>
                <w:sz w:val="24"/>
                <w:szCs w:val="24"/>
                <w:lang w:val="en-US" w:eastAsia="zh-Hans"/>
              </w:rPr>
              <w:t>政府大院（宿舍一区、二区）范围等实施保安服务。</w:t>
            </w:r>
          </w:p>
          <w:p w14:paraId="01B1A983">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color w:val="auto"/>
                <w:kern w:val="0"/>
                <w:sz w:val="24"/>
                <w:szCs w:val="24"/>
                <w:lang w:val="en-US" w:eastAsia="zh-Hans"/>
              </w:rPr>
            </w:pPr>
            <w:r>
              <w:rPr>
                <w:rFonts w:hint="eastAsia" w:ascii="仿宋" w:hAnsi="仿宋" w:eastAsia="仿宋" w:cs="仿宋"/>
                <w:color w:val="auto"/>
                <w:kern w:val="0"/>
                <w:sz w:val="24"/>
                <w:szCs w:val="24"/>
                <w:lang w:val="en-US" w:eastAsia="zh-CN"/>
              </w:rPr>
              <w:t>1）</w:t>
            </w:r>
            <w:r>
              <w:rPr>
                <w:rFonts w:hint="eastAsia" w:ascii="仿宋" w:hAnsi="仿宋" w:eastAsia="仿宋" w:cs="仿宋"/>
                <w:color w:val="auto"/>
                <w:kern w:val="0"/>
                <w:sz w:val="24"/>
                <w:szCs w:val="24"/>
                <w:lang w:val="en-US" w:eastAsia="zh-Hans"/>
              </w:rPr>
              <w:t>▲鉴于此次服务内容的特殊性，由于服务场所可能出现突发和应急事件机率较高，为确保能及时处置紧急事件，确保服务场所安全，</w:t>
            </w:r>
            <w:r>
              <w:rPr>
                <w:rFonts w:hint="eastAsia" w:ascii="仿宋" w:hAnsi="仿宋" w:eastAsia="仿宋" w:cs="仿宋"/>
                <w:color w:val="auto"/>
                <w:kern w:val="0"/>
                <w:sz w:val="24"/>
                <w:szCs w:val="24"/>
                <w:lang w:val="en-US" w:eastAsia="zh-CN"/>
              </w:rPr>
              <w:t>中标供应商</w:t>
            </w:r>
            <w:r>
              <w:rPr>
                <w:rFonts w:hint="eastAsia" w:ascii="仿宋" w:hAnsi="仿宋" w:eastAsia="仿宋" w:cs="仿宋"/>
                <w:color w:val="auto"/>
                <w:kern w:val="0"/>
                <w:sz w:val="24"/>
                <w:szCs w:val="24"/>
                <w:lang w:val="en-US" w:eastAsia="zh-Hans"/>
              </w:rPr>
              <w:t>须制定突发事件应急服务方案，在发生各类突发事件的情况下，保安员应及时报告现场情况、充分利用现场设备保留有关证据，服从现场公安机关的统一指挥，积极配合、协助公安机关处理突发事件；能及时有效与项目所在地公安机关建立联动联防机制，增强</w:t>
            </w:r>
            <w:r>
              <w:rPr>
                <w:rFonts w:hint="eastAsia" w:ascii="仿宋" w:hAnsi="仿宋" w:eastAsia="仿宋" w:cs="仿宋"/>
                <w:color w:val="auto"/>
                <w:kern w:val="0"/>
                <w:sz w:val="24"/>
                <w:szCs w:val="24"/>
                <w:lang w:val="en-US" w:eastAsia="zh-CN"/>
              </w:rPr>
              <w:t>一线</w:t>
            </w:r>
            <w:r>
              <w:rPr>
                <w:rFonts w:hint="eastAsia" w:ascii="仿宋" w:hAnsi="仿宋" w:eastAsia="仿宋" w:cs="仿宋"/>
                <w:color w:val="auto"/>
                <w:kern w:val="0"/>
                <w:sz w:val="24"/>
                <w:szCs w:val="24"/>
                <w:lang w:val="en-US" w:eastAsia="zh-Hans"/>
              </w:rPr>
              <w:t>防范能力，服从指挥调度，配合开展应急处突工作，建立常态和应急联络机制及信息上报机制，及时将涉及安全和稳定的信息报送采购人。并需确保保安人员充足并进行集中培训、管理，投标人承诺中标后在采购人（广东省茂名市电白区迎宾大道 1 号 3 公里范围内或 10 分钟车程可以到达的）设立一个办公场所用于统一管理。</w:t>
            </w:r>
          </w:p>
          <w:p w14:paraId="0EE6A403">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color w:val="auto"/>
                <w:kern w:val="0"/>
                <w:sz w:val="24"/>
                <w:szCs w:val="24"/>
                <w:lang w:val="en-US" w:eastAsia="zh-CN"/>
              </w:rPr>
            </w:pPr>
            <w:r>
              <w:rPr>
                <w:rFonts w:hint="eastAsia" w:ascii="仿宋" w:hAnsi="仿宋" w:eastAsia="仿宋" w:cs="仿宋"/>
                <w:b/>
                <w:bCs/>
                <w:color w:val="auto"/>
                <w:kern w:val="0"/>
                <w:sz w:val="24"/>
                <w:szCs w:val="24"/>
                <w:lang w:val="en-US" w:eastAsia="zh-Hans"/>
              </w:rPr>
              <w:t>（</w:t>
            </w:r>
            <w:r>
              <w:rPr>
                <w:rFonts w:hint="eastAsia" w:ascii="仿宋" w:hAnsi="仿宋" w:eastAsia="仿宋" w:cs="仿宋"/>
                <w:b/>
                <w:bCs/>
                <w:color w:val="auto"/>
                <w:kern w:val="0"/>
                <w:sz w:val="24"/>
                <w:szCs w:val="24"/>
                <w:lang w:val="en-US" w:eastAsia="zh-Hans" w:bidi="ar-SA"/>
              </w:rPr>
              <w:t>提供承诺函，格式自拟</w:t>
            </w:r>
            <w:r>
              <w:rPr>
                <w:rFonts w:hint="eastAsia" w:ascii="仿宋" w:hAnsi="仿宋" w:eastAsia="仿宋" w:cs="仿宋"/>
                <w:b/>
                <w:bCs/>
                <w:color w:val="auto"/>
                <w:kern w:val="0"/>
                <w:sz w:val="24"/>
                <w:szCs w:val="24"/>
                <w:lang w:val="en-US" w:eastAsia="zh-CN" w:bidi="ar-SA"/>
              </w:rPr>
              <w:t>加盖公章</w:t>
            </w:r>
            <w:r>
              <w:rPr>
                <w:rFonts w:hint="eastAsia" w:ascii="仿宋" w:hAnsi="仿宋" w:eastAsia="仿宋" w:cs="仿宋"/>
                <w:b/>
                <w:bCs/>
                <w:color w:val="auto"/>
                <w:kern w:val="0"/>
                <w:sz w:val="24"/>
                <w:szCs w:val="24"/>
                <w:lang w:val="en-US" w:eastAsia="zh-Hans"/>
              </w:rPr>
              <w:t>；中标供应商必须在</w:t>
            </w:r>
            <w:r>
              <w:rPr>
                <w:rFonts w:hint="eastAsia" w:ascii="仿宋" w:hAnsi="仿宋" w:eastAsia="仿宋" w:cs="仿宋"/>
                <w:b/>
                <w:bCs/>
                <w:color w:val="auto"/>
                <w:kern w:val="0"/>
                <w:sz w:val="24"/>
                <w:szCs w:val="24"/>
                <w:lang w:val="en-US" w:eastAsia="zh-CN"/>
              </w:rPr>
              <w:t>领取中标通知书前</w:t>
            </w:r>
            <w:r>
              <w:rPr>
                <w:rFonts w:hint="eastAsia" w:ascii="仿宋" w:hAnsi="仿宋" w:eastAsia="仿宋" w:cs="仿宋"/>
                <w:b/>
                <w:bCs/>
                <w:color w:val="auto"/>
                <w:kern w:val="0"/>
                <w:sz w:val="24"/>
                <w:szCs w:val="24"/>
                <w:lang w:val="en-US" w:eastAsia="zh-Hans"/>
              </w:rPr>
              <w:t>提供房产证明或租赁合同证明，由采购人或代理机构核实后，</w:t>
            </w:r>
            <w:r>
              <w:rPr>
                <w:rFonts w:hint="eastAsia" w:ascii="仿宋" w:hAnsi="仿宋" w:eastAsia="仿宋" w:cs="仿宋"/>
                <w:b/>
                <w:bCs/>
                <w:color w:val="auto"/>
                <w:kern w:val="0"/>
                <w:sz w:val="24"/>
                <w:szCs w:val="24"/>
                <w:lang w:val="en-US" w:eastAsia="zh-CN"/>
              </w:rPr>
              <w:t>方可</w:t>
            </w:r>
            <w:r>
              <w:rPr>
                <w:rFonts w:hint="eastAsia" w:ascii="仿宋" w:hAnsi="仿宋" w:eastAsia="仿宋" w:cs="仿宋"/>
                <w:b/>
                <w:bCs/>
                <w:color w:val="auto"/>
                <w:kern w:val="0"/>
                <w:sz w:val="24"/>
                <w:szCs w:val="24"/>
                <w:lang w:val="en-US" w:eastAsia="zh-Hans"/>
              </w:rPr>
              <w:t>签订采购项目合同</w:t>
            </w:r>
            <w:r>
              <w:rPr>
                <w:rFonts w:hint="eastAsia" w:ascii="仿宋" w:hAnsi="仿宋" w:eastAsia="仿宋" w:cs="仿宋"/>
                <w:b/>
                <w:bCs/>
                <w:color w:val="auto"/>
                <w:kern w:val="0"/>
                <w:sz w:val="24"/>
                <w:szCs w:val="24"/>
                <w:lang w:val="en-US" w:eastAsia="zh-CN"/>
              </w:rPr>
              <w:t>，</w:t>
            </w:r>
            <w:r>
              <w:rPr>
                <w:rFonts w:hint="eastAsia" w:ascii="仿宋" w:hAnsi="仿宋" w:eastAsia="仿宋" w:cs="仿宋"/>
                <w:b/>
                <w:bCs/>
                <w:color w:val="auto"/>
                <w:kern w:val="0"/>
                <w:sz w:val="24"/>
                <w:szCs w:val="24"/>
                <w:lang w:val="en-US" w:eastAsia="zh-CN" w:bidi="ar-SA"/>
              </w:rPr>
              <w:t>如不提供，视为放弃中标。</w:t>
            </w:r>
            <w:r>
              <w:rPr>
                <w:rFonts w:hint="eastAsia" w:ascii="仿宋" w:hAnsi="仿宋" w:eastAsia="仿宋" w:cs="仿宋"/>
                <w:b/>
                <w:bCs/>
                <w:color w:val="auto"/>
                <w:kern w:val="0"/>
                <w:sz w:val="24"/>
                <w:szCs w:val="24"/>
                <w:lang w:val="en-US" w:eastAsia="zh-Hans"/>
              </w:rPr>
              <w:t>）</w:t>
            </w:r>
            <w:r>
              <w:rPr>
                <w:rFonts w:hint="eastAsia" w:ascii="仿宋" w:hAnsi="仿宋" w:eastAsia="仿宋" w:cs="仿宋"/>
                <w:color w:val="auto"/>
                <w:kern w:val="0"/>
                <w:sz w:val="24"/>
                <w:szCs w:val="24"/>
                <w:lang w:val="en-US" w:eastAsia="zh-Hans"/>
              </w:rPr>
              <w:t>，采购人会同</w:t>
            </w:r>
            <w:r>
              <w:rPr>
                <w:rFonts w:hint="eastAsia" w:ascii="仿宋" w:hAnsi="仿宋" w:eastAsia="仿宋" w:cs="仿宋"/>
                <w:color w:val="auto"/>
                <w:kern w:val="0"/>
                <w:sz w:val="24"/>
                <w:szCs w:val="24"/>
                <w:lang w:val="en-US" w:eastAsia="zh-CN"/>
              </w:rPr>
              <w:t>中标供应商</w:t>
            </w:r>
            <w:r>
              <w:rPr>
                <w:rFonts w:hint="eastAsia" w:ascii="仿宋" w:hAnsi="仿宋" w:eastAsia="仿宋" w:cs="仿宋"/>
                <w:color w:val="auto"/>
                <w:kern w:val="0"/>
                <w:sz w:val="24"/>
                <w:szCs w:val="24"/>
                <w:lang w:val="en-US" w:eastAsia="zh-Hans"/>
              </w:rPr>
              <w:t>共同对</w:t>
            </w:r>
            <w:r>
              <w:rPr>
                <w:rFonts w:hint="eastAsia" w:ascii="仿宋" w:hAnsi="仿宋" w:eastAsia="仿宋" w:cs="仿宋"/>
                <w:color w:val="auto"/>
                <w:kern w:val="0"/>
                <w:sz w:val="24"/>
                <w:szCs w:val="24"/>
                <w:lang w:val="en-US" w:eastAsia="zh-CN"/>
              </w:rPr>
              <w:t>中标供应商</w:t>
            </w:r>
            <w:r>
              <w:rPr>
                <w:rFonts w:hint="eastAsia" w:ascii="仿宋" w:hAnsi="仿宋" w:eastAsia="仿宋" w:cs="仿宋"/>
                <w:color w:val="auto"/>
                <w:kern w:val="0"/>
                <w:sz w:val="24"/>
                <w:szCs w:val="24"/>
                <w:lang w:val="en-US" w:eastAsia="zh-Hans"/>
              </w:rPr>
              <w:t>所提供的场所进行实地核实,如出现与投标资料不符的情况，采购人将情况报市政府采购管理部门进行处理。</w:t>
            </w:r>
          </w:p>
          <w:p w14:paraId="304BE912">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Hans"/>
              </w:rPr>
              <w:t>2）采购人对岗位设置和管理工作具有直接指挥权和决定权。</w:t>
            </w:r>
          </w:p>
          <w:p w14:paraId="613B6BCD">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Hans"/>
              </w:rPr>
              <w:t>3）采购人可按实际需要，要求中标供应商提供具有特殊专长的保安员。</w:t>
            </w:r>
          </w:p>
          <w:p w14:paraId="62FDC04F">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lang w:val="en-US" w:eastAsia="zh-Hans"/>
              </w:rPr>
              <w:t>采购人对重要岗位的设置、人员录用与管理，以及重要的管理决策有直接参与权与否决权。</w:t>
            </w:r>
          </w:p>
          <w:p w14:paraId="65CC5048">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5）</w:t>
            </w:r>
            <w:r>
              <w:rPr>
                <w:rFonts w:hint="eastAsia" w:ascii="仿宋" w:hAnsi="仿宋" w:eastAsia="仿宋" w:cs="仿宋"/>
                <w:kern w:val="0"/>
                <w:sz w:val="24"/>
                <w:szCs w:val="24"/>
                <w:lang w:val="en-US" w:eastAsia="zh-Hans"/>
              </w:rPr>
              <w:t>在处理特殊事件和紧急、突发事故时，采购人对中标供应商派出的保安员有直接指挥权。因采购人指挥失误产生的经济损失、人员伤亡等后果，由采购人承担相应责任。</w:t>
            </w:r>
          </w:p>
          <w:p w14:paraId="6BAD760D">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6）</w:t>
            </w:r>
            <w:r>
              <w:rPr>
                <w:rFonts w:hint="eastAsia" w:ascii="仿宋" w:hAnsi="仿宋" w:eastAsia="仿宋" w:cs="仿宋"/>
                <w:kern w:val="0"/>
                <w:sz w:val="24"/>
                <w:szCs w:val="24"/>
                <w:lang w:val="en-US" w:eastAsia="zh-Hans"/>
              </w:rPr>
              <w:t>采购人有权提出更换不符合服务要求或损害采购人利益的保安员。采购人提出更换要求并与中标供应商协商，协商完成后，中标供应商应在</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lang w:val="en-US" w:eastAsia="zh-Hans"/>
              </w:rPr>
              <w:t>个工作日内予以更换。</w:t>
            </w:r>
            <w:bookmarkStart w:id="0" w:name="_Toc364167993"/>
          </w:p>
          <w:p w14:paraId="600D6DF4">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7）中标供应商自行解决员工的交通、食宿，所发生的一切费用及责任由中标供应商负责。</w:t>
            </w:r>
          </w:p>
          <w:p w14:paraId="0B0EB219">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8）中标供应商须严格遵守采购人的有关机密和保密要求。</w:t>
            </w:r>
          </w:p>
          <w:p w14:paraId="1662497E">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9）中标供应商</w:t>
            </w:r>
            <w:r>
              <w:rPr>
                <w:rFonts w:hint="eastAsia" w:ascii="仿宋" w:hAnsi="仿宋" w:eastAsia="仿宋" w:cs="仿宋"/>
                <w:kern w:val="0"/>
                <w:sz w:val="24"/>
                <w:szCs w:val="24"/>
                <w:lang w:val="en-US" w:eastAsia="zh-Hans"/>
              </w:rPr>
              <w:t>对所录人员要严格调查审核，必须经过公安政治审查,保证录用人员无犯罪记录或不良表现。</w:t>
            </w:r>
          </w:p>
          <w:p w14:paraId="4EA10CCC">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10</w:t>
            </w:r>
            <w:r>
              <w:rPr>
                <w:rFonts w:hint="eastAsia" w:ascii="仿宋" w:hAnsi="仿宋" w:eastAsia="仿宋" w:cs="仿宋"/>
                <w:kern w:val="0"/>
                <w:sz w:val="24"/>
                <w:szCs w:val="24"/>
                <w:lang w:val="en-US" w:eastAsia="zh-Hans"/>
              </w:rPr>
              <w:t>）</w:t>
            </w:r>
            <w:r>
              <w:rPr>
                <w:rFonts w:hint="eastAsia" w:ascii="仿宋" w:hAnsi="仿宋" w:eastAsia="仿宋" w:cs="仿宋"/>
                <w:kern w:val="0"/>
                <w:sz w:val="24"/>
                <w:szCs w:val="24"/>
                <w:lang w:val="en-US" w:eastAsia="zh-CN"/>
              </w:rPr>
              <w:t>中标供应商</w:t>
            </w:r>
            <w:r>
              <w:rPr>
                <w:rFonts w:hint="eastAsia" w:ascii="仿宋" w:hAnsi="仿宋" w:eastAsia="仿宋" w:cs="仿宋"/>
                <w:kern w:val="0"/>
                <w:sz w:val="24"/>
                <w:szCs w:val="24"/>
                <w:lang w:val="en-US" w:eastAsia="zh-Hans"/>
              </w:rPr>
              <w:t>保安人员要遵纪守法，文明执勤。按岗位要求着装统一，注意仪表仪容，使用文明礼貌用语，说普通话，能听懂粤语。</w:t>
            </w:r>
          </w:p>
          <w:bookmarkEnd w:id="0"/>
          <w:p w14:paraId="30A8A8EC">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11</w:t>
            </w:r>
            <w:r>
              <w:rPr>
                <w:rFonts w:hint="eastAsia" w:ascii="仿宋" w:hAnsi="仿宋" w:eastAsia="仿宋" w:cs="仿宋"/>
                <w:kern w:val="0"/>
                <w:sz w:val="24"/>
                <w:szCs w:val="24"/>
                <w:lang w:val="en-US" w:eastAsia="zh-Hans"/>
              </w:rPr>
              <w:t>）</w:t>
            </w:r>
            <w:r>
              <w:rPr>
                <w:rFonts w:hint="eastAsia" w:ascii="仿宋" w:hAnsi="仿宋" w:eastAsia="仿宋" w:cs="仿宋"/>
                <w:kern w:val="0"/>
                <w:sz w:val="24"/>
                <w:szCs w:val="24"/>
                <w:lang w:val="en-US" w:eastAsia="zh-CN"/>
              </w:rPr>
              <w:t>中标供应商</w:t>
            </w:r>
            <w:r>
              <w:rPr>
                <w:rFonts w:hint="eastAsia" w:ascii="仿宋" w:hAnsi="仿宋" w:eastAsia="仿宋" w:cs="仿宋"/>
                <w:kern w:val="0"/>
                <w:sz w:val="24"/>
                <w:szCs w:val="24"/>
                <w:lang w:val="en-US" w:eastAsia="zh-Hans"/>
              </w:rPr>
              <w:t>须根据《广东省保安服务管理条例实施细则》实施管理并自备制服、警具、电筒、值班登记等用具用品。</w:t>
            </w:r>
          </w:p>
          <w:p w14:paraId="096D0FAE">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b/>
                <w:bCs/>
                <w:kern w:val="0"/>
                <w:sz w:val="24"/>
                <w:szCs w:val="24"/>
                <w:lang w:val="en-US" w:eastAsia="zh-Hans"/>
              </w:rPr>
            </w:pPr>
            <w:r>
              <w:rPr>
                <w:rFonts w:hint="eastAsia" w:ascii="仿宋" w:hAnsi="仿宋" w:eastAsia="仿宋" w:cs="仿宋"/>
                <w:kern w:val="0"/>
                <w:sz w:val="24"/>
                <w:szCs w:val="24"/>
                <w:lang w:val="en-US" w:eastAsia="zh-CN"/>
              </w:rPr>
              <w:t>12）</w:t>
            </w:r>
            <w:r>
              <w:rPr>
                <w:rFonts w:hint="eastAsia" w:ascii="仿宋" w:hAnsi="仿宋" w:eastAsia="仿宋" w:cs="仿宋"/>
                <w:sz w:val="24"/>
                <w:szCs w:val="24"/>
              </w:rPr>
              <w:t>★投标人保证中标后所有保安人员具备与岗位职责相应的观察、发现、处置问题能力，具备使用消防设备、通讯器材、技术防范设施和相关防卫器械的基本技能</w:t>
            </w:r>
            <w:r>
              <w:rPr>
                <w:rFonts w:hint="eastAsia" w:ascii="仿宋" w:hAnsi="仿宋" w:eastAsia="仿宋" w:cs="仿宋"/>
                <w:b/>
                <w:bCs/>
                <w:sz w:val="24"/>
                <w:szCs w:val="24"/>
              </w:rPr>
              <w:t>（提供承诺函，格式自拟并加盖公章）</w:t>
            </w:r>
            <w:r>
              <w:rPr>
                <w:rFonts w:hint="eastAsia" w:ascii="仿宋" w:hAnsi="仿宋" w:eastAsia="仿宋" w:cs="仿宋"/>
                <w:b/>
                <w:bCs/>
                <w:kern w:val="0"/>
                <w:sz w:val="24"/>
                <w:szCs w:val="24"/>
                <w:lang w:val="en-US" w:eastAsia="zh-Hans"/>
              </w:rPr>
              <w:t>。</w:t>
            </w:r>
          </w:p>
          <w:p w14:paraId="67944E2F">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highlight w:val="none"/>
                <w:lang w:val="en-US" w:eastAsia="zh-CN"/>
              </w:rPr>
              <w:t>13）</w:t>
            </w:r>
            <w:r>
              <w:rPr>
                <w:rFonts w:hint="eastAsia" w:ascii="仿宋" w:hAnsi="仿宋" w:eastAsia="仿宋" w:cs="仿宋"/>
                <w:color w:val="auto"/>
                <w:kern w:val="0"/>
                <w:sz w:val="24"/>
                <w:szCs w:val="24"/>
                <w:highlight w:val="none"/>
                <w:lang w:val="en-US" w:eastAsia="zh-Hans"/>
              </w:rPr>
              <w:t>★</w:t>
            </w:r>
            <w:r>
              <w:rPr>
                <w:rFonts w:hint="eastAsia" w:ascii="仿宋" w:hAnsi="仿宋" w:eastAsia="仿宋" w:cs="仿宋"/>
                <w:color w:val="auto"/>
                <w:kern w:val="0"/>
                <w:sz w:val="24"/>
                <w:szCs w:val="24"/>
                <w:highlight w:val="none"/>
                <w:lang w:val="en-US" w:eastAsia="zh-CN"/>
              </w:rPr>
              <w:t>投</w:t>
            </w:r>
            <w:r>
              <w:rPr>
                <w:rFonts w:hint="eastAsia" w:ascii="仿宋" w:hAnsi="仿宋" w:eastAsia="仿宋" w:cs="仿宋"/>
                <w:color w:val="auto"/>
                <w:sz w:val="24"/>
                <w:szCs w:val="24"/>
                <w:highlight w:val="none"/>
                <w:lang w:val="en-US" w:eastAsia="zh-CN"/>
              </w:rPr>
              <w:t>标人保证在领取中标通知书前，</w:t>
            </w:r>
            <w:r>
              <w:rPr>
                <w:rFonts w:hint="eastAsia" w:ascii="仿宋" w:hAnsi="仿宋" w:eastAsia="仿宋" w:cs="仿宋"/>
                <w:color w:val="auto"/>
                <w:sz w:val="24"/>
                <w:szCs w:val="24"/>
                <w:highlight w:val="none"/>
              </w:rPr>
              <w:t>必须</w:t>
            </w:r>
            <w:r>
              <w:rPr>
                <w:rFonts w:hint="eastAsia" w:ascii="仿宋" w:hAnsi="仿宋" w:eastAsia="仿宋" w:cs="仿宋"/>
                <w:color w:val="auto"/>
                <w:sz w:val="24"/>
                <w:szCs w:val="24"/>
                <w:highlight w:val="none"/>
                <w:lang w:val="en-US" w:eastAsia="zh-CN"/>
              </w:rPr>
              <w:t>将保安人员（51)人名单</w:t>
            </w:r>
            <w:r>
              <w:rPr>
                <w:rFonts w:hint="eastAsia" w:ascii="仿宋" w:hAnsi="仿宋" w:eastAsia="仿宋" w:cs="仿宋"/>
                <w:color w:val="auto"/>
                <w:sz w:val="24"/>
                <w:szCs w:val="24"/>
                <w:highlight w:val="none"/>
              </w:rPr>
              <w:t>造册</w:t>
            </w:r>
            <w:r>
              <w:rPr>
                <w:rFonts w:hint="eastAsia" w:ascii="仿宋" w:hAnsi="仿宋" w:eastAsia="仿宋" w:cs="仿宋"/>
                <w:color w:val="auto"/>
                <w:kern w:val="0"/>
                <w:sz w:val="24"/>
                <w:szCs w:val="24"/>
                <w:highlight w:val="none"/>
                <w:lang w:val="en-US" w:eastAsia="zh-CN"/>
              </w:rPr>
              <w:t>提供给</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Hans"/>
              </w:rPr>
              <w:t>采购人或代理机构核实后，</w:t>
            </w:r>
            <w:r>
              <w:rPr>
                <w:rFonts w:hint="eastAsia" w:ascii="仿宋" w:hAnsi="仿宋" w:eastAsia="仿宋" w:cs="仿宋"/>
                <w:color w:val="auto"/>
                <w:sz w:val="24"/>
                <w:szCs w:val="24"/>
                <w:highlight w:val="none"/>
                <w:lang w:val="en-US" w:eastAsia="zh-CN"/>
              </w:rPr>
              <w:t>方可</w:t>
            </w:r>
            <w:r>
              <w:rPr>
                <w:rFonts w:hint="eastAsia" w:ascii="仿宋" w:hAnsi="仿宋" w:eastAsia="仿宋" w:cs="仿宋"/>
                <w:color w:val="auto"/>
                <w:sz w:val="24"/>
                <w:szCs w:val="24"/>
                <w:highlight w:val="none"/>
                <w:lang w:val="en-US" w:eastAsia="zh-Hans"/>
              </w:rPr>
              <w:t>签订采购项目合同。）</w:t>
            </w:r>
            <w:r>
              <w:rPr>
                <w:rFonts w:hint="eastAsia" w:ascii="仿宋" w:hAnsi="仿宋" w:eastAsia="仿宋" w:cs="仿宋"/>
                <w:color w:val="auto"/>
                <w:sz w:val="24"/>
                <w:szCs w:val="24"/>
                <w:highlight w:val="none"/>
                <w:lang w:val="en-US" w:eastAsia="zh-CN"/>
              </w:rPr>
              <w:t>所提供人员政审合格，品德良好，服从管理，身体健康，体貌端正，智力健全，无精神疾病史，</w:t>
            </w:r>
            <w:r>
              <w:rPr>
                <w:rFonts w:hint="eastAsia" w:ascii="仿宋" w:hAnsi="仿宋" w:eastAsia="仿宋" w:cs="仿宋"/>
                <w:color w:val="auto"/>
                <w:kern w:val="0"/>
                <w:sz w:val="24"/>
                <w:szCs w:val="24"/>
                <w:highlight w:val="none"/>
                <w:lang w:val="en-US" w:eastAsia="zh-CN"/>
              </w:rPr>
              <w:t>其中退伍军人占总人数20%，退伍军人证必须持有保安员证；</w:t>
            </w:r>
            <w:r>
              <w:rPr>
                <w:rFonts w:hint="eastAsia" w:ascii="仿宋" w:hAnsi="仿宋" w:eastAsia="仿宋" w:cs="仿宋"/>
                <w:color w:val="auto"/>
                <w:kern w:val="0"/>
                <w:sz w:val="24"/>
                <w:szCs w:val="24"/>
                <w:lang w:val="en-US" w:eastAsia="zh-CN"/>
              </w:rPr>
              <w:t>人员造册要求：必须提供人员姓名、身份证复印件、健康证复印件、保安员证复印件，退伍军人证复印件、开标之日前六个月内任意一个月的社保缴纳证明材料复印件、无犯罪记录行为等；如不提供，视为放弃中标。</w:t>
            </w:r>
            <w:r>
              <w:rPr>
                <w:rFonts w:hint="eastAsia" w:ascii="仿宋" w:hAnsi="仿宋" w:eastAsia="仿宋" w:cs="仿宋"/>
                <w:b/>
                <w:bCs/>
                <w:color w:val="auto"/>
                <w:sz w:val="24"/>
                <w:szCs w:val="24"/>
              </w:rPr>
              <w:t>（提供承诺函，格式自拟并加盖公章</w:t>
            </w:r>
            <w:r>
              <w:rPr>
                <w:rFonts w:hint="eastAsia" w:ascii="仿宋" w:hAnsi="仿宋" w:eastAsia="仿宋" w:cs="仿宋"/>
                <w:b/>
                <w:bCs/>
                <w:color w:val="auto"/>
                <w:sz w:val="24"/>
                <w:szCs w:val="24"/>
                <w:lang w:eastAsia="zh-CN"/>
              </w:rPr>
              <w:t>）</w:t>
            </w:r>
            <w:r>
              <w:rPr>
                <w:rFonts w:hint="eastAsia" w:ascii="仿宋" w:hAnsi="仿宋" w:eastAsia="仿宋" w:cs="仿宋"/>
                <w:b/>
                <w:bCs/>
                <w:color w:val="auto"/>
                <w:kern w:val="0"/>
                <w:sz w:val="24"/>
                <w:szCs w:val="24"/>
                <w:lang w:val="en-US" w:eastAsia="zh-Hans"/>
              </w:rPr>
              <w:t>。</w:t>
            </w:r>
          </w:p>
          <w:p w14:paraId="40AFA6D4">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b w:val="0"/>
                <w:bCs w:val="0"/>
                <w:kern w:val="0"/>
                <w:sz w:val="24"/>
                <w:szCs w:val="24"/>
                <w:lang w:val="en-US" w:eastAsia="zh-Hans"/>
              </w:rPr>
            </w:pPr>
            <w:r>
              <w:rPr>
                <w:rFonts w:hint="eastAsia" w:ascii="仿宋" w:hAnsi="仿宋" w:eastAsia="仿宋" w:cs="仿宋"/>
                <w:kern w:val="0"/>
                <w:sz w:val="24"/>
                <w:szCs w:val="24"/>
                <w:lang w:val="en-US" w:eastAsia="zh-CN"/>
              </w:rPr>
              <w:t>14</w:t>
            </w:r>
            <w:r>
              <w:rPr>
                <w:rFonts w:hint="eastAsia" w:ascii="仿宋" w:hAnsi="仿宋" w:eastAsia="仿宋" w:cs="仿宋"/>
                <w:kern w:val="0"/>
                <w:sz w:val="24"/>
                <w:szCs w:val="24"/>
                <w:lang w:val="en-US" w:eastAsia="zh-Hans"/>
              </w:rPr>
              <w:t>）★</w:t>
            </w:r>
            <w:r>
              <w:rPr>
                <w:rFonts w:hint="eastAsia" w:ascii="仿宋" w:hAnsi="仿宋" w:eastAsia="仿宋" w:cs="仿宋"/>
                <w:kern w:val="0"/>
                <w:sz w:val="24"/>
                <w:szCs w:val="24"/>
                <w:lang w:val="en-US" w:eastAsia="zh-CN"/>
              </w:rPr>
              <w:t>中标供应商</w:t>
            </w:r>
            <w:r>
              <w:rPr>
                <w:rFonts w:hint="eastAsia" w:ascii="仿宋" w:hAnsi="仿宋" w:eastAsia="仿宋" w:cs="仿宋"/>
                <w:kern w:val="0"/>
                <w:sz w:val="24"/>
                <w:szCs w:val="24"/>
                <w:lang w:val="en-US" w:eastAsia="zh-Hans"/>
              </w:rPr>
              <w:t>按茂名市劳动部门的相关要求为服务人员按工资比例缴纳社保和医疗保险；服务人员待遇按茂名市劳动用工相关标准执行，不得低于茂名市最低工资标准；如因用工问题引起的劳动纠纷问题由</w:t>
            </w:r>
            <w:r>
              <w:rPr>
                <w:rFonts w:hint="eastAsia" w:ascii="仿宋" w:hAnsi="仿宋" w:eastAsia="仿宋" w:cs="仿宋"/>
                <w:kern w:val="0"/>
                <w:sz w:val="24"/>
                <w:szCs w:val="24"/>
                <w:lang w:val="en-US" w:eastAsia="zh-CN"/>
              </w:rPr>
              <w:t>中标供应商</w:t>
            </w:r>
            <w:r>
              <w:rPr>
                <w:rFonts w:hint="eastAsia" w:ascii="仿宋" w:hAnsi="仿宋" w:eastAsia="仿宋" w:cs="仿宋"/>
                <w:kern w:val="0"/>
                <w:sz w:val="24"/>
                <w:szCs w:val="24"/>
                <w:lang w:val="en-US" w:eastAsia="zh-Hans"/>
              </w:rPr>
              <w:t>自行解决</w:t>
            </w:r>
            <w:r>
              <w:rPr>
                <w:rFonts w:hint="eastAsia" w:ascii="仿宋" w:hAnsi="仿宋" w:eastAsia="仿宋" w:cs="仿宋"/>
                <w:b w:val="0"/>
                <w:bCs w:val="0"/>
                <w:kern w:val="0"/>
                <w:sz w:val="24"/>
                <w:szCs w:val="24"/>
                <w:lang w:val="en-US" w:eastAsia="zh-Hans"/>
              </w:rPr>
              <w:t>（</w:t>
            </w:r>
            <w:r>
              <w:rPr>
                <w:rFonts w:hint="eastAsia" w:ascii="仿宋" w:hAnsi="仿宋" w:eastAsia="仿宋" w:cs="仿宋"/>
                <w:b w:val="0"/>
                <w:bCs w:val="0"/>
                <w:sz w:val="24"/>
                <w:szCs w:val="24"/>
              </w:rPr>
              <w:t>提供承诺函，格式自拟并加盖公章</w:t>
            </w:r>
            <w:r>
              <w:rPr>
                <w:rFonts w:hint="eastAsia" w:ascii="仿宋" w:hAnsi="仿宋" w:eastAsia="仿宋" w:cs="仿宋"/>
                <w:b w:val="0"/>
                <w:bCs w:val="0"/>
                <w:kern w:val="0"/>
                <w:sz w:val="24"/>
                <w:szCs w:val="24"/>
                <w:lang w:val="en-US" w:eastAsia="zh-Hans"/>
              </w:rPr>
              <w:t>）。</w:t>
            </w:r>
            <w:r>
              <w:rPr>
                <w:rFonts w:hint="eastAsia" w:ascii="仿宋" w:hAnsi="仿宋" w:eastAsia="仿宋" w:cs="仿宋"/>
                <w:b/>
                <w:bCs/>
                <w:kern w:val="0"/>
                <w:sz w:val="24"/>
                <w:szCs w:val="24"/>
                <w:lang w:val="en-US" w:eastAsia="zh-Hans"/>
              </w:rPr>
              <w:t>（</w:t>
            </w:r>
            <w:r>
              <w:rPr>
                <w:rFonts w:hint="eastAsia" w:ascii="仿宋" w:hAnsi="仿宋" w:eastAsia="仿宋" w:cs="仿宋"/>
                <w:b/>
                <w:bCs/>
                <w:sz w:val="24"/>
                <w:szCs w:val="24"/>
              </w:rPr>
              <w:t>提供承诺函，格式自拟并加盖公章</w:t>
            </w:r>
            <w:r>
              <w:rPr>
                <w:rFonts w:hint="eastAsia" w:ascii="仿宋" w:hAnsi="仿宋" w:eastAsia="仿宋" w:cs="仿宋"/>
                <w:b/>
                <w:bCs/>
                <w:kern w:val="0"/>
                <w:sz w:val="24"/>
                <w:szCs w:val="24"/>
                <w:lang w:val="en-US" w:eastAsia="zh-Hans"/>
              </w:rPr>
              <w:t>）。</w:t>
            </w:r>
          </w:p>
          <w:p w14:paraId="2B5B3F82">
            <w:pPr>
              <w:pStyle w:val="6"/>
              <w:keepNext w:val="0"/>
              <w:keepLines w:val="0"/>
              <w:pageBreakBefore w:val="0"/>
              <w:widowControl w:val="0"/>
              <w:kinsoku/>
              <w:wordWrap/>
              <w:overflowPunct/>
              <w:topLinePunct w:val="0"/>
              <w:autoSpaceDE/>
              <w:autoSpaceDN/>
              <w:bidi w:val="0"/>
              <w:adjustRightInd/>
              <w:snapToGrid/>
              <w:spacing w:line="360" w:lineRule="auto"/>
              <w:ind w:firstLine="240" w:firstLineChars="100"/>
              <w:jc w:val="both"/>
              <w:textAlignment w:val="auto"/>
              <w:rPr>
                <w:rFonts w:hint="eastAsia" w:ascii="仿宋" w:hAnsi="仿宋" w:eastAsia="仿宋" w:cs="仿宋"/>
                <w:kern w:val="0"/>
                <w:sz w:val="24"/>
                <w:szCs w:val="24"/>
                <w:lang w:val="en-US" w:eastAsia="zh-CN"/>
              </w:rPr>
            </w:pPr>
            <w:bookmarkStart w:id="1" w:name="_GoBack"/>
            <w:bookmarkEnd w:id="1"/>
            <w:r>
              <w:rPr>
                <w:rFonts w:hint="eastAsia" w:ascii="仿宋" w:hAnsi="仿宋" w:eastAsia="仿宋" w:cs="仿宋"/>
                <w:kern w:val="0"/>
                <w:sz w:val="24"/>
                <w:szCs w:val="24"/>
                <w:lang w:val="en-US" w:eastAsia="zh-CN" w:bidi="ar-SA"/>
              </w:rPr>
              <w:t>15）</w:t>
            </w:r>
            <w:r>
              <w:rPr>
                <w:rFonts w:hint="eastAsia" w:ascii="仿宋" w:hAnsi="仿宋" w:eastAsia="仿宋" w:cs="仿宋"/>
                <w:kern w:val="0"/>
                <w:sz w:val="24"/>
                <w:szCs w:val="24"/>
                <w:lang w:val="en-US" w:eastAsia="zh-Hans" w:bidi="ar-SA"/>
              </w:rPr>
              <w:t>中标供应商应按照《中华人民共和国社会保险法》和《住房公积金管理条例》的相关规定，缴纳国家规定必须缴纳的社会保险费用和缴存住房公积金</w:t>
            </w:r>
            <w:r>
              <w:rPr>
                <w:rFonts w:hint="eastAsia" w:ascii="仿宋" w:hAnsi="仿宋" w:eastAsia="仿宋" w:cs="仿宋"/>
                <w:b/>
                <w:bCs/>
                <w:kern w:val="0"/>
                <w:sz w:val="24"/>
                <w:szCs w:val="24"/>
                <w:lang w:val="en-US" w:eastAsia="zh-Hans" w:bidi="ar-SA"/>
              </w:rPr>
              <w:t>（提供承诺函，格式自拟）。</w:t>
            </w:r>
          </w:p>
          <w:p w14:paraId="14FB78C8">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16</w:t>
            </w:r>
            <w:r>
              <w:rPr>
                <w:rFonts w:hint="eastAsia" w:ascii="仿宋" w:hAnsi="仿宋" w:eastAsia="仿宋" w:cs="仿宋"/>
                <w:kern w:val="0"/>
                <w:sz w:val="24"/>
                <w:szCs w:val="24"/>
                <w:lang w:val="en-US" w:eastAsia="zh-Hans"/>
              </w:rPr>
              <w:t>）★所有保安人员必须符合劳动法的所有规定；</w:t>
            </w:r>
            <w:r>
              <w:rPr>
                <w:rFonts w:hint="eastAsia" w:ascii="仿宋" w:hAnsi="仿宋" w:eastAsia="仿宋" w:cs="仿宋"/>
                <w:kern w:val="0"/>
                <w:sz w:val="24"/>
                <w:szCs w:val="24"/>
                <w:lang w:val="en-US" w:eastAsia="zh-CN"/>
              </w:rPr>
              <w:t>中标供应商</w:t>
            </w:r>
            <w:r>
              <w:rPr>
                <w:rFonts w:hint="eastAsia" w:ascii="仿宋" w:hAnsi="仿宋" w:eastAsia="仿宋" w:cs="仿宋"/>
                <w:kern w:val="0"/>
                <w:sz w:val="24"/>
                <w:szCs w:val="24"/>
                <w:lang w:val="en-US" w:eastAsia="zh-Hans"/>
              </w:rPr>
              <w:t>必须对所有保安人员工资福利、工伤、意外死亡等承担所有责任，负责有关追诉、诉讼及赔偿等所有费用；采购人无需为所有保安人员承担任何责任，也无需对工伤、意外死亡等承担任何责任</w:t>
            </w:r>
            <w:r>
              <w:rPr>
                <w:rFonts w:hint="eastAsia" w:ascii="仿宋" w:hAnsi="仿宋" w:eastAsia="仿宋" w:cs="仿宋"/>
                <w:b/>
                <w:bCs/>
                <w:kern w:val="0"/>
                <w:sz w:val="24"/>
                <w:szCs w:val="24"/>
                <w:lang w:val="en-US" w:eastAsia="zh-Hans"/>
              </w:rPr>
              <w:t>（</w:t>
            </w:r>
            <w:r>
              <w:rPr>
                <w:rFonts w:hint="eastAsia" w:ascii="仿宋" w:hAnsi="仿宋" w:eastAsia="仿宋" w:cs="仿宋"/>
                <w:b/>
                <w:bCs/>
                <w:sz w:val="24"/>
                <w:szCs w:val="24"/>
              </w:rPr>
              <w:t>提供承诺函，格式自拟并加盖公章</w:t>
            </w:r>
            <w:r>
              <w:rPr>
                <w:rFonts w:hint="eastAsia" w:ascii="仿宋" w:hAnsi="仿宋" w:eastAsia="仿宋" w:cs="仿宋"/>
                <w:b/>
                <w:bCs/>
                <w:kern w:val="0"/>
                <w:sz w:val="24"/>
                <w:szCs w:val="24"/>
                <w:lang w:val="en-US" w:eastAsia="zh-Hans"/>
              </w:rPr>
              <w:t>）。</w:t>
            </w:r>
          </w:p>
          <w:p w14:paraId="3E076583">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17）</w:t>
            </w:r>
            <w:r>
              <w:rPr>
                <w:rFonts w:hint="eastAsia" w:ascii="仿宋" w:hAnsi="仿宋" w:eastAsia="仿宋" w:cs="仿宋"/>
                <w:kern w:val="0"/>
                <w:sz w:val="24"/>
                <w:szCs w:val="24"/>
                <w:lang w:val="en-US" w:eastAsia="zh-Hans"/>
              </w:rPr>
              <w:t>★若中标供应商工作人员发生劳动争议或出现伤病、意外死亡情况时，由中标供应商负责解决并承担相应的法律责任，若采购人因此被追究责任的，中标供应商应赔偿采购人所遭受的一切损失（包括但不限于律师费、诉讼费、保全费等），并承担违约责任</w:t>
            </w:r>
            <w:r>
              <w:rPr>
                <w:rFonts w:hint="eastAsia" w:ascii="仿宋" w:hAnsi="仿宋" w:eastAsia="仿宋" w:cs="仿宋"/>
                <w:b/>
                <w:bCs/>
                <w:kern w:val="0"/>
                <w:sz w:val="24"/>
                <w:szCs w:val="24"/>
                <w:lang w:val="en-US" w:eastAsia="zh-Hans"/>
              </w:rPr>
              <w:t>（</w:t>
            </w:r>
            <w:r>
              <w:rPr>
                <w:rFonts w:hint="eastAsia" w:ascii="仿宋" w:hAnsi="仿宋" w:eastAsia="仿宋" w:cs="仿宋"/>
                <w:b/>
                <w:bCs/>
                <w:sz w:val="24"/>
                <w:szCs w:val="24"/>
              </w:rPr>
              <w:t>提供承诺函，格式自拟并加盖公章</w:t>
            </w:r>
            <w:r>
              <w:rPr>
                <w:rFonts w:hint="eastAsia" w:ascii="仿宋" w:hAnsi="仿宋" w:eastAsia="仿宋" w:cs="仿宋"/>
                <w:b/>
                <w:bCs/>
                <w:kern w:val="0"/>
                <w:sz w:val="24"/>
                <w:szCs w:val="24"/>
                <w:lang w:val="en-US" w:eastAsia="zh-Hans"/>
              </w:rPr>
              <w:t>）。</w:t>
            </w:r>
          </w:p>
          <w:p w14:paraId="0ABE9B1B">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18</w:t>
            </w:r>
            <w:r>
              <w:rPr>
                <w:rFonts w:hint="eastAsia" w:ascii="仿宋" w:hAnsi="仿宋" w:eastAsia="仿宋" w:cs="仿宋"/>
                <w:kern w:val="0"/>
                <w:sz w:val="24"/>
                <w:szCs w:val="24"/>
                <w:lang w:val="en-US" w:eastAsia="zh-Hans"/>
              </w:rPr>
              <w:t>）</w:t>
            </w:r>
            <w:r>
              <w:rPr>
                <w:rFonts w:hint="eastAsia" w:ascii="仿宋" w:hAnsi="仿宋" w:eastAsia="仿宋" w:cs="仿宋"/>
                <w:kern w:val="0"/>
                <w:sz w:val="24"/>
                <w:szCs w:val="24"/>
                <w:lang w:val="en-US" w:eastAsia="zh-CN"/>
              </w:rPr>
              <w:t>中标供应商</w:t>
            </w:r>
            <w:r>
              <w:rPr>
                <w:rFonts w:hint="eastAsia" w:ascii="仿宋" w:hAnsi="仿宋" w:eastAsia="仿宋" w:cs="仿宋"/>
                <w:kern w:val="0"/>
                <w:sz w:val="24"/>
                <w:szCs w:val="24"/>
                <w:lang w:val="en-US" w:eastAsia="zh-Hans"/>
              </w:rPr>
              <w:t>对所录用人员必须做好入职体检，确保保安人员身体健康，持健康证上岗，身体素质符合岗位要求。</w:t>
            </w:r>
          </w:p>
          <w:p w14:paraId="5FA6A49E">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Hans"/>
              </w:rPr>
            </w:pPr>
            <w:r>
              <w:rPr>
                <w:rFonts w:hint="eastAsia" w:ascii="仿宋" w:hAnsi="仿宋" w:eastAsia="仿宋" w:cs="仿宋"/>
                <w:kern w:val="0"/>
                <w:sz w:val="24"/>
                <w:szCs w:val="24"/>
                <w:lang w:val="en-US" w:eastAsia="zh-CN"/>
              </w:rPr>
              <w:t>19</w:t>
            </w:r>
            <w:r>
              <w:rPr>
                <w:rFonts w:hint="eastAsia" w:ascii="仿宋" w:hAnsi="仿宋" w:eastAsia="仿宋" w:cs="仿宋"/>
                <w:kern w:val="0"/>
                <w:sz w:val="24"/>
                <w:szCs w:val="24"/>
                <w:lang w:val="en-US" w:eastAsia="zh-Hans"/>
              </w:rPr>
              <w:t>）</w:t>
            </w:r>
            <w:r>
              <w:rPr>
                <w:rFonts w:hint="eastAsia" w:ascii="仿宋" w:hAnsi="仿宋" w:eastAsia="仿宋" w:cs="仿宋"/>
                <w:kern w:val="0"/>
                <w:sz w:val="24"/>
                <w:szCs w:val="24"/>
                <w:lang w:val="en-US" w:eastAsia="zh-CN"/>
              </w:rPr>
              <w:t>中标供应商</w:t>
            </w:r>
            <w:r>
              <w:rPr>
                <w:rFonts w:hint="eastAsia" w:ascii="仿宋" w:hAnsi="仿宋" w:eastAsia="仿宋" w:cs="仿宋"/>
                <w:kern w:val="0"/>
                <w:sz w:val="24"/>
                <w:szCs w:val="24"/>
                <w:lang w:val="en-US" w:eastAsia="zh-Hans"/>
              </w:rPr>
              <w:t>在做好工作的同时，有责任向采购人提供合理化建议，以提高管理效率和管理质量。</w:t>
            </w:r>
          </w:p>
          <w:p w14:paraId="0C145C88">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20）中标供应商进场前，配备的服务人员须报采购人审批备案。</w:t>
            </w:r>
          </w:p>
          <w:p w14:paraId="389ADB83">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21）采购人与供应商在签订合同的同时应签订保密协议。</w:t>
            </w:r>
          </w:p>
          <w:p w14:paraId="678967A9">
            <w:pPr>
              <w:pStyle w:val="5"/>
              <w:keepNext w:val="0"/>
              <w:keepLines w:val="0"/>
              <w:pageBreakBefore w:val="0"/>
              <w:numPr>
                <w:ilvl w:val="0"/>
                <w:numId w:val="0"/>
              </w:numPr>
              <w:kinsoku/>
              <w:wordWrap/>
              <w:overflowPunct/>
              <w:topLinePunct w:val="0"/>
              <w:autoSpaceDE/>
              <w:autoSpaceDN/>
              <w:bidi w:val="0"/>
              <w:adjustRightInd/>
              <w:snapToGrid/>
              <w:spacing w:line="408" w:lineRule="auto"/>
              <w:textAlignment w:val="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（2）采购人其他需求规定</w:t>
            </w:r>
          </w:p>
          <w:p w14:paraId="1E4E826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1)中标供应商应定期组织保安人员业务技能培训和安全应急演练，每月不得少于2次开展技能培训，包括反恐、消防、应急方面的培训或训练，每月不得少于1次开展安全应急演练。</w:t>
            </w:r>
          </w:p>
          <w:p w14:paraId="7FDECAD5">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2)保安人员如有不称职行为屡教不改的，或经发现有违法违规或失职行为的，采购人有权要求更换人员。</w:t>
            </w:r>
          </w:p>
          <w:p w14:paraId="27636650">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3)要注重保安自身形象，确保保安员上班统一着装、配饰，自觉维护采购人良好声誉，为采购人做好保密工作，未经许可不得向外界发布任何有关采购人的言论。</w:t>
            </w:r>
          </w:p>
          <w:p w14:paraId="2F84E88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4)如有保安员辞职、离岗或休假等事宜，需要即时补充同等数量的后备人员到采购人指定工作岗位。</w:t>
            </w:r>
          </w:p>
          <w:p w14:paraId="5BB97996">
            <w:pPr>
              <w:pStyle w:val="5"/>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服务交接：新供应商与原供应商交接时间为服务期截止时间之日起10个自然日内。若因招标或其他原因造成新供应商与原供应商未按期交接时，由新供应商向原供应商支付交接时间以外的服务费(服务费包含在各个采购包的采购预算中,按中标价除以服务天数计算单价)。</w:t>
            </w:r>
          </w:p>
          <w:p w14:paraId="281ADE70">
            <w:pPr>
              <w:pStyle w:val="5"/>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w:t>
            </w:r>
            <w:r>
              <w:rPr>
                <w:rFonts w:hint="eastAsia" w:ascii="仿宋" w:hAnsi="仿宋" w:eastAsia="仿宋" w:cs="仿宋"/>
                <w:kern w:val="0"/>
                <w:sz w:val="24"/>
                <w:szCs w:val="24"/>
                <w:lang w:val="en-US" w:eastAsia="zh-Hans"/>
              </w:rPr>
              <w:t>★</w:t>
            </w:r>
            <w:r>
              <w:rPr>
                <w:rFonts w:hint="eastAsia" w:ascii="仿宋" w:hAnsi="仿宋" w:eastAsia="仿宋" w:cs="仿宋"/>
                <w:color w:val="000000"/>
                <w:sz w:val="24"/>
                <w:szCs w:val="24"/>
                <w:lang w:val="en-US" w:eastAsia="zh-CN"/>
              </w:rPr>
              <w:t>中标供应商为保安人员投保人身意外保险，若保安人员在工作期间遭受意外伤害，由中标供应商向保险公司索赔</w:t>
            </w:r>
            <w:r>
              <w:rPr>
                <w:rFonts w:hint="eastAsia" w:ascii="仿宋" w:hAnsi="仿宋" w:eastAsia="仿宋" w:cs="仿宋"/>
                <w:b/>
                <w:bCs/>
                <w:kern w:val="0"/>
                <w:sz w:val="24"/>
                <w:szCs w:val="24"/>
                <w:lang w:val="en-US" w:eastAsia="zh-Hans"/>
              </w:rPr>
              <w:t>（</w:t>
            </w:r>
            <w:r>
              <w:rPr>
                <w:rFonts w:hint="eastAsia" w:ascii="仿宋" w:hAnsi="仿宋" w:eastAsia="仿宋" w:cs="仿宋"/>
                <w:b/>
                <w:bCs/>
                <w:sz w:val="24"/>
                <w:szCs w:val="24"/>
              </w:rPr>
              <w:t>提供承诺函，格式自拟并加盖公章</w:t>
            </w:r>
            <w:r>
              <w:rPr>
                <w:rFonts w:hint="eastAsia" w:ascii="仿宋" w:hAnsi="仿宋" w:eastAsia="仿宋" w:cs="仿宋"/>
                <w:b/>
                <w:bCs/>
                <w:kern w:val="0"/>
                <w:sz w:val="24"/>
                <w:szCs w:val="24"/>
                <w:lang w:val="en-US" w:eastAsia="zh-Hans"/>
              </w:rPr>
              <w:t>）</w:t>
            </w:r>
            <w:r>
              <w:rPr>
                <w:rFonts w:hint="eastAsia" w:ascii="仿宋" w:hAnsi="仿宋" w:eastAsia="仿宋" w:cs="仿宋"/>
                <w:color w:val="000000"/>
                <w:sz w:val="24"/>
                <w:szCs w:val="24"/>
                <w:lang w:val="en-US" w:eastAsia="zh-CN"/>
              </w:rPr>
              <w:t>。</w:t>
            </w:r>
          </w:p>
          <w:p w14:paraId="4FBAED46">
            <w:pPr>
              <w:pStyle w:val="5"/>
              <w:keepNext w:val="0"/>
              <w:keepLines w:val="0"/>
              <w:pageBreakBefore w:val="0"/>
              <w:numPr>
                <w:ilvl w:val="0"/>
                <w:numId w:val="1"/>
              </w:numPr>
              <w:kinsoku/>
              <w:wordWrap/>
              <w:overflowPunct/>
              <w:topLinePunct w:val="0"/>
              <w:autoSpaceDE/>
              <w:autoSpaceDN/>
              <w:bidi w:val="0"/>
              <w:adjustRightInd/>
              <w:snapToGrid/>
              <w:spacing w:line="408" w:lineRule="auto"/>
              <w:textAlignment w:val="auto"/>
              <w:rPr>
                <w:rFonts w:hint="eastAsia" w:ascii="仿宋" w:hAnsi="仿宋" w:eastAsia="仿宋" w:cs="仿宋"/>
                <w:b/>
                <w:sz w:val="24"/>
                <w:szCs w:val="24"/>
              </w:rPr>
            </w:pPr>
            <w:r>
              <w:rPr>
                <w:rFonts w:hint="eastAsia" w:ascii="仿宋" w:hAnsi="仿宋" w:eastAsia="仿宋" w:cs="仿宋"/>
                <w:b/>
                <w:sz w:val="24"/>
                <w:szCs w:val="24"/>
                <w:lang w:val="en-US" w:eastAsia="zh-CN"/>
              </w:rPr>
              <w:t>人员配置要求</w:t>
            </w:r>
          </w:p>
          <w:p w14:paraId="4E90789A">
            <w:pPr>
              <w:keepNext w:val="0"/>
              <w:keepLines w:val="0"/>
              <w:pageBreakBefore w:val="0"/>
              <w:kinsoku/>
              <w:wordWrap/>
              <w:overflowPunct/>
              <w:topLinePunct w:val="0"/>
              <w:autoSpaceDE/>
              <w:autoSpaceDN/>
              <w:bidi w:val="0"/>
              <w:adjustRightInd/>
              <w:snapToGrid/>
              <w:spacing w:line="408" w:lineRule="auto"/>
              <w:ind w:firstLine="240"/>
              <w:jc w:val="both"/>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Hans"/>
              </w:rPr>
              <w:t>区政府楼、区委楼、区人大、政协楼、区大会堂、区行政中心机关大院停车场、区行政中心闸口一、闸口二、</w:t>
            </w:r>
            <w:r>
              <w:rPr>
                <w:rFonts w:hint="eastAsia" w:ascii="仿宋" w:hAnsi="仿宋" w:eastAsia="仿宋" w:cs="仿宋"/>
                <w:kern w:val="0"/>
                <w:sz w:val="24"/>
                <w:szCs w:val="24"/>
                <w:lang w:val="en-US" w:eastAsia="zh-CN"/>
              </w:rPr>
              <w:t>区</w:t>
            </w:r>
            <w:r>
              <w:rPr>
                <w:rFonts w:hint="eastAsia" w:ascii="仿宋" w:hAnsi="仿宋" w:eastAsia="仿宋" w:cs="仿宋"/>
                <w:kern w:val="0"/>
                <w:sz w:val="24"/>
                <w:szCs w:val="24"/>
                <w:lang w:val="en-US" w:eastAsia="zh-Hans"/>
              </w:rPr>
              <w:t>政府大院（宿舍一区、二区）范围等</w:t>
            </w:r>
            <w:r>
              <w:rPr>
                <w:rFonts w:hint="eastAsia" w:ascii="仿宋" w:hAnsi="仿宋" w:eastAsia="仿宋" w:cs="仿宋"/>
                <w:kern w:val="0"/>
                <w:sz w:val="24"/>
                <w:szCs w:val="24"/>
                <w:lang w:val="en-US" w:eastAsia="zh-CN"/>
              </w:rPr>
              <w:t>按岗位需求要求配备服务人员不低于 51 人，四班全天候值勤值守。具体岗位设置如下：</w:t>
            </w:r>
          </w:p>
          <w:p w14:paraId="38F68E26">
            <w:pPr>
              <w:pStyle w:val="5"/>
              <w:keepNext w:val="0"/>
              <w:keepLines w:val="0"/>
              <w:pageBreakBefore w:val="0"/>
              <w:numPr>
                <w:ilvl w:val="0"/>
                <w:numId w:val="0"/>
              </w:numPr>
              <w:kinsoku/>
              <w:wordWrap/>
              <w:overflowPunct/>
              <w:topLinePunct w:val="0"/>
              <w:autoSpaceDE/>
              <w:autoSpaceDN/>
              <w:bidi w:val="0"/>
              <w:adjustRightInd/>
              <w:snapToGrid/>
              <w:spacing w:line="408" w:lineRule="auto"/>
              <w:jc w:val="center"/>
              <w:textAlignment w:val="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保安员岗位配置表</w:t>
            </w:r>
          </w:p>
          <w:tbl>
            <w:tblPr>
              <w:tblStyle w:val="3"/>
              <w:tblW w:w="8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698"/>
              <w:gridCol w:w="1714"/>
              <w:gridCol w:w="1363"/>
              <w:gridCol w:w="1450"/>
              <w:gridCol w:w="1562"/>
            </w:tblGrid>
            <w:tr w14:paraId="6A066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noWrap w:val="0"/>
                  <w:vAlign w:val="top"/>
                </w:tcPr>
                <w:p w14:paraId="1AF1E643">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序号</w:t>
                  </w:r>
                </w:p>
              </w:tc>
              <w:tc>
                <w:tcPr>
                  <w:tcW w:w="1698" w:type="dxa"/>
                  <w:noWrap w:val="0"/>
                  <w:vAlign w:val="top"/>
                </w:tcPr>
                <w:p w14:paraId="16CFB459">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岗  位</w:t>
                  </w:r>
                </w:p>
              </w:tc>
              <w:tc>
                <w:tcPr>
                  <w:tcW w:w="1714" w:type="dxa"/>
                  <w:noWrap w:val="0"/>
                  <w:vAlign w:val="center"/>
                </w:tcPr>
                <w:p w14:paraId="4C5C5324">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班  次</w:t>
                  </w:r>
                </w:p>
              </w:tc>
              <w:tc>
                <w:tcPr>
                  <w:tcW w:w="1363" w:type="dxa"/>
                  <w:noWrap w:val="0"/>
                  <w:vAlign w:val="center"/>
                </w:tcPr>
                <w:p w14:paraId="449CF74F">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人员数量</w:t>
                  </w:r>
                </w:p>
              </w:tc>
              <w:tc>
                <w:tcPr>
                  <w:tcW w:w="1450" w:type="dxa"/>
                  <w:noWrap w:val="0"/>
                  <w:vAlign w:val="top"/>
                </w:tcPr>
                <w:p w14:paraId="70360667">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合计人数</w:t>
                  </w:r>
                </w:p>
              </w:tc>
              <w:tc>
                <w:tcPr>
                  <w:tcW w:w="1562" w:type="dxa"/>
                  <w:noWrap w:val="0"/>
                  <w:vAlign w:val="top"/>
                </w:tcPr>
                <w:p w14:paraId="62F75E98">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备注</w:t>
                  </w:r>
                </w:p>
              </w:tc>
            </w:tr>
            <w:tr w14:paraId="5FFC2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6" w:type="dxa"/>
                  <w:vMerge w:val="restart"/>
                  <w:noWrap w:val="0"/>
                  <w:vAlign w:val="center"/>
                </w:tcPr>
                <w:p w14:paraId="76859F1F">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698" w:type="dxa"/>
                  <w:noWrap w:val="0"/>
                  <w:vAlign w:val="top"/>
                </w:tcPr>
                <w:p w14:paraId="2CE3FD52">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队  长</w:t>
                  </w:r>
                </w:p>
              </w:tc>
              <w:tc>
                <w:tcPr>
                  <w:tcW w:w="1714" w:type="dxa"/>
                  <w:noWrap w:val="0"/>
                  <w:vAlign w:val="center"/>
                </w:tcPr>
                <w:p w14:paraId="042E6137">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行政班</w:t>
                  </w:r>
                </w:p>
              </w:tc>
              <w:tc>
                <w:tcPr>
                  <w:tcW w:w="1363" w:type="dxa"/>
                  <w:noWrap w:val="0"/>
                  <w:vAlign w:val="center"/>
                </w:tcPr>
                <w:p w14:paraId="778A64F3">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noWrap w:val="0"/>
                  <w:vAlign w:val="top"/>
                </w:tcPr>
                <w:p w14:paraId="63503E70">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1人</w:t>
                  </w:r>
                </w:p>
              </w:tc>
              <w:tc>
                <w:tcPr>
                  <w:tcW w:w="1562" w:type="dxa"/>
                  <w:noWrap w:val="0"/>
                  <w:vAlign w:val="top"/>
                </w:tcPr>
                <w:p w14:paraId="76ECCCB8">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5FF77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7B4C1C9B">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698" w:type="dxa"/>
                  <w:noWrap w:val="0"/>
                  <w:vAlign w:val="top"/>
                </w:tcPr>
                <w:p w14:paraId="7BFF33FA">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lang w:val="en-US" w:eastAsia="zh-CN"/>
                    </w:rPr>
                    <w:t>副队长</w:t>
                  </w:r>
                </w:p>
              </w:tc>
              <w:tc>
                <w:tcPr>
                  <w:tcW w:w="1714" w:type="dxa"/>
                  <w:noWrap w:val="0"/>
                  <w:vAlign w:val="center"/>
                </w:tcPr>
                <w:p w14:paraId="02ECB460">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lang w:val="en-US" w:eastAsia="zh-CN"/>
                    </w:rPr>
                    <w:t>行政班</w:t>
                  </w:r>
                </w:p>
              </w:tc>
              <w:tc>
                <w:tcPr>
                  <w:tcW w:w="1363" w:type="dxa"/>
                  <w:noWrap w:val="0"/>
                  <w:vAlign w:val="center"/>
                </w:tcPr>
                <w:p w14:paraId="053E7CF3">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lang w:val="en-US" w:eastAsia="zh-CN"/>
                    </w:rPr>
                    <w:t>2</w:t>
                  </w:r>
                </w:p>
              </w:tc>
              <w:tc>
                <w:tcPr>
                  <w:tcW w:w="1450" w:type="dxa"/>
                  <w:noWrap w:val="0"/>
                  <w:vAlign w:val="top"/>
                </w:tcPr>
                <w:p w14:paraId="045180D3">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lang w:val="en-US" w:eastAsia="zh-CN"/>
                    </w:rPr>
                    <w:t>2人</w:t>
                  </w:r>
                </w:p>
              </w:tc>
              <w:tc>
                <w:tcPr>
                  <w:tcW w:w="1562" w:type="dxa"/>
                  <w:noWrap w:val="0"/>
                  <w:vAlign w:val="top"/>
                </w:tcPr>
                <w:p w14:paraId="4D8912A8">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1E38A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6" w:type="dxa"/>
                  <w:vMerge w:val="continue"/>
                  <w:noWrap w:val="0"/>
                  <w:vAlign w:val="top"/>
                </w:tcPr>
                <w:p w14:paraId="4F00E8CF">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698" w:type="dxa"/>
                  <w:noWrap w:val="0"/>
                  <w:vAlign w:val="center"/>
                </w:tcPr>
                <w:p w14:paraId="78E57819">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机  动</w:t>
                  </w:r>
                </w:p>
              </w:tc>
              <w:tc>
                <w:tcPr>
                  <w:tcW w:w="1714" w:type="dxa"/>
                  <w:noWrap w:val="0"/>
                  <w:vAlign w:val="center"/>
                </w:tcPr>
                <w:p w14:paraId="3D9A6E23">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按需轮休顶班</w:t>
                  </w:r>
                </w:p>
              </w:tc>
              <w:tc>
                <w:tcPr>
                  <w:tcW w:w="1363" w:type="dxa"/>
                  <w:noWrap w:val="0"/>
                  <w:vAlign w:val="center"/>
                </w:tcPr>
                <w:p w14:paraId="3889EF0C">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6</w:t>
                  </w:r>
                </w:p>
              </w:tc>
              <w:tc>
                <w:tcPr>
                  <w:tcW w:w="1450" w:type="dxa"/>
                  <w:noWrap w:val="0"/>
                  <w:vAlign w:val="center"/>
                </w:tcPr>
                <w:p w14:paraId="6E593F78">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6人</w:t>
                  </w:r>
                </w:p>
              </w:tc>
              <w:tc>
                <w:tcPr>
                  <w:tcW w:w="1562" w:type="dxa"/>
                  <w:noWrap w:val="0"/>
                  <w:vAlign w:val="top"/>
                </w:tcPr>
                <w:p w14:paraId="504AF9EF">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每人每月4日假期</w:t>
                  </w:r>
                </w:p>
              </w:tc>
            </w:tr>
            <w:tr w14:paraId="16D26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restart"/>
                  <w:noWrap w:val="0"/>
                  <w:vAlign w:val="center"/>
                </w:tcPr>
                <w:p w14:paraId="06CB47FF">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w:t>
                  </w:r>
                </w:p>
              </w:tc>
              <w:tc>
                <w:tcPr>
                  <w:tcW w:w="1698" w:type="dxa"/>
                  <w:vMerge w:val="restart"/>
                  <w:noWrap w:val="0"/>
                  <w:vAlign w:val="center"/>
                </w:tcPr>
                <w:p w14:paraId="6C21FD69">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区政府楼</w:t>
                  </w:r>
                </w:p>
              </w:tc>
              <w:tc>
                <w:tcPr>
                  <w:tcW w:w="1714" w:type="dxa"/>
                  <w:noWrap w:val="0"/>
                  <w:vAlign w:val="center"/>
                </w:tcPr>
                <w:p w14:paraId="25DB4B02">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早班</w:t>
                  </w:r>
                </w:p>
              </w:tc>
              <w:tc>
                <w:tcPr>
                  <w:tcW w:w="1363" w:type="dxa"/>
                  <w:noWrap w:val="0"/>
                  <w:vAlign w:val="center"/>
                </w:tcPr>
                <w:p w14:paraId="0143D919">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restart"/>
                  <w:noWrap w:val="0"/>
                  <w:vAlign w:val="center"/>
                </w:tcPr>
                <w:p w14:paraId="39363363">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4人</w:t>
                  </w:r>
                </w:p>
              </w:tc>
              <w:tc>
                <w:tcPr>
                  <w:tcW w:w="1562" w:type="dxa"/>
                  <w:noWrap w:val="0"/>
                  <w:vAlign w:val="top"/>
                </w:tcPr>
                <w:p w14:paraId="7570873A">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7178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30CCAF62">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698" w:type="dxa"/>
                  <w:vMerge w:val="continue"/>
                  <w:noWrap w:val="0"/>
                  <w:vAlign w:val="top"/>
                </w:tcPr>
                <w:p w14:paraId="6E1FC330">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714" w:type="dxa"/>
                  <w:noWrap w:val="0"/>
                  <w:vAlign w:val="center"/>
                </w:tcPr>
                <w:p w14:paraId="01646D96">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中班</w:t>
                  </w:r>
                </w:p>
              </w:tc>
              <w:tc>
                <w:tcPr>
                  <w:tcW w:w="1363" w:type="dxa"/>
                  <w:noWrap w:val="0"/>
                  <w:vAlign w:val="center"/>
                </w:tcPr>
                <w:p w14:paraId="13AD386B">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3D3953D5">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562" w:type="dxa"/>
                  <w:noWrap w:val="0"/>
                  <w:vAlign w:val="top"/>
                </w:tcPr>
                <w:p w14:paraId="6568F2B2">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66081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2CBE27CA">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698" w:type="dxa"/>
                  <w:vMerge w:val="continue"/>
                  <w:noWrap w:val="0"/>
                  <w:vAlign w:val="top"/>
                </w:tcPr>
                <w:p w14:paraId="5894FF19">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714" w:type="dxa"/>
                  <w:noWrap w:val="0"/>
                  <w:vAlign w:val="center"/>
                </w:tcPr>
                <w:p w14:paraId="1A53D9AE">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晚班</w:t>
                  </w:r>
                </w:p>
              </w:tc>
              <w:tc>
                <w:tcPr>
                  <w:tcW w:w="1363" w:type="dxa"/>
                  <w:noWrap w:val="0"/>
                  <w:vAlign w:val="center"/>
                </w:tcPr>
                <w:p w14:paraId="368251D6">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32E00A7A">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562" w:type="dxa"/>
                  <w:noWrap w:val="0"/>
                  <w:vAlign w:val="top"/>
                </w:tcPr>
                <w:p w14:paraId="65BC2E8B">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3F400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756" w:type="dxa"/>
                  <w:vMerge w:val="continue"/>
                  <w:noWrap w:val="0"/>
                  <w:vAlign w:val="top"/>
                </w:tcPr>
                <w:p w14:paraId="039D03C0">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698" w:type="dxa"/>
                  <w:vMerge w:val="continue"/>
                  <w:noWrap w:val="0"/>
                  <w:vAlign w:val="top"/>
                </w:tcPr>
                <w:p w14:paraId="27F4CB5D">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714" w:type="dxa"/>
                  <w:noWrap w:val="0"/>
                  <w:vAlign w:val="center"/>
                </w:tcPr>
                <w:p w14:paraId="51E075C9">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行政班</w:t>
                  </w:r>
                </w:p>
              </w:tc>
              <w:tc>
                <w:tcPr>
                  <w:tcW w:w="1363" w:type="dxa"/>
                  <w:noWrap w:val="0"/>
                  <w:vAlign w:val="center"/>
                </w:tcPr>
                <w:p w14:paraId="779D5875">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3490E808">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562" w:type="dxa"/>
                  <w:noWrap w:val="0"/>
                  <w:vAlign w:val="top"/>
                </w:tcPr>
                <w:p w14:paraId="13F75D78">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75AF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restart"/>
                  <w:noWrap w:val="0"/>
                  <w:vAlign w:val="center"/>
                </w:tcPr>
                <w:p w14:paraId="35321B66">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3</w:t>
                  </w:r>
                </w:p>
              </w:tc>
              <w:tc>
                <w:tcPr>
                  <w:tcW w:w="1698" w:type="dxa"/>
                  <w:vMerge w:val="restart"/>
                  <w:noWrap w:val="0"/>
                  <w:vAlign w:val="center"/>
                </w:tcPr>
                <w:p w14:paraId="3FE2DC24">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区 委 楼</w:t>
                  </w:r>
                </w:p>
              </w:tc>
              <w:tc>
                <w:tcPr>
                  <w:tcW w:w="1714" w:type="dxa"/>
                  <w:noWrap w:val="0"/>
                  <w:vAlign w:val="center"/>
                </w:tcPr>
                <w:p w14:paraId="35721A90">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早班</w:t>
                  </w:r>
                </w:p>
              </w:tc>
              <w:tc>
                <w:tcPr>
                  <w:tcW w:w="1363" w:type="dxa"/>
                  <w:noWrap w:val="0"/>
                  <w:vAlign w:val="center"/>
                </w:tcPr>
                <w:p w14:paraId="646BCB77">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restart"/>
                  <w:noWrap w:val="0"/>
                  <w:vAlign w:val="center"/>
                </w:tcPr>
                <w:p w14:paraId="1C775E0E">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4人</w:t>
                  </w:r>
                </w:p>
              </w:tc>
              <w:tc>
                <w:tcPr>
                  <w:tcW w:w="1562" w:type="dxa"/>
                  <w:noWrap w:val="0"/>
                  <w:vAlign w:val="top"/>
                </w:tcPr>
                <w:p w14:paraId="353AFF94">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1A90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0B01A594">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698" w:type="dxa"/>
                  <w:vMerge w:val="continue"/>
                  <w:noWrap w:val="0"/>
                  <w:vAlign w:val="top"/>
                </w:tcPr>
                <w:p w14:paraId="38FF9BCB">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714" w:type="dxa"/>
                  <w:noWrap w:val="0"/>
                  <w:vAlign w:val="center"/>
                </w:tcPr>
                <w:p w14:paraId="6F3B779D">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中班</w:t>
                  </w:r>
                </w:p>
              </w:tc>
              <w:tc>
                <w:tcPr>
                  <w:tcW w:w="1363" w:type="dxa"/>
                  <w:noWrap w:val="0"/>
                  <w:vAlign w:val="center"/>
                </w:tcPr>
                <w:p w14:paraId="6F04B3FF">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4B8480F1">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562" w:type="dxa"/>
                  <w:noWrap w:val="0"/>
                  <w:vAlign w:val="top"/>
                </w:tcPr>
                <w:p w14:paraId="3BE99469">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379F9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7DBFD7D7">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698" w:type="dxa"/>
                  <w:vMerge w:val="continue"/>
                  <w:noWrap w:val="0"/>
                  <w:vAlign w:val="top"/>
                </w:tcPr>
                <w:p w14:paraId="634B2F74">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714" w:type="dxa"/>
                  <w:noWrap w:val="0"/>
                  <w:vAlign w:val="center"/>
                </w:tcPr>
                <w:p w14:paraId="51862DF2">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晚班</w:t>
                  </w:r>
                </w:p>
              </w:tc>
              <w:tc>
                <w:tcPr>
                  <w:tcW w:w="1363" w:type="dxa"/>
                  <w:noWrap w:val="0"/>
                  <w:vAlign w:val="center"/>
                </w:tcPr>
                <w:p w14:paraId="24671900">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29D927CD">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562" w:type="dxa"/>
                  <w:noWrap w:val="0"/>
                  <w:vAlign w:val="top"/>
                </w:tcPr>
                <w:p w14:paraId="488F8DFA">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3E687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58B8D2F6">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698" w:type="dxa"/>
                  <w:vMerge w:val="continue"/>
                  <w:noWrap w:val="0"/>
                  <w:vAlign w:val="top"/>
                </w:tcPr>
                <w:p w14:paraId="16BE1346">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714" w:type="dxa"/>
                  <w:noWrap w:val="0"/>
                  <w:vAlign w:val="center"/>
                </w:tcPr>
                <w:p w14:paraId="229FBE06">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行政班</w:t>
                  </w:r>
                </w:p>
              </w:tc>
              <w:tc>
                <w:tcPr>
                  <w:tcW w:w="1363" w:type="dxa"/>
                  <w:noWrap w:val="0"/>
                  <w:vAlign w:val="center"/>
                </w:tcPr>
                <w:p w14:paraId="4C015E82">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18663625">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c>
                <w:tcPr>
                  <w:tcW w:w="1562" w:type="dxa"/>
                  <w:noWrap w:val="0"/>
                  <w:vAlign w:val="top"/>
                </w:tcPr>
                <w:p w14:paraId="17099081">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30AD0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restart"/>
                  <w:noWrap w:val="0"/>
                  <w:vAlign w:val="center"/>
                </w:tcPr>
                <w:p w14:paraId="2693C2E1">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4</w:t>
                  </w:r>
                </w:p>
              </w:tc>
              <w:tc>
                <w:tcPr>
                  <w:tcW w:w="1698" w:type="dxa"/>
                  <w:vMerge w:val="restart"/>
                  <w:noWrap w:val="0"/>
                  <w:vAlign w:val="center"/>
                </w:tcPr>
                <w:p w14:paraId="3433BF69">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区人大、政协楼</w:t>
                  </w:r>
                </w:p>
              </w:tc>
              <w:tc>
                <w:tcPr>
                  <w:tcW w:w="1714" w:type="dxa"/>
                  <w:noWrap w:val="0"/>
                  <w:vAlign w:val="center"/>
                </w:tcPr>
                <w:p w14:paraId="28B374F1">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lang w:val="en-US" w:eastAsia="zh-CN"/>
                    </w:rPr>
                    <w:t>早班</w:t>
                  </w:r>
                </w:p>
              </w:tc>
              <w:tc>
                <w:tcPr>
                  <w:tcW w:w="1363" w:type="dxa"/>
                  <w:noWrap w:val="0"/>
                  <w:vAlign w:val="center"/>
                </w:tcPr>
                <w:p w14:paraId="7C0A759B">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restart"/>
                  <w:noWrap w:val="0"/>
                  <w:vAlign w:val="center"/>
                </w:tcPr>
                <w:p w14:paraId="7130CC81">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4人</w:t>
                  </w:r>
                </w:p>
              </w:tc>
              <w:tc>
                <w:tcPr>
                  <w:tcW w:w="1562" w:type="dxa"/>
                  <w:noWrap w:val="0"/>
                  <w:vAlign w:val="top"/>
                </w:tcPr>
                <w:p w14:paraId="4B5AB12A">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13A91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79632387">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1"/>
                      <w:szCs w:val="21"/>
                      <w:vertAlign w:val="baseline"/>
                      <w:lang w:val="en-US" w:eastAsia="zh-CN"/>
                    </w:rPr>
                  </w:pPr>
                </w:p>
              </w:tc>
              <w:tc>
                <w:tcPr>
                  <w:tcW w:w="1698" w:type="dxa"/>
                  <w:vMerge w:val="continue"/>
                  <w:noWrap w:val="0"/>
                  <w:vAlign w:val="center"/>
                </w:tcPr>
                <w:p w14:paraId="58C22BE2">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1"/>
                      <w:szCs w:val="21"/>
                      <w:vertAlign w:val="baseline"/>
                      <w:lang w:val="en-US" w:eastAsia="zh-CN"/>
                    </w:rPr>
                  </w:pPr>
                </w:p>
              </w:tc>
              <w:tc>
                <w:tcPr>
                  <w:tcW w:w="1714" w:type="dxa"/>
                  <w:noWrap w:val="0"/>
                  <w:vAlign w:val="center"/>
                </w:tcPr>
                <w:p w14:paraId="70AC3E75">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lang w:val="en-US" w:eastAsia="zh-CN"/>
                    </w:rPr>
                    <w:t>中班</w:t>
                  </w:r>
                </w:p>
              </w:tc>
              <w:tc>
                <w:tcPr>
                  <w:tcW w:w="1363" w:type="dxa"/>
                  <w:noWrap w:val="0"/>
                  <w:vAlign w:val="center"/>
                </w:tcPr>
                <w:p w14:paraId="2EF8C426">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642622C8">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1"/>
                      <w:szCs w:val="21"/>
                      <w:vertAlign w:val="baseline"/>
                      <w:lang w:val="en-US" w:eastAsia="zh-CN"/>
                    </w:rPr>
                  </w:pPr>
                </w:p>
              </w:tc>
              <w:tc>
                <w:tcPr>
                  <w:tcW w:w="1562" w:type="dxa"/>
                  <w:noWrap w:val="0"/>
                  <w:vAlign w:val="top"/>
                </w:tcPr>
                <w:p w14:paraId="449F376C">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62B43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756" w:type="dxa"/>
                  <w:vMerge w:val="continue"/>
                  <w:noWrap w:val="0"/>
                  <w:vAlign w:val="top"/>
                </w:tcPr>
                <w:p w14:paraId="6CC02A71">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1"/>
                      <w:szCs w:val="21"/>
                      <w:vertAlign w:val="baseline"/>
                      <w:lang w:val="en-US" w:eastAsia="zh-CN"/>
                    </w:rPr>
                  </w:pPr>
                </w:p>
              </w:tc>
              <w:tc>
                <w:tcPr>
                  <w:tcW w:w="1698" w:type="dxa"/>
                  <w:vMerge w:val="continue"/>
                  <w:noWrap w:val="0"/>
                  <w:vAlign w:val="center"/>
                </w:tcPr>
                <w:p w14:paraId="51CEFD7F">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1"/>
                      <w:szCs w:val="21"/>
                      <w:vertAlign w:val="baseline"/>
                      <w:lang w:val="en-US" w:eastAsia="zh-CN"/>
                    </w:rPr>
                  </w:pPr>
                </w:p>
              </w:tc>
              <w:tc>
                <w:tcPr>
                  <w:tcW w:w="1714" w:type="dxa"/>
                  <w:noWrap w:val="0"/>
                  <w:vAlign w:val="center"/>
                </w:tcPr>
                <w:p w14:paraId="44EE403E">
                  <w:pPr>
                    <w:keepNext w:val="0"/>
                    <w:keepLines w:val="0"/>
                    <w:pageBreakBefore w:val="0"/>
                    <w:widowControl w:val="0"/>
                    <w:kinsoku/>
                    <w:wordWrap/>
                    <w:overflowPunct/>
                    <w:topLinePunct w:val="0"/>
                    <w:autoSpaceDE/>
                    <w:autoSpaceDN/>
                    <w:bidi w:val="0"/>
                    <w:adjustRightInd/>
                    <w:snapToGrid/>
                    <w:spacing w:line="408" w:lineRule="auto"/>
                    <w:jc w:val="center"/>
                    <w:textAlignment w:val="auto"/>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lang w:val="en-US" w:eastAsia="zh-CN"/>
                    </w:rPr>
                    <w:t>晚班</w:t>
                  </w:r>
                </w:p>
              </w:tc>
              <w:tc>
                <w:tcPr>
                  <w:tcW w:w="1363" w:type="dxa"/>
                  <w:noWrap w:val="0"/>
                  <w:vAlign w:val="center"/>
                </w:tcPr>
                <w:p w14:paraId="318C10F9">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70105442">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1"/>
                      <w:szCs w:val="21"/>
                      <w:vertAlign w:val="baseline"/>
                      <w:lang w:val="en-US" w:eastAsia="zh-CN"/>
                    </w:rPr>
                  </w:pPr>
                </w:p>
              </w:tc>
              <w:tc>
                <w:tcPr>
                  <w:tcW w:w="1562" w:type="dxa"/>
                  <w:noWrap w:val="0"/>
                  <w:vAlign w:val="top"/>
                </w:tcPr>
                <w:p w14:paraId="4F913A36">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0E5D6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12417A5B">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1"/>
                      <w:szCs w:val="21"/>
                      <w:vertAlign w:val="baseline"/>
                      <w:lang w:val="en-US" w:eastAsia="zh-CN"/>
                    </w:rPr>
                  </w:pPr>
                </w:p>
              </w:tc>
              <w:tc>
                <w:tcPr>
                  <w:tcW w:w="1698" w:type="dxa"/>
                  <w:vMerge w:val="continue"/>
                  <w:noWrap w:val="0"/>
                  <w:vAlign w:val="center"/>
                </w:tcPr>
                <w:p w14:paraId="41559953">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1"/>
                      <w:szCs w:val="21"/>
                      <w:vertAlign w:val="baseline"/>
                      <w:lang w:val="en-US" w:eastAsia="zh-CN"/>
                    </w:rPr>
                  </w:pPr>
                </w:p>
              </w:tc>
              <w:tc>
                <w:tcPr>
                  <w:tcW w:w="1714" w:type="dxa"/>
                  <w:noWrap w:val="0"/>
                  <w:vAlign w:val="center"/>
                </w:tcPr>
                <w:p w14:paraId="151F013C">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kern w:val="2"/>
                      <w:sz w:val="21"/>
                      <w:szCs w:val="21"/>
                      <w:vertAlign w:val="baseline"/>
                      <w:lang w:val="en-US" w:eastAsia="zh-CN" w:bidi="ar-SA"/>
                    </w:rPr>
                  </w:pPr>
                  <w:r>
                    <w:rPr>
                      <w:rFonts w:hint="eastAsia" w:ascii="仿宋" w:hAnsi="仿宋" w:eastAsia="仿宋" w:cs="仿宋"/>
                      <w:sz w:val="21"/>
                      <w:szCs w:val="21"/>
                      <w:vertAlign w:val="baseline"/>
                      <w:lang w:val="en-US" w:eastAsia="zh-CN"/>
                    </w:rPr>
                    <w:t>行政班</w:t>
                  </w:r>
                </w:p>
              </w:tc>
              <w:tc>
                <w:tcPr>
                  <w:tcW w:w="1363" w:type="dxa"/>
                  <w:noWrap w:val="0"/>
                  <w:vAlign w:val="center"/>
                </w:tcPr>
                <w:p w14:paraId="66894D5D">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166BDCBE">
                  <w:pPr>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1"/>
                      <w:szCs w:val="21"/>
                      <w:vertAlign w:val="baseline"/>
                      <w:lang w:val="en-US" w:eastAsia="zh-CN"/>
                    </w:rPr>
                  </w:pPr>
                </w:p>
              </w:tc>
              <w:tc>
                <w:tcPr>
                  <w:tcW w:w="1562" w:type="dxa"/>
                  <w:noWrap w:val="0"/>
                  <w:vAlign w:val="top"/>
                </w:tcPr>
                <w:p w14:paraId="699D303B">
                  <w:pPr>
                    <w:keepNext w:val="0"/>
                    <w:keepLines w:val="0"/>
                    <w:pageBreakBefore w:val="0"/>
                    <w:kinsoku/>
                    <w:wordWrap/>
                    <w:overflowPunct/>
                    <w:topLinePunct w:val="0"/>
                    <w:autoSpaceDE/>
                    <w:autoSpaceDN/>
                    <w:bidi w:val="0"/>
                    <w:adjustRightInd/>
                    <w:snapToGrid/>
                    <w:spacing w:line="408" w:lineRule="auto"/>
                    <w:jc w:val="center"/>
                    <w:textAlignment w:val="auto"/>
                    <w:rPr>
                      <w:rFonts w:hint="eastAsia" w:ascii="仿宋" w:hAnsi="仿宋" w:eastAsia="仿宋" w:cs="仿宋"/>
                      <w:sz w:val="21"/>
                      <w:szCs w:val="21"/>
                      <w:vertAlign w:val="baseline"/>
                      <w:lang w:val="en-US" w:eastAsia="zh-CN"/>
                    </w:rPr>
                  </w:pPr>
                </w:p>
              </w:tc>
            </w:tr>
            <w:tr w14:paraId="3A31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restart"/>
                  <w:noWrap w:val="0"/>
                  <w:vAlign w:val="center"/>
                </w:tcPr>
                <w:p w14:paraId="01389DB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5</w:t>
                  </w:r>
                </w:p>
              </w:tc>
              <w:tc>
                <w:tcPr>
                  <w:tcW w:w="1698" w:type="dxa"/>
                  <w:vMerge w:val="restart"/>
                  <w:noWrap w:val="0"/>
                  <w:vAlign w:val="center"/>
                </w:tcPr>
                <w:p w14:paraId="4E395C5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区大会堂</w:t>
                  </w:r>
                </w:p>
              </w:tc>
              <w:tc>
                <w:tcPr>
                  <w:tcW w:w="1714" w:type="dxa"/>
                  <w:noWrap w:val="0"/>
                  <w:vAlign w:val="top"/>
                </w:tcPr>
                <w:p w14:paraId="213F3974">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早班</w:t>
                  </w:r>
                </w:p>
              </w:tc>
              <w:tc>
                <w:tcPr>
                  <w:tcW w:w="1363" w:type="dxa"/>
                  <w:noWrap w:val="0"/>
                  <w:vAlign w:val="top"/>
                </w:tcPr>
                <w:p w14:paraId="7BFBCE8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restart"/>
                  <w:noWrap w:val="0"/>
                  <w:vAlign w:val="center"/>
                </w:tcPr>
                <w:p w14:paraId="35825CA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4人</w:t>
                  </w:r>
                </w:p>
              </w:tc>
              <w:tc>
                <w:tcPr>
                  <w:tcW w:w="1562" w:type="dxa"/>
                  <w:noWrap w:val="0"/>
                  <w:vAlign w:val="top"/>
                </w:tcPr>
                <w:p w14:paraId="7A0C6BC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6F9C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047826E6">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2CD0A0AF">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28CC1D9A">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中班</w:t>
                  </w:r>
                </w:p>
              </w:tc>
              <w:tc>
                <w:tcPr>
                  <w:tcW w:w="1363" w:type="dxa"/>
                  <w:noWrap w:val="0"/>
                  <w:vAlign w:val="top"/>
                </w:tcPr>
                <w:p w14:paraId="4B64893F">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73FC5037">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6928CD11">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7320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1362DD4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0159B73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5222BF1F">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晚班</w:t>
                  </w:r>
                </w:p>
              </w:tc>
              <w:tc>
                <w:tcPr>
                  <w:tcW w:w="1363" w:type="dxa"/>
                  <w:noWrap w:val="0"/>
                  <w:vAlign w:val="top"/>
                </w:tcPr>
                <w:p w14:paraId="59E02EB6">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1640230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1F5DB1CD">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2AC9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19255F1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187CF93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52E98B7A">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行政班</w:t>
                  </w:r>
                </w:p>
              </w:tc>
              <w:tc>
                <w:tcPr>
                  <w:tcW w:w="1363" w:type="dxa"/>
                  <w:noWrap w:val="0"/>
                  <w:vAlign w:val="top"/>
                </w:tcPr>
                <w:p w14:paraId="6F54D722">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39EABB5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60E668EB">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7688B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56" w:type="dxa"/>
                  <w:noWrap w:val="0"/>
                  <w:vAlign w:val="top"/>
                </w:tcPr>
                <w:p w14:paraId="391B9A3B">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6</w:t>
                  </w:r>
                </w:p>
              </w:tc>
              <w:tc>
                <w:tcPr>
                  <w:tcW w:w="1698" w:type="dxa"/>
                  <w:noWrap w:val="0"/>
                  <w:vAlign w:val="center"/>
                </w:tcPr>
                <w:p w14:paraId="32216894">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区行政中心机关大院停车广场</w:t>
                  </w:r>
                </w:p>
              </w:tc>
              <w:tc>
                <w:tcPr>
                  <w:tcW w:w="1714" w:type="dxa"/>
                  <w:noWrap w:val="0"/>
                  <w:vAlign w:val="center"/>
                </w:tcPr>
                <w:p w14:paraId="65BBC9A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轮值</w:t>
                  </w:r>
                </w:p>
              </w:tc>
              <w:tc>
                <w:tcPr>
                  <w:tcW w:w="1363" w:type="dxa"/>
                  <w:noWrap w:val="0"/>
                  <w:vAlign w:val="center"/>
                </w:tcPr>
                <w:p w14:paraId="547538F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5</w:t>
                  </w:r>
                </w:p>
              </w:tc>
              <w:tc>
                <w:tcPr>
                  <w:tcW w:w="1450" w:type="dxa"/>
                  <w:noWrap w:val="0"/>
                  <w:vAlign w:val="center"/>
                </w:tcPr>
                <w:p w14:paraId="5D0C11D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5人</w:t>
                  </w:r>
                </w:p>
              </w:tc>
              <w:tc>
                <w:tcPr>
                  <w:tcW w:w="1562" w:type="dxa"/>
                  <w:noWrap w:val="0"/>
                  <w:vAlign w:val="top"/>
                </w:tcPr>
                <w:p w14:paraId="446C841F">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47594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756" w:type="dxa"/>
                  <w:vMerge w:val="restart"/>
                  <w:noWrap w:val="0"/>
                  <w:vAlign w:val="center"/>
                </w:tcPr>
                <w:p w14:paraId="14B4FE04">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7</w:t>
                  </w:r>
                </w:p>
              </w:tc>
              <w:tc>
                <w:tcPr>
                  <w:tcW w:w="1698" w:type="dxa"/>
                  <w:vMerge w:val="restart"/>
                  <w:noWrap w:val="0"/>
                  <w:vAlign w:val="center"/>
                </w:tcPr>
                <w:p w14:paraId="4C1AC6EB">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区行政中心闸口一</w:t>
                  </w:r>
                </w:p>
              </w:tc>
              <w:tc>
                <w:tcPr>
                  <w:tcW w:w="1714" w:type="dxa"/>
                  <w:noWrap w:val="0"/>
                  <w:vAlign w:val="top"/>
                </w:tcPr>
                <w:p w14:paraId="0B1EBF9F">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早班</w:t>
                  </w:r>
                </w:p>
              </w:tc>
              <w:tc>
                <w:tcPr>
                  <w:tcW w:w="1363" w:type="dxa"/>
                  <w:noWrap w:val="0"/>
                  <w:vAlign w:val="top"/>
                </w:tcPr>
                <w:p w14:paraId="191A7B9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w:t>
                  </w:r>
                </w:p>
              </w:tc>
              <w:tc>
                <w:tcPr>
                  <w:tcW w:w="1450" w:type="dxa"/>
                  <w:vMerge w:val="restart"/>
                  <w:noWrap w:val="0"/>
                  <w:vAlign w:val="center"/>
                </w:tcPr>
                <w:p w14:paraId="4A9A0074">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5人</w:t>
                  </w:r>
                </w:p>
              </w:tc>
              <w:tc>
                <w:tcPr>
                  <w:tcW w:w="1562" w:type="dxa"/>
                  <w:noWrap w:val="0"/>
                  <w:vAlign w:val="top"/>
                </w:tcPr>
                <w:p w14:paraId="0F94555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6D65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2C83A56C">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76DF2C1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3F387FD2">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中班</w:t>
                  </w:r>
                </w:p>
              </w:tc>
              <w:tc>
                <w:tcPr>
                  <w:tcW w:w="1363" w:type="dxa"/>
                  <w:noWrap w:val="0"/>
                  <w:vAlign w:val="top"/>
                </w:tcPr>
                <w:p w14:paraId="3B6179D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w:t>
                  </w:r>
                </w:p>
              </w:tc>
              <w:tc>
                <w:tcPr>
                  <w:tcW w:w="1450" w:type="dxa"/>
                  <w:vMerge w:val="continue"/>
                  <w:noWrap w:val="0"/>
                  <w:vAlign w:val="top"/>
                </w:tcPr>
                <w:p w14:paraId="74C3CED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25CBCA87">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194BB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2163BD82">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47E5560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05DD556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夜班</w:t>
                  </w:r>
                </w:p>
              </w:tc>
              <w:tc>
                <w:tcPr>
                  <w:tcW w:w="1363" w:type="dxa"/>
                  <w:noWrap w:val="0"/>
                  <w:vAlign w:val="top"/>
                </w:tcPr>
                <w:p w14:paraId="09A35D3A">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2F40C06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118EA00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387F6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restart"/>
                  <w:noWrap w:val="0"/>
                  <w:vAlign w:val="center"/>
                </w:tcPr>
                <w:p w14:paraId="34114978">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8</w:t>
                  </w:r>
                </w:p>
              </w:tc>
              <w:tc>
                <w:tcPr>
                  <w:tcW w:w="1698" w:type="dxa"/>
                  <w:vMerge w:val="restart"/>
                  <w:noWrap w:val="0"/>
                  <w:vAlign w:val="center"/>
                </w:tcPr>
                <w:p w14:paraId="63B61C2B">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区行政中心闸口二</w:t>
                  </w:r>
                </w:p>
              </w:tc>
              <w:tc>
                <w:tcPr>
                  <w:tcW w:w="1714" w:type="dxa"/>
                  <w:noWrap w:val="0"/>
                  <w:vAlign w:val="top"/>
                </w:tcPr>
                <w:p w14:paraId="4A9CA2A1">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早班</w:t>
                  </w:r>
                </w:p>
              </w:tc>
              <w:tc>
                <w:tcPr>
                  <w:tcW w:w="1363" w:type="dxa"/>
                  <w:noWrap w:val="0"/>
                  <w:vAlign w:val="top"/>
                </w:tcPr>
                <w:p w14:paraId="58B5B857">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w:t>
                  </w:r>
                </w:p>
              </w:tc>
              <w:tc>
                <w:tcPr>
                  <w:tcW w:w="1450" w:type="dxa"/>
                  <w:vMerge w:val="restart"/>
                  <w:noWrap w:val="0"/>
                  <w:vAlign w:val="center"/>
                </w:tcPr>
                <w:p w14:paraId="45BB56CC">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5人</w:t>
                  </w:r>
                </w:p>
              </w:tc>
              <w:tc>
                <w:tcPr>
                  <w:tcW w:w="1562" w:type="dxa"/>
                  <w:noWrap w:val="0"/>
                  <w:vAlign w:val="top"/>
                </w:tcPr>
                <w:p w14:paraId="6FD4705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3F27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7204C885">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461AD168">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4E26A70A">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中班</w:t>
                  </w:r>
                </w:p>
              </w:tc>
              <w:tc>
                <w:tcPr>
                  <w:tcW w:w="1363" w:type="dxa"/>
                  <w:noWrap w:val="0"/>
                  <w:vAlign w:val="top"/>
                </w:tcPr>
                <w:p w14:paraId="62CFCAF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w:t>
                  </w:r>
                </w:p>
              </w:tc>
              <w:tc>
                <w:tcPr>
                  <w:tcW w:w="1450" w:type="dxa"/>
                  <w:vMerge w:val="continue"/>
                  <w:noWrap w:val="0"/>
                  <w:vAlign w:val="top"/>
                </w:tcPr>
                <w:p w14:paraId="799228A7">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6D06E785">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6B21D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60EAB951">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38FC517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3DF3FB65">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夜班</w:t>
                  </w:r>
                </w:p>
              </w:tc>
              <w:tc>
                <w:tcPr>
                  <w:tcW w:w="1363" w:type="dxa"/>
                  <w:noWrap w:val="0"/>
                  <w:vAlign w:val="top"/>
                </w:tcPr>
                <w:p w14:paraId="25A5FDC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3319FDE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4C8B357B">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54E1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restart"/>
                  <w:noWrap w:val="0"/>
                  <w:vAlign w:val="center"/>
                </w:tcPr>
                <w:p w14:paraId="7EC7155A">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9</w:t>
                  </w:r>
                </w:p>
              </w:tc>
              <w:tc>
                <w:tcPr>
                  <w:tcW w:w="1698" w:type="dxa"/>
                  <w:vMerge w:val="restart"/>
                  <w:noWrap w:val="0"/>
                  <w:vAlign w:val="center"/>
                </w:tcPr>
                <w:p w14:paraId="41195DA6">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区政府大院（宿舍一区）</w:t>
                  </w:r>
                </w:p>
              </w:tc>
              <w:tc>
                <w:tcPr>
                  <w:tcW w:w="1714" w:type="dxa"/>
                  <w:noWrap w:val="0"/>
                  <w:vAlign w:val="top"/>
                </w:tcPr>
                <w:p w14:paraId="31BF1E81">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早班</w:t>
                  </w:r>
                </w:p>
              </w:tc>
              <w:tc>
                <w:tcPr>
                  <w:tcW w:w="1363" w:type="dxa"/>
                  <w:noWrap w:val="0"/>
                  <w:vAlign w:val="top"/>
                </w:tcPr>
                <w:p w14:paraId="143FEDCA">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w:t>
                  </w:r>
                </w:p>
              </w:tc>
              <w:tc>
                <w:tcPr>
                  <w:tcW w:w="1450" w:type="dxa"/>
                  <w:vMerge w:val="restart"/>
                  <w:noWrap w:val="0"/>
                  <w:vAlign w:val="center"/>
                </w:tcPr>
                <w:p w14:paraId="26FCDD5D">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7人</w:t>
                  </w:r>
                </w:p>
              </w:tc>
              <w:tc>
                <w:tcPr>
                  <w:tcW w:w="1562" w:type="dxa"/>
                  <w:noWrap w:val="0"/>
                  <w:vAlign w:val="top"/>
                </w:tcPr>
                <w:p w14:paraId="67B2DBF5">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4A85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156EE116">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34AAEB8D">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250C13B8">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中班</w:t>
                  </w:r>
                </w:p>
              </w:tc>
              <w:tc>
                <w:tcPr>
                  <w:tcW w:w="1363" w:type="dxa"/>
                  <w:noWrap w:val="0"/>
                  <w:vAlign w:val="top"/>
                </w:tcPr>
                <w:p w14:paraId="74B6515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w:t>
                  </w:r>
                </w:p>
              </w:tc>
              <w:tc>
                <w:tcPr>
                  <w:tcW w:w="1450" w:type="dxa"/>
                  <w:vMerge w:val="continue"/>
                  <w:noWrap w:val="0"/>
                  <w:vAlign w:val="top"/>
                </w:tcPr>
                <w:p w14:paraId="611E5F5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5D28CDD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3E79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center"/>
                </w:tcPr>
                <w:p w14:paraId="5A5ECA6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144FB63A">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333C4191">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夜班</w:t>
                  </w:r>
                </w:p>
              </w:tc>
              <w:tc>
                <w:tcPr>
                  <w:tcW w:w="1363" w:type="dxa"/>
                  <w:noWrap w:val="0"/>
                  <w:vAlign w:val="top"/>
                </w:tcPr>
                <w:p w14:paraId="3F9A4CD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2</w:t>
                  </w:r>
                </w:p>
              </w:tc>
              <w:tc>
                <w:tcPr>
                  <w:tcW w:w="1450" w:type="dxa"/>
                  <w:vMerge w:val="continue"/>
                  <w:noWrap w:val="0"/>
                  <w:vAlign w:val="top"/>
                </w:tcPr>
                <w:p w14:paraId="5849A56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7B1BDED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5FDE8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center"/>
                </w:tcPr>
                <w:p w14:paraId="2ABFD3C1">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5C81BB2D">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5349D18D">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行政班</w:t>
                  </w:r>
                </w:p>
              </w:tc>
              <w:tc>
                <w:tcPr>
                  <w:tcW w:w="1363" w:type="dxa"/>
                  <w:noWrap w:val="0"/>
                  <w:vAlign w:val="top"/>
                </w:tcPr>
                <w:p w14:paraId="0D9664BC">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66B3070A">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60DCE7CA">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0E5B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restart"/>
                  <w:noWrap w:val="0"/>
                  <w:vAlign w:val="center"/>
                </w:tcPr>
                <w:p w14:paraId="3252123B">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10</w:t>
                  </w:r>
                </w:p>
              </w:tc>
              <w:tc>
                <w:tcPr>
                  <w:tcW w:w="1698" w:type="dxa"/>
                  <w:vMerge w:val="restart"/>
                  <w:noWrap w:val="0"/>
                  <w:vAlign w:val="center"/>
                </w:tcPr>
                <w:p w14:paraId="403FE24D">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区政府大院（宿舍二区）</w:t>
                  </w:r>
                </w:p>
              </w:tc>
              <w:tc>
                <w:tcPr>
                  <w:tcW w:w="1714" w:type="dxa"/>
                  <w:noWrap w:val="0"/>
                  <w:vAlign w:val="top"/>
                </w:tcPr>
                <w:p w14:paraId="55775AA3">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早班</w:t>
                  </w:r>
                </w:p>
              </w:tc>
              <w:tc>
                <w:tcPr>
                  <w:tcW w:w="1363" w:type="dxa"/>
                  <w:noWrap w:val="0"/>
                  <w:vAlign w:val="top"/>
                </w:tcPr>
                <w:p w14:paraId="30BD9C96">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restart"/>
                  <w:noWrap w:val="0"/>
                  <w:vAlign w:val="center"/>
                </w:tcPr>
                <w:p w14:paraId="52476472">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4人</w:t>
                  </w:r>
                </w:p>
              </w:tc>
              <w:tc>
                <w:tcPr>
                  <w:tcW w:w="1562" w:type="dxa"/>
                  <w:noWrap w:val="0"/>
                  <w:vAlign w:val="top"/>
                </w:tcPr>
                <w:p w14:paraId="502F711F">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7494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16D951E1">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3E397B48">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3CB2F5ED">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中班</w:t>
                  </w:r>
                </w:p>
              </w:tc>
              <w:tc>
                <w:tcPr>
                  <w:tcW w:w="1363" w:type="dxa"/>
                  <w:noWrap w:val="0"/>
                  <w:vAlign w:val="top"/>
                </w:tcPr>
                <w:p w14:paraId="701D631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2E668C7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27CAA528">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3A78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Merge w:val="continue"/>
                  <w:noWrap w:val="0"/>
                  <w:vAlign w:val="top"/>
                </w:tcPr>
                <w:p w14:paraId="7684C8AD">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76DE0E1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5C0C69E2">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夜班</w:t>
                  </w:r>
                </w:p>
              </w:tc>
              <w:tc>
                <w:tcPr>
                  <w:tcW w:w="1363" w:type="dxa"/>
                  <w:noWrap w:val="0"/>
                  <w:vAlign w:val="top"/>
                </w:tcPr>
                <w:p w14:paraId="60DE80F9">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64108766">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753AF18D">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4220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756" w:type="dxa"/>
                  <w:vMerge w:val="continue"/>
                  <w:noWrap w:val="0"/>
                  <w:vAlign w:val="top"/>
                </w:tcPr>
                <w:p w14:paraId="0BD2398C">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698" w:type="dxa"/>
                  <w:vMerge w:val="continue"/>
                  <w:noWrap w:val="0"/>
                  <w:vAlign w:val="top"/>
                </w:tcPr>
                <w:p w14:paraId="67625C0C">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714" w:type="dxa"/>
                  <w:noWrap w:val="0"/>
                  <w:vAlign w:val="top"/>
                </w:tcPr>
                <w:p w14:paraId="205C65C0">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行政班</w:t>
                  </w:r>
                </w:p>
              </w:tc>
              <w:tc>
                <w:tcPr>
                  <w:tcW w:w="1363" w:type="dxa"/>
                  <w:noWrap w:val="0"/>
                  <w:vAlign w:val="top"/>
                </w:tcPr>
                <w:p w14:paraId="0B0300FF">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w:t>
                  </w:r>
                </w:p>
              </w:tc>
              <w:tc>
                <w:tcPr>
                  <w:tcW w:w="1450" w:type="dxa"/>
                  <w:vMerge w:val="continue"/>
                  <w:noWrap w:val="0"/>
                  <w:vAlign w:val="top"/>
                </w:tcPr>
                <w:p w14:paraId="3A8EA3C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c>
                <w:tcPr>
                  <w:tcW w:w="1562" w:type="dxa"/>
                  <w:noWrap w:val="0"/>
                  <w:vAlign w:val="top"/>
                </w:tcPr>
                <w:p w14:paraId="3412979E">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r w14:paraId="043DB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1" w:type="dxa"/>
                  <w:gridSpan w:val="4"/>
                  <w:noWrap w:val="0"/>
                  <w:vAlign w:val="top"/>
                </w:tcPr>
                <w:p w14:paraId="70C7D484">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合计</w:t>
                  </w:r>
                </w:p>
              </w:tc>
              <w:tc>
                <w:tcPr>
                  <w:tcW w:w="1450" w:type="dxa"/>
                  <w:noWrap w:val="0"/>
                  <w:vAlign w:val="top"/>
                </w:tcPr>
                <w:p w14:paraId="3B64A1EB">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51人</w:t>
                  </w:r>
                </w:p>
              </w:tc>
              <w:tc>
                <w:tcPr>
                  <w:tcW w:w="1562" w:type="dxa"/>
                  <w:noWrap w:val="0"/>
                  <w:vAlign w:val="top"/>
                </w:tcPr>
                <w:p w14:paraId="36B53C98">
                  <w:pPr>
                    <w:keepNext w:val="0"/>
                    <w:keepLines w:val="0"/>
                    <w:pageBreakBefore w:val="0"/>
                    <w:kinsoku/>
                    <w:wordWrap/>
                    <w:overflowPunct/>
                    <w:topLinePunct w:val="0"/>
                    <w:autoSpaceDE/>
                    <w:autoSpaceDN/>
                    <w:bidi w:val="0"/>
                    <w:adjustRightInd/>
                    <w:snapToGrid/>
                    <w:spacing w:line="408" w:lineRule="auto"/>
                    <w:jc w:val="center"/>
                    <w:textAlignment w:val="auto"/>
                    <w:rPr>
                      <w:rFonts w:hint="default" w:ascii="仿宋" w:hAnsi="仿宋" w:eastAsia="仿宋" w:cs="仿宋"/>
                      <w:sz w:val="21"/>
                      <w:szCs w:val="21"/>
                      <w:vertAlign w:val="baseline"/>
                      <w:lang w:val="en-US" w:eastAsia="zh-CN"/>
                    </w:rPr>
                  </w:pPr>
                </w:p>
              </w:tc>
            </w:tr>
          </w:tbl>
          <w:p w14:paraId="5138622B">
            <w:pPr>
              <w:pStyle w:val="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保安</w:t>
            </w:r>
            <w:r>
              <w:rPr>
                <w:rFonts w:hint="eastAsia" w:ascii="仿宋" w:hAnsi="仿宋" w:eastAsia="仿宋" w:cs="仿宋"/>
                <w:b/>
                <w:bCs/>
                <w:sz w:val="24"/>
                <w:szCs w:val="24"/>
                <w:lang w:val="en-US" w:eastAsia="zh-CN"/>
              </w:rPr>
              <w:t>服务</w:t>
            </w:r>
            <w:r>
              <w:rPr>
                <w:rFonts w:hint="eastAsia" w:ascii="仿宋" w:hAnsi="仿宋" w:eastAsia="仿宋" w:cs="仿宋"/>
                <w:b/>
                <w:bCs/>
                <w:sz w:val="24"/>
                <w:szCs w:val="24"/>
              </w:rPr>
              <w:t>招标最高限价</w:t>
            </w:r>
          </w:p>
          <w:p w14:paraId="36902202">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电白区行政中心机关大院保安岗位</w:t>
            </w:r>
            <w:r>
              <w:rPr>
                <w:rFonts w:hint="eastAsia" w:ascii="仿宋" w:hAnsi="仿宋" w:eastAsia="仿宋" w:cs="仿宋"/>
                <w:sz w:val="24"/>
                <w:szCs w:val="24"/>
              </w:rPr>
              <w:t>设置配备保安人员</w:t>
            </w:r>
            <w:r>
              <w:rPr>
                <w:rFonts w:hint="eastAsia" w:ascii="仿宋" w:hAnsi="仿宋" w:eastAsia="仿宋" w:cs="仿宋"/>
                <w:sz w:val="24"/>
                <w:szCs w:val="24"/>
                <w:lang w:val="en-US" w:eastAsia="zh-CN"/>
              </w:rPr>
              <w:t>51</w:t>
            </w:r>
            <w:r>
              <w:rPr>
                <w:rFonts w:hint="eastAsia" w:ascii="仿宋" w:hAnsi="仿宋" w:eastAsia="仿宋" w:cs="仿宋"/>
                <w:sz w:val="24"/>
                <w:szCs w:val="24"/>
              </w:rPr>
              <w:t>名，人员的工资、夜餐、奖金、节日补助、防暑降温、社保、人身意外险、服装和保安执勤器材、业务培训、管理和纳税等服务费用总承包，年服务费总承包金额为人民币</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309</w:t>
            </w:r>
            <w:r>
              <w:rPr>
                <w:rFonts w:hint="eastAsia" w:ascii="仿宋" w:hAnsi="仿宋" w:eastAsia="仿宋" w:cs="仿宋"/>
                <w:sz w:val="24"/>
                <w:szCs w:val="24"/>
              </w:rPr>
              <w:t>,</w:t>
            </w:r>
            <w:r>
              <w:rPr>
                <w:rFonts w:hint="eastAsia" w:ascii="仿宋" w:hAnsi="仿宋" w:eastAsia="仿宋" w:cs="仿宋"/>
                <w:sz w:val="24"/>
                <w:szCs w:val="24"/>
                <w:lang w:val="en-US" w:eastAsia="zh-CN"/>
              </w:rPr>
              <w:t>145</w:t>
            </w:r>
            <w:r>
              <w:rPr>
                <w:rFonts w:hint="eastAsia" w:ascii="仿宋" w:hAnsi="仿宋" w:eastAsia="仿宋" w:cs="仿宋"/>
                <w:sz w:val="24"/>
                <w:szCs w:val="24"/>
              </w:rPr>
              <w:t>.</w:t>
            </w:r>
            <w:r>
              <w:rPr>
                <w:rFonts w:hint="eastAsia" w:ascii="仿宋" w:hAnsi="仿宋" w:eastAsia="仿宋" w:cs="仿宋"/>
                <w:sz w:val="24"/>
                <w:szCs w:val="24"/>
                <w:lang w:val="en-US" w:eastAsia="zh-CN"/>
              </w:rPr>
              <w:t>92</w:t>
            </w:r>
            <w:r>
              <w:rPr>
                <w:rFonts w:hint="eastAsia" w:ascii="仿宋" w:hAnsi="仿宋" w:eastAsia="仿宋" w:cs="仿宋"/>
                <w:sz w:val="24"/>
                <w:szCs w:val="24"/>
              </w:rPr>
              <w:t>元</w:t>
            </w:r>
            <w:r>
              <w:rPr>
                <w:rFonts w:hint="eastAsia" w:ascii="仿宋" w:hAnsi="仿宋" w:eastAsia="仿宋" w:cs="仿宋"/>
                <w:sz w:val="24"/>
                <w:szCs w:val="24"/>
                <w:lang w:val="en-US" w:eastAsia="zh-CN"/>
              </w:rPr>
              <w:t>一年，三年共6</w:t>
            </w:r>
            <w:r>
              <w:rPr>
                <w:rFonts w:hint="eastAsia" w:ascii="仿宋" w:hAnsi="仿宋" w:eastAsia="仿宋" w:cs="仿宋"/>
                <w:sz w:val="24"/>
                <w:szCs w:val="24"/>
              </w:rPr>
              <w:t>,</w:t>
            </w:r>
            <w:r>
              <w:rPr>
                <w:rFonts w:hint="eastAsia" w:ascii="仿宋" w:hAnsi="仿宋" w:eastAsia="仿宋" w:cs="仿宋"/>
                <w:sz w:val="24"/>
                <w:szCs w:val="24"/>
                <w:lang w:val="en-US" w:eastAsia="zh-CN"/>
              </w:rPr>
              <w:t>927</w:t>
            </w:r>
            <w:r>
              <w:rPr>
                <w:rFonts w:hint="eastAsia" w:ascii="仿宋" w:hAnsi="仿宋" w:eastAsia="仿宋" w:cs="仿宋"/>
                <w:sz w:val="24"/>
                <w:szCs w:val="24"/>
              </w:rPr>
              <w:t>,</w:t>
            </w:r>
            <w:r>
              <w:rPr>
                <w:rFonts w:hint="eastAsia" w:ascii="仿宋" w:hAnsi="仿宋" w:eastAsia="仿宋" w:cs="仿宋"/>
                <w:sz w:val="24"/>
                <w:szCs w:val="24"/>
                <w:lang w:val="en-US" w:eastAsia="zh-CN"/>
              </w:rPr>
              <w:t>437</w:t>
            </w:r>
            <w:r>
              <w:rPr>
                <w:rFonts w:hint="eastAsia" w:ascii="仿宋" w:hAnsi="仿宋" w:eastAsia="仿宋" w:cs="仿宋"/>
                <w:sz w:val="24"/>
                <w:szCs w:val="24"/>
              </w:rPr>
              <w:t>.</w:t>
            </w:r>
            <w:r>
              <w:rPr>
                <w:rFonts w:hint="eastAsia" w:ascii="仿宋" w:hAnsi="仿宋" w:eastAsia="仿宋" w:cs="仿宋"/>
                <w:sz w:val="24"/>
                <w:szCs w:val="24"/>
                <w:lang w:val="en-US" w:eastAsia="zh-CN"/>
              </w:rPr>
              <w:t>76元</w:t>
            </w:r>
            <w:r>
              <w:rPr>
                <w:rFonts w:hint="eastAsia" w:ascii="仿宋" w:hAnsi="仿宋" w:eastAsia="仿宋" w:cs="仿宋"/>
                <w:sz w:val="24"/>
                <w:szCs w:val="24"/>
              </w:rPr>
              <w:t>。</w:t>
            </w:r>
          </w:p>
          <w:p w14:paraId="2125EC17">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本项目按采购人项目服务内容及要求，采取包工、包料、包质量、包安全文明作业的形式承包任务。投标人的投标报价应包含项目服务期限内的各项管理费、人员工资、加班费、劳保费、福利费、装备费、作业车辆燃油费、设施设备使用费、保险费、风险金、税费、不可预见费和利润等全部费用，采购人不再额外支付调整。</w:t>
            </w:r>
          </w:p>
          <w:p w14:paraId="2F8F8E54">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投标人应对本项目现场进行充分考察，获取应当了解的服务环境、服务范围相关信息，充分考虑项目现场条件和各种不利条件发生的可能性所带来的风险，并充分考虑项目服务期内物价水平及人员薪金的调整因素，应仔细阅读和理解招标文件中的有关条款，以获得一切可能影响投标报价的直接信息、资料，投标人依据其了解的情况做出判断和决策由投标人自行负责，采购人对投标人由此而做出的推论、理解和结论概不负责，投标人须自行考虑风险进行投标报价，中标后不得以不完全了解现场情况、不理解招标文件的相关条款、判断失误等为由而提出追加费用或延长服务期限等要求。</w:t>
            </w:r>
          </w:p>
          <w:p w14:paraId="4549D1CD">
            <w:pPr>
              <w:pStyle w:val="6"/>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（2）人员岗位设置要求</w:t>
            </w:r>
          </w:p>
          <w:p w14:paraId="47107769">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1.中标供应商应委派1项目负责人，负责本项目的全面管理工作，负责与采购人的沟通、协调工作。项目负责人不包含在项目配置岗位内，由中标供应商自行负责。</w:t>
            </w:r>
          </w:p>
          <w:p w14:paraId="4840B3D8">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2.中标供应商应委派4名管理人员，负责协助项目负责人对本项目的全面管理工作，负责与采购人的沟通、协调工作。管理人员不包含在项目配置岗位内，由中标供应商自行负责。</w:t>
            </w:r>
          </w:p>
          <w:p w14:paraId="6FCF85FD">
            <w:pPr>
              <w:pStyle w:val="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3.中标供应商应在应急处突时委派1名应急保障服务负责人，专项负责与采购人沟通和协调，做好突发事件应急处置的各项保障服务工作。应急保障服务负责人不包含在项目配置岗位内，由中标供应商自行负责。</w:t>
            </w:r>
          </w:p>
          <w:p w14:paraId="63455660">
            <w:pPr>
              <w:pStyle w:val="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（3）保安员上岗资格要求 </w:t>
            </w:r>
          </w:p>
          <w:p w14:paraId="5479E7C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1）拥护和遵守中华人民共和国宪法和法律 。</w:t>
            </w:r>
          </w:p>
          <w:p w14:paraId="2DCEBCE3">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mc:AlternateContent>
                <mc:Choice Requires="wps">
                  <w:drawing>
                    <wp:anchor distT="0" distB="0" distL="114300" distR="114300" simplePos="0" relativeHeight="251659264" behindDoc="1" locked="0" layoutInCell="1" allowOverlap="1">
                      <wp:simplePos x="0" y="0"/>
                      <wp:positionH relativeFrom="page">
                        <wp:posOffset>91440</wp:posOffset>
                      </wp:positionH>
                      <wp:positionV relativeFrom="paragraph">
                        <wp:posOffset>481330</wp:posOffset>
                      </wp:positionV>
                      <wp:extent cx="127000" cy="406400"/>
                      <wp:effectExtent l="0" t="0" r="0" b="0"/>
                      <wp:wrapNone/>
                      <wp:docPr id="2" name="矩形 2"/>
                      <wp:cNvGraphicFramePr/>
                      <a:graphic xmlns:a="http://schemas.openxmlformats.org/drawingml/2006/main">
                        <a:graphicData uri="http://schemas.microsoft.com/office/word/2010/wordprocessingShape">
                          <wps:wsp>
                            <wps:cNvSpPr/>
                            <wps:spPr>
                              <a:xfrm>
                                <a:off x="0" y="0"/>
                                <a:ext cx="127000" cy="406400"/>
                              </a:xfrm>
                              <a:prstGeom prst="rect">
                                <a:avLst/>
                              </a:prstGeom>
                              <a:noFill/>
                              <a:ln>
                                <a:noFill/>
                              </a:ln>
                            </wps:spPr>
                            <wps:txbx>
                              <w:txbxContent>
                                <w:p w14:paraId="569B0D3B">
                                  <w:pPr>
                                    <w:widowControl/>
                                    <w:autoSpaceDE/>
                                    <w:autoSpaceDN/>
                                    <w:adjustRightInd/>
                                    <w:spacing w:line="640" w:lineRule="atLeast"/>
                                    <w:rPr>
                                      <w:rFonts w:hint="default"/>
                                      <w:sz w:val="24"/>
                                      <w:szCs w:val="24"/>
                                    </w:rPr>
                                  </w:pPr>
                                </w:p>
                                <w:p w14:paraId="3BD9350F">
                                  <w:pPr>
                                    <w:rPr>
                                      <w:rFonts w:hint="default"/>
                                      <w:sz w:val="24"/>
                                      <w:szCs w:val="24"/>
                                    </w:rPr>
                                  </w:pPr>
                                </w:p>
                              </w:txbxContent>
                            </wps:txbx>
                            <wps:bodyPr lIns="0" tIns="0" rIns="0" bIns="0" upright="1"/>
                          </wps:wsp>
                        </a:graphicData>
                      </a:graphic>
                    </wp:anchor>
                  </w:drawing>
                </mc:Choice>
                <mc:Fallback>
                  <w:pict>
                    <v:rect id="_x0000_s1026" o:spid="_x0000_s1026" o:spt="1" style="position:absolute;left:0pt;margin-left:7.2pt;margin-top:37.9pt;height:32pt;width:10pt;mso-position-horizontal-relative:page;z-index:-251657216;mso-width-relative:page;mso-height-relative:page;" filled="f" stroked="f" coordsize="21600,21600" o:gfxdata="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kY+WdtcA&#10;AAAIAQAADwAAAAAAAAABACAAAAAiAAAAZHJzL2Rvd25yZXYueG1sUEsBAhQAFAAAAAgAh07iQFyv&#10;RL2uAQAAZAMAAA4AAAAAAAAAAQAgAAAAJgEAAGRycy9lMm9Eb2MueG1sUEsFBgAAAAAGAAYAWQEA&#10;AEYFAAAAAA==&#10;">
                      <v:fill on="f" focussize="0,0"/>
                      <v:stroke on="f"/>
                      <v:imagedata o:title=""/>
                      <o:lock v:ext="edit" aspectratio="f"/>
                      <v:textbox inset="0mm,0mm,0mm,0mm">
                        <w:txbxContent>
                          <w:p w14:paraId="569B0D3B">
                            <w:pPr>
                              <w:widowControl/>
                              <w:autoSpaceDE/>
                              <w:autoSpaceDN/>
                              <w:adjustRightInd/>
                              <w:spacing w:line="640" w:lineRule="atLeast"/>
                              <w:rPr>
                                <w:rFonts w:hint="default"/>
                                <w:sz w:val="24"/>
                                <w:szCs w:val="24"/>
                              </w:rPr>
                            </w:pPr>
                          </w:p>
                          <w:p w14:paraId="3BD9350F">
                            <w:pPr>
                              <w:rPr>
                                <w:rFonts w:hint="default"/>
                                <w:sz w:val="24"/>
                                <w:szCs w:val="24"/>
                              </w:rPr>
                            </w:pPr>
                          </w:p>
                        </w:txbxContent>
                      </v:textbox>
                    </v:rect>
                  </w:pict>
                </mc:Fallback>
              </mc:AlternateContent>
            </w:r>
            <w:r>
              <w:rPr>
                <w:rFonts w:hint="eastAsia" w:ascii="仿宋" w:hAnsi="仿宋" w:eastAsia="仿宋" w:cs="仿宋"/>
                <w:sz w:val="24"/>
                <w:szCs w:val="24"/>
                <w:lang w:val="en-US" w:eastAsia="zh-CN"/>
              </w:rPr>
              <w:t>2）无违法犯罪记录，有良好的政治、业务素质和良好的品行。</w:t>
            </w:r>
          </w:p>
          <w:p w14:paraId="666A2DAA">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男：身体健康，身高168cm以上，口齿伶俐，体检合格，无违法犯罪纪录，政审合格，没有传染病及精神病等不能控制自己行为能力的疾病病史，五官端正，精神面貌佳，裸眼视力在1.0以上，年龄在18-50周岁之间，保安专业培训合格，有上岗合格证；</w:t>
            </w:r>
          </w:p>
          <w:p w14:paraId="09E4A105">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女：身体健康，身高158cm以上，口齿伶俐，体检合格，无违法犯罪纪录，政审合格，没有传染病及精神病等不能控制自己行为能力的疾病病史，五官端正，精神面貌佳，裸眼视力在1.0以上，年龄在18-50周岁，保安专业培训合格，有上岗合格证。</w:t>
            </w:r>
          </w:p>
          <w:p w14:paraId="5A28D94B">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5)女性安保人员不能超过总人数的20%。</w:t>
            </w:r>
          </w:p>
          <w:p w14:paraId="453C037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6)武警、消防兵、复员转业军人优先，其中退伍军人比例占20%。</w:t>
            </w:r>
          </w:p>
          <w:p w14:paraId="1DF88B54">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7)具有一定反恐和消防安全知识，能熟练掌握反恐和消防器械的使用；</w:t>
            </w:r>
          </w:p>
          <w:p w14:paraId="6972E91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8)身体健康，无精神病史，能吃苦耐劳、遵纪守法，作风正派，忠诚老实，无任何不良社会记录,工作认真负责并服从工作安排；</w:t>
            </w:r>
          </w:p>
          <w:p w14:paraId="68ED602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9)五官端正，言行规范，注重仪容仪表,业务能力强，执行严格的纪律和岗位责任制。</w:t>
            </w:r>
          </w:p>
          <w:p w14:paraId="04EDED1C">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10）保安队员上岗前必须经过以下的培训</w:t>
            </w:r>
          </w:p>
          <w:p w14:paraId="1A164DA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①</w:t>
            </w:r>
            <w:r>
              <w:rPr>
                <w:rFonts w:hint="eastAsia" w:ascii="仿宋" w:hAnsi="仿宋" w:eastAsia="仿宋" w:cs="仿宋"/>
                <w:sz w:val="24"/>
                <w:szCs w:val="24"/>
                <w:lang w:val="en-US" w:eastAsia="zh-CN"/>
              </w:rPr>
              <w:t>法律法规和公司规章制度的教育培训。</w:t>
            </w:r>
          </w:p>
          <w:p w14:paraId="3E83B37C">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②</w:t>
            </w:r>
            <w:r>
              <w:rPr>
                <w:rFonts w:hint="eastAsia" w:ascii="仿宋" w:hAnsi="仿宋" w:eastAsia="仿宋" w:cs="仿宋"/>
                <w:sz w:val="24"/>
                <w:szCs w:val="24"/>
                <w:lang w:val="en-US" w:eastAsia="zh-CN"/>
              </w:rPr>
              <w:t>职业道德和礼仪礼貌的教育培训。</w:t>
            </w:r>
          </w:p>
          <w:p w14:paraId="639D6725">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③</w:t>
            </w:r>
            <w:r>
              <w:rPr>
                <w:rFonts w:hint="eastAsia" w:ascii="仿宋" w:hAnsi="仿宋" w:eastAsia="仿宋" w:cs="仿宋"/>
                <w:sz w:val="24"/>
                <w:szCs w:val="24"/>
                <w:lang w:val="en-US" w:eastAsia="zh-CN"/>
              </w:rPr>
              <w:t>治安保卫、交通、消防等专业技能的教育培训。</w:t>
            </w:r>
          </w:p>
          <w:p w14:paraId="1EFD085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④完成本项目有关的其他专业技能培训</w:t>
            </w:r>
          </w:p>
          <w:p w14:paraId="762FCF0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11）为促进保安队员遵守采购人和中标供应商双方的规章制度和劳动纪律，落实值班职责，提高工作效率和质量，中标供应商必须根据采购人要求，制订违规处理规定，并按此规定严格实施。</w:t>
            </w:r>
          </w:p>
          <w:p w14:paraId="39D8735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因采购人工作安排的特殊性，中标供应商要对派遣保安员做好保密教育，增强保安员保密意识，如因中标供应商泄密造成后果，由中标供应商承担。中标供应商应制定保安制度，应与派遣保安员签订保密协议。</w:t>
            </w:r>
          </w:p>
          <w:p w14:paraId="1BE4C67F">
            <w:pPr>
              <w:pStyle w:val="5"/>
              <w:keepNext w:val="0"/>
              <w:keepLines w:val="0"/>
              <w:pageBreakBefore w:val="0"/>
              <w:numPr>
                <w:ilvl w:val="0"/>
                <w:numId w:val="1"/>
              </w:numPr>
              <w:kinsoku/>
              <w:wordWrap/>
              <w:overflowPunct/>
              <w:topLinePunct w:val="0"/>
              <w:autoSpaceDE/>
              <w:autoSpaceDN/>
              <w:bidi w:val="0"/>
              <w:adjustRightInd/>
              <w:snapToGrid/>
              <w:spacing w:line="408" w:lineRule="auto"/>
              <w:textAlignment w:val="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工作服务内容</w:t>
            </w:r>
          </w:p>
          <w:p w14:paraId="15FDB16C">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1)严格履行岗位职责，做好本职工作，做好交接班记录。</w:t>
            </w:r>
          </w:p>
          <w:p w14:paraId="4A631D4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1）全天24小时对服务地点各区各个出入口出入人员和物品实施管理、检查和控制。</w:t>
            </w:r>
          </w:p>
          <w:p w14:paraId="20627BC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2）非工作人员出入服务区域办公区的实行出入登记，严禁未经批准的外来人员进入服务区域办公区。</w:t>
            </w:r>
          </w:p>
          <w:p w14:paraId="003E61B3">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3）做好外来人员进入办公场所的指引及各项安全保卫工作。</w:t>
            </w:r>
          </w:p>
          <w:p w14:paraId="592C153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4)禁止携带大件行李人员（含外来人员）进入办公场所。对携带大件行李或物品离开办公场所，外来人员要提供“放行条”检查，内部人员要实施登记制度。</w:t>
            </w:r>
          </w:p>
          <w:p w14:paraId="1606E520">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5）维护区行政中心及宿舍区域内部正常的工作秩序，密切关注周边情况，确保管辖区域内的安全。</w:t>
            </w:r>
          </w:p>
          <w:p w14:paraId="350B8192">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6）禁止未经登记许可和相关部门许可的考察学习团队在区行政中心、宿舍区域内拍照及无关人员等进入管辖区域内。</w:t>
            </w:r>
          </w:p>
          <w:p w14:paraId="2D524399">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7）负责各管辖区域门口车辆检查、出入放行登记及维持现场安全秩序并指引汽车、摩托车、电瓶车、自行车定点有序停放。</w:t>
            </w:r>
          </w:p>
          <w:p w14:paraId="7EF5AA7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8）杜绝携带危险品、管制器具进入管辖区域内。</w:t>
            </w:r>
          </w:p>
          <w:p w14:paraId="373FBB12">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9）严禁在门口摆摊设点和进行各种表演义卖，及时制止打架斗殴行为，对破坏政府形象和声誉的行为及时果断制止并立即上报。</w:t>
            </w:r>
          </w:p>
          <w:p w14:paraId="6A783C12">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10）巡查各区域楼层安全秩序，防止各类问题的发生，巡逻时若发现异常情况，应立即处理并及时上报相关领导及部门。</w:t>
            </w:r>
          </w:p>
          <w:p w14:paraId="01B483E5">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11）随时保持高度警惕，加强对重点区域重点部位的治安巡查防范，严防破坏及盗窃行为的发生。</w:t>
            </w:r>
          </w:p>
          <w:p w14:paraId="5E02A7BB">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12)采购人与中标供应商共同确定值勤岗位，由中标供应商制定岗位职责，采购人批准后实施。全天候24小时对区政府各区域进行值班巡查。</w:t>
            </w:r>
          </w:p>
          <w:p w14:paraId="6D5F3BC5">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日常每天24小时值班值守，负责维护人员和车辆进出大院秩序，对外来人员做好安全检查、证件查验和来访登记等工作，拒绝无关人员进入大院；做好从本岗位出入的大件贵重物品的安全管理工作，严格执行物品检查、放行制度，确保本单位的物品、财产不受损失；发现异常情况及时上报上级予以协助处理。</w:t>
            </w:r>
          </w:p>
          <w:p w14:paraId="247DCA1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w:t>
            </w:r>
            <w:r>
              <w:rPr>
                <w:rFonts w:hint="eastAsia" w:ascii="仿宋" w:hAnsi="仿宋" w:eastAsia="仿宋" w:cs="仿宋"/>
                <w:sz w:val="24"/>
                <w:szCs w:val="24"/>
              </w:rPr>
              <w:t>）</w:t>
            </w:r>
            <w:r>
              <w:rPr>
                <w:rFonts w:hint="eastAsia" w:ascii="仿宋" w:hAnsi="仿宋" w:eastAsia="仿宋" w:cs="仿宋"/>
                <w:sz w:val="24"/>
                <w:szCs w:val="24"/>
                <w:lang w:val="en-US" w:eastAsia="zh-CN"/>
              </w:rPr>
              <w:t>维护区行政中心及宿舍区域内部正常的工作秩序，密切关注周边情况，确保管辖区域内的安全，</w:t>
            </w:r>
            <w:r>
              <w:rPr>
                <w:rFonts w:hint="eastAsia" w:ascii="仿宋" w:hAnsi="仿宋" w:eastAsia="仿宋" w:cs="仿宋"/>
                <w:sz w:val="24"/>
                <w:szCs w:val="24"/>
              </w:rPr>
              <w:t>负责定时和不定时昼夜巡视检查、警戒，及时发现、报告并消除各类安全隐患，及时制止违反大院安全管理规定及不文明行为。</w:t>
            </w:r>
          </w:p>
          <w:p w14:paraId="20AF2708">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15</w:t>
            </w:r>
            <w:r>
              <w:rPr>
                <w:rFonts w:hint="eastAsia" w:ascii="仿宋" w:hAnsi="仿宋" w:eastAsia="仿宋" w:cs="仿宋"/>
                <w:sz w:val="24"/>
                <w:szCs w:val="24"/>
              </w:rPr>
              <w:t>）</w:t>
            </w:r>
            <w:r>
              <w:rPr>
                <w:rFonts w:hint="eastAsia" w:ascii="仿宋" w:hAnsi="仿宋" w:eastAsia="仿宋" w:cs="仿宋"/>
                <w:sz w:val="24"/>
                <w:szCs w:val="24"/>
                <w:lang w:val="en-US" w:eastAsia="zh-CN"/>
              </w:rPr>
              <w:t>维护区政府办公大院的正常安保秩序，保障工作人员、办事人员的人身和财产的安全，保护区政府的设施和设备，预防各类刑事案件和治安事件的发生。</w:t>
            </w:r>
          </w:p>
          <w:p w14:paraId="201795F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w:t>
            </w:r>
            <w:r>
              <w:rPr>
                <w:rFonts w:hint="eastAsia" w:ascii="仿宋" w:hAnsi="仿宋" w:eastAsia="仿宋" w:cs="仿宋"/>
                <w:sz w:val="24"/>
                <w:szCs w:val="24"/>
              </w:rPr>
              <w:t>）负责指定办公楼、生活区域和重点目标的看护和守卫，控制人员和车辆出入，</w:t>
            </w:r>
            <w:r>
              <w:rPr>
                <w:rFonts w:hint="eastAsia" w:ascii="仿宋" w:hAnsi="仿宋" w:eastAsia="仿宋" w:cs="仿宋"/>
                <w:sz w:val="24"/>
                <w:szCs w:val="24"/>
                <w:lang w:val="en-US" w:eastAsia="zh-CN"/>
              </w:rPr>
              <w:t>巡查各区域楼层安全秩序，</w:t>
            </w:r>
            <w:r>
              <w:rPr>
                <w:rFonts w:hint="eastAsia" w:ascii="仿宋" w:hAnsi="仿宋" w:eastAsia="仿宋" w:cs="仿宋"/>
                <w:sz w:val="24"/>
                <w:szCs w:val="24"/>
              </w:rPr>
              <w:t>做好</w:t>
            </w:r>
            <w:r>
              <w:rPr>
                <w:rFonts w:hint="eastAsia" w:ascii="仿宋" w:hAnsi="仿宋" w:eastAsia="仿宋" w:cs="仿宋"/>
                <w:sz w:val="24"/>
                <w:szCs w:val="24"/>
                <w:lang w:val="en-US" w:eastAsia="zh-CN"/>
              </w:rPr>
              <w:t>防止各类问题的发生，巡逻时若发现异常情况，应立即处理并及时上报相关领导及部门。</w:t>
            </w:r>
          </w:p>
          <w:p w14:paraId="18ED256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负责大院交通道路日常疏导管理，负责管理维护大院内道路交通和车辆停放秩序，对大院内道路路面临时发现障碍问题及时清理，保持大院内道路和消防通道畅通整洁；室内外停车场管理按规定要求规范停车车辆，对车辆乱停、乱放和不明来历车辆及时处理；举行活动期间按要求增加人员加强管理，保障大院内正常的办公和生活秩序。</w:t>
            </w:r>
          </w:p>
          <w:p w14:paraId="71E5674F">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18）引导进入院内的车辆停放在指定区域，必须按划线车位规范停放，加强对车辆出入管理和登记制度，防止可能发生的盗窃事件。</w:t>
            </w:r>
          </w:p>
          <w:p w14:paraId="39BAAD2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19）如遇重大活动大院内保安力量不足时，中标供应商必须无条件支持，不得额外收取任何费用，随时增派人员维持现场秩序，确保各类大型活动安全有序。</w:t>
            </w:r>
          </w:p>
          <w:p w14:paraId="0F8FF68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20）负责监控室值守和监控设备的正常运行管理，及时发现监控区域异常情况并立即及时处置和报告负责人，按照规定权限调取视频资料，按要求填写各种登记日志。</w:t>
            </w:r>
          </w:p>
          <w:p w14:paraId="00138463">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w:t>
            </w:r>
            <w:r>
              <w:rPr>
                <w:rFonts w:hint="eastAsia" w:ascii="仿宋" w:hAnsi="仿宋" w:eastAsia="仿宋" w:cs="仿宋"/>
                <w:sz w:val="24"/>
                <w:szCs w:val="24"/>
              </w:rPr>
              <w:t>负责服务区域内的防火、防盗、防抢、防爆炸、反恐防暴、防治安灾害事故等安全防范工作，安全保卫、治安巡查、自然灾害防范工作，并处理各类突发事件（如医疗救援、群体性事件、自然灾害等）。</w:t>
            </w:r>
          </w:p>
          <w:p w14:paraId="28209FF3">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23）</w:t>
            </w:r>
            <w:r>
              <w:rPr>
                <w:rFonts w:hint="eastAsia" w:ascii="仿宋" w:hAnsi="仿宋" w:eastAsia="仿宋" w:cs="仿宋"/>
                <w:sz w:val="24"/>
                <w:szCs w:val="24"/>
                <w:lang w:val="en-US" w:eastAsia="zh-Hans"/>
              </w:rPr>
              <w:t>负责日常的消防安全检查，制定火灾应急处置预案，发现火灾隐患及时上报并提出整改意见；做好消防设备的定期检查工作，确保消防系统畅通，预防、处理突发消防事故。</w:t>
            </w:r>
          </w:p>
          <w:p w14:paraId="425F9BBC">
            <w:pPr>
              <w:pStyle w:val="7"/>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四、考核要标准</w:t>
            </w:r>
          </w:p>
          <w:p w14:paraId="31C873DE">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建立健全安全保卫服务质量标准与服务监管考核细则，采购人每月不定次数进行抽查，每月汇总抽查情况并进行打分，总分为100分，每扣1分将处于100元的经济处罚（详见附件1：保安服务质量标准与监管考评标准细则）。</w:t>
            </w:r>
          </w:p>
          <w:p w14:paraId="2D3157AB">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2)检查方式：采购人平时不定期检查中标供应商工作（不通知中标供应商），并每月会同中标供应商检查一次，中标供应商缺席则以采购人的检查结果为准。</w:t>
            </w:r>
          </w:p>
          <w:p w14:paraId="0DB1A404">
            <w:pPr>
              <w:pStyle w:val="5"/>
              <w:keepNext w:val="0"/>
              <w:keepLines w:val="0"/>
              <w:pageBreakBefore w:val="0"/>
              <w:numPr>
                <w:ilvl w:val="0"/>
                <w:numId w:val="0"/>
              </w:numPr>
              <w:kinsoku/>
              <w:wordWrap/>
              <w:overflowPunct/>
              <w:topLinePunct w:val="0"/>
              <w:autoSpaceDE/>
              <w:autoSpaceDN/>
              <w:bidi w:val="0"/>
              <w:adjustRightInd/>
              <w:snapToGrid/>
              <w:spacing w:line="408" w:lineRule="auto"/>
              <w:jc w:val="center"/>
              <w:textAlignment w:val="auto"/>
              <w:rPr>
                <w:rFonts w:hint="eastAsia" w:ascii="仿宋" w:hAnsi="仿宋" w:eastAsia="仿宋" w:cs="仿宋"/>
                <w:b/>
                <w:sz w:val="24"/>
                <w:szCs w:val="24"/>
                <w:lang w:val="en-US" w:eastAsia="zh-CN"/>
              </w:rPr>
            </w:pPr>
            <w:r>
              <w:rPr>
                <w:rFonts w:hint="eastAsia" w:ascii="仿宋" w:hAnsi="仿宋" w:eastAsia="仿宋" w:cs="仿宋"/>
                <w:sz w:val="24"/>
                <w:szCs w:val="24"/>
                <w:lang w:val="en-US" w:eastAsia="zh-CN"/>
              </w:rPr>
              <w:t xml:space="preserve">   3).采购人每月对中标供应商进行考核综合评分，按评分结果支付服务费。考核综合评分按100分计算，根据每月综合的《</w:t>
            </w:r>
            <w:r>
              <w:rPr>
                <w:rFonts w:hint="eastAsia" w:ascii="仿宋" w:hAnsi="仿宋" w:eastAsia="仿宋" w:cs="仿宋"/>
                <w:b/>
                <w:sz w:val="24"/>
                <w:szCs w:val="24"/>
                <w:lang w:val="en-US" w:eastAsia="zh-CN"/>
              </w:rPr>
              <w:t>保安服务质量标准与监管考评标准细则</w:t>
            </w:r>
          </w:p>
          <w:p w14:paraId="44948CF8">
            <w:pPr>
              <w:pStyle w:val="5"/>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情况进行综合评分。月考核分数达到90分或以上的，视为考核结果“合格”，按月平均服务费用（即成交金额÷36个月）的100%支付当期款项；考核分数89分至70分的，视为考核结果“基本合格”，扣除相应违约金后支付当期款项（详情如下表）；考核分数未达65分的，视为考核结果“不合格”，扣除相应违约金后支付当期款项（详情如下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736"/>
              <w:gridCol w:w="1723"/>
              <w:gridCol w:w="1457"/>
              <w:gridCol w:w="4344"/>
            </w:tblGrid>
            <w:tr w14:paraId="488E4A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C9F6A9">
                  <w:pPr>
                    <w:pStyle w:val="5"/>
                    <w:jc w:val="center"/>
                    <w:rPr>
                      <w:rFonts w:hint="eastAsia" w:ascii="仿宋" w:hAnsi="仿宋" w:eastAsia="仿宋" w:cs="仿宋"/>
                      <w:sz w:val="24"/>
                      <w:szCs w:val="24"/>
                    </w:rPr>
                  </w:pPr>
                  <w:r>
                    <w:rPr>
                      <w:rFonts w:hint="eastAsia" w:ascii="仿宋" w:hAnsi="仿宋" w:eastAsia="仿宋" w:cs="仿宋"/>
                      <w:sz w:val="24"/>
                      <w:szCs w:val="24"/>
                    </w:rPr>
                    <w:t>序号</w:t>
                  </w:r>
                </w:p>
              </w:tc>
              <w:tc>
                <w:tcPr>
                  <w:tcW w:w="172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C92F13">
                  <w:pPr>
                    <w:pStyle w:val="5"/>
                    <w:jc w:val="center"/>
                    <w:rPr>
                      <w:rFonts w:hint="eastAsia" w:ascii="仿宋" w:hAnsi="仿宋" w:eastAsia="仿宋" w:cs="仿宋"/>
                      <w:sz w:val="24"/>
                      <w:szCs w:val="24"/>
                    </w:rPr>
                  </w:pPr>
                  <w:r>
                    <w:rPr>
                      <w:rFonts w:hint="eastAsia" w:ascii="仿宋" w:hAnsi="仿宋" w:eastAsia="仿宋" w:cs="仿宋"/>
                      <w:sz w:val="24"/>
                      <w:szCs w:val="24"/>
                    </w:rPr>
                    <w:t>分数</w:t>
                  </w:r>
                </w:p>
              </w:tc>
              <w:tc>
                <w:tcPr>
                  <w:tcW w:w="14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711F52">
                  <w:pPr>
                    <w:pStyle w:val="5"/>
                    <w:jc w:val="center"/>
                    <w:rPr>
                      <w:rFonts w:hint="eastAsia" w:ascii="仿宋" w:hAnsi="仿宋" w:eastAsia="仿宋" w:cs="仿宋"/>
                      <w:sz w:val="24"/>
                      <w:szCs w:val="24"/>
                    </w:rPr>
                  </w:pPr>
                  <w:r>
                    <w:rPr>
                      <w:rFonts w:hint="eastAsia" w:ascii="仿宋" w:hAnsi="仿宋" w:eastAsia="仿宋" w:cs="仿宋"/>
                      <w:sz w:val="24"/>
                      <w:szCs w:val="24"/>
                    </w:rPr>
                    <w:t>评价</w:t>
                  </w:r>
                </w:p>
              </w:tc>
              <w:tc>
                <w:tcPr>
                  <w:tcW w:w="434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322987">
                  <w:pPr>
                    <w:pStyle w:val="5"/>
                    <w:jc w:val="center"/>
                    <w:rPr>
                      <w:rFonts w:hint="eastAsia" w:ascii="仿宋" w:hAnsi="仿宋" w:eastAsia="仿宋" w:cs="仿宋"/>
                      <w:sz w:val="24"/>
                      <w:szCs w:val="24"/>
                    </w:rPr>
                  </w:pPr>
                  <w:r>
                    <w:rPr>
                      <w:rFonts w:hint="eastAsia" w:ascii="仿宋" w:hAnsi="仿宋" w:eastAsia="仿宋" w:cs="仿宋"/>
                      <w:sz w:val="24"/>
                      <w:szCs w:val="24"/>
                    </w:rPr>
                    <w:t>扣款比例</w:t>
                  </w:r>
                </w:p>
              </w:tc>
            </w:tr>
            <w:tr w14:paraId="3FAAD4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FF088">
                  <w:pPr>
                    <w:pStyle w:val="5"/>
                    <w:jc w:val="center"/>
                    <w:rPr>
                      <w:rFonts w:hint="eastAsia" w:ascii="仿宋" w:hAnsi="仿宋" w:eastAsia="仿宋" w:cs="仿宋"/>
                      <w:sz w:val="24"/>
                      <w:szCs w:val="24"/>
                    </w:rPr>
                  </w:pPr>
                  <w:r>
                    <w:rPr>
                      <w:rFonts w:hint="eastAsia" w:ascii="仿宋" w:hAnsi="仿宋" w:eastAsia="仿宋" w:cs="仿宋"/>
                      <w:sz w:val="24"/>
                      <w:szCs w:val="24"/>
                    </w:rPr>
                    <w:t>1</w:t>
                  </w:r>
                </w:p>
              </w:tc>
              <w:tc>
                <w:tcPr>
                  <w:tcW w:w="17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6AFD8D">
                  <w:pPr>
                    <w:pStyle w:val="5"/>
                    <w:jc w:val="center"/>
                    <w:rPr>
                      <w:rFonts w:hint="eastAsia" w:ascii="仿宋" w:hAnsi="仿宋" w:eastAsia="仿宋" w:cs="仿宋"/>
                      <w:sz w:val="24"/>
                      <w:szCs w:val="24"/>
                    </w:rPr>
                  </w:pPr>
                  <w:r>
                    <w:rPr>
                      <w:rFonts w:hint="eastAsia" w:ascii="仿宋" w:hAnsi="仿宋" w:eastAsia="仿宋" w:cs="仿宋"/>
                      <w:sz w:val="24"/>
                      <w:szCs w:val="24"/>
                    </w:rPr>
                    <w:t>100-</w:t>
                  </w:r>
                  <w:r>
                    <w:rPr>
                      <w:rFonts w:hint="eastAsia" w:ascii="仿宋" w:hAnsi="仿宋" w:eastAsia="仿宋" w:cs="仿宋"/>
                      <w:sz w:val="24"/>
                      <w:szCs w:val="24"/>
                      <w:lang w:val="en-US" w:eastAsia="zh-CN"/>
                    </w:rPr>
                    <w:t>90</w:t>
                  </w:r>
                  <w:r>
                    <w:rPr>
                      <w:rFonts w:hint="eastAsia" w:ascii="仿宋" w:hAnsi="仿宋" w:eastAsia="仿宋" w:cs="仿宋"/>
                      <w:sz w:val="24"/>
                      <w:szCs w:val="24"/>
                    </w:rPr>
                    <w:t>分</w:t>
                  </w:r>
                </w:p>
              </w:tc>
              <w:tc>
                <w:tcPr>
                  <w:tcW w:w="14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568F05">
                  <w:pPr>
                    <w:pStyle w:val="5"/>
                    <w:jc w:val="center"/>
                    <w:rPr>
                      <w:rFonts w:hint="eastAsia" w:ascii="仿宋" w:hAnsi="仿宋" w:eastAsia="仿宋" w:cs="仿宋"/>
                      <w:sz w:val="24"/>
                      <w:szCs w:val="24"/>
                    </w:rPr>
                  </w:pPr>
                  <w:r>
                    <w:rPr>
                      <w:rFonts w:hint="eastAsia" w:ascii="仿宋" w:hAnsi="仿宋" w:eastAsia="仿宋" w:cs="仿宋"/>
                      <w:sz w:val="24"/>
                      <w:szCs w:val="24"/>
                    </w:rPr>
                    <w:t>合格</w:t>
                  </w:r>
                </w:p>
              </w:tc>
              <w:tc>
                <w:tcPr>
                  <w:tcW w:w="4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EC3860">
                  <w:pPr>
                    <w:pStyle w:val="5"/>
                    <w:jc w:val="left"/>
                    <w:rPr>
                      <w:rFonts w:hint="eastAsia" w:ascii="仿宋" w:hAnsi="仿宋" w:eastAsia="仿宋" w:cs="仿宋"/>
                      <w:sz w:val="24"/>
                      <w:szCs w:val="24"/>
                    </w:rPr>
                  </w:pPr>
                  <w:r>
                    <w:rPr>
                      <w:rFonts w:hint="eastAsia" w:ascii="仿宋" w:hAnsi="仿宋" w:eastAsia="仿宋" w:cs="仿宋"/>
                      <w:sz w:val="24"/>
                      <w:szCs w:val="24"/>
                    </w:rPr>
                    <w:t>全额领取当月服务费</w:t>
                  </w:r>
                </w:p>
              </w:tc>
            </w:tr>
            <w:tr w14:paraId="194DE1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D9A899">
                  <w:pPr>
                    <w:pStyle w:val="5"/>
                    <w:jc w:val="center"/>
                    <w:rPr>
                      <w:rFonts w:hint="eastAsia" w:ascii="仿宋" w:hAnsi="仿宋" w:eastAsia="仿宋" w:cs="仿宋"/>
                      <w:sz w:val="24"/>
                      <w:szCs w:val="24"/>
                    </w:rPr>
                  </w:pPr>
                  <w:r>
                    <w:rPr>
                      <w:rFonts w:hint="eastAsia" w:ascii="仿宋" w:hAnsi="仿宋" w:eastAsia="仿宋" w:cs="仿宋"/>
                      <w:sz w:val="24"/>
                      <w:szCs w:val="24"/>
                    </w:rPr>
                    <w:t>2</w:t>
                  </w:r>
                </w:p>
              </w:tc>
              <w:tc>
                <w:tcPr>
                  <w:tcW w:w="17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30699">
                  <w:pPr>
                    <w:pStyle w:val="5"/>
                    <w:jc w:val="center"/>
                    <w:rPr>
                      <w:rFonts w:hint="eastAsia" w:ascii="仿宋" w:hAnsi="仿宋" w:eastAsia="仿宋" w:cs="仿宋"/>
                      <w:sz w:val="24"/>
                      <w:szCs w:val="24"/>
                    </w:rPr>
                  </w:pPr>
                  <w:r>
                    <w:rPr>
                      <w:rFonts w:hint="eastAsia" w:ascii="仿宋" w:hAnsi="仿宋" w:eastAsia="仿宋" w:cs="仿宋"/>
                      <w:sz w:val="24"/>
                      <w:szCs w:val="24"/>
                      <w:lang w:val="en-US" w:eastAsia="zh-CN"/>
                    </w:rPr>
                    <w:t>89</w:t>
                  </w:r>
                  <w:r>
                    <w:rPr>
                      <w:rFonts w:hint="eastAsia" w:ascii="仿宋" w:hAnsi="仿宋" w:eastAsia="仿宋" w:cs="仿宋"/>
                      <w:sz w:val="24"/>
                      <w:szCs w:val="24"/>
                    </w:rPr>
                    <w:t>-80分</w:t>
                  </w:r>
                </w:p>
              </w:tc>
              <w:tc>
                <w:tcPr>
                  <w:tcW w:w="145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BE6501D">
                  <w:pPr>
                    <w:pStyle w:val="5"/>
                    <w:jc w:val="center"/>
                    <w:rPr>
                      <w:rFonts w:hint="eastAsia" w:ascii="仿宋" w:hAnsi="仿宋" w:eastAsia="仿宋" w:cs="仿宋"/>
                      <w:sz w:val="24"/>
                      <w:szCs w:val="24"/>
                    </w:rPr>
                  </w:pPr>
                  <w:r>
                    <w:rPr>
                      <w:rFonts w:hint="eastAsia" w:ascii="仿宋" w:hAnsi="仿宋" w:eastAsia="仿宋" w:cs="仿宋"/>
                      <w:sz w:val="24"/>
                      <w:szCs w:val="24"/>
                    </w:rPr>
                    <w:t>基本合格</w:t>
                  </w:r>
                </w:p>
              </w:tc>
              <w:tc>
                <w:tcPr>
                  <w:tcW w:w="4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847DC6">
                  <w:pPr>
                    <w:pStyle w:val="5"/>
                    <w:jc w:val="left"/>
                    <w:rPr>
                      <w:rFonts w:hint="eastAsia" w:ascii="仿宋" w:hAnsi="仿宋" w:eastAsia="仿宋" w:cs="仿宋"/>
                      <w:sz w:val="24"/>
                      <w:szCs w:val="24"/>
                    </w:rPr>
                  </w:pPr>
                  <w:r>
                    <w:rPr>
                      <w:rFonts w:hint="eastAsia" w:ascii="仿宋" w:hAnsi="仿宋" w:eastAsia="仿宋" w:cs="仿宋"/>
                      <w:sz w:val="24"/>
                      <w:szCs w:val="24"/>
                    </w:rPr>
                    <w:t>扣除月平均服务费用的1%，作为违约金</w:t>
                  </w:r>
                </w:p>
              </w:tc>
            </w:tr>
            <w:tr w14:paraId="2E7042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5988E7">
                  <w:pPr>
                    <w:pStyle w:val="5"/>
                    <w:jc w:val="center"/>
                    <w:rPr>
                      <w:rFonts w:hint="eastAsia" w:ascii="仿宋" w:hAnsi="仿宋" w:eastAsia="仿宋" w:cs="仿宋"/>
                      <w:sz w:val="24"/>
                      <w:szCs w:val="24"/>
                    </w:rPr>
                  </w:pPr>
                  <w:r>
                    <w:rPr>
                      <w:rFonts w:hint="eastAsia" w:ascii="仿宋" w:hAnsi="仿宋" w:eastAsia="仿宋" w:cs="仿宋"/>
                      <w:sz w:val="24"/>
                      <w:szCs w:val="24"/>
                    </w:rPr>
                    <w:t>3</w:t>
                  </w:r>
                </w:p>
              </w:tc>
              <w:tc>
                <w:tcPr>
                  <w:tcW w:w="17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0EB1CD">
                  <w:pPr>
                    <w:pStyle w:val="5"/>
                    <w:jc w:val="center"/>
                    <w:rPr>
                      <w:rFonts w:hint="eastAsia" w:ascii="仿宋" w:hAnsi="仿宋" w:eastAsia="仿宋" w:cs="仿宋"/>
                      <w:sz w:val="24"/>
                      <w:szCs w:val="24"/>
                    </w:rPr>
                  </w:pPr>
                  <w:r>
                    <w:rPr>
                      <w:rFonts w:hint="eastAsia" w:ascii="仿宋" w:hAnsi="仿宋" w:eastAsia="仿宋" w:cs="仿宋"/>
                      <w:sz w:val="24"/>
                      <w:szCs w:val="24"/>
                    </w:rPr>
                    <w:t>79-75分</w:t>
                  </w:r>
                </w:p>
              </w:tc>
              <w:tc>
                <w:tcPr>
                  <w:tcW w:w="1457" w:type="dxa"/>
                  <w:vMerge w:val="continue"/>
                  <w:tcBorders>
                    <w:top w:val="nil"/>
                    <w:left w:val="single" w:color="000000" w:sz="4" w:space="0"/>
                    <w:bottom w:val="single" w:color="000000" w:sz="4" w:space="0"/>
                    <w:right w:val="single" w:color="000000" w:sz="4" w:space="0"/>
                  </w:tcBorders>
                </w:tcPr>
                <w:p w14:paraId="2605E1B4">
                  <w:pPr>
                    <w:rPr>
                      <w:rFonts w:hint="eastAsia" w:ascii="仿宋" w:hAnsi="仿宋" w:eastAsia="仿宋" w:cs="仿宋"/>
                      <w:sz w:val="24"/>
                      <w:szCs w:val="24"/>
                    </w:rPr>
                  </w:pPr>
                </w:p>
              </w:tc>
              <w:tc>
                <w:tcPr>
                  <w:tcW w:w="4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18FA91">
                  <w:pPr>
                    <w:pStyle w:val="5"/>
                    <w:jc w:val="left"/>
                    <w:rPr>
                      <w:rFonts w:hint="eastAsia" w:ascii="仿宋" w:hAnsi="仿宋" w:eastAsia="仿宋" w:cs="仿宋"/>
                      <w:sz w:val="24"/>
                      <w:szCs w:val="24"/>
                    </w:rPr>
                  </w:pPr>
                  <w:r>
                    <w:rPr>
                      <w:rFonts w:hint="eastAsia" w:ascii="仿宋" w:hAnsi="仿宋" w:eastAsia="仿宋" w:cs="仿宋"/>
                      <w:sz w:val="24"/>
                      <w:szCs w:val="24"/>
                    </w:rPr>
                    <w:t>扣除月平均服务费用的2%，作为违约金</w:t>
                  </w:r>
                </w:p>
              </w:tc>
            </w:tr>
            <w:tr w14:paraId="1BECB0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F7BDA6">
                  <w:pPr>
                    <w:pStyle w:val="5"/>
                    <w:jc w:val="center"/>
                    <w:rPr>
                      <w:rFonts w:hint="eastAsia" w:ascii="仿宋" w:hAnsi="仿宋" w:eastAsia="仿宋" w:cs="仿宋"/>
                      <w:sz w:val="24"/>
                      <w:szCs w:val="24"/>
                    </w:rPr>
                  </w:pPr>
                  <w:r>
                    <w:rPr>
                      <w:rFonts w:hint="eastAsia" w:ascii="仿宋" w:hAnsi="仿宋" w:eastAsia="仿宋" w:cs="仿宋"/>
                      <w:sz w:val="24"/>
                      <w:szCs w:val="24"/>
                    </w:rPr>
                    <w:t>4</w:t>
                  </w:r>
                </w:p>
              </w:tc>
              <w:tc>
                <w:tcPr>
                  <w:tcW w:w="17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D4D3B0">
                  <w:pPr>
                    <w:pStyle w:val="5"/>
                    <w:jc w:val="center"/>
                    <w:rPr>
                      <w:rFonts w:hint="eastAsia" w:ascii="仿宋" w:hAnsi="仿宋" w:eastAsia="仿宋" w:cs="仿宋"/>
                      <w:sz w:val="24"/>
                      <w:szCs w:val="24"/>
                    </w:rPr>
                  </w:pPr>
                  <w:r>
                    <w:rPr>
                      <w:rFonts w:hint="eastAsia" w:ascii="仿宋" w:hAnsi="仿宋" w:eastAsia="仿宋" w:cs="仿宋"/>
                      <w:sz w:val="24"/>
                      <w:szCs w:val="24"/>
                    </w:rPr>
                    <w:t>74-70分</w:t>
                  </w:r>
                </w:p>
              </w:tc>
              <w:tc>
                <w:tcPr>
                  <w:tcW w:w="1457" w:type="dxa"/>
                  <w:vMerge w:val="continue"/>
                  <w:tcBorders>
                    <w:top w:val="nil"/>
                    <w:left w:val="single" w:color="000000" w:sz="4" w:space="0"/>
                    <w:bottom w:val="single" w:color="000000" w:sz="4" w:space="0"/>
                    <w:right w:val="single" w:color="000000" w:sz="4" w:space="0"/>
                  </w:tcBorders>
                </w:tcPr>
                <w:p w14:paraId="348D941F">
                  <w:pPr>
                    <w:rPr>
                      <w:rFonts w:hint="eastAsia" w:ascii="仿宋" w:hAnsi="仿宋" w:eastAsia="仿宋" w:cs="仿宋"/>
                      <w:sz w:val="24"/>
                      <w:szCs w:val="24"/>
                    </w:rPr>
                  </w:pPr>
                </w:p>
              </w:tc>
              <w:tc>
                <w:tcPr>
                  <w:tcW w:w="4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E5EE08">
                  <w:pPr>
                    <w:pStyle w:val="5"/>
                    <w:jc w:val="left"/>
                    <w:rPr>
                      <w:rFonts w:hint="eastAsia" w:ascii="仿宋" w:hAnsi="仿宋" w:eastAsia="仿宋" w:cs="仿宋"/>
                      <w:sz w:val="24"/>
                      <w:szCs w:val="24"/>
                    </w:rPr>
                  </w:pPr>
                  <w:r>
                    <w:rPr>
                      <w:rFonts w:hint="eastAsia" w:ascii="仿宋" w:hAnsi="仿宋" w:eastAsia="仿宋" w:cs="仿宋"/>
                      <w:sz w:val="24"/>
                      <w:szCs w:val="24"/>
                    </w:rPr>
                    <w:t>扣除月平均服务费用的3%，作为违约金</w:t>
                  </w:r>
                </w:p>
              </w:tc>
            </w:tr>
            <w:tr w14:paraId="05C974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B5139">
                  <w:pPr>
                    <w:pStyle w:val="5"/>
                    <w:jc w:val="center"/>
                    <w:rPr>
                      <w:rFonts w:hint="eastAsia" w:ascii="仿宋" w:hAnsi="仿宋" w:eastAsia="仿宋" w:cs="仿宋"/>
                      <w:sz w:val="24"/>
                      <w:szCs w:val="24"/>
                    </w:rPr>
                  </w:pPr>
                  <w:r>
                    <w:rPr>
                      <w:rFonts w:hint="eastAsia" w:ascii="仿宋" w:hAnsi="仿宋" w:eastAsia="仿宋" w:cs="仿宋"/>
                      <w:sz w:val="24"/>
                      <w:szCs w:val="24"/>
                    </w:rPr>
                    <w:t>5</w:t>
                  </w:r>
                </w:p>
              </w:tc>
              <w:tc>
                <w:tcPr>
                  <w:tcW w:w="17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FAF28">
                  <w:pPr>
                    <w:pStyle w:val="5"/>
                    <w:jc w:val="center"/>
                    <w:rPr>
                      <w:rFonts w:hint="eastAsia" w:ascii="仿宋" w:hAnsi="仿宋" w:eastAsia="仿宋" w:cs="仿宋"/>
                      <w:sz w:val="24"/>
                      <w:szCs w:val="24"/>
                    </w:rPr>
                  </w:pPr>
                  <w:r>
                    <w:rPr>
                      <w:rFonts w:hint="eastAsia" w:ascii="仿宋" w:hAnsi="仿宋" w:eastAsia="仿宋" w:cs="仿宋"/>
                      <w:sz w:val="24"/>
                      <w:szCs w:val="24"/>
                    </w:rPr>
                    <w:t>69-65分</w:t>
                  </w:r>
                </w:p>
              </w:tc>
              <w:tc>
                <w:tcPr>
                  <w:tcW w:w="1457" w:type="dxa"/>
                  <w:vMerge w:val="continue"/>
                  <w:tcBorders>
                    <w:top w:val="nil"/>
                    <w:left w:val="single" w:color="000000" w:sz="4" w:space="0"/>
                    <w:bottom w:val="single" w:color="000000" w:sz="4" w:space="0"/>
                    <w:right w:val="single" w:color="000000" w:sz="4" w:space="0"/>
                  </w:tcBorders>
                </w:tcPr>
                <w:p w14:paraId="77DF95C9">
                  <w:pPr>
                    <w:rPr>
                      <w:rFonts w:hint="eastAsia" w:ascii="仿宋" w:hAnsi="仿宋" w:eastAsia="仿宋" w:cs="仿宋"/>
                      <w:sz w:val="24"/>
                      <w:szCs w:val="24"/>
                    </w:rPr>
                  </w:pPr>
                </w:p>
              </w:tc>
              <w:tc>
                <w:tcPr>
                  <w:tcW w:w="4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AB84EC">
                  <w:pPr>
                    <w:pStyle w:val="5"/>
                    <w:jc w:val="left"/>
                    <w:rPr>
                      <w:rFonts w:hint="eastAsia" w:ascii="仿宋" w:hAnsi="仿宋" w:eastAsia="仿宋" w:cs="仿宋"/>
                      <w:sz w:val="24"/>
                      <w:szCs w:val="24"/>
                    </w:rPr>
                  </w:pPr>
                  <w:r>
                    <w:rPr>
                      <w:rFonts w:hint="eastAsia" w:ascii="仿宋" w:hAnsi="仿宋" w:eastAsia="仿宋" w:cs="仿宋"/>
                      <w:sz w:val="24"/>
                      <w:szCs w:val="24"/>
                    </w:rPr>
                    <w:t>扣除月平均服务费用的5%，作为违约金</w:t>
                  </w:r>
                </w:p>
              </w:tc>
            </w:tr>
            <w:tr w14:paraId="28591D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E616F9">
                  <w:pPr>
                    <w:pStyle w:val="5"/>
                    <w:jc w:val="center"/>
                    <w:rPr>
                      <w:rFonts w:hint="eastAsia" w:ascii="仿宋" w:hAnsi="仿宋" w:eastAsia="仿宋" w:cs="仿宋"/>
                      <w:sz w:val="24"/>
                      <w:szCs w:val="24"/>
                    </w:rPr>
                  </w:pPr>
                  <w:r>
                    <w:rPr>
                      <w:rFonts w:hint="eastAsia" w:ascii="仿宋" w:hAnsi="仿宋" w:eastAsia="仿宋" w:cs="仿宋"/>
                      <w:sz w:val="24"/>
                      <w:szCs w:val="24"/>
                    </w:rPr>
                    <w:t>6</w:t>
                  </w:r>
                </w:p>
              </w:tc>
              <w:tc>
                <w:tcPr>
                  <w:tcW w:w="17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29A483">
                  <w:pPr>
                    <w:pStyle w:val="5"/>
                    <w:jc w:val="center"/>
                    <w:rPr>
                      <w:rFonts w:hint="eastAsia" w:ascii="仿宋" w:hAnsi="仿宋" w:eastAsia="仿宋" w:cs="仿宋"/>
                      <w:sz w:val="24"/>
                      <w:szCs w:val="24"/>
                    </w:rPr>
                  </w:pPr>
                  <w:r>
                    <w:rPr>
                      <w:rFonts w:hint="eastAsia" w:ascii="仿宋" w:hAnsi="仿宋" w:eastAsia="仿宋" w:cs="仿宋"/>
                      <w:sz w:val="24"/>
                      <w:szCs w:val="24"/>
                    </w:rPr>
                    <w:t>64分及以下</w:t>
                  </w:r>
                </w:p>
              </w:tc>
              <w:tc>
                <w:tcPr>
                  <w:tcW w:w="14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2ACB08">
                  <w:pPr>
                    <w:pStyle w:val="5"/>
                    <w:jc w:val="center"/>
                    <w:rPr>
                      <w:rFonts w:hint="eastAsia" w:ascii="仿宋" w:hAnsi="仿宋" w:eastAsia="仿宋" w:cs="仿宋"/>
                      <w:sz w:val="24"/>
                      <w:szCs w:val="24"/>
                    </w:rPr>
                  </w:pPr>
                  <w:r>
                    <w:rPr>
                      <w:rFonts w:hint="eastAsia" w:ascii="仿宋" w:hAnsi="仿宋" w:eastAsia="仿宋" w:cs="仿宋"/>
                      <w:sz w:val="24"/>
                      <w:szCs w:val="24"/>
                    </w:rPr>
                    <w:t>不合格</w:t>
                  </w:r>
                </w:p>
              </w:tc>
              <w:tc>
                <w:tcPr>
                  <w:tcW w:w="4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EBD81B">
                  <w:pPr>
                    <w:pStyle w:val="5"/>
                    <w:jc w:val="left"/>
                    <w:rPr>
                      <w:rFonts w:hint="eastAsia" w:ascii="仿宋" w:hAnsi="仿宋" w:eastAsia="仿宋" w:cs="仿宋"/>
                      <w:sz w:val="24"/>
                      <w:szCs w:val="24"/>
                    </w:rPr>
                  </w:pPr>
                  <w:r>
                    <w:rPr>
                      <w:rFonts w:hint="eastAsia" w:ascii="仿宋" w:hAnsi="仿宋" w:eastAsia="仿宋" w:cs="仿宋"/>
                      <w:sz w:val="24"/>
                      <w:szCs w:val="24"/>
                    </w:rPr>
                    <w:t>扣除月平均服务费用的10%，作为违约金</w:t>
                  </w:r>
                </w:p>
              </w:tc>
            </w:tr>
            <w:tr w14:paraId="3565C9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60"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642D33">
                  <w:pPr>
                    <w:pStyle w:val="5"/>
                    <w:ind w:firstLine="241"/>
                    <w:jc w:val="left"/>
                    <w:rPr>
                      <w:rFonts w:hint="eastAsia" w:ascii="仿宋" w:hAnsi="仿宋" w:eastAsia="仿宋" w:cs="仿宋"/>
                      <w:sz w:val="24"/>
                      <w:szCs w:val="24"/>
                    </w:rPr>
                  </w:pPr>
                  <w:r>
                    <w:rPr>
                      <w:rFonts w:hint="eastAsia" w:ascii="仿宋" w:hAnsi="仿宋" w:eastAsia="仿宋" w:cs="仿宋"/>
                      <w:b/>
                      <w:sz w:val="24"/>
                      <w:szCs w:val="24"/>
                    </w:rPr>
                    <w:t>备注：</w:t>
                  </w:r>
                  <w:r>
                    <w:rPr>
                      <w:rFonts w:hint="eastAsia" w:ascii="仿宋" w:hAnsi="仿宋" w:eastAsia="仿宋" w:cs="仿宋"/>
                      <w:b/>
                      <w:sz w:val="24"/>
                      <w:szCs w:val="24"/>
                      <w:lang w:eastAsia="zh-CN"/>
                    </w:rPr>
                    <w:t>中标供应商</w:t>
                  </w:r>
                  <w:r>
                    <w:rPr>
                      <w:rFonts w:hint="eastAsia" w:ascii="仿宋" w:hAnsi="仿宋" w:eastAsia="仿宋" w:cs="仿宋"/>
                      <w:b/>
                      <w:sz w:val="24"/>
                      <w:szCs w:val="24"/>
                    </w:rPr>
                    <w:t>每月应得服务费金额=月平均服务费用（即成交金额÷</w:t>
                  </w:r>
                  <w:r>
                    <w:rPr>
                      <w:rFonts w:hint="eastAsia" w:ascii="仿宋" w:hAnsi="仿宋" w:eastAsia="仿宋" w:cs="仿宋"/>
                      <w:b/>
                      <w:sz w:val="24"/>
                      <w:szCs w:val="24"/>
                      <w:lang w:val="en-US" w:eastAsia="zh-CN"/>
                    </w:rPr>
                    <w:t>36</w:t>
                  </w:r>
                  <w:r>
                    <w:rPr>
                      <w:rFonts w:hint="eastAsia" w:ascii="仿宋" w:hAnsi="仿宋" w:eastAsia="仿宋" w:cs="仿宋"/>
                      <w:b/>
                      <w:sz w:val="24"/>
                      <w:szCs w:val="24"/>
                    </w:rPr>
                    <w:t>个月）－当月考核应扣的违约金。</w:t>
                  </w:r>
                </w:p>
              </w:tc>
            </w:tr>
          </w:tbl>
          <w:p w14:paraId="56181D2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一个年度内累计出现3次“基本合格”，或连续出现2次“基本合格”的，均视为中标供应商考核结果“不合格”，之前已扣除的违约金累计金额低于月平均服务费用的10%的，应调增扣除至月平均服务费用的10%；累计金额高于月平均服务费用的10%的，无需调整。一旦出现考核结果“不合格”的情况，采购人有权单方面解除合同，由此造成采购人经济损失的，中标供应商应全额赔偿。中标供应商应向采购人赔偿的违约金、费用以及经济损失等赔偿项目，采购人有权优先在应付给中标供应商的服务费中抵扣，不足部分由中标供应商补足赔偿。出现其他违法违规情形的，将按规定上报相关主管部门处理。</w:t>
            </w:r>
          </w:p>
          <w:p w14:paraId="080ECD17">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5）★如中标供应商员工有监守自盗行为，一经发现核实，按财产损失价值10倍处罚中标供应商，并追究相关法律责任。如在区政府楼、区委楼、区人大、政协楼、区大会堂、区行政中心机关大院停车场、区行政中心闸口一、闸口二、区政府大院（宿舍一区、二区）范围内发生盗窃、毁坏、火灾、治安、交通、刑事等案件，经核实，是中标供应商保安人员玩忽职守、监管不力、处理不当所造成的，中标供应商须按责任进行赔偿，并承担法律责任</w:t>
            </w:r>
            <w:r>
              <w:rPr>
                <w:rFonts w:hint="eastAsia" w:ascii="仿宋" w:hAnsi="仿宋" w:eastAsia="仿宋" w:cs="仿宋"/>
                <w:b/>
                <w:bCs/>
                <w:sz w:val="24"/>
                <w:szCs w:val="24"/>
                <w:lang w:val="en-US" w:eastAsia="zh-CN"/>
              </w:rPr>
              <w:t>（投标时须提供承诺书加盖公章、格式自拟）。</w:t>
            </w:r>
          </w:p>
          <w:p w14:paraId="432B633E">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若因中标供应商在保安值守、巡查防控、秩序管理、场地管护等方面履职不到位或存在管理疏漏等自身原因，导致停车场、停车棚内车辆发生丢失或损毁的，由此产生的全部经济赔偿及相关法律责任，均由中标供应商自行承担。</w:t>
            </w:r>
          </w:p>
          <w:p w14:paraId="29555AAE">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7）中标供应商服务质量满意度评价不符合要求而扣分罚款，属中标供应商失职造成的经济赔偿处罚，于当月服务费中扣除。</w:t>
            </w:r>
          </w:p>
          <w:p w14:paraId="1529DB5B">
            <w:pPr>
              <w:pStyle w:val="5"/>
              <w:keepNext w:val="0"/>
              <w:keepLines w:val="0"/>
              <w:pageBreakBefore w:val="0"/>
              <w:numPr>
                <w:ilvl w:val="0"/>
                <w:numId w:val="0"/>
              </w:numPr>
              <w:kinsoku/>
              <w:wordWrap/>
              <w:overflowPunct/>
              <w:topLinePunct w:val="0"/>
              <w:autoSpaceDE/>
              <w:autoSpaceDN/>
              <w:bidi w:val="0"/>
              <w:adjustRightInd/>
              <w:snapToGrid/>
              <w:spacing w:line="408" w:lineRule="auto"/>
              <w:jc w:val="center"/>
              <w:textAlignment w:val="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保安服务质量标准与监管考评标准细则</w:t>
            </w:r>
          </w:p>
          <w:tbl>
            <w:tblPr>
              <w:tblStyle w:val="2"/>
              <w:tblW w:w="8770"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84"/>
              <w:gridCol w:w="810"/>
              <w:gridCol w:w="4322"/>
              <w:gridCol w:w="736"/>
              <w:gridCol w:w="778"/>
              <w:gridCol w:w="791"/>
              <w:gridCol w:w="749"/>
            </w:tblGrid>
            <w:tr w14:paraId="120975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770" w:type="dxa"/>
                  <w:gridSpan w:val="7"/>
                  <w:tcBorders>
                    <w:top w:val="single" w:color="000000" w:sz="8" w:space="0"/>
                    <w:left w:val="single" w:color="000000" w:sz="8" w:space="0"/>
                    <w:bottom w:val="single" w:color="000000" w:sz="4" w:space="0"/>
                    <w:right w:val="single" w:color="000000" w:sz="8" w:space="0"/>
                  </w:tcBorders>
                  <w:shd w:val="clear" w:color="auto" w:fill="E6E0EC"/>
                  <w:tcMar>
                    <w:top w:w="0" w:type="dxa"/>
                    <w:left w:w="105" w:type="dxa"/>
                    <w:bottom w:w="0" w:type="dxa"/>
                    <w:right w:w="105" w:type="dxa"/>
                  </w:tcMar>
                  <w:vAlign w:val="center"/>
                </w:tcPr>
                <w:p w14:paraId="257E8EC6">
                  <w:pPr>
                    <w:pStyle w:val="5"/>
                    <w:ind w:firstLine="482"/>
                    <w:jc w:val="center"/>
                    <w:rPr>
                      <w:rFonts w:hint="eastAsia" w:ascii="仿宋" w:hAnsi="仿宋" w:eastAsia="仿宋" w:cs="仿宋"/>
                      <w:sz w:val="21"/>
                      <w:szCs w:val="21"/>
                    </w:rPr>
                  </w:pPr>
                  <w:r>
                    <w:rPr>
                      <w:rFonts w:hint="eastAsia" w:ascii="仿宋" w:hAnsi="仿宋" w:eastAsia="仿宋" w:cs="仿宋"/>
                      <w:b/>
                      <w:sz w:val="21"/>
                      <w:szCs w:val="21"/>
                    </w:rPr>
                    <w:t>考核人：                                           考核时间：</w:t>
                  </w:r>
                </w:p>
              </w:tc>
            </w:tr>
            <w:tr w14:paraId="02B2DD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vMerge w:val="restart"/>
                  <w:tcBorders>
                    <w:top w:val="single" w:color="000000" w:sz="4" w:space="0"/>
                    <w:left w:val="single" w:color="000000" w:sz="8" w:space="0"/>
                    <w:bottom w:val="single" w:color="000000" w:sz="4" w:space="0"/>
                    <w:right w:val="single" w:color="000000" w:sz="4" w:space="0"/>
                  </w:tcBorders>
                  <w:shd w:val="clear" w:color="auto" w:fill="E6E0EC"/>
                  <w:tcMar>
                    <w:top w:w="0" w:type="dxa"/>
                    <w:left w:w="105" w:type="dxa"/>
                    <w:bottom w:w="0" w:type="dxa"/>
                    <w:right w:w="105" w:type="dxa"/>
                  </w:tcMar>
                  <w:vAlign w:val="center"/>
                </w:tcPr>
                <w:p w14:paraId="0F961C6D">
                  <w:pPr>
                    <w:pStyle w:val="5"/>
                    <w:jc w:val="center"/>
                    <w:rPr>
                      <w:rFonts w:hint="eastAsia" w:ascii="仿宋" w:hAnsi="仿宋" w:eastAsia="仿宋" w:cs="仿宋"/>
                      <w:sz w:val="21"/>
                      <w:szCs w:val="21"/>
                    </w:rPr>
                  </w:pPr>
                  <w:r>
                    <w:rPr>
                      <w:rFonts w:hint="eastAsia" w:ascii="仿宋" w:hAnsi="仿宋" w:eastAsia="仿宋" w:cs="仿宋"/>
                      <w:b/>
                      <w:sz w:val="21"/>
                      <w:szCs w:val="21"/>
                    </w:rPr>
                    <w:t>序号</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E6E0EC"/>
                  <w:tcMar>
                    <w:top w:w="0" w:type="dxa"/>
                    <w:left w:w="105" w:type="dxa"/>
                    <w:bottom w:w="0" w:type="dxa"/>
                    <w:right w:w="105" w:type="dxa"/>
                  </w:tcMar>
                  <w:vAlign w:val="center"/>
                </w:tcPr>
                <w:p w14:paraId="473FACFD">
                  <w:pPr>
                    <w:pStyle w:val="5"/>
                    <w:jc w:val="center"/>
                    <w:rPr>
                      <w:rFonts w:hint="eastAsia" w:ascii="仿宋" w:hAnsi="仿宋" w:eastAsia="仿宋" w:cs="仿宋"/>
                      <w:sz w:val="21"/>
                      <w:szCs w:val="21"/>
                    </w:rPr>
                  </w:pPr>
                  <w:r>
                    <w:rPr>
                      <w:rFonts w:hint="eastAsia" w:ascii="仿宋" w:hAnsi="仿宋" w:eastAsia="仿宋" w:cs="仿宋"/>
                      <w:b/>
                      <w:sz w:val="21"/>
                      <w:szCs w:val="21"/>
                    </w:rPr>
                    <w:t>项目</w:t>
                  </w:r>
                </w:p>
              </w:tc>
              <w:tc>
                <w:tcPr>
                  <w:tcW w:w="4322" w:type="dxa"/>
                  <w:vMerge w:val="restart"/>
                  <w:tcBorders>
                    <w:top w:val="single" w:color="000000" w:sz="4" w:space="0"/>
                    <w:left w:val="single" w:color="000000" w:sz="4" w:space="0"/>
                    <w:bottom w:val="single" w:color="000000" w:sz="4" w:space="0"/>
                    <w:right w:val="single" w:color="000000" w:sz="4" w:space="0"/>
                  </w:tcBorders>
                  <w:shd w:val="clear" w:color="auto" w:fill="E6E0EC"/>
                  <w:tcMar>
                    <w:top w:w="0" w:type="dxa"/>
                    <w:left w:w="105" w:type="dxa"/>
                    <w:bottom w:w="0" w:type="dxa"/>
                    <w:right w:w="105" w:type="dxa"/>
                  </w:tcMar>
                  <w:vAlign w:val="center"/>
                </w:tcPr>
                <w:p w14:paraId="2CE87489">
                  <w:pPr>
                    <w:pStyle w:val="5"/>
                    <w:jc w:val="center"/>
                    <w:rPr>
                      <w:rFonts w:hint="eastAsia" w:ascii="仿宋" w:hAnsi="仿宋" w:eastAsia="仿宋" w:cs="仿宋"/>
                      <w:sz w:val="21"/>
                      <w:szCs w:val="21"/>
                    </w:rPr>
                  </w:pPr>
                  <w:r>
                    <w:rPr>
                      <w:rFonts w:hint="eastAsia" w:ascii="仿宋" w:hAnsi="仿宋" w:eastAsia="仿宋" w:cs="仿宋"/>
                      <w:b/>
                      <w:sz w:val="21"/>
                      <w:szCs w:val="21"/>
                    </w:rPr>
                    <w:t>考核标准</w:t>
                  </w:r>
                </w:p>
              </w:tc>
              <w:tc>
                <w:tcPr>
                  <w:tcW w:w="1514" w:type="dxa"/>
                  <w:gridSpan w:val="2"/>
                  <w:tcBorders>
                    <w:top w:val="single" w:color="000000" w:sz="4" w:space="0"/>
                    <w:left w:val="single" w:color="000000" w:sz="4" w:space="0"/>
                    <w:bottom w:val="single" w:color="000000" w:sz="4" w:space="0"/>
                    <w:right w:val="single" w:color="000000" w:sz="4" w:space="0"/>
                  </w:tcBorders>
                  <w:shd w:val="clear" w:color="auto" w:fill="E6E0EC"/>
                  <w:tcMar>
                    <w:top w:w="0" w:type="dxa"/>
                    <w:left w:w="105" w:type="dxa"/>
                    <w:bottom w:w="0" w:type="dxa"/>
                    <w:right w:w="105" w:type="dxa"/>
                  </w:tcMar>
                  <w:vAlign w:val="center"/>
                </w:tcPr>
                <w:p w14:paraId="5626FA49">
                  <w:pPr>
                    <w:pStyle w:val="5"/>
                    <w:jc w:val="center"/>
                    <w:rPr>
                      <w:rFonts w:hint="eastAsia" w:ascii="仿宋" w:hAnsi="仿宋" w:eastAsia="仿宋" w:cs="仿宋"/>
                      <w:sz w:val="21"/>
                      <w:szCs w:val="21"/>
                    </w:rPr>
                  </w:pPr>
                  <w:r>
                    <w:rPr>
                      <w:rFonts w:hint="eastAsia" w:ascii="仿宋" w:hAnsi="仿宋" w:eastAsia="仿宋" w:cs="仿宋"/>
                      <w:b/>
                      <w:sz w:val="21"/>
                      <w:szCs w:val="21"/>
                    </w:rPr>
                    <w:t>检查情况</w:t>
                  </w:r>
                </w:p>
              </w:tc>
              <w:tc>
                <w:tcPr>
                  <w:tcW w:w="791" w:type="dxa"/>
                  <w:vMerge w:val="restart"/>
                  <w:tcBorders>
                    <w:top w:val="single" w:color="000000" w:sz="4" w:space="0"/>
                    <w:left w:val="single" w:color="000000" w:sz="4" w:space="0"/>
                    <w:bottom w:val="single" w:color="000000" w:sz="4" w:space="0"/>
                    <w:right w:val="single" w:color="000000" w:sz="4" w:space="0"/>
                  </w:tcBorders>
                  <w:shd w:val="clear" w:color="auto" w:fill="E6E0EC"/>
                  <w:tcMar>
                    <w:top w:w="0" w:type="dxa"/>
                    <w:left w:w="105" w:type="dxa"/>
                    <w:bottom w:w="0" w:type="dxa"/>
                    <w:right w:w="105" w:type="dxa"/>
                  </w:tcMar>
                  <w:vAlign w:val="center"/>
                </w:tcPr>
                <w:p w14:paraId="2D009F1A">
                  <w:pPr>
                    <w:pStyle w:val="5"/>
                    <w:jc w:val="center"/>
                    <w:rPr>
                      <w:rFonts w:hint="eastAsia" w:ascii="仿宋" w:hAnsi="仿宋" w:eastAsia="仿宋" w:cs="仿宋"/>
                      <w:sz w:val="21"/>
                      <w:szCs w:val="21"/>
                    </w:rPr>
                  </w:pPr>
                  <w:r>
                    <w:rPr>
                      <w:rFonts w:hint="eastAsia" w:ascii="仿宋" w:hAnsi="仿宋" w:eastAsia="仿宋" w:cs="仿宋"/>
                      <w:b/>
                      <w:sz w:val="21"/>
                      <w:szCs w:val="21"/>
                    </w:rPr>
                    <w:t>整改情况</w:t>
                  </w:r>
                </w:p>
              </w:tc>
              <w:tc>
                <w:tcPr>
                  <w:tcW w:w="749" w:type="dxa"/>
                  <w:vMerge w:val="restart"/>
                  <w:tcBorders>
                    <w:top w:val="single" w:color="000000" w:sz="4" w:space="0"/>
                    <w:left w:val="single" w:color="000000" w:sz="4" w:space="0"/>
                    <w:bottom w:val="single" w:color="000000" w:sz="4" w:space="0"/>
                    <w:right w:val="single" w:color="000000" w:sz="8" w:space="0"/>
                  </w:tcBorders>
                  <w:shd w:val="clear" w:color="auto" w:fill="E6E0EC"/>
                  <w:tcMar>
                    <w:top w:w="0" w:type="dxa"/>
                    <w:left w:w="105" w:type="dxa"/>
                    <w:bottom w:w="0" w:type="dxa"/>
                    <w:right w:w="105" w:type="dxa"/>
                  </w:tcMar>
                  <w:vAlign w:val="center"/>
                </w:tcPr>
                <w:p w14:paraId="56036BA3">
                  <w:pPr>
                    <w:pStyle w:val="5"/>
                    <w:jc w:val="center"/>
                    <w:rPr>
                      <w:rFonts w:hint="eastAsia" w:ascii="仿宋" w:hAnsi="仿宋" w:eastAsia="仿宋" w:cs="仿宋"/>
                      <w:sz w:val="21"/>
                      <w:szCs w:val="21"/>
                    </w:rPr>
                  </w:pPr>
                  <w:r>
                    <w:rPr>
                      <w:rFonts w:hint="eastAsia" w:ascii="仿宋" w:hAnsi="仿宋" w:eastAsia="仿宋" w:cs="仿宋"/>
                      <w:b/>
                      <w:sz w:val="21"/>
                      <w:szCs w:val="21"/>
                    </w:rPr>
                    <w:t>备注</w:t>
                  </w:r>
                </w:p>
              </w:tc>
            </w:tr>
            <w:tr w14:paraId="0CE4E2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vMerge w:val="continue"/>
                  <w:tcBorders>
                    <w:top w:val="single" w:color="000000" w:sz="4" w:space="0"/>
                    <w:left w:val="single" w:color="000000" w:sz="8" w:space="0"/>
                    <w:bottom w:val="single" w:color="000000" w:sz="4" w:space="0"/>
                    <w:right w:val="single" w:color="000000" w:sz="4" w:space="0"/>
                  </w:tcBorders>
                </w:tcPr>
                <w:p w14:paraId="269949A7">
                  <w:pPr>
                    <w:rPr>
                      <w:rFonts w:hint="eastAsia" w:ascii="仿宋" w:hAnsi="仿宋" w:eastAsia="仿宋" w:cs="仿宋"/>
                      <w:sz w:val="21"/>
                      <w:szCs w:val="21"/>
                    </w:rPr>
                  </w:pPr>
                </w:p>
              </w:tc>
              <w:tc>
                <w:tcPr>
                  <w:tcW w:w="810" w:type="dxa"/>
                  <w:vMerge w:val="continue"/>
                  <w:tcBorders>
                    <w:top w:val="single" w:color="000000" w:sz="4" w:space="0"/>
                    <w:left w:val="single" w:color="000000" w:sz="4" w:space="0"/>
                    <w:bottom w:val="single" w:color="000000" w:sz="4" w:space="0"/>
                    <w:right w:val="single" w:color="000000" w:sz="4" w:space="0"/>
                  </w:tcBorders>
                </w:tcPr>
                <w:p w14:paraId="1A67C44D">
                  <w:pPr>
                    <w:rPr>
                      <w:rFonts w:hint="eastAsia" w:ascii="仿宋" w:hAnsi="仿宋" w:eastAsia="仿宋" w:cs="仿宋"/>
                      <w:sz w:val="21"/>
                      <w:szCs w:val="21"/>
                    </w:rPr>
                  </w:pPr>
                </w:p>
              </w:tc>
              <w:tc>
                <w:tcPr>
                  <w:tcW w:w="4322" w:type="dxa"/>
                  <w:vMerge w:val="continue"/>
                  <w:tcBorders>
                    <w:top w:val="single" w:color="000000" w:sz="4" w:space="0"/>
                    <w:left w:val="single" w:color="000000" w:sz="4" w:space="0"/>
                    <w:bottom w:val="single" w:color="000000" w:sz="4" w:space="0"/>
                    <w:right w:val="single" w:color="000000" w:sz="4" w:space="0"/>
                  </w:tcBorders>
                </w:tcPr>
                <w:p w14:paraId="058B25BD">
                  <w:pPr>
                    <w:rPr>
                      <w:rFonts w:hint="eastAsia" w:ascii="仿宋" w:hAnsi="仿宋" w:eastAsia="仿宋" w:cs="仿宋"/>
                      <w:sz w:val="21"/>
                      <w:szCs w:val="21"/>
                    </w:rPr>
                  </w:pPr>
                </w:p>
              </w:tc>
              <w:tc>
                <w:tcPr>
                  <w:tcW w:w="736" w:type="dxa"/>
                  <w:tcBorders>
                    <w:top w:val="single" w:color="000000" w:sz="4" w:space="0"/>
                    <w:left w:val="single" w:color="000000" w:sz="4" w:space="0"/>
                    <w:bottom w:val="single" w:color="000000" w:sz="4" w:space="0"/>
                    <w:right w:val="single" w:color="000000" w:sz="4" w:space="0"/>
                  </w:tcBorders>
                  <w:shd w:val="clear" w:color="auto" w:fill="E6E0EC"/>
                  <w:tcMar>
                    <w:top w:w="0" w:type="dxa"/>
                    <w:left w:w="105" w:type="dxa"/>
                    <w:bottom w:w="0" w:type="dxa"/>
                    <w:right w:w="105" w:type="dxa"/>
                  </w:tcMar>
                  <w:vAlign w:val="top"/>
                </w:tcPr>
                <w:p w14:paraId="60F13380">
                  <w:pPr>
                    <w:pStyle w:val="5"/>
                    <w:jc w:val="center"/>
                    <w:rPr>
                      <w:rFonts w:hint="eastAsia" w:ascii="仿宋" w:hAnsi="仿宋" w:eastAsia="仿宋" w:cs="仿宋"/>
                      <w:sz w:val="21"/>
                      <w:szCs w:val="21"/>
                    </w:rPr>
                  </w:pPr>
                  <w:r>
                    <w:rPr>
                      <w:rFonts w:hint="eastAsia" w:ascii="仿宋" w:hAnsi="仿宋" w:eastAsia="仿宋" w:cs="仿宋"/>
                      <w:b/>
                      <w:sz w:val="21"/>
                      <w:szCs w:val="21"/>
                    </w:rPr>
                    <w:t>发现问题</w:t>
                  </w:r>
                </w:p>
              </w:tc>
              <w:tc>
                <w:tcPr>
                  <w:tcW w:w="778" w:type="dxa"/>
                  <w:tcBorders>
                    <w:top w:val="single" w:color="000000" w:sz="4" w:space="0"/>
                    <w:left w:val="single" w:color="000000" w:sz="4" w:space="0"/>
                    <w:bottom w:val="single" w:color="000000" w:sz="4" w:space="0"/>
                    <w:right w:val="single" w:color="000000" w:sz="4" w:space="0"/>
                  </w:tcBorders>
                  <w:shd w:val="clear" w:color="auto" w:fill="E6E0EC"/>
                  <w:tcMar>
                    <w:top w:w="0" w:type="dxa"/>
                    <w:left w:w="105" w:type="dxa"/>
                    <w:bottom w:w="0" w:type="dxa"/>
                    <w:right w:w="105" w:type="dxa"/>
                  </w:tcMar>
                  <w:vAlign w:val="top"/>
                </w:tcPr>
                <w:p w14:paraId="4F457A84">
                  <w:pPr>
                    <w:pStyle w:val="5"/>
                    <w:jc w:val="center"/>
                    <w:rPr>
                      <w:rFonts w:hint="eastAsia" w:ascii="仿宋" w:hAnsi="仿宋" w:eastAsia="仿宋" w:cs="仿宋"/>
                      <w:sz w:val="21"/>
                      <w:szCs w:val="21"/>
                    </w:rPr>
                  </w:pPr>
                  <w:r>
                    <w:rPr>
                      <w:rFonts w:hint="eastAsia" w:ascii="仿宋" w:hAnsi="仿宋" w:eastAsia="仿宋" w:cs="仿宋"/>
                      <w:b/>
                      <w:sz w:val="21"/>
                      <w:szCs w:val="21"/>
                    </w:rPr>
                    <w:t>扣分情况</w:t>
                  </w:r>
                </w:p>
              </w:tc>
              <w:tc>
                <w:tcPr>
                  <w:tcW w:w="791" w:type="dxa"/>
                  <w:vMerge w:val="continue"/>
                  <w:tcBorders>
                    <w:top w:val="single" w:color="000000" w:sz="4" w:space="0"/>
                    <w:left w:val="single" w:color="000000" w:sz="4" w:space="0"/>
                    <w:bottom w:val="single" w:color="000000" w:sz="4" w:space="0"/>
                    <w:right w:val="single" w:color="000000" w:sz="4" w:space="0"/>
                  </w:tcBorders>
                </w:tcPr>
                <w:p w14:paraId="128FC602">
                  <w:pPr>
                    <w:rPr>
                      <w:rFonts w:hint="eastAsia" w:ascii="仿宋" w:hAnsi="仿宋" w:eastAsia="仿宋" w:cs="仿宋"/>
                      <w:sz w:val="21"/>
                      <w:szCs w:val="21"/>
                    </w:rPr>
                  </w:pPr>
                </w:p>
              </w:tc>
              <w:tc>
                <w:tcPr>
                  <w:tcW w:w="749" w:type="dxa"/>
                  <w:vMerge w:val="continue"/>
                  <w:tcBorders>
                    <w:top w:val="single" w:color="000000" w:sz="4" w:space="0"/>
                    <w:left w:val="single" w:color="000000" w:sz="4" w:space="0"/>
                    <w:bottom w:val="single" w:color="000000" w:sz="4" w:space="0"/>
                    <w:right w:val="single" w:color="000000" w:sz="8" w:space="0"/>
                  </w:tcBorders>
                </w:tcPr>
                <w:p w14:paraId="50E2F599">
                  <w:pPr>
                    <w:rPr>
                      <w:rFonts w:hint="eastAsia" w:ascii="仿宋" w:hAnsi="仿宋" w:eastAsia="仿宋" w:cs="仿宋"/>
                      <w:sz w:val="21"/>
                      <w:szCs w:val="21"/>
                    </w:rPr>
                  </w:pPr>
                </w:p>
              </w:tc>
            </w:tr>
            <w:tr w14:paraId="56F8DD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tcBorders>
                    <w:top w:val="single" w:color="000000" w:sz="4"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456A1D99">
                  <w:pPr>
                    <w:pStyle w:val="5"/>
                    <w:jc w:val="center"/>
                    <w:rPr>
                      <w:rFonts w:hint="eastAsia" w:ascii="仿宋" w:hAnsi="仿宋" w:eastAsia="仿宋" w:cs="仿宋"/>
                      <w:sz w:val="21"/>
                      <w:szCs w:val="21"/>
                    </w:rPr>
                  </w:pPr>
                  <w:r>
                    <w:rPr>
                      <w:rFonts w:hint="eastAsia" w:ascii="仿宋" w:hAnsi="仿宋" w:eastAsia="仿宋" w:cs="仿宋"/>
                      <w:sz w:val="21"/>
                      <w:szCs w:val="21"/>
                    </w:rPr>
                    <w:t>1</w:t>
                  </w:r>
                </w:p>
              </w:tc>
              <w:tc>
                <w:tcPr>
                  <w:tcW w:w="8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5ED469B8">
                  <w:pPr>
                    <w:pStyle w:val="5"/>
                    <w:jc w:val="center"/>
                    <w:rPr>
                      <w:rFonts w:hint="eastAsia" w:ascii="仿宋" w:hAnsi="仿宋" w:eastAsia="仿宋" w:cs="仿宋"/>
                      <w:sz w:val="21"/>
                      <w:szCs w:val="21"/>
                    </w:rPr>
                  </w:pPr>
                  <w:r>
                    <w:rPr>
                      <w:rFonts w:hint="eastAsia" w:ascii="仿宋" w:hAnsi="仿宋" w:eastAsia="仿宋" w:cs="仿宋"/>
                      <w:sz w:val="21"/>
                      <w:szCs w:val="21"/>
                    </w:rPr>
                    <w:t>基本要求</w:t>
                  </w:r>
                </w:p>
              </w:tc>
              <w:tc>
                <w:tcPr>
                  <w:tcW w:w="4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A808FBE">
                  <w:pPr>
                    <w:pStyle w:val="5"/>
                    <w:jc w:val="left"/>
                    <w:rPr>
                      <w:rFonts w:hint="eastAsia" w:ascii="仿宋" w:hAnsi="仿宋" w:eastAsia="仿宋" w:cs="仿宋"/>
                      <w:sz w:val="21"/>
                      <w:szCs w:val="21"/>
                    </w:rPr>
                  </w:pPr>
                  <w:r>
                    <w:rPr>
                      <w:rFonts w:hint="eastAsia" w:ascii="仿宋" w:hAnsi="仿宋" w:eastAsia="仿宋" w:cs="仿宋"/>
                      <w:sz w:val="21"/>
                      <w:szCs w:val="21"/>
                    </w:rPr>
                    <w:t>1、（1）保安公司应配有专职的并经过培训的保安人员；（2）各类岗位公共秩序维护制度、资料、档案完善；（3）每月各类培训不少于2次；（发现未按要求实施者，每项每次扣1分）</w:t>
                  </w:r>
                </w:p>
                <w:p w14:paraId="75C63781">
                  <w:pPr>
                    <w:pStyle w:val="5"/>
                    <w:jc w:val="left"/>
                    <w:rPr>
                      <w:rFonts w:hint="eastAsia" w:ascii="仿宋" w:hAnsi="仿宋" w:eastAsia="仿宋" w:cs="仿宋"/>
                      <w:sz w:val="21"/>
                      <w:szCs w:val="21"/>
                    </w:rPr>
                  </w:pPr>
                  <w:r>
                    <w:rPr>
                      <w:rFonts w:hint="eastAsia" w:ascii="仿宋" w:hAnsi="仿宋" w:eastAsia="仿宋" w:cs="仿宋"/>
                      <w:sz w:val="21"/>
                      <w:szCs w:val="21"/>
                    </w:rPr>
                    <w:t>2、保安人员上岗时应佩戴统一标志，穿戴2011式保安制服统一服装，衣着整洁；（发现不符合者，每人每次扣1分。）</w:t>
                  </w:r>
                </w:p>
                <w:p w14:paraId="636B7FA8">
                  <w:pPr>
                    <w:pStyle w:val="5"/>
                    <w:jc w:val="left"/>
                    <w:rPr>
                      <w:rFonts w:hint="eastAsia" w:ascii="仿宋" w:hAnsi="仿宋" w:eastAsia="仿宋" w:cs="仿宋"/>
                      <w:sz w:val="21"/>
                      <w:szCs w:val="21"/>
                    </w:rPr>
                  </w:pPr>
                  <w:r>
                    <w:rPr>
                      <w:rFonts w:hint="eastAsia" w:ascii="仿宋" w:hAnsi="仿宋" w:eastAsia="仿宋" w:cs="仿宋"/>
                      <w:sz w:val="21"/>
                      <w:szCs w:val="21"/>
                    </w:rPr>
                    <w:t>3、按计划配置安保人员，在机关大院设置大门岗、门卫岗、巡逻岗、车辆指挥岗以及机动岗，负责对进出人员和车辆进行公共秩序维护，严格管理；（发现未按计划实施者，扣5分）</w:t>
                  </w:r>
                </w:p>
                <w:p w14:paraId="476EDD09">
                  <w:pPr>
                    <w:pStyle w:val="5"/>
                    <w:jc w:val="left"/>
                    <w:rPr>
                      <w:rFonts w:hint="eastAsia" w:ascii="仿宋" w:hAnsi="仿宋" w:eastAsia="仿宋" w:cs="仿宋"/>
                      <w:sz w:val="21"/>
                      <w:szCs w:val="21"/>
                    </w:rPr>
                  </w:pPr>
                  <w:r>
                    <w:rPr>
                      <w:rFonts w:hint="eastAsia" w:ascii="仿宋" w:hAnsi="仿宋" w:eastAsia="仿宋" w:cs="仿宋"/>
                      <w:sz w:val="21"/>
                      <w:szCs w:val="21"/>
                    </w:rPr>
                    <w:t>4、（1）对进出门口区域车辆进行管理和疏导；（2）车辆进出、停放有序；（3）禁止载有危险品车辆进出；（4）各岗位应有完善的交接班制度，并有工作情况及交接班记录；（发现未按要求实施者，每次扣1分）</w:t>
                  </w:r>
                </w:p>
                <w:p w14:paraId="7FB3F562">
                  <w:pPr>
                    <w:pStyle w:val="5"/>
                    <w:jc w:val="left"/>
                    <w:rPr>
                      <w:rFonts w:hint="eastAsia" w:ascii="仿宋" w:hAnsi="仿宋" w:eastAsia="仿宋" w:cs="仿宋"/>
                      <w:sz w:val="21"/>
                      <w:szCs w:val="21"/>
                    </w:rPr>
                  </w:pPr>
                  <w:r>
                    <w:rPr>
                      <w:rFonts w:hint="eastAsia" w:ascii="仿宋" w:hAnsi="仿宋" w:eastAsia="仿宋" w:cs="仿宋"/>
                      <w:sz w:val="21"/>
                      <w:szCs w:val="21"/>
                    </w:rPr>
                    <w:t>5、按要求安排人员值班,值班期间不准睡觉、脱岗、闲聊、玩手机、玩游戏，以及其它与工作无关的事项；（发现缺勤、缺岗、上班纪律散漫者，每人每次扣1分。）</w:t>
                  </w:r>
                </w:p>
                <w:p w14:paraId="227452E8">
                  <w:pPr>
                    <w:pStyle w:val="5"/>
                    <w:jc w:val="left"/>
                    <w:rPr>
                      <w:rFonts w:hint="eastAsia" w:ascii="仿宋" w:hAnsi="仿宋" w:eastAsia="仿宋" w:cs="仿宋"/>
                      <w:sz w:val="21"/>
                      <w:szCs w:val="21"/>
                    </w:rPr>
                  </w:pPr>
                  <w:r>
                    <w:rPr>
                      <w:rFonts w:hint="eastAsia" w:ascii="仿宋" w:hAnsi="仿宋" w:eastAsia="仿宋" w:cs="仿宋"/>
                      <w:sz w:val="21"/>
                      <w:szCs w:val="21"/>
                    </w:rPr>
                    <w:t>6、保安员在工作中，要服从采购人、保安公司双层管理，完成安排的具体工作；（未按要求完成工作或拒绝工作任务的，每次扣2分）</w:t>
                  </w:r>
                </w:p>
              </w:tc>
              <w:tc>
                <w:tcPr>
                  <w:tcW w:w="7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D495DC6">
                  <w:pPr>
                    <w:pStyle w:val="5"/>
                    <w:jc w:val="both"/>
                    <w:rPr>
                      <w:rFonts w:hint="eastAsia" w:ascii="仿宋" w:hAnsi="仿宋" w:eastAsia="仿宋" w:cs="仿宋"/>
                      <w:sz w:val="21"/>
                      <w:szCs w:val="21"/>
                    </w:rPr>
                  </w:pPr>
                </w:p>
              </w:tc>
              <w:tc>
                <w:tcPr>
                  <w:tcW w:w="7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BD77BA4">
                  <w:pPr>
                    <w:rPr>
                      <w:rFonts w:hint="eastAsia" w:ascii="仿宋" w:hAnsi="仿宋" w:eastAsia="仿宋" w:cs="仿宋"/>
                      <w:sz w:val="21"/>
                      <w:szCs w:val="21"/>
                    </w:rPr>
                  </w:pPr>
                </w:p>
              </w:tc>
              <w:tc>
                <w:tcPr>
                  <w:tcW w:w="7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1FD4DC">
                  <w:pPr>
                    <w:rPr>
                      <w:rFonts w:hint="eastAsia" w:ascii="仿宋" w:hAnsi="仿宋" w:eastAsia="仿宋" w:cs="仿宋"/>
                      <w:sz w:val="21"/>
                      <w:szCs w:val="21"/>
                    </w:rPr>
                  </w:pPr>
                </w:p>
              </w:tc>
              <w:tc>
                <w:tcPr>
                  <w:tcW w:w="749" w:type="dxa"/>
                  <w:tcBorders>
                    <w:top w:val="single" w:color="000000" w:sz="4" w:space="0"/>
                    <w:left w:val="single" w:color="000000" w:sz="4" w:space="0"/>
                    <w:bottom w:val="single" w:color="000000" w:sz="4" w:space="0"/>
                    <w:right w:val="single" w:color="000000" w:sz="8" w:space="0"/>
                  </w:tcBorders>
                  <w:tcMar>
                    <w:top w:w="0" w:type="dxa"/>
                    <w:left w:w="105" w:type="dxa"/>
                    <w:bottom w:w="0" w:type="dxa"/>
                    <w:right w:w="105" w:type="dxa"/>
                  </w:tcMar>
                  <w:vAlign w:val="top"/>
                </w:tcPr>
                <w:p w14:paraId="5317BCE3">
                  <w:pPr>
                    <w:rPr>
                      <w:rFonts w:hint="eastAsia" w:ascii="仿宋" w:hAnsi="仿宋" w:eastAsia="仿宋" w:cs="仿宋"/>
                      <w:sz w:val="21"/>
                      <w:szCs w:val="21"/>
                    </w:rPr>
                  </w:pPr>
                </w:p>
              </w:tc>
            </w:tr>
            <w:tr w14:paraId="2DF5B6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tcBorders>
                    <w:top w:val="single" w:color="000000" w:sz="4"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0AC745FD">
                  <w:pPr>
                    <w:pStyle w:val="5"/>
                    <w:jc w:val="center"/>
                    <w:rPr>
                      <w:rFonts w:hint="eastAsia" w:ascii="仿宋" w:hAnsi="仿宋" w:eastAsia="仿宋" w:cs="仿宋"/>
                      <w:sz w:val="21"/>
                      <w:szCs w:val="21"/>
                    </w:rPr>
                  </w:pPr>
                  <w:r>
                    <w:rPr>
                      <w:rFonts w:hint="eastAsia" w:ascii="仿宋" w:hAnsi="仿宋" w:eastAsia="仿宋" w:cs="仿宋"/>
                      <w:sz w:val="21"/>
                      <w:szCs w:val="21"/>
                    </w:rPr>
                    <w:t>2</w:t>
                  </w:r>
                </w:p>
              </w:tc>
              <w:tc>
                <w:tcPr>
                  <w:tcW w:w="8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20CEC7E8">
                  <w:pPr>
                    <w:pStyle w:val="5"/>
                    <w:jc w:val="center"/>
                    <w:rPr>
                      <w:rFonts w:hint="eastAsia" w:ascii="仿宋" w:hAnsi="仿宋" w:eastAsia="仿宋" w:cs="仿宋"/>
                      <w:sz w:val="21"/>
                      <w:szCs w:val="21"/>
                    </w:rPr>
                  </w:pPr>
                  <w:r>
                    <w:rPr>
                      <w:rFonts w:hint="eastAsia" w:ascii="仿宋" w:hAnsi="仿宋" w:eastAsia="仿宋" w:cs="仿宋"/>
                      <w:sz w:val="21"/>
                      <w:szCs w:val="21"/>
                    </w:rPr>
                    <w:t>人员组织</w:t>
                  </w:r>
                </w:p>
              </w:tc>
              <w:tc>
                <w:tcPr>
                  <w:tcW w:w="4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9B7D53A">
                  <w:pPr>
                    <w:pStyle w:val="5"/>
                    <w:jc w:val="left"/>
                    <w:rPr>
                      <w:rFonts w:hint="eastAsia" w:ascii="仿宋" w:hAnsi="仿宋" w:eastAsia="仿宋" w:cs="仿宋"/>
                      <w:sz w:val="21"/>
                      <w:szCs w:val="21"/>
                    </w:rPr>
                  </w:pPr>
                  <w:r>
                    <w:rPr>
                      <w:rFonts w:hint="eastAsia" w:ascii="仿宋" w:hAnsi="仿宋" w:eastAsia="仿宋" w:cs="仿宋"/>
                      <w:sz w:val="21"/>
                      <w:szCs w:val="21"/>
                    </w:rPr>
                    <w:t>1、保安服务人员应具有较高的素质，政治思想良好，无违法犯罪前科，初中以上文化，仪表端庄，年龄18至50岁之间，男性身高1.68米以上，女性身高1.58米以上，且身体健康，能胜任保安服务工作；操作和管理安防系统的岗位人员，应具有较高的政治素养和业务水平，熟悉电脑操作，熟悉相关办公系统、软件的应用（未按要求实施者，扣5分）</w:t>
                  </w:r>
                </w:p>
                <w:p w14:paraId="78ABBC1C">
                  <w:pPr>
                    <w:pStyle w:val="5"/>
                    <w:jc w:val="left"/>
                    <w:rPr>
                      <w:rFonts w:hint="eastAsia" w:ascii="仿宋" w:hAnsi="仿宋" w:eastAsia="仿宋" w:cs="仿宋"/>
                      <w:sz w:val="21"/>
                      <w:szCs w:val="21"/>
                    </w:rPr>
                  </w:pPr>
                  <w:r>
                    <w:rPr>
                      <w:rFonts w:hint="eastAsia" w:ascii="仿宋" w:hAnsi="仿宋" w:eastAsia="仿宋" w:cs="仿宋"/>
                      <w:sz w:val="21"/>
                      <w:szCs w:val="21"/>
                    </w:rPr>
                    <w:t>2、新来保安人员应经培训才能上岗，严格履行岗位规定职责，举止文明，礼貌待人；（发现未按要求实施者，每岗每次扣1分）</w:t>
                  </w:r>
                </w:p>
                <w:p w14:paraId="1DDF4483">
                  <w:pPr>
                    <w:pStyle w:val="5"/>
                    <w:jc w:val="left"/>
                    <w:rPr>
                      <w:rFonts w:hint="eastAsia" w:ascii="仿宋" w:hAnsi="仿宋" w:eastAsia="仿宋" w:cs="仿宋"/>
                      <w:sz w:val="21"/>
                      <w:szCs w:val="21"/>
                    </w:rPr>
                  </w:pPr>
                  <w:r>
                    <w:rPr>
                      <w:rFonts w:hint="eastAsia" w:ascii="仿宋" w:hAnsi="仿宋" w:eastAsia="仿宋" w:cs="仿宋"/>
                      <w:sz w:val="21"/>
                      <w:szCs w:val="21"/>
                    </w:rPr>
                    <w:t>3、保持服务区域公共秩序良好，对派驻保安人员进行定期培训和演练，每月两次体能或技能训练，每次不少于一小时，分工明确，各负其责，管理细致；（发现未按要求实施者，每次扣3分）</w:t>
                  </w:r>
                </w:p>
                <w:p w14:paraId="211E5E6B">
                  <w:pPr>
                    <w:pStyle w:val="5"/>
                    <w:jc w:val="left"/>
                    <w:rPr>
                      <w:rFonts w:hint="eastAsia" w:ascii="仿宋" w:hAnsi="仿宋" w:eastAsia="仿宋" w:cs="仿宋"/>
                      <w:sz w:val="21"/>
                      <w:szCs w:val="21"/>
                    </w:rPr>
                  </w:pPr>
                  <w:r>
                    <w:rPr>
                      <w:rFonts w:hint="eastAsia" w:ascii="仿宋" w:hAnsi="仿宋" w:eastAsia="仿宋" w:cs="仿宋"/>
                      <w:sz w:val="21"/>
                      <w:szCs w:val="21"/>
                    </w:rPr>
                    <w:t>4、所有岗位应配备无线对讲装置和必备的安全护卫器材。（未按要求实施者，扣5分）</w:t>
                  </w:r>
                </w:p>
              </w:tc>
              <w:tc>
                <w:tcPr>
                  <w:tcW w:w="7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511C587">
                  <w:pPr>
                    <w:pStyle w:val="5"/>
                    <w:jc w:val="both"/>
                    <w:rPr>
                      <w:rFonts w:hint="eastAsia" w:ascii="仿宋" w:hAnsi="仿宋" w:eastAsia="仿宋" w:cs="仿宋"/>
                      <w:sz w:val="21"/>
                      <w:szCs w:val="21"/>
                    </w:rPr>
                  </w:pPr>
                </w:p>
              </w:tc>
              <w:tc>
                <w:tcPr>
                  <w:tcW w:w="7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9FDC1F">
                  <w:pPr>
                    <w:rPr>
                      <w:rFonts w:hint="eastAsia" w:ascii="仿宋" w:hAnsi="仿宋" w:eastAsia="仿宋" w:cs="仿宋"/>
                      <w:sz w:val="21"/>
                      <w:szCs w:val="21"/>
                    </w:rPr>
                  </w:pPr>
                </w:p>
              </w:tc>
              <w:tc>
                <w:tcPr>
                  <w:tcW w:w="7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A0504DB">
                  <w:pPr>
                    <w:rPr>
                      <w:rFonts w:hint="eastAsia" w:ascii="仿宋" w:hAnsi="仿宋" w:eastAsia="仿宋" w:cs="仿宋"/>
                      <w:sz w:val="21"/>
                      <w:szCs w:val="21"/>
                    </w:rPr>
                  </w:pPr>
                </w:p>
              </w:tc>
              <w:tc>
                <w:tcPr>
                  <w:tcW w:w="749" w:type="dxa"/>
                  <w:tcBorders>
                    <w:top w:val="single" w:color="000000" w:sz="4" w:space="0"/>
                    <w:left w:val="single" w:color="000000" w:sz="4" w:space="0"/>
                    <w:bottom w:val="single" w:color="000000" w:sz="4" w:space="0"/>
                    <w:right w:val="single" w:color="000000" w:sz="8" w:space="0"/>
                  </w:tcBorders>
                  <w:tcMar>
                    <w:top w:w="0" w:type="dxa"/>
                    <w:left w:w="105" w:type="dxa"/>
                    <w:bottom w:w="0" w:type="dxa"/>
                    <w:right w:w="105" w:type="dxa"/>
                  </w:tcMar>
                  <w:vAlign w:val="top"/>
                </w:tcPr>
                <w:p w14:paraId="499E5379">
                  <w:pPr>
                    <w:rPr>
                      <w:rFonts w:hint="eastAsia" w:ascii="仿宋" w:hAnsi="仿宋" w:eastAsia="仿宋" w:cs="仿宋"/>
                      <w:sz w:val="21"/>
                      <w:szCs w:val="21"/>
                    </w:rPr>
                  </w:pPr>
                </w:p>
              </w:tc>
            </w:tr>
            <w:tr w14:paraId="54F095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tcBorders>
                    <w:top w:val="single" w:color="000000" w:sz="4"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5D634D78">
                  <w:pPr>
                    <w:pStyle w:val="5"/>
                    <w:jc w:val="center"/>
                    <w:rPr>
                      <w:rFonts w:hint="eastAsia" w:ascii="仿宋" w:hAnsi="仿宋" w:eastAsia="仿宋" w:cs="仿宋"/>
                      <w:sz w:val="21"/>
                      <w:szCs w:val="21"/>
                    </w:rPr>
                  </w:pPr>
                  <w:r>
                    <w:rPr>
                      <w:rFonts w:hint="eastAsia" w:ascii="仿宋" w:hAnsi="仿宋" w:eastAsia="仿宋" w:cs="仿宋"/>
                      <w:sz w:val="21"/>
                      <w:szCs w:val="21"/>
                    </w:rPr>
                    <w:t>3</w:t>
                  </w:r>
                </w:p>
              </w:tc>
              <w:tc>
                <w:tcPr>
                  <w:tcW w:w="8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1C62AE9A">
                  <w:pPr>
                    <w:pStyle w:val="5"/>
                    <w:jc w:val="center"/>
                    <w:rPr>
                      <w:rFonts w:hint="eastAsia" w:ascii="仿宋" w:hAnsi="仿宋" w:eastAsia="仿宋" w:cs="仿宋"/>
                      <w:sz w:val="21"/>
                      <w:szCs w:val="21"/>
                    </w:rPr>
                  </w:pPr>
                  <w:r>
                    <w:rPr>
                      <w:rFonts w:hint="eastAsia" w:ascii="仿宋" w:hAnsi="仿宋" w:eastAsia="仿宋" w:cs="仿宋"/>
                      <w:sz w:val="21"/>
                      <w:szCs w:val="21"/>
                    </w:rPr>
                    <w:t>大院秩序</w:t>
                  </w:r>
                </w:p>
              </w:tc>
              <w:tc>
                <w:tcPr>
                  <w:tcW w:w="4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B903EB">
                  <w:pPr>
                    <w:pStyle w:val="5"/>
                    <w:jc w:val="left"/>
                    <w:rPr>
                      <w:rFonts w:hint="eastAsia" w:ascii="仿宋" w:hAnsi="仿宋" w:eastAsia="仿宋" w:cs="仿宋"/>
                      <w:sz w:val="21"/>
                      <w:szCs w:val="21"/>
                    </w:rPr>
                  </w:pPr>
                  <w:r>
                    <w:rPr>
                      <w:rFonts w:hint="eastAsia" w:ascii="仿宋" w:hAnsi="仿宋" w:eastAsia="仿宋" w:cs="仿宋"/>
                      <w:sz w:val="21"/>
                      <w:szCs w:val="21"/>
                    </w:rPr>
                    <w:t>1、大门岗、巡逻岗、办公大楼岗位应24小时值班；（发现未按要求实施者，每人每次扣1分）</w:t>
                  </w:r>
                </w:p>
                <w:p w14:paraId="2692442F">
                  <w:pPr>
                    <w:pStyle w:val="5"/>
                    <w:jc w:val="left"/>
                    <w:rPr>
                      <w:rFonts w:hint="eastAsia" w:ascii="仿宋" w:hAnsi="仿宋" w:eastAsia="仿宋" w:cs="仿宋"/>
                      <w:sz w:val="21"/>
                      <w:szCs w:val="21"/>
                    </w:rPr>
                  </w:pPr>
                  <w:r>
                    <w:rPr>
                      <w:rFonts w:hint="eastAsia" w:ascii="仿宋" w:hAnsi="仿宋" w:eastAsia="仿宋" w:cs="仿宋"/>
                      <w:sz w:val="21"/>
                      <w:szCs w:val="21"/>
                    </w:rPr>
                    <w:t>2、对来访办事人员应礼貌注视，来访人员应实行询问、登记制度；（发现未按要求实施者，每次扣1分）</w:t>
                  </w:r>
                </w:p>
                <w:p w14:paraId="6F29603B">
                  <w:pPr>
                    <w:pStyle w:val="5"/>
                    <w:jc w:val="left"/>
                    <w:rPr>
                      <w:rFonts w:hint="eastAsia" w:ascii="仿宋" w:hAnsi="仿宋" w:eastAsia="仿宋" w:cs="仿宋"/>
                      <w:sz w:val="21"/>
                      <w:szCs w:val="21"/>
                    </w:rPr>
                  </w:pPr>
                  <w:r>
                    <w:rPr>
                      <w:rFonts w:hint="eastAsia" w:ascii="仿宋" w:hAnsi="仿宋" w:eastAsia="仿宋" w:cs="仿宋"/>
                      <w:sz w:val="21"/>
                      <w:szCs w:val="21"/>
                    </w:rPr>
                    <w:t>3、大门岗和车辆指挥岗应对进出大院的货物查验放行条或通过安全保卫部允许同意，经核实才能放行；（发现未按要求实施者，每次扣2分）</w:t>
                  </w:r>
                </w:p>
              </w:tc>
              <w:tc>
                <w:tcPr>
                  <w:tcW w:w="7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69A3DC3">
                  <w:pPr>
                    <w:pStyle w:val="5"/>
                    <w:jc w:val="both"/>
                    <w:rPr>
                      <w:rFonts w:hint="eastAsia" w:ascii="仿宋" w:hAnsi="仿宋" w:eastAsia="仿宋" w:cs="仿宋"/>
                      <w:sz w:val="21"/>
                      <w:szCs w:val="21"/>
                    </w:rPr>
                  </w:pPr>
                </w:p>
              </w:tc>
              <w:tc>
                <w:tcPr>
                  <w:tcW w:w="7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91841C5">
                  <w:pPr>
                    <w:rPr>
                      <w:rFonts w:hint="eastAsia" w:ascii="仿宋" w:hAnsi="仿宋" w:eastAsia="仿宋" w:cs="仿宋"/>
                      <w:sz w:val="21"/>
                      <w:szCs w:val="21"/>
                    </w:rPr>
                  </w:pPr>
                </w:p>
              </w:tc>
              <w:tc>
                <w:tcPr>
                  <w:tcW w:w="7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3660AA">
                  <w:pPr>
                    <w:rPr>
                      <w:rFonts w:hint="eastAsia" w:ascii="仿宋" w:hAnsi="仿宋" w:eastAsia="仿宋" w:cs="仿宋"/>
                      <w:sz w:val="21"/>
                      <w:szCs w:val="21"/>
                    </w:rPr>
                  </w:pPr>
                </w:p>
              </w:tc>
              <w:tc>
                <w:tcPr>
                  <w:tcW w:w="749" w:type="dxa"/>
                  <w:tcBorders>
                    <w:top w:val="single" w:color="000000" w:sz="4" w:space="0"/>
                    <w:left w:val="single" w:color="000000" w:sz="4" w:space="0"/>
                    <w:bottom w:val="single" w:color="000000" w:sz="4" w:space="0"/>
                    <w:right w:val="single" w:color="000000" w:sz="8" w:space="0"/>
                  </w:tcBorders>
                  <w:tcMar>
                    <w:top w:w="0" w:type="dxa"/>
                    <w:left w:w="105" w:type="dxa"/>
                    <w:bottom w:w="0" w:type="dxa"/>
                    <w:right w:w="105" w:type="dxa"/>
                  </w:tcMar>
                  <w:vAlign w:val="top"/>
                </w:tcPr>
                <w:p w14:paraId="0687A2F7">
                  <w:pPr>
                    <w:rPr>
                      <w:rFonts w:hint="eastAsia" w:ascii="仿宋" w:hAnsi="仿宋" w:eastAsia="仿宋" w:cs="仿宋"/>
                      <w:sz w:val="21"/>
                      <w:szCs w:val="21"/>
                    </w:rPr>
                  </w:pPr>
                </w:p>
              </w:tc>
            </w:tr>
            <w:tr w14:paraId="6AEABF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tcBorders>
                    <w:top w:val="single" w:color="000000" w:sz="4"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4C391F33">
                  <w:pPr>
                    <w:pStyle w:val="5"/>
                    <w:jc w:val="center"/>
                    <w:rPr>
                      <w:rFonts w:hint="eastAsia" w:ascii="仿宋" w:hAnsi="仿宋" w:eastAsia="仿宋" w:cs="仿宋"/>
                      <w:sz w:val="21"/>
                      <w:szCs w:val="21"/>
                    </w:rPr>
                  </w:pPr>
                  <w:r>
                    <w:rPr>
                      <w:rFonts w:hint="eastAsia" w:ascii="仿宋" w:hAnsi="仿宋" w:eastAsia="仿宋" w:cs="仿宋"/>
                      <w:sz w:val="21"/>
                      <w:szCs w:val="21"/>
                    </w:rPr>
                    <w:t>4</w:t>
                  </w:r>
                </w:p>
              </w:tc>
              <w:tc>
                <w:tcPr>
                  <w:tcW w:w="8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26FC136C">
                  <w:pPr>
                    <w:pStyle w:val="5"/>
                    <w:jc w:val="center"/>
                    <w:rPr>
                      <w:rFonts w:hint="eastAsia" w:ascii="仿宋" w:hAnsi="仿宋" w:eastAsia="仿宋" w:cs="仿宋"/>
                      <w:sz w:val="21"/>
                      <w:szCs w:val="21"/>
                    </w:rPr>
                  </w:pPr>
                  <w:r>
                    <w:rPr>
                      <w:rFonts w:hint="eastAsia" w:ascii="仿宋" w:hAnsi="仿宋" w:eastAsia="仿宋" w:cs="仿宋"/>
                      <w:sz w:val="21"/>
                      <w:szCs w:val="21"/>
                    </w:rPr>
                    <w:t>巡逻</w:t>
                  </w:r>
                </w:p>
              </w:tc>
              <w:tc>
                <w:tcPr>
                  <w:tcW w:w="4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61D882D">
                  <w:pPr>
                    <w:pStyle w:val="5"/>
                    <w:jc w:val="left"/>
                    <w:rPr>
                      <w:rFonts w:hint="eastAsia" w:ascii="仿宋" w:hAnsi="仿宋" w:eastAsia="仿宋" w:cs="仿宋"/>
                      <w:sz w:val="21"/>
                      <w:szCs w:val="21"/>
                    </w:rPr>
                  </w:pPr>
                  <w:r>
                    <w:rPr>
                      <w:rFonts w:hint="eastAsia" w:ascii="仿宋" w:hAnsi="仿宋" w:eastAsia="仿宋" w:cs="仿宋"/>
                      <w:sz w:val="21"/>
                      <w:szCs w:val="21"/>
                    </w:rPr>
                    <w:t>1、机关大院及相关服务区域公共区域每1小时巡查一遍，并作好相关巡查记录；（发现未按要求实施者，每次扣2分）</w:t>
                  </w:r>
                </w:p>
                <w:p w14:paraId="182AA996">
                  <w:pPr>
                    <w:pStyle w:val="5"/>
                    <w:jc w:val="left"/>
                    <w:rPr>
                      <w:rFonts w:hint="eastAsia" w:ascii="仿宋" w:hAnsi="仿宋" w:eastAsia="仿宋" w:cs="仿宋"/>
                      <w:sz w:val="21"/>
                      <w:szCs w:val="21"/>
                    </w:rPr>
                  </w:pPr>
                  <w:r>
                    <w:rPr>
                      <w:rFonts w:hint="eastAsia" w:ascii="仿宋" w:hAnsi="仿宋" w:eastAsia="仿宋" w:cs="仿宋"/>
                      <w:sz w:val="21"/>
                      <w:szCs w:val="21"/>
                    </w:rPr>
                    <w:t>2、保安员在巡查中，如发现异常情况或安防设施出现故障，应立即报告安全保卫部；（发现未按要求实施者，每次扣2分）</w:t>
                  </w:r>
                </w:p>
                <w:p w14:paraId="0060AF39">
                  <w:pPr>
                    <w:pStyle w:val="5"/>
                    <w:jc w:val="left"/>
                    <w:rPr>
                      <w:rFonts w:hint="eastAsia" w:ascii="仿宋" w:hAnsi="仿宋" w:eastAsia="仿宋" w:cs="仿宋"/>
                      <w:sz w:val="21"/>
                      <w:szCs w:val="21"/>
                    </w:rPr>
                  </w:pPr>
                  <w:r>
                    <w:rPr>
                      <w:rFonts w:hint="eastAsia" w:ascii="仿宋" w:hAnsi="仿宋" w:eastAsia="仿宋" w:cs="仿宋"/>
                      <w:sz w:val="21"/>
                      <w:szCs w:val="21"/>
                    </w:rPr>
                    <w:t>3、巡逻人员应按巡逻路线规范巡逻，发现行人、车辆等安全有异常情况时，应及时处理并报告；（发现未按要求实施者，每次扣2分）</w:t>
                  </w:r>
                </w:p>
                <w:p w14:paraId="2A38C9CE">
                  <w:pPr>
                    <w:pStyle w:val="5"/>
                    <w:jc w:val="left"/>
                    <w:rPr>
                      <w:rFonts w:hint="eastAsia" w:ascii="仿宋" w:hAnsi="仿宋" w:eastAsia="仿宋" w:cs="仿宋"/>
                      <w:sz w:val="21"/>
                      <w:szCs w:val="21"/>
                    </w:rPr>
                  </w:pPr>
                  <w:r>
                    <w:rPr>
                      <w:rFonts w:hint="eastAsia" w:ascii="仿宋" w:hAnsi="仿宋" w:eastAsia="仿宋" w:cs="仿宋"/>
                      <w:sz w:val="21"/>
                      <w:szCs w:val="21"/>
                    </w:rPr>
                    <w:t>4、在遇到安全突发事件时，应及时按照应急程序处理或向安全保卫部报告，同时采取措施尽量减少损失，并协助保护现场。（发现未按要求实施者，每次扣2分）</w:t>
                  </w:r>
                </w:p>
              </w:tc>
              <w:tc>
                <w:tcPr>
                  <w:tcW w:w="7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B70F9E">
                  <w:pPr>
                    <w:pStyle w:val="5"/>
                    <w:jc w:val="both"/>
                    <w:rPr>
                      <w:rFonts w:hint="eastAsia" w:ascii="仿宋" w:hAnsi="仿宋" w:eastAsia="仿宋" w:cs="仿宋"/>
                      <w:sz w:val="21"/>
                      <w:szCs w:val="21"/>
                    </w:rPr>
                  </w:pPr>
                </w:p>
              </w:tc>
              <w:tc>
                <w:tcPr>
                  <w:tcW w:w="7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F34EE8">
                  <w:pPr>
                    <w:rPr>
                      <w:rFonts w:hint="eastAsia" w:ascii="仿宋" w:hAnsi="仿宋" w:eastAsia="仿宋" w:cs="仿宋"/>
                      <w:sz w:val="21"/>
                      <w:szCs w:val="21"/>
                    </w:rPr>
                  </w:pPr>
                </w:p>
              </w:tc>
              <w:tc>
                <w:tcPr>
                  <w:tcW w:w="7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D3432AB">
                  <w:pPr>
                    <w:rPr>
                      <w:rFonts w:hint="eastAsia" w:ascii="仿宋" w:hAnsi="仿宋" w:eastAsia="仿宋" w:cs="仿宋"/>
                      <w:sz w:val="21"/>
                      <w:szCs w:val="21"/>
                    </w:rPr>
                  </w:pPr>
                </w:p>
              </w:tc>
              <w:tc>
                <w:tcPr>
                  <w:tcW w:w="749" w:type="dxa"/>
                  <w:tcBorders>
                    <w:top w:val="single" w:color="000000" w:sz="4" w:space="0"/>
                    <w:left w:val="single" w:color="000000" w:sz="4" w:space="0"/>
                    <w:bottom w:val="single" w:color="000000" w:sz="4" w:space="0"/>
                    <w:right w:val="single" w:color="000000" w:sz="8" w:space="0"/>
                  </w:tcBorders>
                  <w:tcMar>
                    <w:top w:w="0" w:type="dxa"/>
                    <w:left w:w="105" w:type="dxa"/>
                    <w:bottom w:w="0" w:type="dxa"/>
                    <w:right w:w="105" w:type="dxa"/>
                  </w:tcMar>
                  <w:vAlign w:val="top"/>
                </w:tcPr>
                <w:p w14:paraId="4C1243CA">
                  <w:pPr>
                    <w:rPr>
                      <w:rFonts w:hint="eastAsia" w:ascii="仿宋" w:hAnsi="仿宋" w:eastAsia="仿宋" w:cs="仿宋"/>
                      <w:sz w:val="21"/>
                      <w:szCs w:val="21"/>
                    </w:rPr>
                  </w:pPr>
                </w:p>
              </w:tc>
            </w:tr>
            <w:tr w14:paraId="7343A7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tcBorders>
                    <w:top w:val="single" w:color="000000" w:sz="4"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58DB8661">
                  <w:pPr>
                    <w:pStyle w:val="5"/>
                    <w:jc w:val="center"/>
                    <w:rPr>
                      <w:rFonts w:hint="eastAsia" w:ascii="仿宋" w:hAnsi="仿宋" w:eastAsia="仿宋" w:cs="仿宋"/>
                      <w:sz w:val="21"/>
                      <w:szCs w:val="21"/>
                    </w:rPr>
                  </w:pPr>
                  <w:r>
                    <w:rPr>
                      <w:rFonts w:hint="eastAsia" w:ascii="仿宋" w:hAnsi="仿宋" w:eastAsia="仿宋" w:cs="仿宋"/>
                      <w:sz w:val="21"/>
                      <w:szCs w:val="21"/>
                    </w:rPr>
                    <w:t>5</w:t>
                  </w:r>
                </w:p>
              </w:tc>
              <w:tc>
                <w:tcPr>
                  <w:tcW w:w="8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6FA8D798">
                  <w:pPr>
                    <w:pStyle w:val="5"/>
                    <w:jc w:val="center"/>
                    <w:rPr>
                      <w:rFonts w:hint="eastAsia" w:ascii="仿宋" w:hAnsi="仿宋" w:eastAsia="仿宋" w:cs="仿宋"/>
                      <w:sz w:val="21"/>
                      <w:szCs w:val="21"/>
                    </w:rPr>
                  </w:pPr>
                  <w:r>
                    <w:rPr>
                      <w:rFonts w:hint="eastAsia" w:ascii="仿宋" w:hAnsi="仿宋" w:eastAsia="仿宋" w:cs="仿宋"/>
                      <w:sz w:val="21"/>
                      <w:szCs w:val="21"/>
                    </w:rPr>
                    <w:t>车辆通行停放</w:t>
                  </w:r>
                </w:p>
              </w:tc>
              <w:tc>
                <w:tcPr>
                  <w:tcW w:w="4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4E17D73">
                  <w:pPr>
                    <w:pStyle w:val="5"/>
                    <w:jc w:val="left"/>
                    <w:rPr>
                      <w:rFonts w:hint="eastAsia" w:ascii="仿宋" w:hAnsi="仿宋" w:eastAsia="仿宋" w:cs="仿宋"/>
                      <w:sz w:val="21"/>
                      <w:szCs w:val="21"/>
                    </w:rPr>
                  </w:pPr>
                  <w:r>
                    <w:rPr>
                      <w:rFonts w:hint="eastAsia" w:ascii="仿宋" w:hAnsi="仿宋" w:eastAsia="仿宋" w:cs="仿宋"/>
                      <w:sz w:val="21"/>
                      <w:szCs w:val="21"/>
                    </w:rPr>
                    <w:t>1、保安人员应负责维持车辆正常通行秩序。发现车辆未上锁、车窗车门未关应及时进行提醒；发现不按照管理规定停放车辆的行为（包括乱停、乱放等行为），应进行提醒、劝告或纠正；发现不按照管理规定行驶的行为（包括超速行驶、逆向行驶等），应及时制止，并进行提醒、劝告或纠正；发现可疑行为或偷盗车辆、损坏交通标志设施等应及时制止；（发现未按要求实施者，每次扣1分）</w:t>
                  </w:r>
                </w:p>
                <w:p w14:paraId="7F92F9BF">
                  <w:pPr>
                    <w:pStyle w:val="5"/>
                    <w:jc w:val="left"/>
                    <w:rPr>
                      <w:rFonts w:hint="eastAsia" w:ascii="仿宋" w:hAnsi="仿宋" w:eastAsia="仿宋" w:cs="仿宋"/>
                      <w:sz w:val="21"/>
                      <w:szCs w:val="21"/>
                    </w:rPr>
                  </w:pPr>
                  <w:r>
                    <w:rPr>
                      <w:rFonts w:hint="eastAsia" w:ascii="仿宋" w:hAnsi="仿宋" w:eastAsia="仿宋" w:cs="仿宋"/>
                      <w:sz w:val="21"/>
                      <w:szCs w:val="21"/>
                    </w:rPr>
                    <w:t>2、对于未按照规定位置停放的行为，应通知对方把车停好，如车主已离开，并贴上温馨提示，劝告下次注意；（未按要求实施者，每次扣1分）</w:t>
                  </w:r>
                </w:p>
                <w:p w14:paraId="77695665">
                  <w:pPr>
                    <w:pStyle w:val="5"/>
                    <w:jc w:val="left"/>
                    <w:rPr>
                      <w:rFonts w:hint="eastAsia" w:ascii="仿宋" w:hAnsi="仿宋" w:eastAsia="仿宋" w:cs="仿宋"/>
                      <w:sz w:val="21"/>
                      <w:szCs w:val="21"/>
                    </w:rPr>
                  </w:pPr>
                  <w:r>
                    <w:rPr>
                      <w:rFonts w:hint="eastAsia" w:ascii="仿宋" w:hAnsi="仿宋" w:eastAsia="仿宋" w:cs="仿宋"/>
                      <w:sz w:val="21"/>
                      <w:szCs w:val="21"/>
                    </w:rPr>
                    <w:t>3、（1）大门岗维护设备应每天检查1次，有安全隐患的及时报告处理；（2）值班人员应每班注意人员、车辆信息采集器是否正常运行，如有故障，应及时报告安全保卫部，并做好交接班记录；（发现未按要求实施者，每次扣1分）</w:t>
                  </w:r>
                </w:p>
              </w:tc>
              <w:tc>
                <w:tcPr>
                  <w:tcW w:w="7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4E5C34">
                  <w:pPr>
                    <w:pStyle w:val="5"/>
                    <w:jc w:val="both"/>
                    <w:rPr>
                      <w:rFonts w:hint="eastAsia" w:ascii="仿宋" w:hAnsi="仿宋" w:eastAsia="仿宋" w:cs="仿宋"/>
                      <w:sz w:val="21"/>
                      <w:szCs w:val="21"/>
                    </w:rPr>
                  </w:pPr>
                </w:p>
              </w:tc>
              <w:tc>
                <w:tcPr>
                  <w:tcW w:w="7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5D43B2">
                  <w:pPr>
                    <w:rPr>
                      <w:rFonts w:hint="eastAsia" w:ascii="仿宋" w:hAnsi="仿宋" w:eastAsia="仿宋" w:cs="仿宋"/>
                      <w:sz w:val="21"/>
                      <w:szCs w:val="21"/>
                    </w:rPr>
                  </w:pPr>
                </w:p>
              </w:tc>
              <w:tc>
                <w:tcPr>
                  <w:tcW w:w="7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CE88A2C">
                  <w:pPr>
                    <w:rPr>
                      <w:rFonts w:hint="eastAsia" w:ascii="仿宋" w:hAnsi="仿宋" w:eastAsia="仿宋" w:cs="仿宋"/>
                      <w:sz w:val="21"/>
                      <w:szCs w:val="21"/>
                    </w:rPr>
                  </w:pPr>
                </w:p>
              </w:tc>
              <w:tc>
                <w:tcPr>
                  <w:tcW w:w="749" w:type="dxa"/>
                  <w:tcBorders>
                    <w:top w:val="single" w:color="000000" w:sz="4" w:space="0"/>
                    <w:left w:val="single" w:color="000000" w:sz="4" w:space="0"/>
                    <w:bottom w:val="single" w:color="000000" w:sz="4" w:space="0"/>
                    <w:right w:val="single" w:color="000000" w:sz="8" w:space="0"/>
                  </w:tcBorders>
                  <w:tcMar>
                    <w:top w:w="0" w:type="dxa"/>
                    <w:left w:w="105" w:type="dxa"/>
                    <w:bottom w:w="0" w:type="dxa"/>
                    <w:right w:w="105" w:type="dxa"/>
                  </w:tcMar>
                  <w:vAlign w:val="top"/>
                </w:tcPr>
                <w:p w14:paraId="489CE664">
                  <w:pPr>
                    <w:rPr>
                      <w:rFonts w:hint="eastAsia" w:ascii="仿宋" w:hAnsi="仿宋" w:eastAsia="仿宋" w:cs="仿宋"/>
                      <w:sz w:val="21"/>
                      <w:szCs w:val="21"/>
                    </w:rPr>
                  </w:pPr>
                </w:p>
              </w:tc>
            </w:tr>
            <w:tr w14:paraId="097603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tcBorders>
                    <w:top w:val="single" w:color="000000" w:sz="4"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0B995AE2">
                  <w:pPr>
                    <w:pStyle w:val="5"/>
                    <w:jc w:val="center"/>
                    <w:rPr>
                      <w:rFonts w:hint="eastAsia" w:ascii="仿宋" w:hAnsi="仿宋" w:eastAsia="仿宋" w:cs="仿宋"/>
                      <w:sz w:val="21"/>
                      <w:szCs w:val="21"/>
                    </w:rPr>
                  </w:pPr>
                  <w:r>
                    <w:rPr>
                      <w:rFonts w:hint="eastAsia" w:ascii="仿宋" w:hAnsi="仿宋" w:eastAsia="仿宋" w:cs="仿宋"/>
                      <w:sz w:val="21"/>
                      <w:szCs w:val="21"/>
                    </w:rPr>
                    <w:t>6</w:t>
                  </w:r>
                </w:p>
              </w:tc>
              <w:tc>
                <w:tcPr>
                  <w:tcW w:w="8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2D36E1B2">
                  <w:pPr>
                    <w:pStyle w:val="5"/>
                    <w:jc w:val="center"/>
                    <w:rPr>
                      <w:rFonts w:hint="eastAsia" w:ascii="仿宋" w:hAnsi="仿宋" w:eastAsia="仿宋" w:cs="仿宋"/>
                      <w:sz w:val="21"/>
                      <w:szCs w:val="21"/>
                    </w:rPr>
                  </w:pPr>
                  <w:r>
                    <w:rPr>
                      <w:rFonts w:hint="eastAsia" w:ascii="仿宋" w:hAnsi="仿宋" w:eastAsia="仿宋" w:cs="仿宋"/>
                      <w:sz w:val="21"/>
                      <w:szCs w:val="21"/>
                    </w:rPr>
                    <w:t>安全事故管理</w:t>
                  </w:r>
                </w:p>
              </w:tc>
              <w:tc>
                <w:tcPr>
                  <w:tcW w:w="4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8994A3">
                  <w:pPr>
                    <w:pStyle w:val="5"/>
                    <w:jc w:val="left"/>
                    <w:rPr>
                      <w:rFonts w:hint="eastAsia" w:ascii="仿宋" w:hAnsi="仿宋" w:eastAsia="仿宋" w:cs="仿宋"/>
                      <w:sz w:val="21"/>
                      <w:szCs w:val="21"/>
                    </w:rPr>
                  </w:pPr>
                  <w:r>
                    <w:rPr>
                      <w:rFonts w:hint="eastAsia" w:ascii="仿宋" w:hAnsi="仿宋" w:eastAsia="仿宋" w:cs="仿宋"/>
                      <w:sz w:val="21"/>
                      <w:szCs w:val="21"/>
                    </w:rPr>
                    <w:t>1、保安公司应制定安全应急预案；（未按要求实施者扣，5分）</w:t>
                  </w:r>
                </w:p>
                <w:p w14:paraId="5FE09509">
                  <w:pPr>
                    <w:pStyle w:val="5"/>
                    <w:jc w:val="left"/>
                    <w:rPr>
                      <w:rFonts w:hint="eastAsia" w:ascii="仿宋" w:hAnsi="仿宋" w:eastAsia="仿宋" w:cs="仿宋"/>
                      <w:sz w:val="21"/>
                      <w:szCs w:val="21"/>
                    </w:rPr>
                  </w:pPr>
                  <w:r>
                    <w:rPr>
                      <w:rFonts w:hint="eastAsia" w:ascii="仿宋" w:hAnsi="仿宋" w:eastAsia="仿宋" w:cs="仿宋"/>
                      <w:sz w:val="21"/>
                      <w:szCs w:val="21"/>
                    </w:rPr>
                    <w:t>2、保安公司应成立安全应急处置小组，定期进行小组训练或培训。（未按要求实施者，扣5分）</w:t>
                  </w:r>
                </w:p>
              </w:tc>
              <w:tc>
                <w:tcPr>
                  <w:tcW w:w="7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B23CBE">
                  <w:pPr>
                    <w:pStyle w:val="5"/>
                    <w:jc w:val="both"/>
                    <w:rPr>
                      <w:rFonts w:hint="eastAsia" w:ascii="仿宋" w:hAnsi="仿宋" w:eastAsia="仿宋" w:cs="仿宋"/>
                      <w:sz w:val="21"/>
                      <w:szCs w:val="21"/>
                    </w:rPr>
                  </w:pPr>
                </w:p>
              </w:tc>
              <w:tc>
                <w:tcPr>
                  <w:tcW w:w="7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312D244">
                  <w:pPr>
                    <w:rPr>
                      <w:rFonts w:hint="eastAsia" w:ascii="仿宋" w:hAnsi="仿宋" w:eastAsia="仿宋" w:cs="仿宋"/>
                      <w:sz w:val="21"/>
                      <w:szCs w:val="21"/>
                    </w:rPr>
                  </w:pPr>
                </w:p>
              </w:tc>
              <w:tc>
                <w:tcPr>
                  <w:tcW w:w="7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10CCC4">
                  <w:pPr>
                    <w:rPr>
                      <w:rFonts w:hint="eastAsia" w:ascii="仿宋" w:hAnsi="仿宋" w:eastAsia="仿宋" w:cs="仿宋"/>
                      <w:sz w:val="21"/>
                      <w:szCs w:val="21"/>
                    </w:rPr>
                  </w:pPr>
                </w:p>
              </w:tc>
              <w:tc>
                <w:tcPr>
                  <w:tcW w:w="749" w:type="dxa"/>
                  <w:tcBorders>
                    <w:top w:val="single" w:color="000000" w:sz="4" w:space="0"/>
                    <w:left w:val="single" w:color="000000" w:sz="4" w:space="0"/>
                    <w:bottom w:val="single" w:color="000000" w:sz="4" w:space="0"/>
                    <w:right w:val="single" w:color="000000" w:sz="8" w:space="0"/>
                  </w:tcBorders>
                  <w:tcMar>
                    <w:top w:w="0" w:type="dxa"/>
                    <w:left w:w="105" w:type="dxa"/>
                    <w:bottom w:w="0" w:type="dxa"/>
                    <w:right w:w="105" w:type="dxa"/>
                  </w:tcMar>
                  <w:vAlign w:val="top"/>
                </w:tcPr>
                <w:p w14:paraId="452567A4">
                  <w:pPr>
                    <w:rPr>
                      <w:rFonts w:hint="eastAsia" w:ascii="仿宋" w:hAnsi="仿宋" w:eastAsia="仿宋" w:cs="仿宋"/>
                      <w:sz w:val="21"/>
                      <w:szCs w:val="21"/>
                    </w:rPr>
                  </w:pPr>
                </w:p>
              </w:tc>
            </w:tr>
            <w:tr w14:paraId="7EA3AC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tcBorders>
                    <w:top w:val="single" w:color="000000" w:sz="4"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77B9F08E">
                  <w:pPr>
                    <w:pStyle w:val="5"/>
                    <w:jc w:val="center"/>
                    <w:rPr>
                      <w:rFonts w:hint="eastAsia" w:ascii="仿宋" w:hAnsi="仿宋" w:eastAsia="仿宋" w:cs="仿宋"/>
                      <w:sz w:val="21"/>
                      <w:szCs w:val="21"/>
                    </w:rPr>
                  </w:pPr>
                  <w:r>
                    <w:rPr>
                      <w:rFonts w:hint="eastAsia" w:ascii="仿宋" w:hAnsi="仿宋" w:eastAsia="仿宋" w:cs="仿宋"/>
                      <w:sz w:val="21"/>
                      <w:szCs w:val="21"/>
                    </w:rPr>
                    <w:t>7</w:t>
                  </w:r>
                </w:p>
              </w:tc>
              <w:tc>
                <w:tcPr>
                  <w:tcW w:w="8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3A25D8EE">
                  <w:pPr>
                    <w:pStyle w:val="5"/>
                    <w:jc w:val="center"/>
                    <w:rPr>
                      <w:rFonts w:hint="eastAsia" w:ascii="仿宋" w:hAnsi="仿宋" w:eastAsia="仿宋" w:cs="仿宋"/>
                      <w:sz w:val="21"/>
                      <w:szCs w:val="21"/>
                    </w:rPr>
                  </w:pPr>
                  <w:r>
                    <w:rPr>
                      <w:rFonts w:hint="eastAsia" w:ascii="仿宋" w:hAnsi="仿宋" w:eastAsia="仿宋" w:cs="仿宋"/>
                      <w:sz w:val="21"/>
                      <w:szCs w:val="21"/>
                    </w:rPr>
                    <w:t>警务协作</w:t>
                  </w:r>
                </w:p>
              </w:tc>
              <w:tc>
                <w:tcPr>
                  <w:tcW w:w="4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C1C7F3">
                  <w:pPr>
                    <w:pStyle w:val="5"/>
                    <w:jc w:val="left"/>
                    <w:rPr>
                      <w:rFonts w:hint="eastAsia" w:ascii="仿宋" w:hAnsi="仿宋" w:eastAsia="仿宋" w:cs="仿宋"/>
                      <w:sz w:val="21"/>
                      <w:szCs w:val="21"/>
                    </w:rPr>
                  </w:pPr>
                  <w:r>
                    <w:rPr>
                      <w:rFonts w:hint="eastAsia" w:ascii="仿宋" w:hAnsi="仿宋" w:eastAsia="仿宋" w:cs="仿宋"/>
                      <w:sz w:val="21"/>
                      <w:szCs w:val="21"/>
                    </w:rPr>
                    <w:t>协助安全保卫部门做好服务性、安全性工作。（未按要求实施者扣5分）</w:t>
                  </w:r>
                </w:p>
              </w:tc>
              <w:tc>
                <w:tcPr>
                  <w:tcW w:w="7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ED8F92">
                  <w:pPr>
                    <w:pStyle w:val="5"/>
                    <w:jc w:val="both"/>
                    <w:rPr>
                      <w:rFonts w:hint="eastAsia" w:ascii="仿宋" w:hAnsi="仿宋" w:eastAsia="仿宋" w:cs="仿宋"/>
                      <w:sz w:val="21"/>
                      <w:szCs w:val="21"/>
                    </w:rPr>
                  </w:pPr>
                </w:p>
              </w:tc>
              <w:tc>
                <w:tcPr>
                  <w:tcW w:w="7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10B58D8">
                  <w:pPr>
                    <w:rPr>
                      <w:rFonts w:hint="eastAsia" w:ascii="仿宋" w:hAnsi="仿宋" w:eastAsia="仿宋" w:cs="仿宋"/>
                      <w:sz w:val="21"/>
                      <w:szCs w:val="21"/>
                    </w:rPr>
                  </w:pPr>
                </w:p>
              </w:tc>
              <w:tc>
                <w:tcPr>
                  <w:tcW w:w="7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697AA5">
                  <w:pPr>
                    <w:rPr>
                      <w:rFonts w:hint="eastAsia" w:ascii="仿宋" w:hAnsi="仿宋" w:eastAsia="仿宋" w:cs="仿宋"/>
                      <w:sz w:val="21"/>
                      <w:szCs w:val="21"/>
                    </w:rPr>
                  </w:pPr>
                </w:p>
              </w:tc>
              <w:tc>
                <w:tcPr>
                  <w:tcW w:w="749" w:type="dxa"/>
                  <w:tcBorders>
                    <w:top w:val="single" w:color="000000" w:sz="4" w:space="0"/>
                    <w:left w:val="single" w:color="000000" w:sz="4" w:space="0"/>
                    <w:bottom w:val="single" w:color="000000" w:sz="4" w:space="0"/>
                    <w:right w:val="single" w:color="000000" w:sz="8" w:space="0"/>
                  </w:tcBorders>
                  <w:tcMar>
                    <w:top w:w="0" w:type="dxa"/>
                    <w:left w:w="105" w:type="dxa"/>
                    <w:bottom w:w="0" w:type="dxa"/>
                    <w:right w:w="105" w:type="dxa"/>
                  </w:tcMar>
                  <w:vAlign w:val="top"/>
                </w:tcPr>
                <w:p w14:paraId="31CEF212">
                  <w:pPr>
                    <w:rPr>
                      <w:rFonts w:hint="eastAsia" w:ascii="仿宋" w:hAnsi="仿宋" w:eastAsia="仿宋" w:cs="仿宋"/>
                      <w:sz w:val="21"/>
                      <w:szCs w:val="21"/>
                    </w:rPr>
                  </w:pPr>
                </w:p>
              </w:tc>
            </w:tr>
            <w:tr w14:paraId="08C6F6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84" w:type="dxa"/>
                  <w:tcBorders>
                    <w:top w:val="single" w:color="000000" w:sz="4" w:space="0"/>
                    <w:left w:val="single" w:color="000000" w:sz="8" w:space="0"/>
                    <w:bottom w:val="single" w:color="000000" w:sz="4" w:space="0"/>
                    <w:right w:val="single" w:color="000000" w:sz="4" w:space="0"/>
                  </w:tcBorders>
                  <w:tcMar>
                    <w:top w:w="0" w:type="dxa"/>
                    <w:left w:w="105" w:type="dxa"/>
                    <w:bottom w:w="0" w:type="dxa"/>
                    <w:right w:w="105" w:type="dxa"/>
                  </w:tcMar>
                  <w:vAlign w:val="center"/>
                </w:tcPr>
                <w:p w14:paraId="1D815EF2">
                  <w:pPr>
                    <w:pStyle w:val="5"/>
                    <w:jc w:val="center"/>
                    <w:rPr>
                      <w:rFonts w:hint="eastAsia" w:ascii="仿宋" w:hAnsi="仿宋" w:eastAsia="仿宋" w:cs="仿宋"/>
                      <w:sz w:val="21"/>
                      <w:szCs w:val="21"/>
                    </w:rPr>
                  </w:pPr>
                  <w:r>
                    <w:rPr>
                      <w:rFonts w:hint="eastAsia" w:ascii="仿宋" w:hAnsi="仿宋" w:eastAsia="仿宋" w:cs="仿宋"/>
                      <w:sz w:val="21"/>
                      <w:szCs w:val="21"/>
                    </w:rPr>
                    <w:t>8</w:t>
                  </w:r>
                </w:p>
              </w:tc>
              <w:tc>
                <w:tcPr>
                  <w:tcW w:w="8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499B3FDC">
                  <w:pPr>
                    <w:pStyle w:val="5"/>
                    <w:jc w:val="center"/>
                    <w:rPr>
                      <w:rFonts w:hint="eastAsia" w:ascii="仿宋" w:hAnsi="仿宋" w:eastAsia="仿宋" w:cs="仿宋"/>
                      <w:sz w:val="21"/>
                      <w:szCs w:val="21"/>
                    </w:rPr>
                  </w:pPr>
                  <w:r>
                    <w:rPr>
                      <w:rFonts w:hint="eastAsia" w:ascii="仿宋" w:hAnsi="仿宋" w:eastAsia="仿宋" w:cs="仿宋"/>
                      <w:sz w:val="21"/>
                      <w:szCs w:val="21"/>
                    </w:rPr>
                    <w:t>其他</w:t>
                  </w:r>
                </w:p>
              </w:tc>
              <w:tc>
                <w:tcPr>
                  <w:tcW w:w="4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8A8A916">
                  <w:pPr>
                    <w:pStyle w:val="5"/>
                    <w:jc w:val="left"/>
                    <w:rPr>
                      <w:rFonts w:hint="eastAsia" w:ascii="仿宋" w:hAnsi="仿宋" w:eastAsia="仿宋" w:cs="仿宋"/>
                      <w:sz w:val="21"/>
                      <w:szCs w:val="21"/>
                    </w:rPr>
                  </w:pPr>
                  <w:r>
                    <w:rPr>
                      <w:rFonts w:hint="eastAsia" w:ascii="仿宋" w:hAnsi="仿宋" w:eastAsia="仿宋" w:cs="仿宋"/>
                      <w:sz w:val="21"/>
                      <w:szCs w:val="21"/>
                    </w:rPr>
                    <w:t>表中未涵盖的其他扣分情况，需注明扣分原因，每次扣1分。</w:t>
                  </w:r>
                </w:p>
              </w:tc>
              <w:tc>
                <w:tcPr>
                  <w:tcW w:w="73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3591E9E">
                  <w:pPr>
                    <w:pStyle w:val="5"/>
                    <w:jc w:val="both"/>
                    <w:rPr>
                      <w:rFonts w:hint="eastAsia" w:ascii="仿宋" w:hAnsi="仿宋" w:eastAsia="仿宋" w:cs="仿宋"/>
                      <w:sz w:val="21"/>
                      <w:szCs w:val="21"/>
                    </w:rPr>
                  </w:pPr>
                </w:p>
              </w:tc>
              <w:tc>
                <w:tcPr>
                  <w:tcW w:w="7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EE886F">
                  <w:pPr>
                    <w:rPr>
                      <w:rFonts w:hint="eastAsia" w:ascii="仿宋" w:hAnsi="仿宋" w:eastAsia="仿宋" w:cs="仿宋"/>
                      <w:sz w:val="21"/>
                      <w:szCs w:val="21"/>
                    </w:rPr>
                  </w:pPr>
                </w:p>
              </w:tc>
              <w:tc>
                <w:tcPr>
                  <w:tcW w:w="7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4118C5">
                  <w:pPr>
                    <w:rPr>
                      <w:rFonts w:hint="eastAsia" w:ascii="仿宋" w:hAnsi="仿宋" w:eastAsia="仿宋" w:cs="仿宋"/>
                      <w:sz w:val="21"/>
                      <w:szCs w:val="21"/>
                    </w:rPr>
                  </w:pPr>
                </w:p>
              </w:tc>
              <w:tc>
                <w:tcPr>
                  <w:tcW w:w="749" w:type="dxa"/>
                  <w:tcBorders>
                    <w:top w:val="single" w:color="000000" w:sz="4" w:space="0"/>
                    <w:left w:val="single" w:color="000000" w:sz="4" w:space="0"/>
                    <w:bottom w:val="single" w:color="000000" w:sz="4" w:space="0"/>
                    <w:right w:val="single" w:color="000000" w:sz="8" w:space="0"/>
                  </w:tcBorders>
                  <w:tcMar>
                    <w:top w:w="0" w:type="dxa"/>
                    <w:left w:w="105" w:type="dxa"/>
                    <w:bottom w:w="0" w:type="dxa"/>
                    <w:right w:w="105" w:type="dxa"/>
                  </w:tcMar>
                  <w:vAlign w:val="top"/>
                </w:tcPr>
                <w:p w14:paraId="441B1B1E">
                  <w:pPr>
                    <w:rPr>
                      <w:rFonts w:hint="eastAsia" w:ascii="仿宋" w:hAnsi="仿宋" w:eastAsia="仿宋" w:cs="仿宋"/>
                      <w:sz w:val="21"/>
                      <w:szCs w:val="21"/>
                    </w:rPr>
                  </w:pPr>
                </w:p>
              </w:tc>
            </w:tr>
            <w:tr w14:paraId="694E5E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16" w:type="dxa"/>
                  <w:gridSpan w:val="3"/>
                  <w:tcBorders>
                    <w:top w:val="single" w:color="000000" w:sz="4" w:space="0"/>
                    <w:left w:val="single" w:color="000000" w:sz="8" w:space="0"/>
                    <w:bottom w:val="single" w:color="000000" w:sz="8" w:space="0"/>
                    <w:right w:val="single" w:color="000000" w:sz="4" w:space="0"/>
                  </w:tcBorders>
                  <w:tcMar>
                    <w:top w:w="0" w:type="dxa"/>
                    <w:left w:w="105" w:type="dxa"/>
                    <w:bottom w:w="0" w:type="dxa"/>
                    <w:right w:w="105" w:type="dxa"/>
                  </w:tcMar>
                  <w:vAlign w:val="top"/>
                </w:tcPr>
                <w:p w14:paraId="54519570">
                  <w:pPr>
                    <w:pStyle w:val="5"/>
                    <w:jc w:val="center"/>
                    <w:rPr>
                      <w:rFonts w:hint="eastAsia" w:ascii="仿宋" w:hAnsi="仿宋" w:eastAsia="仿宋" w:cs="仿宋"/>
                      <w:sz w:val="21"/>
                      <w:szCs w:val="21"/>
                    </w:rPr>
                  </w:pPr>
                  <w:r>
                    <w:rPr>
                      <w:rFonts w:hint="eastAsia" w:ascii="仿宋" w:hAnsi="仿宋" w:eastAsia="仿宋" w:cs="仿宋"/>
                      <w:sz w:val="21"/>
                      <w:szCs w:val="21"/>
                    </w:rPr>
                    <w:t>综合评分</w:t>
                  </w:r>
                </w:p>
                <w:p w14:paraId="62FC3A12">
                  <w:pPr>
                    <w:pStyle w:val="5"/>
                    <w:jc w:val="center"/>
                    <w:rPr>
                      <w:rFonts w:hint="eastAsia" w:ascii="仿宋" w:hAnsi="仿宋" w:eastAsia="仿宋" w:cs="仿宋"/>
                      <w:sz w:val="21"/>
                      <w:szCs w:val="21"/>
                    </w:rPr>
                  </w:pPr>
                  <w:r>
                    <w:rPr>
                      <w:rFonts w:hint="eastAsia" w:ascii="仿宋" w:hAnsi="仿宋" w:eastAsia="仿宋" w:cs="仿宋"/>
                      <w:sz w:val="21"/>
                      <w:szCs w:val="21"/>
                    </w:rPr>
                    <w:t>（综合评分= 100分 - 扣除分 ）</w:t>
                  </w:r>
                </w:p>
              </w:tc>
              <w:tc>
                <w:tcPr>
                  <w:tcW w:w="3054" w:type="dxa"/>
                  <w:gridSpan w:val="4"/>
                  <w:tcBorders>
                    <w:top w:val="single" w:color="000000" w:sz="4" w:space="0"/>
                    <w:left w:val="single" w:color="000000" w:sz="4" w:space="0"/>
                    <w:bottom w:val="single" w:color="000000" w:sz="8" w:space="0"/>
                    <w:right w:val="single" w:color="000000" w:sz="8" w:space="0"/>
                  </w:tcBorders>
                  <w:tcMar>
                    <w:top w:w="0" w:type="dxa"/>
                    <w:left w:w="105" w:type="dxa"/>
                    <w:bottom w:w="0" w:type="dxa"/>
                    <w:right w:w="105" w:type="dxa"/>
                  </w:tcMar>
                  <w:vAlign w:val="top"/>
                </w:tcPr>
                <w:p w14:paraId="4C77B136">
                  <w:pPr>
                    <w:pStyle w:val="5"/>
                    <w:jc w:val="center"/>
                    <w:rPr>
                      <w:rFonts w:hint="eastAsia" w:ascii="仿宋" w:hAnsi="仿宋" w:eastAsia="仿宋" w:cs="仿宋"/>
                      <w:sz w:val="21"/>
                      <w:szCs w:val="21"/>
                    </w:rPr>
                  </w:pPr>
                </w:p>
              </w:tc>
            </w:tr>
          </w:tbl>
          <w:p w14:paraId="153A0E50">
            <w:pPr>
              <w:pStyle w:val="6"/>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kern w:val="0"/>
                <w:sz w:val="24"/>
                <w:szCs w:val="24"/>
                <w:lang w:val="en-US" w:eastAsia="zh-CN"/>
              </w:rPr>
            </w:pPr>
          </w:p>
        </w:tc>
      </w:tr>
      <w:tr w14:paraId="0A2921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0" w:type="dxa"/>
          </w:tcPr>
          <w:p w14:paraId="4991DB6C">
            <w:pPr>
              <w:pStyle w:val="5"/>
              <w:keepNext w:val="0"/>
              <w:keepLines w:val="0"/>
              <w:pageBreakBefore w:val="0"/>
              <w:kinsoku/>
              <w:wordWrap/>
              <w:overflowPunct/>
              <w:topLinePunct w:val="0"/>
              <w:autoSpaceDE/>
              <w:autoSpaceDN/>
              <w:bidi w:val="0"/>
              <w:adjustRightInd/>
              <w:snapToGrid/>
              <w:spacing w:line="408" w:lineRule="auto"/>
              <w:textAlignment w:val="auto"/>
              <w:rPr>
                <w:rFonts w:hint="eastAsia" w:ascii="仿宋" w:hAnsi="仿宋" w:eastAsia="仿宋" w:cs="仿宋"/>
                <w:sz w:val="24"/>
                <w:szCs w:val="24"/>
              </w:rPr>
            </w:pPr>
            <w:r>
              <w:rPr>
                <w:rFonts w:hint="eastAsia" w:ascii="仿宋" w:hAnsi="仿宋" w:eastAsia="仿宋" w:cs="仿宋"/>
                <w:sz w:val="24"/>
                <w:szCs w:val="24"/>
              </w:rPr>
              <w:t>说明</w:t>
            </w:r>
          </w:p>
        </w:tc>
        <w:tc>
          <w:tcPr>
            <w:tcW w:w="9418" w:type="dxa"/>
            <w:gridSpan w:val="2"/>
          </w:tcPr>
          <w:p w14:paraId="4DD92FA3">
            <w:pPr>
              <w:pStyle w:val="5"/>
              <w:keepNext w:val="0"/>
              <w:keepLines w:val="0"/>
              <w:pageBreakBefore w:val="0"/>
              <w:kinsoku/>
              <w:wordWrap/>
              <w:overflowPunct/>
              <w:topLinePunct w:val="0"/>
              <w:autoSpaceDE/>
              <w:autoSpaceDN/>
              <w:bidi w:val="0"/>
              <w:adjustRightInd/>
              <w:snapToGrid/>
              <w:spacing w:line="408" w:lineRule="auto"/>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打“★”号条款为实质性条款，若有任何一条负偏离或不满足则导致投标无效。 </w:t>
            </w:r>
            <w:r>
              <w:rPr>
                <w:rFonts w:hint="eastAsia" w:ascii="仿宋" w:hAnsi="仿宋" w:eastAsia="仿宋" w:cs="仿宋"/>
                <w:sz w:val="24"/>
                <w:szCs w:val="24"/>
              </w:rPr>
              <w:br w:type="textWrapping"/>
            </w:r>
            <w:r>
              <w:rPr>
                <w:rFonts w:hint="eastAsia" w:ascii="仿宋" w:hAnsi="仿宋" w:eastAsia="仿宋" w:cs="仿宋"/>
                <w:sz w:val="24"/>
                <w:szCs w:val="24"/>
              </w:rPr>
              <w:t>打“▲”号条款为重要技术参数，若有部分“▲”条款未响应或不满足，不作为无效投标条款。</w:t>
            </w:r>
          </w:p>
        </w:tc>
      </w:tr>
    </w:tbl>
    <w:p w14:paraId="62882C3B">
      <w:pPr>
        <w:rPr>
          <w:rFonts w:hint="eastAsia"/>
          <w:sz w:val="28"/>
          <w:szCs w:val="36"/>
          <w:lang w:val="en-US" w:eastAsia="zh-CN"/>
        </w:rPr>
      </w:pPr>
    </w:p>
    <w:p w14:paraId="1A377566">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6AA12E"/>
    <w:multiLevelType w:val="singleLevel"/>
    <w:tmpl w:val="E66AA12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BE2B65"/>
    <w:rsid w:val="45BE2B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rPr>
  </w:style>
  <w:style w:type="paragraph" w:customStyle="1" w:styleId="6">
    <w:name w:val="正文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7">
    <w:name w:val="正文_0_0_0"/>
    <w:qFormat/>
    <w:uiPriority w:val="0"/>
    <w:rPr>
      <w:rFonts w:ascii="Calibri" w:hAnsi="Calibri" w:eastAsia="宋体" w:cs="Times New Roman"/>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2026-06-01T09:20:00Z</dcterms:created>
  <dc:creator>Administrator</dc:creator>
  <cp:lastModifiedBy>Administrator</cp:lastModifiedBy>
  <dcterms:modified xsi:type="dcterms:W3CDTF">2026-06-01T09:23:41Z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4E95AE79460C4BDCB2D355FAB90C26E0_11</vt:lpwstr>
  </property>
  <property fmtid="{D5CDD505-2E9C-101B-9397-08002B2CF9AE}" pid="4" name="KSOTemplateDocerSaveRecord">
    <vt:lpwstr>eyJoZGlkIjoiOTllMWUwMDJlN2Y2M2ExMjVlNzYyOGI3OGIxOWZiYWYiLCJ1c2VySWQiOiI0MTQ4NDc4NjIifQ==</vt:lpwstr>
  </property>
</Properties>
</file>