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B4B17F">
      <w:pPr>
        <w:pStyle w:val="16"/>
        <w:spacing w:line="360" w:lineRule="auto"/>
        <w:jc w:val="center"/>
        <w:rPr>
          <w:rFonts w:hint="eastAsia" w:ascii="宋体" w:hAnsi="宋体" w:eastAsia="宋体" w:cs="宋体"/>
          <w:b/>
          <w:color w:val="auto"/>
          <w:sz w:val="48"/>
          <w:szCs w:val="48"/>
          <w:highlight w:val="none"/>
          <w:lang w:eastAsia="zh-CN"/>
        </w:rPr>
      </w:pPr>
    </w:p>
    <w:p w14:paraId="67E94214">
      <w:pPr>
        <w:pStyle w:val="16"/>
        <w:spacing w:line="360" w:lineRule="auto"/>
        <w:jc w:val="center"/>
        <w:rPr>
          <w:rFonts w:hint="eastAsia" w:ascii="宋体" w:hAnsi="宋体" w:eastAsia="宋体" w:cs="宋体"/>
          <w:b/>
          <w:bCs/>
          <w:color w:val="auto"/>
          <w:sz w:val="60"/>
          <w:szCs w:val="18"/>
          <w:highlight w:val="none"/>
        </w:rPr>
      </w:pPr>
      <w:r>
        <w:rPr>
          <w:rFonts w:hint="eastAsia" w:hAnsi="宋体" w:cs="宋体"/>
          <w:b/>
          <w:color w:val="auto"/>
          <w:kern w:val="2"/>
          <w:sz w:val="60"/>
          <w:szCs w:val="60"/>
          <w:highlight w:val="none"/>
          <w:lang w:val="en-US" w:eastAsia="zh-CN" w:bidi="ar-SA"/>
        </w:rPr>
        <w:t>福贡县2025年高素质农民培育项目（二次）</w:t>
      </w:r>
    </w:p>
    <w:p w14:paraId="0AD338BC">
      <w:pPr>
        <w:rPr>
          <w:rFonts w:hint="eastAsia" w:ascii="宋体" w:hAnsi="宋体" w:eastAsia="宋体" w:cs="宋体"/>
          <w:b/>
          <w:bCs/>
          <w:color w:val="auto"/>
          <w:sz w:val="72"/>
          <w:highlight w:val="none"/>
        </w:rPr>
      </w:pPr>
    </w:p>
    <w:p w14:paraId="7F8DEDE0">
      <w:pPr>
        <w:rPr>
          <w:rFonts w:hint="eastAsia" w:ascii="宋体" w:hAnsi="宋体" w:eastAsia="宋体" w:cs="宋体"/>
          <w:color w:val="auto"/>
          <w:highlight w:val="none"/>
        </w:rPr>
      </w:pPr>
    </w:p>
    <w:p w14:paraId="206E8813">
      <w:pPr>
        <w:pStyle w:val="19"/>
        <w:ind w:left="0" w:leftChars="0" w:firstLine="0" w:firstLineChars="0"/>
        <w:rPr>
          <w:rFonts w:hint="eastAsia" w:ascii="宋体" w:hAnsi="宋体" w:eastAsia="宋体" w:cs="宋体"/>
          <w:color w:val="auto"/>
          <w:highlight w:val="none"/>
        </w:rPr>
      </w:pPr>
    </w:p>
    <w:p w14:paraId="76D71438">
      <w:pPr>
        <w:pStyle w:val="19"/>
        <w:rPr>
          <w:rFonts w:hint="eastAsia" w:ascii="宋体" w:hAnsi="宋体" w:eastAsia="宋体" w:cs="宋体"/>
          <w:color w:val="auto"/>
          <w:highlight w:val="none"/>
        </w:rPr>
      </w:pPr>
    </w:p>
    <w:p w14:paraId="4B950D80">
      <w:pPr>
        <w:pStyle w:val="16"/>
        <w:spacing w:line="360" w:lineRule="auto"/>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竞争性磋商文件</w:t>
      </w:r>
    </w:p>
    <w:p w14:paraId="51047963">
      <w:pPr>
        <w:pStyle w:val="16"/>
        <w:spacing w:line="360" w:lineRule="auto"/>
        <w:jc w:val="both"/>
        <w:rPr>
          <w:rFonts w:hint="eastAsia" w:ascii="宋体" w:hAnsi="宋体" w:eastAsia="宋体" w:cs="宋体"/>
          <w:color w:val="auto"/>
          <w:highlight w:val="none"/>
        </w:rPr>
      </w:pPr>
    </w:p>
    <w:p w14:paraId="5087DB52">
      <w:pPr>
        <w:pStyle w:val="16"/>
        <w:spacing w:line="360" w:lineRule="auto"/>
        <w:jc w:val="center"/>
        <w:rPr>
          <w:rFonts w:hint="eastAsia" w:ascii="宋体" w:hAnsi="宋体" w:eastAsia="宋体" w:cs="宋体"/>
          <w:color w:val="auto"/>
          <w:highlight w:val="none"/>
          <w:lang w:eastAsia="zh-CN"/>
        </w:rPr>
      </w:pPr>
      <w:r>
        <w:rPr>
          <w:rFonts w:hint="eastAsia" w:hAnsi="宋体" w:cs="宋体"/>
          <w:b/>
          <w:bCs/>
          <w:color w:val="auto"/>
          <w:sz w:val="32"/>
          <w:szCs w:val="32"/>
          <w:highlight w:val="none"/>
          <w:lang w:val="en-US" w:eastAsia="zh-CN"/>
        </w:rPr>
        <w:t>招标</w:t>
      </w:r>
      <w:r>
        <w:rPr>
          <w:rFonts w:hint="eastAsia" w:ascii="宋体" w:hAnsi="宋体" w:eastAsia="宋体" w:cs="宋体"/>
          <w:b/>
          <w:bCs/>
          <w:color w:val="auto"/>
          <w:sz w:val="32"/>
          <w:szCs w:val="32"/>
          <w:highlight w:val="none"/>
          <w:lang w:eastAsia="zh-CN"/>
        </w:rPr>
        <w:t>编号：一诺招字[2025]第010号</w:t>
      </w:r>
    </w:p>
    <w:p w14:paraId="5BDED8A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2240" w:firstLineChars="700"/>
        <w:jc w:val="both"/>
      </w:pPr>
      <w:r>
        <w:rPr>
          <w:rFonts w:hint="eastAsia" w:ascii="宋体" w:hAnsi="宋体" w:eastAsia="宋体" w:cs="宋体"/>
          <w:b/>
          <w:bCs/>
          <w:color w:val="auto"/>
          <w:kern w:val="2"/>
          <w:sz w:val="32"/>
          <w:szCs w:val="32"/>
          <w:highlight w:val="none"/>
          <w:lang w:val="en-US" w:eastAsia="zh-CN" w:bidi="ar-SA"/>
        </w:rPr>
        <w:t>项目编号：NJZC2025-C3-00393-YNYN-0001</w:t>
      </w:r>
    </w:p>
    <w:p w14:paraId="386DE8BE">
      <w:pPr>
        <w:ind w:firstLine="2240" w:firstLineChars="700"/>
        <w:rPr>
          <w:rFonts w:hint="eastAsia" w:ascii="宋体" w:hAnsi="宋体" w:eastAsia="宋体" w:cs="宋体"/>
          <w:b/>
          <w:bCs/>
          <w:color w:val="auto"/>
          <w:kern w:val="2"/>
          <w:sz w:val="32"/>
          <w:szCs w:val="32"/>
          <w:highlight w:val="none"/>
          <w:lang w:val="en-US" w:eastAsia="zh-CN" w:bidi="ar-SA"/>
        </w:rPr>
      </w:pPr>
    </w:p>
    <w:p w14:paraId="7133442B">
      <w:pPr>
        <w:rPr>
          <w:rFonts w:hint="eastAsia" w:ascii="宋体" w:hAnsi="宋体" w:eastAsia="宋体" w:cs="宋体"/>
          <w:color w:val="auto"/>
          <w:highlight w:val="none"/>
        </w:rPr>
      </w:pPr>
    </w:p>
    <w:p w14:paraId="2464118F">
      <w:pPr>
        <w:pStyle w:val="16"/>
        <w:spacing w:line="360" w:lineRule="auto"/>
        <w:rPr>
          <w:rFonts w:hint="eastAsia" w:ascii="宋体" w:hAnsi="宋体" w:eastAsia="宋体" w:cs="宋体"/>
          <w:color w:val="auto"/>
          <w:highlight w:val="none"/>
        </w:rPr>
      </w:pPr>
    </w:p>
    <w:p w14:paraId="66DF0112">
      <w:pPr>
        <w:pStyle w:val="16"/>
        <w:spacing w:line="360" w:lineRule="auto"/>
        <w:rPr>
          <w:rFonts w:hint="eastAsia" w:ascii="宋体" w:hAnsi="宋体" w:eastAsia="宋体" w:cs="宋体"/>
          <w:color w:val="auto"/>
          <w:highlight w:val="none"/>
        </w:rPr>
      </w:pPr>
    </w:p>
    <w:p w14:paraId="2B96A690">
      <w:pPr>
        <w:pStyle w:val="16"/>
        <w:spacing w:line="360" w:lineRule="auto"/>
        <w:rPr>
          <w:rFonts w:hint="eastAsia" w:ascii="宋体" w:hAnsi="宋体" w:eastAsia="宋体" w:cs="宋体"/>
          <w:color w:val="auto"/>
          <w:highlight w:val="none"/>
        </w:rPr>
      </w:pPr>
    </w:p>
    <w:p w14:paraId="2F7E3445">
      <w:pPr>
        <w:pStyle w:val="16"/>
        <w:spacing w:line="360" w:lineRule="auto"/>
        <w:rPr>
          <w:rFonts w:hint="eastAsia" w:ascii="宋体" w:hAnsi="宋体" w:eastAsia="宋体" w:cs="宋体"/>
          <w:color w:val="auto"/>
          <w:highlight w:val="none"/>
        </w:rPr>
      </w:pPr>
    </w:p>
    <w:tbl>
      <w:tblPr>
        <w:tblStyle w:val="35"/>
        <w:tblW w:w="7419" w:type="dxa"/>
        <w:jc w:val="center"/>
        <w:tblLayout w:type="fixed"/>
        <w:tblCellMar>
          <w:top w:w="0" w:type="dxa"/>
          <w:left w:w="108" w:type="dxa"/>
          <w:bottom w:w="0" w:type="dxa"/>
          <w:right w:w="108" w:type="dxa"/>
        </w:tblCellMar>
      </w:tblPr>
      <w:tblGrid>
        <w:gridCol w:w="2568"/>
        <w:gridCol w:w="4851"/>
      </w:tblGrid>
      <w:tr w14:paraId="75D8A2EE">
        <w:tblPrEx>
          <w:tblCellMar>
            <w:top w:w="0" w:type="dxa"/>
            <w:left w:w="108" w:type="dxa"/>
            <w:bottom w:w="0" w:type="dxa"/>
            <w:right w:w="108" w:type="dxa"/>
          </w:tblCellMar>
        </w:tblPrEx>
        <w:trPr>
          <w:trHeight w:val="819" w:hRule="atLeast"/>
          <w:jc w:val="center"/>
        </w:trPr>
        <w:tc>
          <w:tcPr>
            <w:tcW w:w="2568" w:type="dxa"/>
            <w:noWrap w:val="0"/>
            <w:vAlign w:val="center"/>
          </w:tcPr>
          <w:p w14:paraId="0C21BF09">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spacing w:val="241"/>
                <w:kern w:val="0"/>
                <w:sz w:val="32"/>
                <w:szCs w:val="32"/>
                <w:highlight w:val="none"/>
                <w:fitText w:val="1926" w:id="314795281"/>
              </w:rPr>
              <w:t>采购</w:t>
            </w:r>
            <w:r>
              <w:rPr>
                <w:rFonts w:hint="eastAsia" w:ascii="宋体" w:hAnsi="宋体" w:eastAsia="宋体" w:cs="宋体"/>
                <w:b/>
                <w:bCs/>
                <w:color w:val="auto"/>
                <w:spacing w:val="1"/>
                <w:kern w:val="0"/>
                <w:sz w:val="32"/>
                <w:szCs w:val="32"/>
                <w:highlight w:val="none"/>
                <w:fitText w:val="1926" w:id="314795281"/>
              </w:rPr>
              <w:t>人</w:t>
            </w:r>
            <w:r>
              <w:rPr>
                <w:rFonts w:hint="eastAsia" w:ascii="宋体" w:hAnsi="宋体" w:eastAsia="宋体" w:cs="宋体"/>
                <w:b/>
                <w:bCs/>
                <w:color w:val="auto"/>
                <w:sz w:val="32"/>
                <w:szCs w:val="32"/>
                <w:highlight w:val="none"/>
              </w:rPr>
              <w:t>：</w:t>
            </w:r>
          </w:p>
        </w:tc>
        <w:tc>
          <w:tcPr>
            <w:tcW w:w="4851" w:type="dxa"/>
            <w:noWrap w:val="0"/>
            <w:vAlign w:val="center"/>
          </w:tcPr>
          <w:p w14:paraId="15BCED34">
            <w:pPr>
              <w:adjustRightInd w:val="0"/>
              <w:snapToGrid w:val="0"/>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福贡县农业农村局</w:t>
            </w:r>
          </w:p>
        </w:tc>
      </w:tr>
      <w:tr w14:paraId="31018E86">
        <w:tblPrEx>
          <w:tblCellMar>
            <w:top w:w="0" w:type="dxa"/>
            <w:left w:w="108" w:type="dxa"/>
            <w:bottom w:w="0" w:type="dxa"/>
            <w:right w:w="108" w:type="dxa"/>
          </w:tblCellMar>
        </w:tblPrEx>
        <w:trPr>
          <w:trHeight w:val="819" w:hRule="atLeast"/>
          <w:jc w:val="center"/>
        </w:trPr>
        <w:tc>
          <w:tcPr>
            <w:tcW w:w="2568" w:type="dxa"/>
            <w:noWrap w:val="0"/>
            <w:vAlign w:val="center"/>
          </w:tcPr>
          <w:p w14:paraId="7A27DC2A">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spacing w:val="0"/>
                <w:kern w:val="0"/>
                <w:sz w:val="32"/>
                <w:szCs w:val="32"/>
                <w:highlight w:val="none"/>
                <w:fitText w:val="1926" w:id="1313088077"/>
              </w:rPr>
              <w:t>采购代理机构</w:t>
            </w:r>
            <w:r>
              <w:rPr>
                <w:rFonts w:hint="eastAsia" w:ascii="宋体" w:hAnsi="宋体" w:eastAsia="宋体" w:cs="宋体"/>
                <w:b/>
                <w:bCs/>
                <w:color w:val="auto"/>
                <w:sz w:val="32"/>
                <w:szCs w:val="32"/>
                <w:highlight w:val="none"/>
              </w:rPr>
              <w:t>：</w:t>
            </w:r>
          </w:p>
        </w:tc>
        <w:tc>
          <w:tcPr>
            <w:tcW w:w="4851" w:type="dxa"/>
            <w:noWrap w:val="0"/>
            <w:vAlign w:val="center"/>
          </w:tcPr>
          <w:p w14:paraId="06C1F771">
            <w:pPr>
              <w:adjustRightInd w:val="0"/>
              <w:snapToGrid w:val="0"/>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云南一诺工程咨询管理有限公司</w:t>
            </w:r>
          </w:p>
        </w:tc>
      </w:tr>
      <w:tr w14:paraId="090C78D7">
        <w:tblPrEx>
          <w:tblCellMar>
            <w:top w:w="0" w:type="dxa"/>
            <w:left w:w="108" w:type="dxa"/>
            <w:bottom w:w="0" w:type="dxa"/>
            <w:right w:w="108" w:type="dxa"/>
          </w:tblCellMar>
        </w:tblPrEx>
        <w:trPr>
          <w:trHeight w:val="819" w:hRule="atLeast"/>
          <w:jc w:val="center"/>
        </w:trPr>
        <w:tc>
          <w:tcPr>
            <w:tcW w:w="2568" w:type="dxa"/>
            <w:noWrap w:val="0"/>
            <w:vAlign w:val="center"/>
          </w:tcPr>
          <w:p w14:paraId="37DD78DC">
            <w:pPr>
              <w:adjustRightInd w:val="0"/>
              <w:snapToGrid w:val="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pacing w:val="643"/>
                <w:kern w:val="0"/>
                <w:sz w:val="32"/>
                <w:szCs w:val="32"/>
                <w:highlight w:val="none"/>
                <w:fitText w:val="1926" w:id="1330187599"/>
              </w:rPr>
              <w:t>日</w:t>
            </w:r>
            <w:r>
              <w:rPr>
                <w:rFonts w:hint="eastAsia" w:ascii="宋体" w:hAnsi="宋体" w:eastAsia="宋体" w:cs="宋体"/>
                <w:b/>
                <w:bCs/>
                <w:color w:val="auto"/>
                <w:spacing w:val="0"/>
                <w:kern w:val="0"/>
                <w:sz w:val="32"/>
                <w:szCs w:val="32"/>
                <w:highlight w:val="none"/>
                <w:fitText w:val="1926" w:id="1330187599"/>
              </w:rPr>
              <w:t>期</w:t>
            </w:r>
            <w:r>
              <w:rPr>
                <w:rFonts w:hint="eastAsia" w:ascii="宋体" w:hAnsi="宋体" w:eastAsia="宋体" w:cs="宋体"/>
                <w:b/>
                <w:bCs/>
                <w:color w:val="auto"/>
                <w:sz w:val="32"/>
                <w:szCs w:val="32"/>
                <w:highlight w:val="none"/>
              </w:rPr>
              <w:t>：</w:t>
            </w:r>
          </w:p>
        </w:tc>
        <w:tc>
          <w:tcPr>
            <w:tcW w:w="4851" w:type="dxa"/>
            <w:noWrap w:val="0"/>
            <w:vAlign w:val="center"/>
          </w:tcPr>
          <w:p w14:paraId="48BFFF2F">
            <w:pPr>
              <w:adjustRightInd w:val="0"/>
              <w:snapToGrid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202</w:t>
            </w:r>
            <w:r>
              <w:rPr>
                <w:rFonts w:hint="eastAsia" w:ascii="宋体" w:hAnsi="宋体" w:cs="宋体"/>
                <w:b/>
                <w:bCs/>
                <w:color w:val="auto"/>
                <w:sz w:val="32"/>
                <w:szCs w:val="32"/>
                <w:highlight w:val="none"/>
                <w:lang w:val="en-US" w:eastAsia="zh-CN"/>
              </w:rPr>
              <w:t>5</w:t>
            </w:r>
            <w:r>
              <w:rPr>
                <w:rFonts w:hint="eastAsia" w:ascii="宋体" w:hAnsi="宋体" w:eastAsia="宋体" w:cs="宋体"/>
                <w:b/>
                <w:bCs/>
                <w:color w:val="auto"/>
                <w:sz w:val="32"/>
                <w:szCs w:val="32"/>
                <w:highlight w:val="none"/>
              </w:rPr>
              <w:t>年</w:t>
            </w:r>
            <w:r>
              <w:rPr>
                <w:rFonts w:hint="eastAsia" w:ascii="宋体" w:hAnsi="宋体" w:cs="宋体"/>
                <w:b/>
                <w:bCs/>
                <w:color w:val="auto"/>
                <w:sz w:val="32"/>
                <w:szCs w:val="32"/>
                <w:highlight w:val="none"/>
                <w:lang w:val="en-US" w:eastAsia="zh-CN"/>
              </w:rPr>
              <w:t>09</w:t>
            </w:r>
            <w:r>
              <w:rPr>
                <w:rFonts w:hint="eastAsia" w:ascii="宋体" w:hAnsi="宋体" w:eastAsia="宋体" w:cs="宋体"/>
                <w:b/>
                <w:bCs/>
                <w:color w:val="auto"/>
                <w:sz w:val="32"/>
                <w:szCs w:val="32"/>
                <w:highlight w:val="none"/>
              </w:rPr>
              <w:t>月</w:t>
            </w:r>
          </w:p>
        </w:tc>
      </w:tr>
    </w:tbl>
    <w:p w14:paraId="38DF447C">
      <w:pPr>
        <w:pStyle w:val="16"/>
        <w:spacing w:line="360" w:lineRule="auto"/>
        <w:jc w:val="center"/>
        <w:rPr>
          <w:rFonts w:hint="eastAsia" w:ascii="宋体" w:hAnsi="宋体" w:eastAsia="宋体" w:cs="宋体"/>
          <w:b/>
          <w:color w:val="auto"/>
          <w:sz w:val="44"/>
          <w:highlight w:val="none"/>
        </w:rPr>
        <w:sectPr>
          <w:headerReference r:id="rId4" w:type="first"/>
          <w:footerReference r:id="rId5" w:type="default"/>
          <w:headerReference r:id="rId3" w:type="even"/>
          <w:footerReference r:id="rId6" w:type="even"/>
          <w:pgSz w:w="11906" w:h="16838"/>
          <w:pgMar w:top="1134" w:right="1134" w:bottom="1134" w:left="1134" w:header="779" w:footer="720" w:gutter="0"/>
          <w:pgNumType w:fmt="upperRoman" w:start="0"/>
          <w:cols w:space="720" w:num="1"/>
          <w:titlePg/>
          <w:rtlGutter w:val="0"/>
          <w:docGrid w:type="linesAndChars" w:linePitch="331" w:charSpace="0"/>
        </w:sectPr>
      </w:pPr>
    </w:p>
    <w:p w14:paraId="2CCC16FE">
      <w:pPr>
        <w:pStyle w:val="16"/>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目  录</w:t>
      </w:r>
    </w:p>
    <w:p w14:paraId="2D145685">
      <w:pPr>
        <w:pStyle w:val="23"/>
        <w:tabs>
          <w:tab w:val="right" w:leader="dot" w:pos="9643"/>
        </w:tabs>
        <w:spacing w:line="240" w:lineRule="auto"/>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aps w:val="0"/>
          <w:smallCaps/>
          <w:color w:val="auto"/>
          <w:sz w:val="24"/>
          <w:szCs w:val="24"/>
          <w:highlight w:val="none"/>
        </w:rPr>
        <w:fldChar w:fldCharType="begin"/>
      </w:r>
      <w:r>
        <w:rPr>
          <w:rFonts w:hint="eastAsia" w:ascii="宋体" w:hAnsi="宋体" w:eastAsia="宋体" w:cs="宋体"/>
          <w:b w:val="0"/>
          <w:bCs w:val="0"/>
          <w:i w:val="0"/>
          <w:iCs w:val="0"/>
          <w:caps w:val="0"/>
          <w:smallCaps/>
          <w:color w:val="auto"/>
          <w:sz w:val="24"/>
          <w:szCs w:val="24"/>
          <w:highlight w:val="none"/>
        </w:rPr>
        <w:instrText xml:space="preserve"> TOC \o "1-3" \h \z \u </w:instrText>
      </w:r>
      <w:r>
        <w:rPr>
          <w:rFonts w:hint="eastAsia" w:ascii="宋体" w:hAnsi="宋体" w:eastAsia="宋体" w:cs="宋体"/>
          <w:b w:val="0"/>
          <w:bCs w:val="0"/>
          <w:i w:val="0"/>
          <w:iCs w:val="0"/>
          <w:caps w:val="0"/>
          <w:smallCaps/>
          <w:color w:val="auto"/>
          <w:sz w:val="24"/>
          <w:szCs w:val="24"/>
          <w:highlight w:val="none"/>
        </w:rPr>
        <w:fldChar w:fldCharType="separate"/>
      </w:r>
      <w:r>
        <w:rPr>
          <w:rFonts w:hint="eastAsia" w:ascii="宋体" w:hAnsi="宋体" w:eastAsia="宋体" w:cs="宋体"/>
          <w:bCs w:val="0"/>
          <w:i w:val="0"/>
          <w:iCs w:val="0"/>
          <w:caps w:val="0"/>
          <w:smallCaps/>
          <w:color w:val="auto"/>
          <w:sz w:val="24"/>
          <w:szCs w:val="24"/>
          <w:highlight w:val="none"/>
        </w:rPr>
        <w:fldChar w:fldCharType="begin"/>
      </w:r>
      <w:r>
        <w:rPr>
          <w:rFonts w:hint="eastAsia" w:ascii="宋体" w:hAnsi="宋体" w:eastAsia="宋体" w:cs="宋体"/>
          <w:bCs w:val="0"/>
          <w:i w:val="0"/>
          <w:iCs w:val="0"/>
          <w:caps w:val="0"/>
          <w:smallCaps/>
          <w:color w:val="auto"/>
          <w:sz w:val="24"/>
          <w:szCs w:val="24"/>
          <w:highlight w:val="none"/>
        </w:rPr>
        <w:instrText xml:space="preserve"> HYPERLINK \l _Toc16829 </w:instrText>
      </w:r>
      <w:r>
        <w:rPr>
          <w:rFonts w:hint="eastAsia" w:ascii="宋体" w:hAnsi="宋体" w:eastAsia="宋体" w:cs="宋体"/>
          <w:bCs w:val="0"/>
          <w:i w:val="0"/>
          <w:iCs w:val="0"/>
          <w:caps w:val="0"/>
          <w:smallCaps/>
          <w:color w:val="auto"/>
          <w:sz w:val="24"/>
          <w:szCs w:val="24"/>
          <w:highlight w:val="none"/>
        </w:rPr>
        <w:fldChar w:fldCharType="separate"/>
      </w:r>
      <w:r>
        <w:rPr>
          <w:rFonts w:hint="eastAsia" w:ascii="宋体" w:hAnsi="宋体" w:eastAsia="宋体" w:cs="宋体"/>
          <w:i w:val="0"/>
          <w:iCs w:val="0"/>
          <w:color w:val="auto"/>
          <w:sz w:val="24"/>
          <w:szCs w:val="24"/>
          <w:highlight w:val="none"/>
        </w:rPr>
        <w:t>第一章  竞争性磋商公告</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_Toc16829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val="0"/>
          <w:i w:val="0"/>
          <w:iCs w:val="0"/>
          <w:caps w:val="0"/>
          <w:smallCaps/>
          <w:color w:val="auto"/>
          <w:sz w:val="24"/>
          <w:szCs w:val="24"/>
          <w:highlight w:val="none"/>
        </w:rPr>
        <w:fldChar w:fldCharType="end"/>
      </w:r>
    </w:p>
    <w:p w14:paraId="5B91D469">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_Toc27333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一、项目基本情况</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_Toc27333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043B5587">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_Toc1267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二、</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资格要求：</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_Toc1267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27934F76">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_Toc18441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三、获取采购文件</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_Toc18441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5399A862">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_Toc5529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四、响应文件提交</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_Toc5529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0E567BF6">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_Toc17762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五、开启</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_Toc17762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02DBB0C7">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_Toc5581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六、公告期限</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_Toc5581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64525284">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_Toc18857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七、其他补充事宜</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_Toc18857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4E2F029A">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_Toc12654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八、凡对本次采购提出询问，请按以下方式联系。</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_Toc12654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5</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20CFC1ED">
      <w:pPr>
        <w:pStyle w:val="23"/>
        <w:tabs>
          <w:tab w:val="right" w:leader="dot" w:pos="9643"/>
        </w:tabs>
        <w:spacing w:line="240" w:lineRule="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_Toc22532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第二章  供应商须知</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_Toc22532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6</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533F7FB8">
      <w:pPr>
        <w:pStyle w:val="27"/>
        <w:tabs>
          <w:tab w:val="right" w:leader="dot" w:pos="9643"/>
        </w:tabs>
        <w:spacing w:line="240" w:lineRule="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_Toc21188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供应商须知前附表</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_Toc21188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6</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39BF2636">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_Toc15977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一、总  则</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_Toc15977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9</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7026C9AF">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_Toc12663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1. 项目概况</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_Toc12663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9</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5BBE04C6">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_Toc6475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2. 资金来源</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_Toc6475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9</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48C73819">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_Toc13833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3. 磋商范围</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_Toc13833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9</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06E15A2F">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_Toc23949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4. 合格的供应商</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_Toc23949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9</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29DC1E95">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_Toc15996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5. 磋商费用</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_Toc15996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9</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6C2E7C71">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_Toc25390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6. 质疑</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_Toc25390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9</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1612CAC9">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_Toc29897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7. 投诉</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_Toc29897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10</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13603910">
      <w:pPr>
        <w:pStyle w:val="27"/>
        <w:tabs>
          <w:tab w:val="right" w:leader="dot" w:pos="9643"/>
        </w:tabs>
        <w:spacing w:line="240" w:lineRule="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_Toc32340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二、竞争性磋商文件</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_Toc32340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10</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4AF77D57">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_Toc11849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8. 竞争性磋商文件构成</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_Toc11849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10</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23DE9A6E">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_Toc24986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9. 竞争性磋商文件的澄清</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_Toc24986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11</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6ED8092F">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_Toc17226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10. 竞争性磋商文件的修改</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_Toc17226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11</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6B19B387">
      <w:pPr>
        <w:pStyle w:val="27"/>
        <w:tabs>
          <w:tab w:val="right" w:leader="dot" w:pos="9643"/>
        </w:tabs>
        <w:spacing w:line="240" w:lineRule="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_Toc7109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三、响应文件的编制</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_Toc7109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11</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043F4049">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_Toc2144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11. 响应文件编写注意事项</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_Toc2144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11</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4EAB858E">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_Toc21595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12. 磋商的语言及计量单位</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_Toc21595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11</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2E4DB2BB">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_Toc7990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13. 响应文件构成</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_Toc7990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11</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3B97057D">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_Toc17835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14. 磋商报价</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_Toc17835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11</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7179F4AA">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_Toc17131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15. 磋商货币</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_Toc17131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12</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2A389701">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_Toc10304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16. 磋商有效期</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_Toc10304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12</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055F7F60">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_Toc5175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17. 磋商保证金</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_Toc5175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12</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2C795C22">
      <w:pPr>
        <w:pStyle w:val="27"/>
        <w:tabs>
          <w:tab w:val="right" w:leader="dot" w:pos="9643"/>
        </w:tabs>
        <w:spacing w:line="240" w:lineRule="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_Toc8927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四、响应文件的提交</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_Toc8927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12</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77FCC523">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_Toc19444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18. 响应文件的密封、标记与提交</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_Toc19444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12</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0789A55B">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_Toc11130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19. 提交响应文件的截止时间和地点</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_Toc11130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13</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44B678F4">
      <w:pPr>
        <w:pStyle w:val="27"/>
        <w:tabs>
          <w:tab w:val="right" w:leader="dot" w:pos="9643"/>
        </w:tabs>
        <w:spacing w:line="240" w:lineRule="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_Toc11971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五、磋商</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_Toc11971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13</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0A6B973B">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_Toc26821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20. 磋商</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_Toc26821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13</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72EDAC61">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_Toc13016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21. 磋商过程的保密</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_Toc13016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13</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20E007D6">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_Toc24902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22. 供应商存在下列情况之一的，磋商无效：</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_Toc24902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14</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469A8118">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_Toc4410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23. 有下列情形之一的，视为供应商串通磋商，其磋商无效：</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_Toc4410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14</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4090D8D9">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_Toc27673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24. 在磋商采购中，出现下列情形之一的，应予废标：</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_Toc27673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14</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581790E8">
      <w:pPr>
        <w:pStyle w:val="27"/>
        <w:tabs>
          <w:tab w:val="right" w:leader="dot" w:pos="9643"/>
        </w:tabs>
        <w:spacing w:line="240" w:lineRule="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_Toc1529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六、成交结果</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_Toc1529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14</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0917AE85">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_Toc14540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25. 成交人的确定</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_Toc14540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14</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65ABCC12">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_Toc24366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26. 签订合同</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_Toc24366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14</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7AFD51AA">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_Toc12012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27. 履约保证金</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_Toc12012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15</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2B2537B8">
      <w:pPr>
        <w:pStyle w:val="27"/>
        <w:tabs>
          <w:tab w:val="right" w:leader="dot" w:pos="9643"/>
        </w:tabs>
        <w:spacing w:line="240" w:lineRule="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_Toc14516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七、其他事项</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_Toc14516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15</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714F8059">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_Toc11078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28. 采购代理服务费</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_Toc11078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15</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5C324126">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_Toc29441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29. 解释权</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_Toc29441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15</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4FB8E06E">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_Toc4073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30. 需要补充的其他内容</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_Toc4073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15</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00AF5642">
      <w:pPr>
        <w:pStyle w:val="23"/>
        <w:tabs>
          <w:tab w:val="right" w:leader="dot" w:pos="9643"/>
        </w:tabs>
        <w:spacing w:line="240" w:lineRule="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_Toc9619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第三章  合同书样式及主要条款</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_Toc9619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16</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4348B5B5">
      <w:pPr>
        <w:pStyle w:val="23"/>
        <w:tabs>
          <w:tab w:val="right" w:leader="dot" w:pos="9643"/>
        </w:tabs>
        <w:spacing w:line="240" w:lineRule="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_Toc1380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lang w:val="en-US" w:eastAsia="zh-CN"/>
        </w:rPr>
        <w:t>第四章</w:t>
      </w:r>
      <w:r>
        <w:rPr>
          <w:rFonts w:hint="eastAsia" w:ascii="宋体" w:hAnsi="宋体" w:eastAsia="宋体" w:cs="宋体"/>
          <w:i w:val="0"/>
          <w:iCs w:val="0"/>
          <w:color w:val="auto"/>
          <w:sz w:val="24"/>
          <w:szCs w:val="24"/>
          <w:highlight w:val="none"/>
        </w:rPr>
        <w:t xml:space="preserve"> 响应文件格式</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_Toc1380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21</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097904F8">
      <w:pPr>
        <w:pStyle w:val="27"/>
        <w:tabs>
          <w:tab w:val="right" w:leader="dot" w:pos="9643"/>
        </w:tabs>
        <w:spacing w:line="240" w:lineRule="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aps/>
          <w:smallCaps w:val="0"/>
          <w:color w:val="auto"/>
          <w:sz w:val="24"/>
          <w:szCs w:val="24"/>
          <w:highlight w:val="none"/>
        </w:rPr>
        <w:fldChar w:fldCharType="begin"/>
      </w:r>
      <w:r>
        <w:rPr>
          <w:rFonts w:hint="eastAsia" w:ascii="宋体" w:hAnsi="宋体" w:eastAsia="宋体" w:cs="宋体"/>
          <w:b/>
          <w:bCs/>
          <w:i w:val="0"/>
          <w:iCs w:val="0"/>
          <w:caps/>
          <w:smallCaps w:val="0"/>
          <w:color w:val="auto"/>
          <w:sz w:val="24"/>
          <w:szCs w:val="24"/>
          <w:highlight w:val="none"/>
        </w:rPr>
        <w:instrText xml:space="preserve"> HYPERLINK \l _Toc4534 </w:instrText>
      </w:r>
      <w:r>
        <w:rPr>
          <w:rFonts w:hint="eastAsia" w:ascii="宋体" w:hAnsi="宋体" w:eastAsia="宋体" w:cs="宋体"/>
          <w:b/>
          <w:bCs/>
          <w:i w:val="0"/>
          <w:iCs w:val="0"/>
          <w:caps/>
          <w:smallCap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一、资格审查部分格式</w:t>
      </w:r>
      <w:r>
        <w:rPr>
          <w:rFonts w:hint="eastAsia" w:ascii="宋体" w:hAnsi="宋体" w:eastAsia="宋体" w:cs="宋体"/>
          <w:b/>
          <w:bCs/>
          <w:i w:val="0"/>
          <w:iCs w:val="0"/>
          <w:color w:val="auto"/>
          <w:sz w:val="24"/>
          <w:szCs w:val="24"/>
          <w:highlight w:val="none"/>
        </w:rPr>
        <w:tab/>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PAGEREF _Toc4534 \h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23</w:t>
      </w:r>
      <w:r>
        <w:rPr>
          <w:rFonts w:hint="eastAsia" w:ascii="宋体" w:hAnsi="宋体" w:eastAsia="宋体" w:cs="宋体"/>
          <w:b/>
          <w:bCs/>
          <w:i w:val="0"/>
          <w:iCs w:val="0"/>
          <w:color w:val="auto"/>
          <w:sz w:val="24"/>
          <w:szCs w:val="24"/>
          <w:highlight w:val="none"/>
        </w:rPr>
        <w:fldChar w:fldCharType="end"/>
      </w:r>
      <w:r>
        <w:rPr>
          <w:rFonts w:hint="eastAsia" w:ascii="宋体" w:hAnsi="宋体" w:eastAsia="宋体" w:cs="宋体"/>
          <w:b/>
          <w:bCs/>
          <w:i w:val="0"/>
          <w:iCs w:val="0"/>
          <w:caps/>
          <w:smallCaps w:val="0"/>
          <w:color w:val="auto"/>
          <w:sz w:val="24"/>
          <w:szCs w:val="24"/>
          <w:highlight w:val="none"/>
        </w:rPr>
        <w:fldChar w:fldCharType="end"/>
      </w:r>
    </w:p>
    <w:p w14:paraId="5296E520">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_Toc32477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eastAsia="zh-CN"/>
        </w:rPr>
        <w:t>一</w:t>
      </w:r>
      <w:r>
        <w:rPr>
          <w:rFonts w:hint="eastAsia" w:ascii="宋体" w:hAnsi="宋体" w:eastAsia="宋体" w:cs="宋体"/>
          <w:i w:val="0"/>
          <w:iCs w:val="0"/>
          <w:color w:val="auto"/>
          <w:sz w:val="24"/>
          <w:szCs w:val="24"/>
          <w:highlight w:val="none"/>
        </w:rPr>
        <w:t>）具有独立承担民事责任的能力</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_Toc32477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24</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74D7CC4B">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_Toc195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（二）具有良好的商业信誉和健全的财务会计制度</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_Toc195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28</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493D9310">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_Toc24559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（三）具有履行合同所必需的设备和专业技术能力</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_Toc24559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29</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37647306">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_Toc4353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（四）有依法缴纳税收和社会保障资金的良好记录</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_Toc4353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30</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46729D42">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_Toc23159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lang w:val="en-US" w:eastAsia="zh-CN"/>
        </w:rPr>
        <w:t>（五）</w:t>
      </w:r>
      <w:r>
        <w:rPr>
          <w:rFonts w:hint="eastAsia" w:ascii="宋体" w:hAnsi="宋体" w:eastAsia="宋体" w:cs="宋体"/>
          <w:i w:val="0"/>
          <w:iCs w:val="0"/>
          <w:color w:val="auto"/>
          <w:sz w:val="24"/>
          <w:szCs w:val="24"/>
          <w:highlight w:val="none"/>
          <w:lang w:val="zh-CN" w:eastAsia="zh-CN"/>
        </w:rPr>
        <w:t>参加政府采购活动前三年内，在经营活动中没有重大违法记录</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_Toc23159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31</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00799BAD">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_Toc20168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kern w:val="0"/>
          <w:sz w:val="24"/>
          <w:szCs w:val="24"/>
          <w:highlight w:val="none"/>
          <w:lang w:val="zh-CN"/>
        </w:rPr>
        <w:t>（</w:t>
      </w:r>
      <w:r>
        <w:rPr>
          <w:rFonts w:hint="eastAsia" w:ascii="宋体" w:hAnsi="宋体" w:eastAsia="宋体" w:cs="宋体"/>
          <w:i w:val="0"/>
          <w:iCs w:val="0"/>
          <w:color w:val="auto"/>
          <w:kern w:val="0"/>
          <w:sz w:val="24"/>
          <w:szCs w:val="24"/>
          <w:highlight w:val="none"/>
          <w:lang w:val="en-US" w:eastAsia="zh-CN"/>
        </w:rPr>
        <w:t>六</w:t>
      </w:r>
      <w:r>
        <w:rPr>
          <w:rFonts w:hint="eastAsia" w:ascii="宋体" w:hAnsi="宋体" w:eastAsia="宋体" w:cs="宋体"/>
          <w:i w:val="0"/>
          <w:iCs w:val="0"/>
          <w:color w:val="auto"/>
          <w:kern w:val="0"/>
          <w:sz w:val="24"/>
          <w:szCs w:val="24"/>
          <w:highlight w:val="none"/>
          <w:lang w:val="zh-CN"/>
        </w:rPr>
        <w:t>）</w:t>
      </w:r>
      <w:r>
        <w:rPr>
          <w:rFonts w:hint="eastAsia" w:ascii="宋体" w:hAnsi="宋体" w:eastAsia="宋体" w:cs="宋体"/>
          <w:i w:val="0"/>
          <w:iCs w:val="0"/>
          <w:color w:val="auto"/>
          <w:kern w:val="0"/>
          <w:sz w:val="24"/>
          <w:szCs w:val="24"/>
          <w:highlight w:val="none"/>
        </w:rPr>
        <w:t>法律、行政法规规定的其它条件</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_Toc20168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32</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2281DBF3">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_Toc2990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kern w:val="0"/>
          <w:sz w:val="24"/>
          <w:szCs w:val="24"/>
          <w:highlight w:val="none"/>
        </w:rPr>
        <w:t>（</w:t>
      </w:r>
      <w:r>
        <w:rPr>
          <w:rFonts w:hint="eastAsia" w:ascii="宋体" w:hAnsi="宋体" w:eastAsia="宋体" w:cs="宋体"/>
          <w:i w:val="0"/>
          <w:iCs w:val="0"/>
          <w:color w:val="auto"/>
          <w:kern w:val="0"/>
          <w:sz w:val="24"/>
          <w:szCs w:val="24"/>
          <w:highlight w:val="none"/>
          <w:lang w:val="en-US" w:eastAsia="zh-CN"/>
        </w:rPr>
        <w:t>七</w:t>
      </w:r>
      <w:r>
        <w:rPr>
          <w:rFonts w:hint="eastAsia" w:ascii="宋体" w:hAnsi="宋体" w:eastAsia="宋体" w:cs="宋体"/>
          <w:i w:val="0"/>
          <w:iCs w:val="0"/>
          <w:color w:val="auto"/>
          <w:kern w:val="0"/>
          <w:sz w:val="24"/>
          <w:szCs w:val="24"/>
          <w:highlight w:val="none"/>
        </w:rPr>
        <w:t>）本项目的特定资格要求</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_Toc2990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33</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5DE64A59">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_Toc9120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八</w:t>
      </w:r>
      <w:r>
        <w:rPr>
          <w:rFonts w:hint="eastAsia" w:ascii="宋体" w:hAnsi="宋体" w:eastAsia="宋体" w:cs="宋体"/>
          <w:i w:val="0"/>
          <w:iCs w:val="0"/>
          <w:color w:val="auto"/>
          <w:sz w:val="24"/>
          <w:szCs w:val="24"/>
          <w:highlight w:val="none"/>
        </w:rPr>
        <w:t>）其他资格证明材料</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_Toc9120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34</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637A4070">
      <w:pPr>
        <w:pStyle w:val="27"/>
        <w:tabs>
          <w:tab w:val="right" w:leader="dot" w:pos="9643"/>
        </w:tabs>
        <w:spacing w:line="240" w:lineRule="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aps/>
          <w:smallCaps w:val="0"/>
          <w:color w:val="auto"/>
          <w:sz w:val="24"/>
          <w:szCs w:val="24"/>
          <w:highlight w:val="none"/>
        </w:rPr>
        <w:fldChar w:fldCharType="begin"/>
      </w:r>
      <w:r>
        <w:rPr>
          <w:rFonts w:hint="eastAsia" w:ascii="宋体" w:hAnsi="宋体" w:eastAsia="宋体" w:cs="宋体"/>
          <w:b/>
          <w:bCs/>
          <w:i w:val="0"/>
          <w:iCs w:val="0"/>
          <w:caps/>
          <w:smallCaps w:val="0"/>
          <w:color w:val="auto"/>
          <w:sz w:val="24"/>
          <w:szCs w:val="24"/>
          <w:highlight w:val="none"/>
        </w:rPr>
        <w:instrText xml:space="preserve"> HYPERLINK \l _Toc23372 </w:instrText>
      </w:r>
      <w:r>
        <w:rPr>
          <w:rFonts w:hint="eastAsia" w:ascii="宋体" w:hAnsi="宋体" w:eastAsia="宋体" w:cs="宋体"/>
          <w:b/>
          <w:bCs/>
          <w:i w:val="0"/>
          <w:iCs w:val="0"/>
          <w:caps/>
          <w:smallCaps w:val="0"/>
          <w:color w:val="auto"/>
          <w:sz w:val="24"/>
          <w:szCs w:val="24"/>
          <w:highlight w:val="none"/>
        </w:rPr>
        <w:fldChar w:fldCharType="separate"/>
      </w:r>
      <w:r>
        <w:rPr>
          <w:rFonts w:hint="eastAsia" w:ascii="宋体" w:hAnsi="宋体" w:eastAsia="宋体" w:cs="宋体"/>
          <w:b/>
          <w:bCs/>
          <w:i w:val="0"/>
          <w:iCs w:val="0"/>
          <w:color w:val="auto"/>
          <w:sz w:val="24"/>
          <w:szCs w:val="24"/>
          <w:highlight w:val="none"/>
          <w:lang w:eastAsia="zh-CN"/>
        </w:rPr>
        <w:t>二</w:t>
      </w:r>
      <w:r>
        <w:rPr>
          <w:rFonts w:hint="eastAsia" w:ascii="宋体" w:hAnsi="宋体" w:eastAsia="宋体" w:cs="宋体"/>
          <w:b/>
          <w:bCs/>
          <w:i w:val="0"/>
          <w:iCs w:val="0"/>
          <w:color w:val="auto"/>
          <w:sz w:val="24"/>
          <w:szCs w:val="24"/>
          <w:highlight w:val="none"/>
        </w:rPr>
        <w:t>、</w:t>
      </w:r>
      <w:r>
        <w:rPr>
          <w:rFonts w:hint="eastAsia" w:ascii="宋体" w:hAnsi="宋体" w:eastAsia="宋体" w:cs="宋体"/>
          <w:b/>
          <w:bCs/>
          <w:i w:val="0"/>
          <w:iCs w:val="0"/>
          <w:color w:val="auto"/>
          <w:sz w:val="24"/>
          <w:szCs w:val="24"/>
          <w:highlight w:val="none"/>
          <w:lang w:eastAsia="zh-CN"/>
        </w:rPr>
        <w:t>报价</w:t>
      </w:r>
      <w:r>
        <w:rPr>
          <w:rFonts w:hint="eastAsia" w:ascii="宋体" w:hAnsi="宋体" w:eastAsia="宋体" w:cs="宋体"/>
          <w:b/>
          <w:bCs/>
          <w:i w:val="0"/>
          <w:iCs w:val="0"/>
          <w:color w:val="auto"/>
          <w:sz w:val="24"/>
          <w:szCs w:val="24"/>
          <w:highlight w:val="none"/>
        </w:rPr>
        <w:t>部分格式</w:t>
      </w:r>
      <w:r>
        <w:rPr>
          <w:rFonts w:hint="eastAsia" w:ascii="宋体" w:hAnsi="宋体" w:eastAsia="宋体" w:cs="宋体"/>
          <w:b/>
          <w:bCs/>
          <w:i w:val="0"/>
          <w:iCs w:val="0"/>
          <w:color w:val="auto"/>
          <w:sz w:val="24"/>
          <w:szCs w:val="24"/>
          <w:highlight w:val="none"/>
        </w:rPr>
        <w:tab/>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PAGEREF _Toc23372 \h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35</w:t>
      </w:r>
      <w:r>
        <w:rPr>
          <w:rFonts w:hint="eastAsia" w:ascii="宋体" w:hAnsi="宋体" w:eastAsia="宋体" w:cs="宋体"/>
          <w:b/>
          <w:bCs/>
          <w:i w:val="0"/>
          <w:iCs w:val="0"/>
          <w:color w:val="auto"/>
          <w:sz w:val="24"/>
          <w:szCs w:val="24"/>
          <w:highlight w:val="none"/>
        </w:rPr>
        <w:fldChar w:fldCharType="end"/>
      </w:r>
      <w:r>
        <w:rPr>
          <w:rFonts w:hint="eastAsia" w:ascii="宋体" w:hAnsi="宋体" w:eastAsia="宋体" w:cs="宋体"/>
          <w:b/>
          <w:bCs/>
          <w:i w:val="0"/>
          <w:iCs w:val="0"/>
          <w:caps/>
          <w:smallCaps w:val="0"/>
          <w:color w:val="auto"/>
          <w:sz w:val="24"/>
          <w:szCs w:val="24"/>
          <w:highlight w:val="none"/>
        </w:rPr>
        <w:fldChar w:fldCharType="end"/>
      </w:r>
    </w:p>
    <w:p w14:paraId="0EB6BD3B">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_Toc13167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（一）磋商报价一览表</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_Toc13167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35</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25E5CAEE">
      <w:pPr>
        <w:pStyle w:val="27"/>
        <w:tabs>
          <w:tab w:val="right" w:leader="dot" w:pos="9643"/>
        </w:tabs>
        <w:spacing w:line="240" w:lineRule="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aps/>
          <w:smallCaps w:val="0"/>
          <w:color w:val="auto"/>
          <w:sz w:val="24"/>
          <w:szCs w:val="24"/>
          <w:highlight w:val="none"/>
        </w:rPr>
        <w:fldChar w:fldCharType="begin"/>
      </w:r>
      <w:r>
        <w:rPr>
          <w:rFonts w:hint="eastAsia" w:ascii="宋体" w:hAnsi="宋体" w:eastAsia="宋体" w:cs="宋体"/>
          <w:b/>
          <w:bCs/>
          <w:i w:val="0"/>
          <w:iCs w:val="0"/>
          <w:caps/>
          <w:smallCaps w:val="0"/>
          <w:color w:val="auto"/>
          <w:sz w:val="24"/>
          <w:szCs w:val="24"/>
          <w:highlight w:val="none"/>
        </w:rPr>
        <w:instrText xml:space="preserve"> HYPERLINK \l _Toc29830 </w:instrText>
      </w:r>
      <w:r>
        <w:rPr>
          <w:rFonts w:hint="eastAsia" w:ascii="宋体" w:hAnsi="宋体" w:eastAsia="宋体" w:cs="宋体"/>
          <w:b/>
          <w:bCs/>
          <w:i w:val="0"/>
          <w:iCs w:val="0"/>
          <w:caps/>
          <w:smallCaps w:val="0"/>
          <w:color w:val="auto"/>
          <w:sz w:val="24"/>
          <w:szCs w:val="24"/>
          <w:highlight w:val="none"/>
        </w:rPr>
        <w:fldChar w:fldCharType="separate"/>
      </w:r>
      <w:r>
        <w:rPr>
          <w:rFonts w:hint="eastAsia" w:ascii="宋体" w:hAnsi="宋体" w:eastAsia="宋体" w:cs="宋体"/>
          <w:b/>
          <w:bCs/>
          <w:i w:val="0"/>
          <w:iCs w:val="0"/>
          <w:color w:val="auto"/>
          <w:sz w:val="24"/>
          <w:szCs w:val="24"/>
          <w:highlight w:val="none"/>
          <w:lang w:eastAsia="zh-CN"/>
        </w:rPr>
        <w:t>三、商务技术部分格式</w:t>
      </w:r>
      <w:r>
        <w:rPr>
          <w:rFonts w:hint="eastAsia" w:ascii="宋体" w:hAnsi="宋体" w:eastAsia="宋体" w:cs="宋体"/>
          <w:b/>
          <w:bCs/>
          <w:i w:val="0"/>
          <w:iCs w:val="0"/>
          <w:color w:val="auto"/>
          <w:sz w:val="24"/>
          <w:szCs w:val="24"/>
          <w:highlight w:val="none"/>
        </w:rPr>
        <w:tab/>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PAGEREF _Toc29830 \h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36</w:t>
      </w:r>
      <w:r>
        <w:rPr>
          <w:rFonts w:hint="eastAsia" w:ascii="宋体" w:hAnsi="宋体" w:eastAsia="宋体" w:cs="宋体"/>
          <w:b/>
          <w:bCs/>
          <w:i w:val="0"/>
          <w:iCs w:val="0"/>
          <w:color w:val="auto"/>
          <w:sz w:val="24"/>
          <w:szCs w:val="24"/>
          <w:highlight w:val="none"/>
        </w:rPr>
        <w:fldChar w:fldCharType="end"/>
      </w:r>
      <w:r>
        <w:rPr>
          <w:rFonts w:hint="eastAsia" w:ascii="宋体" w:hAnsi="宋体" w:eastAsia="宋体" w:cs="宋体"/>
          <w:b/>
          <w:bCs/>
          <w:i w:val="0"/>
          <w:iCs w:val="0"/>
          <w:caps/>
          <w:smallCaps w:val="0"/>
          <w:color w:val="auto"/>
          <w:sz w:val="24"/>
          <w:szCs w:val="24"/>
          <w:highlight w:val="none"/>
        </w:rPr>
        <w:fldChar w:fldCharType="end"/>
      </w:r>
    </w:p>
    <w:p w14:paraId="704611D5">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_Toc16366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eastAsia="zh-CN"/>
        </w:rPr>
        <w:t>一</w:t>
      </w:r>
      <w:r>
        <w:rPr>
          <w:rFonts w:hint="eastAsia" w:ascii="宋体" w:hAnsi="宋体" w:eastAsia="宋体" w:cs="宋体"/>
          <w:i w:val="0"/>
          <w:iCs w:val="0"/>
          <w:color w:val="auto"/>
          <w:sz w:val="24"/>
          <w:szCs w:val="24"/>
          <w:highlight w:val="none"/>
        </w:rPr>
        <w:t>）磋商申请函</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_Toc16366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36</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35B0B7BC">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_Toc12317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lang w:val="en-US" w:eastAsia="zh-CN"/>
        </w:rPr>
        <w:t>（二）磋商保证金</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_Toc12317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37</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607F5F20">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_Toc11524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kern w:val="0"/>
          <w:sz w:val="24"/>
          <w:szCs w:val="24"/>
          <w:highlight w:val="none"/>
          <w:lang w:val="en-US" w:eastAsia="zh-CN" w:bidi="ar-SA"/>
        </w:rPr>
        <w:t>（三）供应商基本情况表</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_Toc11524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38</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573E5CAC">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_Toc16356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四</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商务条款偏离表</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_Toc16356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39</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3B94FD04">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_Toc21686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lang w:val="en-US" w:eastAsia="zh-CN"/>
        </w:rPr>
        <w:t>（五）项目实施方案</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_Toc21686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40</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3B305D68">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_Toc12125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kern w:val="0"/>
          <w:sz w:val="24"/>
          <w:szCs w:val="24"/>
          <w:highlight w:val="none"/>
          <w:lang w:val="en-US" w:eastAsia="zh-CN" w:bidi="ar-SA"/>
        </w:rPr>
        <w:t>（六）</w:t>
      </w:r>
      <w:r>
        <w:rPr>
          <w:rFonts w:hint="eastAsia" w:ascii="宋体" w:hAnsi="宋体" w:eastAsia="宋体" w:cs="宋体"/>
          <w:i w:val="0"/>
          <w:iCs w:val="0"/>
          <w:color w:val="auto"/>
          <w:sz w:val="24"/>
          <w:szCs w:val="24"/>
          <w:highlight w:val="none"/>
          <w:lang w:val="en-US" w:eastAsia="zh-CN"/>
        </w:rPr>
        <w:t>管理制度</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_Toc12125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41</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58E19FFB">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_Toc4038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lang w:val="en-US" w:eastAsia="zh-CN"/>
        </w:rPr>
        <w:t>（七）教学实施方案</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_Toc4038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42</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4EF37607">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_Toc10848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lang w:val="en-US" w:eastAsia="zh-CN"/>
        </w:rPr>
        <w:t>（八）投入本项目设施设备</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_Toc10848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42</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656A3CD3">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_Toc16453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lang w:val="en-US" w:eastAsia="zh-CN"/>
        </w:rPr>
        <w:t>（九）服务质量承诺、保证措施及违约处罚措施</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_Toc16453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42</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560000F9">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_Toc16878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lang w:val="en-US" w:eastAsia="zh-CN"/>
        </w:rPr>
        <w:t>（十）项目人员配置</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_Toc16878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43</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3C145C44">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_Toc21912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lang w:val="en-US" w:eastAsia="zh-CN"/>
        </w:rPr>
        <w:t>（十一）培训教育经验</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_Toc21912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44</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3BA24502">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_Toc26778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eastAsia="zh-CN"/>
        </w:rPr>
        <w:t>十二</w:t>
      </w:r>
      <w:r>
        <w:rPr>
          <w:rFonts w:hint="eastAsia" w:ascii="宋体" w:hAnsi="宋体" w:eastAsia="宋体" w:cs="宋体"/>
          <w:i w:val="0"/>
          <w:iCs w:val="0"/>
          <w:color w:val="auto"/>
          <w:sz w:val="24"/>
          <w:szCs w:val="24"/>
          <w:highlight w:val="none"/>
        </w:rPr>
        <w:t>）构成响应文件的其它资料</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_Toc26778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45</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1BC807CE">
      <w:pPr>
        <w:pStyle w:val="27"/>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_Toc15811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kern w:val="0"/>
          <w:sz w:val="24"/>
          <w:szCs w:val="24"/>
          <w:highlight w:val="none"/>
          <w:lang w:val="zh-CN" w:eastAsia="zh-CN" w:bidi="ar-SA"/>
        </w:rPr>
        <w:t>（</w:t>
      </w:r>
      <w:r>
        <w:rPr>
          <w:rFonts w:hint="eastAsia" w:ascii="宋体" w:hAnsi="宋体" w:eastAsia="宋体" w:cs="宋体"/>
          <w:i w:val="0"/>
          <w:iCs w:val="0"/>
          <w:color w:val="auto"/>
          <w:kern w:val="0"/>
          <w:sz w:val="24"/>
          <w:szCs w:val="24"/>
          <w:highlight w:val="none"/>
          <w:lang w:val="en-US" w:eastAsia="zh-CN" w:bidi="ar-SA"/>
        </w:rPr>
        <w:t>十三</w:t>
      </w:r>
      <w:r>
        <w:rPr>
          <w:rFonts w:hint="eastAsia" w:ascii="宋体" w:hAnsi="宋体" w:eastAsia="宋体" w:cs="宋体"/>
          <w:i w:val="0"/>
          <w:iCs w:val="0"/>
          <w:color w:val="auto"/>
          <w:kern w:val="0"/>
          <w:sz w:val="24"/>
          <w:szCs w:val="24"/>
          <w:highlight w:val="none"/>
          <w:lang w:val="zh-CN" w:eastAsia="zh-CN" w:bidi="ar-SA"/>
        </w:rPr>
        <w:t>）中小企业或监狱企业、残疾人福利性单位声明函</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_Toc15811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46</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1CE68C1A">
      <w:pPr>
        <w:pStyle w:val="23"/>
        <w:tabs>
          <w:tab w:val="right" w:leader="dot" w:pos="9643"/>
        </w:tabs>
        <w:spacing w:line="240" w:lineRule="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_Toc27436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第</w:t>
      </w:r>
      <w:r>
        <w:rPr>
          <w:rFonts w:hint="eastAsia" w:ascii="宋体" w:hAnsi="宋体" w:eastAsia="宋体" w:cs="宋体"/>
          <w:i w:val="0"/>
          <w:iCs w:val="0"/>
          <w:color w:val="auto"/>
          <w:sz w:val="24"/>
          <w:szCs w:val="24"/>
          <w:highlight w:val="none"/>
          <w:lang w:val="en-US" w:eastAsia="zh-CN"/>
        </w:rPr>
        <w:t>五</w:t>
      </w:r>
      <w:r>
        <w:rPr>
          <w:rFonts w:hint="eastAsia" w:ascii="宋体" w:hAnsi="宋体" w:eastAsia="宋体" w:cs="宋体"/>
          <w:i w:val="0"/>
          <w:iCs w:val="0"/>
          <w:color w:val="auto"/>
          <w:sz w:val="24"/>
          <w:szCs w:val="24"/>
          <w:highlight w:val="none"/>
        </w:rPr>
        <w:t>章  采购需求</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_Toc27436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49</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7379C41D">
      <w:pPr>
        <w:pStyle w:val="23"/>
        <w:tabs>
          <w:tab w:val="right" w:leader="dot" w:pos="9643"/>
        </w:tabs>
        <w:spacing w:line="240" w:lineRule="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_Toc5625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第六章  磋商办法（综合评分法）</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_Toc5625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52</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7A1D9FFB">
      <w:pPr>
        <w:pStyle w:val="27"/>
        <w:tabs>
          <w:tab w:val="right" w:leader="dot" w:pos="9643"/>
        </w:tabs>
        <w:spacing w:line="240" w:lineRule="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_Toc3944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磋商办法前附表</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_Toc3944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52</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22EED6C7">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_Toc15555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一、磋商</w:t>
      </w:r>
      <w:r>
        <w:rPr>
          <w:rFonts w:hint="eastAsia" w:ascii="宋体" w:hAnsi="宋体" w:eastAsia="宋体" w:cs="宋体"/>
          <w:i w:val="0"/>
          <w:iCs w:val="0"/>
          <w:color w:val="auto"/>
          <w:sz w:val="24"/>
          <w:szCs w:val="24"/>
          <w:highlight w:val="none"/>
          <w:lang w:eastAsia="zh-CN"/>
        </w:rPr>
        <w:t>办法</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_Toc15555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58</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61A5BAC3">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_Toc4652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二、磋商标准</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_Toc4652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58</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200C7609">
      <w:pPr>
        <w:pStyle w:val="15"/>
        <w:tabs>
          <w:tab w:val="right" w:leader="dot" w:pos="9643"/>
        </w:tabs>
        <w:spacing w:line="240" w:lineRule="auto"/>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bCs/>
          <w:i w:val="0"/>
          <w:iCs w:val="0"/>
          <w:caps/>
          <w:smallCaps w:val="0"/>
          <w:color w:val="auto"/>
          <w:sz w:val="24"/>
          <w:szCs w:val="24"/>
          <w:highlight w:val="none"/>
        </w:rPr>
        <w:fldChar w:fldCharType="begin"/>
      </w:r>
      <w:r>
        <w:rPr>
          <w:rFonts w:hint="eastAsia" w:ascii="宋体" w:hAnsi="宋体" w:eastAsia="宋体" w:cs="宋体"/>
          <w:bCs/>
          <w:i w:val="0"/>
          <w:iCs w:val="0"/>
          <w:caps/>
          <w:smallCaps w:val="0"/>
          <w:color w:val="auto"/>
          <w:sz w:val="24"/>
          <w:szCs w:val="24"/>
          <w:highlight w:val="none"/>
        </w:rPr>
        <w:instrText xml:space="preserve"> HYPERLINK \l _Toc14902 </w:instrText>
      </w:r>
      <w:r>
        <w:rPr>
          <w:rFonts w:hint="eastAsia" w:ascii="宋体" w:hAnsi="宋体" w:eastAsia="宋体" w:cs="宋体"/>
          <w:bCs/>
          <w:i w:val="0"/>
          <w:iCs w:val="0"/>
          <w:caps/>
          <w:smallCaps w:val="0"/>
          <w:color w:val="auto"/>
          <w:sz w:val="24"/>
          <w:szCs w:val="24"/>
          <w:highlight w:val="none"/>
        </w:rPr>
        <w:fldChar w:fldCharType="separate"/>
      </w:r>
      <w:r>
        <w:rPr>
          <w:rFonts w:hint="eastAsia" w:ascii="宋体" w:hAnsi="宋体" w:eastAsia="宋体" w:cs="宋体"/>
          <w:i w:val="0"/>
          <w:iCs w:val="0"/>
          <w:color w:val="auto"/>
          <w:sz w:val="24"/>
          <w:szCs w:val="24"/>
          <w:highlight w:val="none"/>
        </w:rPr>
        <w:t>三</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磋商程序</w:t>
      </w:r>
      <w:r>
        <w:rPr>
          <w:rFonts w:hint="eastAsia" w:ascii="宋体" w:hAnsi="宋体" w:eastAsia="宋体" w:cs="宋体"/>
          <w:i w:val="0"/>
          <w:iCs w:val="0"/>
          <w:color w:val="auto"/>
          <w:sz w:val="24"/>
          <w:szCs w:val="24"/>
          <w:highlight w:val="none"/>
        </w:rPr>
        <w:tab/>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PAGEREF _Toc14902 \h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58</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bCs/>
          <w:i w:val="0"/>
          <w:iCs w:val="0"/>
          <w:caps/>
          <w:smallCaps w:val="0"/>
          <w:color w:val="auto"/>
          <w:sz w:val="24"/>
          <w:szCs w:val="24"/>
          <w:highlight w:val="none"/>
        </w:rPr>
        <w:fldChar w:fldCharType="end"/>
      </w:r>
    </w:p>
    <w:p w14:paraId="20067895">
      <w:pPr>
        <w:pStyle w:val="27"/>
        <w:spacing w:line="240" w:lineRule="auto"/>
        <w:ind w:left="420"/>
        <w:rPr>
          <w:rFonts w:hint="eastAsia" w:ascii="宋体" w:hAnsi="宋体" w:eastAsia="宋体" w:cs="宋体"/>
          <w:i w:val="0"/>
          <w:iCs w:val="0"/>
          <w:color w:val="auto"/>
          <w:highlight w:val="none"/>
        </w:rPr>
      </w:pPr>
      <w:r>
        <w:rPr>
          <w:rFonts w:hint="eastAsia" w:ascii="宋体" w:hAnsi="宋体" w:eastAsia="宋体" w:cs="宋体"/>
          <w:bCs/>
          <w:i w:val="0"/>
          <w:iCs w:val="0"/>
          <w:caps/>
          <w:smallCaps w:val="0"/>
          <w:color w:val="auto"/>
          <w:sz w:val="24"/>
          <w:szCs w:val="24"/>
          <w:highlight w:val="none"/>
        </w:rPr>
        <w:fldChar w:fldCharType="end"/>
      </w:r>
    </w:p>
    <w:p w14:paraId="18E93AC2">
      <w:pPr>
        <w:rPr>
          <w:rFonts w:hint="eastAsia" w:ascii="宋体" w:hAnsi="宋体" w:eastAsia="宋体" w:cs="宋体"/>
          <w:color w:val="auto"/>
          <w:highlight w:val="none"/>
        </w:rPr>
      </w:pPr>
    </w:p>
    <w:p w14:paraId="256F3B5D">
      <w:pPr>
        <w:rPr>
          <w:rFonts w:hint="eastAsia" w:ascii="宋体" w:hAnsi="宋体" w:eastAsia="宋体" w:cs="宋体"/>
          <w:color w:val="auto"/>
          <w:highlight w:val="none"/>
        </w:rPr>
      </w:pPr>
    </w:p>
    <w:p w14:paraId="750514B6">
      <w:pPr>
        <w:rPr>
          <w:rFonts w:hint="eastAsia" w:ascii="宋体" w:hAnsi="宋体" w:eastAsia="宋体" w:cs="宋体"/>
          <w:color w:val="auto"/>
          <w:highlight w:val="none"/>
        </w:rPr>
      </w:pPr>
    </w:p>
    <w:p w14:paraId="34EAF8FC">
      <w:pPr>
        <w:rPr>
          <w:rFonts w:hint="eastAsia" w:ascii="宋体" w:hAnsi="宋体" w:eastAsia="宋体" w:cs="宋体"/>
          <w:color w:val="auto"/>
          <w:highlight w:val="none"/>
        </w:rPr>
      </w:pPr>
    </w:p>
    <w:p w14:paraId="017BFE2F">
      <w:pPr>
        <w:rPr>
          <w:rFonts w:hint="eastAsia" w:ascii="宋体" w:hAnsi="宋体" w:eastAsia="宋体" w:cs="宋体"/>
          <w:color w:val="auto"/>
          <w:highlight w:val="none"/>
        </w:rPr>
      </w:pPr>
    </w:p>
    <w:p w14:paraId="55E6441A">
      <w:pPr>
        <w:pStyle w:val="2"/>
        <w:numPr>
          <w:ilvl w:val="0"/>
          <w:numId w:val="0"/>
        </w:numPr>
        <w:spacing w:before="0"/>
        <w:jc w:val="center"/>
        <w:rPr>
          <w:rFonts w:hint="eastAsia" w:ascii="宋体" w:hAnsi="宋体" w:eastAsia="宋体" w:cs="宋体"/>
          <w:color w:val="auto"/>
          <w:sz w:val="32"/>
          <w:szCs w:val="32"/>
          <w:highlight w:val="none"/>
        </w:rPr>
        <w:sectPr>
          <w:footerReference r:id="rId7" w:type="default"/>
          <w:pgSz w:w="11911" w:h="16838"/>
          <w:pgMar w:top="1134" w:right="1134" w:bottom="1134" w:left="1134" w:header="850" w:footer="850" w:gutter="0"/>
          <w:pgNumType w:fmt="upperRoman" w:start="1"/>
          <w:cols w:space="720" w:num="1"/>
          <w:rtlGutter w:val="0"/>
          <w:docGrid w:linePitch="1" w:charSpace="0"/>
        </w:sectPr>
      </w:pPr>
      <w:bookmarkStart w:id="0" w:name="_Toc115076976"/>
    </w:p>
    <w:p w14:paraId="74140349">
      <w:pPr>
        <w:pStyle w:val="2"/>
        <w:numPr>
          <w:ilvl w:val="0"/>
          <w:numId w:val="0"/>
        </w:numPr>
        <w:spacing w:before="0"/>
        <w:jc w:val="center"/>
        <w:rPr>
          <w:rFonts w:hint="eastAsia" w:ascii="宋体" w:hAnsi="宋体" w:eastAsia="宋体" w:cs="宋体"/>
          <w:color w:val="auto"/>
          <w:sz w:val="32"/>
          <w:szCs w:val="32"/>
          <w:highlight w:val="none"/>
        </w:rPr>
      </w:pPr>
      <w:bookmarkStart w:id="1" w:name="_Toc16829"/>
      <w:r>
        <w:rPr>
          <w:rFonts w:hint="eastAsia" w:ascii="宋体" w:hAnsi="宋体" w:eastAsia="宋体" w:cs="宋体"/>
          <w:color w:val="auto"/>
          <w:sz w:val="32"/>
          <w:szCs w:val="32"/>
          <w:highlight w:val="none"/>
        </w:rPr>
        <w:t>第一章  竞争性磋商公告</w:t>
      </w:r>
      <w:bookmarkEnd w:id="0"/>
      <w:bookmarkEnd w:id="1"/>
    </w:p>
    <w:tbl>
      <w:tblPr>
        <w:tblStyle w:val="35"/>
        <w:tblW w:w="9660"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9660"/>
      </w:tblGrid>
      <w:tr w14:paraId="62CF8D6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803" w:hRule="atLeast"/>
          <w:jc w:val="center"/>
        </w:trPr>
        <w:tc>
          <w:tcPr>
            <w:tcW w:w="0" w:type="auto"/>
            <w:tcBorders>
              <w:top w:val="outset" w:color="auto" w:sz="6" w:space="0"/>
              <w:left w:val="outset" w:color="auto" w:sz="6" w:space="0"/>
              <w:bottom w:val="outset" w:color="auto" w:sz="6" w:space="0"/>
              <w:right w:val="outset" w:color="auto" w:sz="6" w:space="0"/>
            </w:tcBorders>
            <w:noWrap w:val="0"/>
            <w:vAlign w:val="center"/>
          </w:tcPr>
          <w:p w14:paraId="40566E48">
            <w:pPr>
              <w:widowControl/>
              <w:spacing w:line="360" w:lineRule="auto"/>
              <w:jc w:val="left"/>
              <w:rPr>
                <w:rFonts w:hint="eastAsia"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项目概况</w:t>
            </w:r>
          </w:p>
          <w:p w14:paraId="303B7C01">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shd w:val="clear" w:color="auto" w:fill="FFFFFF"/>
              </w:rPr>
              <w:t>   </w:t>
            </w:r>
            <w:r>
              <w:rPr>
                <w:rFonts w:hint="eastAsia" w:ascii="宋体" w:hAnsi="宋体" w:cs="宋体"/>
                <w:b/>
                <w:bCs/>
                <w:color w:val="auto"/>
                <w:sz w:val="24"/>
                <w:highlight w:val="none"/>
                <w:u w:val="single"/>
                <w:shd w:val="clear" w:color="auto" w:fill="FFFFFF"/>
                <w:lang w:eastAsia="zh-CN"/>
              </w:rPr>
              <w:t>福贡县2025年高素质农民培育项目（二次）</w:t>
            </w:r>
            <w:r>
              <w:rPr>
                <w:rFonts w:hint="eastAsia" w:ascii="宋体" w:hAnsi="宋体" w:eastAsia="宋体" w:cs="宋体"/>
                <w:color w:val="auto"/>
                <w:sz w:val="24"/>
                <w:highlight w:val="none"/>
                <w:shd w:val="clear" w:color="auto" w:fill="FFFFFF"/>
              </w:rPr>
              <w:t>的潜在</w:t>
            </w:r>
            <w:r>
              <w:rPr>
                <w:rFonts w:hint="eastAsia" w:ascii="宋体" w:hAnsi="宋体" w:eastAsia="宋体" w:cs="宋体"/>
                <w:color w:val="auto"/>
                <w:sz w:val="24"/>
                <w:highlight w:val="none"/>
                <w:shd w:val="clear" w:color="auto" w:fill="FFFFFF"/>
                <w:lang w:val="en-US" w:eastAsia="zh-CN"/>
              </w:rPr>
              <w:t>供应商</w:t>
            </w:r>
            <w:r>
              <w:rPr>
                <w:rFonts w:hint="eastAsia" w:ascii="宋体" w:hAnsi="宋体" w:eastAsia="宋体" w:cs="宋体"/>
                <w:color w:val="auto"/>
                <w:sz w:val="24"/>
                <w:highlight w:val="none"/>
                <w:shd w:val="clear" w:color="auto" w:fill="FFFFFF"/>
              </w:rPr>
              <w:t>应在</w:t>
            </w:r>
            <w:r>
              <w:rPr>
                <w:rFonts w:hint="eastAsia" w:ascii="宋体" w:hAnsi="宋体" w:eastAsia="宋体" w:cs="宋体"/>
                <w:b/>
                <w:bCs/>
                <w:color w:val="auto"/>
                <w:sz w:val="22"/>
                <w:szCs w:val="22"/>
                <w:highlight w:val="none"/>
                <w:u w:val="single"/>
              </w:rPr>
              <w:t>政府采购云平台（www.zcygov.cn）</w:t>
            </w:r>
            <w:r>
              <w:rPr>
                <w:rFonts w:hint="eastAsia" w:ascii="宋体" w:hAnsi="宋体" w:eastAsia="宋体" w:cs="宋体"/>
                <w:color w:val="auto"/>
                <w:sz w:val="24"/>
                <w:highlight w:val="none"/>
                <w:shd w:val="clear" w:color="auto" w:fill="FFFFFF"/>
              </w:rPr>
              <w:t>获取采购文件，并于</w:t>
            </w:r>
            <w:r>
              <w:rPr>
                <w:rFonts w:hint="eastAsia" w:ascii="宋体" w:hAnsi="宋体" w:cs="宋体"/>
                <w:color w:val="auto"/>
                <w:sz w:val="24"/>
                <w:highlight w:val="none"/>
                <w:shd w:val="clear" w:color="auto" w:fill="FFFFFF"/>
                <w:lang w:eastAsia="zh-CN"/>
              </w:rPr>
              <w:t>2025年09月12日</w:t>
            </w:r>
            <w:r>
              <w:rPr>
                <w:rFonts w:hint="eastAsia" w:ascii="宋体" w:hAnsi="宋体" w:eastAsia="宋体" w:cs="宋体"/>
                <w:color w:val="auto"/>
                <w:sz w:val="24"/>
                <w:highlight w:val="none"/>
                <w:shd w:val="clear" w:color="auto" w:fill="FFFFFF"/>
                <w:lang w:val="en-US" w:eastAsia="zh-CN"/>
              </w:rPr>
              <w:t>09</w:t>
            </w:r>
            <w:r>
              <w:rPr>
                <w:rFonts w:hint="eastAsia" w:ascii="宋体" w:hAnsi="宋体" w:eastAsia="宋体" w:cs="宋体"/>
                <w:color w:val="auto"/>
                <w:sz w:val="24"/>
                <w:highlight w:val="none"/>
                <w:shd w:val="clear" w:color="auto" w:fill="FFFFFF"/>
              </w:rPr>
              <w:t>点</w:t>
            </w:r>
            <w:r>
              <w:rPr>
                <w:rFonts w:hint="eastAsia" w:ascii="宋体" w:hAnsi="宋体" w:eastAsia="宋体" w:cs="宋体"/>
                <w:color w:val="auto"/>
                <w:sz w:val="24"/>
                <w:highlight w:val="none"/>
                <w:shd w:val="clear" w:color="auto" w:fill="FFFFFF"/>
                <w:lang w:val="en-US" w:eastAsia="zh-CN"/>
              </w:rPr>
              <w:t>00</w:t>
            </w:r>
            <w:r>
              <w:rPr>
                <w:rFonts w:hint="eastAsia" w:ascii="宋体" w:hAnsi="宋体" w:eastAsia="宋体" w:cs="宋体"/>
                <w:color w:val="auto"/>
                <w:sz w:val="24"/>
                <w:highlight w:val="none"/>
                <w:shd w:val="clear" w:color="auto" w:fill="FFFFFF"/>
              </w:rPr>
              <w:t>分（北京时间）前提交响应文件。</w:t>
            </w:r>
          </w:p>
        </w:tc>
      </w:tr>
    </w:tbl>
    <w:p w14:paraId="1430D0DE">
      <w:pPr>
        <w:pStyle w:val="3"/>
        <w:numPr>
          <w:ilvl w:val="0"/>
          <w:numId w:val="0"/>
        </w:numPr>
        <w:tabs>
          <w:tab w:val="left" w:pos="360"/>
          <w:tab w:val="clear" w:pos="1304"/>
        </w:tabs>
        <w:spacing w:beforeLines="50" w:line="360" w:lineRule="auto"/>
        <w:ind w:left="511" w:hanging="511" w:hangingChars="212"/>
        <w:jc w:val="left"/>
        <w:rPr>
          <w:rFonts w:hint="eastAsia" w:ascii="宋体" w:hAnsi="宋体" w:eastAsia="宋体" w:cs="宋体"/>
          <w:color w:val="auto"/>
          <w:sz w:val="24"/>
          <w:szCs w:val="24"/>
          <w:highlight w:val="none"/>
        </w:rPr>
      </w:pPr>
      <w:bookmarkStart w:id="2" w:name="_Toc115076977"/>
      <w:bookmarkStart w:id="3" w:name="_Toc27333"/>
      <w:r>
        <w:rPr>
          <w:rFonts w:hint="eastAsia" w:ascii="宋体" w:hAnsi="宋体" w:eastAsia="宋体" w:cs="宋体"/>
          <w:color w:val="auto"/>
          <w:sz w:val="24"/>
          <w:szCs w:val="24"/>
          <w:highlight w:val="none"/>
        </w:rPr>
        <w:t>一、项目基本情况</w:t>
      </w:r>
      <w:bookmarkEnd w:id="2"/>
      <w:bookmarkEnd w:id="3"/>
    </w:p>
    <w:p w14:paraId="1ADE083F">
      <w:pPr>
        <w:widowControl/>
        <w:shd w:val="clear" w:color="auto" w:fill="FFFFFF"/>
        <w:spacing w:line="360" w:lineRule="auto"/>
        <w:ind w:firstLine="482" w:firstLineChars="200"/>
        <w:jc w:val="left"/>
        <w:rPr>
          <w:rFonts w:hint="eastAsia" w:ascii="宋体" w:hAnsi="宋体" w:eastAsia="宋体" w:cs="宋体"/>
          <w:color w:val="auto"/>
          <w:kern w:val="0"/>
          <w:sz w:val="24"/>
          <w:highlight w:val="none"/>
          <w:lang w:eastAsia="zh-CN"/>
        </w:rPr>
      </w:pPr>
      <w:r>
        <w:rPr>
          <w:rFonts w:hint="eastAsia" w:ascii="宋体" w:hAnsi="宋体" w:eastAsia="宋体" w:cs="宋体"/>
          <w:b/>
          <w:bCs/>
          <w:color w:val="auto"/>
          <w:kern w:val="0"/>
          <w:sz w:val="24"/>
          <w:highlight w:val="none"/>
          <w:lang w:val="en-US" w:eastAsia="zh-CN"/>
        </w:rPr>
        <w:t>1.</w:t>
      </w:r>
      <w:r>
        <w:rPr>
          <w:rFonts w:hint="eastAsia" w:ascii="宋体" w:hAnsi="宋体" w:eastAsia="宋体" w:cs="宋体"/>
          <w:b/>
          <w:bCs/>
          <w:color w:val="auto"/>
          <w:kern w:val="0"/>
          <w:sz w:val="24"/>
          <w:highlight w:val="none"/>
          <w:lang w:eastAsia="zh-CN"/>
        </w:rPr>
        <w:t>项目编号：</w:t>
      </w:r>
      <w:r>
        <w:rPr>
          <w:rFonts w:hint="eastAsia" w:ascii="宋体" w:hAnsi="宋体" w:cs="宋体"/>
          <w:color w:val="auto"/>
          <w:kern w:val="0"/>
          <w:sz w:val="24"/>
          <w:highlight w:val="none"/>
          <w:lang w:val="en-US" w:eastAsia="zh-CN"/>
        </w:rPr>
        <w:t>NJZC2025-C3-00393-YNYN-0001</w:t>
      </w:r>
    </w:p>
    <w:p w14:paraId="667973C5">
      <w:pPr>
        <w:widowControl/>
        <w:shd w:val="clear" w:color="auto" w:fill="FFFFFF"/>
        <w:spacing w:line="360" w:lineRule="auto"/>
        <w:ind w:firstLine="482" w:firstLineChars="200"/>
        <w:jc w:val="left"/>
        <w:rPr>
          <w:rFonts w:hint="eastAsia" w:ascii="宋体" w:hAnsi="宋体" w:eastAsia="宋体" w:cs="宋体"/>
          <w:color w:val="auto"/>
          <w:kern w:val="0"/>
          <w:sz w:val="24"/>
          <w:highlight w:val="none"/>
          <w:lang w:eastAsia="zh-CN"/>
        </w:rPr>
      </w:pPr>
      <w:r>
        <w:rPr>
          <w:rFonts w:hint="eastAsia" w:ascii="宋体" w:hAnsi="宋体" w:eastAsia="宋体" w:cs="宋体"/>
          <w:b/>
          <w:bCs/>
          <w:color w:val="auto"/>
          <w:kern w:val="0"/>
          <w:sz w:val="24"/>
          <w:highlight w:val="none"/>
          <w:lang w:val="en-US" w:eastAsia="zh-CN"/>
        </w:rPr>
        <w:t>2.</w:t>
      </w:r>
      <w:r>
        <w:rPr>
          <w:rFonts w:hint="eastAsia" w:ascii="宋体" w:hAnsi="宋体" w:eastAsia="宋体" w:cs="宋体"/>
          <w:b/>
          <w:bCs/>
          <w:color w:val="auto"/>
          <w:kern w:val="0"/>
          <w:sz w:val="24"/>
          <w:highlight w:val="none"/>
        </w:rPr>
        <w:t>项目名称：</w:t>
      </w:r>
      <w:r>
        <w:rPr>
          <w:rFonts w:hint="eastAsia" w:ascii="宋体" w:hAnsi="宋体" w:cs="宋体"/>
          <w:color w:val="auto"/>
          <w:kern w:val="0"/>
          <w:sz w:val="24"/>
          <w:highlight w:val="none"/>
          <w:lang w:eastAsia="zh-CN"/>
        </w:rPr>
        <w:t>福贡县2025年高素质农民培育项目（二次）</w:t>
      </w:r>
    </w:p>
    <w:p w14:paraId="7BF3A9D2">
      <w:pPr>
        <w:widowControl/>
        <w:shd w:val="clear" w:color="auto" w:fill="FFFFFF"/>
        <w:spacing w:line="360" w:lineRule="auto"/>
        <w:ind w:firstLine="482" w:firstLineChars="200"/>
        <w:jc w:val="left"/>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lang w:val="en-US" w:eastAsia="zh-CN"/>
        </w:rPr>
        <w:t>3.</w:t>
      </w:r>
      <w:r>
        <w:rPr>
          <w:rFonts w:hint="eastAsia" w:ascii="宋体" w:hAnsi="宋体" w:eastAsia="宋体" w:cs="宋体"/>
          <w:b/>
          <w:bCs/>
          <w:color w:val="auto"/>
          <w:kern w:val="0"/>
          <w:sz w:val="24"/>
          <w:highlight w:val="none"/>
        </w:rPr>
        <w:t>采购方式：</w:t>
      </w:r>
      <w:r>
        <w:rPr>
          <w:rFonts w:hint="eastAsia" w:ascii="宋体" w:hAnsi="宋体" w:eastAsia="宋体" w:cs="宋体"/>
          <w:color w:val="auto"/>
          <w:kern w:val="0"/>
          <w:sz w:val="24"/>
          <w:highlight w:val="none"/>
        </w:rPr>
        <w:t>竞争性磋商</w:t>
      </w:r>
    </w:p>
    <w:p w14:paraId="1AC8C101">
      <w:pPr>
        <w:widowControl/>
        <w:shd w:val="clear" w:color="auto" w:fill="FFFFFF"/>
        <w:spacing w:line="360" w:lineRule="auto"/>
        <w:ind w:firstLine="482" w:firstLineChars="200"/>
        <w:jc w:val="left"/>
        <w:rPr>
          <w:rFonts w:hint="eastAsia" w:ascii="宋体" w:hAnsi="宋体" w:eastAsia="宋体" w:cs="宋体"/>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4.</w:t>
      </w:r>
      <w:r>
        <w:rPr>
          <w:rFonts w:hint="eastAsia" w:ascii="宋体" w:hAnsi="宋体" w:eastAsia="宋体" w:cs="宋体"/>
          <w:b/>
          <w:bCs/>
          <w:color w:val="auto"/>
          <w:kern w:val="0"/>
          <w:sz w:val="24"/>
          <w:highlight w:val="none"/>
        </w:rPr>
        <w:t>预算金额</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lang w:val="en-US" w:eastAsia="zh-CN"/>
        </w:rPr>
        <w:t>最高限价</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rPr>
        <w:t>：</w:t>
      </w:r>
      <w:r>
        <w:rPr>
          <w:rFonts w:hint="eastAsia" w:ascii="宋体" w:hAnsi="宋体" w:cs="宋体"/>
          <w:color w:val="auto"/>
          <w:kern w:val="0"/>
          <w:sz w:val="24"/>
          <w:highlight w:val="none"/>
          <w:lang w:val="en-US" w:eastAsia="zh-CN"/>
        </w:rPr>
        <w:t>82</w:t>
      </w:r>
      <w:r>
        <w:rPr>
          <w:rFonts w:hint="eastAsia" w:ascii="宋体" w:hAnsi="宋体" w:eastAsia="宋体" w:cs="宋体"/>
          <w:color w:val="auto"/>
          <w:kern w:val="0"/>
          <w:sz w:val="24"/>
          <w:highlight w:val="none"/>
          <w:lang w:val="en-US" w:eastAsia="zh-CN"/>
        </w:rPr>
        <w:t>万元。</w:t>
      </w:r>
    </w:p>
    <w:p w14:paraId="632923B2">
      <w:pPr>
        <w:widowControl/>
        <w:shd w:val="clear" w:color="auto" w:fill="FFFFFF"/>
        <w:spacing w:line="360" w:lineRule="auto"/>
        <w:ind w:firstLine="482" w:firstLineChars="200"/>
        <w:jc w:val="left"/>
        <w:rPr>
          <w:rFonts w:hint="eastAsia" w:ascii="宋体" w:hAnsi="宋体" w:eastAsia="宋体" w:cs="宋体"/>
          <w:b w:val="0"/>
          <w:bCs w:val="0"/>
          <w:color w:val="auto"/>
          <w:kern w:val="0"/>
          <w:sz w:val="24"/>
          <w:highlight w:val="none"/>
        </w:rPr>
      </w:pPr>
      <w:r>
        <w:rPr>
          <w:rFonts w:hint="eastAsia" w:ascii="宋体" w:hAnsi="宋体" w:eastAsia="宋体" w:cs="宋体"/>
          <w:b/>
          <w:bCs/>
          <w:color w:val="auto"/>
          <w:kern w:val="0"/>
          <w:sz w:val="24"/>
          <w:highlight w:val="none"/>
          <w:lang w:val="en-US" w:eastAsia="zh-CN"/>
        </w:rPr>
        <w:t>5.</w:t>
      </w:r>
      <w:r>
        <w:rPr>
          <w:rFonts w:hint="eastAsia" w:ascii="宋体" w:hAnsi="宋体" w:eastAsia="宋体" w:cs="宋体"/>
          <w:b/>
          <w:bCs/>
          <w:color w:val="auto"/>
          <w:kern w:val="0"/>
          <w:sz w:val="24"/>
          <w:highlight w:val="none"/>
        </w:rPr>
        <w:t>服务范围：</w:t>
      </w:r>
      <w:r>
        <w:rPr>
          <w:rFonts w:hint="eastAsia" w:ascii="宋体" w:hAnsi="宋体" w:eastAsia="宋体" w:cs="宋体"/>
          <w:b w:val="0"/>
          <w:bCs w:val="0"/>
          <w:color w:val="auto"/>
          <w:kern w:val="0"/>
          <w:sz w:val="24"/>
          <w:highlight w:val="none"/>
          <w:lang w:val="en-US" w:eastAsia="zh-CN"/>
        </w:rPr>
        <w:t>按照云南省农业农村厅下达的培育目标任务150人，县自筹经费培育110人，总计培育260人。其中：粮油和重要农产品生产经营主体提升培训</w:t>
      </w:r>
      <w:r>
        <w:rPr>
          <w:rFonts w:hint="eastAsia" w:ascii="宋体" w:hAnsi="宋体" w:eastAsia="宋体" w:cs="宋体"/>
          <w:b w:val="0"/>
          <w:bCs w:val="0"/>
          <w:color w:val="auto"/>
          <w:kern w:val="0"/>
          <w:sz w:val="24"/>
          <w:highlight w:val="none"/>
          <w:lang w:eastAsia="zh-CN"/>
        </w:rPr>
        <w:t>（</w:t>
      </w:r>
      <w:r>
        <w:rPr>
          <w:rFonts w:hint="eastAsia" w:ascii="宋体" w:hAnsi="宋体" w:eastAsia="宋体" w:cs="宋体"/>
          <w:b w:val="0"/>
          <w:bCs w:val="0"/>
          <w:color w:val="auto"/>
          <w:kern w:val="0"/>
          <w:sz w:val="24"/>
          <w:highlight w:val="none"/>
          <w:lang w:val="en-US" w:eastAsia="zh-CN"/>
        </w:rPr>
        <w:t>草果种植管理全周期的技术培训100人、高山茶生态种植与特色加工技术培训55人），乡村治理人才培训（民宿（农家乐）经营群体的管理素质提升培训）55人，文明乡风培训（</w:t>
      </w:r>
      <w:r>
        <w:rPr>
          <w:rFonts w:hint="eastAsia" w:ascii="宋体" w:hAnsi="宋体" w:eastAsia="宋体" w:cs="宋体"/>
          <w:b w:val="0"/>
          <w:bCs w:val="0"/>
          <w:color w:val="auto"/>
          <w:kern w:val="0"/>
          <w:sz w:val="24"/>
          <w:highlight w:val="none"/>
          <w:lang w:eastAsia="zh-CN"/>
        </w:rPr>
        <w:t>非遗保护和传承培训</w:t>
      </w:r>
      <w:r>
        <w:rPr>
          <w:rFonts w:hint="eastAsia" w:ascii="宋体" w:hAnsi="宋体" w:eastAsia="宋体" w:cs="宋体"/>
          <w:b w:val="0"/>
          <w:bCs w:val="0"/>
          <w:color w:val="auto"/>
          <w:kern w:val="0"/>
          <w:sz w:val="24"/>
          <w:highlight w:val="none"/>
          <w:lang w:val="en-US" w:eastAsia="zh-CN"/>
        </w:rPr>
        <w:t>）50人。</w:t>
      </w:r>
      <w:r>
        <w:rPr>
          <w:rFonts w:hint="eastAsia" w:ascii="宋体" w:hAnsi="宋体" w:eastAsia="宋体" w:cs="宋体"/>
          <w:b/>
          <w:bCs/>
          <w:color w:val="auto"/>
          <w:kern w:val="0"/>
          <w:sz w:val="24"/>
          <w:highlight w:val="none"/>
          <w:lang w:val="en-US" w:eastAsia="zh-CN"/>
        </w:rPr>
        <w:t>具体详见竞争性磋商文件《采购需求》</w:t>
      </w:r>
      <w:r>
        <w:rPr>
          <w:rFonts w:hint="eastAsia" w:ascii="宋体" w:hAnsi="宋体" w:eastAsia="宋体" w:cs="宋体"/>
          <w:b/>
          <w:bCs/>
          <w:color w:val="auto"/>
          <w:kern w:val="0"/>
          <w:sz w:val="24"/>
          <w:highlight w:val="none"/>
        </w:rPr>
        <w:t>。</w:t>
      </w:r>
    </w:p>
    <w:p w14:paraId="4462DFF6">
      <w:pPr>
        <w:widowControl/>
        <w:shd w:val="clear" w:color="auto" w:fill="FFFFFF"/>
        <w:spacing w:line="360" w:lineRule="auto"/>
        <w:ind w:firstLine="482" w:firstLineChars="200"/>
        <w:jc w:val="left"/>
        <w:rPr>
          <w:rFonts w:hint="eastAsia" w:ascii="宋体" w:hAnsi="宋体" w:eastAsia="宋体" w:cs="宋体"/>
          <w:b w:val="0"/>
          <w:bCs w:val="0"/>
          <w:color w:val="auto"/>
          <w:kern w:val="0"/>
          <w:sz w:val="24"/>
          <w:highlight w:val="none"/>
        </w:rPr>
      </w:pPr>
      <w:r>
        <w:rPr>
          <w:rFonts w:hint="eastAsia" w:ascii="宋体" w:hAnsi="宋体" w:eastAsia="宋体" w:cs="宋体"/>
          <w:b/>
          <w:bCs/>
          <w:color w:val="auto"/>
          <w:kern w:val="0"/>
          <w:sz w:val="24"/>
          <w:highlight w:val="none"/>
          <w:lang w:val="en-US" w:eastAsia="zh-CN"/>
        </w:rPr>
        <w:t>6.</w:t>
      </w:r>
      <w:r>
        <w:rPr>
          <w:rFonts w:hint="eastAsia" w:ascii="宋体" w:hAnsi="宋体" w:eastAsia="宋体" w:cs="宋体"/>
          <w:b/>
          <w:bCs/>
          <w:color w:val="auto"/>
          <w:kern w:val="0"/>
          <w:sz w:val="24"/>
          <w:highlight w:val="none"/>
        </w:rPr>
        <w:t>合同履行期限：</w:t>
      </w:r>
      <w:r>
        <w:rPr>
          <w:rFonts w:hint="eastAsia" w:ascii="宋体" w:hAnsi="宋体" w:eastAsia="宋体" w:cs="宋体"/>
          <w:b w:val="0"/>
          <w:bCs w:val="0"/>
          <w:color w:val="auto"/>
          <w:kern w:val="0"/>
          <w:sz w:val="24"/>
          <w:highlight w:val="none"/>
        </w:rPr>
        <w:t>自签订合同之日起至202</w:t>
      </w:r>
      <w:r>
        <w:rPr>
          <w:rFonts w:hint="eastAsia" w:ascii="宋体" w:hAnsi="宋体" w:cs="宋体"/>
          <w:b w:val="0"/>
          <w:bCs w:val="0"/>
          <w:color w:val="auto"/>
          <w:kern w:val="0"/>
          <w:sz w:val="24"/>
          <w:highlight w:val="none"/>
          <w:lang w:val="en-US" w:eastAsia="zh-CN"/>
        </w:rPr>
        <w:t>5</w:t>
      </w:r>
      <w:r>
        <w:rPr>
          <w:rFonts w:hint="eastAsia" w:ascii="宋体" w:hAnsi="宋体" w:eastAsia="宋体" w:cs="宋体"/>
          <w:b w:val="0"/>
          <w:bCs w:val="0"/>
          <w:color w:val="auto"/>
          <w:kern w:val="0"/>
          <w:sz w:val="24"/>
          <w:highlight w:val="none"/>
        </w:rPr>
        <w:t>年1</w:t>
      </w:r>
      <w:r>
        <w:rPr>
          <w:rFonts w:hint="eastAsia" w:ascii="宋体" w:hAnsi="宋体" w:cs="宋体"/>
          <w:b w:val="0"/>
          <w:bCs w:val="0"/>
          <w:color w:val="auto"/>
          <w:kern w:val="0"/>
          <w:sz w:val="24"/>
          <w:highlight w:val="none"/>
          <w:lang w:val="en-US" w:eastAsia="zh-CN"/>
        </w:rPr>
        <w:t>1</w:t>
      </w:r>
      <w:r>
        <w:rPr>
          <w:rFonts w:hint="eastAsia" w:ascii="宋体" w:hAnsi="宋体" w:eastAsia="宋体" w:cs="宋体"/>
          <w:b w:val="0"/>
          <w:bCs w:val="0"/>
          <w:color w:val="auto"/>
          <w:kern w:val="0"/>
          <w:sz w:val="24"/>
          <w:highlight w:val="none"/>
        </w:rPr>
        <w:t>月3</w:t>
      </w:r>
      <w:r>
        <w:rPr>
          <w:rFonts w:hint="eastAsia" w:ascii="宋体" w:hAnsi="宋体" w:cs="宋体"/>
          <w:b w:val="0"/>
          <w:bCs w:val="0"/>
          <w:color w:val="auto"/>
          <w:kern w:val="0"/>
          <w:sz w:val="24"/>
          <w:highlight w:val="none"/>
          <w:lang w:val="en-US" w:eastAsia="zh-CN"/>
        </w:rPr>
        <w:t>0</w:t>
      </w:r>
      <w:r>
        <w:rPr>
          <w:rFonts w:hint="eastAsia" w:ascii="宋体" w:hAnsi="宋体" w:eastAsia="宋体" w:cs="宋体"/>
          <w:b w:val="0"/>
          <w:bCs w:val="0"/>
          <w:color w:val="auto"/>
          <w:kern w:val="0"/>
          <w:sz w:val="24"/>
          <w:highlight w:val="none"/>
        </w:rPr>
        <w:t>日</w:t>
      </w:r>
      <w:r>
        <w:rPr>
          <w:rFonts w:hint="eastAsia" w:ascii="宋体" w:hAnsi="宋体" w:eastAsia="宋体" w:cs="宋体"/>
          <w:b w:val="0"/>
          <w:bCs w:val="0"/>
          <w:color w:val="auto"/>
          <w:spacing w:val="2"/>
          <w:sz w:val="24"/>
          <w:szCs w:val="24"/>
          <w:highlight w:val="none"/>
        </w:rPr>
        <w:t>完成</w:t>
      </w:r>
      <w:r>
        <w:rPr>
          <w:rFonts w:hint="eastAsia" w:ascii="宋体" w:hAnsi="宋体" w:eastAsia="宋体" w:cs="宋体"/>
          <w:b w:val="0"/>
          <w:bCs w:val="0"/>
          <w:color w:val="auto"/>
          <w:spacing w:val="2"/>
          <w:sz w:val="24"/>
          <w:szCs w:val="24"/>
          <w:highlight w:val="none"/>
          <w:lang w:val="en-US" w:eastAsia="zh-CN"/>
        </w:rPr>
        <w:t>培育</w:t>
      </w:r>
      <w:r>
        <w:rPr>
          <w:rFonts w:hint="eastAsia" w:ascii="宋体" w:hAnsi="宋体" w:eastAsia="宋体" w:cs="宋体"/>
          <w:b w:val="0"/>
          <w:bCs w:val="0"/>
          <w:color w:val="auto"/>
          <w:spacing w:val="2"/>
          <w:sz w:val="24"/>
          <w:szCs w:val="24"/>
          <w:highlight w:val="none"/>
        </w:rPr>
        <w:t>（具体按采购人安排的时间组织）</w:t>
      </w:r>
      <w:r>
        <w:rPr>
          <w:rFonts w:hint="eastAsia" w:ascii="宋体" w:hAnsi="宋体" w:eastAsia="宋体" w:cs="宋体"/>
          <w:b w:val="0"/>
          <w:bCs w:val="0"/>
          <w:color w:val="auto"/>
          <w:kern w:val="0"/>
          <w:sz w:val="24"/>
          <w:highlight w:val="none"/>
        </w:rPr>
        <w:t>。</w:t>
      </w:r>
    </w:p>
    <w:p w14:paraId="27351F64">
      <w:pPr>
        <w:widowControl/>
        <w:shd w:val="clear" w:color="auto" w:fill="FFFFFF"/>
        <w:spacing w:line="360" w:lineRule="auto"/>
        <w:ind w:firstLine="482" w:firstLineChars="200"/>
        <w:jc w:val="left"/>
        <w:rPr>
          <w:rFonts w:hint="eastAsia" w:ascii="宋体" w:hAnsi="宋体" w:eastAsia="宋体" w:cs="宋体"/>
          <w:b w:val="0"/>
          <w:bCs w:val="0"/>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7.服务地点：</w:t>
      </w:r>
      <w:r>
        <w:rPr>
          <w:rFonts w:hint="eastAsia" w:ascii="宋体" w:hAnsi="宋体" w:eastAsia="宋体" w:cs="宋体"/>
          <w:b w:val="0"/>
          <w:bCs w:val="0"/>
          <w:color w:val="auto"/>
          <w:kern w:val="0"/>
          <w:sz w:val="24"/>
          <w:highlight w:val="none"/>
          <w:lang w:val="en-US" w:eastAsia="zh-CN"/>
        </w:rPr>
        <w:t>采购人指定地点</w:t>
      </w:r>
    </w:p>
    <w:p w14:paraId="296972B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val="0"/>
          <w:bCs w:val="0"/>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8.服务质量标准：</w:t>
      </w:r>
      <w:r>
        <w:rPr>
          <w:rFonts w:hint="eastAsia" w:ascii="宋体" w:hAnsi="宋体" w:eastAsia="宋体" w:cs="宋体"/>
          <w:b w:val="0"/>
          <w:bCs w:val="0"/>
          <w:color w:val="auto"/>
          <w:sz w:val="24"/>
          <w:szCs w:val="24"/>
          <w:highlight w:val="none"/>
          <w:lang w:val="en-US" w:eastAsia="zh-CN"/>
        </w:rPr>
        <w:t>围绕粮油稳产保供开展培育的人数不低于60%，培育对象信息入库率100%，满意度不低于90%，学员参评率不低于90%。并通过福贡县农业农村局组织相关部门验收，确保一次性验收合格</w:t>
      </w:r>
      <w:r>
        <w:rPr>
          <w:rFonts w:hint="eastAsia" w:ascii="宋体" w:hAnsi="宋体" w:eastAsia="宋体" w:cs="宋体"/>
          <w:b w:val="0"/>
          <w:bCs w:val="0"/>
          <w:color w:val="auto"/>
          <w:kern w:val="0"/>
          <w:sz w:val="24"/>
          <w:highlight w:val="none"/>
          <w:lang w:val="en-US" w:eastAsia="zh-CN"/>
        </w:rPr>
        <w:t>。</w:t>
      </w:r>
    </w:p>
    <w:p w14:paraId="53CF614C">
      <w:pPr>
        <w:widowControl/>
        <w:shd w:val="clear" w:color="auto" w:fill="FFFFFF"/>
        <w:spacing w:line="360" w:lineRule="auto"/>
        <w:ind w:firstLine="482" w:firstLineChars="200"/>
        <w:jc w:val="left"/>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lang w:val="en-US" w:eastAsia="zh-CN"/>
        </w:rPr>
        <w:t>9.</w:t>
      </w:r>
      <w:r>
        <w:rPr>
          <w:rFonts w:hint="eastAsia" w:ascii="宋体" w:hAnsi="宋体" w:eastAsia="宋体" w:cs="宋体"/>
          <w:b/>
          <w:bCs/>
          <w:color w:val="auto"/>
          <w:kern w:val="0"/>
          <w:sz w:val="24"/>
          <w:highlight w:val="none"/>
        </w:rPr>
        <w:t>本项目不接受联合体。</w:t>
      </w:r>
    </w:p>
    <w:p w14:paraId="746C4ADF">
      <w:pPr>
        <w:pStyle w:val="3"/>
        <w:numPr>
          <w:ilvl w:val="0"/>
          <w:numId w:val="0"/>
        </w:numPr>
        <w:tabs>
          <w:tab w:val="left" w:pos="360"/>
          <w:tab w:val="clear" w:pos="1304"/>
        </w:tabs>
        <w:spacing w:beforeLines="50" w:line="360" w:lineRule="auto"/>
        <w:ind w:left="511" w:hanging="511" w:hangingChars="212"/>
        <w:jc w:val="left"/>
        <w:rPr>
          <w:rFonts w:hint="eastAsia" w:ascii="宋体" w:hAnsi="宋体" w:eastAsia="宋体" w:cs="宋体"/>
          <w:color w:val="auto"/>
          <w:sz w:val="24"/>
          <w:szCs w:val="24"/>
          <w:highlight w:val="none"/>
        </w:rPr>
      </w:pPr>
      <w:bookmarkStart w:id="4" w:name="_Toc115076978"/>
      <w:bookmarkStart w:id="5" w:name="_Toc1267"/>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资格要求：</w:t>
      </w:r>
      <w:bookmarkEnd w:id="4"/>
      <w:bookmarkEnd w:id="5"/>
    </w:p>
    <w:p w14:paraId="247EB3A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color w:val="auto"/>
          <w:kern w:val="0"/>
          <w:sz w:val="24"/>
          <w:highlight w:val="none"/>
        </w:rPr>
      </w:pPr>
      <w:bookmarkStart w:id="6" w:name="_Toc115076979"/>
      <w:r>
        <w:rPr>
          <w:rFonts w:hint="eastAsia" w:ascii="宋体" w:hAnsi="宋体" w:eastAsia="宋体" w:cs="宋体"/>
          <w:b/>
          <w:bCs/>
          <w:color w:val="auto"/>
          <w:kern w:val="0"/>
          <w:sz w:val="24"/>
          <w:highlight w:val="none"/>
          <w:lang w:val="en-US" w:eastAsia="zh-CN"/>
        </w:rPr>
        <w:t>1、满足《中华人民共和国政府采购法》第二十二条规定</w:t>
      </w:r>
      <w:r>
        <w:rPr>
          <w:rFonts w:hint="eastAsia" w:ascii="宋体" w:hAnsi="宋体" w:eastAsia="宋体" w:cs="宋体"/>
          <w:b/>
          <w:bCs/>
          <w:color w:val="auto"/>
          <w:kern w:val="0"/>
          <w:sz w:val="24"/>
          <w:highlight w:val="none"/>
        </w:rPr>
        <w:t>：</w:t>
      </w:r>
    </w:p>
    <w:p w14:paraId="3E6F56B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0"/>
          <w:sz w:val="24"/>
          <w:highlight w:val="none"/>
          <w:lang w:eastAsia="zh-CN"/>
        </w:rPr>
      </w:pPr>
      <w:r>
        <w:rPr>
          <w:rFonts w:hint="eastAsia" w:ascii="宋体" w:hAnsi="宋体" w:eastAsia="宋体" w:cs="宋体"/>
          <w:b w:val="0"/>
          <w:bCs w:val="0"/>
          <w:color w:val="auto"/>
          <w:kern w:val="0"/>
          <w:sz w:val="24"/>
          <w:highlight w:val="none"/>
        </w:rPr>
        <w:t>(1)</w:t>
      </w:r>
      <w:r>
        <w:rPr>
          <w:rFonts w:hint="eastAsia" w:ascii="宋体" w:hAnsi="宋体" w:eastAsia="宋体" w:cs="宋体"/>
          <w:b/>
          <w:bCs/>
          <w:color w:val="auto"/>
          <w:kern w:val="0"/>
          <w:sz w:val="24"/>
          <w:highlight w:val="none"/>
        </w:rPr>
        <w:t>具有独立承担民事责任的能力：</w:t>
      </w:r>
      <w:r>
        <w:rPr>
          <w:rFonts w:hint="eastAsia" w:ascii="宋体" w:hAnsi="宋体" w:eastAsia="宋体" w:cs="宋体"/>
          <w:b w:val="0"/>
          <w:bCs w:val="0"/>
          <w:color w:val="auto"/>
          <w:kern w:val="0"/>
          <w:sz w:val="24"/>
          <w:highlight w:val="none"/>
          <w:lang w:val="en-US" w:eastAsia="zh-CN"/>
        </w:rPr>
        <w:t>供应商</w:t>
      </w:r>
      <w:r>
        <w:rPr>
          <w:rFonts w:hint="eastAsia" w:ascii="宋体" w:hAnsi="宋体" w:eastAsia="宋体" w:cs="宋体"/>
          <w:b w:val="0"/>
          <w:bCs w:val="0"/>
          <w:color w:val="auto"/>
          <w:kern w:val="0"/>
          <w:sz w:val="24"/>
          <w:highlight w:val="none"/>
        </w:rPr>
        <w:t>须提供的有效的《营业执照》、《组织机构代码证》、《税务登记证》（按照“三证合一”或“五证合一”登记制度进行登记的，可仅提供营业执照）或其他组织证件；若为自然人的需提供身份证明；独立主体若依法不需办理营业执照也可开展经营活动的，需出具相关证明材料或说明（注：以上材料须提供复印件或扫描件或说明</w:t>
      </w:r>
      <w:r>
        <w:rPr>
          <w:rFonts w:hint="eastAsia" w:ascii="宋体" w:hAnsi="宋体" w:eastAsia="宋体" w:cs="宋体"/>
          <w:b w:val="0"/>
          <w:bCs w:val="0"/>
          <w:color w:val="auto"/>
          <w:kern w:val="0"/>
          <w:sz w:val="24"/>
          <w:highlight w:val="none"/>
          <w:lang w:eastAsia="zh-CN"/>
        </w:rPr>
        <w:t>）；</w:t>
      </w:r>
    </w:p>
    <w:p w14:paraId="1AC6D53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0"/>
          <w:sz w:val="24"/>
          <w:highlight w:val="none"/>
        </w:rPr>
      </w:pPr>
      <w:r>
        <w:rPr>
          <w:rFonts w:hint="eastAsia" w:ascii="宋体" w:hAnsi="宋体" w:eastAsia="宋体" w:cs="宋体"/>
          <w:b w:val="0"/>
          <w:bCs w:val="0"/>
          <w:color w:val="auto"/>
          <w:kern w:val="0"/>
          <w:sz w:val="24"/>
          <w:highlight w:val="none"/>
        </w:rPr>
        <w:t>(2)</w:t>
      </w:r>
      <w:r>
        <w:rPr>
          <w:rFonts w:hint="eastAsia" w:ascii="宋体" w:hAnsi="宋体" w:eastAsia="宋体" w:cs="宋体"/>
          <w:b/>
          <w:bCs/>
          <w:color w:val="auto"/>
          <w:kern w:val="0"/>
          <w:sz w:val="24"/>
          <w:highlight w:val="none"/>
        </w:rPr>
        <w:t>具有良好的商业信誉和健全的财务会计制度：</w:t>
      </w:r>
      <w:r>
        <w:rPr>
          <w:rFonts w:hint="eastAsia" w:ascii="宋体" w:hAnsi="宋体" w:eastAsia="宋体" w:cs="宋体"/>
          <w:b w:val="0"/>
          <w:bCs w:val="0"/>
          <w:color w:val="auto"/>
          <w:kern w:val="0"/>
          <w:sz w:val="24"/>
          <w:highlight w:val="none"/>
          <w:lang w:val="en-US" w:eastAsia="zh-CN"/>
        </w:rPr>
        <w:t>①</w:t>
      </w:r>
      <w:r>
        <w:rPr>
          <w:rFonts w:hint="eastAsia" w:ascii="宋体" w:hAnsi="宋体" w:eastAsia="宋体" w:cs="宋体"/>
          <w:b w:val="0"/>
          <w:bCs w:val="0"/>
          <w:color w:val="auto"/>
          <w:kern w:val="0"/>
          <w:sz w:val="24"/>
          <w:highlight w:val="none"/>
        </w:rPr>
        <w:t>投标人具有良好的商业信誉（须提供书面声明）；若投标人被列入“信用中国”网站“失信被执行人”、“政府采购严重违法失信行为记录名单”、“重大税收违法失信主体”，被列入中国政府采购网“政府采购严重违法失信行为信息记录名单”，其投标将被否决（查询结果以采购人、采购代理机构查询结果为准）</w:t>
      </w:r>
      <w:r>
        <w:rPr>
          <w:rFonts w:hint="eastAsia" w:ascii="宋体" w:hAnsi="宋体" w:eastAsia="宋体" w:cs="宋体"/>
          <w:b w:val="0"/>
          <w:bCs w:val="0"/>
          <w:color w:val="auto"/>
          <w:kern w:val="0"/>
          <w:sz w:val="24"/>
          <w:highlight w:val="none"/>
          <w:lang w:eastAsia="zh-CN"/>
        </w:rPr>
        <w:t>；</w:t>
      </w:r>
      <w:r>
        <w:rPr>
          <w:rFonts w:hint="eastAsia" w:ascii="宋体" w:hAnsi="宋体" w:eastAsia="宋体" w:cs="宋体"/>
          <w:b w:val="0"/>
          <w:bCs w:val="0"/>
          <w:color w:val="auto"/>
          <w:kern w:val="0"/>
          <w:sz w:val="24"/>
          <w:highlight w:val="none"/>
          <w:lang w:val="en-US" w:eastAsia="zh-CN"/>
        </w:rPr>
        <w:t>②</w:t>
      </w:r>
      <w:r>
        <w:rPr>
          <w:rFonts w:hint="eastAsia" w:ascii="宋体" w:hAnsi="宋体" w:eastAsia="宋体" w:cs="宋体"/>
          <w:b w:val="0"/>
          <w:bCs w:val="0"/>
          <w:color w:val="auto"/>
          <w:kern w:val="0"/>
          <w:sz w:val="24"/>
          <w:highlight w:val="none"/>
        </w:rPr>
        <w:t>提供202</w:t>
      </w:r>
      <w:r>
        <w:rPr>
          <w:rFonts w:hint="eastAsia" w:ascii="宋体" w:hAnsi="宋体" w:cs="宋体"/>
          <w:b w:val="0"/>
          <w:bCs w:val="0"/>
          <w:color w:val="auto"/>
          <w:kern w:val="0"/>
          <w:sz w:val="24"/>
          <w:highlight w:val="none"/>
          <w:lang w:val="en-US" w:eastAsia="zh-CN"/>
        </w:rPr>
        <w:t>2</w:t>
      </w:r>
      <w:r>
        <w:rPr>
          <w:rFonts w:hint="eastAsia" w:ascii="宋体" w:hAnsi="宋体" w:eastAsia="宋体" w:cs="宋体"/>
          <w:b w:val="0"/>
          <w:bCs w:val="0"/>
          <w:color w:val="auto"/>
          <w:kern w:val="0"/>
          <w:sz w:val="24"/>
          <w:highlight w:val="none"/>
        </w:rPr>
        <w:t>年</w:t>
      </w:r>
      <w:r>
        <w:rPr>
          <w:rFonts w:hint="eastAsia" w:ascii="宋体" w:hAnsi="宋体" w:cs="宋体"/>
          <w:b w:val="0"/>
          <w:bCs w:val="0"/>
          <w:color w:val="auto"/>
          <w:kern w:val="0"/>
          <w:sz w:val="24"/>
          <w:highlight w:val="none"/>
          <w:lang w:val="en-US" w:eastAsia="zh-CN"/>
        </w:rPr>
        <w:t>至</w:t>
      </w:r>
      <w:r>
        <w:rPr>
          <w:rFonts w:hint="eastAsia" w:ascii="宋体" w:hAnsi="宋体" w:eastAsia="宋体" w:cs="宋体"/>
          <w:b w:val="0"/>
          <w:bCs w:val="0"/>
          <w:color w:val="auto"/>
          <w:kern w:val="0"/>
          <w:sz w:val="24"/>
          <w:highlight w:val="none"/>
        </w:rPr>
        <w:t>202</w:t>
      </w:r>
      <w:r>
        <w:rPr>
          <w:rFonts w:hint="eastAsia" w:ascii="宋体" w:hAnsi="宋体" w:cs="宋体"/>
          <w:b w:val="0"/>
          <w:bCs w:val="0"/>
          <w:color w:val="auto"/>
          <w:kern w:val="0"/>
          <w:sz w:val="24"/>
          <w:highlight w:val="none"/>
          <w:lang w:val="en-US" w:eastAsia="zh-CN"/>
        </w:rPr>
        <w:t>4</w:t>
      </w:r>
      <w:r>
        <w:rPr>
          <w:rFonts w:hint="eastAsia" w:ascii="宋体" w:hAnsi="宋体" w:eastAsia="宋体" w:cs="宋体"/>
          <w:b w:val="0"/>
          <w:bCs w:val="0"/>
          <w:color w:val="auto"/>
          <w:kern w:val="0"/>
          <w:sz w:val="24"/>
          <w:highlight w:val="none"/>
        </w:rPr>
        <w:t>年</w:t>
      </w:r>
      <w:r>
        <w:rPr>
          <w:rFonts w:hint="eastAsia" w:ascii="宋体" w:hAnsi="宋体" w:cs="宋体"/>
          <w:b w:val="0"/>
          <w:bCs w:val="0"/>
          <w:color w:val="auto"/>
          <w:kern w:val="0"/>
          <w:sz w:val="24"/>
          <w:highlight w:val="none"/>
          <w:lang w:val="en-US" w:eastAsia="zh-CN"/>
        </w:rPr>
        <w:t>任意一年</w:t>
      </w:r>
      <w:r>
        <w:rPr>
          <w:rFonts w:hint="eastAsia" w:ascii="宋体" w:hAnsi="宋体" w:eastAsia="宋体" w:cs="宋体"/>
          <w:b w:val="0"/>
          <w:bCs w:val="0"/>
          <w:color w:val="auto"/>
          <w:kern w:val="0"/>
          <w:sz w:val="24"/>
          <w:highlight w:val="none"/>
        </w:rPr>
        <w:t>度经审计的财务报告（包含报告、资产负债表、现金流量表、损益表（或利润表）及财务报表附注）；</w:t>
      </w:r>
      <w:r>
        <w:rPr>
          <w:rFonts w:hint="eastAsia" w:ascii="宋体" w:hAnsi="宋体" w:cs="宋体"/>
          <w:b w:val="0"/>
          <w:bCs w:val="0"/>
          <w:color w:val="auto"/>
          <w:kern w:val="0"/>
          <w:sz w:val="24"/>
          <w:highlight w:val="none"/>
          <w:lang w:val="en-US" w:eastAsia="zh-CN"/>
        </w:rPr>
        <w:t>2025年之后</w:t>
      </w:r>
      <w:r>
        <w:rPr>
          <w:rFonts w:hint="eastAsia" w:ascii="宋体" w:hAnsi="宋体" w:eastAsia="宋体" w:cs="宋体"/>
          <w:b w:val="0"/>
          <w:bCs w:val="0"/>
          <w:color w:val="auto"/>
          <w:kern w:val="0"/>
          <w:sz w:val="24"/>
          <w:highlight w:val="none"/>
        </w:rPr>
        <w:t>成立的单位，提供银行出具的资信证明或担保机构出具的投标担保函或企业自身出具的合法有效的财务报表等能证明具有健全的财务会计制度的证明材料。</w:t>
      </w:r>
    </w:p>
    <w:p w14:paraId="5F9D270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0"/>
          <w:sz w:val="24"/>
          <w:highlight w:val="none"/>
        </w:rPr>
      </w:pPr>
      <w:r>
        <w:rPr>
          <w:rFonts w:hint="eastAsia" w:ascii="宋体" w:hAnsi="宋体" w:eastAsia="宋体" w:cs="宋体"/>
          <w:b w:val="0"/>
          <w:bCs w:val="0"/>
          <w:color w:val="auto"/>
          <w:kern w:val="0"/>
          <w:sz w:val="24"/>
          <w:highlight w:val="none"/>
        </w:rPr>
        <w:t>(3)</w:t>
      </w:r>
      <w:r>
        <w:rPr>
          <w:rFonts w:hint="eastAsia" w:ascii="宋体" w:hAnsi="宋体" w:eastAsia="宋体" w:cs="宋体"/>
          <w:b/>
          <w:bCs/>
          <w:color w:val="auto"/>
          <w:kern w:val="0"/>
          <w:sz w:val="24"/>
          <w:highlight w:val="none"/>
        </w:rPr>
        <w:t>有依法缴纳税收和社会保障资金的良好记录：</w:t>
      </w:r>
      <w:r>
        <w:rPr>
          <w:rFonts w:hint="eastAsia" w:ascii="宋体" w:hAnsi="宋体" w:eastAsia="宋体" w:cs="宋体"/>
          <w:b w:val="0"/>
          <w:bCs w:val="0"/>
          <w:color w:val="auto"/>
          <w:kern w:val="0"/>
          <w:sz w:val="24"/>
          <w:highlight w:val="none"/>
        </w:rPr>
        <w:t>提供202</w:t>
      </w:r>
      <w:r>
        <w:rPr>
          <w:rFonts w:hint="eastAsia" w:ascii="宋体" w:hAnsi="宋体" w:cs="宋体"/>
          <w:b w:val="0"/>
          <w:bCs w:val="0"/>
          <w:color w:val="auto"/>
          <w:kern w:val="0"/>
          <w:sz w:val="24"/>
          <w:highlight w:val="none"/>
          <w:lang w:val="en-US" w:eastAsia="zh-CN"/>
        </w:rPr>
        <w:t>4</w:t>
      </w:r>
      <w:r>
        <w:rPr>
          <w:rFonts w:hint="eastAsia" w:ascii="宋体" w:hAnsi="宋体" w:eastAsia="宋体" w:cs="宋体"/>
          <w:b w:val="0"/>
          <w:bCs w:val="0"/>
          <w:color w:val="auto"/>
          <w:kern w:val="0"/>
          <w:sz w:val="24"/>
          <w:highlight w:val="none"/>
        </w:rPr>
        <w:t>年1月至本项目响应文件提交截止时间前任意3个月的依法缴纳税收凭证和社会保险证明材料；新成立的</w:t>
      </w:r>
      <w:r>
        <w:rPr>
          <w:rFonts w:hint="eastAsia" w:ascii="宋体" w:hAnsi="宋体" w:eastAsia="宋体" w:cs="宋体"/>
          <w:b w:val="0"/>
          <w:bCs w:val="0"/>
          <w:color w:val="auto"/>
          <w:kern w:val="0"/>
          <w:sz w:val="24"/>
          <w:highlight w:val="none"/>
          <w:lang w:val="en-US" w:eastAsia="zh-CN"/>
        </w:rPr>
        <w:t>供应商</w:t>
      </w:r>
      <w:r>
        <w:rPr>
          <w:rFonts w:hint="eastAsia" w:ascii="宋体" w:hAnsi="宋体" w:eastAsia="宋体" w:cs="宋体"/>
          <w:b w:val="0"/>
          <w:bCs w:val="0"/>
          <w:color w:val="auto"/>
          <w:kern w:val="0"/>
          <w:sz w:val="24"/>
          <w:highlight w:val="none"/>
        </w:rPr>
        <w:t>根据实际情况提供，依法免税、免缴的，应提供依法免税、免缴的相关证明文件。；</w:t>
      </w:r>
    </w:p>
    <w:p w14:paraId="6741D86F">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0"/>
          <w:sz w:val="24"/>
          <w:highlight w:val="none"/>
        </w:rPr>
      </w:pPr>
      <w:r>
        <w:rPr>
          <w:rFonts w:hint="eastAsia" w:ascii="宋体" w:hAnsi="宋体" w:eastAsia="宋体" w:cs="宋体"/>
          <w:b w:val="0"/>
          <w:bCs w:val="0"/>
          <w:color w:val="auto"/>
          <w:kern w:val="0"/>
          <w:sz w:val="24"/>
          <w:highlight w:val="none"/>
        </w:rPr>
        <w:t>(</w:t>
      </w:r>
      <w:r>
        <w:rPr>
          <w:rFonts w:hint="eastAsia" w:ascii="宋体" w:hAnsi="宋体" w:eastAsia="宋体" w:cs="宋体"/>
          <w:b w:val="0"/>
          <w:bCs w:val="0"/>
          <w:color w:val="auto"/>
          <w:kern w:val="0"/>
          <w:sz w:val="24"/>
          <w:highlight w:val="none"/>
          <w:lang w:val="en-US" w:eastAsia="zh-CN"/>
        </w:rPr>
        <w:t>4</w:t>
      </w:r>
      <w:r>
        <w:rPr>
          <w:rFonts w:hint="eastAsia" w:ascii="宋体" w:hAnsi="宋体" w:eastAsia="宋体" w:cs="宋体"/>
          <w:b w:val="0"/>
          <w:bCs w:val="0"/>
          <w:color w:val="auto"/>
          <w:kern w:val="0"/>
          <w:sz w:val="24"/>
          <w:highlight w:val="none"/>
        </w:rPr>
        <w:t>)</w:t>
      </w:r>
      <w:r>
        <w:rPr>
          <w:rFonts w:hint="eastAsia" w:ascii="宋体" w:hAnsi="宋体" w:eastAsia="宋体" w:cs="宋体"/>
          <w:b/>
          <w:bCs/>
          <w:color w:val="auto"/>
          <w:kern w:val="0"/>
          <w:sz w:val="24"/>
          <w:highlight w:val="none"/>
        </w:rPr>
        <w:t>具有履行合同所必需的设备和专业技术能力：</w:t>
      </w:r>
      <w:r>
        <w:rPr>
          <w:rFonts w:hint="eastAsia" w:ascii="宋体" w:hAnsi="宋体" w:eastAsia="宋体" w:cs="宋体"/>
          <w:b w:val="0"/>
          <w:bCs w:val="0"/>
          <w:color w:val="auto"/>
          <w:kern w:val="0"/>
          <w:sz w:val="24"/>
          <w:highlight w:val="none"/>
        </w:rPr>
        <w:t>投标人须提供相关证明材料或书面声明；</w:t>
      </w:r>
    </w:p>
    <w:p w14:paraId="77FFB48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0"/>
          <w:sz w:val="24"/>
          <w:highlight w:val="none"/>
        </w:rPr>
      </w:pPr>
      <w:r>
        <w:rPr>
          <w:rFonts w:hint="eastAsia" w:ascii="宋体" w:hAnsi="宋体" w:eastAsia="宋体" w:cs="宋体"/>
          <w:b w:val="0"/>
          <w:bCs w:val="0"/>
          <w:color w:val="auto"/>
          <w:kern w:val="0"/>
          <w:sz w:val="24"/>
          <w:highlight w:val="none"/>
        </w:rPr>
        <w:t>(</w:t>
      </w:r>
      <w:r>
        <w:rPr>
          <w:rFonts w:hint="eastAsia" w:ascii="宋体" w:hAnsi="宋体" w:eastAsia="宋体" w:cs="宋体"/>
          <w:b w:val="0"/>
          <w:bCs w:val="0"/>
          <w:color w:val="auto"/>
          <w:kern w:val="0"/>
          <w:sz w:val="24"/>
          <w:highlight w:val="none"/>
          <w:lang w:val="en-US" w:eastAsia="zh-CN"/>
        </w:rPr>
        <w:t>5</w:t>
      </w:r>
      <w:r>
        <w:rPr>
          <w:rFonts w:hint="eastAsia" w:ascii="宋体" w:hAnsi="宋体" w:eastAsia="宋体" w:cs="宋体"/>
          <w:b w:val="0"/>
          <w:bCs w:val="0"/>
          <w:color w:val="auto"/>
          <w:kern w:val="0"/>
          <w:sz w:val="24"/>
          <w:highlight w:val="none"/>
        </w:rPr>
        <w:t>)</w:t>
      </w:r>
      <w:r>
        <w:rPr>
          <w:rFonts w:hint="eastAsia" w:ascii="宋体" w:hAnsi="宋体" w:eastAsia="宋体" w:cs="宋体"/>
          <w:b/>
          <w:bCs/>
          <w:color w:val="auto"/>
          <w:kern w:val="0"/>
          <w:sz w:val="24"/>
          <w:highlight w:val="none"/>
        </w:rPr>
        <w:t>参加政府采购活动前三年内，在经营活动中没有重大违法记录：</w:t>
      </w:r>
      <w:r>
        <w:rPr>
          <w:rFonts w:hint="eastAsia" w:ascii="宋体" w:hAnsi="宋体" w:eastAsia="宋体" w:cs="宋体"/>
          <w:b w:val="0"/>
          <w:bCs w:val="0"/>
          <w:color w:val="auto"/>
          <w:kern w:val="0"/>
          <w:sz w:val="24"/>
          <w:highlight w:val="none"/>
        </w:rPr>
        <w:t>提供相关证明材料或书面声明；</w:t>
      </w:r>
    </w:p>
    <w:p w14:paraId="39B905F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0"/>
          <w:sz w:val="24"/>
          <w:highlight w:val="none"/>
        </w:rPr>
      </w:pPr>
      <w:r>
        <w:rPr>
          <w:rFonts w:hint="eastAsia" w:ascii="宋体" w:hAnsi="宋体" w:eastAsia="宋体" w:cs="宋体"/>
          <w:b w:val="0"/>
          <w:bCs w:val="0"/>
          <w:color w:val="auto"/>
          <w:kern w:val="0"/>
          <w:sz w:val="24"/>
          <w:highlight w:val="none"/>
        </w:rPr>
        <w:t>(</w:t>
      </w:r>
      <w:r>
        <w:rPr>
          <w:rFonts w:hint="eastAsia" w:ascii="宋体" w:hAnsi="宋体" w:eastAsia="宋体" w:cs="宋体"/>
          <w:b w:val="0"/>
          <w:bCs w:val="0"/>
          <w:color w:val="auto"/>
          <w:kern w:val="0"/>
          <w:sz w:val="24"/>
          <w:highlight w:val="none"/>
          <w:lang w:val="en-US" w:eastAsia="zh-CN"/>
        </w:rPr>
        <w:t>6</w:t>
      </w:r>
      <w:r>
        <w:rPr>
          <w:rFonts w:hint="eastAsia" w:ascii="宋体" w:hAnsi="宋体" w:eastAsia="宋体" w:cs="宋体"/>
          <w:b w:val="0"/>
          <w:bCs w:val="0"/>
          <w:color w:val="auto"/>
          <w:kern w:val="0"/>
          <w:sz w:val="24"/>
          <w:highlight w:val="none"/>
        </w:rPr>
        <w:t>)</w:t>
      </w:r>
      <w:r>
        <w:rPr>
          <w:rFonts w:hint="eastAsia" w:ascii="宋体" w:hAnsi="宋体" w:eastAsia="宋体" w:cs="宋体"/>
          <w:b/>
          <w:bCs/>
          <w:color w:val="auto"/>
          <w:kern w:val="0"/>
          <w:sz w:val="24"/>
          <w:highlight w:val="none"/>
        </w:rPr>
        <w:t>法律、行政法规规定的其它条件：</w:t>
      </w:r>
      <w:r>
        <w:rPr>
          <w:rFonts w:hint="eastAsia" w:ascii="宋体" w:hAnsi="宋体" w:eastAsia="宋体" w:cs="宋体"/>
          <w:b w:val="0"/>
          <w:bCs w:val="0"/>
          <w:color w:val="auto"/>
          <w:kern w:val="0"/>
          <w:sz w:val="24"/>
          <w:highlight w:val="none"/>
        </w:rPr>
        <w:t>（1）单位负责人为同一人或者存在直接控股、管理关系的不同投标人，不得参加同一合同项下的政府采购活动（须提供书面声明）；（2）投标人不得与采购人存在利害关系可能影响采购公正性的法人、其他组织或者个人（须提供书面声明）。</w:t>
      </w:r>
    </w:p>
    <w:p w14:paraId="56FC7826">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2.落实政府采购政策需满足的资格要求：</w:t>
      </w:r>
    </w:p>
    <w:p w14:paraId="6089595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扶持中小企业政策：本项目属于专门面向中小企业的政府采购项目，在评审时小型、微型企业提供的产品（提供本企业制造的货物，或者提供其他中小企业制造的货物）价格给予10%的扣除。监狱企业、残疾人福利性单位视同小型和微型企业，其产品在评审时给予相同的价格扣除。执行政策文件：《中华人民共和国中小企业促进法》《政府采购促进中小企业发展管理办法》（财库〔2020〕46号）、 《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w:t>
      </w:r>
    </w:p>
    <w:p w14:paraId="63E1052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注：在政府采购活动中，监狱企业和残疾人福利性单位视同小型、微型企业，享受促进中小企业发展的政府采购政策，三者不得重复享受政策。</w:t>
      </w:r>
    </w:p>
    <w:p w14:paraId="279C39A7">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eastAsia="zh-CN"/>
        </w:rPr>
        <w:t>本项目的特定资格要求：</w:t>
      </w:r>
      <w:r>
        <w:rPr>
          <w:rFonts w:hint="eastAsia" w:ascii="宋体" w:hAnsi="宋体" w:eastAsia="宋体" w:cs="宋体"/>
          <w:b w:val="0"/>
          <w:bCs w:val="0"/>
          <w:color w:val="auto"/>
          <w:sz w:val="24"/>
          <w:szCs w:val="24"/>
          <w:highlight w:val="none"/>
          <w:lang w:eastAsia="zh-CN"/>
        </w:rPr>
        <w:t>具备人力资源和社会保障部门或民政部门颁发的有效期内的《办学许可证》（202</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eastAsia="zh-CN"/>
        </w:rPr>
        <w:t>年年度年检合格）</w:t>
      </w:r>
      <w:r>
        <w:rPr>
          <w:rFonts w:hint="eastAsia" w:ascii="宋体" w:hAnsi="宋体" w:eastAsia="宋体" w:cs="宋体"/>
          <w:color w:val="auto"/>
          <w:kern w:val="0"/>
          <w:sz w:val="24"/>
          <w:highlight w:val="none"/>
        </w:rPr>
        <w:t>。</w:t>
      </w:r>
    </w:p>
    <w:p w14:paraId="33F32FB4">
      <w:pPr>
        <w:pStyle w:val="3"/>
        <w:numPr>
          <w:ilvl w:val="0"/>
          <w:numId w:val="0"/>
        </w:numPr>
        <w:tabs>
          <w:tab w:val="left" w:pos="360"/>
          <w:tab w:val="clear" w:pos="1304"/>
        </w:tabs>
        <w:spacing w:beforeLines="50" w:line="360" w:lineRule="auto"/>
        <w:ind w:left="511" w:hanging="511" w:hangingChars="212"/>
        <w:jc w:val="left"/>
        <w:rPr>
          <w:rFonts w:hint="eastAsia" w:ascii="宋体" w:hAnsi="宋体" w:eastAsia="宋体" w:cs="宋体"/>
          <w:color w:val="auto"/>
          <w:sz w:val="24"/>
          <w:szCs w:val="24"/>
          <w:highlight w:val="none"/>
        </w:rPr>
      </w:pPr>
      <w:bookmarkStart w:id="7" w:name="_Toc18441"/>
      <w:r>
        <w:rPr>
          <w:rFonts w:hint="eastAsia" w:ascii="宋体" w:hAnsi="宋体" w:eastAsia="宋体" w:cs="宋体"/>
          <w:color w:val="auto"/>
          <w:sz w:val="24"/>
          <w:szCs w:val="24"/>
          <w:highlight w:val="none"/>
        </w:rPr>
        <w:t>三、获取采购文件</w:t>
      </w:r>
      <w:bookmarkEnd w:id="6"/>
      <w:bookmarkEnd w:id="7"/>
    </w:p>
    <w:p w14:paraId="1CA7F340">
      <w:pPr>
        <w:widowControl/>
        <w:shd w:val="clear" w:color="auto" w:fill="FFFFFF"/>
        <w:spacing w:line="360" w:lineRule="auto"/>
        <w:ind w:firstLine="482" w:firstLineChars="200"/>
        <w:jc w:val="left"/>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rPr>
        <w:t>时间：</w:t>
      </w:r>
      <w:r>
        <w:rPr>
          <w:rFonts w:hint="eastAsia" w:ascii="宋体" w:hAnsi="宋体" w:cs="宋体"/>
          <w:b/>
          <w:bCs/>
          <w:color w:val="auto"/>
          <w:kern w:val="0"/>
          <w:sz w:val="24"/>
          <w:highlight w:val="none"/>
          <w:lang w:eastAsia="zh-CN"/>
        </w:rPr>
        <w:t>2025年09月02日</w:t>
      </w:r>
      <w:r>
        <w:rPr>
          <w:rFonts w:hint="eastAsia" w:ascii="宋体" w:hAnsi="宋体" w:eastAsia="宋体" w:cs="宋体"/>
          <w:b/>
          <w:bCs/>
          <w:color w:val="auto"/>
          <w:kern w:val="0"/>
          <w:sz w:val="24"/>
          <w:highlight w:val="none"/>
        </w:rPr>
        <w:t>至</w:t>
      </w:r>
      <w:r>
        <w:rPr>
          <w:rFonts w:hint="eastAsia" w:ascii="宋体" w:hAnsi="宋体" w:cs="宋体"/>
          <w:b/>
          <w:bCs/>
          <w:color w:val="auto"/>
          <w:kern w:val="0"/>
          <w:sz w:val="24"/>
          <w:highlight w:val="none"/>
          <w:lang w:eastAsia="zh-CN"/>
        </w:rPr>
        <w:t>2025年09月0</w:t>
      </w:r>
      <w:r>
        <w:rPr>
          <w:rFonts w:hint="eastAsia" w:ascii="宋体" w:hAnsi="宋体" w:cs="宋体"/>
          <w:b/>
          <w:bCs/>
          <w:color w:val="auto"/>
          <w:kern w:val="0"/>
          <w:sz w:val="24"/>
          <w:highlight w:val="none"/>
          <w:lang w:val="en-US" w:eastAsia="zh-CN"/>
        </w:rPr>
        <w:t>9</w:t>
      </w:r>
      <w:r>
        <w:rPr>
          <w:rFonts w:hint="eastAsia" w:ascii="宋体" w:hAnsi="宋体" w:cs="宋体"/>
          <w:b/>
          <w:bCs/>
          <w:color w:val="auto"/>
          <w:kern w:val="0"/>
          <w:sz w:val="24"/>
          <w:highlight w:val="none"/>
          <w:lang w:eastAsia="zh-CN"/>
        </w:rPr>
        <w:t>日</w:t>
      </w:r>
      <w:r>
        <w:rPr>
          <w:rFonts w:hint="eastAsia" w:ascii="宋体" w:hAnsi="宋体" w:eastAsia="宋体" w:cs="宋体"/>
          <w:color w:val="auto"/>
          <w:kern w:val="0"/>
          <w:sz w:val="24"/>
          <w:highlight w:val="none"/>
        </w:rPr>
        <w:t>，每天上午0</w:t>
      </w:r>
      <w:r>
        <w:rPr>
          <w:rFonts w:hint="eastAsia" w:ascii="宋体" w:hAnsi="宋体" w:cs="宋体"/>
          <w:color w:val="auto"/>
          <w:kern w:val="0"/>
          <w:sz w:val="24"/>
          <w:highlight w:val="none"/>
          <w:lang w:val="en-US" w:eastAsia="zh-CN"/>
        </w:rPr>
        <w:t>9</w:t>
      </w:r>
      <w:r>
        <w:rPr>
          <w:rFonts w:hint="eastAsia" w:ascii="宋体" w:hAnsi="宋体" w:eastAsia="宋体" w:cs="宋体"/>
          <w:color w:val="auto"/>
          <w:kern w:val="0"/>
          <w:sz w:val="24"/>
          <w:highlight w:val="none"/>
        </w:rPr>
        <w:t>:00至12:00，下午12:00至23:59（北京时间，法定节假日除外）</w:t>
      </w:r>
    </w:p>
    <w:p w14:paraId="65D8E642">
      <w:pPr>
        <w:widowControl/>
        <w:shd w:val="clear" w:color="auto" w:fill="FFFFFF"/>
        <w:spacing w:line="360" w:lineRule="auto"/>
        <w:ind w:firstLine="482" w:firstLineChars="200"/>
        <w:jc w:val="left"/>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rPr>
        <w:t>地点：政采云平台（http：//www.zcygov.cn）</w:t>
      </w:r>
    </w:p>
    <w:p w14:paraId="652FDC68">
      <w:pPr>
        <w:widowControl/>
        <w:shd w:val="clear" w:color="auto" w:fill="FFFFFF"/>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方式：</w:t>
      </w:r>
      <w:r>
        <w:rPr>
          <w:rFonts w:hint="eastAsia" w:ascii="宋体" w:hAnsi="宋体" w:eastAsia="宋体" w:cs="宋体"/>
          <w:color w:val="auto"/>
          <w:kern w:val="0"/>
          <w:sz w:val="24"/>
          <w:highlight w:val="none"/>
          <w:lang w:val="en-US" w:eastAsia="zh-CN"/>
        </w:rPr>
        <w:t>供应商</w:t>
      </w:r>
      <w:r>
        <w:rPr>
          <w:rFonts w:hint="eastAsia" w:ascii="宋体" w:hAnsi="宋体" w:eastAsia="宋体" w:cs="宋体"/>
          <w:color w:val="auto"/>
          <w:kern w:val="0"/>
          <w:sz w:val="24"/>
          <w:highlight w:val="none"/>
        </w:rPr>
        <w:t>请于本公告规定获取时间内，需登录政府采购云平台（www.zcygov.cn），凭借凭单位数字证书（CA）在 网上报名并获取电子采购文件及其他相关资料（如有）；未办理数字证书（CA） 的</w:t>
      </w:r>
      <w:r>
        <w:rPr>
          <w:rFonts w:hint="eastAsia" w:ascii="宋体" w:hAnsi="宋体" w:eastAsia="宋体" w:cs="宋体"/>
          <w:color w:val="auto"/>
          <w:kern w:val="0"/>
          <w:sz w:val="24"/>
          <w:highlight w:val="none"/>
          <w:lang w:val="en-US" w:eastAsia="zh-CN"/>
        </w:rPr>
        <w:t>供应商</w:t>
      </w:r>
      <w:r>
        <w:rPr>
          <w:rFonts w:hint="eastAsia" w:ascii="宋体" w:hAnsi="宋体" w:eastAsia="宋体" w:cs="宋体"/>
          <w:color w:val="auto"/>
          <w:kern w:val="0"/>
          <w:sz w:val="24"/>
          <w:highlight w:val="none"/>
        </w:rPr>
        <w:t>请登录该网站进行注册（如已注册电子卖场账号则无需重复注册） 并在网上申请办理证书，以便获取文件（原筑龙系统的云南CA无法在政采云平台使用，请供应商联系云南CA公司进行CA升级）。</w:t>
      </w:r>
    </w:p>
    <w:p w14:paraId="3A941223">
      <w:pPr>
        <w:widowControl/>
        <w:shd w:val="clear" w:color="auto" w:fill="FFFFFF"/>
        <w:spacing w:line="360" w:lineRule="auto"/>
        <w:ind w:firstLine="482" w:firstLineChars="200"/>
        <w:jc w:val="left"/>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rPr>
        <w:t>售价（元）：0</w:t>
      </w:r>
      <w:r>
        <w:rPr>
          <w:rFonts w:hint="eastAsia" w:ascii="宋体" w:hAnsi="宋体" w:eastAsia="宋体" w:cs="宋体"/>
          <w:b/>
          <w:bCs/>
          <w:color w:val="auto"/>
          <w:kern w:val="0"/>
          <w:sz w:val="24"/>
          <w:highlight w:val="none"/>
          <w:lang w:val="en-US" w:eastAsia="zh-CN"/>
        </w:rPr>
        <w:t>.00元</w:t>
      </w:r>
    </w:p>
    <w:p w14:paraId="6EBEAE09">
      <w:pPr>
        <w:pStyle w:val="3"/>
        <w:numPr>
          <w:ilvl w:val="0"/>
          <w:numId w:val="0"/>
        </w:numPr>
        <w:tabs>
          <w:tab w:val="left" w:pos="360"/>
          <w:tab w:val="clear" w:pos="1304"/>
        </w:tabs>
        <w:spacing w:beforeLines="50" w:line="360" w:lineRule="auto"/>
        <w:ind w:left="511" w:hanging="511" w:hangingChars="212"/>
        <w:jc w:val="left"/>
        <w:rPr>
          <w:rFonts w:hint="eastAsia" w:ascii="宋体" w:hAnsi="宋体" w:eastAsia="宋体" w:cs="宋体"/>
          <w:color w:val="auto"/>
          <w:sz w:val="24"/>
          <w:szCs w:val="24"/>
          <w:highlight w:val="none"/>
        </w:rPr>
      </w:pPr>
      <w:bookmarkStart w:id="8" w:name="_Toc115076980"/>
      <w:bookmarkStart w:id="9" w:name="_Toc5529"/>
      <w:r>
        <w:rPr>
          <w:rFonts w:hint="eastAsia" w:ascii="宋体" w:hAnsi="宋体" w:eastAsia="宋体" w:cs="宋体"/>
          <w:color w:val="auto"/>
          <w:sz w:val="24"/>
          <w:szCs w:val="24"/>
          <w:highlight w:val="none"/>
        </w:rPr>
        <w:t>四、响应文件提交</w:t>
      </w:r>
      <w:bookmarkEnd w:id="8"/>
      <w:bookmarkEnd w:id="9"/>
    </w:p>
    <w:p w14:paraId="2E86C7E7">
      <w:pPr>
        <w:widowControl/>
        <w:shd w:val="clear" w:color="auto" w:fill="FFFFFF"/>
        <w:spacing w:line="360" w:lineRule="auto"/>
        <w:ind w:firstLine="482" w:firstLineChars="200"/>
        <w:jc w:val="left"/>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rPr>
        <w:t>截止时间：</w:t>
      </w:r>
      <w:r>
        <w:rPr>
          <w:rFonts w:hint="eastAsia" w:ascii="宋体" w:hAnsi="宋体" w:cs="宋体"/>
          <w:b/>
          <w:bCs/>
          <w:color w:val="auto"/>
          <w:kern w:val="0"/>
          <w:sz w:val="24"/>
          <w:highlight w:val="none"/>
          <w:lang w:eastAsia="zh-CN"/>
        </w:rPr>
        <w:t>2025年09月12日</w:t>
      </w:r>
      <w:r>
        <w:rPr>
          <w:rFonts w:hint="eastAsia" w:ascii="宋体" w:hAnsi="宋体" w:eastAsia="宋体" w:cs="宋体"/>
          <w:b/>
          <w:bCs/>
          <w:color w:val="auto"/>
          <w:kern w:val="0"/>
          <w:sz w:val="24"/>
          <w:highlight w:val="none"/>
          <w:lang w:val="en-US" w:eastAsia="zh-CN"/>
        </w:rPr>
        <w:t>09</w:t>
      </w:r>
      <w:r>
        <w:rPr>
          <w:rFonts w:hint="eastAsia" w:ascii="宋体" w:hAnsi="宋体" w:eastAsia="宋体" w:cs="宋体"/>
          <w:b/>
          <w:bCs/>
          <w:color w:val="auto"/>
          <w:kern w:val="0"/>
          <w:sz w:val="24"/>
          <w:highlight w:val="none"/>
        </w:rPr>
        <w:t>点</w:t>
      </w:r>
      <w:r>
        <w:rPr>
          <w:rFonts w:hint="eastAsia" w:ascii="宋体" w:hAnsi="宋体" w:eastAsia="宋体" w:cs="宋体"/>
          <w:b/>
          <w:bCs/>
          <w:color w:val="auto"/>
          <w:kern w:val="0"/>
          <w:sz w:val="24"/>
          <w:highlight w:val="none"/>
          <w:lang w:val="en-US" w:eastAsia="zh-CN"/>
        </w:rPr>
        <w:t>00</w:t>
      </w:r>
      <w:r>
        <w:rPr>
          <w:rFonts w:hint="eastAsia" w:ascii="宋体" w:hAnsi="宋体" w:eastAsia="宋体" w:cs="宋体"/>
          <w:b/>
          <w:bCs/>
          <w:color w:val="auto"/>
          <w:kern w:val="0"/>
          <w:sz w:val="24"/>
          <w:highlight w:val="none"/>
        </w:rPr>
        <w:t>分</w:t>
      </w:r>
      <w:r>
        <w:rPr>
          <w:rFonts w:hint="eastAsia" w:ascii="宋体" w:hAnsi="宋体" w:eastAsia="宋体" w:cs="宋体"/>
          <w:color w:val="auto"/>
          <w:kern w:val="0"/>
          <w:sz w:val="24"/>
          <w:highlight w:val="none"/>
        </w:rPr>
        <w:t>（北京时间）</w:t>
      </w:r>
    </w:p>
    <w:p w14:paraId="31755611">
      <w:pPr>
        <w:widowControl/>
        <w:shd w:val="clear" w:color="auto" w:fill="FFFFFF"/>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地点：请各</w:t>
      </w:r>
      <w:r>
        <w:rPr>
          <w:rFonts w:hint="eastAsia" w:ascii="宋体" w:hAnsi="宋体" w:eastAsia="宋体" w:cs="宋体"/>
          <w:b/>
          <w:bCs/>
          <w:color w:val="auto"/>
          <w:kern w:val="0"/>
          <w:sz w:val="24"/>
          <w:highlight w:val="none"/>
          <w:lang w:val="en-US" w:eastAsia="zh-CN"/>
        </w:rPr>
        <w:t>供应商</w:t>
      </w:r>
      <w:r>
        <w:rPr>
          <w:rFonts w:hint="eastAsia" w:ascii="宋体" w:hAnsi="宋体" w:eastAsia="宋体" w:cs="宋体"/>
          <w:b/>
          <w:bCs/>
          <w:color w:val="auto"/>
          <w:kern w:val="0"/>
          <w:sz w:val="24"/>
          <w:highlight w:val="none"/>
        </w:rPr>
        <w:t>登录政采云投标客户端参与采购活动并递交响应文件。</w:t>
      </w:r>
    </w:p>
    <w:p w14:paraId="79064F2C">
      <w:pPr>
        <w:widowControl/>
        <w:shd w:val="clear" w:color="auto" w:fill="FFFFFF"/>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注：本项目采用网上智能远程开标，供应商无需到现场开标。</w:t>
      </w:r>
    </w:p>
    <w:p w14:paraId="2D922567">
      <w:pPr>
        <w:pStyle w:val="3"/>
        <w:numPr>
          <w:ilvl w:val="0"/>
          <w:numId w:val="0"/>
        </w:numPr>
        <w:tabs>
          <w:tab w:val="left" w:pos="360"/>
          <w:tab w:val="clear" w:pos="1304"/>
        </w:tabs>
        <w:spacing w:beforeLines="50" w:line="360" w:lineRule="auto"/>
        <w:ind w:left="511" w:hanging="511" w:hangingChars="212"/>
        <w:jc w:val="left"/>
        <w:rPr>
          <w:rFonts w:hint="eastAsia" w:ascii="宋体" w:hAnsi="宋体" w:eastAsia="宋体" w:cs="宋体"/>
          <w:color w:val="auto"/>
          <w:sz w:val="24"/>
          <w:szCs w:val="24"/>
          <w:highlight w:val="none"/>
        </w:rPr>
      </w:pPr>
      <w:bookmarkStart w:id="10" w:name="_Toc17762"/>
      <w:bookmarkStart w:id="11" w:name="_Toc115076981"/>
      <w:r>
        <w:rPr>
          <w:rFonts w:hint="eastAsia" w:ascii="宋体" w:hAnsi="宋体" w:eastAsia="宋体" w:cs="宋体"/>
          <w:color w:val="auto"/>
          <w:sz w:val="24"/>
          <w:szCs w:val="24"/>
          <w:highlight w:val="none"/>
        </w:rPr>
        <w:t>五、开启</w:t>
      </w:r>
      <w:bookmarkEnd w:id="10"/>
      <w:bookmarkEnd w:id="11"/>
    </w:p>
    <w:p w14:paraId="49087418">
      <w:pPr>
        <w:widowControl/>
        <w:shd w:val="clear" w:color="auto" w:fill="FFFFFF"/>
        <w:spacing w:line="360" w:lineRule="auto"/>
        <w:ind w:firstLine="482" w:firstLineChars="200"/>
        <w:jc w:val="left"/>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rPr>
        <w:t>时间：</w:t>
      </w:r>
      <w:r>
        <w:rPr>
          <w:rFonts w:hint="eastAsia" w:ascii="宋体" w:hAnsi="宋体" w:cs="宋体"/>
          <w:b/>
          <w:bCs/>
          <w:color w:val="auto"/>
          <w:kern w:val="0"/>
          <w:sz w:val="24"/>
          <w:highlight w:val="none"/>
          <w:lang w:eastAsia="zh-CN"/>
        </w:rPr>
        <w:t>2025年09月12日</w:t>
      </w:r>
      <w:r>
        <w:rPr>
          <w:rFonts w:hint="eastAsia" w:ascii="宋体" w:hAnsi="宋体" w:eastAsia="宋体" w:cs="宋体"/>
          <w:b/>
          <w:bCs/>
          <w:color w:val="auto"/>
          <w:kern w:val="0"/>
          <w:sz w:val="24"/>
          <w:highlight w:val="none"/>
          <w:lang w:val="en-US" w:eastAsia="zh-CN"/>
        </w:rPr>
        <w:t>09</w:t>
      </w:r>
      <w:r>
        <w:rPr>
          <w:rFonts w:hint="eastAsia" w:ascii="宋体" w:hAnsi="宋体" w:eastAsia="宋体" w:cs="宋体"/>
          <w:b/>
          <w:bCs/>
          <w:color w:val="auto"/>
          <w:kern w:val="0"/>
          <w:sz w:val="24"/>
          <w:highlight w:val="none"/>
        </w:rPr>
        <w:t>点</w:t>
      </w:r>
      <w:r>
        <w:rPr>
          <w:rFonts w:hint="eastAsia" w:ascii="宋体" w:hAnsi="宋体" w:eastAsia="宋体" w:cs="宋体"/>
          <w:b/>
          <w:bCs/>
          <w:color w:val="auto"/>
          <w:kern w:val="0"/>
          <w:sz w:val="24"/>
          <w:highlight w:val="none"/>
          <w:lang w:val="en-US" w:eastAsia="zh-CN"/>
        </w:rPr>
        <w:t>00</w:t>
      </w:r>
      <w:r>
        <w:rPr>
          <w:rFonts w:hint="eastAsia" w:ascii="宋体" w:hAnsi="宋体" w:eastAsia="宋体" w:cs="宋体"/>
          <w:b/>
          <w:bCs/>
          <w:color w:val="auto"/>
          <w:kern w:val="0"/>
          <w:sz w:val="24"/>
          <w:highlight w:val="none"/>
        </w:rPr>
        <w:t>分</w:t>
      </w:r>
      <w:r>
        <w:rPr>
          <w:rFonts w:hint="eastAsia" w:ascii="宋体" w:hAnsi="宋体" w:eastAsia="宋体" w:cs="宋体"/>
          <w:b w:val="0"/>
          <w:bCs w:val="0"/>
          <w:color w:val="auto"/>
          <w:kern w:val="0"/>
          <w:sz w:val="24"/>
          <w:highlight w:val="none"/>
        </w:rPr>
        <w:t>（北京时间）</w:t>
      </w:r>
    </w:p>
    <w:p w14:paraId="31FD6C68">
      <w:pPr>
        <w:widowControl/>
        <w:shd w:val="clear" w:color="auto" w:fill="FFFFFF"/>
        <w:spacing w:line="360" w:lineRule="auto"/>
        <w:ind w:firstLine="482" w:firstLineChars="200"/>
        <w:jc w:val="left"/>
        <w:rPr>
          <w:rFonts w:hint="eastAsia" w:ascii="宋体" w:hAnsi="宋体" w:eastAsia="宋体" w:cs="宋体"/>
          <w:b w:val="0"/>
          <w:bCs w:val="0"/>
          <w:color w:val="auto"/>
          <w:kern w:val="0"/>
          <w:sz w:val="24"/>
          <w:highlight w:val="none"/>
        </w:rPr>
      </w:pPr>
      <w:r>
        <w:rPr>
          <w:rFonts w:hint="eastAsia" w:ascii="宋体" w:hAnsi="宋体" w:eastAsia="宋体" w:cs="宋体"/>
          <w:b/>
          <w:bCs/>
          <w:color w:val="auto"/>
          <w:kern w:val="0"/>
          <w:sz w:val="24"/>
          <w:highlight w:val="none"/>
        </w:rPr>
        <w:t>地点：</w:t>
      </w:r>
      <w:r>
        <w:rPr>
          <w:rFonts w:hint="eastAsia" w:ascii="宋体" w:hAnsi="宋体" w:cs="宋体"/>
          <w:b w:val="0"/>
          <w:bCs w:val="0"/>
          <w:color w:val="auto"/>
          <w:kern w:val="0"/>
          <w:sz w:val="24"/>
          <w:highlight w:val="none"/>
          <w:lang w:eastAsia="zh-CN"/>
        </w:rPr>
        <w:t>云南一诺工程咨询管理有限公司</w:t>
      </w:r>
      <w:r>
        <w:rPr>
          <w:rFonts w:hint="eastAsia" w:ascii="宋体" w:hAnsi="宋体" w:eastAsia="宋体" w:cs="宋体"/>
          <w:b w:val="0"/>
          <w:bCs w:val="0"/>
          <w:color w:val="auto"/>
          <w:kern w:val="0"/>
          <w:sz w:val="24"/>
          <w:highlight w:val="none"/>
        </w:rPr>
        <w:t>（</w:t>
      </w:r>
      <w:r>
        <w:rPr>
          <w:rFonts w:hint="eastAsia" w:ascii="宋体" w:hAnsi="宋体" w:cs="宋体"/>
          <w:b w:val="0"/>
          <w:bCs w:val="0"/>
          <w:color w:val="auto"/>
          <w:kern w:val="0"/>
          <w:sz w:val="24"/>
          <w:highlight w:val="none"/>
          <w:lang w:eastAsia="zh-CN"/>
        </w:rPr>
        <w:t>兰坪县金江路163号</w:t>
      </w:r>
      <w:r>
        <w:rPr>
          <w:rFonts w:hint="eastAsia" w:ascii="宋体" w:hAnsi="宋体" w:eastAsia="宋体" w:cs="宋体"/>
          <w:b w:val="0"/>
          <w:bCs w:val="0"/>
          <w:color w:val="auto"/>
          <w:kern w:val="0"/>
          <w:sz w:val="24"/>
          <w:highlight w:val="none"/>
        </w:rPr>
        <w:t>）</w:t>
      </w:r>
    </w:p>
    <w:p w14:paraId="320324B2">
      <w:pPr>
        <w:pStyle w:val="3"/>
        <w:numPr>
          <w:ilvl w:val="0"/>
          <w:numId w:val="0"/>
        </w:numPr>
        <w:tabs>
          <w:tab w:val="left" w:pos="360"/>
          <w:tab w:val="clear" w:pos="1304"/>
        </w:tabs>
        <w:spacing w:beforeLines="50" w:line="360" w:lineRule="auto"/>
        <w:ind w:left="511" w:hanging="511" w:hangingChars="212"/>
        <w:jc w:val="left"/>
        <w:rPr>
          <w:rFonts w:hint="eastAsia" w:ascii="宋体" w:hAnsi="宋体" w:eastAsia="宋体" w:cs="宋体"/>
          <w:color w:val="auto"/>
          <w:sz w:val="24"/>
          <w:szCs w:val="24"/>
          <w:highlight w:val="none"/>
        </w:rPr>
      </w:pPr>
      <w:bookmarkStart w:id="12" w:name="_Toc5581"/>
      <w:bookmarkStart w:id="13" w:name="_Toc115076982"/>
      <w:r>
        <w:rPr>
          <w:rFonts w:hint="eastAsia" w:ascii="宋体" w:hAnsi="宋体" w:eastAsia="宋体" w:cs="宋体"/>
          <w:color w:val="auto"/>
          <w:sz w:val="24"/>
          <w:szCs w:val="24"/>
          <w:highlight w:val="none"/>
        </w:rPr>
        <w:t>六、公告期限</w:t>
      </w:r>
      <w:bookmarkEnd w:id="12"/>
      <w:bookmarkEnd w:id="13"/>
    </w:p>
    <w:p w14:paraId="03AB154A">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自本公告发布之日起</w:t>
      </w:r>
      <w:r>
        <w:rPr>
          <w:rFonts w:hint="eastAsia" w:ascii="宋体" w:hAnsi="宋体" w:cs="宋体"/>
          <w:color w:val="auto"/>
          <w:kern w:val="0"/>
          <w:sz w:val="24"/>
          <w:highlight w:val="none"/>
          <w:lang w:val="en-US" w:eastAsia="zh-CN"/>
        </w:rPr>
        <w:t>5</w:t>
      </w:r>
      <w:r>
        <w:rPr>
          <w:rFonts w:hint="eastAsia" w:ascii="宋体" w:hAnsi="宋体" w:eastAsia="宋体" w:cs="宋体"/>
          <w:color w:val="auto"/>
          <w:kern w:val="0"/>
          <w:sz w:val="24"/>
          <w:highlight w:val="none"/>
        </w:rPr>
        <w:t>个工作日。</w:t>
      </w:r>
    </w:p>
    <w:p w14:paraId="5AAAC9B5">
      <w:pPr>
        <w:pStyle w:val="3"/>
        <w:numPr>
          <w:ilvl w:val="0"/>
          <w:numId w:val="0"/>
        </w:numPr>
        <w:tabs>
          <w:tab w:val="left" w:pos="360"/>
          <w:tab w:val="clear" w:pos="1304"/>
        </w:tabs>
        <w:spacing w:beforeLines="50" w:line="360" w:lineRule="auto"/>
        <w:ind w:left="511" w:hanging="511" w:hangingChars="212"/>
        <w:jc w:val="left"/>
        <w:rPr>
          <w:rFonts w:hint="eastAsia" w:ascii="宋体" w:hAnsi="宋体" w:eastAsia="宋体" w:cs="宋体"/>
          <w:color w:val="auto"/>
          <w:sz w:val="24"/>
          <w:szCs w:val="24"/>
          <w:highlight w:val="none"/>
        </w:rPr>
      </w:pPr>
      <w:bookmarkStart w:id="14" w:name="_Toc18857"/>
      <w:bookmarkStart w:id="15" w:name="_Toc115076983"/>
      <w:r>
        <w:rPr>
          <w:rFonts w:hint="eastAsia" w:ascii="宋体" w:hAnsi="宋体" w:eastAsia="宋体" w:cs="宋体"/>
          <w:color w:val="auto"/>
          <w:sz w:val="24"/>
          <w:szCs w:val="24"/>
          <w:highlight w:val="none"/>
        </w:rPr>
        <w:t>七、其他补充事宜</w:t>
      </w:r>
      <w:bookmarkEnd w:id="14"/>
      <w:bookmarkEnd w:id="15"/>
    </w:p>
    <w:p w14:paraId="7E447ADB">
      <w:pPr>
        <w:widowControl/>
        <w:shd w:val="clear" w:color="auto" w:fill="FFFFFF"/>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1.开标方式：网上开标</w:t>
      </w:r>
    </w:p>
    <w:p w14:paraId="37CD805D">
      <w:pPr>
        <w:widowControl/>
        <w:shd w:val="clear" w:color="auto" w:fill="FFFFFF"/>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2.磋商保证金</w:t>
      </w:r>
    </w:p>
    <w:p w14:paraId="141B74B0">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保证金金额:</w:t>
      </w:r>
      <w:r>
        <w:rPr>
          <w:rFonts w:hint="eastAsia" w:ascii="宋体" w:hAnsi="宋体" w:cs="宋体"/>
          <w:color w:val="auto"/>
          <w:kern w:val="0"/>
          <w:sz w:val="24"/>
          <w:highlight w:val="none"/>
          <w:lang w:val="en-US" w:eastAsia="zh-CN"/>
        </w:rPr>
        <w:t>8</w:t>
      </w:r>
      <w:r>
        <w:rPr>
          <w:rFonts w:hint="eastAsia" w:ascii="宋体" w:hAnsi="宋体" w:eastAsia="宋体" w:cs="宋体"/>
          <w:color w:val="auto"/>
          <w:kern w:val="0"/>
          <w:sz w:val="24"/>
          <w:highlight w:val="none"/>
          <w:lang w:val="en-US" w:eastAsia="zh-CN"/>
        </w:rPr>
        <w:t>000.00元（</w:t>
      </w:r>
      <w:r>
        <w:rPr>
          <w:rFonts w:hint="eastAsia" w:ascii="宋体" w:hAnsi="宋体" w:cs="宋体"/>
          <w:color w:val="auto"/>
          <w:kern w:val="0"/>
          <w:sz w:val="24"/>
          <w:highlight w:val="none"/>
          <w:lang w:val="en-US" w:eastAsia="zh-CN"/>
        </w:rPr>
        <w:t>捌</w:t>
      </w:r>
      <w:r>
        <w:rPr>
          <w:rFonts w:hint="eastAsia" w:ascii="宋体" w:hAnsi="宋体" w:eastAsia="宋体" w:cs="宋体"/>
          <w:color w:val="auto"/>
          <w:kern w:val="0"/>
          <w:sz w:val="24"/>
          <w:highlight w:val="none"/>
          <w:lang w:val="en-US" w:eastAsia="zh-CN"/>
        </w:rPr>
        <w:t>仟元整）</w:t>
      </w:r>
    </w:p>
    <w:p w14:paraId="1023E1F9">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保证金递交方式：转账（须从单位基本帐户转出）或银行保函或保证保险或其他非现金方式。</w:t>
      </w:r>
    </w:p>
    <w:p w14:paraId="7A888150">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提交时间：响应文件提交截止时间前，逾期提交的磋商保证金无效。</w:t>
      </w:r>
    </w:p>
    <w:p w14:paraId="1359F9E6">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采用转账的方式提交保证金的，磋商保证金缴纳账户如下：</w:t>
      </w:r>
    </w:p>
    <w:p w14:paraId="3D218CE6">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开户名称：云南一诺工程咨询管理有限公司</w:t>
      </w:r>
    </w:p>
    <w:p w14:paraId="4B752033">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开户行：中国工商银行股份有限公司兰坪支行</w:t>
      </w:r>
    </w:p>
    <w:p w14:paraId="6D5A7D94">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账 号：2513041609200116758</w:t>
      </w:r>
    </w:p>
    <w:p w14:paraId="4D82630C">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备注：</w:t>
      </w:r>
      <w:r>
        <w:rPr>
          <w:rFonts w:hint="eastAsia" w:ascii="宋体" w:hAnsi="宋体" w:eastAsia="宋体" w:cs="宋体"/>
          <w:b/>
          <w:bCs/>
          <w:color w:val="auto"/>
          <w:kern w:val="0"/>
          <w:sz w:val="24"/>
          <w:highlight w:val="none"/>
        </w:rPr>
        <w:t>项目名称或项目编号</w:t>
      </w:r>
    </w:p>
    <w:p w14:paraId="281BDAC9">
      <w:pPr>
        <w:widowControl/>
        <w:shd w:val="clear" w:color="auto" w:fill="FFFFFF"/>
        <w:spacing w:line="360" w:lineRule="auto"/>
        <w:ind w:firstLine="480" w:firstLineChars="200"/>
        <w:jc w:val="left"/>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联系人：</w:t>
      </w:r>
      <w:r>
        <w:rPr>
          <w:rFonts w:hint="eastAsia" w:ascii="宋体" w:hAnsi="宋体" w:cs="宋体"/>
          <w:color w:val="auto"/>
          <w:kern w:val="0"/>
          <w:sz w:val="24"/>
          <w:highlight w:val="none"/>
          <w:lang w:val="en-US" w:eastAsia="zh-CN"/>
        </w:rPr>
        <w:t>雀师 18213139319</w:t>
      </w:r>
    </w:p>
    <w:p w14:paraId="43D2A054">
      <w:pPr>
        <w:widowControl/>
        <w:shd w:val="clear" w:color="auto" w:fill="FFFFFF"/>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3.其他费用</w:t>
      </w:r>
    </w:p>
    <w:p w14:paraId="50692103">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不论磋商的结果如何，供应商自行承担其参加本次采购活动编制响应文件及递交响应文件所涉及的一切费用；</w:t>
      </w:r>
      <w:r>
        <w:rPr>
          <w:rFonts w:hint="eastAsia" w:ascii="宋体" w:hAnsi="宋体" w:eastAsia="宋体" w:cs="宋体"/>
          <w:b/>
          <w:bCs/>
          <w:color w:val="auto"/>
          <w:kern w:val="0"/>
          <w:sz w:val="24"/>
          <w:highlight w:val="none"/>
        </w:rPr>
        <w:t>本项目采购代理服务费由成交人在领取成交通知书时向代理机构支付。</w:t>
      </w:r>
      <w:r>
        <w:rPr>
          <w:rFonts w:hint="eastAsia" w:ascii="宋体" w:hAnsi="宋体" w:eastAsia="宋体" w:cs="宋体"/>
          <w:color w:val="auto"/>
          <w:kern w:val="0"/>
          <w:sz w:val="24"/>
          <w:highlight w:val="none"/>
        </w:rPr>
        <w:t>供应商可采用现金或银行转账的方式支付采购代理服务费。</w:t>
      </w:r>
    </w:p>
    <w:p w14:paraId="0D09E14D">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采购代理费交纳账户信息：云南一诺工程咨询管理有限公司</w:t>
      </w:r>
    </w:p>
    <w:p w14:paraId="3C7D8D17">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开户行：中国工商银行股份有限公司兰坪支行</w:t>
      </w:r>
    </w:p>
    <w:p w14:paraId="10006E7F">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账 号：2513041609200116758</w:t>
      </w:r>
    </w:p>
    <w:p w14:paraId="5E063CE3">
      <w:pPr>
        <w:widowControl/>
        <w:shd w:val="clear" w:color="auto" w:fill="FFFFFF"/>
        <w:spacing w:line="360" w:lineRule="auto"/>
        <w:ind w:firstLine="480" w:firstLineChars="200"/>
        <w:jc w:val="left"/>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联系人：</w:t>
      </w:r>
      <w:r>
        <w:rPr>
          <w:rFonts w:hint="eastAsia" w:ascii="宋体" w:hAnsi="宋体" w:cs="宋体"/>
          <w:color w:val="auto"/>
          <w:kern w:val="0"/>
          <w:sz w:val="24"/>
          <w:highlight w:val="none"/>
          <w:lang w:val="en-US" w:eastAsia="zh-CN"/>
        </w:rPr>
        <w:t>雀师 18213139319</w:t>
      </w:r>
    </w:p>
    <w:p w14:paraId="75DB4152">
      <w:pPr>
        <w:widowControl/>
        <w:shd w:val="clear" w:color="auto" w:fill="FFFFFF"/>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4.公告发布媒体</w:t>
      </w:r>
    </w:p>
    <w:p w14:paraId="412E0D58">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4.1本公告将同时在</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rPr>
        <w:t>云南省政府采购网</w:t>
      </w:r>
      <w:r>
        <w:rPr>
          <w:rFonts w:hint="eastAsia" w:ascii="宋体" w:hAnsi="宋体" w:eastAsia="宋体" w:cs="宋体"/>
          <w:b/>
          <w:bCs/>
          <w:color w:val="auto"/>
          <w:kern w:val="0"/>
          <w:sz w:val="24"/>
          <w:highlight w:val="none"/>
          <w:lang w:eastAsia="zh-CN"/>
        </w:rPr>
        <w:t>、政府采购云平台”</w:t>
      </w:r>
      <w:r>
        <w:rPr>
          <w:rFonts w:hint="eastAsia" w:ascii="宋体" w:hAnsi="宋体" w:eastAsia="宋体" w:cs="宋体"/>
          <w:color w:val="auto"/>
          <w:kern w:val="0"/>
          <w:sz w:val="24"/>
          <w:highlight w:val="none"/>
        </w:rPr>
        <w:t>上发布。</w:t>
      </w:r>
      <w:r>
        <w:rPr>
          <w:rFonts w:hint="eastAsia" w:ascii="宋体" w:hAnsi="宋体" w:eastAsia="宋体" w:cs="宋体"/>
          <w:color w:val="auto"/>
          <w:kern w:val="0"/>
          <w:sz w:val="24"/>
          <w:highlight w:val="none"/>
          <w:lang w:val="en-US" w:eastAsia="zh-CN"/>
        </w:rPr>
        <w:t>供应商</w:t>
      </w:r>
      <w:r>
        <w:rPr>
          <w:rFonts w:hint="eastAsia" w:ascii="宋体" w:hAnsi="宋体" w:eastAsia="宋体" w:cs="宋体"/>
          <w:color w:val="auto"/>
          <w:kern w:val="0"/>
          <w:sz w:val="24"/>
          <w:highlight w:val="none"/>
        </w:rPr>
        <w:t>在参加磋商之前务必认真阅读磋商公告全部内容；磋商公告或磋商文件如有变更，将在磋商公告发布的同一媒介上发布。</w:t>
      </w:r>
    </w:p>
    <w:p w14:paraId="5E64FB36">
      <w:pPr>
        <w:widowControl/>
        <w:shd w:val="clear" w:color="auto" w:fill="FFFFFF"/>
        <w:spacing w:line="360" w:lineRule="auto"/>
        <w:ind w:firstLine="480" w:firstLineChars="200"/>
        <w:jc w:val="left"/>
        <w:rPr>
          <w:rFonts w:hint="eastAsia" w:ascii="宋体" w:hAnsi="宋体" w:eastAsia="宋体" w:cs="宋体"/>
          <w:b/>
          <w:bCs/>
          <w:color w:val="auto"/>
          <w:kern w:val="0"/>
          <w:sz w:val="24"/>
          <w:highlight w:val="none"/>
        </w:rPr>
      </w:pPr>
      <w:r>
        <w:rPr>
          <w:rFonts w:hint="eastAsia" w:ascii="宋体" w:hAnsi="宋体" w:eastAsia="宋体" w:cs="宋体"/>
          <w:color w:val="auto"/>
          <w:kern w:val="0"/>
          <w:sz w:val="24"/>
          <w:highlight w:val="none"/>
        </w:rPr>
        <w:t>4.2采购意向公开情况：根据《财政部关于开展政府采购意向公开工作的通知》（财库〔2020〕10号）等有关规定，</w:t>
      </w:r>
      <w:r>
        <w:rPr>
          <w:rFonts w:hint="eastAsia" w:ascii="宋体" w:hAnsi="宋体" w:eastAsia="宋体" w:cs="宋体"/>
          <w:b/>
          <w:bCs/>
          <w:color w:val="auto"/>
          <w:kern w:val="0"/>
          <w:sz w:val="24"/>
          <w:highlight w:val="none"/>
        </w:rPr>
        <w:t>2023年</w:t>
      </w:r>
      <w:r>
        <w:rPr>
          <w:rFonts w:hint="eastAsia" w:ascii="宋体" w:hAnsi="宋体" w:eastAsia="宋体" w:cs="宋体"/>
          <w:b/>
          <w:bCs/>
          <w:color w:val="auto"/>
          <w:kern w:val="0"/>
          <w:sz w:val="24"/>
          <w:highlight w:val="none"/>
          <w:lang w:val="en-US" w:eastAsia="zh-CN"/>
        </w:rPr>
        <w:t>9</w:t>
      </w:r>
      <w:r>
        <w:rPr>
          <w:rFonts w:hint="eastAsia" w:ascii="宋体" w:hAnsi="宋体" w:eastAsia="宋体" w:cs="宋体"/>
          <w:b/>
          <w:bCs/>
          <w:color w:val="auto"/>
          <w:kern w:val="0"/>
          <w:sz w:val="24"/>
          <w:highlight w:val="none"/>
        </w:rPr>
        <w:t>月</w:t>
      </w:r>
      <w:r>
        <w:rPr>
          <w:rFonts w:hint="eastAsia" w:ascii="宋体" w:hAnsi="宋体" w:eastAsia="宋体" w:cs="宋体"/>
          <w:b/>
          <w:bCs/>
          <w:color w:val="auto"/>
          <w:kern w:val="0"/>
          <w:sz w:val="24"/>
          <w:highlight w:val="none"/>
          <w:lang w:val="en-US" w:eastAsia="zh-CN"/>
        </w:rPr>
        <w:t>11</w:t>
      </w:r>
      <w:r>
        <w:rPr>
          <w:rFonts w:hint="eastAsia" w:ascii="宋体" w:hAnsi="宋体" w:eastAsia="宋体" w:cs="宋体"/>
          <w:b/>
          <w:bCs/>
          <w:color w:val="auto"/>
          <w:kern w:val="0"/>
          <w:sz w:val="24"/>
          <w:highlight w:val="none"/>
        </w:rPr>
        <w:t>日项目采购意向公开信息在云南省政府采购网发布，采购意向公开信息网址为http://www.yngp.com/viewPurchaseInfo.html?sys_purchaseintention_id=-1a21f869.191d65eadb3.-2ccd。</w:t>
      </w:r>
    </w:p>
    <w:p w14:paraId="5F910230">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4.3本项目采用在政府采购云平台（www.zcygov.cn）上进行采购与递交投标文件，采购过程具体操作流程请各投标人在政府采购云平台（https://www. zcygov.cn/）的网站操作指南中下载《供应商操作指南》查看操作或在该网站中采购学院中观看《政府采购电子交易供应商线上培训》相关视频。</w:t>
      </w:r>
      <w:r>
        <w:rPr>
          <w:rFonts w:hint="eastAsia" w:ascii="宋体" w:hAnsi="宋体" w:eastAsia="宋体" w:cs="宋体"/>
          <w:color w:val="auto"/>
          <w:kern w:val="0"/>
          <w:sz w:val="24"/>
          <w:highlight w:val="none"/>
          <w:lang w:val="en-US" w:eastAsia="zh-CN"/>
        </w:rPr>
        <w:t>供应商</w:t>
      </w:r>
      <w:r>
        <w:rPr>
          <w:rFonts w:hint="eastAsia" w:ascii="宋体" w:hAnsi="宋体" w:eastAsia="宋体" w:cs="宋体"/>
          <w:color w:val="auto"/>
          <w:kern w:val="0"/>
          <w:sz w:val="24"/>
          <w:highlight w:val="none"/>
        </w:rPr>
        <w:t>在制作响应文件前，需先下载政采云电子投标客户端并进行安装，下载安装完成之后，可通过账号密码或CA登录客户端制作响应文件（客户端下载网址： https://customer.zcygov.cn/CA-driver-download ）。</w:t>
      </w:r>
    </w:p>
    <w:p w14:paraId="7445217D">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4.4本次采购采用在政府采购云平台（www.zcygov.cn）开展电子化政府采购活动，投标人参与本项目需要使用CA（数字证书），云南支持云南壹证通CA、云南CA，申请相关说明如下：</w:t>
      </w:r>
    </w:p>
    <w:p w14:paraId="38056894">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（1）云南壹证通CA申领链接:http://yzt.ynsmartcert.cn/，登录名bszb（凭此登录名可直接登录）。云南壹证通7*24小时客户服务热线：0871-67276028。</w:t>
      </w:r>
    </w:p>
    <w:p w14:paraId="2E7F2D77">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（2）云南CA申领链接:https://cap.yunnanca.net/login，请投标人自行注册办理，云南CA客服热线400-6727-666。 </w:t>
      </w:r>
    </w:p>
    <w:p w14:paraId="4A76E4DB">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（3）如果投标人已办理以上任一CA机构的数字证书（CA）且证书处于有效期内，均可直接在政府采购云平台绑定即可，无需重复办理。</w:t>
      </w:r>
    </w:p>
    <w:p w14:paraId="06C3AE33">
      <w:pPr>
        <w:widowControl/>
        <w:shd w:val="clear" w:color="auto" w:fill="FFFFFF"/>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5.技术支持</w:t>
      </w:r>
    </w:p>
    <w:p w14:paraId="4194F22C">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政采云服务热线95763（服务时间：工作日8：00-20：00）。</w:t>
      </w:r>
    </w:p>
    <w:p w14:paraId="08A09B18">
      <w:pPr>
        <w:pStyle w:val="3"/>
        <w:numPr>
          <w:ilvl w:val="0"/>
          <w:numId w:val="0"/>
        </w:numPr>
        <w:tabs>
          <w:tab w:val="left" w:pos="360"/>
          <w:tab w:val="clear" w:pos="1304"/>
        </w:tabs>
        <w:spacing w:beforeLines="50" w:line="360" w:lineRule="auto"/>
        <w:ind w:left="511" w:hanging="511" w:hangingChars="212"/>
        <w:jc w:val="left"/>
        <w:rPr>
          <w:rFonts w:hint="eastAsia" w:ascii="宋体" w:hAnsi="宋体" w:eastAsia="宋体" w:cs="宋体"/>
          <w:color w:val="auto"/>
          <w:sz w:val="24"/>
          <w:szCs w:val="24"/>
          <w:highlight w:val="none"/>
        </w:rPr>
      </w:pPr>
      <w:bookmarkStart w:id="16" w:name="_Toc12654"/>
      <w:bookmarkStart w:id="17" w:name="_Toc115076984"/>
      <w:r>
        <w:rPr>
          <w:rFonts w:hint="eastAsia" w:ascii="宋体" w:hAnsi="宋体" w:eastAsia="宋体" w:cs="宋体"/>
          <w:color w:val="auto"/>
          <w:sz w:val="24"/>
          <w:szCs w:val="24"/>
          <w:highlight w:val="none"/>
        </w:rPr>
        <w:t>八、凡对本次采购提出询问，请按以下方式联系。</w:t>
      </w:r>
      <w:bookmarkEnd w:id="16"/>
      <w:bookmarkEnd w:id="17"/>
    </w:p>
    <w:p w14:paraId="465D1DCD">
      <w:pPr>
        <w:widowControl/>
        <w:adjustRightInd w:val="0"/>
        <w:snapToGrid w:val="0"/>
        <w:spacing w:line="360" w:lineRule="auto"/>
        <w:ind w:firstLine="482" w:firstLineChars="200"/>
        <w:jc w:val="left"/>
        <w:rPr>
          <w:rFonts w:hint="eastAsia" w:ascii="宋体" w:hAnsi="宋体" w:eastAsia="宋体" w:cs="宋体"/>
          <w:b/>
          <w:color w:val="auto"/>
          <w:kern w:val="0"/>
          <w:sz w:val="24"/>
          <w:szCs w:val="24"/>
          <w:highlight w:val="none"/>
          <w:lang w:bidi="en-US"/>
        </w:rPr>
      </w:pPr>
      <w:r>
        <w:rPr>
          <w:rFonts w:hint="eastAsia" w:ascii="宋体" w:hAnsi="宋体" w:eastAsia="宋体" w:cs="宋体"/>
          <w:b/>
          <w:color w:val="auto"/>
          <w:kern w:val="0"/>
          <w:sz w:val="24"/>
          <w:szCs w:val="24"/>
          <w:highlight w:val="none"/>
          <w:lang w:bidi="en-US"/>
        </w:rPr>
        <w:t>1.采购人信息</w:t>
      </w:r>
    </w:p>
    <w:p w14:paraId="76DB9A2B">
      <w:pPr>
        <w:widowControl/>
        <w:adjustRightInd w:val="0"/>
        <w:snapToGrid w:val="0"/>
        <w:spacing w:line="360" w:lineRule="auto"/>
        <w:ind w:firstLine="480" w:firstLineChars="200"/>
        <w:jc w:val="left"/>
        <w:rPr>
          <w:rFonts w:hint="eastAsia" w:ascii="宋体" w:hAnsi="宋体" w:eastAsia="宋体" w:cs="宋体"/>
          <w:color w:val="auto"/>
          <w:kern w:val="0"/>
          <w:sz w:val="24"/>
          <w:szCs w:val="24"/>
          <w:highlight w:val="none"/>
          <w:lang w:bidi="en-US"/>
        </w:rPr>
      </w:pPr>
      <w:r>
        <w:rPr>
          <w:rFonts w:hint="eastAsia" w:ascii="宋体" w:hAnsi="宋体" w:eastAsia="宋体" w:cs="宋体"/>
          <w:color w:val="auto"/>
          <w:kern w:val="0"/>
          <w:sz w:val="24"/>
          <w:szCs w:val="24"/>
          <w:highlight w:val="none"/>
          <w:lang w:bidi="en-US"/>
        </w:rPr>
        <w:t>名    称：</w:t>
      </w:r>
      <w:r>
        <w:rPr>
          <w:rFonts w:hint="eastAsia" w:ascii="宋体" w:hAnsi="宋体" w:eastAsia="宋体" w:cs="宋体"/>
          <w:color w:val="auto"/>
          <w:kern w:val="0"/>
          <w:sz w:val="24"/>
          <w:highlight w:val="none"/>
          <w:lang w:eastAsia="zh-CN"/>
        </w:rPr>
        <w:t>福贡县农业农村局</w:t>
      </w:r>
    </w:p>
    <w:p w14:paraId="35168651">
      <w:pPr>
        <w:widowControl/>
        <w:adjustRightInd w:val="0"/>
        <w:snapToGrid w:val="0"/>
        <w:spacing w:line="360" w:lineRule="auto"/>
        <w:ind w:firstLine="480" w:firstLineChars="200"/>
        <w:jc w:val="left"/>
        <w:rPr>
          <w:rFonts w:hint="eastAsia" w:ascii="宋体" w:hAnsi="宋体" w:eastAsia="宋体" w:cs="宋体"/>
          <w:color w:val="auto"/>
          <w:kern w:val="0"/>
          <w:sz w:val="24"/>
          <w:szCs w:val="24"/>
          <w:highlight w:val="none"/>
          <w:lang w:bidi="en-US"/>
        </w:rPr>
      </w:pPr>
      <w:r>
        <w:rPr>
          <w:rFonts w:hint="eastAsia" w:ascii="宋体" w:hAnsi="宋体" w:eastAsia="宋体" w:cs="宋体"/>
          <w:color w:val="auto"/>
          <w:kern w:val="0"/>
          <w:sz w:val="24"/>
          <w:szCs w:val="24"/>
          <w:highlight w:val="none"/>
          <w:lang w:bidi="en-US"/>
        </w:rPr>
        <w:t>地    址：怒江傈僳族自治州福贡县上帕街</w:t>
      </w:r>
    </w:p>
    <w:p w14:paraId="1544F7ED">
      <w:pPr>
        <w:widowControl/>
        <w:adjustRightInd w:val="0"/>
        <w:snapToGrid w:val="0"/>
        <w:spacing w:line="360" w:lineRule="auto"/>
        <w:ind w:firstLine="480" w:firstLineChars="200"/>
        <w:jc w:val="left"/>
        <w:rPr>
          <w:rFonts w:hint="eastAsia" w:ascii="宋体" w:hAnsi="宋体" w:eastAsia="宋体" w:cs="宋体"/>
          <w:color w:val="auto"/>
          <w:kern w:val="0"/>
          <w:sz w:val="24"/>
          <w:szCs w:val="24"/>
          <w:highlight w:val="none"/>
          <w:lang w:val="en-US" w:eastAsia="zh-CN" w:bidi="en-US"/>
        </w:rPr>
      </w:pPr>
      <w:r>
        <w:rPr>
          <w:rFonts w:hint="eastAsia" w:ascii="宋体" w:hAnsi="宋体" w:eastAsia="宋体" w:cs="宋体"/>
          <w:color w:val="auto"/>
          <w:kern w:val="0"/>
          <w:sz w:val="24"/>
          <w:szCs w:val="24"/>
          <w:highlight w:val="none"/>
          <w:lang w:bidi="en-US"/>
        </w:rPr>
        <w:t>联系方式：</w:t>
      </w:r>
      <w:r>
        <w:rPr>
          <w:rFonts w:hint="eastAsia" w:ascii="宋体" w:hAnsi="宋体" w:eastAsia="宋体" w:cs="宋体"/>
          <w:color w:val="auto"/>
          <w:kern w:val="0"/>
          <w:sz w:val="24"/>
          <w:szCs w:val="24"/>
          <w:highlight w:val="none"/>
          <w:lang w:val="en-US" w:eastAsia="zh-CN" w:bidi="en-US"/>
        </w:rPr>
        <w:t>13988685636</w:t>
      </w:r>
    </w:p>
    <w:p w14:paraId="6D8AAAEF">
      <w:pPr>
        <w:widowControl/>
        <w:adjustRightInd w:val="0"/>
        <w:snapToGrid w:val="0"/>
        <w:spacing w:line="360" w:lineRule="auto"/>
        <w:ind w:firstLine="482" w:firstLineChars="200"/>
        <w:jc w:val="left"/>
        <w:rPr>
          <w:rFonts w:hint="eastAsia" w:ascii="宋体" w:hAnsi="宋体" w:eastAsia="宋体" w:cs="宋体"/>
          <w:b/>
          <w:color w:val="auto"/>
          <w:kern w:val="0"/>
          <w:sz w:val="24"/>
          <w:szCs w:val="24"/>
          <w:highlight w:val="none"/>
          <w:lang w:bidi="en-US"/>
        </w:rPr>
      </w:pPr>
      <w:r>
        <w:rPr>
          <w:rFonts w:hint="eastAsia" w:ascii="宋体" w:hAnsi="宋体" w:eastAsia="宋体" w:cs="宋体"/>
          <w:b/>
          <w:color w:val="auto"/>
          <w:kern w:val="0"/>
          <w:sz w:val="24"/>
          <w:szCs w:val="24"/>
          <w:highlight w:val="none"/>
          <w:lang w:bidi="en-US"/>
        </w:rPr>
        <w:t>2.采购代理机构信息</w:t>
      </w:r>
    </w:p>
    <w:p w14:paraId="0578543A">
      <w:pPr>
        <w:widowControl/>
        <w:adjustRightInd w:val="0"/>
        <w:snapToGrid w:val="0"/>
        <w:spacing w:line="360" w:lineRule="auto"/>
        <w:ind w:firstLine="480" w:firstLineChars="200"/>
        <w:jc w:val="left"/>
        <w:rPr>
          <w:rFonts w:hint="eastAsia" w:ascii="宋体" w:hAnsi="宋体" w:eastAsia="宋体" w:cs="宋体"/>
          <w:color w:val="auto"/>
          <w:kern w:val="0"/>
          <w:sz w:val="24"/>
          <w:szCs w:val="24"/>
          <w:highlight w:val="none"/>
          <w:lang w:bidi="en-US"/>
        </w:rPr>
      </w:pPr>
      <w:r>
        <w:rPr>
          <w:rFonts w:hint="eastAsia" w:ascii="宋体" w:hAnsi="宋体" w:eastAsia="宋体" w:cs="宋体"/>
          <w:color w:val="auto"/>
          <w:kern w:val="0"/>
          <w:sz w:val="24"/>
          <w:szCs w:val="24"/>
          <w:highlight w:val="none"/>
          <w:lang w:bidi="en-US"/>
        </w:rPr>
        <w:t>名    称：</w:t>
      </w:r>
      <w:r>
        <w:rPr>
          <w:rFonts w:hint="eastAsia"/>
          <w:color w:val="auto"/>
          <w:sz w:val="24"/>
          <w:szCs w:val="24"/>
          <w:highlight w:val="none"/>
          <w:lang w:eastAsia="zh-CN"/>
        </w:rPr>
        <w:t>云南一诺工程咨询管理有限公司</w:t>
      </w:r>
    </w:p>
    <w:p w14:paraId="63A10F8B">
      <w:pPr>
        <w:widowControl/>
        <w:adjustRightInd w:val="0"/>
        <w:snapToGrid w:val="0"/>
        <w:spacing w:line="360" w:lineRule="auto"/>
        <w:ind w:firstLine="480" w:firstLineChars="200"/>
        <w:jc w:val="left"/>
        <w:rPr>
          <w:rFonts w:hint="default" w:ascii="宋体" w:hAnsi="宋体" w:eastAsia="宋体" w:cs="宋体"/>
          <w:color w:val="auto"/>
          <w:kern w:val="0"/>
          <w:sz w:val="24"/>
          <w:szCs w:val="24"/>
          <w:highlight w:val="none"/>
          <w:lang w:val="en-US" w:eastAsia="zh-CN" w:bidi="en-US"/>
        </w:rPr>
      </w:pPr>
      <w:r>
        <w:rPr>
          <w:rFonts w:hint="eastAsia" w:ascii="宋体" w:hAnsi="宋体" w:eastAsia="宋体" w:cs="宋体"/>
          <w:color w:val="auto"/>
          <w:kern w:val="0"/>
          <w:sz w:val="24"/>
          <w:szCs w:val="24"/>
          <w:highlight w:val="none"/>
          <w:lang w:bidi="en-US"/>
        </w:rPr>
        <w:t>地    址：</w:t>
      </w:r>
      <w:r>
        <w:rPr>
          <w:rFonts w:hint="eastAsia" w:ascii="宋体" w:hAnsi="宋体" w:cs="宋体"/>
          <w:color w:val="auto"/>
          <w:kern w:val="0"/>
          <w:sz w:val="24"/>
          <w:szCs w:val="24"/>
          <w:highlight w:val="none"/>
          <w:lang w:val="en-US" w:eastAsia="zh-CN" w:bidi="en-US"/>
        </w:rPr>
        <w:t>兰坪县金江路163号</w:t>
      </w:r>
    </w:p>
    <w:p w14:paraId="7799F98C">
      <w:pPr>
        <w:widowControl/>
        <w:tabs>
          <w:tab w:val="center" w:pos="5002"/>
        </w:tabs>
        <w:adjustRightInd w:val="0"/>
        <w:snapToGrid w:val="0"/>
        <w:spacing w:line="360" w:lineRule="auto"/>
        <w:ind w:firstLine="480" w:firstLineChars="200"/>
        <w:jc w:val="left"/>
        <w:rPr>
          <w:rFonts w:hint="default" w:ascii="宋体" w:hAnsi="宋体" w:eastAsia="宋体" w:cs="宋体"/>
          <w:color w:val="auto"/>
          <w:kern w:val="0"/>
          <w:sz w:val="24"/>
          <w:szCs w:val="24"/>
          <w:highlight w:val="none"/>
          <w:lang w:val="en-US" w:eastAsia="zh-CN" w:bidi="en-US"/>
        </w:rPr>
      </w:pPr>
      <w:r>
        <w:rPr>
          <w:rFonts w:hint="eastAsia" w:ascii="宋体" w:hAnsi="宋体" w:eastAsia="宋体" w:cs="宋体"/>
          <w:color w:val="auto"/>
          <w:kern w:val="0"/>
          <w:sz w:val="24"/>
          <w:szCs w:val="24"/>
          <w:highlight w:val="none"/>
          <w:lang w:bidi="en-US"/>
        </w:rPr>
        <w:t>联系方式：</w:t>
      </w:r>
      <w:r>
        <w:rPr>
          <w:rFonts w:hint="eastAsia" w:ascii="宋体" w:hAnsi="宋体" w:cs="宋体"/>
          <w:color w:val="auto"/>
          <w:kern w:val="0"/>
          <w:sz w:val="24"/>
          <w:szCs w:val="24"/>
          <w:highlight w:val="none"/>
          <w:lang w:val="en-US" w:eastAsia="zh-CN" w:bidi="en-US"/>
        </w:rPr>
        <w:t>19908868889</w:t>
      </w:r>
    </w:p>
    <w:p w14:paraId="2EA09F2D">
      <w:pPr>
        <w:tabs>
          <w:tab w:val="left" w:pos="8460"/>
        </w:tabs>
        <w:autoSpaceDE w:val="0"/>
        <w:autoSpaceDN w:val="0"/>
        <w:snapToGrid w:val="0"/>
        <w:spacing w:line="360" w:lineRule="auto"/>
        <w:ind w:right="-374" w:firstLine="480" w:firstLineChars="200"/>
        <w:rPr>
          <w:rFonts w:hint="eastAsia"/>
          <w:color w:val="auto"/>
          <w:sz w:val="24"/>
          <w:szCs w:val="24"/>
          <w:highlight w:val="none"/>
          <w:lang w:eastAsia="zh-CN"/>
        </w:rPr>
      </w:pPr>
      <w:bookmarkStart w:id="18" w:name="_Toc115076985"/>
      <w:r>
        <w:rPr>
          <w:rFonts w:hint="eastAsia"/>
          <w:color w:val="auto"/>
          <w:sz w:val="24"/>
          <w:szCs w:val="24"/>
          <w:highlight w:val="none"/>
          <w:lang w:eastAsia="zh-CN"/>
        </w:rPr>
        <w:t>监督单位：</w:t>
      </w:r>
      <w:r>
        <w:rPr>
          <w:rFonts w:hint="eastAsia"/>
          <w:color w:val="auto"/>
          <w:sz w:val="24"/>
          <w:szCs w:val="24"/>
          <w:highlight w:val="none"/>
          <w:lang w:val="en-US" w:eastAsia="zh-CN"/>
        </w:rPr>
        <w:t>福贡县</w:t>
      </w:r>
      <w:r>
        <w:rPr>
          <w:rFonts w:hint="eastAsia"/>
          <w:color w:val="auto"/>
          <w:sz w:val="24"/>
          <w:szCs w:val="24"/>
          <w:highlight w:val="none"/>
          <w:lang w:eastAsia="zh-CN"/>
        </w:rPr>
        <w:t>财政局政府采购监督管理股</w:t>
      </w:r>
    </w:p>
    <w:p w14:paraId="6ECC905F">
      <w:pPr>
        <w:tabs>
          <w:tab w:val="left" w:pos="8460"/>
        </w:tabs>
        <w:autoSpaceDE w:val="0"/>
        <w:autoSpaceDN w:val="0"/>
        <w:snapToGrid w:val="0"/>
        <w:spacing w:line="360" w:lineRule="auto"/>
        <w:ind w:right="-374" w:firstLine="480" w:firstLineChars="200"/>
        <w:rPr>
          <w:rFonts w:hint="default"/>
          <w:color w:val="auto"/>
          <w:sz w:val="24"/>
          <w:szCs w:val="24"/>
          <w:highlight w:val="none"/>
          <w:lang w:val="en-US" w:eastAsia="zh-CN"/>
        </w:rPr>
      </w:pPr>
      <w:r>
        <w:rPr>
          <w:rFonts w:hint="eastAsia"/>
          <w:color w:val="auto"/>
          <w:sz w:val="24"/>
          <w:szCs w:val="24"/>
          <w:highlight w:val="none"/>
          <w:lang w:eastAsia="zh-CN"/>
        </w:rPr>
        <w:t>电话：</w:t>
      </w:r>
      <w:r>
        <w:rPr>
          <w:rFonts w:hint="eastAsia"/>
          <w:color w:val="auto"/>
          <w:sz w:val="24"/>
          <w:szCs w:val="24"/>
          <w:highlight w:val="none"/>
          <w:lang w:val="en-US" w:eastAsia="zh-CN"/>
        </w:rPr>
        <w:t>0886-3411686</w:t>
      </w:r>
    </w:p>
    <w:p w14:paraId="535592A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bookmarkStart w:id="19" w:name="_Toc22532"/>
      <w:r>
        <w:rPr>
          <w:rFonts w:hint="eastAsia" w:ascii="宋体" w:hAnsi="宋体" w:eastAsia="宋体" w:cs="宋体"/>
          <w:b/>
          <w:color w:val="auto"/>
          <w:kern w:val="44"/>
          <w:sz w:val="32"/>
          <w:szCs w:val="32"/>
          <w:highlight w:val="none"/>
          <w:lang w:val="en-US" w:eastAsia="zh-CN" w:bidi="ar-SA"/>
        </w:rPr>
        <w:t>第二章  供应商须知</w:t>
      </w:r>
      <w:bookmarkEnd w:id="18"/>
      <w:bookmarkEnd w:id="19"/>
    </w:p>
    <w:p w14:paraId="6508E400">
      <w:pPr>
        <w:pStyle w:val="3"/>
        <w:numPr>
          <w:ilvl w:val="0"/>
          <w:numId w:val="0"/>
        </w:numPr>
        <w:tabs>
          <w:tab w:val="left" w:pos="360"/>
          <w:tab w:val="clear" w:pos="1304"/>
        </w:tabs>
        <w:spacing w:before="0"/>
        <w:jc w:val="center"/>
        <w:rPr>
          <w:rFonts w:hint="eastAsia" w:ascii="宋体" w:hAnsi="宋体" w:eastAsia="宋体" w:cs="宋体"/>
          <w:color w:val="auto"/>
          <w:szCs w:val="28"/>
          <w:highlight w:val="none"/>
        </w:rPr>
      </w:pPr>
      <w:bookmarkStart w:id="20" w:name="_Toc115076986"/>
      <w:bookmarkStart w:id="21" w:name="_Toc21188"/>
      <w:r>
        <w:rPr>
          <w:rFonts w:hint="eastAsia" w:ascii="宋体" w:hAnsi="宋体" w:eastAsia="宋体" w:cs="宋体"/>
          <w:color w:val="auto"/>
          <w:szCs w:val="28"/>
          <w:highlight w:val="none"/>
        </w:rPr>
        <w:t>供应商须知前附表</w:t>
      </w:r>
      <w:bookmarkEnd w:id="20"/>
      <w:bookmarkEnd w:id="21"/>
    </w:p>
    <w:tbl>
      <w:tblPr>
        <w:tblStyle w:val="35"/>
        <w:tblW w:w="10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2449"/>
        <w:gridCol w:w="7274"/>
      </w:tblGrid>
      <w:tr w14:paraId="7873D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blHeader/>
          <w:jc w:val="center"/>
        </w:trPr>
        <w:tc>
          <w:tcPr>
            <w:tcW w:w="975" w:type="dxa"/>
            <w:noWrap w:val="0"/>
            <w:vAlign w:val="center"/>
          </w:tcPr>
          <w:p w14:paraId="468098DE">
            <w:pPr>
              <w:pStyle w:val="16"/>
              <w:keepNext w:val="0"/>
              <w:keepLines w:val="0"/>
              <w:pageBreakBefore w:val="0"/>
              <w:kinsoku/>
              <w:wordWrap/>
              <w:overflowPunct/>
              <w:topLinePunct w:val="0"/>
              <w:bidi w:val="0"/>
              <w:spacing w:line="33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2449" w:type="dxa"/>
            <w:noWrap w:val="0"/>
            <w:vAlign w:val="center"/>
          </w:tcPr>
          <w:p w14:paraId="262241A8">
            <w:pPr>
              <w:pStyle w:val="16"/>
              <w:keepNext w:val="0"/>
              <w:keepLines w:val="0"/>
              <w:pageBreakBefore w:val="0"/>
              <w:kinsoku/>
              <w:wordWrap/>
              <w:overflowPunct/>
              <w:topLinePunct w:val="0"/>
              <w:bidi w:val="0"/>
              <w:spacing w:line="336"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 款 名 称</w:t>
            </w:r>
          </w:p>
        </w:tc>
        <w:tc>
          <w:tcPr>
            <w:tcW w:w="7274" w:type="dxa"/>
            <w:noWrap w:val="0"/>
            <w:vAlign w:val="center"/>
          </w:tcPr>
          <w:p w14:paraId="73BE29A1">
            <w:pPr>
              <w:pStyle w:val="16"/>
              <w:keepNext w:val="0"/>
              <w:keepLines w:val="0"/>
              <w:pageBreakBefore w:val="0"/>
              <w:kinsoku/>
              <w:wordWrap/>
              <w:overflowPunct/>
              <w:topLinePunct w:val="0"/>
              <w:bidi w:val="0"/>
              <w:spacing w:line="336"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编 列 内 容</w:t>
            </w:r>
          </w:p>
        </w:tc>
      </w:tr>
      <w:tr w14:paraId="19E82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4" w:hRule="atLeast"/>
          <w:jc w:val="center"/>
        </w:trPr>
        <w:tc>
          <w:tcPr>
            <w:tcW w:w="975" w:type="dxa"/>
            <w:vMerge w:val="restart"/>
            <w:noWrap w:val="0"/>
            <w:vAlign w:val="center"/>
          </w:tcPr>
          <w:p w14:paraId="6009CBF0">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2449" w:type="dxa"/>
            <w:noWrap w:val="0"/>
            <w:vAlign w:val="center"/>
          </w:tcPr>
          <w:p w14:paraId="1BB6388B">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采购人</w:t>
            </w:r>
          </w:p>
        </w:tc>
        <w:tc>
          <w:tcPr>
            <w:tcW w:w="7274" w:type="dxa"/>
            <w:noWrap w:val="0"/>
            <w:vAlign w:val="center"/>
          </w:tcPr>
          <w:p w14:paraId="304C972F">
            <w:pPr>
              <w:pStyle w:val="16"/>
              <w:keepNext w:val="0"/>
              <w:keepLines w:val="0"/>
              <w:pageBreakBefore w:val="0"/>
              <w:kinsoku/>
              <w:wordWrap/>
              <w:overflowPunct/>
              <w:topLinePunct w:val="0"/>
              <w:bidi w:val="0"/>
              <w:adjustRightInd w:val="0"/>
              <w:snapToGrid w:val="0"/>
              <w:spacing w:line="33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名 称：</w:t>
            </w:r>
            <w:r>
              <w:rPr>
                <w:rFonts w:hint="eastAsia" w:ascii="宋体" w:hAnsi="宋体" w:eastAsia="宋体" w:cs="宋体"/>
                <w:bCs/>
                <w:color w:val="auto"/>
                <w:sz w:val="24"/>
                <w:szCs w:val="24"/>
                <w:highlight w:val="none"/>
                <w:lang w:eastAsia="zh-CN"/>
              </w:rPr>
              <w:t>福贡县农业农村局</w:t>
            </w:r>
          </w:p>
          <w:p w14:paraId="77A58A23">
            <w:pPr>
              <w:keepNext w:val="0"/>
              <w:keepLines w:val="0"/>
              <w:pageBreakBefore w:val="0"/>
              <w:widowControl/>
              <w:shd w:val="clear" w:color="auto" w:fill="FFFFFF"/>
              <w:kinsoku/>
              <w:wordWrap/>
              <w:overflowPunct/>
              <w:topLinePunct w:val="0"/>
              <w:bidi w:val="0"/>
              <w:adjustRightInd w:val="0"/>
              <w:snapToGrid w:val="0"/>
              <w:spacing w:line="336" w:lineRule="auto"/>
              <w:jc w:val="left"/>
              <w:rPr>
                <w:rFonts w:hint="eastAsia" w:ascii="宋体" w:hAnsi="宋体" w:eastAsia="宋体" w:cs="宋体"/>
                <w:color w:val="auto"/>
                <w:kern w:val="0"/>
                <w:sz w:val="24"/>
                <w:highlight w:val="none"/>
              </w:rPr>
            </w:pPr>
            <w:r>
              <w:rPr>
                <w:rFonts w:hint="eastAsia" w:ascii="宋体" w:hAnsi="宋体" w:eastAsia="宋体" w:cs="宋体"/>
                <w:bCs/>
                <w:color w:val="auto"/>
                <w:sz w:val="24"/>
                <w:szCs w:val="24"/>
                <w:highlight w:val="none"/>
              </w:rPr>
              <w:t>地 址：</w:t>
            </w:r>
            <w:r>
              <w:rPr>
                <w:rFonts w:hint="eastAsia" w:ascii="宋体" w:hAnsi="宋体" w:eastAsia="宋体" w:cs="宋体"/>
                <w:color w:val="auto"/>
                <w:kern w:val="0"/>
                <w:sz w:val="24"/>
                <w:highlight w:val="none"/>
              </w:rPr>
              <w:t>怒江傈僳族自治州福贡县上帕街35号</w:t>
            </w:r>
          </w:p>
          <w:p w14:paraId="6167574D">
            <w:pPr>
              <w:pStyle w:val="16"/>
              <w:keepNext w:val="0"/>
              <w:keepLines w:val="0"/>
              <w:pageBreakBefore w:val="0"/>
              <w:kinsoku/>
              <w:wordWrap/>
              <w:overflowPunct/>
              <w:topLinePunct w:val="0"/>
              <w:bidi w:val="0"/>
              <w:adjustRightInd w:val="0"/>
              <w:snapToGrid w:val="0"/>
              <w:spacing w:line="33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联系人：</w:t>
            </w:r>
            <w:r>
              <w:rPr>
                <w:rFonts w:hint="eastAsia" w:ascii="宋体" w:hAnsi="宋体" w:eastAsia="宋体" w:cs="宋体"/>
                <w:bCs/>
                <w:color w:val="auto"/>
                <w:sz w:val="24"/>
                <w:szCs w:val="24"/>
                <w:highlight w:val="none"/>
                <w:lang w:val="en-US" w:eastAsia="zh-CN"/>
              </w:rPr>
              <w:t>李女士</w:t>
            </w:r>
          </w:p>
          <w:p w14:paraId="529C1AD1">
            <w:pPr>
              <w:pStyle w:val="16"/>
              <w:keepNext w:val="0"/>
              <w:keepLines w:val="0"/>
              <w:pageBreakBefore w:val="0"/>
              <w:kinsoku/>
              <w:wordWrap/>
              <w:overflowPunct/>
              <w:topLinePunct w:val="0"/>
              <w:bidi w:val="0"/>
              <w:adjustRightInd w:val="0"/>
              <w:snapToGrid w:val="0"/>
              <w:spacing w:line="336" w:lineRule="auto"/>
              <w:rPr>
                <w:rFonts w:hint="eastAsia" w:ascii="宋体" w:hAnsi="宋体" w:eastAsia="宋体" w:cs="宋体"/>
                <w:color w:val="auto"/>
                <w:highlight w:val="none"/>
                <w:lang w:val="en-US" w:eastAsia="zh-CN"/>
              </w:rPr>
            </w:pPr>
            <w:r>
              <w:rPr>
                <w:rFonts w:hint="eastAsia" w:ascii="宋体" w:hAnsi="宋体" w:eastAsia="宋体" w:cs="宋体"/>
                <w:bCs/>
                <w:color w:val="auto"/>
                <w:sz w:val="24"/>
                <w:szCs w:val="24"/>
                <w:highlight w:val="none"/>
              </w:rPr>
              <w:t>联系电话：</w:t>
            </w:r>
            <w:r>
              <w:rPr>
                <w:rFonts w:hint="eastAsia" w:ascii="宋体" w:hAnsi="宋体" w:eastAsia="宋体" w:cs="宋体"/>
                <w:color w:val="auto"/>
                <w:kern w:val="0"/>
                <w:sz w:val="24"/>
                <w:szCs w:val="24"/>
                <w:highlight w:val="none"/>
                <w:lang w:val="en-US" w:eastAsia="zh-CN" w:bidi="en-US"/>
              </w:rPr>
              <w:t>13988685636</w:t>
            </w:r>
          </w:p>
        </w:tc>
      </w:tr>
      <w:tr w14:paraId="4DC17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3" w:hRule="atLeast"/>
          <w:jc w:val="center"/>
        </w:trPr>
        <w:tc>
          <w:tcPr>
            <w:tcW w:w="975" w:type="dxa"/>
            <w:vMerge w:val="continue"/>
            <w:noWrap w:val="0"/>
            <w:vAlign w:val="center"/>
          </w:tcPr>
          <w:p w14:paraId="36DD93AB">
            <w:pPr>
              <w:keepNext w:val="0"/>
              <w:keepLines w:val="0"/>
              <w:pageBreakBefore w:val="0"/>
              <w:kinsoku/>
              <w:wordWrap/>
              <w:overflowPunct/>
              <w:topLinePunct w:val="0"/>
              <w:bidi w:val="0"/>
              <w:spacing w:line="336" w:lineRule="auto"/>
              <w:jc w:val="center"/>
              <w:rPr>
                <w:rFonts w:hint="eastAsia" w:ascii="宋体" w:hAnsi="宋体" w:eastAsia="宋体" w:cs="宋体"/>
                <w:color w:val="auto"/>
                <w:kern w:val="2"/>
                <w:sz w:val="21"/>
                <w:szCs w:val="21"/>
                <w:highlight w:val="none"/>
                <w:lang w:val="en-US" w:eastAsia="zh-CN" w:bidi="ar-SA"/>
              </w:rPr>
            </w:pPr>
          </w:p>
        </w:tc>
        <w:tc>
          <w:tcPr>
            <w:tcW w:w="2449" w:type="dxa"/>
            <w:noWrap w:val="0"/>
            <w:vAlign w:val="center"/>
          </w:tcPr>
          <w:p w14:paraId="6D635017">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采购代理机构</w:t>
            </w:r>
          </w:p>
        </w:tc>
        <w:tc>
          <w:tcPr>
            <w:tcW w:w="7274" w:type="dxa"/>
            <w:noWrap w:val="0"/>
            <w:vAlign w:val="center"/>
          </w:tcPr>
          <w:p w14:paraId="68969862">
            <w:pPr>
              <w:widowControl/>
              <w:adjustRightInd w:val="0"/>
              <w:snapToGrid w:val="0"/>
              <w:spacing w:line="360" w:lineRule="auto"/>
              <w:jc w:val="left"/>
              <w:rPr>
                <w:rFonts w:hint="eastAsia" w:ascii="宋体" w:hAnsi="宋体" w:eastAsia="宋体" w:cs="宋体"/>
                <w:color w:val="auto"/>
                <w:kern w:val="0"/>
                <w:sz w:val="24"/>
                <w:szCs w:val="24"/>
                <w:highlight w:val="none"/>
                <w:lang w:bidi="en-US"/>
              </w:rPr>
            </w:pPr>
            <w:r>
              <w:rPr>
                <w:rFonts w:hint="eastAsia" w:ascii="宋体" w:hAnsi="宋体" w:eastAsia="宋体" w:cs="宋体"/>
                <w:color w:val="auto"/>
                <w:kern w:val="0"/>
                <w:sz w:val="24"/>
                <w:szCs w:val="24"/>
                <w:highlight w:val="none"/>
                <w:lang w:bidi="en-US"/>
              </w:rPr>
              <w:t>名    称：</w:t>
            </w:r>
            <w:r>
              <w:rPr>
                <w:rFonts w:hint="eastAsia"/>
                <w:color w:val="auto"/>
                <w:sz w:val="24"/>
                <w:szCs w:val="24"/>
                <w:highlight w:val="none"/>
                <w:lang w:eastAsia="zh-CN"/>
              </w:rPr>
              <w:t>云南一诺工程咨询管理有限公司</w:t>
            </w:r>
          </w:p>
          <w:p w14:paraId="21DFD600">
            <w:pPr>
              <w:widowControl/>
              <w:adjustRightInd w:val="0"/>
              <w:snapToGrid w:val="0"/>
              <w:spacing w:line="360" w:lineRule="auto"/>
              <w:jc w:val="left"/>
              <w:rPr>
                <w:rFonts w:hint="default" w:ascii="宋体" w:hAnsi="宋体" w:eastAsia="宋体" w:cs="宋体"/>
                <w:color w:val="auto"/>
                <w:kern w:val="0"/>
                <w:sz w:val="24"/>
                <w:szCs w:val="24"/>
                <w:highlight w:val="none"/>
                <w:lang w:val="en-US" w:eastAsia="zh-CN" w:bidi="en-US"/>
              </w:rPr>
            </w:pPr>
            <w:r>
              <w:rPr>
                <w:rFonts w:hint="eastAsia" w:ascii="宋体" w:hAnsi="宋体" w:eastAsia="宋体" w:cs="宋体"/>
                <w:color w:val="auto"/>
                <w:kern w:val="0"/>
                <w:sz w:val="24"/>
                <w:szCs w:val="24"/>
                <w:highlight w:val="none"/>
                <w:lang w:bidi="en-US"/>
              </w:rPr>
              <w:t>地    址：</w:t>
            </w:r>
            <w:r>
              <w:rPr>
                <w:rFonts w:hint="eastAsia" w:ascii="宋体" w:hAnsi="宋体" w:cs="宋体"/>
                <w:color w:val="auto"/>
                <w:kern w:val="0"/>
                <w:sz w:val="24"/>
                <w:szCs w:val="24"/>
                <w:highlight w:val="none"/>
                <w:lang w:val="en-US" w:eastAsia="zh-CN" w:bidi="en-US"/>
              </w:rPr>
              <w:t>兰坪县金江路163号</w:t>
            </w:r>
          </w:p>
          <w:p w14:paraId="3DFD32BD">
            <w:pPr>
              <w:widowControl/>
              <w:tabs>
                <w:tab w:val="center" w:pos="5002"/>
              </w:tabs>
              <w:adjustRightInd w:val="0"/>
              <w:snapToGrid w:val="0"/>
              <w:spacing w:line="360" w:lineRule="auto"/>
              <w:jc w:val="left"/>
              <w:rPr>
                <w:rFonts w:hint="default" w:ascii="宋体" w:hAnsi="宋体" w:eastAsia="宋体" w:cs="宋体"/>
                <w:color w:val="auto"/>
                <w:kern w:val="0"/>
                <w:sz w:val="24"/>
                <w:szCs w:val="24"/>
                <w:highlight w:val="none"/>
                <w:lang w:val="en-US" w:eastAsia="zh-CN" w:bidi="en-US"/>
              </w:rPr>
            </w:pPr>
            <w:r>
              <w:rPr>
                <w:rFonts w:hint="eastAsia" w:ascii="宋体" w:hAnsi="宋体" w:eastAsia="宋体" w:cs="宋体"/>
                <w:color w:val="auto"/>
                <w:kern w:val="0"/>
                <w:sz w:val="24"/>
                <w:szCs w:val="24"/>
                <w:highlight w:val="none"/>
                <w:lang w:val="en-US" w:eastAsia="zh-CN" w:bidi="en-US"/>
              </w:rPr>
              <w:t>联系人：</w:t>
            </w:r>
            <w:r>
              <w:rPr>
                <w:rFonts w:hint="eastAsia" w:ascii="宋体" w:hAnsi="宋体" w:cs="宋体"/>
                <w:color w:val="auto"/>
                <w:kern w:val="0"/>
                <w:sz w:val="24"/>
                <w:szCs w:val="24"/>
                <w:highlight w:val="none"/>
                <w:lang w:val="en-US" w:eastAsia="zh-CN" w:bidi="en-US"/>
              </w:rPr>
              <w:t>和先生</w:t>
            </w:r>
          </w:p>
          <w:p w14:paraId="68AB5DB5">
            <w:pPr>
              <w:widowControl/>
              <w:tabs>
                <w:tab w:val="center" w:pos="5002"/>
              </w:tabs>
              <w:adjustRightInd w:val="0"/>
              <w:snapToGrid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kern w:val="0"/>
                <w:sz w:val="24"/>
                <w:szCs w:val="24"/>
                <w:highlight w:val="none"/>
                <w:lang w:bidi="en-US"/>
              </w:rPr>
              <w:t>联系方式：</w:t>
            </w:r>
            <w:r>
              <w:rPr>
                <w:rFonts w:hint="eastAsia" w:ascii="宋体" w:hAnsi="宋体" w:cs="宋体"/>
                <w:color w:val="auto"/>
                <w:kern w:val="0"/>
                <w:sz w:val="24"/>
                <w:szCs w:val="24"/>
                <w:highlight w:val="none"/>
                <w:lang w:val="en-US" w:eastAsia="zh-CN" w:bidi="en-US"/>
              </w:rPr>
              <w:t>19908868889</w:t>
            </w:r>
          </w:p>
        </w:tc>
      </w:tr>
      <w:tr w14:paraId="42E99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975" w:type="dxa"/>
            <w:vMerge w:val="continue"/>
            <w:noWrap w:val="0"/>
            <w:vAlign w:val="center"/>
          </w:tcPr>
          <w:p w14:paraId="422CFA63">
            <w:pPr>
              <w:keepNext w:val="0"/>
              <w:keepLines w:val="0"/>
              <w:pageBreakBefore w:val="0"/>
              <w:kinsoku/>
              <w:wordWrap/>
              <w:overflowPunct/>
              <w:topLinePunct w:val="0"/>
              <w:bidi w:val="0"/>
              <w:spacing w:line="336" w:lineRule="auto"/>
              <w:jc w:val="center"/>
              <w:rPr>
                <w:rFonts w:hint="eastAsia" w:ascii="宋体" w:hAnsi="宋体" w:eastAsia="宋体" w:cs="宋体"/>
                <w:color w:val="auto"/>
                <w:kern w:val="2"/>
                <w:sz w:val="21"/>
                <w:szCs w:val="21"/>
                <w:highlight w:val="none"/>
                <w:lang w:val="en-US" w:eastAsia="zh-CN" w:bidi="ar-SA"/>
              </w:rPr>
            </w:pPr>
          </w:p>
        </w:tc>
        <w:tc>
          <w:tcPr>
            <w:tcW w:w="2449" w:type="dxa"/>
            <w:noWrap w:val="0"/>
            <w:vAlign w:val="center"/>
          </w:tcPr>
          <w:p w14:paraId="6C91C082">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项目名称</w:t>
            </w:r>
          </w:p>
        </w:tc>
        <w:tc>
          <w:tcPr>
            <w:tcW w:w="7274" w:type="dxa"/>
            <w:noWrap w:val="0"/>
            <w:vAlign w:val="center"/>
          </w:tcPr>
          <w:p w14:paraId="49D83BF7">
            <w:pPr>
              <w:pStyle w:val="16"/>
              <w:keepNext w:val="0"/>
              <w:keepLines w:val="0"/>
              <w:pageBreakBefore w:val="0"/>
              <w:kinsoku/>
              <w:wordWrap/>
              <w:overflowPunct/>
              <w:topLinePunct w:val="0"/>
              <w:bidi w:val="0"/>
              <w:adjustRightInd w:val="0"/>
              <w:snapToGrid w:val="0"/>
              <w:spacing w:line="336" w:lineRule="auto"/>
              <w:rPr>
                <w:rFonts w:hint="eastAsia" w:ascii="宋体" w:hAnsi="宋体" w:eastAsia="宋体" w:cs="宋体"/>
                <w:bCs/>
                <w:color w:val="auto"/>
                <w:sz w:val="24"/>
                <w:szCs w:val="24"/>
                <w:highlight w:val="none"/>
                <w:lang w:eastAsia="zh-CN"/>
              </w:rPr>
            </w:pPr>
            <w:r>
              <w:rPr>
                <w:rFonts w:hint="eastAsia" w:hAnsi="宋体" w:cs="宋体"/>
                <w:bCs/>
                <w:color w:val="auto"/>
                <w:sz w:val="24"/>
                <w:szCs w:val="24"/>
                <w:highlight w:val="none"/>
                <w:lang w:eastAsia="zh-CN"/>
              </w:rPr>
              <w:t>福贡县2025年高素质农民培育项目（二次）</w:t>
            </w:r>
          </w:p>
        </w:tc>
      </w:tr>
      <w:tr w14:paraId="31DA6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975" w:type="dxa"/>
            <w:vMerge w:val="continue"/>
            <w:noWrap w:val="0"/>
            <w:vAlign w:val="center"/>
          </w:tcPr>
          <w:p w14:paraId="104DC205">
            <w:pPr>
              <w:keepNext w:val="0"/>
              <w:keepLines w:val="0"/>
              <w:pageBreakBefore w:val="0"/>
              <w:kinsoku/>
              <w:wordWrap/>
              <w:overflowPunct/>
              <w:topLinePunct w:val="0"/>
              <w:bidi w:val="0"/>
              <w:spacing w:line="336" w:lineRule="auto"/>
              <w:jc w:val="center"/>
              <w:rPr>
                <w:rFonts w:hint="eastAsia" w:ascii="宋体" w:hAnsi="宋体" w:eastAsia="宋体" w:cs="宋体"/>
                <w:color w:val="auto"/>
                <w:kern w:val="2"/>
                <w:sz w:val="21"/>
                <w:szCs w:val="21"/>
                <w:highlight w:val="none"/>
                <w:lang w:val="en-US" w:eastAsia="zh-CN" w:bidi="ar-SA"/>
              </w:rPr>
            </w:pPr>
          </w:p>
        </w:tc>
        <w:tc>
          <w:tcPr>
            <w:tcW w:w="2449" w:type="dxa"/>
            <w:noWrap w:val="0"/>
            <w:vAlign w:val="center"/>
          </w:tcPr>
          <w:p w14:paraId="4C1A42A8">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项目编号</w:t>
            </w:r>
          </w:p>
        </w:tc>
        <w:tc>
          <w:tcPr>
            <w:tcW w:w="7274" w:type="dxa"/>
            <w:noWrap w:val="0"/>
            <w:vAlign w:val="center"/>
          </w:tcPr>
          <w:p w14:paraId="794A7ABA">
            <w:pPr>
              <w:pStyle w:val="16"/>
              <w:keepNext w:val="0"/>
              <w:keepLines w:val="0"/>
              <w:pageBreakBefore w:val="0"/>
              <w:kinsoku/>
              <w:wordWrap/>
              <w:overflowPunct/>
              <w:topLinePunct w:val="0"/>
              <w:bidi w:val="0"/>
              <w:adjustRightInd w:val="0"/>
              <w:snapToGrid w:val="0"/>
              <w:spacing w:line="336"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一诺招字[2025]第010号</w:t>
            </w:r>
          </w:p>
        </w:tc>
      </w:tr>
      <w:tr w14:paraId="09388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2" w:hRule="atLeast"/>
          <w:jc w:val="center"/>
        </w:trPr>
        <w:tc>
          <w:tcPr>
            <w:tcW w:w="975" w:type="dxa"/>
            <w:vMerge w:val="continue"/>
            <w:noWrap w:val="0"/>
            <w:vAlign w:val="center"/>
          </w:tcPr>
          <w:p w14:paraId="43554013">
            <w:pPr>
              <w:keepNext w:val="0"/>
              <w:keepLines w:val="0"/>
              <w:pageBreakBefore w:val="0"/>
              <w:kinsoku/>
              <w:wordWrap/>
              <w:overflowPunct/>
              <w:topLinePunct w:val="0"/>
              <w:bidi w:val="0"/>
              <w:spacing w:line="336" w:lineRule="auto"/>
              <w:jc w:val="center"/>
              <w:rPr>
                <w:rFonts w:hint="eastAsia" w:ascii="宋体" w:hAnsi="宋体" w:eastAsia="宋体" w:cs="宋体"/>
                <w:color w:val="auto"/>
                <w:kern w:val="2"/>
                <w:sz w:val="21"/>
                <w:szCs w:val="21"/>
                <w:highlight w:val="none"/>
                <w:lang w:val="en-US" w:eastAsia="zh-CN" w:bidi="ar-SA"/>
              </w:rPr>
            </w:pPr>
          </w:p>
        </w:tc>
        <w:tc>
          <w:tcPr>
            <w:tcW w:w="2449" w:type="dxa"/>
            <w:noWrap w:val="0"/>
            <w:vAlign w:val="center"/>
          </w:tcPr>
          <w:p w14:paraId="2E8CA276">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项目预算及最高限价</w:t>
            </w:r>
          </w:p>
        </w:tc>
        <w:tc>
          <w:tcPr>
            <w:tcW w:w="7274" w:type="dxa"/>
            <w:noWrap w:val="0"/>
            <w:vAlign w:val="center"/>
          </w:tcPr>
          <w:p w14:paraId="173082A9">
            <w:pPr>
              <w:keepNext w:val="0"/>
              <w:keepLines w:val="0"/>
              <w:pageBreakBefore w:val="0"/>
              <w:widowControl/>
              <w:shd w:val="clear" w:color="auto" w:fill="FFFFFF"/>
              <w:kinsoku/>
              <w:wordWrap/>
              <w:overflowPunct/>
              <w:topLinePunct w:val="0"/>
              <w:bidi w:val="0"/>
              <w:adjustRightInd w:val="0"/>
              <w:snapToGrid w:val="0"/>
              <w:spacing w:line="336" w:lineRule="auto"/>
              <w:jc w:val="left"/>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项目预算：</w:t>
            </w:r>
            <w:r>
              <w:rPr>
                <w:rFonts w:hint="eastAsia" w:ascii="宋体" w:hAnsi="宋体" w:cs="宋体"/>
                <w:b/>
                <w:bCs/>
                <w:color w:val="auto"/>
                <w:kern w:val="0"/>
                <w:sz w:val="24"/>
                <w:highlight w:val="none"/>
                <w:lang w:val="en-US" w:eastAsia="zh-CN"/>
              </w:rPr>
              <w:t>82</w:t>
            </w:r>
            <w:r>
              <w:rPr>
                <w:rFonts w:hint="eastAsia" w:ascii="宋体" w:hAnsi="宋体" w:eastAsia="宋体" w:cs="宋体"/>
                <w:b/>
                <w:bCs/>
                <w:color w:val="auto"/>
                <w:kern w:val="0"/>
                <w:sz w:val="24"/>
                <w:highlight w:val="none"/>
                <w:lang w:val="en-US" w:eastAsia="zh-CN"/>
              </w:rPr>
              <w:t>万元。</w:t>
            </w:r>
          </w:p>
          <w:p w14:paraId="3F209D5D">
            <w:pPr>
              <w:keepNext w:val="0"/>
              <w:keepLines w:val="0"/>
              <w:pageBreakBefore w:val="0"/>
              <w:widowControl/>
              <w:shd w:val="clear" w:color="auto" w:fill="FFFFFF"/>
              <w:kinsoku/>
              <w:wordWrap/>
              <w:overflowPunct/>
              <w:topLinePunct w:val="0"/>
              <w:bidi w:val="0"/>
              <w:adjustRightInd w:val="0"/>
              <w:snapToGrid w:val="0"/>
              <w:spacing w:line="336" w:lineRule="auto"/>
              <w:jc w:val="left"/>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最高限价：</w:t>
            </w:r>
            <w:r>
              <w:rPr>
                <w:rFonts w:hint="eastAsia" w:ascii="宋体" w:hAnsi="宋体" w:cs="宋体"/>
                <w:b/>
                <w:bCs/>
                <w:color w:val="auto"/>
                <w:kern w:val="0"/>
                <w:sz w:val="24"/>
                <w:highlight w:val="none"/>
                <w:lang w:val="en-US" w:eastAsia="zh-CN"/>
              </w:rPr>
              <w:t>82</w:t>
            </w:r>
            <w:r>
              <w:rPr>
                <w:rFonts w:hint="eastAsia" w:ascii="宋体" w:hAnsi="宋体" w:eastAsia="宋体" w:cs="宋体"/>
                <w:b/>
                <w:bCs/>
                <w:color w:val="auto"/>
                <w:kern w:val="0"/>
                <w:sz w:val="24"/>
                <w:highlight w:val="none"/>
                <w:lang w:val="en-US" w:eastAsia="zh-CN"/>
              </w:rPr>
              <w:t>万元。</w:t>
            </w:r>
          </w:p>
          <w:p w14:paraId="60DD2191">
            <w:pPr>
              <w:keepNext w:val="0"/>
              <w:keepLines w:val="0"/>
              <w:pageBreakBefore w:val="0"/>
              <w:widowControl/>
              <w:shd w:val="clear" w:color="auto" w:fill="FFFFFF"/>
              <w:kinsoku/>
              <w:wordWrap/>
              <w:overflowPunct/>
              <w:topLinePunct w:val="0"/>
              <w:bidi w:val="0"/>
              <w:adjustRightInd w:val="0"/>
              <w:snapToGrid w:val="0"/>
              <w:spacing w:line="336" w:lineRule="auto"/>
              <w:jc w:val="left"/>
              <w:rPr>
                <w:rFonts w:hint="eastAsia" w:ascii="宋体" w:hAnsi="宋体" w:eastAsia="宋体" w:cs="宋体"/>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注：报价不得高于最高限价，否则做无效标书处理。</w:t>
            </w:r>
          </w:p>
        </w:tc>
      </w:tr>
      <w:tr w14:paraId="79FED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1" w:hRule="atLeast"/>
          <w:jc w:val="center"/>
        </w:trPr>
        <w:tc>
          <w:tcPr>
            <w:tcW w:w="975" w:type="dxa"/>
            <w:noWrap w:val="0"/>
            <w:vAlign w:val="center"/>
          </w:tcPr>
          <w:p w14:paraId="1E8D065C">
            <w:pPr>
              <w:keepNext w:val="0"/>
              <w:keepLines w:val="0"/>
              <w:pageBreakBefore w:val="0"/>
              <w:kinsoku/>
              <w:wordWrap/>
              <w:overflowPunct/>
              <w:topLinePunct w:val="0"/>
              <w:bidi w:val="0"/>
              <w:spacing w:line="336"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2.1</w:t>
            </w:r>
          </w:p>
        </w:tc>
        <w:tc>
          <w:tcPr>
            <w:tcW w:w="2449" w:type="dxa"/>
            <w:noWrap w:val="0"/>
            <w:vAlign w:val="center"/>
          </w:tcPr>
          <w:p w14:paraId="1B26C44D">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资金落实情况</w:t>
            </w:r>
          </w:p>
        </w:tc>
        <w:tc>
          <w:tcPr>
            <w:tcW w:w="7274" w:type="dxa"/>
            <w:noWrap w:val="0"/>
            <w:vAlign w:val="center"/>
          </w:tcPr>
          <w:p w14:paraId="4E7EB4EA">
            <w:pPr>
              <w:keepNext w:val="0"/>
              <w:keepLines w:val="0"/>
              <w:pageBreakBefore w:val="0"/>
              <w:widowControl w:val="0"/>
              <w:kinsoku/>
              <w:wordWrap/>
              <w:overflowPunct/>
              <w:topLinePunct w:val="0"/>
              <w:autoSpaceDE/>
              <w:autoSpaceDN/>
              <w:bidi w:val="0"/>
              <w:adjustRightInd w:val="0"/>
              <w:snapToGrid w:val="0"/>
              <w:spacing w:line="336" w:lineRule="auto"/>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《福贡县财政局关于下达2025年中央农业经营主体能力提升资金（第二批）的通知》（福财农[2025]6号、福财农[2025]29号文件</w:t>
            </w:r>
            <w:r>
              <w:rPr>
                <w:rFonts w:hint="eastAsia" w:ascii="宋体" w:hAnsi="宋体" w:cs="宋体"/>
                <w:color w:val="auto"/>
                <w:sz w:val="24"/>
                <w:szCs w:val="24"/>
                <w:highlight w:val="none"/>
                <w:lang w:val="en-US" w:eastAsia="zh-CN"/>
              </w:rPr>
              <w:t>)</w:t>
            </w:r>
          </w:p>
        </w:tc>
      </w:tr>
      <w:tr w14:paraId="19F3D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jc w:val="center"/>
        </w:trPr>
        <w:tc>
          <w:tcPr>
            <w:tcW w:w="975" w:type="dxa"/>
            <w:noWrap w:val="0"/>
            <w:vAlign w:val="center"/>
          </w:tcPr>
          <w:p w14:paraId="7A5C86CE">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3.1</w:t>
            </w:r>
          </w:p>
        </w:tc>
        <w:tc>
          <w:tcPr>
            <w:tcW w:w="2449" w:type="dxa"/>
            <w:noWrap w:val="0"/>
            <w:vAlign w:val="center"/>
          </w:tcPr>
          <w:p w14:paraId="10C281BA">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服务范围</w:t>
            </w:r>
          </w:p>
        </w:tc>
        <w:tc>
          <w:tcPr>
            <w:tcW w:w="7274" w:type="dxa"/>
            <w:noWrap w:val="0"/>
            <w:vAlign w:val="center"/>
          </w:tcPr>
          <w:p w14:paraId="3486F763">
            <w:pPr>
              <w:keepNext w:val="0"/>
              <w:keepLines w:val="0"/>
              <w:pageBreakBefore w:val="0"/>
              <w:widowControl/>
              <w:shd w:val="clear" w:color="auto" w:fill="FFFFFF"/>
              <w:kinsoku/>
              <w:wordWrap/>
              <w:overflowPunct/>
              <w:topLinePunct w:val="0"/>
              <w:bidi w:val="0"/>
              <w:adjustRightInd w:val="0"/>
              <w:snapToGrid w:val="0"/>
              <w:spacing w:line="336" w:lineRule="auto"/>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按照云南省农业农村厅下达的培育目标任务</w:t>
            </w:r>
            <w:r>
              <w:rPr>
                <w:rFonts w:hint="eastAsia" w:ascii="宋体" w:hAnsi="宋体" w:eastAsia="宋体" w:cs="宋体"/>
                <w:bCs/>
                <w:color w:val="auto"/>
                <w:sz w:val="24"/>
                <w:highlight w:val="none"/>
                <w:lang w:val="en-US" w:eastAsia="zh-CN"/>
              </w:rPr>
              <w:t>150人，县自筹经费培育110人，总计培育260人。其中：粮油和重要农产品生产经营主体提升培训</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草果种植管理全周期的技术培训100人、高山茶生态种植与特色加工技术培训55人），乡村治理人才培训（民宿（农家乐）经营群体的管理素质提升培训）55人，文明乡风培训（</w:t>
            </w:r>
            <w:r>
              <w:rPr>
                <w:rFonts w:hint="eastAsia" w:ascii="宋体" w:hAnsi="宋体" w:eastAsia="宋体" w:cs="宋体"/>
                <w:bCs/>
                <w:color w:val="auto"/>
                <w:sz w:val="24"/>
                <w:highlight w:val="none"/>
                <w:lang w:eastAsia="zh-CN"/>
              </w:rPr>
              <w:t>非遗保护和传承培训</w:t>
            </w:r>
            <w:r>
              <w:rPr>
                <w:rFonts w:hint="eastAsia" w:ascii="宋体" w:hAnsi="宋体" w:eastAsia="宋体" w:cs="宋体"/>
                <w:bCs/>
                <w:color w:val="auto"/>
                <w:sz w:val="24"/>
                <w:highlight w:val="none"/>
                <w:lang w:val="en-US" w:eastAsia="zh-CN"/>
              </w:rPr>
              <w:t>）50人。</w:t>
            </w:r>
            <w:r>
              <w:rPr>
                <w:rFonts w:hint="eastAsia" w:ascii="宋体" w:hAnsi="宋体" w:eastAsia="宋体" w:cs="宋体"/>
                <w:bCs/>
                <w:color w:val="auto"/>
                <w:sz w:val="24"/>
                <w:highlight w:val="none"/>
              </w:rPr>
              <w:t>；</w:t>
            </w:r>
            <w:r>
              <w:rPr>
                <w:rFonts w:hint="eastAsia" w:ascii="宋体" w:hAnsi="宋体" w:eastAsia="宋体" w:cs="宋体"/>
                <w:b/>
                <w:bCs w:val="0"/>
                <w:color w:val="auto"/>
                <w:sz w:val="24"/>
                <w:highlight w:val="none"/>
              </w:rPr>
              <w:t>具体详见竞争性磋商文件《采购需求》</w:t>
            </w:r>
            <w:r>
              <w:rPr>
                <w:rFonts w:hint="eastAsia" w:ascii="宋体" w:hAnsi="宋体" w:eastAsia="宋体" w:cs="宋体"/>
                <w:b/>
                <w:bCs w:val="0"/>
                <w:color w:val="auto"/>
                <w:sz w:val="24"/>
                <w:highlight w:val="none"/>
                <w:lang w:eastAsia="zh-CN"/>
              </w:rPr>
              <w:t>。</w:t>
            </w:r>
          </w:p>
        </w:tc>
      </w:tr>
      <w:tr w14:paraId="40E88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975" w:type="dxa"/>
            <w:noWrap w:val="0"/>
            <w:vAlign w:val="center"/>
          </w:tcPr>
          <w:p w14:paraId="5209A2F5">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3.2</w:t>
            </w:r>
          </w:p>
        </w:tc>
        <w:tc>
          <w:tcPr>
            <w:tcW w:w="2449" w:type="dxa"/>
            <w:noWrap w:val="0"/>
            <w:vAlign w:val="center"/>
          </w:tcPr>
          <w:p w14:paraId="7DA129EF">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服务期限</w:t>
            </w:r>
          </w:p>
        </w:tc>
        <w:tc>
          <w:tcPr>
            <w:tcW w:w="7274" w:type="dxa"/>
            <w:noWrap w:val="0"/>
            <w:vAlign w:val="center"/>
          </w:tcPr>
          <w:p w14:paraId="51EC2549">
            <w:pPr>
              <w:pStyle w:val="16"/>
              <w:keepNext w:val="0"/>
              <w:keepLines w:val="0"/>
              <w:pageBreakBefore w:val="0"/>
              <w:kinsoku/>
              <w:wordWrap/>
              <w:overflowPunct/>
              <w:topLinePunct w:val="0"/>
              <w:bidi w:val="0"/>
              <w:adjustRightInd w:val="0"/>
              <w:snapToGrid w:val="0"/>
              <w:spacing w:line="336"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自签订合同之日起至202</w:t>
            </w:r>
            <w:r>
              <w:rPr>
                <w:rFonts w:hint="eastAsia"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年1</w:t>
            </w:r>
            <w:r>
              <w:rPr>
                <w:rFonts w:hint="eastAsia"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月3</w:t>
            </w:r>
            <w:r>
              <w:rPr>
                <w:rFonts w:hint="eastAsia" w:hAnsi="宋体" w:cs="宋体"/>
                <w:bCs/>
                <w:color w:val="auto"/>
                <w:sz w:val="24"/>
                <w:szCs w:val="24"/>
                <w:highlight w:val="none"/>
                <w:lang w:val="en-US" w:eastAsia="zh-CN"/>
              </w:rPr>
              <w:t>0</w:t>
            </w:r>
            <w:r>
              <w:rPr>
                <w:rFonts w:hint="eastAsia" w:ascii="宋体" w:hAnsi="宋体" w:eastAsia="宋体" w:cs="宋体"/>
                <w:bCs/>
                <w:color w:val="auto"/>
                <w:sz w:val="24"/>
                <w:szCs w:val="24"/>
                <w:highlight w:val="none"/>
              </w:rPr>
              <w:t>日完成培育（具体按采购人安排的时间组织）。</w:t>
            </w:r>
          </w:p>
        </w:tc>
      </w:tr>
      <w:tr w14:paraId="03234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75" w:type="dxa"/>
            <w:noWrap w:val="0"/>
            <w:vAlign w:val="center"/>
          </w:tcPr>
          <w:p w14:paraId="46A5C8D9">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3.3</w:t>
            </w:r>
          </w:p>
        </w:tc>
        <w:tc>
          <w:tcPr>
            <w:tcW w:w="2449" w:type="dxa"/>
            <w:noWrap w:val="0"/>
            <w:vAlign w:val="center"/>
          </w:tcPr>
          <w:p w14:paraId="0D5C875D">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服务地点</w:t>
            </w:r>
          </w:p>
        </w:tc>
        <w:tc>
          <w:tcPr>
            <w:tcW w:w="7274" w:type="dxa"/>
            <w:noWrap w:val="0"/>
            <w:vAlign w:val="center"/>
          </w:tcPr>
          <w:p w14:paraId="01F0A584">
            <w:pPr>
              <w:pStyle w:val="16"/>
              <w:keepNext w:val="0"/>
              <w:keepLines w:val="0"/>
              <w:pageBreakBefore w:val="0"/>
              <w:kinsoku/>
              <w:wordWrap/>
              <w:overflowPunct/>
              <w:topLinePunct w:val="0"/>
              <w:bidi w:val="0"/>
              <w:adjustRightInd w:val="0"/>
              <w:snapToGrid w:val="0"/>
              <w:spacing w:line="336"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采购人指定地点</w:t>
            </w:r>
          </w:p>
        </w:tc>
      </w:tr>
      <w:tr w14:paraId="1D063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975" w:type="dxa"/>
            <w:noWrap w:val="0"/>
            <w:vAlign w:val="center"/>
          </w:tcPr>
          <w:p w14:paraId="60333811">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3.4</w:t>
            </w:r>
          </w:p>
        </w:tc>
        <w:tc>
          <w:tcPr>
            <w:tcW w:w="2449" w:type="dxa"/>
            <w:noWrap w:val="0"/>
            <w:vAlign w:val="center"/>
          </w:tcPr>
          <w:p w14:paraId="1E95808A">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服务质量标准</w:t>
            </w:r>
          </w:p>
        </w:tc>
        <w:tc>
          <w:tcPr>
            <w:tcW w:w="7274" w:type="dxa"/>
            <w:noWrap w:val="0"/>
            <w:vAlign w:val="center"/>
          </w:tcPr>
          <w:p w14:paraId="406BCA0B">
            <w:pPr>
              <w:pStyle w:val="16"/>
              <w:keepNext w:val="0"/>
              <w:keepLines w:val="0"/>
              <w:pageBreakBefore w:val="0"/>
              <w:kinsoku/>
              <w:wordWrap/>
              <w:overflowPunct/>
              <w:topLinePunct w:val="0"/>
              <w:bidi w:val="0"/>
              <w:adjustRightInd w:val="0"/>
              <w:snapToGrid w:val="0"/>
              <w:spacing w:line="336" w:lineRule="auto"/>
              <w:jc w:val="left"/>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szCs w:val="24"/>
                <w:highlight w:val="none"/>
                <w:lang w:val="en-US" w:eastAsia="zh-CN"/>
              </w:rPr>
              <w:t>围绕粮油稳产保供开展培育的人数不低于60%，培育对象信息入库率100%，满意度不低于90%，学员参评率不低于90%。并通过福贡县农业农村局组织相关部门验收，确保一次性验收合格</w:t>
            </w:r>
            <w:r>
              <w:rPr>
                <w:rFonts w:hint="eastAsia" w:ascii="宋体" w:hAnsi="宋体" w:eastAsia="宋体" w:cs="宋体"/>
                <w:b w:val="0"/>
                <w:bCs w:val="0"/>
                <w:color w:val="auto"/>
                <w:kern w:val="0"/>
                <w:sz w:val="24"/>
                <w:highlight w:val="none"/>
                <w:lang w:val="en-US" w:eastAsia="zh-CN"/>
              </w:rPr>
              <w:t>。</w:t>
            </w:r>
          </w:p>
        </w:tc>
      </w:tr>
      <w:tr w14:paraId="0897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975" w:type="dxa"/>
            <w:noWrap w:val="0"/>
            <w:vAlign w:val="center"/>
          </w:tcPr>
          <w:p w14:paraId="12954173">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3.5</w:t>
            </w:r>
          </w:p>
        </w:tc>
        <w:tc>
          <w:tcPr>
            <w:tcW w:w="2449" w:type="dxa"/>
            <w:noWrap w:val="0"/>
            <w:vAlign w:val="center"/>
          </w:tcPr>
          <w:p w14:paraId="4CC38A24">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是否接受联合体磋商</w:t>
            </w:r>
          </w:p>
        </w:tc>
        <w:tc>
          <w:tcPr>
            <w:tcW w:w="7274" w:type="dxa"/>
            <w:noWrap w:val="0"/>
            <w:vAlign w:val="center"/>
          </w:tcPr>
          <w:p w14:paraId="4BB79197">
            <w:pPr>
              <w:pStyle w:val="16"/>
              <w:keepNext w:val="0"/>
              <w:keepLines w:val="0"/>
              <w:pageBreakBefore w:val="0"/>
              <w:kinsoku/>
              <w:wordWrap/>
              <w:overflowPunct/>
              <w:topLinePunct w:val="0"/>
              <w:bidi w:val="0"/>
              <w:adjustRightInd w:val="0"/>
              <w:snapToGrid w:val="0"/>
              <w:spacing w:line="336"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EQ \o(</w:instrText>
            </w:r>
            <w:r>
              <w:rPr>
                <w:rFonts w:hint="eastAsia" w:ascii="宋体" w:hAnsi="宋体" w:eastAsia="宋体" w:cs="宋体"/>
                <w:b/>
                <w:color w:val="auto"/>
                <w:position w:val="-4"/>
                <w:sz w:val="36"/>
                <w:szCs w:val="24"/>
                <w:highlight w:val="none"/>
              </w:rPr>
              <w:instrText xml:space="preserve">□</w:instrText>
            </w:r>
            <w:r>
              <w:rPr>
                <w:rFonts w:hint="eastAsia" w:ascii="宋体" w:hAnsi="宋体" w:eastAsia="宋体" w:cs="宋体"/>
                <w:b/>
                <w:color w:val="auto"/>
                <w:sz w:val="24"/>
                <w:szCs w:val="24"/>
                <w:highlight w:val="none"/>
              </w:rPr>
              <w:instrText xml:space="preserve">,√)</w:instrTex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rPr>
              <w:t xml:space="preserve">不接受     </w:t>
            </w:r>
          </w:p>
          <w:p w14:paraId="45EB7B5A">
            <w:pPr>
              <w:pStyle w:val="16"/>
              <w:keepNext w:val="0"/>
              <w:keepLines w:val="0"/>
              <w:pageBreakBefore w:val="0"/>
              <w:kinsoku/>
              <w:wordWrap/>
              <w:overflowPunct/>
              <w:topLinePunct w:val="0"/>
              <w:bidi w:val="0"/>
              <w:adjustRightInd w:val="0"/>
              <w:snapToGrid w:val="0"/>
              <w:spacing w:line="336"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□接受</w:t>
            </w:r>
          </w:p>
        </w:tc>
      </w:tr>
      <w:tr w14:paraId="3F660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75" w:type="dxa"/>
            <w:noWrap w:val="0"/>
            <w:vAlign w:val="center"/>
          </w:tcPr>
          <w:p w14:paraId="16EF1644">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4.1</w:t>
            </w:r>
          </w:p>
        </w:tc>
        <w:tc>
          <w:tcPr>
            <w:tcW w:w="2449" w:type="dxa"/>
            <w:noWrap w:val="0"/>
            <w:vAlign w:val="center"/>
          </w:tcPr>
          <w:p w14:paraId="0B22032A">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供应商资格条件</w:t>
            </w:r>
          </w:p>
        </w:tc>
        <w:tc>
          <w:tcPr>
            <w:tcW w:w="7274" w:type="dxa"/>
            <w:noWrap w:val="0"/>
            <w:vAlign w:val="top"/>
          </w:tcPr>
          <w:p w14:paraId="5D7A900A">
            <w:pPr>
              <w:keepNext w:val="0"/>
              <w:keepLines w:val="0"/>
              <w:pageBreakBefore w:val="0"/>
              <w:kinsoku/>
              <w:wordWrap/>
              <w:overflowPunct/>
              <w:topLinePunct w:val="0"/>
              <w:autoSpaceDE w:val="0"/>
              <w:autoSpaceDN w:val="0"/>
              <w:bidi w:val="0"/>
              <w:adjustRightInd w:val="0"/>
              <w:snapToGrid w:val="0"/>
              <w:spacing w:line="336" w:lineRule="auto"/>
              <w:textAlignment w:val="bottom"/>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详见第一章“竞争性磋商公告”</w:t>
            </w:r>
          </w:p>
        </w:tc>
      </w:tr>
      <w:tr w14:paraId="76529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975" w:type="dxa"/>
            <w:noWrap w:val="0"/>
            <w:vAlign w:val="center"/>
          </w:tcPr>
          <w:p w14:paraId="7A547A7F">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9.1</w:t>
            </w:r>
          </w:p>
        </w:tc>
        <w:tc>
          <w:tcPr>
            <w:tcW w:w="2449" w:type="dxa"/>
            <w:noWrap w:val="0"/>
            <w:vAlign w:val="center"/>
          </w:tcPr>
          <w:p w14:paraId="56300834">
            <w:pPr>
              <w:keepNext w:val="0"/>
              <w:keepLines w:val="0"/>
              <w:pageBreakBefore w:val="0"/>
              <w:kinsoku/>
              <w:wordWrap/>
              <w:overflowPunct/>
              <w:topLinePunct w:val="0"/>
              <w:autoSpaceDE w:val="0"/>
              <w:autoSpaceDN w:val="0"/>
              <w:bidi w:val="0"/>
              <w:adjustRightInd w:val="0"/>
              <w:snapToGrid w:val="0"/>
              <w:spacing w:line="336" w:lineRule="auto"/>
              <w:jc w:val="center"/>
              <w:textAlignment w:val="bottom"/>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竞争性磋商文件澄清截止时间</w:t>
            </w:r>
          </w:p>
        </w:tc>
        <w:tc>
          <w:tcPr>
            <w:tcW w:w="7274" w:type="dxa"/>
            <w:noWrap w:val="0"/>
            <w:vAlign w:val="center"/>
          </w:tcPr>
          <w:p w14:paraId="282C4D61">
            <w:pPr>
              <w:keepNext w:val="0"/>
              <w:keepLines w:val="0"/>
              <w:pageBreakBefore w:val="0"/>
              <w:kinsoku/>
              <w:wordWrap/>
              <w:overflowPunct/>
              <w:topLinePunct w:val="0"/>
              <w:autoSpaceDE w:val="0"/>
              <w:autoSpaceDN w:val="0"/>
              <w:bidi w:val="0"/>
              <w:adjustRightInd w:val="0"/>
              <w:snapToGrid w:val="0"/>
              <w:spacing w:line="336" w:lineRule="auto"/>
              <w:textAlignment w:val="bottom"/>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提交响应文件截止时间5日前</w:t>
            </w:r>
          </w:p>
        </w:tc>
      </w:tr>
      <w:tr w14:paraId="65266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975" w:type="dxa"/>
            <w:noWrap w:val="0"/>
            <w:vAlign w:val="center"/>
          </w:tcPr>
          <w:p w14:paraId="7C1A5B2F">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w:t>
            </w:r>
          </w:p>
        </w:tc>
        <w:tc>
          <w:tcPr>
            <w:tcW w:w="2449" w:type="dxa"/>
            <w:noWrap w:val="0"/>
            <w:vAlign w:val="center"/>
          </w:tcPr>
          <w:p w14:paraId="6969A4DB">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采购人澄清或者修改磋商文件的时间</w:t>
            </w:r>
          </w:p>
        </w:tc>
        <w:tc>
          <w:tcPr>
            <w:tcW w:w="7274" w:type="dxa"/>
            <w:noWrap w:val="0"/>
            <w:vAlign w:val="center"/>
          </w:tcPr>
          <w:p w14:paraId="286E067A">
            <w:pPr>
              <w:keepNext w:val="0"/>
              <w:keepLines w:val="0"/>
              <w:pageBreakBefore w:val="0"/>
              <w:kinsoku/>
              <w:wordWrap/>
              <w:overflowPunct/>
              <w:topLinePunct w:val="0"/>
              <w:autoSpaceDE w:val="0"/>
              <w:autoSpaceDN w:val="0"/>
              <w:bidi w:val="0"/>
              <w:adjustRightInd w:val="0"/>
              <w:snapToGrid w:val="0"/>
              <w:spacing w:line="336" w:lineRule="auto"/>
              <w:textAlignment w:val="bottom"/>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rPr>
              <w:t>磋商截止时间至少5日前</w:t>
            </w:r>
          </w:p>
        </w:tc>
      </w:tr>
      <w:tr w14:paraId="4FB6B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75" w:type="dxa"/>
            <w:noWrap w:val="0"/>
            <w:vAlign w:val="center"/>
          </w:tcPr>
          <w:p w14:paraId="6A29BC50">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w:t>
            </w:r>
          </w:p>
        </w:tc>
        <w:tc>
          <w:tcPr>
            <w:tcW w:w="2449" w:type="dxa"/>
            <w:noWrap w:val="0"/>
            <w:vAlign w:val="center"/>
          </w:tcPr>
          <w:p w14:paraId="7031A9FF">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磋商有效期</w:t>
            </w:r>
          </w:p>
        </w:tc>
        <w:tc>
          <w:tcPr>
            <w:tcW w:w="7274" w:type="dxa"/>
            <w:noWrap w:val="0"/>
            <w:vAlign w:val="center"/>
          </w:tcPr>
          <w:p w14:paraId="7D425259">
            <w:pPr>
              <w:pStyle w:val="16"/>
              <w:keepNext w:val="0"/>
              <w:keepLines w:val="0"/>
              <w:pageBreakBefore w:val="0"/>
              <w:kinsoku/>
              <w:wordWrap/>
              <w:overflowPunct/>
              <w:topLinePunct w:val="0"/>
              <w:bidi w:val="0"/>
              <w:adjustRightInd w:val="0"/>
              <w:snapToGrid w:val="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从提交响应文件截止之日起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日历天</w:t>
            </w:r>
          </w:p>
        </w:tc>
      </w:tr>
      <w:tr w14:paraId="4440F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75" w:type="dxa"/>
            <w:noWrap w:val="0"/>
            <w:vAlign w:val="center"/>
          </w:tcPr>
          <w:p w14:paraId="2F8A53EB">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w:t>
            </w:r>
          </w:p>
        </w:tc>
        <w:tc>
          <w:tcPr>
            <w:tcW w:w="2449" w:type="dxa"/>
            <w:noWrap w:val="0"/>
            <w:vAlign w:val="center"/>
          </w:tcPr>
          <w:p w14:paraId="2EEA6131">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磋商保证金</w:t>
            </w:r>
          </w:p>
        </w:tc>
        <w:tc>
          <w:tcPr>
            <w:tcW w:w="7274" w:type="dxa"/>
            <w:noWrap w:val="0"/>
            <w:vAlign w:val="center"/>
          </w:tcPr>
          <w:p w14:paraId="6E66F564">
            <w:pPr>
              <w:keepNext w:val="0"/>
              <w:keepLines w:val="0"/>
              <w:pageBreakBefore w:val="0"/>
              <w:kinsoku/>
              <w:wordWrap/>
              <w:overflowPunct/>
              <w:topLinePunct w:val="0"/>
              <w:autoSpaceDE w:val="0"/>
              <w:autoSpaceDN w:val="0"/>
              <w:bidi w:val="0"/>
              <w:adjustRightInd w:val="0"/>
              <w:snapToGrid w:val="0"/>
              <w:spacing w:line="336" w:lineRule="auto"/>
              <w:textAlignment w:val="bottom"/>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详见第一章“竞争性磋商公告”</w:t>
            </w:r>
          </w:p>
        </w:tc>
      </w:tr>
      <w:tr w14:paraId="45BFD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975" w:type="dxa"/>
            <w:noWrap w:val="0"/>
            <w:vAlign w:val="center"/>
          </w:tcPr>
          <w:p w14:paraId="70AC0F80">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w:t>
            </w:r>
          </w:p>
        </w:tc>
        <w:tc>
          <w:tcPr>
            <w:tcW w:w="2449" w:type="dxa"/>
            <w:noWrap w:val="0"/>
            <w:vAlign w:val="center"/>
          </w:tcPr>
          <w:p w14:paraId="74F12A49">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响应文件密封</w:t>
            </w:r>
          </w:p>
        </w:tc>
        <w:tc>
          <w:tcPr>
            <w:tcW w:w="7274" w:type="dxa"/>
            <w:noWrap w:val="0"/>
            <w:vAlign w:val="center"/>
          </w:tcPr>
          <w:p w14:paraId="118B63C8">
            <w:pPr>
              <w:pStyle w:val="16"/>
              <w:keepNext w:val="0"/>
              <w:keepLines w:val="0"/>
              <w:pageBreakBefore w:val="0"/>
              <w:kinsoku/>
              <w:wordWrap/>
              <w:overflowPunct/>
              <w:topLinePunct w:val="0"/>
              <w:bidi w:val="0"/>
              <w:adjustRightInd w:val="0"/>
              <w:snapToGrid w:val="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登录“政采云”平台（https://www.zcygov.cn），供应商须在磋商截止时间前完成响应文件的电子签章、加密及上传，磋商截止时间前未完成响应文件上传的，视为撤回响应文件。</w:t>
            </w:r>
          </w:p>
        </w:tc>
      </w:tr>
      <w:tr w14:paraId="6131B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975" w:type="dxa"/>
            <w:noWrap w:val="0"/>
            <w:vAlign w:val="center"/>
          </w:tcPr>
          <w:p w14:paraId="6242551F">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w:t>
            </w:r>
          </w:p>
        </w:tc>
        <w:tc>
          <w:tcPr>
            <w:tcW w:w="2449" w:type="dxa"/>
            <w:noWrap w:val="0"/>
            <w:vAlign w:val="center"/>
          </w:tcPr>
          <w:p w14:paraId="630EE58C">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响应文件提交的截止时间</w:t>
            </w:r>
          </w:p>
        </w:tc>
        <w:tc>
          <w:tcPr>
            <w:tcW w:w="7274" w:type="dxa"/>
            <w:noWrap w:val="0"/>
            <w:vAlign w:val="center"/>
          </w:tcPr>
          <w:p w14:paraId="66212337">
            <w:pPr>
              <w:keepNext w:val="0"/>
              <w:keepLines w:val="0"/>
              <w:pageBreakBefore w:val="0"/>
              <w:kinsoku/>
              <w:wordWrap/>
              <w:overflowPunct/>
              <w:topLinePunct w:val="0"/>
              <w:bidi w:val="0"/>
              <w:adjustRightInd w:val="0"/>
              <w:snapToGrid w:val="0"/>
              <w:spacing w:line="33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详见第一章“竞争性磋商公告”</w:t>
            </w:r>
          </w:p>
        </w:tc>
      </w:tr>
      <w:tr w14:paraId="7BDAA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975" w:type="dxa"/>
            <w:noWrap w:val="0"/>
            <w:vAlign w:val="center"/>
          </w:tcPr>
          <w:p w14:paraId="129BC547">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w:t>
            </w:r>
          </w:p>
        </w:tc>
        <w:tc>
          <w:tcPr>
            <w:tcW w:w="2449" w:type="dxa"/>
            <w:noWrap w:val="0"/>
            <w:vAlign w:val="center"/>
          </w:tcPr>
          <w:p w14:paraId="24AFE241">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响应文件提交地点</w:t>
            </w:r>
          </w:p>
        </w:tc>
        <w:tc>
          <w:tcPr>
            <w:tcW w:w="7274" w:type="dxa"/>
            <w:noWrap w:val="0"/>
            <w:vAlign w:val="center"/>
          </w:tcPr>
          <w:p w14:paraId="3FFEDD3A">
            <w:pPr>
              <w:keepNext w:val="0"/>
              <w:keepLines w:val="0"/>
              <w:pageBreakBefore w:val="0"/>
              <w:kinsoku/>
              <w:wordWrap/>
              <w:overflowPunct/>
              <w:topLinePunct w:val="0"/>
              <w:bidi w:val="0"/>
              <w:adjustRightInd w:val="0"/>
              <w:snapToGrid w:val="0"/>
              <w:spacing w:line="33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详见第一章“竞争性磋商公告”</w:t>
            </w:r>
          </w:p>
        </w:tc>
      </w:tr>
      <w:tr w14:paraId="5713D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975" w:type="dxa"/>
            <w:noWrap w:val="0"/>
            <w:vAlign w:val="center"/>
          </w:tcPr>
          <w:p w14:paraId="30ED89B3">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w:t>
            </w:r>
          </w:p>
        </w:tc>
        <w:tc>
          <w:tcPr>
            <w:tcW w:w="2449" w:type="dxa"/>
            <w:noWrap w:val="0"/>
            <w:vAlign w:val="center"/>
          </w:tcPr>
          <w:p w14:paraId="6EEEFCBE">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是否退还响应文件</w:t>
            </w:r>
          </w:p>
        </w:tc>
        <w:tc>
          <w:tcPr>
            <w:tcW w:w="7274" w:type="dxa"/>
            <w:noWrap w:val="0"/>
            <w:vAlign w:val="center"/>
          </w:tcPr>
          <w:p w14:paraId="60FA9C69">
            <w:pPr>
              <w:pStyle w:val="16"/>
              <w:keepNext w:val="0"/>
              <w:keepLines w:val="0"/>
              <w:pageBreakBefore w:val="0"/>
              <w:kinsoku/>
              <w:wordWrap/>
              <w:overflowPunct/>
              <w:topLinePunct w:val="0"/>
              <w:bidi w:val="0"/>
              <w:adjustRightInd w:val="0"/>
              <w:snapToGrid w:val="0"/>
              <w:spacing w:line="33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EQ \o(</w:instrText>
            </w:r>
            <w:r>
              <w:rPr>
                <w:rFonts w:hint="eastAsia" w:ascii="宋体" w:hAnsi="宋体" w:eastAsia="宋体" w:cs="宋体"/>
                <w:b/>
                <w:color w:val="auto"/>
                <w:position w:val="-4"/>
                <w:sz w:val="36"/>
                <w:szCs w:val="24"/>
                <w:highlight w:val="none"/>
              </w:rPr>
              <w:instrText xml:space="preserve">□</w:instrText>
            </w:r>
            <w:r>
              <w:rPr>
                <w:rFonts w:hint="eastAsia" w:ascii="宋体" w:hAnsi="宋体" w:eastAsia="宋体" w:cs="宋体"/>
                <w:b/>
                <w:color w:val="auto"/>
                <w:sz w:val="24"/>
                <w:szCs w:val="24"/>
                <w:highlight w:val="none"/>
              </w:rPr>
              <w:instrText xml:space="preserve">,√)</w:instrTex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rPr>
              <w:t>否  □是</w:t>
            </w:r>
          </w:p>
        </w:tc>
      </w:tr>
      <w:tr w14:paraId="2BED7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975" w:type="dxa"/>
            <w:noWrap w:val="0"/>
            <w:vAlign w:val="center"/>
          </w:tcPr>
          <w:p w14:paraId="555C58EA">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w:t>
            </w:r>
          </w:p>
        </w:tc>
        <w:tc>
          <w:tcPr>
            <w:tcW w:w="2449" w:type="dxa"/>
            <w:noWrap w:val="0"/>
            <w:vAlign w:val="center"/>
          </w:tcPr>
          <w:p w14:paraId="622B898C">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磋商时间和地点</w:t>
            </w:r>
          </w:p>
        </w:tc>
        <w:tc>
          <w:tcPr>
            <w:tcW w:w="7274" w:type="dxa"/>
            <w:noWrap w:val="0"/>
            <w:vAlign w:val="center"/>
          </w:tcPr>
          <w:p w14:paraId="72ADEA80">
            <w:pPr>
              <w:pStyle w:val="16"/>
              <w:keepNext w:val="0"/>
              <w:keepLines w:val="0"/>
              <w:pageBreakBefore w:val="0"/>
              <w:kinsoku/>
              <w:wordWrap/>
              <w:overflowPunct/>
              <w:topLinePunct w:val="0"/>
              <w:bidi w:val="0"/>
              <w:adjustRightInd w:val="0"/>
              <w:snapToGrid w:val="0"/>
              <w:spacing w:line="33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磋商时间：详见“竞争性磋商公告”</w:t>
            </w:r>
          </w:p>
          <w:p w14:paraId="1EAE9468">
            <w:pPr>
              <w:pStyle w:val="16"/>
              <w:keepNext w:val="0"/>
              <w:keepLines w:val="0"/>
              <w:pageBreakBefore w:val="0"/>
              <w:kinsoku/>
              <w:wordWrap/>
              <w:overflowPunct/>
              <w:topLinePunct w:val="0"/>
              <w:bidi w:val="0"/>
              <w:adjustRightInd w:val="0"/>
              <w:snapToGrid w:val="0"/>
              <w:spacing w:line="336"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磋商地点：详见“竞争性磋商公告”</w:t>
            </w:r>
          </w:p>
        </w:tc>
      </w:tr>
      <w:tr w14:paraId="7F181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jc w:val="center"/>
        </w:trPr>
        <w:tc>
          <w:tcPr>
            <w:tcW w:w="975" w:type="dxa"/>
            <w:noWrap w:val="0"/>
            <w:vAlign w:val="center"/>
          </w:tcPr>
          <w:p w14:paraId="0DE06E9F">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20.2</w:t>
            </w:r>
          </w:p>
        </w:tc>
        <w:tc>
          <w:tcPr>
            <w:tcW w:w="2449" w:type="dxa"/>
            <w:noWrap w:val="0"/>
            <w:vAlign w:val="center"/>
          </w:tcPr>
          <w:p w14:paraId="598819C6">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磋商小组的组建</w:t>
            </w:r>
          </w:p>
        </w:tc>
        <w:tc>
          <w:tcPr>
            <w:tcW w:w="7274" w:type="dxa"/>
            <w:noWrap w:val="0"/>
            <w:vAlign w:val="center"/>
          </w:tcPr>
          <w:p w14:paraId="50FF936C">
            <w:pPr>
              <w:pStyle w:val="16"/>
              <w:keepNext w:val="0"/>
              <w:keepLines w:val="0"/>
              <w:pageBreakBefore w:val="0"/>
              <w:kinsoku/>
              <w:wordWrap/>
              <w:overflowPunct/>
              <w:topLinePunct w:val="0"/>
              <w:bidi w:val="0"/>
              <w:adjustRightInd w:val="0"/>
              <w:snapToGrid w:val="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磋商小组由采购人</w:t>
            </w:r>
            <w:r>
              <w:rPr>
                <w:rFonts w:hint="eastAsia" w:hAnsi="宋体" w:cs="宋体"/>
                <w:color w:val="auto"/>
                <w:sz w:val="24"/>
                <w:szCs w:val="24"/>
                <w:highlight w:val="none"/>
                <w:lang w:val="en-US" w:eastAsia="zh-CN"/>
              </w:rPr>
              <w:t>代表</w:t>
            </w:r>
            <w:r>
              <w:rPr>
                <w:rFonts w:hint="eastAsia" w:ascii="宋体" w:hAnsi="宋体" w:eastAsia="宋体" w:cs="宋体"/>
                <w:color w:val="auto"/>
                <w:sz w:val="24"/>
                <w:szCs w:val="24"/>
                <w:highlight w:val="none"/>
              </w:rPr>
              <w:t>和评审专家共3人以上单数组成，其中评审专家人数不得少于磋商小组成员总数的2/3。采购代理机构人员不得参加本机构代理的采购项目的评审。</w:t>
            </w:r>
          </w:p>
        </w:tc>
      </w:tr>
      <w:tr w14:paraId="7C6C7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3" w:hRule="atLeast"/>
          <w:jc w:val="center"/>
        </w:trPr>
        <w:tc>
          <w:tcPr>
            <w:tcW w:w="975" w:type="dxa"/>
            <w:noWrap w:val="0"/>
            <w:vAlign w:val="center"/>
          </w:tcPr>
          <w:p w14:paraId="5BECE420">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27</w:t>
            </w:r>
          </w:p>
        </w:tc>
        <w:tc>
          <w:tcPr>
            <w:tcW w:w="2449" w:type="dxa"/>
            <w:noWrap w:val="0"/>
            <w:vAlign w:val="center"/>
          </w:tcPr>
          <w:p w14:paraId="08464131">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履约保证金金额</w:t>
            </w:r>
          </w:p>
        </w:tc>
        <w:tc>
          <w:tcPr>
            <w:tcW w:w="7274" w:type="dxa"/>
            <w:noWrap w:val="0"/>
            <w:vAlign w:val="center"/>
          </w:tcPr>
          <w:p w14:paraId="2B76DA9D">
            <w:pPr>
              <w:pStyle w:val="16"/>
              <w:keepNext w:val="0"/>
              <w:keepLines w:val="0"/>
              <w:pageBreakBefore w:val="0"/>
              <w:kinsoku/>
              <w:wordWrap/>
              <w:overflowPunct/>
              <w:topLinePunct w:val="0"/>
              <w:bidi w:val="0"/>
              <w:adjustRightInd w:val="0"/>
              <w:snapToGrid w:val="0"/>
              <w:spacing w:line="336"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EQ \o(</w:instrText>
            </w:r>
            <w:r>
              <w:rPr>
                <w:rFonts w:hint="eastAsia" w:ascii="宋体" w:hAnsi="宋体" w:eastAsia="宋体" w:cs="宋体"/>
                <w:b/>
                <w:color w:val="auto"/>
                <w:position w:val="-4"/>
                <w:sz w:val="36"/>
                <w:szCs w:val="24"/>
                <w:highlight w:val="none"/>
              </w:rPr>
              <w:instrText xml:space="preserve">□</w:instrText>
            </w:r>
            <w:r>
              <w:rPr>
                <w:rFonts w:hint="eastAsia" w:ascii="宋体" w:hAnsi="宋体" w:eastAsia="宋体" w:cs="宋体"/>
                <w:b/>
                <w:color w:val="auto"/>
                <w:sz w:val="24"/>
                <w:szCs w:val="24"/>
                <w:highlight w:val="none"/>
              </w:rPr>
              <w:instrText xml:space="preserve">,√)</w:instrTex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rPr>
              <w:t>无</w:t>
            </w:r>
          </w:p>
          <w:p w14:paraId="362F330C">
            <w:pPr>
              <w:pStyle w:val="16"/>
              <w:keepNext w:val="0"/>
              <w:keepLines w:val="0"/>
              <w:pageBreakBefore w:val="0"/>
              <w:kinsoku/>
              <w:wordWrap/>
              <w:overflowPunct/>
              <w:topLinePunct w:val="0"/>
              <w:bidi w:val="0"/>
              <w:adjustRightInd w:val="0"/>
              <w:snapToGrid w:val="0"/>
              <w:spacing w:line="336" w:lineRule="auto"/>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□有</w:t>
            </w:r>
          </w:p>
          <w:p w14:paraId="7CAF4948">
            <w:pPr>
              <w:pStyle w:val="16"/>
              <w:keepNext w:val="0"/>
              <w:keepLines w:val="0"/>
              <w:pageBreakBefore w:val="0"/>
              <w:kinsoku/>
              <w:wordWrap/>
              <w:overflowPunct/>
              <w:topLinePunct w:val="0"/>
              <w:bidi w:val="0"/>
              <w:adjustRightInd w:val="0"/>
              <w:snapToGrid w:val="0"/>
              <w:spacing w:line="336"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履约保证金形式:</w:t>
            </w:r>
            <w:r>
              <w:rPr>
                <w:rFonts w:hint="eastAsia" w:ascii="宋体" w:hAnsi="宋体" w:eastAsia="宋体" w:cs="宋体"/>
                <w:color w:val="auto"/>
                <w:sz w:val="24"/>
                <w:szCs w:val="24"/>
                <w:highlight w:val="none"/>
              </w:rPr>
              <w:t>成交人以现金或银行保函或保证保险等方式，具体提交形式双方协商而定。</w:t>
            </w:r>
          </w:p>
          <w:p w14:paraId="2FDA1175">
            <w:pPr>
              <w:pStyle w:val="16"/>
              <w:keepNext w:val="0"/>
              <w:keepLines w:val="0"/>
              <w:pageBreakBefore w:val="0"/>
              <w:kinsoku/>
              <w:wordWrap/>
              <w:overflowPunct/>
              <w:topLinePunct w:val="0"/>
              <w:bidi w:val="0"/>
              <w:adjustRightInd w:val="0"/>
              <w:snapToGrid w:val="0"/>
              <w:spacing w:line="336"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履约保证金金额:</w:t>
            </w:r>
            <w:r>
              <w:rPr>
                <w:rFonts w:hint="eastAsia" w:ascii="宋体" w:hAnsi="宋体" w:eastAsia="宋体" w:cs="宋体"/>
                <w:color w:val="auto"/>
                <w:sz w:val="24"/>
                <w:szCs w:val="24"/>
                <w:highlight w:val="none"/>
              </w:rPr>
              <w:t>履约保证金金额为不超合同总价的10%，具体金额由双方协商确定，签订合同前由成交人向采购人提交履约保证金。</w:t>
            </w:r>
          </w:p>
        </w:tc>
      </w:tr>
      <w:tr w14:paraId="2F6F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4" w:hRule="atLeast"/>
          <w:jc w:val="center"/>
        </w:trPr>
        <w:tc>
          <w:tcPr>
            <w:tcW w:w="975" w:type="dxa"/>
            <w:noWrap w:val="0"/>
            <w:vAlign w:val="center"/>
          </w:tcPr>
          <w:p w14:paraId="0A7F27DC">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28</w:t>
            </w:r>
          </w:p>
        </w:tc>
        <w:tc>
          <w:tcPr>
            <w:tcW w:w="2449" w:type="dxa"/>
            <w:noWrap w:val="0"/>
            <w:vAlign w:val="center"/>
          </w:tcPr>
          <w:p w14:paraId="6AEAADD4">
            <w:pPr>
              <w:pStyle w:val="16"/>
              <w:keepNext w:val="0"/>
              <w:keepLines w:val="0"/>
              <w:pageBreakBefore w:val="0"/>
              <w:kinsoku/>
              <w:wordWrap/>
              <w:overflowPunct/>
              <w:topLinePunct w:val="0"/>
              <w:bidi w:val="0"/>
              <w:adjustRightInd w:val="0"/>
              <w:snapToGrid w:val="0"/>
              <w:spacing w:line="336" w:lineRule="auto"/>
              <w:jc w:val="center"/>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相关费用</w:t>
            </w:r>
          </w:p>
        </w:tc>
        <w:tc>
          <w:tcPr>
            <w:tcW w:w="7274" w:type="dxa"/>
            <w:noWrap w:val="0"/>
            <w:vAlign w:val="center"/>
          </w:tcPr>
          <w:p w14:paraId="28780FFF">
            <w:pPr>
              <w:pStyle w:val="16"/>
              <w:keepNext w:val="0"/>
              <w:keepLines w:val="0"/>
              <w:pageBreakBefore w:val="0"/>
              <w:kinsoku/>
              <w:wordWrap/>
              <w:overflowPunct/>
              <w:topLinePunct w:val="0"/>
              <w:bidi w:val="0"/>
              <w:adjustRightInd w:val="0"/>
              <w:snapToGrid w:val="0"/>
              <w:spacing w:line="336"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1.不论磋商的结果如何，供应商自行承担其参加本次采购活动编制响应文件及递交响应文件所涉及的一切费用；</w:t>
            </w:r>
          </w:p>
          <w:p w14:paraId="478EE379">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2.采购代理服务费：本项目采购代理服务费参照《云南省建设工程招标代理服务收费参考意见》（云建招协〔2024〕58号）服务类收取。</w:t>
            </w:r>
            <w:r>
              <w:rPr>
                <w:rFonts w:hint="eastAsia" w:ascii="宋体" w:hAnsi="宋体" w:eastAsia="宋体" w:cs="宋体"/>
                <w:b/>
                <w:bCs/>
                <w:color w:val="auto"/>
                <w:sz w:val="24"/>
                <w:szCs w:val="24"/>
                <w:highlight w:val="none"/>
                <w:lang w:val="en-US" w:eastAsia="zh-CN"/>
              </w:rPr>
              <w:t>由成交人在领取成交通知书时向代理机构支付。</w:t>
            </w:r>
            <w:r>
              <w:rPr>
                <w:rFonts w:hint="eastAsia" w:ascii="宋体" w:hAnsi="宋体" w:eastAsia="宋体" w:cs="宋体"/>
                <w:color w:val="auto"/>
                <w:sz w:val="24"/>
                <w:szCs w:val="24"/>
                <w:highlight w:val="none"/>
                <w:lang w:val="en-US" w:eastAsia="zh-CN"/>
              </w:rPr>
              <w:t>在采购工作结束发放成交通知书时由成交人一次性全额付清</w:t>
            </w:r>
            <w:r>
              <w:rPr>
                <w:rFonts w:hint="eastAsia" w:ascii="宋体" w:hAnsi="宋体" w:eastAsia="宋体" w:cs="宋体"/>
                <w:bCs/>
                <w:color w:val="auto"/>
                <w:sz w:val="24"/>
                <w:szCs w:val="24"/>
                <w:highlight w:val="none"/>
              </w:rPr>
              <w:t>。</w:t>
            </w:r>
          </w:p>
        </w:tc>
      </w:tr>
      <w:tr w14:paraId="664F3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2" w:hRule="atLeast"/>
          <w:jc w:val="center"/>
        </w:trPr>
        <w:tc>
          <w:tcPr>
            <w:tcW w:w="975" w:type="dxa"/>
            <w:noWrap w:val="0"/>
            <w:vAlign w:val="center"/>
          </w:tcPr>
          <w:p w14:paraId="0DEAFE85">
            <w:pPr>
              <w:pStyle w:val="16"/>
              <w:keepNext w:val="0"/>
              <w:keepLines w:val="0"/>
              <w:pageBreakBefore w:val="0"/>
              <w:kinsoku/>
              <w:wordWrap/>
              <w:overflowPunct/>
              <w:topLinePunct w:val="0"/>
              <w:bidi w:val="0"/>
              <w:spacing w:line="33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30.1</w:t>
            </w:r>
          </w:p>
        </w:tc>
        <w:tc>
          <w:tcPr>
            <w:tcW w:w="2449" w:type="dxa"/>
            <w:noWrap w:val="0"/>
            <w:vAlign w:val="center"/>
          </w:tcPr>
          <w:p w14:paraId="21E83A3B">
            <w:pPr>
              <w:pStyle w:val="16"/>
              <w:keepNext w:val="0"/>
              <w:keepLines w:val="0"/>
              <w:pageBreakBefore w:val="0"/>
              <w:kinsoku/>
              <w:wordWrap/>
              <w:overflowPunct/>
              <w:topLinePunct w:val="0"/>
              <w:bidi w:val="0"/>
              <w:adjustRightInd w:val="0"/>
              <w:snapToGrid w:val="0"/>
              <w:spacing w:line="336"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其它需要补充的内容</w:t>
            </w:r>
          </w:p>
        </w:tc>
        <w:tc>
          <w:tcPr>
            <w:tcW w:w="7274" w:type="dxa"/>
            <w:noWrap w:val="0"/>
            <w:vAlign w:val="center"/>
          </w:tcPr>
          <w:p w14:paraId="7B2D6623">
            <w:pPr>
              <w:pStyle w:val="16"/>
              <w:keepNext w:val="0"/>
              <w:keepLines w:val="0"/>
              <w:pageBreakBefore w:val="0"/>
              <w:kinsoku/>
              <w:wordWrap/>
              <w:overflowPunct/>
              <w:topLinePunct w:val="0"/>
              <w:bidi w:val="0"/>
              <w:adjustRightInd w:val="0"/>
              <w:snapToGrid w:val="0"/>
              <w:spacing w:line="336"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（1）供应商须知内容与前附表不一致的，以前附表为准。</w:t>
            </w:r>
          </w:p>
          <w:p w14:paraId="59858329">
            <w:pPr>
              <w:pStyle w:val="16"/>
              <w:keepNext w:val="0"/>
              <w:keepLines w:val="0"/>
              <w:pageBreakBefore w:val="0"/>
              <w:kinsoku/>
              <w:wordWrap/>
              <w:overflowPunct/>
              <w:topLinePunct w:val="0"/>
              <w:bidi w:val="0"/>
              <w:adjustRightInd w:val="0"/>
              <w:snapToGrid w:val="0"/>
              <w:spacing w:line="336"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供应商如发现磋商文件及其评标办法中存在含糊不清、相互矛盾、多种含义以及歧视性不公正条款或违法违规等内容时，请在提疑截止时间前同时向采购人、采购代理机构书面反映，逾期视为对磋商文件条款没有任何异议。</w:t>
            </w:r>
          </w:p>
          <w:p w14:paraId="6C3E297D">
            <w:pPr>
              <w:pStyle w:val="16"/>
              <w:keepNext w:val="0"/>
              <w:keepLines w:val="0"/>
              <w:pageBreakBefore w:val="0"/>
              <w:kinsoku/>
              <w:wordWrap/>
              <w:overflowPunct/>
              <w:topLinePunct w:val="0"/>
              <w:bidi w:val="0"/>
              <w:adjustRightInd w:val="0"/>
              <w:snapToGrid w:val="0"/>
              <w:spacing w:line="336"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（3）成交人</w:t>
            </w:r>
            <w:r>
              <w:rPr>
                <w:rFonts w:hint="eastAsia" w:ascii="宋体" w:hAnsi="宋体" w:eastAsia="宋体" w:cs="宋体"/>
                <w:b/>
                <w:bCs/>
                <w:color w:val="auto"/>
                <w:sz w:val="24"/>
                <w:szCs w:val="24"/>
                <w:highlight w:val="none"/>
                <w:lang w:eastAsia="zh-CN"/>
              </w:rPr>
              <w:t>与采购人</w:t>
            </w:r>
            <w:r>
              <w:rPr>
                <w:rFonts w:hint="eastAsia" w:ascii="宋体" w:hAnsi="宋体" w:eastAsia="宋体" w:cs="宋体"/>
                <w:b/>
                <w:bCs/>
                <w:color w:val="auto"/>
                <w:sz w:val="24"/>
                <w:szCs w:val="24"/>
                <w:highlight w:val="none"/>
              </w:rPr>
              <w:t>签订合同</w:t>
            </w:r>
            <w:r>
              <w:rPr>
                <w:rFonts w:hint="eastAsia" w:ascii="宋体" w:hAnsi="宋体" w:eastAsia="宋体" w:cs="宋体"/>
                <w:b/>
                <w:bCs/>
                <w:color w:val="auto"/>
                <w:sz w:val="24"/>
                <w:szCs w:val="24"/>
                <w:highlight w:val="none"/>
                <w:lang w:eastAsia="zh-CN"/>
              </w:rPr>
              <w:t>时，</w:t>
            </w:r>
            <w:r>
              <w:rPr>
                <w:rFonts w:hint="eastAsia" w:ascii="宋体" w:hAnsi="宋体" w:eastAsia="宋体" w:cs="宋体"/>
                <w:b/>
                <w:bCs/>
                <w:color w:val="auto"/>
                <w:sz w:val="24"/>
                <w:szCs w:val="24"/>
                <w:highlight w:val="none"/>
              </w:rPr>
              <w:t>须提供与电子版响应文件相同的一正一副纸质版响应文件。</w:t>
            </w:r>
          </w:p>
          <w:p w14:paraId="67EFEB58">
            <w:pPr>
              <w:pStyle w:val="16"/>
              <w:keepNext w:val="0"/>
              <w:keepLines w:val="0"/>
              <w:pageBreakBefore w:val="0"/>
              <w:kinsoku/>
              <w:wordWrap/>
              <w:overflowPunct/>
              <w:topLinePunct w:val="0"/>
              <w:bidi w:val="0"/>
              <w:adjustRightInd w:val="0"/>
              <w:snapToGrid w:val="0"/>
              <w:spacing w:line="336"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本项目</w:t>
            </w:r>
            <w:r>
              <w:rPr>
                <w:rFonts w:hint="eastAsia" w:ascii="宋体" w:hAnsi="宋体" w:eastAsia="宋体" w:cs="宋体"/>
                <w:b/>
                <w:bCs/>
                <w:color w:val="auto"/>
                <w:sz w:val="24"/>
                <w:szCs w:val="24"/>
                <w:highlight w:val="none"/>
                <w:lang w:val="en-US" w:eastAsia="zh-CN"/>
              </w:rPr>
              <w:t>中</w:t>
            </w:r>
            <w:r>
              <w:rPr>
                <w:rFonts w:hint="eastAsia" w:ascii="宋体" w:hAnsi="宋体" w:eastAsia="宋体" w:cs="宋体"/>
                <w:b/>
                <w:bCs/>
                <w:color w:val="auto"/>
                <w:sz w:val="24"/>
                <w:szCs w:val="24"/>
                <w:highlight w:val="none"/>
              </w:rPr>
              <w:t>小</w:t>
            </w:r>
            <w:r>
              <w:rPr>
                <w:rFonts w:hint="eastAsia" w:ascii="宋体" w:hAnsi="宋体" w:eastAsia="宋体" w:cs="宋体"/>
                <w:b/>
                <w:bCs/>
                <w:color w:val="auto"/>
                <w:sz w:val="24"/>
                <w:szCs w:val="24"/>
                <w:highlight w:val="none"/>
                <w:lang w:val="en-US" w:eastAsia="zh-CN"/>
              </w:rPr>
              <w:t>微</w:t>
            </w:r>
            <w:r>
              <w:rPr>
                <w:rFonts w:hint="eastAsia" w:ascii="宋体" w:hAnsi="宋体" w:eastAsia="宋体" w:cs="宋体"/>
                <w:b/>
                <w:bCs/>
                <w:color w:val="auto"/>
                <w:sz w:val="24"/>
                <w:szCs w:val="24"/>
                <w:highlight w:val="none"/>
              </w:rPr>
              <w:t>企业划分所属行业：其他未列明行业</w:t>
            </w:r>
          </w:p>
          <w:p w14:paraId="55C662A7">
            <w:pPr>
              <w:pStyle w:val="16"/>
              <w:keepNext w:val="0"/>
              <w:keepLines w:val="0"/>
              <w:pageBreakBefore w:val="0"/>
              <w:kinsoku/>
              <w:wordWrap/>
              <w:overflowPunct/>
              <w:topLinePunct w:val="0"/>
              <w:bidi w:val="0"/>
              <w:adjustRightInd w:val="0"/>
              <w:snapToGrid w:val="0"/>
              <w:spacing w:line="336" w:lineRule="auto"/>
              <w:jc w:val="left"/>
              <w:rPr>
                <w:rFonts w:hint="eastAsia" w:ascii="宋体" w:hAnsi="宋体" w:eastAsia="宋体" w:cs="宋体"/>
                <w:color w:val="auto"/>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为保证</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文件的完整性，请各</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将</w:t>
            </w:r>
            <w:r>
              <w:rPr>
                <w:rFonts w:hint="eastAsia" w:ascii="宋体" w:hAnsi="宋体" w:eastAsia="宋体" w:cs="宋体"/>
                <w:b/>
                <w:bCs/>
                <w:color w:val="auto"/>
                <w:sz w:val="24"/>
                <w:szCs w:val="24"/>
                <w:highlight w:val="none"/>
                <w:lang w:val="en-US" w:eastAsia="zh-CN"/>
              </w:rPr>
              <w:t>本项目磋商</w:t>
            </w:r>
            <w:r>
              <w:rPr>
                <w:rFonts w:hint="eastAsia" w:ascii="宋体" w:hAnsi="宋体" w:eastAsia="宋体" w:cs="宋体"/>
                <w:b/>
                <w:bCs/>
                <w:color w:val="auto"/>
                <w:sz w:val="24"/>
                <w:szCs w:val="24"/>
                <w:highlight w:val="none"/>
              </w:rPr>
              <w:t>文件要求提交的</w:t>
            </w:r>
            <w:r>
              <w:rPr>
                <w:rFonts w:hint="eastAsia" w:ascii="宋体" w:hAnsi="宋体" w:eastAsia="宋体" w:cs="宋体"/>
                <w:b/>
                <w:bCs/>
                <w:color w:val="auto"/>
                <w:sz w:val="24"/>
                <w:szCs w:val="24"/>
                <w:highlight w:val="none"/>
                <w:lang w:eastAsia="zh-CN"/>
              </w:rPr>
              <w:t>“第</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eastAsia="zh-CN"/>
              </w:rPr>
              <w:t>章</w:t>
            </w:r>
            <w:r>
              <w:rPr>
                <w:rFonts w:hint="eastAsia" w:ascii="宋体" w:hAnsi="宋体" w:eastAsia="宋体" w:cs="宋体"/>
                <w:b/>
                <w:bCs/>
                <w:color w:val="auto"/>
                <w:sz w:val="24"/>
                <w:szCs w:val="24"/>
                <w:highlight w:val="none"/>
                <w:lang w:val="en-US" w:eastAsia="zh-CN"/>
              </w:rPr>
              <w:t xml:space="preserve"> 响应文件格式</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的全部内容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完整的上传至“</w:t>
            </w:r>
            <w:r>
              <w:rPr>
                <w:rFonts w:hint="eastAsia" w:ascii="宋体" w:hAnsi="宋体" w:eastAsia="宋体" w:cs="宋体"/>
                <w:b/>
                <w:bCs/>
                <w:color w:val="auto"/>
                <w:sz w:val="24"/>
                <w:szCs w:val="24"/>
                <w:highlight w:val="none"/>
                <w:lang w:eastAsia="zh-CN"/>
              </w:rPr>
              <w:t>商务</w:t>
            </w:r>
            <w:r>
              <w:rPr>
                <w:rFonts w:hint="eastAsia" w:ascii="宋体" w:hAnsi="宋体" w:eastAsia="宋体" w:cs="宋体"/>
                <w:b/>
                <w:bCs/>
                <w:color w:val="auto"/>
                <w:sz w:val="24"/>
                <w:szCs w:val="24"/>
                <w:highlight w:val="none"/>
              </w:rPr>
              <w:t>技术部分”，否则因</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文件的不完整而造成的损失由</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自行承担。</w:t>
            </w:r>
          </w:p>
        </w:tc>
      </w:tr>
    </w:tbl>
    <w:p w14:paraId="32EEF828">
      <w:pPr>
        <w:rPr>
          <w:rFonts w:hint="eastAsia" w:ascii="宋体" w:hAnsi="宋体" w:eastAsia="宋体" w:cs="宋体"/>
          <w:color w:val="auto"/>
          <w:highlight w:val="none"/>
        </w:rPr>
      </w:pPr>
    </w:p>
    <w:p w14:paraId="4582B990">
      <w:pPr>
        <w:pStyle w:val="3"/>
        <w:numPr>
          <w:ilvl w:val="0"/>
          <w:numId w:val="0"/>
        </w:numPr>
        <w:tabs>
          <w:tab w:val="left" w:pos="360"/>
          <w:tab w:val="clear" w:pos="1304"/>
        </w:tabs>
        <w:spacing w:before="0"/>
        <w:ind w:left="0" w:leftChars="0" w:firstLine="0" w:firstLineChars="0"/>
        <w:jc w:val="center"/>
        <w:rPr>
          <w:rFonts w:hint="eastAsia" w:ascii="宋体" w:hAnsi="宋体" w:eastAsia="宋体" w:cs="宋体"/>
          <w:color w:val="auto"/>
          <w:szCs w:val="28"/>
          <w:highlight w:val="none"/>
        </w:rPr>
      </w:pPr>
      <w:bookmarkStart w:id="22" w:name="_Toc115076987"/>
      <w:r>
        <w:rPr>
          <w:rFonts w:hint="eastAsia" w:ascii="宋体" w:hAnsi="宋体" w:eastAsia="宋体" w:cs="宋体"/>
          <w:color w:val="auto"/>
          <w:szCs w:val="28"/>
          <w:highlight w:val="none"/>
        </w:rPr>
        <w:br w:type="page"/>
      </w:r>
      <w:bookmarkStart w:id="23" w:name="_Toc15977"/>
      <w:r>
        <w:rPr>
          <w:rFonts w:hint="eastAsia" w:ascii="宋体" w:hAnsi="宋体" w:eastAsia="宋体" w:cs="宋体"/>
          <w:b/>
          <w:color w:val="auto"/>
          <w:sz w:val="24"/>
          <w:szCs w:val="24"/>
          <w:highlight w:val="none"/>
        </w:rPr>
        <w:t>一、总  则</w:t>
      </w:r>
      <w:bookmarkEnd w:id="22"/>
      <w:bookmarkEnd w:id="23"/>
    </w:p>
    <w:p w14:paraId="06F9B579">
      <w:pPr>
        <w:pStyle w:val="4"/>
        <w:numPr>
          <w:ilvl w:val="0"/>
          <w:numId w:val="4"/>
        </w:numPr>
        <w:tabs>
          <w:tab w:val="left" w:pos="360"/>
        </w:tabs>
        <w:spacing w:before="0"/>
        <w:rPr>
          <w:rFonts w:hint="eastAsia" w:ascii="宋体" w:hAnsi="宋体" w:eastAsia="宋体" w:cs="宋体"/>
          <w:color w:val="auto"/>
          <w:sz w:val="24"/>
          <w:szCs w:val="24"/>
          <w:highlight w:val="none"/>
        </w:rPr>
      </w:pPr>
      <w:bookmarkStart w:id="24" w:name="_Toc115076988"/>
      <w:bookmarkStart w:id="25" w:name="_Toc12663"/>
      <w:bookmarkStart w:id="26" w:name="_Toc16587"/>
      <w:bookmarkStart w:id="27" w:name="_Toc3870"/>
      <w:bookmarkStart w:id="28" w:name="_Toc12213"/>
      <w:bookmarkStart w:id="29" w:name="_Toc20317"/>
      <w:r>
        <w:rPr>
          <w:rFonts w:hint="eastAsia" w:ascii="宋体" w:hAnsi="宋体" w:eastAsia="宋体" w:cs="宋体"/>
          <w:color w:val="auto"/>
          <w:sz w:val="24"/>
          <w:szCs w:val="24"/>
          <w:highlight w:val="none"/>
        </w:rPr>
        <w:t>项目概况</w:t>
      </w:r>
      <w:bookmarkEnd w:id="24"/>
      <w:bookmarkEnd w:id="25"/>
      <w:bookmarkEnd w:id="26"/>
      <w:bookmarkEnd w:id="27"/>
      <w:bookmarkEnd w:id="28"/>
      <w:bookmarkEnd w:id="29"/>
    </w:p>
    <w:p w14:paraId="13A2856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 根据《中华人民共和国政府采购法》、《中华人民共和国政府采购法实施条例》、《政府采购竞争性磋商采购方式管理暂行办法》等有关法律、法规和规章的规定，本项目已获批准，采购代理机构受采购人委托，采用竞争性磋商方式选定供应商承担本项目。</w:t>
      </w:r>
    </w:p>
    <w:p w14:paraId="635367F8">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 本项目采购人、采购代理机构、项目名称、项目编号、项目预算及最高限价：见</w:t>
      </w:r>
      <w:r>
        <w:rPr>
          <w:rFonts w:hint="eastAsia" w:ascii="宋体" w:hAnsi="宋体" w:eastAsia="宋体" w:cs="宋体"/>
          <w:b/>
          <w:bCs/>
          <w:color w:val="auto"/>
          <w:sz w:val="24"/>
          <w:highlight w:val="none"/>
        </w:rPr>
        <w:t>“供应商须知前附表”</w:t>
      </w:r>
      <w:r>
        <w:rPr>
          <w:rFonts w:hint="eastAsia" w:ascii="宋体" w:hAnsi="宋体" w:eastAsia="宋体" w:cs="宋体"/>
          <w:color w:val="auto"/>
          <w:sz w:val="24"/>
          <w:highlight w:val="none"/>
        </w:rPr>
        <w:t>。</w:t>
      </w:r>
    </w:p>
    <w:p w14:paraId="6859269C">
      <w:pPr>
        <w:pStyle w:val="4"/>
        <w:numPr>
          <w:ilvl w:val="0"/>
          <w:numId w:val="4"/>
        </w:numPr>
        <w:tabs>
          <w:tab w:val="left" w:pos="360"/>
        </w:tabs>
        <w:spacing w:before="0"/>
        <w:rPr>
          <w:rFonts w:hint="eastAsia" w:ascii="宋体" w:hAnsi="宋体" w:eastAsia="宋体" w:cs="宋体"/>
          <w:color w:val="auto"/>
          <w:sz w:val="24"/>
          <w:szCs w:val="24"/>
          <w:highlight w:val="none"/>
        </w:rPr>
      </w:pPr>
      <w:bookmarkStart w:id="30" w:name="_Toc115076989"/>
      <w:bookmarkStart w:id="31" w:name="_Toc15476"/>
      <w:bookmarkStart w:id="32" w:name="_Toc3458"/>
      <w:bookmarkStart w:id="33" w:name="_Toc9689"/>
      <w:bookmarkStart w:id="34" w:name="_Toc6475"/>
      <w:bookmarkStart w:id="35" w:name="_Toc30887"/>
      <w:bookmarkStart w:id="36" w:name="_Toc468805854"/>
      <w:r>
        <w:rPr>
          <w:rFonts w:hint="eastAsia" w:ascii="宋体" w:hAnsi="宋体" w:eastAsia="宋体" w:cs="宋体"/>
          <w:color w:val="auto"/>
          <w:sz w:val="24"/>
          <w:szCs w:val="24"/>
          <w:highlight w:val="none"/>
        </w:rPr>
        <w:t>资金来源</w:t>
      </w:r>
      <w:bookmarkEnd w:id="30"/>
      <w:bookmarkEnd w:id="31"/>
      <w:bookmarkEnd w:id="32"/>
      <w:bookmarkEnd w:id="33"/>
      <w:bookmarkEnd w:id="34"/>
      <w:bookmarkEnd w:id="35"/>
    </w:p>
    <w:p w14:paraId="55027903">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2.1资金落实情况：已落实</w:t>
      </w:r>
    </w:p>
    <w:p w14:paraId="1A59862F">
      <w:pPr>
        <w:pStyle w:val="4"/>
        <w:numPr>
          <w:ilvl w:val="0"/>
          <w:numId w:val="4"/>
        </w:numPr>
        <w:tabs>
          <w:tab w:val="left" w:pos="360"/>
        </w:tabs>
        <w:spacing w:before="0"/>
        <w:rPr>
          <w:rFonts w:hint="eastAsia" w:ascii="宋体" w:hAnsi="宋体" w:eastAsia="宋体" w:cs="宋体"/>
          <w:color w:val="auto"/>
          <w:sz w:val="24"/>
          <w:szCs w:val="24"/>
          <w:highlight w:val="none"/>
        </w:rPr>
      </w:pPr>
      <w:bookmarkStart w:id="37" w:name="_Toc12619"/>
      <w:bookmarkStart w:id="38" w:name="_Toc115076990"/>
      <w:bookmarkStart w:id="39" w:name="_Toc26957"/>
      <w:bookmarkStart w:id="40" w:name="_Toc6372"/>
      <w:bookmarkStart w:id="41" w:name="_Toc13833"/>
      <w:bookmarkStart w:id="42" w:name="_Toc8969"/>
      <w:r>
        <w:rPr>
          <w:rFonts w:hint="eastAsia" w:ascii="宋体" w:hAnsi="宋体" w:eastAsia="宋体" w:cs="宋体"/>
          <w:color w:val="auto"/>
          <w:sz w:val="24"/>
          <w:szCs w:val="24"/>
          <w:highlight w:val="none"/>
        </w:rPr>
        <w:t>磋商范围</w:t>
      </w:r>
      <w:bookmarkEnd w:id="37"/>
      <w:bookmarkEnd w:id="38"/>
      <w:bookmarkEnd w:id="39"/>
      <w:bookmarkEnd w:id="40"/>
      <w:bookmarkEnd w:id="41"/>
      <w:bookmarkEnd w:id="42"/>
    </w:p>
    <w:p w14:paraId="45596308">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3.1 本项目采购范围：</w:t>
      </w:r>
      <w:r>
        <w:rPr>
          <w:rFonts w:hint="eastAsia" w:ascii="宋体" w:hAnsi="宋体" w:eastAsia="宋体" w:cs="宋体"/>
          <w:b/>
          <w:bCs/>
          <w:color w:val="auto"/>
          <w:sz w:val="24"/>
          <w:highlight w:val="none"/>
        </w:rPr>
        <w:t>见“</w:t>
      </w:r>
      <w:r>
        <w:rPr>
          <w:rFonts w:hint="eastAsia" w:ascii="宋体" w:hAnsi="宋体" w:eastAsia="宋体" w:cs="宋体"/>
          <w:b/>
          <w:bCs/>
          <w:color w:val="auto"/>
          <w:kern w:val="0"/>
          <w:sz w:val="24"/>
          <w:highlight w:val="none"/>
        </w:rPr>
        <w:t>供应商</w:t>
      </w:r>
      <w:r>
        <w:rPr>
          <w:rFonts w:hint="eastAsia" w:ascii="宋体" w:hAnsi="宋体" w:eastAsia="宋体" w:cs="宋体"/>
          <w:b/>
          <w:bCs/>
          <w:color w:val="auto"/>
          <w:sz w:val="24"/>
          <w:highlight w:val="none"/>
        </w:rPr>
        <w:t>须知前附表”</w:t>
      </w:r>
      <w:r>
        <w:rPr>
          <w:rFonts w:hint="eastAsia" w:ascii="宋体" w:hAnsi="宋体" w:eastAsia="宋体" w:cs="宋体"/>
          <w:color w:val="auto"/>
          <w:sz w:val="24"/>
          <w:highlight w:val="none"/>
        </w:rPr>
        <w:t>。</w:t>
      </w:r>
    </w:p>
    <w:p w14:paraId="7ED5932D">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3.2 本项目合同履行期限：</w:t>
      </w:r>
      <w:r>
        <w:rPr>
          <w:rFonts w:hint="eastAsia" w:ascii="宋体" w:hAnsi="宋体" w:eastAsia="宋体" w:cs="宋体"/>
          <w:b/>
          <w:bCs/>
          <w:color w:val="auto"/>
          <w:sz w:val="24"/>
          <w:highlight w:val="none"/>
        </w:rPr>
        <w:t>见“</w:t>
      </w:r>
      <w:r>
        <w:rPr>
          <w:rFonts w:hint="eastAsia" w:ascii="宋体" w:hAnsi="宋体" w:eastAsia="宋体" w:cs="宋体"/>
          <w:b/>
          <w:bCs/>
          <w:color w:val="auto"/>
          <w:kern w:val="0"/>
          <w:sz w:val="24"/>
          <w:highlight w:val="none"/>
        </w:rPr>
        <w:t>供应商</w:t>
      </w:r>
      <w:r>
        <w:rPr>
          <w:rFonts w:hint="eastAsia" w:ascii="宋体" w:hAnsi="宋体" w:eastAsia="宋体" w:cs="宋体"/>
          <w:b/>
          <w:bCs/>
          <w:color w:val="auto"/>
          <w:sz w:val="24"/>
          <w:highlight w:val="none"/>
        </w:rPr>
        <w:t>须知前附表”</w:t>
      </w:r>
      <w:r>
        <w:rPr>
          <w:rFonts w:hint="eastAsia" w:ascii="宋体" w:hAnsi="宋体" w:eastAsia="宋体" w:cs="宋体"/>
          <w:color w:val="auto"/>
          <w:sz w:val="24"/>
          <w:highlight w:val="none"/>
        </w:rPr>
        <w:t>。</w:t>
      </w:r>
    </w:p>
    <w:p w14:paraId="62FFF1E1">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 本项目服务地点：</w:t>
      </w:r>
      <w:r>
        <w:rPr>
          <w:rFonts w:hint="eastAsia" w:ascii="宋体" w:hAnsi="宋体" w:eastAsia="宋体" w:cs="宋体"/>
          <w:b/>
          <w:bCs/>
          <w:color w:val="auto"/>
          <w:sz w:val="24"/>
          <w:highlight w:val="none"/>
        </w:rPr>
        <w:t>见“</w:t>
      </w:r>
      <w:r>
        <w:rPr>
          <w:rFonts w:hint="eastAsia" w:ascii="宋体" w:hAnsi="宋体" w:eastAsia="宋体" w:cs="宋体"/>
          <w:b/>
          <w:bCs/>
          <w:color w:val="auto"/>
          <w:kern w:val="0"/>
          <w:sz w:val="24"/>
          <w:highlight w:val="none"/>
        </w:rPr>
        <w:t>供应商</w:t>
      </w:r>
      <w:r>
        <w:rPr>
          <w:rFonts w:hint="eastAsia" w:ascii="宋体" w:hAnsi="宋体" w:eastAsia="宋体" w:cs="宋体"/>
          <w:b/>
          <w:bCs/>
          <w:color w:val="auto"/>
          <w:sz w:val="24"/>
          <w:highlight w:val="none"/>
        </w:rPr>
        <w:t>须知前附表”</w:t>
      </w:r>
      <w:r>
        <w:rPr>
          <w:rFonts w:hint="eastAsia" w:ascii="宋体" w:hAnsi="宋体" w:eastAsia="宋体" w:cs="宋体"/>
          <w:color w:val="auto"/>
          <w:sz w:val="24"/>
          <w:highlight w:val="none"/>
        </w:rPr>
        <w:t>。</w:t>
      </w:r>
    </w:p>
    <w:p w14:paraId="1FD6158E">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3.4本项目服务质量标准：</w:t>
      </w:r>
      <w:r>
        <w:rPr>
          <w:rFonts w:hint="eastAsia" w:ascii="宋体" w:hAnsi="宋体" w:eastAsia="宋体" w:cs="宋体"/>
          <w:b/>
          <w:bCs/>
          <w:color w:val="auto"/>
          <w:sz w:val="24"/>
          <w:highlight w:val="none"/>
        </w:rPr>
        <w:t>见“</w:t>
      </w:r>
      <w:r>
        <w:rPr>
          <w:rFonts w:hint="eastAsia" w:ascii="宋体" w:hAnsi="宋体" w:eastAsia="宋体" w:cs="宋体"/>
          <w:b/>
          <w:bCs/>
          <w:color w:val="auto"/>
          <w:kern w:val="0"/>
          <w:sz w:val="24"/>
          <w:highlight w:val="none"/>
        </w:rPr>
        <w:t>供应商</w:t>
      </w:r>
      <w:r>
        <w:rPr>
          <w:rFonts w:hint="eastAsia" w:ascii="宋体" w:hAnsi="宋体" w:eastAsia="宋体" w:cs="宋体"/>
          <w:b/>
          <w:bCs/>
          <w:color w:val="auto"/>
          <w:sz w:val="24"/>
          <w:highlight w:val="none"/>
        </w:rPr>
        <w:t>须知前附表”</w:t>
      </w:r>
      <w:r>
        <w:rPr>
          <w:rFonts w:hint="eastAsia" w:ascii="宋体" w:hAnsi="宋体" w:eastAsia="宋体" w:cs="宋体"/>
          <w:color w:val="auto"/>
          <w:sz w:val="24"/>
          <w:highlight w:val="none"/>
        </w:rPr>
        <w:t>。</w:t>
      </w:r>
    </w:p>
    <w:p w14:paraId="0F470C32">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3.5本项目是否接受联合体投标：</w:t>
      </w:r>
      <w:r>
        <w:rPr>
          <w:rFonts w:hint="eastAsia" w:ascii="宋体" w:hAnsi="宋体" w:eastAsia="宋体" w:cs="宋体"/>
          <w:b/>
          <w:bCs/>
          <w:color w:val="auto"/>
          <w:sz w:val="24"/>
          <w:highlight w:val="none"/>
        </w:rPr>
        <w:t>见“供应商须知前附表”</w:t>
      </w:r>
      <w:r>
        <w:rPr>
          <w:rFonts w:hint="eastAsia" w:ascii="宋体" w:hAnsi="宋体" w:eastAsia="宋体" w:cs="宋体"/>
          <w:color w:val="auto"/>
          <w:sz w:val="24"/>
          <w:highlight w:val="none"/>
        </w:rPr>
        <w:t>。</w:t>
      </w:r>
    </w:p>
    <w:p w14:paraId="7BAC3F96">
      <w:pPr>
        <w:pStyle w:val="4"/>
        <w:numPr>
          <w:ilvl w:val="0"/>
          <w:numId w:val="4"/>
        </w:numPr>
        <w:tabs>
          <w:tab w:val="left" w:pos="360"/>
        </w:tabs>
        <w:spacing w:before="0"/>
        <w:rPr>
          <w:rFonts w:hint="eastAsia" w:ascii="宋体" w:hAnsi="宋体" w:eastAsia="宋体" w:cs="宋体"/>
          <w:color w:val="auto"/>
          <w:sz w:val="24"/>
          <w:szCs w:val="24"/>
          <w:highlight w:val="none"/>
        </w:rPr>
      </w:pPr>
      <w:bookmarkStart w:id="43" w:name="_Toc31994"/>
      <w:bookmarkStart w:id="44" w:name="_Toc30236"/>
      <w:bookmarkStart w:id="45" w:name="_Toc29845"/>
      <w:bookmarkStart w:id="46" w:name="_Toc19951"/>
      <w:bookmarkStart w:id="47" w:name="_Toc115076991"/>
      <w:bookmarkStart w:id="48" w:name="_Toc23949"/>
      <w:r>
        <w:rPr>
          <w:rFonts w:hint="eastAsia" w:ascii="宋体" w:hAnsi="宋体" w:eastAsia="宋体" w:cs="宋体"/>
          <w:color w:val="auto"/>
          <w:sz w:val="24"/>
          <w:szCs w:val="24"/>
          <w:highlight w:val="none"/>
        </w:rPr>
        <w:t>合格的供应商</w:t>
      </w:r>
      <w:bookmarkEnd w:id="43"/>
      <w:bookmarkEnd w:id="44"/>
      <w:bookmarkEnd w:id="45"/>
      <w:bookmarkEnd w:id="46"/>
      <w:bookmarkEnd w:id="47"/>
      <w:bookmarkEnd w:id="48"/>
    </w:p>
    <w:p w14:paraId="6A20C5E0">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4.1合格的供应商：</w:t>
      </w:r>
      <w:r>
        <w:rPr>
          <w:rFonts w:hint="eastAsia" w:ascii="宋体" w:hAnsi="宋体" w:eastAsia="宋体" w:cs="宋体"/>
          <w:b/>
          <w:bCs/>
          <w:color w:val="auto"/>
          <w:sz w:val="24"/>
          <w:highlight w:val="none"/>
        </w:rPr>
        <w:t>见“</w:t>
      </w:r>
      <w:r>
        <w:rPr>
          <w:rFonts w:hint="eastAsia" w:ascii="宋体" w:hAnsi="宋体" w:eastAsia="宋体" w:cs="宋体"/>
          <w:b/>
          <w:bCs/>
          <w:color w:val="auto"/>
          <w:kern w:val="0"/>
          <w:sz w:val="24"/>
          <w:highlight w:val="none"/>
        </w:rPr>
        <w:t>供应商</w:t>
      </w:r>
      <w:r>
        <w:rPr>
          <w:rFonts w:hint="eastAsia" w:ascii="宋体" w:hAnsi="宋体" w:eastAsia="宋体" w:cs="宋体"/>
          <w:b/>
          <w:bCs/>
          <w:color w:val="auto"/>
          <w:sz w:val="24"/>
          <w:highlight w:val="none"/>
        </w:rPr>
        <w:t>须知前附表”</w:t>
      </w:r>
      <w:r>
        <w:rPr>
          <w:rFonts w:hint="eastAsia" w:ascii="宋体" w:hAnsi="宋体" w:eastAsia="宋体" w:cs="宋体"/>
          <w:color w:val="auto"/>
          <w:sz w:val="24"/>
          <w:highlight w:val="none"/>
        </w:rPr>
        <w:t>。</w:t>
      </w:r>
    </w:p>
    <w:p w14:paraId="32B27697">
      <w:pPr>
        <w:pStyle w:val="4"/>
        <w:numPr>
          <w:ilvl w:val="0"/>
          <w:numId w:val="4"/>
        </w:numPr>
        <w:tabs>
          <w:tab w:val="left" w:pos="360"/>
        </w:tabs>
        <w:spacing w:before="0"/>
        <w:rPr>
          <w:rFonts w:hint="eastAsia" w:ascii="宋体" w:hAnsi="宋体" w:eastAsia="宋体" w:cs="宋体"/>
          <w:color w:val="auto"/>
          <w:sz w:val="24"/>
          <w:szCs w:val="24"/>
          <w:highlight w:val="none"/>
        </w:rPr>
      </w:pPr>
      <w:bookmarkStart w:id="49" w:name="_Toc29562"/>
      <w:bookmarkStart w:id="50" w:name="_Toc17978"/>
      <w:bookmarkStart w:id="51" w:name="_Toc15996"/>
      <w:bookmarkStart w:id="52" w:name="_Toc8348"/>
      <w:bookmarkStart w:id="53" w:name="_Toc14340"/>
      <w:r>
        <w:rPr>
          <w:rFonts w:hint="eastAsia" w:ascii="宋体" w:hAnsi="宋体" w:eastAsia="宋体" w:cs="宋体"/>
          <w:color w:val="auto"/>
          <w:sz w:val="24"/>
          <w:szCs w:val="24"/>
          <w:highlight w:val="none"/>
        </w:rPr>
        <w:t>磋商费用</w:t>
      </w:r>
      <w:bookmarkEnd w:id="49"/>
      <w:bookmarkEnd w:id="50"/>
      <w:bookmarkEnd w:id="51"/>
      <w:bookmarkEnd w:id="52"/>
      <w:bookmarkEnd w:id="53"/>
    </w:p>
    <w:p w14:paraId="0638BD0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不论磋商结果如何，供应商均应自行承担所有与准备和参加磋商活动有关的全部费用。</w:t>
      </w:r>
    </w:p>
    <w:p w14:paraId="7517FC5B">
      <w:pPr>
        <w:pStyle w:val="4"/>
        <w:numPr>
          <w:ilvl w:val="0"/>
          <w:numId w:val="4"/>
        </w:numPr>
        <w:tabs>
          <w:tab w:val="left" w:pos="360"/>
        </w:tabs>
        <w:spacing w:before="0"/>
        <w:rPr>
          <w:rFonts w:hint="eastAsia" w:ascii="宋体" w:hAnsi="宋体" w:eastAsia="宋体" w:cs="宋体"/>
          <w:color w:val="auto"/>
          <w:sz w:val="24"/>
          <w:szCs w:val="24"/>
          <w:highlight w:val="none"/>
        </w:rPr>
      </w:pPr>
      <w:bookmarkStart w:id="54" w:name="_Toc115076992"/>
      <w:bookmarkStart w:id="55" w:name="_Toc23011"/>
      <w:bookmarkStart w:id="56" w:name="_Toc25390"/>
      <w:bookmarkStart w:id="57" w:name="_Toc757"/>
      <w:bookmarkStart w:id="58" w:name="_Toc9427"/>
      <w:bookmarkStart w:id="59" w:name="_Toc11092"/>
      <w:r>
        <w:rPr>
          <w:rFonts w:hint="eastAsia" w:ascii="宋体" w:hAnsi="宋体" w:eastAsia="宋体" w:cs="宋体"/>
          <w:color w:val="auto"/>
          <w:sz w:val="24"/>
          <w:szCs w:val="24"/>
          <w:highlight w:val="none"/>
        </w:rPr>
        <w:t>质疑</w:t>
      </w:r>
      <w:bookmarkEnd w:id="54"/>
      <w:bookmarkEnd w:id="55"/>
      <w:bookmarkEnd w:id="56"/>
      <w:bookmarkEnd w:id="57"/>
      <w:bookmarkEnd w:id="58"/>
      <w:bookmarkEnd w:id="59"/>
    </w:p>
    <w:p w14:paraId="6D6BB41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6.1供应商认为竞争性磋商文件、磋商过程和中标结果使自己的合法权益受到损害的，可以在知道或者应知其权益受到损害之日起七个工作日内，以书面形式（纸质原件）向下列部门或采购人提出质疑。提出质疑的供应商应当是参与所质疑项目采购活动的供应商，供应商针对同一采购程序环节的质疑应当在法定质疑期内一次性提出，提出质疑时应当有明确的请求和必要的证明材料。</w:t>
      </w:r>
    </w:p>
    <w:p w14:paraId="3C0D207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受理质疑部门：采购人或采购代理机构。</w:t>
      </w:r>
    </w:p>
    <w:p w14:paraId="646C130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6.2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7EAC698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6.3 供应商提出质疑应当提交质疑函和必要的证明材料（如材料中有外文资料应同时附上中文译本）。质疑函应当包括下列内容：</w:t>
      </w:r>
    </w:p>
    <w:p w14:paraId="6085A1E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（1）供应商的姓名或者名称、地址、邮编、联系人及联系电话；</w:t>
      </w:r>
    </w:p>
    <w:p w14:paraId="16CF8FF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308169E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（3）具体、明确的质疑事项和与质疑事项相关的请求；</w:t>
      </w:r>
    </w:p>
    <w:p w14:paraId="3A17A04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（4）事实依据；</w:t>
      </w:r>
    </w:p>
    <w:p w14:paraId="52256DC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（5）必要的法律依据；</w:t>
      </w:r>
    </w:p>
    <w:p w14:paraId="195A7D5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（6）提出质疑的日期。</w:t>
      </w:r>
    </w:p>
    <w:p w14:paraId="7815A8FB">
      <w:pPr>
        <w:spacing w:line="360" w:lineRule="auto"/>
        <w:ind w:firstLine="435"/>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供应商为法人或者其他组织的，应当由法定代表人、主要负责人，或者其授权代表签字或者盖章，并加盖公章。</w:t>
      </w:r>
    </w:p>
    <w:p w14:paraId="1720FDA2">
      <w:pPr>
        <w:spacing w:line="360" w:lineRule="auto"/>
        <w:ind w:firstLine="435"/>
        <w:rPr>
          <w:rFonts w:hint="eastAsia" w:ascii="宋体" w:hAnsi="宋体" w:eastAsia="宋体" w:cs="宋体"/>
          <w:color w:val="auto"/>
          <w:sz w:val="24"/>
          <w:highlight w:val="none"/>
        </w:rPr>
      </w:pPr>
      <w:r>
        <w:rPr>
          <w:rFonts w:hint="eastAsia" w:ascii="宋体" w:hAnsi="宋体" w:eastAsia="宋体" w:cs="宋体"/>
          <w:color w:val="auto"/>
          <w:sz w:val="24"/>
          <w:highlight w:val="none"/>
        </w:rPr>
        <w:t>6.4 采购人、采购代理机构将在收到供应商的书面质疑后七个工作日内做出答复，并以书面形式通知质疑供应商和其他有关供应商，但答复的内容不涉及商业秘密。</w:t>
      </w:r>
    </w:p>
    <w:p w14:paraId="0A10F73E">
      <w:pPr>
        <w:pStyle w:val="4"/>
        <w:numPr>
          <w:ilvl w:val="0"/>
          <w:numId w:val="4"/>
        </w:numPr>
        <w:tabs>
          <w:tab w:val="left" w:pos="360"/>
        </w:tabs>
        <w:spacing w:before="0"/>
        <w:rPr>
          <w:rFonts w:hint="eastAsia" w:ascii="宋体" w:hAnsi="宋体" w:eastAsia="宋体" w:cs="宋体"/>
          <w:color w:val="auto"/>
          <w:sz w:val="24"/>
          <w:szCs w:val="24"/>
          <w:highlight w:val="none"/>
        </w:rPr>
      </w:pPr>
      <w:bookmarkStart w:id="60" w:name="_Toc29897"/>
      <w:bookmarkStart w:id="61" w:name="_Toc517252749"/>
      <w:bookmarkStart w:id="62" w:name="_Toc115076993"/>
      <w:bookmarkStart w:id="63" w:name="_Toc17520"/>
      <w:bookmarkStart w:id="64" w:name="_Toc22504"/>
      <w:bookmarkStart w:id="65" w:name="_Toc26332"/>
      <w:bookmarkStart w:id="66" w:name="_Toc27398"/>
      <w:r>
        <w:rPr>
          <w:rFonts w:hint="eastAsia" w:ascii="宋体" w:hAnsi="宋体" w:eastAsia="宋体" w:cs="宋体"/>
          <w:color w:val="auto"/>
          <w:sz w:val="24"/>
          <w:szCs w:val="24"/>
          <w:highlight w:val="none"/>
        </w:rPr>
        <w:t>投诉</w:t>
      </w:r>
      <w:bookmarkEnd w:id="60"/>
      <w:bookmarkEnd w:id="61"/>
      <w:bookmarkEnd w:id="62"/>
      <w:bookmarkEnd w:id="63"/>
      <w:bookmarkEnd w:id="64"/>
      <w:bookmarkEnd w:id="65"/>
      <w:bookmarkEnd w:id="66"/>
    </w:p>
    <w:p w14:paraId="3C2F1B83">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7.1质疑供应商对采购人、采购代理机构的答复不满意，或者采购人、采购代理机构未在规定时间内作出答复的，可以在答复期满后15个工作日内向财政局提出投诉。</w:t>
      </w:r>
    </w:p>
    <w:p w14:paraId="32EE1803">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7.2投诉人投诉时,应当提交投诉书和必要的证明材料，并按照被投诉采购人、采购代理机构（以下简称被投诉人）和与投诉事项有关的供应商数量提供投诉书的副本。投诉书应当包括下列内容：</w:t>
      </w:r>
    </w:p>
    <w:p w14:paraId="3F416A85">
      <w:pPr>
        <w:spacing w:line="360" w:lineRule="auto"/>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（一）投诉人和被投诉人的姓名或者名称、通讯地址、邮编、联系人及联系电话；</w:t>
      </w:r>
    </w:p>
    <w:p w14:paraId="68F3A6C3">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（二）质疑和质疑答复情况说明及相关证明材料；</w:t>
      </w:r>
    </w:p>
    <w:p w14:paraId="65053D49">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（三）具体、明确的投诉事项和与投诉事项相关的投诉请求；</w:t>
      </w:r>
    </w:p>
    <w:p w14:paraId="25F9FAB0">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（四）事实依据；</w:t>
      </w:r>
    </w:p>
    <w:p w14:paraId="1CE85DE5">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（五）法律依据；</w:t>
      </w:r>
    </w:p>
    <w:p w14:paraId="3F085FB1">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（六）提起投诉的日期。</w:t>
      </w:r>
    </w:p>
    <w:p w14:paraId="44569E0B">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7.3投诉人为自然人的，应当由本人签字；投诉人为法人或者其他组织的，应当由法定代表人、主要负责人，或者其授权代表签字或者盖章，并加盖公章。</w:t>
      </w:r>
    </w:p>
    <w:p w14:paraId="2FC97EAE">
      <w:pPr>
        <w:pStyle w:val="3"/>
        <w:keepNext/>
        <w:keepLines w:val="0"/>
        <w:pageBreakBefore w:val="0"/>
        <w:widowControl w:val="0"/>
        <w:numPr>
          <w:ilvl w:val="0"/>
          <w:numId w:val="0"/>
        </w:numPr>
        <w:tabs>
          <w:tab w:val="clear" w:pos="1304"/>
        </w:tabs>
        <w:kinsoku/>
        <w:wordWrap/>
        <w:overflowPunct/>
        <w:topLinePunct w:val="0"/>
        <w:autoSpaceDE/>
        <w:autoSpaceDN/>
        <w:bidi w:val="0"/>
        <w:adjustRightInd w:val="0"/>
        <w:snapToGrid/>
        <w:spacing w:before="0"/>
        <w:ind w:left="0" w:leftChars="0" w:firstLine="0" w:firstLineChars="0"/>
        <w:jc w:val="center"/>
        <w:textAlignment w:val="baseline"/>
        <w:rPr>
          <w:rFonts w:hint="eastAsia" w:ascii="宋体" w:hAnsi="宋体" w:eastAsia="宋体" w:cs="宋体"/>
          <w:b/>
          <w:color w:val="auto"/>
          <w:sz w:val="24"/>
          <w:szCs w:val="24"/>
          <w:highlight w:val="none"/>
        </w:rPr>
      </w:pPr>
      <w:bookmarkStart w:id="67" w:name="_Toc32340"/>
      <w:bookmarkStart w:id="68" w:name="_Toc115076994"/>
      <w:r>
        <w:rPr>
          <w:rFonts w:hint="eastAsia" w:ascii="宋体" w:hAnsi="宋体" w:eastAsia="宋体" w:cs="宋体"/>
          <w:b/>
          <w:color w:val="auto"/>
          <w:sz w:val="24"/>
          <w:szCs w:val="24"/>
          <w:highlight w:val="none"/>
        </w:rPr>
        <w:t>二、竞争性磋商文件</w:t>
      </w:r>
      <w:bookmarkEnd w:id="67"/>
      <w:bookmarkEnd w:id="68"/>
    </w:p>
    <w:p w14:paraId="20AD7169">
      <w:pPr>
        <w:pStyle w:val="4"/>
        <w:numPr>
          <w:ilvl w:val="0"/>
          <w:numId w:val="4"/>
        </w:numPr>
        <w:tabs>
          <w:tab w:val="left" w:pos="360"/>
        </w:tabs>
        <w:spacing w:before="0"/>
        <w:rPr>
          <w:rFonts w:hint="eastAsia" w:ascii="宋体" w:hAnsi="宋体" w:eastAsia="宋体" w:cs="宋体"/>
          <w:color w:val="auto"/>
          <w:sz w:val="24"/>
          <w:szCs w:val="24"/>
          <w:highlight w:val="none"/>
        </w:rPr>
      </w:pPr>
      <w:bookmarkStart w:id="69" w:name="_Toc27366"/>
      <w:bookmarkStart w:id="70" w:name="_Toc11849"/>
      <w:bookmarkStart w:id="71" w:name="_Toc14270"/>
      <w:bookmarkStart w:id="72" w:name="_Toc115076995"/>
      <w:bookmarkStart w:id="73" w:name="_Toc25677"/>
      <w:bookmarkStart w:id="74" w:name="_Toc19287"/>
      <w:r>
        <w:rPr>
          <w:rFonts w:hint="eastAsia" w:ascii="宋体" w:hAnsi="宋体" w:eastAsia="宋体" w:cs="宋体"/>
          <w:color w:val="auto"/>
          <w:sz w:val="24"/>
          <w:szCs w:val="24"/>
          <w:highlight w:val="none"/>
        </w:rPr>
        <w:t>竞争性磋商文件构成</w:t>
      </w:r>
      <w:bookmarkEnd w:id="69"/>
      <w:bookmarkEnd w:id="70"/>
      <w:bookmarkEnd w:id="71"/>
      <w:bookmarkEnd w:id="72"/>
      <w:bookmarkEnd w:id="73"/>
      <w:bookmarkEnd w:id="74"/>
    </w:p>
    <w:p w14:paraId="7F152C74">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8.1 竞争性磋商文件共六章，各章的内容如下：</w:t>
      </w:r>
    </w:p>
    <w:p w14:paraId="0E83C7CF">
      <w:pPr>
        <w:spacing w:line="360" w:lineRule="auto"/>
        <w:ind w:firstLine="410" w:firstLineChars="171"/>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第一章  竞争性磋商公告</w:t>
      </w:r>
    </w:p>
    <w:p w14:paraId="108E2801">
      <w:pPr>
        <w:spacing w:line="360" w:lineRule="auto"/>
        <w:ind w:firstLine="410" w:firstLineChars="171"/>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第二章  供应商须知</w:t>
      </w:r>
    </w:p>
    <w:p w14:paraId="1ED451B4">
      <w:pPr>
        <w:spacing w:line="360" w:lineRule="auto"/>
        <w:ind w:firstLine="410" w:firstLineChars="171"/>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第三章  合同书样式及主要条款</w:t>
      </w:r>
    </w:p>
    <w:p w14:paraId="7582BA5D">
      <w:pPr>
        <w:spacing w:line="360" w:lineRule="auto"/>
        <w:ind w:firstLine="410" w:firstLineChars="171"/>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第四章  响应文件格式</w:t>
      </w:r>
    </w:p>
    <w:p w14:paraId="4D96247F">
      <w:pPr>
        <w:spacing w:line="360" w:lineRule="auto"/>
        <w:ind w:firstLine="410" w:firstLineChars="171"/>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第五章  采购需求</w:t>
      </w:r>
    </w:p>
    <w:p w14:paraId="3309505D">
      <w:pPr>
        <w:spacing w:line="360" w:lineRule="auto"/>
        <w:ind w:firstLine="410" w:firstLineChars="171"/>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第六章  磋商办法</w:t>
      </w:r>
    </w:p>
    <w:p w14:paraId="5C3A377E">
      <w:pPr>
        <w:pStyle w:val="4"/>
        <w:numPr>
          <w:ilvl w:val="0"/>
          <w:numId w:val="4"/>
        </w:numPr>
        <w:tabs>
          <w:tab w:val="left" w:pos="360"/>
        </w:tabs>
        <w:spacing w:before="0"/>
        <w:rPr>
          <w:rFonts w:hint="eastAsia" w:ascii="宋体" w:hAnsi="宋体" w:eastAsia="宋体" w:cs="宋体"/>
          <w:color w:val="auto"/>
          <w:sz w:val="24"/>
          <w:szCs w:val="24"/>
          <w:highlight w:val="none"/>
        </w:rPr>
      </w:pPr>
      <w:bookmarkStart w:id="75" w:name="_Toc12856"/>
      <w:bookmarkStart w:id="76" w:name="_Toc23016"/>
      <w:bookmarkStart w:id="77" w:name="_Toc24986"/>
      <w:bookmarkStart w:id="78" w:name="_Toc15164"/>
      <w:bookmarkStart w:id="79" w:name="_Toc115076996"/>
      <w:bookmarkStart w:id="80" w:name="_Toc5479"/>
      <w:r>
        <w:rPr>
          <w:rFonts w:hint="eastAsia" w:ascii="宋体" w:hAnsi="宋体" w:eastAsia="宋体" w:cs="宋体"/>
          <w:color w:val="auto"/>
          <w:sz w:val="24"/>
          <w:szCs w:val="24"/>
          <w:highlight w:val="none"/>
        </w:rPr>
        <w:t>竞争性磋商文件的澄清</w:t>
      </w:r>
      <w:bookmarkEnd w:id="75"/>
      <w:bookmarkEnd w:id="76"/>
      <w:bookmarkEnd w:id="77"/>
      <w:bookmarkEnd w:id="78"/>
      <w:bookmarkEnd w:id="79"/>
      <w:bookmarkEnd w:id="80"/>
    </w:p>
    <w:p w14:paraId="40726E91">
      <w:pPr>
        <w:wordWrap w:val="0"/>
        <w:spacing w:line="360" w:lineRule="auto"/>
        <w:ind w:firstLine="480" w:firstLineChars="200"/>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9.1供应商应认真核查竞争性磋商文件，如有疑问的，供应商可以在</w:t>
      </w:r>
      <w:r>
        <w:rPr>
          <w:rFonts w:hint="eastAsia" w:ascii="宋体" w:hAnsi="宋体" w:eastAsia="宋体" w:cs="宋体"/>
          <w:b/>
          <w:bCs/>
          <w:color w:val="auto"/>
          <w:sz w:val="24"/>
          <w:highlight w:val="none"/>
        </w:rPr>
        <w:t xml:space="preserve"> “供应商须知前附表”</w:t>
      </w:r>
      <w:r>
        <w:rPr>
          <w:rFonts w:hint="eastAsia" w:ascii="宋体" w:hAnsi="宋体" w:eastAsia="宋体" w:cs="宋体"/>
          <w:color w:val="auto"/>
          <w:sz w:val="24"/>
          <w:highlight w:val="none"/>
        </w:rPr>
        <w:t>规定截止时间前要求采购人澄清，截止时间后送达的澄清要求不予接受。</w:t>
      </w:r>
    </w:p>
    <w:p w14:paraId="2150ACF4">
      <w:pPr>
        <w:pStyle w:val="4"/>
        <w:numPr>
          <w:ilvl w:val="0"/>
          <w:numId w:val="4"/>
        </w:numPr>
        <w:tabs>
          <w:tab w:val="left" w:pos="360"/>
        </w:tabs>
        <w:spacing w:before="0"/>
        <w:rPr>
          <w:rFonts w:hint="eastAsia" w:ascii="宋体" w:hAnsi="宋体" w:eastAsia="宋体" w:cs="宋体"/>
          <w:color w:val="auto"/>
          <w:sz w:val="24"/>
          <w:szCs w:val="24"/>
          <w:highlight w:val="none"/>
        </w:rPr>
      </w:pPr>
      <w:bookmarkStart w:id="81" w:name="_Toc11205"/>
      <w:bookmarkStart w:id="82" w:name="_Toc19674"/>
      <w:bookmarkStart w:id="83" w:name="_Toc17875"/>
      <w:bookmarkStart w:id="84" w:name="_Toc115076997"/>
      <w:bookmarkStart w:id="85" w:name="_Toc17226"/>
      <w:bookmarkStart w:id="86" w:name="_Toc12941"/>
      <w:r>
        <w:rPr>
          <w:rFonts w:hint="eastAsia" w:ascii="宋体" w:hAnsi="宋体" w:eastAsia="宋体" w:cs="宋体"/>
          <w:color w:val="auto"/>
          <w:sz w:val="24"/>
          <w:szCs w:val="24"/>
          <w:highlight w:val="none"/>
        </w:rPr>
        <w:t>竞争性磋商文件的修改</w:t>
      </w:r>
      <w:bookmarkEnd w:id="81"/>
      <w:bookmarkEnd w:id="82"/>
      <w:bookmarkEnd w:id="83"/>
      <w:bookmarkEnd w:id="84"/>
      <w:bookmarkEnd w:id="85"/>
      <w:bookmarkEnd w:id="86"/>
    </w:p>
    <w:p w14:paraId="2621A5AB">
      <w:pPr>
        <w:widowControl/>
        <w:spacing w:line="360" w:lineRule="auto"/>
        <w:ind w:firstLine="435"/>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10.1提交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响应文件截止时间至少5日前，以书面形式通知所有获取磋商文件的供应商；不足5日的，采购人、采购代理机构应当顺延提交响应文件截止时间。</w:t>
      </w:r>
    </w:p>
    <w:p w14:paraId="782B201E">
      <w:pPr>
        <w:widowControl/>
        <w:spacing w:line="360" w:lineRule="auto"/>
        <w:ind w:firstLine="435"/>
        <w:jc w:val="left"/>
        <w:rPr>
          <w:rFonts w:hint="eastAsia" w:ascii="宋体" w:hAnsi="宋体" w:eastAsia="宋体" w:cs="宋体"/>
          <w:b/>
          <w:bCs/>
          <w:color w:val="auto"/>
          <w:kern w:val="0"/>
          <w:sz w:val="24"/>
          <w:highlight w:val="none"/>
        </w:rPr>
      </w:pPr>
      <w:r>
        <w:rPr>
          <w:rFonts w:hint="eastAsia" w:ascii="宋体" w:hAnsi="宋体" w:eastAsia="宋体" w:cs="宋体"/>
          <w:color w:val="auto"/>
          <w:sz w:val="24"/>
          <w:highlight w:val="none"/>
        </w:rPr>
        <w:t>10.2竞争性磋商文件澄清、竞争性磋商文件修改文件内容以网上电子文件或者现场领取，当竞争性磋商文件、竞争性磋商文件澄清、竞争性磋商文件修改文件内容后前相互矛盾时，以最后发出的为准。</w:t>
      </w:r>
    </w:p>
    <w:p w14:paraId="31EC724D">
      <w:pPr>
        <w:pStyle w:val="3"/>
        <w:keepNext/>
        <w:keepLines w:val="0"/>
        <w:pageBreakBefore w:val="0"/>
        <w:widowControl w:val="0"/>
        <w:numPr>
          <w:ilvl w:val="0"/>
          <w:numId w:val="0"/>
        </w:numPr>
        <w:tabs>
          <w:tab w:val="clear" w:pos="1304"/>
        </w:tabs>
        <w:kinsoku/>
        <w:wordWrap/>
        <w:overflowPunct/>
        <w:topLinePunct w:val="0"/>
        <w:autoSpaceDE/>
        <w:autoSpaceDN/>
        <w:bidi w:val="0"/>
        <w:adjustRightInd w:val="0"/>
        <w:snapToGrid/>
        <w:spacing w:before="0"/>
        <w:ind w:left="0" w:leftChars="0" w:firstLine="0" w:firstLineChars="0"/>
        <w:jc w:val="center"/>
        <w:textAlignment w:val="baseline"/>
        <w:rPr>
          <w:rFonts w:hint="eastAsia" w:ascii="宋体" w:hAnsi="宋体" w:eastAsia="宋体" w:cs="宋体"/>
          <w:b/>
          <w:color w:val="auto"/>
          <w:sz w:val="24"/>
          <w:szCs w:val="24"/>
          <w:highlight w:val="none"/>
        </w:rPr>
      </w:pPr>
      <w:bookmarkStart w:id="87" w:name="_Toc7109"/>
      <w:bookmarkStart w:id="88" w:name="_Toc115076998"/>
      <w:r>
        <w:rPr>
          <w:rFonts w:hint="eastAsia" w:ascii="宋体" w:hAnsi="宋体" w:eastAsia="宋体" w:cs="宋体"/>
          <w:b/>
          <w:color w:val="auto"/>
          <w:sz w:val="24"/>
          <w:szCs w:val="24"/>
          <w:highlight w:val="none"/>
        </w:rPr>
        <w:t>三、响应文件的编制</w:t>
      </w:r>
      <w:bookmarkEnd w:id="87"/>
      <w:bookmarkEnd w:id="88"/>
    </w:p>
    <w:p w14:paraId="7EB7A659">
      <w:pPr>
        <w:pStyle w:val="4"/>
        <w:numPr>
          <w:ilvl w:val="0"/>
          <w:numId w:val="4"/>
        </w:numPr>
        <w:tabs>
          <w:tab w:val="left" w:pos="360"/>
        </w:tabs>
        <w:spacing w:before="0"/>
        <w:rPr>
          <w:rFonts w:hint="eastAsia" w:ascii="宋体" w:hAnsi="宋体" w:eastAsia="宋体" w:cs="宋体"/>
          <w:color w:val="auto"/>
          <w:sz w:val="24"/>
          <w:szCs w:val="24"/>
          <w:highlight w:val="none"/>
        </w:rPr>
      </w:pPr>
      <w:bookmarkStart w:id="89" w:name="_Toc2144"/>
      <w:bookmarkStart w:id="90" w:name="_Toc7116"/>
      <w:bookmarkStart w:id="91" w:name="_Toc115076999"/>
      <w:bookmarkStart w:id="92" w:name="_Toc7162"/>
      <w:bookmarkStart w:id="93" w:name="_Toc11344"/>
      <w:bookmarkStart w:id="94" w:name="_Toc1909"/>
      <w:r>
        <w:rPr>
          <w:rFonts w:hint="eastAsia" w:ascii="宋体" w:hAnsi="宋体" w:eastAsia="宋体" w:cs="宋体"/>
          <w:color w:val="auto"/>
          <w:sz w:val="24"/>
          <w:szCs w:val="24"/>
          <w:highlight w:val="none"/>
        </w:rPr>
        <w:t>响应文件编写注意事项</w:t>
      </w:r>
      <w:bookmarkEnd w:id="89"/>
      <w:bookmarkEnd w:id="90"/>
      <w:bookmarkEnd w:id="91"/>
      <w:bookmarkEnd w:id="92"/>
      <w:bookmarkEnd w:id="93"/>
      <w:bookmarkEnd w:id="94"/>
    </w:p>
    <w:p w14:paraId="5274F3A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11.1</w:t>
      </w:r>
      <w:r>
        <w:rPr>
          <w:rFonts w:hint="eastAsia" w:ascii="宋体" w:hAnsi="宋体" w:eastAsia="宋体" w:cs="宋体"/>
          <w:b/>
          <w:bCs/>
          <w:color w:val="auto"/>
          <w:sz w:val="24"/>
          <w:highlight w:val="none"/>
        </w:rPr>
        <w:t xml:space="preserve"> 供应商应仔细阅读竞争性磋商文件，在完全了解采购的内容、要求（见第五章“采购需求”）和商务条件后，编写响应文件</w:t>
      </w:r>
      <w:r>
        <w:rPr>
          <w:rFonts w:hint="eastAsia" w:ascii="宋体" w:hAnsi="宋体" w:eastAsia="宋体" w:cs="宋体"/>
          <w:color w:val="auto"/>
          <w:sz w:val="24"/>
          <w:highlight w:val="none"/>
        </w:rPr>
        <w:t>。如果没有按照竞争性磋商文件要求提交全部响应文件或者资料，没有对竞争性磋商文件的实质性要求和条件作出响应是供应商的风险，并可能导致该磋商无效。</w:t>
      </w:r>
    </w:p>
    <w:p w14:paraId="0199859A">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11.2对竞争性磋商文件提出的实质性要求和条件作出响应是指供应商必须对竞争性磋商文件中标明的实质性要求和条件的内容作出满足或者优于原要求和条件的承诺。</w:t>
      </w:r>
    </w:p>
    <w:p w14:paraId="0451543E">
      <w:pPr>
        <w:pStyle w:val="4"/>
        <w:numPr>
          <w:ilvl w:val="0"/>
          <w:numId w:val="4"/>
        </w:numPr>
        <w:tabs>
          <w:tab w:val="left" w:pos="360"/>
        </w:tabs>
        <w:spacing w:before="0"/>
        <w:rPr>
          <w:rFonts w:hint="eastAsia" w:ascii="宋体" w:hAnsi="宋体" w:eastAsia="宋体" w:cs="宋体"/>
          <w:color w:val="auto"/>
          <w:sz w:val="24"/>
          <w:szCs w:val="24"/>
          <w:highlight w:val="none"/>
        </w:rPr>
      </w:pPr>
      <w:bookmarkStart w:id="95" w:name="_Toc30829"/>
      <w:bookmarkStart w:id="96" w:name="_Toc115077000"/>
      <w:bookmarkStart w:id="97" w:name="_Toc16981"/>
      <w:bookmarkStart w:id="98" w:name="_Toc13416"/>
      <w:bookmarkStart w:id="99" w:name="_Toc21595"/>
      <w:bookmarkStart w:id="100" w:name="_Toc2249"/>
      <w:r>
        <w:rPr>
          <w:rFonts w:hint="eastAsia" w:ascii="宋体" w:hAnsi="宋体" w:eastAsia="宋体" w:cs="宋体"/>
          <w:color w:val="auto"/>
          <w:sz w:val="24"/>
          <w:szCs w:val="24"/>
          <w:highlight w:val="none"/>
        </w:rPr>
        <w:t>磋商的语言及计量单位</w:t>
      </w:r>
      <w:bookmarkEnd w:id="95"/>
      <w:bookmarkEnd w:id="96"/>
      <w:bookmarkEnd w:id="97"/>
      <w:bookmarkEnd w:id="98"/>
      <w:bookmarkEnd w:id="99"/>
      <w:bookmarkEnd w:id="100"/>
    </w:p>
    <w:p w14:paraId="4CD6F4E4">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12.1 供应商的响应文件以及供应商与采购代理机构就有关磋商的所有来往函电统一使用中文（特别规定除外）。</w:t>
      </w:r>
    </w:p>
    <w:p w14:paraId="54111FC3">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12.2 响应文件中使用的计量单位除竞争性磋商文件中有特殊规定外，一律使用中国法定计量单位。</w:t>
      </w:r>
    </w:p>
    <w:p w14:paraId="2CD957D0">
      <w:pPr>
        <w:pStyle w:val="4"/>
        <w:numPr>
          <w:ilvl w:val="0"/>
          <w:numId w:val="4"/>
        </w:numPr>
        <w:tabs>
          <w:tab w:val="left" w:pos="360"/>
        </w:tabs>
        <w:spacing w:before="0"/>
        <w:rPr>
          <w:rFonts w:hint="eastAsia" w:ascii="宋体" w:hAnsi="宋体" w:eastAsia="宋体" w:cs="宋体"/>
          <w:color w:val="auto"/>
          <w:sz w:val="24"/>
          <w:szCs w:val="24"/>
          <w:highlight w:val="none"/>
        </w:rPr>
      </w:pPr>
      <w:bookmarkStart w:id="101" w:name="_Toc7990"/>
      <w:bookmarkStart w:id="102" w:name="_Toc32077"/>
      <w:bookmarkStart w:id="103" w:name="_Toc31202"/>
      <w:bookmarkStart w:id="104" w:name="_Toc115077001"/>
      <w:bookmarkStart w:id="105" w:name="_Toc25149"/>
      <w:bookmarkStart w:id="106" w:name="_Toc16924"/>
      <w:r>
        <w:rPr>
          <w:rFonts w:hint="eastAsia" w:ascii="宋体" w:hAnsi="宋体" w:eastAsia="宋体" w:cs="宋体"/>
          <w:color w:val="auto"/>
          <w:sz w:val="24"/>
          <w:szCs w:val="24"/>
          <w:highlight w:val="none"/>
        </w:rPr>
        <w:t>响应文件构成</w:t>
      </w:r>
      <w:bookmarkEnd w:id="101"/>
      <w:bookmarkEnd w:id="102"/>
      <w:bookmarkEnd w:id="103"/>
      <w:bookmarkEnd w:id="104"/>
      <w:bookmarkEnd w:id="105"/>
      <w:bookmarkEnd w:id="106"/>
    </w:p>
    <w:p w14:paraId="2E975E1B">
      <w:pPr>
        <w:spacing w:line="360" w:lineRule="auto"/>
        <w:ind w:firstLine="448" w:firstLineChars="200"/>
        <w:jc w:val="lef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13.1</w:t>
      </w:r>
      <w:r>
        <w:rPr>
          <w:rFonts w:hint="eastAsia" w:ascii="宋体" w:hAnsi="宋体" w:eastAsia="宋体" w:cs="宋体"/>
          <w:b/>
          <w:bCs/>
          <w:color w:val="auto"/>
          <w:spacing w:val="-8"/>
          <w:sz w:val="24"/>
          <w:highlight w:val="none"/>
        </w:rPr>
        <w:t>供应商应按第四章“响应文件格式”提供的格式完整地填写</w:t>
      </w:r>
      <w:r>
        <w:rPr>
          <w:rFonts w:hint="eastAsia" w:ascii="宋体" w:hAnsi="宋体" w:eastAsia="宋体" w:cs="宋体"/>
          <w:color w:val="auto"/>
          <w:spacing w:val="-8"/>
          <w:sz w:val="24"/>
          <w:highlight w:val="none"/>
        </w:rPr>
        <w:t>。</w:t>
      </w:r>
    </w:p>
    <w:p w14:paraId="4EAFF776">
      <w:pPr>
        <w:pStyle w:val="4"/>
        <w:numPr>
          <w:ilvl w:val="0"/>
          <w:numId w:val="4"/>
        </w:numPr>
        <w:tabs>
          <w:tab w:val="left" w:pos="360"/>
        </w:tabs>
        <w:spacing w:before="0"/>
        <w:rPr>
          <w:rFonts w:hint="eastAsia" w:ascii="宋体" w:hAnsi="宋体" w:eastAsia="宋体" w:cs="宋体"/>
          <w:color w:val="auto"/>
          <w:sz w:val="24"/>
          <w:szCs w:val="24"/>
          <w:highlight w:val="none"/>
        </w:rPr>
      </w:pPr>
      <w:bookmarkStart w:id="107" w:name="_Toc954"/>
      <w:bookmarkStart w:id="108" w:name="_Toc2342"/>
      <w:bookmarkStart w:id="109" w:name="_Toc2885"/>
      <w:bookmarkStart w:id="110" w:name="_Toc115077002"/>
      <w:bookmarkStart w:id="111" w:name="_Toc17835"/>
      <w:bookmarkStart w:id="112" w:name="_Toc2817"/>
      <w:r>
        <w:rPr>
          <w:rFonts w:hint="eastAsia" w:ascii="宋体" w:hAnsi="宋体" w:eastAsia="宋体" w:cs="宋体"/>
          <w:color w:val="auto"/>
          <w:sz w:val="24"/>
          <w:szCs w:val="24"/>
          <w:highlight w:val="none"/>
        </w:rPr>
        <w:t>磋商报价</w:t>
      </w:r>
      <w:bookmarkEnd w:id="107"/>
      <w:bookmarkEnd w:id="108"/>
      <w:bookmarkEnd w:id="109"/>
      <w:bookmarkEnd w:id="110"/>
      <w:bookmarkEnd w:id="111"/>
      <w:bookmarkEnd w:id="112"/>
    </w:p>
    <w:p w14:paraId="4B80348A">
      <w:pPr>
        <w:spacing w:line="36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14.1</w:t>
      </w:r>
      <w:r>
        <w:rPr>
          <w:rFonts w:hint="eastAsia" w:ascii="宋体" w:hAnsi="宋体" w:eastAsia="宋体" w:cs="宋体"/>
          <w:color w:val="auto"/>
          <w:spacing w:val="-8"/>
          <w:sz w:val="24"/>
          <w:highlight w:val="none"/>
        </w:rPr>
        <w:t>本项目采购预算金额及最高限价见</w:t>
      </w:r>
      <w:r>
        <w:rPr>
          <w:rFonts w:hint="eastAsia" w:ascii="宋体" w:hAnsi="宋体" w:eastAsia="宋体" w:cs="宋体"/>
          <w:b/>
          <w:bCs/>
          <w:color w:val="auto"/>
          <w:spacing w:val="-8"/>
          <w:sz w:val="24"/>
          <w:highlight w:val="none"/>
        </w:rPr>
        <w:t>“供应商须知前附表”</w:t>
      </w:r>
      <w:r>
        <w:rPr>
          <w:rFonts w:hint="eastAsia" w:ascii="宋体" w:hAnsi="宋体" w:eastAsia="宋体" w:cs="宋体"/>
          <w:color w:val="auto"/>
          <w:spacing w:val="-8"/>
          <w:sz w:val="24"/>
          <w:highlight w:val="none"/>
        </w:rPr>
        <w:t>，若供应</w:t>
      </w:r>
      <w:r>
        <w:rPr>
          <w:rFonts w:hint="eastAsia" w:ascii="宋体" w:hAnsi="宋体" w:eastAsia="宋体" w:cs="宋体"/>
          <w:color w:val="auto"/>
          <w:spacing w:val="-11"/>
          <w:sz w:val="24"/>
          <w:highlight w:val="none"/>
        </w:rPr>
        <w:t>商的磋商报价超过最高限价，按不实质性响应竞争性磋商文件要求处理</w:t>
      </w:r>
      <w:r>
        <w:rPr>
          <w:rFonts w:hint="eastAsia" w:ascii="宋体" w:hAnsi="宋体" w:eastAsia="宋体" w:cs="宋体"/>
          <w:color w:val="auto"/>
          <w:sz w:val="24"/>
          <w:highlight w:val="none"/>
        </w:rPr>
        <w:t>。</w:t>
      </w:r>
    </w:p>
    <w:p w14:paraId="6F203915">
      <w:pPr>
        <w:spacing w:line="360" w:lineRule="auto"/>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14.2 本项目最终报价已包含完成本项目实施的全部费用。</w:t>
      </w:r>
    </w:p>
    <w:p w14:paraId="1EBD86F3">
      <w:pPr>
        <w:spacing w:line="360" w:lineRule="auto"/>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14.3供应商的磋商报价应依据竞争性磋商文件的要求，综合考虑为实施和完成合同所需人员工资、设备费、加班费、保险、管理费、利润及税金等全部费用，以及合同明示或暗示的所有责任、义务和一般风险。但报价不得低于企业成本价。</w:t>
      </w:r>
    </w:p>
    <w:p w14:paraId="2561D45B">
      <w:pPr>
        <w:pStyle w:val="4"/>
        <w:numPr>
          <w:ilvl w:val="0"/>
          <w:numId w:val="4"/>
        </w:numPr>
        <w:tabs>
          <w:tab w:val="left" w:pos="360"/>
        </w:tabs>
        <w:spacing w:before="0"/>
        <w:rPr>
          <w:rFonts w:hint="eastAsia" w:ascii="宋体" w:hAnsi="宋体" w:eastAsia="宋体" w:cs="宋体"/>
          <w:color w:val="auto"/>
          <w:sz w:val="24"/>
          <w:szCs w:val="24"/>
          <w:highlight w:val="none"/>
        </w:rPr>
      </w:pPr>
      <w:bookmarkStart w:id="113" w:name="_Toc17131"/>
      <w:bookmarkStart w:id="114" w:name="_Toc2901"/>
      <w:bookmarkStart w:id="115" w:name="_Toc115077003"/>
      <w:bookmarkStart w:id="116" w:name="_Toc28919"/>
      <w:bookmarkStart w:id="117" w:name="_Toc5619"/>
      <w:bookmarkStart w:id="118" w:name="_Toc15547"/>
      <w:r>
        <w:rPr>
          <w:rFonts w:hint="eastAsia" w:ascii="宋体" w:hAnsi="宋体" w:eastAsia="宋体" w:cs="宋体"/>
          <w:color w:val="auto"/>
          <w:sz w:val="24"/>
          <w:szCs w:val="24"/>
          <w:highlight w:val="none"/>
        </w:rPr>
        <w:t>磋商货币</w:t>
      </w:r>
      <w:bookmarkEnd w:id="113"/>
      <w:bookmarkEnd w:id="114"/>
      <w:bookmarkEnd w:id="115"/>
      <w:bookmarkEnd w:id="116"/>
      <w:bookmarkEnd w:id="117"/>
      <w:bookmarkEnd w:id="118"/>
    </w:p>
    <w:p w14:paraId="19CD30EB">
      <w:pPr>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磋商以人民币报价。</w:t>
      </w:r>
    </w:p>
    <w:p w14:paraId="20C04D3E">
      <w:pPr>
        <w:pStyle w:val="4"/>
        <w:numPr>
          <w:ilvl w:val="0"/>
          <w:numId w:val="4"/>
        </w:numPr>
        <w:tabs>
          <w:tab w:val="left" w:pos="360"/>
        </w:tabs>
        <w:spacing w:before="0"/>
        <w:rPr>
          <w:rFonts w:hint="eastAsia" w:ascii="宋体" w:hAnsi="宋体" w:eastAsia="宋体" w:cs="宋体"/>
          <w:color w:val="auto"/>
          <w:sz w:val="24"/>
          <w:szCs w:val="24"/>
          <w:highlight w:val="none"/>
        </w:rPr>
      </w:pPr>
      <w:bookmarkStart w:id="119" w:name="_Toc29365"/>
      <w:bookmarkStart w:id="120" w:name="_Toc10304"/>
      <w:bookmarkStart w:id="121" w:name="_Toc8435"/>
      <w:bookmarkStart w:id="122" w:name="_Toc115077004"/>
      <w:bookmarkStart w:id="123" w:name="_Toc1104"/>
      <w:bookmarkStart w:id="124" w:name="_Toc7741"/>
      <w:r>
        <w:rPr>
          <w:rFonts w:hint="eastAsia" w:ascii="宋体" w:hAnsi="宋体" w:eastAsia="宋体" w:cs="宋体"/>
          <w:color w:val="auto"/>
          <w:sz w:val="24"/>
          <w:szCs w:val="24"/>
          <w:highlight w:val="none"/>
        </w:rPr>
        <w:t>磋商有效期</w:t>
      </w:r>
      <w:bookmarkEnd w:id="119"/>
      <w:bookmarkEnd w:id="120"/>
      <w:bookmarkEnd w:id="121"/>
      <w:bookmarkEnd w:id="122"/>
      <w:bookmarkEnd w:id="123"/>
      <w:bookmarkEnd w:id="124"/>
    </w:p>
    <w:p w14:paraId="76EEB80C">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16.1 在</w:t>
      </w:r>
      <w:r>
        <w:rPr>
          <w:rFonts w:hint="eastAsia" w:ascii="宋体" w:hAnsi="宋体" w:eastAsia="宋体" w:cs="宋体"/>
          <w:b/>
          <w:bCs/>
          <w:color w:val="auto"/>
          <w:sz w:val="24"/>
          <w:highlight w:val="none"/>
        </w:rPr>
        <w:t>“供应商须知前附表”</w:t>
      </w:r>
      <w:r>
        <w:rPr>
          <w:rFonts w:hint="eastAsia" w:ascii="宋体" w:hAnsi="宋体" w:eastAsia="宋体" w:cs="宋体"/>
          <w:color w:val="auto"/>
          <w:sz w:val="24"/>
          <w:highlight w:val="none"/>
        </w:rPr>
        <w:t>规定的磋商有效期内，供应商不得要求撤销或修改其响应文件。</w:t>
      </w:r>
    </w:p>
    <w:p w14:paraId="62FBC17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16.2 因特殊情况需要延长磋商有效期的，采购人以书面形式通知所有供应商延长磋商有效期。供应商同意延长的，应相应延长其磋商保证金的有效期，但不得要求或被允许修改或撤销其响应文件；供应商拒绝延长的，其磋商失效，但供应商有权收回其磋商保证金。</w:t>
      </w:r>
    </w:p>
    <w:p w14:paraId="5405FE00">
      <w:pPr>
        <w:pStyle w:val="4"/>
        <w:numPr>
          <w:ilvl w:val="0"/>
          <w:numId w:val="4"/>
        </w:numPr>
        <w:tabs>
          <w:tab w:val="left" w:pos="360"/>
        </w:tabs>
        <w:spacing w:before="0"/>
        <w:rPr>
          <w:rFonts w:hint="eastAsia" w:ascii="宋体" w:hAnsi="宋体" w:eastAsia="宋体" w:cs="宋体"/>
          <w:color w:val="auto"/>
          <w:sz w:val="24"/>
          <w:szCs w:val="24"/>
          <w:highlight w:val="none"/>
        </w:rPr>
      </w:pPr>
      <w:bookmarkStart w:id="125" w:name="_Toc9082"/>
      <w:bookmarkStart w:id="126" w:name="_Toc22111"/>
      <w:bookmarkStart w:id="127" w:name="_Toc31502"/>
      <w:bookmarkStart w:id="128" w:name="_Toc115077006"/>
      <w:bookmarkStart w:id="129" w:name="_Toc13111"/>
      <w:bookmarkStart w:id="130" w:name="_Toc5175"/>
      <w:r>
        <w:rPr>
          <w:rFonts w:hint="eastAsia" w:ascii="宋体" w:hAnsi="宋体" w:eastAsia="宋体" w:cs="宋体"/>
          <w:color w:val="auto"/>
          <w:sz w:val="24"/>
          <w:szCs w:val="24"/>
          <w:highlight w:val="none"/>
        </w:rPr>
        <w:t>磋商保证金</w:t>
      </w:r>
      <w:bookmarkEnd w:id="125"/>
      <w:bookmarkEnd w:id="126"/>
      <w:bookmarkEnd w:id="127"/>
      <w:bookmarkEnd w:id="128"/>
      <w:bookmarkEnd w:id="129"/>
      <w:bookmarkEnd w:id="130"/>
    </w:p>
    <w:p w14:paraId="1ED45206">
      <w:pPr>
        <w:widowControl/>
        <w:spacing w:line="360" w:lineRule="auto"/>
        <w:ind w:firstLine="42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17.1 保证金为人民币。供应商应在提交响应文件截止时间以前按“</w:t>
      </w:r>
      <w:r>
        <w:rPr>
          <w:rFonts w:hint="eastAsia" w:ascii="宋体" w:hAnsi="宋体" w:eastAsia="宋体" w:cs="宋体"/>
          <w:b/>
          <w:color w:val="auto"/>
          <w:kern w:val="0"/>
          <w:sz w:val="24"/>
          <w:highlight w:val="none"/>
        </w:rPr>
        <w:t>供应商须知前附表”</w:t>
      </w:r>
      <w:r>
        <w:rPr>
          <w:rFonts w:hint="eastAsia" w:ascii="宋体" w:hAnsi="宋体" w:eastAsia="宋体" w:cs="宋体"/>
          <w:bCs/>
          <w:color w:val="auto"/>
          <w:kern w:val="0"/>
          <w:sz w:val="24"/>
          <w:highlight w:val="none"/>
        </w:rPr>
        <w:t>规定的方式及金额交递交，并在磋商有效期内保持有效。</w:t>
      </w:r>
    </w:p>
    <w:p w14:paraId="5E60D47E">
      <w:pPr>
        <w:widowControl/>
        <w:spacing w:line="360" w:lineRule="auto"/>
        <w:ind w:firstLine="42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17.2办理银行转账时，请务必注明该项保证金所对应采购项目的项目编号，以便核查。</w:t>
      </w:r>
    </w:p>
    <w:p w14:paraId="5A7D0BEC">
      <w:pPr>
        <w:widowControl/>
        <w:spacing w:line="360" w:lineRule="auto"/>
        <w:ind w:firstLine="42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17.3未中标供应商的保证金，将在中标通知书发出后由托管银行统一退还至供应商基本账户。中标人的保证金，在中标人按规定办理合同归档手续后，由托管银行退还至中标人基本账户。</w:t>
      </w:r>
    </w:p>
    <w:p w14:paraId="6CF28CFA">
      <w:pPr>
        <w:widowControl/>
        <w:spacing w:line="360" w:lineRule="auto"/>
        <w:ind w:firstLine="42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17.4　有下列情形之一的，保证金不予退还：</w:t>
      </w:r>
    </w:p>
    <w:p w14:paraId="134E6CF9">
      <w:pPr>
        <w:widowControl/>
        <w:spacing w:line="360" w:lineRule="auto"/>
        <w:ind w:firstLine="42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（1）供应商在提交响应文件截止时间后撤回响应文件的；</w:t>
      </w:r>
    </w:p>
    <w:p w14:paraId="6A006058">
      <w:pPr>
        <w:widowControl/>
        <w:spacing w:line="360" w:lineRule="auto"/>
        <w:ind w:firstLine="42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（2）供应商在响应文件中提供虚假材料的；</w:t>
      </w:r>
    </w:p>
    <w:p w14:paraId="4EFD821F">
      <w:pPr>
        <w:widowControl/>
        <w:spacing w:line="360" w:lineRule="auto"/>
        <w:ind w:firstLine="42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（3）除因不可抗力或竞争性磋商文件认可的情形以外，中标人不与采购人签订合同的；</w:t>
      </w:r>
    </w:p>
    <w:p w14:paraId="14EB57BC">
      <w:pPr>
        <w:widowControl/>
        <w:spacing w:line="360" w:lineRule="auto"/>
        <w:ind w:firstLine="42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（4）供应商与采购人、其他供应商或者采购代理机构恶意串通的；</w:t>
      </w:r>
    </w:p>
    <w:p w14:paraId="2C1819CE">
      <w:pPr>
        <w:widowControl/>
        <w:spacing w:line="360" w:lineRule="auto"/>
        <w:ind w:firstLine="42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（5）竞争性磋商文件规定的其他情形。</w:t>
      </w:r>
    </w:p>
    <w:p w14:paraId="09F5502D">
      <w:pPr>
        <w:pStyle w:val="3"/>
        <w:keepNext/>
        <w:keepLines w:val="0"/>
        <w:pageBreakBefore w:val="0"/>
        <w:widowControl w:val="0"/>
        <w:numPr>
          <w:ilvl w:val="0"/>
          <w:numId w:val="0"/>
        </w:numPr>
        <w:tabs>
          <w:tab w:val="clear" w:pos="1304"/>
        </w:tabs>
        <w:kinsoku/>
        <w:wordWrap/>
        <w:overflowPunct/>
        <w:topLinePunct w:val="0"/>
        <w:autoSpaceDE/>
        <w:autoSpaceDN/>
        <w:bidi w:val="0"/>
        <w:adjustRightInd w:val="0"/>
        <w:snapToGrid/>
        <w:spacing w:before="0"/>
        <w:ind w:left="0" w:leftChars="0" w:firstLine="0" w:firstLineChars="0"/>
        <w:jc w:val="center"/>
        <w:textAlignment w:val="baseline"/>
        <w:rPr>
          <w:rFonts w:hint="eastAsia" w:ascii="宋体" w:hAnsi="宋体" w:eastAsia="宋体" w:cs="宋体"/>
          <w:b/>
          <w:color w:val="auto"/>
          <w:sz w:val="24"/>
          <w:szCs w:val="24"/>
          <w:highlight w:val="none"/>
        </w:rPr>
      </w:pPr>
      <w:bookmarkStart w:id="131" w:name="_Toc8927"/>
      <w:bookmarkStart w:id="132" w:name="_Toc115077007"/>
      <w:r>
        <w:rPr>
          <w:rFonts w:hint="eastAsia" w:ascii="宋体" w:hAnsi="宋体" w:eastAsia="宋体" w:cs="宋体"/>
          <w:b/>
          <w:color w:val="auto"/>
          <w:sz w:val="24"/>
          <w:szCs w:val="24"/>
          <w:highlight w:val="none"/>
        </w:rPr>
        <w:t>四、响应文件的提交</w:t>
      </w:r>
      <w:bookmarkEnd w:id="131"/>
      <w:bookmarkEnd w:id="132"/>
    </w:p>
    <w:p w14:paraId="6C12B625">
      <w:pPr>
        <w:pStyle w:val="4"/>
        <w:numPr>
          <w:ilvl w:val="0"/>
          <w:numId w:val="4"/>
        </w:numPr>
        <w:tabs>
          <w:tab w:val="left" w:pos="360"/>
        </w:tabs>
        <w:spacing w:before="0"/>
        <w:rPr>
          <w:rFonts w:hint="eastAsia" w:ascii="宋体" w:hAnsi="宋体" w:eastAsia="宋体" w:cs="宋体"/>
          <w:color w:val="auto"/>
          <w:sz w:val="24"/>
          <w:szCs w:val="24"/>
          <w:highlight w:val="none"/>
        </w:rPr>
      </w:pPr>
      <w:bookmarkStart w:id="133" w:name="_Toc18291"/>
      <w:bookmarkStart w:id="134" w:name="_Toc115077008"/>
      <w:bookmarkStart w:id="135" w:name="_Toc25604"/>
      <w:bookmarkStart w:id="136" w:name="_Toc4184"/>
      <w:bookmarkStart w:id="137" w:name="_Toc9183"/>
      <w:bookmarkStart w:id="138" w:name="_Toc19444"/>
      <w:r>
        <w:rPr>
          <w:rFonts w:hint="eastAsia" w:ascii="宋体" w:hAnsi="宋体" w:eastAsia="宋体" w:cs="宋体"/>
          <w:color w:val="auto"/>
          <w:sz w:val="24"/>
          <w:szCs w:val="24"/>
          <w:highlight w:val="none"/>
        </w:rPr>
        <w:t>响应文件的密封、标记与提交</w:t>
      </w:r>
      <w:bookmarkEnd w:id="133"/>
      <w:bookmarkEnd w:id="134"/>
      <w:bookmarkEnd w:id="135"/>
      <w:bookmarkEnd w:id="136"/>
      <w:bookmarkEnd w:id="137"/>
      <w:bookmarkEnd w:id="138"/>
    </w:p>
    <w:p w14:paraId="03C6D691">
      <w:pPr>
        <w:spacing w:line="360" w:lineRule="auto"/>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18.1 供应商应按</w:t>
      </w:r>
      <w:r>
        <w:rPr>
          <w:rFonts w:hint="eastAsia" w:ascii="宋体" w:hAnsi="宋体" w:eastAsia="宋体" w:cs="宋体"/>
          <w:b/>
          <w:color w:val="auto"/>
          <w:kern w:val="0"/>
          <w:sz w:val="24"/>
          <w:highlight w:val="none"/>
        </w:rPr>
        <w:t>“</w:t>
      </w:r>
      <w:r>
        <w:rPr>
          <w:rFonts w:hint="eastAsia" w:ascii="宋体" w:hAnsi="宋体" w:eastAsia="宋体" w:cs="宋体"/>
          <w:b/>
          <w:color w:val="auto"/>
          <w:sz w:val="24"/>
          <w:highlight w:val="none"/>
        </w:rPr>
        <w:t>供应商须知前附表</w:t>
      </w:r>
      <w:r>
        <w:rPr>
          <w:rFonts w:hint="eastAsia" w:ascii="宋体" w:hAnsi="宋体" w:eastAsia="宋体" w:cs="宋体"/>
          <w:b/>
          <w:color w:val="auto"/>
          <w:kern w:val="0"/>
          <w:sz w:val="24"/>
          <w:highlight w:val="none"/>
        </w:rPr>
        <w:t>”</w:t>
      </w:r>
      <w:r>
        <w:rPr>
          <w:rFonts w:hint="eastAsia" w:ascii="宋体" w:hAnsi="宋体" w:eastAsia="宋体" w:cs="宋体"/>
          <w:bCs/>
          <w:color w:val="auto"/>
          <w:kern w:val="0"/>
          <w:sz w:val="24"/>
          <w:highlight w:val="none"/>
        </w:rPr>
        <w:t>中规定进行加密、上传。</w:t>
      </w:r>
    </w:p>
    <w:p w14:paraId="317AEC9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bCs/>
          <w:color w:val="auto"/>
          <w:kern w:val="0"/>
          <w:sz w:val="24"/>
          <w:highlight w:val="none"/>
        </w:rPr>
        <w:t>18.2 供应商提交响应文件时未按本须知要求加密、上传的，政采云平台不予接收。</w:t>
      </w:r>
    </w:p>
    <w:p w14:paraId="39A18D37">
      <w:pPr>
        <w:pStyle w:val="4"/>
        <w:numPr>
          <w:ilvl w:val="0"/>
          <w:numId w:val="4"/>
        </w:numPr>
        <w:tabs>
          <w:tab w:val="left" w:pos="360"/>
        </w:tabs>
        <w:spacing w:before="0"/>
        <w:rPr>
          <w:rFonts w:hint="eastAsia" w:ascii="宋体" w:hAnsi="宋体" w:eastAsia="宋体" w:cs="宋体"/>
          <w:color w:val="auto"/>
          <w:sz w:val="24"/>
          <w:szCs w:val="24"/>
          <w:highlight w:val="none"/>
        </w:rPr>
      </w:pPr>
      <w:bookmarkStart w:id="139" w:name="_Toc115077009"/>
      <w:bookmarkStart w:id="140" w:name="_Toc19675"/>
      <w:bookmarkStart w:id="141" w:name="_Toc18184"/>
      <w:bookmarkStart w:id="142" w:name="_Toc7873"/>
      <w:bookmarkStart w:id="143" w:name="_Toc11130"/>
      <w:bookmarkStart w:id="144" w:name="_Toc31189"/>
      <w:r>
        <w:rPr>
          <w:rFonts w:hint="eastAsia" w:ascii="宋体" w:hAnsi="宋体" w:eastAsia="宋体" w:cs="宋体"/>
          <w:color w:val="auto"/>
          <w:sz w:val="24"/>
          <w:szCs w:val="24"/>
          <w:highlight w:val="none"/>
        </w:rPr>
        <w:t>提交响应文件的截止时间和地点</w:t>
      </w:r>
      <w:bookmarkEnd w:id="139"/>
      <w:bookmarkEnd w:id="140"/>
      <w:bookmarkEnd w:id="141"/>
      <w:bookmarkEnd w:id="142"/>
      <w:bookmarkEnd w:id="143"/>
      <w:bookmarkEnd w:id="144"/>
    </w:p>
    <w:p w14:paraId="43C0A306">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19.1 响应文件的提交不得迟于</w:t>
      </w:r>
      <w:r>
        <w:rPr>
          <w:rFonts w:hint="eastAsia" w:ascii="宋体" w:hAnsi="宋体" w:eastAsia="宋体" w:cs="宋体"/>
          <w:b/>
          <w:bCs/>
          <w:color w:val="auto"/>
          <w:sz w:val="24"/>
          <w:highlight w:val="none"/>
        </w:rPr>
        <w:t>“供应商须知前附表”</w:t>
      </w:r>
      <w:r>
        <w:rPr>
          <w:rFonts w:hint="eastAsia" w:ascii="宋体" w:hAnsi="宋体" w:eastAsia="宋体" w:cs="宋体"/>
          <w:color w:val="auto"/>
          <w:sz w:val="24"/>
          <w:highlight w:val="none"/>
        </w:rPr>
        <w:t>规定的提交响应文件截止时间。</w:t>
      </w:r>
    </w:p>
    <w:p w14:paraId="739076F5">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19.2 供应商必须在规定时间内将响应文件提交到</w:t>
      </w:r>
      <w:r>
        <w:rPr>
          <w:rFonts w:hint="eastAsia" w:ascii="宋体" w:hAnsi="宋体" w:eastAsia="宋体" w:cs="宋体"/>
          <w:b/>
          <w:bCs/>
          <w:color w:val="auto"/>
          <w:sz w:val="24"/>
          <w:highlight w:val="none"/>
        </w:rPr>
        <w:t>“供应商须知前附表”</w:t>
      </w:r>
      <w:r>
        <w:rPr>
          <w:rFonts w:hint="eastAsia" w:ascii="宋体" w:hAnsi="宋体" w:eastAsia="宋体" w:cs="宋体"/>
          <w:color w:val="auto"/>
          <w:sz w:val="24"/>
          <w:highlight w:val="none"/>
        </w:rPr>
        <w:t>规定的地点。</w:t>
      </w:r>
    </w:p>
    <w:p w14:paraId="54F8001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19.3 除</w:t>
      </w:r>
      <w:r>
        <w:rPr>
          <w:rFonts w:hint="eastAsia" w:ascii="宋体" w:hAnsi="宋体" w:eastAsia="宋体" w:cs="宋体"/>
          <w:b/>
          <w:bCs/>
          <w:color w:val="auto"/>
          <w:sz w:val="24"/>
          <w:highlight w:val="none"/>
        </w:rPr>
        <w:t>“供应商须知前附表”</w:t>
      </w:r>
      <w:r>
        <w:rPr>
          <w:rFonts w:hint="eastAsia" w:ascii="宋体" w:hAnsi="宋体" w:eastAsia="宋体" w:cs="宋体"/>
          <w:color w:val="auto"/>
          <w:sz w:val="24"/>
          <w:highlight w:val="none"/>
        </w:rPr>
        <w:t>另有规定外，供应商所提交的响应文件不予退还。</w:t>
      </w:r>
    </w:p>
    <w:p w14:paraId="324AE354">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 </w:t>
      </w:r>
      <w:r>
        <w:rPr>
          <w:rFonts w:hint="eastAsia" w:ascii="宋体" w:hAnsi="宋体" w:eastAsia="宋体" w:cs="宋体"/>
          <w:b/>
          <w:bCs/>
          <w:color w:val="auto"/>
          <w:sz w:val="24"/>
          <w:highlight w:val="none"/>
        </w:rPr>
        <w:t>逾期送达的或者未送达指定地点的响应文件，</w:t>
      </w:r>
      <w:r>
        <w:rPr>
          <w:rFonts w:hint="eastAsia" w:ascii="宋体" w:hAnsi="宋体" w:eastAsia="宋体" w:cs="宋体"/>
          <w:b/>
          <w:bCs/>
          <w:color w:val="auto"/>
          <w:kern w:val="0"/>
          <w:sz w:val="24"/>
          <w:highlight w:val="none"/>
        </w:rPr>
        <w:t>政采云平台</w:t>
      </w:r>
      <w:r>
        <w:rPr>
          <w:rFonts w:hint="eastAsia" w:ascii="宋体" w:hAnsi="宋体" w:eastAsia="宋体" w:cs="宋体"/>
          <w:b/>
          <w:bCs/>
          <w:color w:val="auto"/>
          <w:sz w:val="24"/>
          <w:highlight w:val="none"/>
        </w:rPr>
        <w:t>不予受理。</w:t>
      </w:r>
    </w:p>
    <w:p w14:paraId="169CC7E5">
      <w:pPr>
        <w:pStyle w:val="3"/>
        <w:keepNext/>
        <w:keepLines w:val="0"/>
        <w:pageBreakBefore w:val="0"/>
        <w:widowControl w:val="0"/>
        <w:numPr>
          <w:ilvl w:val="0"/>
          <w:numId w:val="0"/>
        </w:numPr>
        <w:tabs>
          <w:tab w:val="clear" w:pos="1304"/>
        </w:tabs>
        <w:kinsoku/>
        <w:wordWrap/>
        <w:overflowPunct/>
        <w:topLinePunct w:val="0"/>
        <w:autoSpaceDE/>
        <w:autoSpaceDN/>
        <w:bidi w:val="0"/>
        <w:adjustRightInd w:val="0"/>
        <w:snapToGrid/>
        <w:spacing w:before="0"/>
        <w:ind w:left="0" w:leftChars="0" w:firstLine="0" w:firstLineChars="0"/>
        <w:jc w:val="center"/>
        <w:textAlignment w:val="baseline"/>
        <w:rPr>
          <w:rFonts w:hint="eastAsia" w:ascii="宋体" w:hAnsi="宋体" w:eastAsia="宋体" w:cs="宋体"/>
          <w:color w:val="auto"/>
          <w:sz w:val="24"/>
          <w:szCs w:val="24"/>
          <w:highlight w:val="none"/>
        </w:rPr>
      </w:pPr>
      <w:bookmarkStart w:id="145" w:name="_Toc115077010"/>
      <w:bookmarkStart w:id="146" w:name="_Toc11971"/>
      <w:r>
        <w:rPr>
          <w:rFonts w:hint="eastAsia" w:ascii="宋体" w:hAnsi="宋体" w:eastAsia="宋体" w:cs="宋体"/>
          <w:color w:val="auto"/>
          <w:sz w:val="24"/>
          <w:szCs w:val="24"/>
          <w:highlight w:val="none"/>
        </w:rPr>
        <w:t>五、磋商</w:t>
      </w:r>
      <w:bookmarkEnd w:id="145"/>
      <w:bookmarkEnd w:id="146"/>
    </w:p>
    <w:p w14:paraId="57FA4F24">
      <w:pPr>
        <w:pStyle w:val="4"/>
        <w:numPr>
          <w:ilvl w:val="0"/>
          <w:numId w:val="4"/>
        </w:numPr>
        <w:tabs>
          <w:tab w:val="left" w:pos="360"/>
        </w:tabs>
        <w:spacing w:before="0"/>
        <w:rPr>
          <w:rFonts w:hint="eastAsia" w:ascii="宋体" w:hAnsi="宋体" w:eastAsia="宋体" w:cs="宋体"/>
          <w:color w:val="auto"/>
          <w:sz w:val="24"/>
          <w:szCs w:val="24"/>
          <w:highlight w:val="none"/>
        </w:rPr>
      </w:pPr>
      <w:bookmarkStart w:id="147" w:name="_Toc26821"/>
      <w:bookmarkStart w:id="148" w:name="_Toc18493"/>
      <w:bookmarkStart w:id="149" w:name="_Toc28683"/>
      <w:bookmarkStart w:id="150" w:name="_Toc16994"/>
      <w:bookmarkStart w:id="151" w:name="_Toc20430"/>
      <w:bookmarkStart w:id="152" w:name="_Toc115077011"/>
      <w:r>
        <w:rPr>
          <w:rFonts w:hint="eastAsia" w:ascii="宋体" w:hAnsi="宋体" w:eastAsia="宋体" w:cs="宋体"/>
          <w:color w:val="auto"/>
          <w:sz w:val="24"/>
          <w:szCs w:val="24"/>
          <w:highlight w:val="none"/>
        </w:rPr>
        <w:t>磋商</w:t>
      </w:r>
      <w:bookmarkEnd w:id="147"/>
      <w:bookmarkEnd w:id="148"/>
      <w:bookmarkEnd w:id="149"/>
      <w:bookmarkEnd w:id="150"/>
      <w:bookmarkEnd w:id="151"/>
      <w:bookmarkEnd w:id="152"/>
    </w:p>
    <w:p w14:paraId="4E4E04CA">
      <w:pPr>
        <w:pStyle w:val="16"/>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20.1采购代理机构将在</w:t>
      </w:r>
      <w:r>
        <w:rPr>
          <w:rFonts w:hint="eastAsia" w:ascii="宋体" w:hAnsi="宋体" w:eastAsia="宋体" w:cs="宋体"/>
          <w:b/>
          <w:bCs/>
          <w:color w:val="auto"/>
          <w:sz w:val="24"/>
          <w:szCs w:val="24"/>
          <w:highlight w:val="none"/>
        </w:rPr>
        <w:t>“供应商须知前附表”</w:t>
      </w:r>
      <w:r>
        <w:rPr>
          <w:rFonts w:hint="eastAsia" w:ascii="宋体" w:hAnsi="宋体" w:eastAsia="宋体" w:cs="宋体"/>
          <w:color w:val="auto"/>
          <w:sz w:val="24"/>
          <w:szCs w:val="24"/>
          <w:highlight w:val="none"/>
        </w:rPr>
        <w:t>规定的时间和地点进行磋商。</w:t>
      </w:r>
    </w:p>
    <w:p w14:paraId="7540C5E0">
      <w:pPr>
        <w:pStyle w:val="16"/>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20.2磋商小组</w:t>
      </w:r>
      <w:r>
        <w:rPr>
          <w:rFonts w:hint="eastAsia" w:ascii="宋体" w:hAnsi="宋体" w:eastAsia="宋体" w:cs="宋体"/>
          <w:b/>
          <w:bCs/>
          <w:color w:val="auto"/>
          <w:sz w:val="24"/>
          <w:szCs w:val="24"/>
          <w:highlight w:val="none"/>
        </w:rPr>
        <w:t>由采购人代表和评审专家共3人以上单数组成</w:t>
      </w:r>
      <w:r>
        <w:rPr>
          <w:rFonts w:hint="eastAsia" w:ascii="宋体" w:hAnsi="宋体" w:eastAsia="宋体" w:cs="宋体"/>
          <w:color w:val="auto"/>
          <w:sz w:val="24"/>
          <w:szCs w:val="24"/>
          <w:highlight w:val="none"/>
        </w:rPr>
        <w:t xml:space="preserve">，其中评审专家人数不得少于磋商小组成员总数的2/3。采购代理机构人员不得参加本机构代理的采购项目的评审。 </w:t>
      </w:r>
    </w:p>
    <w:p w14:paraId="40E9DD7B">
      <w:pPr>
        <w:pStyle w:val="16"/>
        <w:tabs>
          <w:tab w:val="left" w:pos="2472"/>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采购人委派代表参加竞争性磋商小组的，要向采购</w:t>
      </w:r>
      <w:r>
        <w:rPr>
          <w:rFonts w:hint="eastAsia" w:hAnsi="宋体" w:cs="宋体"/>
          <w:b/>
          <w:bCs/>
          <w:color w:val="auto"/>
          <w:sz w:val="24"/>
          <w:szCs w:val="24"/>
          <w:highlight w:val="none"/>
          <w:lang w:val="en-US" w:eastAsia="zh-CN"/>
        </w:rPr>
        <w:t>人</w:t>
      </w:r>
      <w:r>
        <w:rPr>
          <w:rFonts w:hint="eastAsia" w:ascii="宋体" w:hAnsi="宋体" w:eastAsia="宋体" w:cs="宋体"/>
          <w:b/>
          <w:bCs/>
          <w:color w:val="auto"/>
          <w:sz w:val="24"/>
          <w:szCs w:val="24"/>
          <w:highlight w:val="none"/>
        </w:rPr>
        <w:t>出具授权函。</w:t>
      </w:r>
    </w:p>
    <w:p w14:paraId="58196452">
      <w:pPr>
        <w:pStyle w:val="16"/>
        <w:tabs>
          <w:tab w:val="left" w:pos="2472"/>
        </w:tabs>
        <w:spacing w:line="360" w:lineRule="auto"/>
        <w:ind w:firstLine="480" w:firstLineChars="200"/>
        <w:rPr>
          <w:rFonts w:hint="eastAsia" w:ascii="宋体" w:hAnsi="宋体" w:eastAsia="宋体" w:cs="宋体"/>
          <w:color w:val="auto"/>
          <w:sz w:val="24"/>
          <w:szCs w:val="24"/>
          <w:highlight w:val="none"/>
        </w:rPr>
      </w:pPr>
      <w:bookmarkStart w:id="153" w:name="_Toc191374422"/>
      <w:r>
        <w:rPr>
          <w:rFonts w:hint="eastAsia" w:ascii="宋体" w:hAnsi="宋体" w:eastAsia="宋体" w:cs="宋体"/>
          <w:color w:val="auto"/>
          <w:sz w:val="24"/>
          <w:szCs w:val="24"/>
          <w:highlight w:val="none"/>
        </w:rPr>
        <w:t>20.3磋商原则</w:t>
      </w:r>
      <w:bookmarkEnd w:id="153"/>
    </w:p>
    <w:p w14:paraId="292388A1">
      <w:pPr>
        <w:pStyle w:val="16"/>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磋商小组成员应当按照客观、公正</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原则，根据竞争性磋商文件规定的评审程序、评审方法和评审标准进行独立评审。未实质性响应竞争性磋商文件的响应文件按无效响应处理，磋商小组应当告知提交响应文件的供应商。</w:t>
      </w:r>
    </w:p>
    <w:p w14:paraId="10A95AF1">
      <w:pPr>
        <w:pStyle w:val="16"/>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20.4磋商程序和方法</w:t>
      </w:r>
    </w:p>
    <w:p w14:paraId="791210F3">
      <w:pPr>
        <w:pStyle w:val="16"/>
        <w:tabs>
          <w:tab w:val="left" w:pos="2472"/>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磋商小组应按照第六章 磋商办法规定的方法、因素、标准和程序进行磋商。</w:t>
      </w:r>
    </w:p>
    <w:p w14:paraId="37B234AD">
      <w:pPr>
        <w:pStyle w:val="16"/>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20.5 磋商文件</w:t>
      </w:r>
      <w:r>
        <w:rPr>
          <w:rFonts w:hint="eastAsia" w:ascii="宋体" w:hAnsi="宋体" w:eastAsia="宋体" w:cs="宋体"/>
          <w:b/>
          <w:bCs/>
          <w:color w:val="auto"/>
          <w:sz w:val="24"/>
          <w:szCs w:val="24"/>
          <w:highlight w:val="none"/>
        </w:rPr>
        <w:t xml:space="preserve">第六章“磋商程序和方法” </w:t>
      </w:r>
      <w:r>
        <w:rPr>
          <w:rFonts w:hint="eastAsia" w:ascii="宋体" w:hAnsi="宋体" w:eastAsia="宋体" w:cs="宋体"/>
          <w:color w:val="auto"/>
          <w:sz w:val="24"/>
          <w:szCs w:val="24"/>
          <w:highlight w:val="none"/>
        </w:rPr>
        <w:t>前附表资格及符合性评审标准为磋商文件的实质性内容，未实质性响应磋商文件的供应商的响应文件将按无效处理，该供应商不得再继续参加磋商。</w:t>
      </w:r>
    </w:p>
    <w:p w14:paraId="60AFEB21">
      <w:pPr>
        <w:pStyle w:val="16"/>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20.6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731974">
      <w:pPr>
        <w:pStyle w:val="16"/>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2AF7C943">
      <w:pPr>
        <w:pStyle w:val="4"/>
        <w:numPr>
          <w:ilvl w:val="0"/>
          <w:numId w:val="4"/>
        </w:numPr>
        <w:tabs>
          <w:tab w:val="left" w:pos="360"/>
        </w:tabs>
        <w:spacing w:before="0"/>
        <w:rPr>
          <w:rFonts w:hint="eastAsia" w:ascii="宋体" w:hAnsi="宋体" w:eastAsia="宋体" w:cs="宋体"/>
          <w:color w:val="auto"/>
          <w:sz w:val="24"/>
          <w:szCs w:val="24"/>
          <w:highlight w:val="none"/>
        </w:rPr>
      </w:pPr>
      <w:bookmarkStart w:id="154" w:name="_Toc17321"/>
      <w:bookmarkStart w:id="155" w:name="_Toc5008"/>
      <w:bookmarkStart w:id="156" w:name="_Toc13941"/>
      <w:bookmarkStart w:id="157" w:name="_Toc10336"/>
      <w:bookmarkStart w:id="158" w:name="_Toc115077012"/>
      <w:bookmarkStart w:id="159" w:name="_Toc13016"/>
      <w:r>
        <w:rPr>
          <w:rFonts w:hint="eastAsia" w:ascii="宋体" w:hAnsi="宋体" w:eastAsia="宋体" w:cs="宋体"/>
          <w:color w:val="auto"/>
          <w:sz w:val="24"/>
          <w:szCs w:val="24"/>
          <w:highlight w:val="none"/>
        </w:rPr>
        <w:t>磋商过程的保密</w:t>
      </w:r>
      <w:bookmarkEnd w:id="154"/>
      <w:bookmarkEnd w:id="155"/>
      <w:bookmarkEnd w:id="156"/>
      <w:bookmarkEnd w:id="157"/>
      <w:bookmarkEnd w:id="158"/>
      <w:bookmarkEnd w:id="159"/>
    </w:p>
    <w:p w14:paraId="7576109A">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磋商中，磋商的任何一方不得透露与磋商有关的其他供应商的技术资料、价格和其他信息。磋商开始后，直到授予供应商合同止，凡是属于审查、澄清、磋商和比较的有关资料以及成交建议等均不向供应商或其他人员透露。</w:t>
      </w:r>
    </w:p>
    <w:p w14:paraId="14B722D0">
      <w:pPr>
        <w:pStyle w:val="4"/>
        <w:numPr>
          <w:ilvl w:val="0"/>
          <w:numId w:val="4"/>
        </w:numPr>
        <w:tabs>
          <w:tab w:val="left" w:pos="360"/>
        </w:tabs>
        <w:spacing w:before="0"/>
        <w:rPr>
          <w:rFonts w:hint="eastAsia" w:ascii="宋体" w:hAnsi="宋体" w:eastAsia="宋体" w:cs="宋体"/>
          <w:color w:val="auto"/>
          <w:sz w:val="24"/>
          <w:szCs w:val="24"/>
          <w:highlight w:val="none"/>
        </w:rPr>
      </w:pPr>
      <w:bookmarkStart w:id="160" w:name="_Toc10813"/>
      <w:bookmarkStart w:id="161" w:name="_Toc115077013"/>
      <w:bookmarkStart w:id="162" w:name="_Toc20797"/>
      <w:bookmarkStart w:id="163" w:name="_Toc11832"/>
      <w:bookmarkStart w:id="164" w:name="_Toc6678"/>
      <w:bookmarkStart w:id="165" w:name="_Toc24902"/>
      <w:r>
        <w:rPr>
          <w:rFonts w:hint="eastAsia" w:ascii="宋体" w:hAnsi="宋体" w:eastAsia="宋体" w:cs="宋体"/>
          <w:color w:val="auto"/>
          <w:sz w:val="24"/>
          <w:szCs w:val="24"/>
          <w:highlight w:val="none"/>
        </w:rPr>
        <w:t>供应商存在下列情况之一的，磋商无效：</w:t>
      </w:r>
      <w:bookmarkEnd w:id="160"/>
      <w:bookmarkEnd w:id="161"/>
      <w:bookmarkEnd w:id="162"/>
      <w:bookmarkEnd w:id="163"/>
      <w:bookmarkEnd w:id="164"/>
      <w:bookmarkEnd w:id="165"/>
    </w:p>
    <w:p w14:paraId="523E7932">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（1）响应文件未按竞争性磋商文件要求签署、盖章的；</w:t>
      </w:r>
    </w:p>
    <w:p w14:paraId="6CEBDB22">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（2）不具备竞争性磋商文件中规定的资格要求的；</w:t>
      </w:r>
    </w:p>
    <w:p w14:paraId="0563ABD8">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（3）报价超过竞争性磋商文件中规定的预算金额或者最高限价的；</w:t>
      </w:r>
    </w:p>
    <w:p w14:paraId="76225EE5">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（4）响应文件含有采购人不能接受的附加条件的；</w:t>
      </w:r>
    </w:p>
    <w:p w14:paraId="300A6D0C">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（5）法律、法规和竞争性磋商文件规定的其他无效情形。</w:t>
      </w:r>
    </w:p>
    <w:p w14:paraId="2FE3AEDD">
      <w:pPr>
        <w:pStyle w:val="4"/>
        <w:numPr>
          <w:ilvl w:val="0"/>
          <w:numId w:val="4"/>
        </w:numPr>
        <w:tabs>
          <w:tab w:val="left" w:pos="360"/>
        </w:tabs>
        <w:spacing w:before="0"/>
        <w:rPr>
          <w:rFonts w:hint="eastAsia" w:ascii="宋体" w:hAnsi="宋体" w:eastAsia="宋体" w:cs="宋体"/>
          <w:color w:val="auto"/>
          <w:sz w:val="24"/>
          <w:szCs w:val="24"/>
          <w:highlight w:val="none"/>
        </w:rPr>
      </w:pPr>
      <w:bookmarkStart w:id="166" w:name="_Toc15220"/>
      <w:bookmarkStart w:id="167" w:name="_Toc23865"/>
      <w:bookmarkStart w:id="168" w:name="_Toc4410"/>
      <w:bookmarkStart w:id="169" w:name="_Toc115077014"/>
      <w:bookmarkStart w:id="170" w:name="_Toc26614"/>
      <w:bookmarkStart w:id="171" w:name="_Toc10307"/>
      <w:r>
        <w:rPr>
          <w:rFonts w:hint="eastAsia" w:ascii="宋体" w:hAnsi="宋体" w:eastAsia="宋体" w:cs="宋体"/>
          <w:color w:val="auto"/>
          <w:sz w:val="24"/>
          <w:szCs w:val="24"/>
          <w:highlight w:val="none"/>
        </w:rPr>
        <w:t>有下列情形之一的，视为供应商串通磋商，其磋商无效：</w:t>
      </w:r>
      <w:bookmarkEnd w:id="166"/>
      <w:bookmarkEnd w:id="167"/>
      <w:bookmarkEnd w:id="168"/>
      <w:bookmarkEnd w:id="169"/>
      <w:bookmarkEnd w:id="170"/>
      <w:bookmarkEnd w:id="171"/>
    </w:p>
    <w:p w14:paraId="2EEA1140">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（1）不同供应商的响应文件由同一单位或者个人编制；</w:t>
      </w:r>
    </w:p>
    <w:p w14:paraId="72A7CB9B">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（2）不同供应商委托同一单位或者个人办理磋商事宜；</w:t>
      </w:r>
    </w:p>
    <w:p w14:paraId="01CA23EC">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（3）不同供应商的响应文件载明的项目管理成员或者联系人员为同一人；</w:t>
      </w:r>
    </w:p>
    <w:p w14:paraId="31B2C40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（4）不同供应商的响应文件异常一致或者磋商报价呈规律性差异；</w:t>
      </w:r>
    </w:p>
    <w:p w14:paraId="3FE90D5B">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（5）不同供应商的响应文件相互混装；</w:t>
      </w:r>
    </w:p>
    <w:p w14:paraId="35C82774">
      <w:pPr>
        <w:pStyle w:val="4"/>
        <w:numPr>
          <w:ilvl w:val="0"/>
          <w:numId w:val="4"/>
        </w:numPr>
        <w:tabs>
          <w:tab w:val="left" w:pos="360"/>
        </w:tabs>
        <w:spacing w:before="0"/>
        <w:rPr>
          <w:rFonts w:hint="eastAsia" w:ascii="宋体" w:hAnsi="宋体" w:eastAsia="宋体" w:cs="宋体"/>
          <w:color w:val="auto"/>
          <w:sz w:val="24"/>
          <w:szCs w:val="24"/>
          <w:highlight w:val="none"/>
        </w:rPr>
      </w:pPr>
      <w:bookmarkStart w:id="172" w:name="_Toc27673"/>
      <w:bookmarkStart w:id="173" w:name="_Toc115077015"/>
      <w:bookmarkStart w:id="174" w:name="_Toc31105"/>
      <w:bookmarkStart w:id="175" w:name="_Toc19039"/>
      <w:bookmarkStart w:id="176" w:name="_Toc2695"/>
      <w:bookmarkStart w:id="177" w:name="_Toc267"/>
      <w:r>
        <w:rPr>
          <w:rFonts w:hint="eastAsia" w:ascii="宋体" w:hAnsi="宋体" w:eastAsia="宋体" w:cs="宋体"/>
          <w:color w:val="auto"/>
          <w:sz w:val="24"/>
          <w:szCs w:val="24"/>
          <w:highlight w:val="none"/>
        </w:rPr>
        <w:t>在磋商采购中，出现下列情形之一的，应予废标：</w:t>
      </w:r>
      <w:bookmarkEnd w:id="172"/>
      <w:bookmarkEnd w:id="173"/>
      <w:bookmarkEnd w:id="174"/>
      <w:bookmarkEnd w:id="175"/>
      <w:bookmarkEnd w:id="176"/>
      <w:bookmarkEnd w:id="177"/>
    </w:p>
    <w:p w14:paraId="792E4E94">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（1）符合专业条件的供应商或者对竞争性磋商文件作实质响应的供应商不足2家的；</w:t>
      </w:r>
    </w:p>
    <w:p w14:paraId="0A1D680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（2）出现影响采购公正的违法、违规行为的；</w:t>
      </w:r>
    </w:p>
    <w:p w14:paraId="3B44F6F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（3）因重大变故，采购任务取消的。</w:t>
      </w:r>
    </w:p>
    <w:p w14:paraId="7D4E4D22">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废标后，采购人应当将废标理由通知所有供应商。</w:t>
      </w:r>
    </w:p>
    <w:p w14:paraId="348CA2E7">
      <w:pPr>
        <w:spacing w:line="360" w:lineRule="auto"/>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采用竞争性磋商采购方式采购的政府购买服务项目(含政府和社会资本合作项目)，在采购过程中符合要求的供应商(社会资本)只有2家的，竞争性磋商采购活动可以继续进行。</w:t>
      </w:r>
    </w:p>
    <w:p w14:paraId="11F1277F">
      <w:pPr>
        <w:pStyle w:val="3"/>
        <w:keepNext/>
        <w:keepLines w:val="0"/>
        <w:pageBreakBefore w:val="0"/>
        <w:widowControl w:val="0"/>
        <w:numPr>
          <w:ilvl w:val="0"/>
          <w:numId w:val="0"/>
        </w:numPr>
        <w:tabs>
          <w:tab w:val="clear" w:pos="1304"/>
        </w:tabs>
        <w:kinsoku/>
        <w:wordWrap/>
        <w:overflowPunct/>
        <w:topLinePunct w:val="0"/>
        <w:autoSpaceDE/>
        <w:autoSpaceDN/>
        <w:bidi w:val="0"/>
        <w:adjustRightInd w:val="0"/>
        <w:snapToGrid/>
        <w:spacing w:before="0"/>
        <w:ind w:left="0" w:leftChars="0" w:firstLine="0" w:firstLineChars="0"/>
        <w:jc w:val="center"/>
        <w:textAlignment w:val="baseline"/>
        <w:rPr>
          <w:rFonts w:hint="eastAsia" w:ascii="宋体" w:hAnsi="宋体" w:eastAsia="宋体" w:cs="宋体"/>
          <w:b/>
          <w:color w:val="auto"/>
          <w:sz w:val="24"/>
          <w:szCs w:val="24"/>
          <w:highlight w:val="none"/>
        </w:rPr>
      </w:pPr>
      <w:bookmarkStart w:id="178" w:name="_Toc115077016"/>
      <w:bookmarkStart w:id="179" w:name="_Toc1529"/>
      <w:r>
        <w:rPr>
          <w:rFonts w:hint="eastAsia" w:ascii="宋体" w:hAnsi="宋体" w:eastAsia="宋体" w:cs="宋体"/>
          <w:b/>
          <w:color w:val="auto"/>
          <w:sz w:val="24"/>
          <w:szCs w:val="24"/>
          <w:highlight w:val="none"/>
        </w:rPr>
        <w:t>六、成交结果</w:t>
      </w:r>
      <w:bookmarkEnd w:id="178"/>
      <w:bookmarkEnd w:id="179"/>
    </w:p>
    <w:p w14:paraId="4A17AA79">
      <w:pPr>
        <w:pStyle w:val="4"/>
        <w:numPr>
          <w:ilvl w:val="0"/>
          <w:numId w:val="4"/>
        </w:numPr>
        <w:tabs>
          <w:tab w:val="left" w:pos="360"/>
        </w:tabs>
        <w:spacing w:before="0"/>
        <w:rPr>
          <w:rFonts w:hint="eastAsia" w:ascii="宋体" w:hAnsi="宋体" w:eastAsia="宋体" w:cs="宋体"/>
          <w:color w:val="auto"/>
          <w:sz w:val="24"/>
          <w:szCs w:val="24"/>
          <w:highlight w:val="none"/>
        </w:rPr>
      </w:pPr>
      <w:bookmarkStart w:id="180" w:name="_Toc14540"/>
      <w:bookmarkStart w:id="181" w:name="_Toc19690"/>
      <w:bookmarkStart w:id="182" w:name="_Toc4586"/>
      <w:bookmarkStart w:id="183" w:name="_Toc115077017"/>
      <w:bookmarkStart w:id="184" w:name="_Toc27161"/>
      <w:bookmarkStart w:id="185" w:name="_Toc2088"/>
      <w:r>
        <w:rPr>
          <w:rFonts w:hint="eastAsia" w:ascii="宋体" w:hAnsi="宋体" w:eastAsia="宋体" w:cs="宋体"/>
          <w:color w:val="auto"/>
          <w:sz w:val="24"/>
          <w:szCs w:val="24"/>
          <w:highlight w:val="none"/>
        </w:rPr>
        <w:t>成交人的确定</w:t>
      </w:r>
      <w:bookmarkEnd w:id="180"/>
      <w:bookmarkEnd w:id="181"/>
      <w:bookmarkEnd w:id="182"/>
      <w:bookmarkEnd w:id="183"/>
      <w:bookmarkEnd w:id="184"/>
      <w:bookmarkEnd w:id="185"/>
    </w:p>
    <w:p w14:paraId="727DD4C3">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25.1 采购代理机构应当在磋商结束后2个工作日内将竞争性磋商报告送采购人。</w:t>
      </w:r>
    </w:p>
    <w:p w14:paraId="26FADC66">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25.2采购人应当在收到磋商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6C23EB3C">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25.3采购人或者采购代理机构应当在成交供应商确定后2个工作日内，在省级以上财政部门指定的政府采购信息发布媒体上公告成交结果，同时向成交供应商发出成交通知书，并将竞争性磋商文件随成交结果同时公告。</w:t>
      </w:r>
    </w:p>
    <w:p w14:paraId="71D2FAE3">
      <w:pPr>
        <w:pStyle w:val="4"/>
        <w:numPr>
          <w:ilvl w:val="0"/>
          <w:numId w:val="4"/>
        </w:numPr>
        <w:tabs>
          <w:tab w:val="left" w:pos="360"/>
        </w:tabs>
        <w:spacing w:before="0"/>
        <w:rPr>
          <w:rFonts w:hint="eastAsia" w:ascii="宋体" w:hAnsi="宋体" w:eastAsia="宋体" w:cs="宋体"/>
          <w:color w:val="auto"/>
          <w:sz w:val="24"/>
          <w:szCs w:val="24"/>
          <w:highlight w:val="none"/>
        </w:rPr>
      </w:pPr>
      <w:bookmarkStart w:id="186" w:name="_Toc115077018"/>
      <w:bookmarkStart w:id="187" w:name="_Toc7323"/>
      <w:bookmarkStart w:id="188" w:name="_Toc24366"/>
      <w:bookmarkStart w:id="189" w:name="_Toc19090"/>
      <w:bookmarkStart w:id="190" w:name="_Toc21838"/>
      <w:bookmarkStart w:id="191" w:name="_Toc23849"/>
      <w:r>
        <w:rPr>
          <w:rFonts w:hint="eastAsia" w:ascii="宋体" w:hAnsi="宋体" w:eastAsia="宋体" w:cs="宋体"/>
          <w:color w:val="auto"/>
          <w:sz w:val="24"/>
          <w:szCs w:val="24"/>
          <w:highlight w:val="none"/>
        </w:rPr>
        <w:t>签订合同</w:t>
      </w:r>
      <w:bookmarkEnd w:id="186"/>
      <w:bookmarkEnd w:id="187"/>
      <w:bookmarkEnd w:id="188"/>
      <w:bookmarkEnd w:id="189"/>
      <w:bookmarkEnd w:id="190"/>
      <w:bookmarkEnd w:id="191"/>
    </w:p>
    <w:p w14:paraId="04B7470C">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26.1采购人与成交供应商应当在成交通知书发出之日起30日内，按照竞争性磋商文件确定的合同文本以及采购标的、规格型号、采购金额、采购数量、技术和服务要求等事项签订政府采购合同。</w:t>
      </w:r>
    </w:p>
    <w:p w14:paraId="48ACE8F5">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26.2采购人不得向成交供应商提出超出竞争性磋商文件以外的任何要求作为签订合同的条件，不得与成交供应商订立背竞争性离磋商文件确定的合同文本以及采购标的、规格型号、采购金额、采购数量、技术和服务要求等实质性内容的协议。</w:t>
      </w:r>
    </w:p>
    <w:p w14:paraId="20DCD72E">
      <w:pPr>
        <w:pStyle w:val="4"/>
        <w:numPr>
          <w:ilvl w:val="0"/>
          <w:numId w:val="4"/>
        </w:numPr>
        <w:tabs>
          <w:tab w:val="left" w:pos="360"/>
        </w:tabs>
        <w:spacing w:before="0"/>
        <w:rPr>
          <w:rFonts w:hint="eastAsia" w:ascii="宋体" w:hAnsi="宋体" w:eastAsia="宋体" w:cs="宋体"/>
          <w:color w:val="auto"/>
          <w:sz w:val="24"/>
          <w:szCs w:val="24"/>
          <w:highlight w:val="none"/>
        </w:rPr>
      </w:pPr>
      <w:bookmarkStart w:id="192" w:name="_Toc12012"/>
      <w:bookmarkStart w:id="193" w:name="_Toc115077019"/>
      <w:bookmarkStart w:id="194" w:name="_Toc29901"/>
      <w:bookmarkStart w:id="195" w:name="_Toc2665"/>
      <w:bookmarkStart w:id="196" w:name="_Toc28771"/>
      <w:bookmarkStart w:id="197" w:name="_Toc28839"/>
      <w:r>
        <w:rPr>
          <w:rFonts w:hint="eastAsia" w:ascii="宋体" w:hAnsi="宋体" w:eastAsia="宋体" w:cs="宋体"/>
          <w:color w:val="auto"/>
          <w:sz w:val="24"/>
          <w:szCs w:val="24"/>
          <w:highlight w:val="none"/>
        </w:rPr>
        <w:t>履约保证金</w:t>
      </w:r>
      <w:bookmarkEnd w:id="192"/>
      <w:bookmarkEnd w:id="193"/>
      <w:bookmarkEnd w:id="194"/>
      <w:bookmarkEnd w:id="195"/>
      <w:bookmarkEnd w:id="196"/>
      <w:bookmarkEnd w:id="197"/>
    </w:p>
    <w:p w14:paraId="080A78EA">
      <w:pPr>
        <w:spacing w:line="360" w:lineRule="auto"/>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详见供应商须知前附表。</w:t>
      </w:r>
    </w:p>
    <w:p w14:paraId="15CA6FAF">
      <w:pPr>
        <w:pStyle w:val="3"/>
        <w:keepNext/>
        <w:keepLines w:val="0"/>
        <w:pageBreakBefore w:val="0"/>
        <w:widowControl w:val="0"/>
        <w:numPr>
          <w:ilvl w:val="0"/>
          <w:numId w:val="0"/>
        </w:numPr>
        <w:tabs>
          <w:tab w:val="clear" w:pos="1304"/>
        </w:tabs>
        <w:kinsoku/>
        <w:wordWrap/>
        <w:overflowPunct/>
        <w:topLinePunct w:val="0"/>
        <w:autoSpaceDE/>
        <w:autoSpaceDN/>
        <w:bidi w:val="0"/>
        <w:adjustRightInd w:val="0"/>
        <w:snapToGrid/>
        <w:spacing w:before="0"/>
        <w:ind w:left="0" w:leftChars="0" w:firstLine="0" w:firstLineChars="0"/>
        <w:jc w:val="center"/>
        <w:textAlignment w:val="baseline"/>
        <w:rPr>
          <w:rFonts w:hint="eastAsia" w:ascii="宋体" w:hAnsi="宋体" w:eastAsia="宋体" w:cs="宋体"/>
          <w:b/>
          <w:color w:val="auto"/>
          <w:sz w:val="24"/>
          <w:szCs w:val="24"/>
          <w:highlight w:val="none"/>
        </w:rPr>
      </w:pPr>
      <w:bookmarkStart w:id="198" w:name="_Toc115077020"/>
      <w:bookmarkStart w:id="199" w:name="_Toc14516"/>
      <w:r>
        <w:rPr>
          <w:rFonts w:hint="eastAsia" w:ascii="宋体" w:hAnsi="宋体" w:eastAsia="宋体" w:cs="宋体"/>
          <w:b/>
          <w:color w:val="auto"/>
          <w:sz w:val="24"/>
          <w:szCs w:val="24"/>
          <w:highlight w:val="none"/>
        </w:rPr>
        <w:t>七、其他事项</w:t>
      </w:r>
      <w:bookmarkEnd w:id="198"/>
      <w:bookmarkEnd w:id="199"/>
    </w:p>
    <w:p w14:paraId="4A613EE2">
      <w:pPr>
        <w:pStyle w:val="4"/>
        <w:numPr>
          <w:ilvl w:val="0"/>
          <w:numId w:val="4"/>
        </w:numPr>
        <w:tabs>
          <w:tab w:val="left" w:pos="360"/>
        </w:tabs>
        <w:spacing w:before="0"/>
        <w:rPr>
          <w:rFonts w:hint="eastAsia" w:ascii="宋体" w:hAnsi="宋体" w:eastAsia="宋体" w:cs="宋体"/>
          <w:color w:val="auto"/>
          <w:sz w:val="24"/>
          <w:szCs w:val="24"/>
          <w:highlight w:val="none"/>
        </w:rPr>
      </w:pPr>
      <w:bookmarkStart w:id="200" w:name="_Toc31232"/>
      <w:bookmarkStart w:id="201" w:name="_Toc115077021"/>
      <w:bookmarkStart w:id="202" w:name="_Toc11078"/>
      <w:bookmarkStart w:id="203" w:name="_Toc23585"/>
      <w:bookmarkStart w:id="204" w:name="_Toc30001"/>
      <w:bookmarkStart w:id="205" w:name="_Toc23225"/>
      <w:r>
        <w:rPr>
          <w:rFonts w:hint="eastAsia" w:ascii="宋体" w:hAnsi="宋体" w:eastAsia="宋体" w:cs="宋体"/>
          <w:color w:val="auto"/>
          <w:sz w:val="24"/>
          <w:szCs w:val="24"/>
          <w:highlight w:val="none"/>
        </w:rPr>
        <w:t>采购代理服务费</w:t>
      </w:r>
      <w:bookmarkEnd w:id="200"/>
      <w:bookmarkEnd w:id="201"/>
      <w:bookmarkEnd w:id="202"/>
      <w:bookmarkEnd w:id="203"/>
      <w:bookmarkEnd w:id="204"/>
      <w:bookmarkEnd w:id="205"/>
    </w:p>
    <w:p w14:paraId="54FAB1FB">
      <w:pPr>
        <w:spacing w:line="360" w:lineRule="auto"/>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详见供应商须知前附表。</w:t>
      </w:r>
    </w:p>
    <w:p w14:paraId="6EC49344">
      <w:pPr>
        <w:pStyle w:val="4"/>
        <w:numPr>
          <w:ilvl w:val="0"/>
          <w:numId w:val="4"/>
        </w:numPr>
        <w:tabs>
          <w:tab w:val="left" w:pos="360"/>
        </w:tabs>
        <w:spacing w:before="0"/>
        <w:rPr>
          <w:rFonts w:hint="eastAsia" w:ascii="宋体" w:hAnsi="宋体" w:eastAsia="宋体" w:cs="宋体"/>
          <w:color w:val="auto"/>
          <w:sz w:val="24"/>
          <w:szCs w:val="24"/>
          <w:highlight w:val="none"/>
        </w:rPr>
      </w:pPr>
      <w:bookmarkStart w:id="206" w:name="_Toc3742"/>
      <w:bookmarkStart w:id="207" w:name="_Toc30340"/>
      <w:bookmarkStart w:id="208" w:name="_Toc115077022"/>
      <w:bookmarkStart w:id="209" w:name="_Toc29441"/>
      <w:bookmarkStart w:id="210" w:name="_Toc17989"/>
      <w:bookmarkStart w:id="211" w:name="_Toc1161"/>
      <w:r>
        <w:rPr>
          <w:rFonts w:hint="eastAsia" w:ascii="宋体" w:hAnsi="宋体" w:eastAsia="宋体" w:cs="宋体"/>
          <w:color w:val="auto"/>
          <w:sz w:val="24"/>
          <w:szCs w:val="24"/>
          <w:highlight w:val="none"/>
        </w:rPr>
        <w:t>解释权</w:t>
      </w:r>
      <w:bookmarkEnd w:id="206"/>
      <w:bookmarkEnd w:id="207"/>
      <w:bookmarkEnd w:id="208"/>
      <w:bookmarkEnd w:id="209"/>
      <w:bookmarkEnd w:id="210"/>
      <w:bookmarkEnd w:id="211"/>
    </w:p>
    <w:p w14:paraId="153CA7B2">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本竞争性磋商文件是根据《中华人民共和国政府采购法》及相关法律法规编制，解释权属采购人及采购代理机构。</w:t>
      </w:r>
    </w:p>
    <w:p w14:paraId="78877856">
      <w:pPr>
        <w:pStyle w:val="4"/>
        <w:numPr>
          <w:ilvl w:val="0"/>
          <w:numId w:val="4"/>
        </w:numPr>
        <w:tabs>
          <w:tab w:val="left" w:pos="360"/>
        </w:tabs>
        <w:spacing w:before="0"/>
        <w:rPr>
          <w:rFonts w:hint="eastAsia" w:ascii="宋体" w:hAnsi="宋体" w:eastAsia="宋体" w:cs="宋体"/>
          <w:color w:val="auto"/>
          <w:sz w:val="24"/>
          <w:szCs w:val="24"/>
          <w:highlight w:val="none"/>
        </w:rPr>
      </w:pPr>
      <w:bookmarkStart w:id="212" w:name="_Toc10904"/>
      <w:bookmarkStart w:id="213" w:name="_Toc18855"/>
      <w:bookmarkStart w:id="214" w:name="_Toc115077023"/>
      <w:bookmarkStart w:id="215" w:name="_Toc15283"/>
      <w:bookmarkStart w:id="216" w:name="_Toc4073"/>
      <w:bookmarkStart w:id="217" w:name="_Toc16344"/>
      <w:r>
        <w:rPr>
          <w:rFonts w:hint="eastAsia" w:ascii="宋体" w:hAnsi="宋体" w:eastAsia="宋体" w:cs="宋体"/>
          <w:color w:val="auto"/>
          <w:sz w:val="24"/>
          <w:szCs w:val="24"/>
          <w:highlight w:val="none"/>
        </w:rPr>
        <w:t>需要补充的其他内容</w:t>
      </w:r>
      <w:bookmarkEnd w:id="212"/>
      <w:bookmarkEnd w:id="213"/>
      <w:bookmarkEnd w:id="214"/>
      <w:bookmarkEnd w:id="215"/>
      <w:bookmarkEnd w:id="216"/>
      <w:bookmarkEnd w:id="217"/>
    </w:p>
    <w:p w14:paraId="005FE507">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30.1</w:t>
      </w:r>
      <w:bookmarkEnd w:id="36"/>
      <w:r>
        <w:rPr>
          <w:rFonts w:hint="eastAsia" w:ascii="宋体" w:hAnsi="宋体" w:eastAsia="宋体" w:cs="宋体"/>
          <w:color w:val="auto"/>
          <w:sz w:val="24"/>
          <w:highlight w:val="none"/>
        </w:rPr>
        <w:t>其它需要补充的内容：</w:t>
      </w:r>
      <w:r>
        <w:rPr>
          <w:rFonts w:hint="eastAsia" w:ascii="宋体" w:hAnsi="宋体" w:eastAsia="宋体" w:cs="宋体"/>
          <w:b/>
          <w:bCs/>
          <w:color w:val="auto"/>
          <w:sz w:val="24"/>
          <w:highlight w:val="none"/>
        </w:rPr>
        <w:t>见“供应商须知前附表”</w:t>
      </w:r>
      <w:r>
        <w:rPr>
          <w:rFonts w:hint="eastAsia" w:ascii="宋体" w:hAnsi="宋体" w:eastAsia="宋体" w:cs="宋体"/>
          <w:color w:val="auto"/>
          <w:sz w:val="24"/>
          <w:highlight w:val="none"/>
        </w:rPr>
        <w:t>。</w:t>
      </w:r>
    </w:p>
    <w:p w14:paraId="16B0667B">
      <w:pPr>
        <w:rPr>
          <w:rFonts w:hint="eastAsia" w:ascii="宋体" w:hAnsi="宋体" w:eastAsia="宋体" w:cs="宋体"/>
          <w:color w:val="auto"/>
          <w:sz w:val="32"/>
          <w:szCs w:val="32"/>
          <w:highlight w:val="none"/>
        </w:rPr>
      </w:pPr>
      <w:bookmarkStart w:id="218" w:name="_Toc115077024"/>
      <w:r>
        <w:rPr>
          <w:rFonts w:hint="eastAsia" w:ascii="宋体" w:hAnsi="宋体" w:eastAsia="宋体" w:cs="宋体"/>
          <w:color w:val="auto"/>
          <w:sz w:val="32"/>
          <w:szCs w:val="32"/>
          <w:highlight w:val="none"/>
        </w:rPr>
        <w:br w:type="page"/>
      </w:r>
    </w:p>
    <w:p w14:paraId="0FCB891D">
      <w:pPr>
        <w:pStyle w:val="2"/>
        <w:numPr>
          <w:ilvl w:val="0"/>
          <w:numId w:val="0"/>
        </w:numPr>
        <w:spacing w:before="0"/>
        <w:jc w:val="center"/>
        <w:rPr>
          <w:rFonts w:hint="eastAsia" w:ascii="宋体" w:hAnsi="宋体" w:eastAsia="宋体" w:cs="宋体"/>
          <w:color w:val="auto"/>
          <w:sz w:val="32"/>
          <w:szCs w:val="32"/>
          <w:highlight w:val="none"/>
        </w:rPr>
      </w:pPr>
      <w:bookmarkStart w:id="219" w:name="_Toc9619"/>
      <w:r>
        <w:rPr>
          <w:rFonts w:hint="eastAsia" w:ascii="宋体" w:hAnsi="宋体" w:eastAsia="宋体" w:cs="宋体"/>
          <w:color w:val="auto"/>
          <w:sz w:val="32"/>
          <w:szCs w:val="32"/>
          <w:highlight w:val="none"/>
        </w:rPr>
        <w:t>第三章  合同书样式及主要条款</w:t>
      </w:r>
      <w:bookmarkEnd w:id="218"/>
      <w:bookmarkEnd w:id="219"/>
    </w:p>
    <w:p w14:paraId="52E43785">
      <w:pPr>
        <w:spacing w:line="360" w:lineRule="auto"/>
        <w:ind w:firstLine="643" w:firstLineChars="20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（本合同条款仅供参考，最终以双方共同商定的合同为准）</w:t>
      </w:r>
    </w:p>
    <w:p w14:paraId="44873DB1">
      <w:pPr>
        <w:spacing w:line="360" w:lineRule="auto"/>
        <w:jc w:val="center"/>
        <w:rPr>
          <w:rFonts w:hint="eastAsia" w:ascii="宋体" w:hAnsi="宋体" w:eastAsia="宋体" w:cs="宋体"/>
          <w:b/>
          <w:bCs/>
          <w:color w:val="auto"/>
          <w:sz w:val="28"/>
          <w:szCs w:val="28"/>
          <w:highlight w:val="none"/>
        </w:rPr>
      </w:pPr>
    </w:p>
    <w:p w14:paraId="743C4297">
      <w:pPr>
        <w:spacing w:line="360" w:lineRule="auto"/>
        <w:jc w:val="center"/>
        <w:rPr>
          <w:rFonts w:hint="eastAsia" w:ascii="宋体" w:hAnsi="宋体" w:eastAsia="宋体" w:cs="宋体"/>
          <w:b/>
          <w:bCs/>
          <w:color w:val="auto"/>
          <w:sz w:val="28"/>
          <w:szCs w:val="28"/>
          <w:highlight w:val="none"/>
        </w:rPr>
      </w:pPr>
    </w:p>
    <w:p w14:paraId="3CAB000A">
      <w:pPr>
        <w:pStyle w:val="45"/>
        <w:rPr>
          <w:rFonts w:hint="eastAsia" w:ascii="宋体" w:hAnsi="宋体" w:eastAsia="宋体" w:cs="宋体"/>
          <w:b/>
          <w:bCs/>
          <w:color w:val="auto"/>
          <w:sz w:val="28"/>
          <w:szCs w:val="28"/>
          <w:highlight w:val="none"/>
        </w:rPr>
      </w:pPr>
    </w:p>
    <w:p w14:paraId="26F87A6F">
      <w:pPr>
        <w:pStyle w:val="45"/>
        <w:rPr>
          <w:rFonts w:hint="eastAsia" w:ascii="宋体" w:hAnsi="宋体" w:eastAsia="宋体" w:cs="宋体"/>
          <w:b/>
          <w:bCs/>
          <w:color w:val="auto"/>
          <w:sz w:val="28"/>
          <w:szCs w:val="28"/>
          <w:highlight w:val="none"/>
        </w:rPr>
      </w:pPr>
    </w:p>
    <w:p w14:paraId="0A1B0846">
      <w:pPr>
        <w:spacing w:line="360" w:lineRule="auto"/>
        <w:jc w:val="center"/>
        <w:rPr>
          <w:rFonts w:hint="eastAsia" w:ascii="宋体" w:hAnsi="宋体" w:eastAsia="宋体" w:cs="宋体"/>
          <w:b/>
          <w:bCs/>
          <w:color w:val="auto"/>
          <w:sz w:val="28"/>
          <w:szCs w:val="28"/>
          <w:highlight w:val="none"/>
        </w:rPr>
      </w:pPr>
    </w:p>
    <w:p w14:paraId="62213917">
      <w:pPr>
        <w:spacing w:line="360" w:lineRule="auto"/>
        <w:ind w:firstLine="1044" w:firstLineChars="200"/>
        <w:jc w:val="center"/>
        <w:rPr>
          <w:rFonts w:hint="eastAsia" w:ascii="宋体" w:hAnsi="宋体" w:eastAsia="宋体" w:cs="宋体"/>
          <w:b/>
          <w:bCs/>
          <w:color w:val="auto"/>
          <w:sz w:val="52"/>
          <w:szCs w:val="52"/>
          <w:highlight w:val="none"/>
          <w:lang w:eastAsia="zh-CN"/>
        </w:rPr>
      </w:pPr>
      <w:r>
        <w:rPr>
          <w:rFonts w:hint="eastAsia" w:ascii="宋体" w:hAnsi="宋体" w:cs="宋体"/>
          <w:b/>
          <w:bCs/>
          <w:color w:val="auto"/>
          <w:sz w:val="52"/>
          <w:szCs w:val="52"/>
          <w:highlight w:val="none"/>
          <w:lang w:eastAsia="zh-CN"/>
        </w:rPr>
        <w:t>福贡县2025年高素质农民培育项目（二次）</w:t>
      </w:r>
    </w:p>
    <w:p w14:paraId="7A6F81C7">
      <w:pPr>
        <w:spacing w:line="360" w:lineRule="auto"/>
        <w:ind w:firstLine="1044" w:firstLineChars="200"/>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合同书</w:t>
      </w:r>
    </w:p>
    <w:p w14:paraId="04A5B475">
      <w:pPr>
        <w:spacing w:line="360" w:lineRule="auto"/>
        <w:ind w:firstLine="723" w:firstLineChars="200"/>
        <w:jc w:val="center"/>
        <w:rPr>
          <w:rFonts w:hint="eastAsia" w:ascii="宋体" w:hAnsi="宋体" w:eastAsia="宋体" w:cs="宋体"/>
          <w:b/>
          <w:bCs/>
          <w:color w:val="auto"/>
          <w:sz w:val="36"/>
          <w:szCs w:val="36"/>
          <w:highlight w:val="none"/>
        </w:rPr>
      </w:pPr>
    </w:p>
    <w:p w14:paraId="47E1C65A">
      <w:pPr>
        <w:spacing w:line="360" w:lineRule="auto"/>
        <w:ind w:firstLine="723" w:firstLineChars="200"/>
        <w:jc w:val="center"/>
        <w:rPr>
          <w:rFonts w:hint="eastAsia" w:ascii="宋体" w:hAnsi="宋体" w:eastAsia="宋体" w:cs="宋体"/>
          <w:b/>
          <w:bCs/>
          <w:color w:val="auto"/>
          <w:sz w:val="36"/>
          <w:szCs w:val="36"/>
          <w:highlight w:val="none"/>
        </w:rPr>
      </w:pPr>
    </w:p>
    <w:p w14:paraId="7EDCB8A0">
      <w:pPr>
        <w:spacing w:line="360" w:lineRule="auto"/>
        <w:jc w:val="both"/>
        <w:rPr>
          <w:rFonts w:hint="eastAsia" w:ascii="宋体" w:hAnsi="宋体" w:eastAsia="宋体" w:cs="宋体"/>
          <w:b/>
          <w:bCs/>
          <w:color w:val="auto"/>
          <w:sz w:val="36"/>
          <w:szCs w:val="36"/>
          <w:highlight w:val="none"/>
        </w:rPr>
      </w:pPr>
    </w:p>
    <w:p w14:paraId="6762BCA4">
      <w:pPr>
        <w:spacing w:line="360" w:lineRule="auto"/>
        <w:ind w:firstLine="723" w:firstLineChars="200"/>
        <w:jc w:val="center"/>
        <w:rPr>
          <w:rFonts w:hint="eastAsia" w:ascii="宋体" w:hAnsi="宋体" w:eastAsia="宋体" w:cs="宋体"/>
          <w:b/>
          <w:bCs/>
          <w:color w:val="auto"/>
          <w:sz w:val="36"/>
          <w:szCs w:val="36"/>
          <w:highlight w:val="none"/>
        </w:rPr>
      </w:pPr>
    </w:p>
    <w:p w14:paraId="17927B33">
      <w:pPr>
        <w:tabs>
          <w:tab w:val="left" w:pos="6591"/>
        </w:tabs>
        <w:spacing w:before="70"/>
        <w:ind w:left="1037" w:leftChars="494" w:firstLine="21" w:firstLineChars="9"/>
        <w:jc w:val="lef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合</w:t>
      </w:r>
      <w:r>
        <w:rPr>
          <w:rFonts w:hint="eastAsia" w:ascii="宋体" w:hAnsi="宋体" w:eastAsia="宋体" w:cs="宋体"/>
          <w:color w:val="auto"/>
          <w:spacing w:val="-3"/>
          <w:sz w:val="24"/>
          <w:szCs w:val="24"/>
          <w:highlight w:val="none"/>
        </w:rPr>
        <w:t>同</w:t>
      </w:r>
      <w:r>
        <w:rPr>
          <w:rFonts w:hint="eastAsia" w:ascii="宋体" w:hAnsi="宋体" w:eastAsia="宋体" w:cs="宋体"/>
          <w:color w:val="auto"/>
          <w:spacing w:val="-1"/>
          <w:sz w:val="24"/>
          <w:szCs w:val="24"/>
          <w:highlight w:val="none"/>
        </w:rPr>
        <w:t>编号：</w:t>
      </w:r>
      <w:r>
        <w:rPr>
          <w:rFonts w:hint="eastAsia" w:ascii="宋体" w:hAnsi="宋体" w:eastAsia="宋体" w:cs="宋体"/>
          <w:color w:val="auto"/>
          <w:sz w:val="24"/>
          <w:szCs w:val="24"/>
          <w:highlight w:val="none"/>
          <w:u w:val="single"/>
        </w:rPr>
        <w:tab/>
      </w:r>
    </w:p>
    <w:p w14:paraId="1F85F8E4">
      <w:pPr>
        <w:pStyle w:val="11"/>
        <w:spacing w:before="9"/>
        <w:ind w:left="1037" w:leftChars="494" w:right="63" w:firstLine="20" w:firstLineChars="9"/>
        <w:rPr>
          <w:rFonts w:hint="eastAsia" w:ascii="宋体" w:hAnsi="宋体" w:eastAsia="宋体" w:cs="宋体"/>
          <w:color w:val="auto"/>
          <w:sz w:val="24"/>
          <w:szCs w:val="24"/>
          <w:highlight w:val="none"/>
        </w:rPr>
      </w:pPr>
    </w:p>
    <w:p w14:paraId="3CBCDAE9">
      <w:pPr>
        <w:tabs>
          <w:tab w:val="left" w:pos="1062"/>
          <w:tab w:val="left" w:pos="6802"/>
        </w:tabs>
        <w:spacing w:before="71"/>
        <w:ind w:left="1037" w:leftChars="494" w:firstLine="21" w:firstLineChars="9"/>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甲</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u w:val="single"/>
          <w:lang w:val="en-US" w:eastAsia="zh-CN"/>
        </w:rPr>
        <w:t xml:space="preserve">                                    </w:t>
      </w:r>
    </w:p>
    <w:p w14:paraId="30B84B2B">
      <w:pPr>
        <w:pStyle w:val="11"/>
        <w:spacing w:before="12"/>
        <w:ind w:left="1037" w:leftChars="494" w:right="63" w:firstLine="20" w:firstLineChars="9"/>
        <w:rPr>
          <w:rFonts w:hint="eastAsia" w:ascii="宋体" w:hAnsi="宋体" w:eastAsia="宋体" w:cs="宋体"/>
          <w:color w:val="auto"/>
          <w:sz w:val="24"/>
          <w:szCs w:val="24"/>
          <w:highlight w:val="none"/>
          <w:lang w:val="en-US"/>
        </w:rPr>
      </w:pPr>
    </w:p>
    <w:p w14:paraId="4F86C676">
      <w:pPr>
        <w:tabs>
          <w:tab w:val="left" w:pos="1062"/>
          <w:tab w:val="left" w:pos="6591"/>
        </w:tabs>
        <w:spacing w:before="70"/>
        <w:ind w:left="1037" w:leftChars="494" w:firstLine="21" w:firstLineChars="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pacing w:val="-1"/>
          <w:sz w:val="24"/>
          <w:szCs w:val="24"/>
          <w:highlight w:val="none"/>
        </w:rPr>
        <w:t>方：</w:t>
      </w:r>
      <w:r>
        <w:rPr>
          <w:rFonts w:hint="eastAsia" w:ascii="宋体" w:hAnsi="宋体" w:eastAsia="宋体" w:cs="宋体"/>
          <w:color w:val="auto"/>
          <w:sz w:val="24"/>
          <w:szCs w:val="24"/>
          <w:highlight w:val="none"/>
          <w:u w:val="single"/>
        </w:rPr>
        <w:tab/>
      </w:r>
    </w:p>
    <w:p w14:paraId="33EB9047">
      <w:pPr>
        <w:pStyle w:val="11"/>
        <w:spacing w:before="7"/>
        <w:ind w:left="1037" w:leftChars="494" w:right="63" w:firstLine="20" w:firstLineChars="9"/>
        <w:rPr>
          <w:rFonts w:hint="eastAsia" w:ascii="宋体" w:hAnsi="宋体" w:eastAsia="宋体" w:cs="宋体"/>
          <w:color w:val="auto"/>
          <w:sz w:val="24"/>
          <w:szCs w:val="24"/>
          <w:highlight w:val="none"/>
        </w:rPr>
      </w:pPr>
    </w:p>
    <w:p w14:paraId="172A5328">
      <w:pPr>
        <w:tabs>
          <w:tab w:val="left" w:pos="2322"/>
          <w:tab w:val="left" w:pos="2883"/>
          <w:tab w:val="left" w:pos="3443"/>
          <w:tab w:val="left" w:pos="6521"/>
        </w:tabs>
        <w:spacing w:before="61"/>
        <w:ind w:left="1037" w:leftChars="494" w:firstLine="21" w:firstLineChars="9"/>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签</w:t>
      </w:r>
      <w:r>
        <w:rPr>
          <w:rFonts w:hint="eastAsia" w:ascii="宋体" w:hAnsi="宋体" w:eastAsia="宋体" w:cs="宋体"/>
          <w:color w:val="auto"/>
          <w:spacing w:val="-3"/>
          <w:sz w:val="24"/>
          <w:szCs w:val="24"/>
          <w:highlight w:val="none"/>
        </w:rPr>
        <w:t>订</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p>
    <w:p w14:paraId="09629EA9">
      <w:pPr>
        <w:spacing w:line="360" w:lineRule="auto"/>
        <w:ind w:firstLine="723" w:firstLineChars="200"/>
        <w:jc w:val="center"/>
        <w:rPr>
          <w:rFonts w:hint="eastAsia" w:ascii="宋体" w:hAnsi="宋体" w:eastAsia="宋体" w:cs="宋体"/>
          <w:b/>
          <w:bCs/>
          <w:color w:val="auto"/>
          <w:sz w:val="36"/>
          <w:szCs w:val="36"/>
          <w:highlight w:val="none"/>
        </w:rPr>
      </w:pPr>
    </w:p>
    <w:p w14:paraId="53CA47FF">
      <w:pPr>
        <w:spacing w:line="360" w:lineRule="auto"/>
        <w:ind w:firstLine="723" w:firstLineChars="20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 </w:t>
      </w:r>
    </w:p>
    <w:p w14:paraId="40215B4A">
      <w:pPr>
        <w:rPr>
          <w:rFonts w:hint="eastAsia" w:ascii="宋体" w:hAnsi="宋体" w:eastAsia="宋体" w:cs="宋体"/>
          <w:color w:val="auto"/>
          <w:highlight w:val="none"/>
        </w:rPr>
      </w:pPr>
    </w:p>
    <w:p w14:paraId="35E5636F">
      <w:pPr>
        <w:rPr>
          <w:rFonts w:hint="eastAsia" w:ascii="宋体" w:hAnsi="宋体" w:eastAsia="宋体" w:cs="宋体"/>
          <w:color w:val="auto"/>
          <w:highlight w:val="none"/>
        </w:rPr>
      </w:pPr>
    </w:p>
    <w:p w14:paraId="0F8AB53B">
      <w:pPr>
        <w:pStyle w:val="54"/>
        <w:spacing w:line="360" w:lineRule="auto"/>
        <w:ind w:firstLine="480" w:firstLineChars="200"/>
        <w:rPr>
          <w:rFonts w:hint="eastAsia" w:ascii="宋体" w:hAnsi="宋体" w:eastAsia="宋体" w:cs="宋体"/>
          <w:color w:val="auto"/>
          <w:sz w:val="24"/>
          <w:szCs w:val="24"/>
          <w:highlight w:val="none"/>
          <w:lang w:val="zh-TW" w:eastAsia="zh-TW"/>
        </w:rPr>
      </w:pPr>
    </w:p>
    <w:p w14:paraId="272623CE">
      <w:pPr>
        <w:jc w:val="left"/>
        <w:rPr>
          <w:rFonts w:hint="eastAsia" w:ascii="宋体" w:hAnsi="宋体" w:eastAsia="宋体" w:cs="宋体"/>
          <w:color w:val="auto"/>
          <w:sz w:val="24"/>
          <w:szCs w:val="24"/>
          <w:highlight w:val="none"/>
        </w:rPr>
        <w:sectPr>
          <w:footerReference r:id="rId8" w:type="default"/>
          <w:pgSz w:w="11911" w:h="16838"/>
          <w:pgMar w:top="1134" w:right="1134" w:bottom="1134" w:left="1134" w:header="850" w:footer="850" w:gutter="0"/>
          <w:pgNumType w:fmt="decimal" w:start="1"/>
          <w:cols w:space="720" w:num="1"/>
          <w:rtlGutter w:val="0"/>
          <w:docGrid w:linePitch="1" w:charSpace="0"/>
        </w:sectPr>
      </w:pPr>
    </w:p>
    <w:p w14:paraId="5CED90D1">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甲乙双方经过平等协商，本着平等互利、公平诚信的原则，依照《中华人民共和国民法典》等有关法律之规定，达成以下条款，以兹共同遵守：</w:t>
      </w:r>
    </w:p>
    <w:p w14:paraId="7453AF3B">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t>采购内容</w:t>
      </w:r>
    </w:p>
    <w:p w14:paraId="1FF68C6A">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p>
    <w:p w14:paraId="260741CE">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val="en-US" w:eastAsia="zh-CN" w:bidi="ar-SA"/>
        </w:rPr>
        <w:t>第二条</w:t>
      </w:r>
      <w:r>
        <w:rPr>
          <w:rFonts w:hint="eastAsia" w:ascii="宋体" w:hAnsi="宋体" w:eastAsia="宋体" w:cs="宋体"/>
          <w:b/>
          <w:color w:val="auto"/>
          <w:sz w:val="24"/>
          <w:szCs w:val="24"/>
          <w:highlight w:val="none"/>
        </w:rPr>
        <w:t xml:space="preserve"> 服务标准及要求、履约验收要求</w:t>
      </w:r>
    </w:p>
    <w:p w14:paraId="1424BA6E">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2E13C59F">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第三条  服务范围</w:t>
      </w:r>
    </w:p>
    <w:p w14:paraId="392A9538">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                                 </w:t>
      </w:r>
    </w:p>
    <w:p w14:paraId="6C125A7A">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第四条  服务方式和服务地点</w:t>
      </w:r>
    </w:p>
    <w:p w14:paraId="4304C570">
      <w:pPr>
        <w:keepNext w:val="0"/>
        <w:keepLines w:val="0"/>
        <w:pageBreakBefore w:val="0"/>
        <w:widowControl w:val="0"/>
        <w:kinsoku/>
        <w:wordWrap/>
        <w:overflowPunct/>
        <w:topLinePunct w:val="0"/>
        <w:autoSpaceDE/>
        <w:autoSpaceDN/>
        <w:bidi w:val="0"/>
        <w:adjustRightInd w:val="0"/>
        <w:snapToGrid w:val="0"/>
        <w:spacing w:line="500" w:lineRule="exact"/>
        <w:ind w:firstLine="720" w:firstLineChars="3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1．服务方式：</w:t>
      </w:r>
      <w:r>
        <w:rPr>
          <w:rFonts w:hint="eastAsia" w:ascii="宋体" w:hAnsi="宋体" w:eastAsia="宋体" w:cs="宋体"/>
          <w:color w:val="auto"/>
          <w:sz w:val="24"/>
          <w:szCs w:val="24"/>
          <w:highlight w:val="none"/>
          <w:u w:val="single"/>
        </w:rPr>
        <w:t xml:space="preserve"> 现场服务       </w:t>
      </w:r>
    </w:p>
    <w:p w14:paraId="16FB0EE4">
      <w:pPr>
        <w:keepNext w:val="0"/>
        <w:keepLines w:val="0"/>
        <w:pageBreakBefore w:val="0"/>
        <w:widowControl w:val="0"/>
        <w:kinsoku/>
        <w:wordWrap/>
        <w:overflowPunct/>
        <w:topLinePunct w:val="0"/>
        <w:autoSpaceDE/>
        <w:autoSpaceDN/>
        <w:bidi w:val="0"/>
        <w:adjustRightInd w:val="0"/>
        <w:snapToGrid w:val="0"/>
        <w:spacing w:line="500" w:lineRule="exact"/>
        <w:ind w:firstLine="720" w:firstLineChars="3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2．服务地点：</w:t>
      </w:r>
      <w:r>
        <w:rPr>
          <w:rFonts w:hint="eastAsia" w:ascii="宋体" w:hAnsi="宋体" w:eastAsia="宋体" w:cs="宋体"/>
          <w:color w:val="auto"/>
          <w:sz w:val="24"/>
          <w:szCs w:val="24"/>
          <w:highlight w:val="none"/>
          <w:u w:val="single"/>
        </w:rPr>
        <w:t xml:space="preserve"> 采购人指定地点       </w:t>
      </w:r>
    </w:p>
    <w:p w14:paraId="7A7F001F">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第五条  </w:t>
      </w:r>
      <w:r>
        <w:rPr>
          <w:rFonts w:hint="eastAsia" w:ascii="宋体" w:hAnsi="宋体" w:eastAsia="宋体" w:cs="宋体"/>
          <w:b/>
          <w:color w:val="auto"/>
          <w:sz w:val="24"/>
          <w:szCs w:val="24"/>
          <w:highlight w:val="none"/>
          <w:lang w:val="en-US" w:eastAsia="zh-CN"/>
        </w:rPr>
        <w:t>合同履行期限</w:t>
      </w:r>
    </w:p>
    <w:p w14:paraId="1FD098DF">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0B4AA9D8">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第六条  服务承诺</w:t>
      </w:r>
      <w:r>
        <w:rPr>
          <w:rFonts w:hint="eastAsia" w:ascii="宋体" w:hAnsi="宋体" w:eastAsia="宋体" w:cs="宋体"/>
          <w:color w:val="auto"/>
          <w:sz w:val="24"/>
          <w:szCs w:val="24"/>
          <w:highlight w:val="none"/>
        </w:rPr>
        <w:t>（以响应文件服务承诺为准）</w:t>
      </w:r>
    </w:p>
    <w:p w14:paraId="66234E19">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第七条  项目联系人</w:t>
      </w:r>
    </w:p>
    <w:p w14:paraId="5F2C2FEC">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在本合同有效期内，甲方指定为甲方项目联系人，乙方指定为乙方项目联系人。甲方对乙方所提供的服务提出异议，在接到异议后个工作日内到达现场，在个工作日内给予圆满的解决。</w:t>
      </w:r>
    </w:p>
    <w:p w14:paraId="1B6971ED">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一方变更项目联系人的，应当及时以书面形式通知另一方。未及通知并影响合同履行或造成损失的，应承担相应的责任。</w:t>
      </w:r>
    </w:p>
    <w:p w14:paraId="26E30E82">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第八条  服务验收评价</w:t>
      </w:r>
    </w:p>
    <w:p w14:paraId="1F3CA831">
      <w:pPr>
        <w:keepNext w:val="0"/>
        <w:keepLines w:val="0"/>
        <w:pageBreakBefore w:val="0"/>
        <w:widowControl w:val="0"/>
        <w:kinsoku/>
        <w:wordWrap/>
        <w:overflowPunct/>
        <w:topLinePunct w:val="0"/>
        <w:autoSpaceDE/>
        <w:autoSpaceDN/>
        <w:bidi w:val="0"/>
        <w:adjustRightInd w:val="0"/>
        <w:snapToGrid w:val="0"/>
        <w:spacing w:line="500" w:lineRule="exact"/>
        <w:ind w:left="905" w:leftChars="431"/>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1．项目完成后由甲方组织相关人员对乙方的货物服务质量进行验收评价。</w:t>
      </w:r>
    </w:p>
    <w:p w14:paraId="2E542598">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2．验收评价方法：</w:t>
      </w:r>
    </w:p>
    <w:p w14:paraId="250801F4">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第九条  采购费结算</w:t>
      </w:r>
    </w:p>
    <w:p w14:paraId="250BA375">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1．采购费总金额为：¥</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元（大写：</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元整 ）</w:t>
      </w:r>
    </w:p>
    <w:p w14:paraId="6B4C80FF">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（具体填写单价或者总价，并注明含税价或不含税价）</w:t>
      </w:r>
    </w:p>
    <w:p w14:paraId="15D2A264">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2．支付方式：</w:t>
      </w:r>
      <w:r>
        <w:rPr>
          <w:rFonts w:hint="eastAsia" w:ascii="宋体" w:hAnsi="宋体" w:eastAsia="宋体" w:cs="宋体"/>
          <w:color w:val="auto"/>
          <w:sz w:val="24"/>
          <w:szCs w:val="24"/>
          <w:highlight w:val="none"/>
          <w:lang w:val="en-US" w:eastAsia="zh-CN"/>
        </w:rPr>
        <w:t>最终合同约定</w:t>
      </w:r>
    </w:p>
    <w:p w14:paraId="0E5C4A9F">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约保证金：为保证合同的履行，乙方须在签订合同时向甲方支付人民币¥元（大写：元整）作为履约保证金。合同履行结束后，如乙方无违约行为且通过甲方服务验收评价合格的，凭甲方财务部开具的收据原件（或者乙方开具《退还履约保证金收据》原件）退还乙方缴纳的履约保证金（不计息）。</w:t>
      </w:r>
    </w:p>
    <w:p w14:paraId="0F6AAC74">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第十条  甲乙双方的权利和义务</w:t>
      </w:r>
    </w:p>
    <w:p w14:paraId="400549BC">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1．甲方的权利和义务</w:t>
      </w:r>
    </w:p>
    <w:p w14:paraId="791C0558">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275B418E">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3603D519">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2．乙方的权利和义务</w:t>
      </w:r>
    </w:p>
    <w:p w14:paraId="5DB596C2">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72B39ED5">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0068B71D">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第十一条  违约责任</w:t>
      </w:r>
    </w:p>
    <w:p w14:paraId="70EEA231">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任何一方违约，违约方负责赔偿违约造成的经济损失，并按项目总经费的10%向对方支付违约金。如有争议，应本着有利于工作的原则协商解决，协商不成时，合同双方任何一方均可向甲方所在地的人民法院提起诉讼。</w:t>
      </w:r>
    </w:p>
    <w:p w14:paraId="4DF86216">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第十二条  合同的变更与解除</w:t>
      </w:r>
    </w:p>
    <w:p w14:paraId="1265479A">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1．合同的变更</w:t>
      </w:r>
    </w:p>
    <w:p w14:paraId="15BF7048">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（1）本合同的变更，除双方另有约定外，均需双方共同协商同意以书面方式做出。</w:t>
      </w:r>
    </w:p>
    <w:p w14:paraId="5CA2F6C3">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（2）本合同未尽事宜，由双方另行协商并达成一致后，可以签订补充协议。补充协议是本合同的有效组成部分，与本合同具有同等法律效力。如补充协议的约定与本合同不一致，则以补充协议为准。</w:t>
      </w:r>
    </w:p>
    <w:p w14:paraId="03D45B88">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2．合同的解除</w:t>
      </w:r>
    </w:p>
    <w:p w14:paraId="5410D274">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（1）本合同生效后，除双方另行商定并达成书面协议或者本合同另有约定或法律规定原因外，任何一方不得单方解除合同。</w:t>
      </w:r>
    </w:p>
    <w:p w14:paraId="6EF0A0ED">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（2）因甲乙双方意志以外不可抗力的原因本合同无法继续履行或履行没有实际意义的，可以解除合同。已经履行的部分按合同约定办理。</w:t>
      </w:r>
    </w:p>
    <w:p w14:paraId="09B77AE8">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（3）经双方协商一致，可以解除合同。</w:t>
      </w:r>
    </w:p>
    <w:p w14:paraId="39575406">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若乙方未能按约定期限提供服务，或者提供的服务不符合本合同要求以及国家规范、行业规范，甲方有权立即向乙方提出改进要求，乙方应当按照甲方要求更正和修改，并承担由此产生的全部费用。若改进后仍达不到约定的服务要求，甲方有权单方面解除本合同，并不退还履约保证金，乙方应赔偿由此给甲方造成的损失。</w:t>
      </w:r>
    </w:p>
    <w:p w14:paraId="0EF9DC9C">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（5）一方违约，致使合同无法继续履行或继续履行没有实际意义，守约方可以单方面解除合同，但应书面通知对方。 </w:t>
      </w:r>
    </w:p>
    <w:p w14:paraId="2081DAFA">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第十三条  不可抗力</w:t>
      </w:r>
    </w:p>
    <w:p w14:paraId="1386C0B2">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14:paraId="327BCE9F">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不可抗力是指，地震、台风、水灾、火灾、战争以及其它本合同各方不能预见，并且对其发生和后果不能防止或不能避免且不可克服的客观情况。</w:t>
      </w:r>
    </w:p>
    <w:p w14:paraId="6EEE3AC0">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第十四条  安全责任（如不涉及可删除）</w:t>
      </w:r>
    </w:p>
    <w:p w14:paraId="39D06617">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1．乙方负责该货物服务项目的全部安全责任，并对参与该项目货物服务的全部人员的安全负责。如在货物服务中发生安全事故，由乙方承担全部的事故责任和经济责任。</w:t>
      </w:r>
    </w:p>
    <w:p w14:paraId="26FA37E0">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2．乙方项目联系人为安全责任人，负责该项目的日常安全管理工作，严格遵守安全生产规章制度。</w:t>
      </w:r>
    </w:p>
    <w:p w14:paraId="6896F86A">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3．服务前乙方必须对所属人员进行安全注意事项等安全教育培训，不得安排或准许未经安全教育人员进入服务场所。 </w:t>
      </w:r>
    </w:p>
    <w:p w14:paraId="3B04F00E">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4．需使用甲方的机械、电器等设备、设施，必须经得甲方同意；涉及特种设备的，使用者必须具备相关资质；并对其安全防护措施负责和承担安全责任。</w:t>
      </w:r>
    </w:p>
    <w:p w14:paraId="79BB62B7">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5．乙方的任何人员均不得在服务区打架斗殴、酗酒赌博，严禁酒后上班。</w:t>
      </w:r>
    </w:p>
    <w:p w14:paraId="01F23366">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第十五条  争议解决方式</w:t>
      </w:r>
    </w:p>
    <w:p w14:paraId="7E0426BB">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1.双方在履行合同时如有争议，友好协商解决；若由于本合同发生民事诉讼的，由甲方所在地的人民法院管辖。</w:t>
      </w:r>
    </w:p>
    <w:p w14:paraId="2551F4B2">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2.在诉讼期间，本合同不涉及争议部分的条款仍须履行。</w:t>
      </w:r>
    </w:p>
    <w:p w14:paraId="548D99EB">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5" w:firstLineChars="218"/>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第十六条  其他</w:t>
      </w:r>
    </w:p>
    <w:p w14:paraId="06FE0BAE">
      <w:pPr>
        <w:keepNext w:val="0"/>
        <w:keepLines w:val="0"/>
        <w:pageBreakBefore w:val="0"/>
        <w:widowControl w:val="0"/>
        <w:kinsoku/>
        <w:wordWrap/>
        <w:overflowPunct/>
        <w:topLinePunct w:val="0"/>
        <w:autoSpaceDE/>
        <w:autoSpaceDN/>
        <w:bidi w:val="0"/>
        <w:adjustRightInd w:val="0"/>
        <w:snapToGrid w:val="0"/>
        <w:spacing w:line="500" w:lineRule="exact"/>
        <w:ind w:left="210" w:leftChars="100" w:firstLine="523" w:firstLineChars="21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（签订合同时根据需要填写。涉及知识产权的合同应有知识产权条款；涉及保密内容的应有保密责任条款；涉及售后服务或质量承诺的应有相应条款）</w:t>
      </w:r>
    </w:p>
    <w:p w14:paraId="2FF45CF3">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第十七条  组成合同的文件</w:t>
      </w:r>
    </w:p>
    <w:p w14:paraId="77D1401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1．合同文本</w:t>
      </w:r>
    </w:p>
    <w:p w14:paraId="32DFB25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2．成交通知书</w:t>
      </w:r>
    </w:p>
    <w:p w14:paraId="1140ECE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3．采购文件</w:t>
      </w:r>
    </w:p>
    <w:p w14:paraId="2DD1630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4．响应文件</w:t>
      </w:r>
    </w:p>
    <w:p w14:paraId="26F80CE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F93B5B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组成合同的文件与合同文本具有同等的法律效力。</w:t>
      </w:r>
    </w:p>
    <w:p w14:paraId="352BB174">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第十八条合同的份数及生效</w:t>
      </w:r>
    </w:p>
    <w:p w14:paraId="134064C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本合同自双方法定代表人（或授权代表人）签字并加盖公章之日起生效。</w:t>
      </w:r>
      <w:r>
        <w:rPr>
          <w:rFonts w:hint="eastAsia" w:ascii="宋体" w:hAnsi="宋体" w:eastAsia="宋体" w:cs="宋体"/>
          <w:b/>
          <w:bCs/>
          <w:color w:val="auto"/>
          <w:sz w:val="24"/>
          <w:szCs w:val="24"/>
          <w:highlight w:val="none"/>
        </w:rPr>
        <w:t>合同文本一式</w:t>
      </w:r>
      <w:r>
        <w:rPr>
          <w:rFonts w:hint="eastAsia" w:ascii="宋体" w:hAnsi="宋体" w:eastAsia="宋体" w:cs="宋体"/>
          <w:b/>
          <w:bCs/>
          <w:color w:val="auto"/>
          <w:sz w:val="24"/>
          <w:szCs w:val="24"/>
          <w:highlight w:val="none"/>
          <w:u w:val="single"/>
        </w:rPr>
        <w:t>6</w:t>
      </w:r>
      <w:r>
        <w:rPr>
          <w:rFonts w:hint="eastAsia" w:ascii="宋体" w:hAnsi="宋体" w:eastAsia="宋体" w:cs="宋体"/>
          <w:b/>
          <w:bCs/>
          <w:color w:val="auto"/>
          <w:sz w:val="24"/>
          <w:szCs w:val="24"/>
          <w:highlight w:val="none"/>
        </w:rPr>
        <w:t>份，甲方持</w:t>
      </w:r>
      <w:r>
        <w:rPr>
          <w:rFonts w:hint="eastAsia" w:ascii="宋体" w:hAnsi="宋体" w:eastAsia="宋体" w:cs="宋体"/>
          <w:b/>
          <w:bCs/>
          <w:color w:val="auto"/>
          <w:sz w:val="24"/>
          <w:szCs w:val="24"/>
          <w:highlight w:val="none"/>
          <w:u w:val="single"/>
        </w:rPr>
        <w:t>3</w:t>
      </w:r>
      <w:r>
        <w:rPr>
          <w:rFonts w:hint="eastAsia" w:ascii="宋体" w:hAnsi="宋体" w:eastAsia="宋体" w:cs="宋体"/>
          <w:b/>
          <w:bCs/>
          <w:color w:val="auto"/>
          <w:sz w:val="24"/>
          <w:szCs w:val="24"/>
          <w:highlight w:val="none"/>
        </w:rPr>
        <w:t>份，乙方持</w:t>
      </w:r>
      <w:r>
        <w:rPr>
          <w:rFonts w:hint="eastAsia" w:ascii="宋体" w:hAnsi="宋体" w:eastAsia="宋体" w:cs="宋体"/>
          <w:b/>
          <w:bCs/>
          <w:color w:val="auto"/>
          <w:sz w:val="24"/>
          <w:szCs w:val="24"/>
          <w:highlight w:val="none"/>
          <w:u w:val="single"/>
        </w:rPr>
        <w:t>3</w:t>
      </w:r>
      <w:r>
        <w:rPr>
          <w:rFonts w:hint="eastAsia" w:ascii="宋体" w:hAnsi="宋体" w:eastAsia="宋体" w:cs="宋体"/>
          <w:b/>
          <w:bCs/>
          <w:color w:val="auto"/>
          <w:sz w:val="24"/>
          <w:szCs w:val="24"/>
          <w:highlight w:val="none"/>
        </w:rPr>
        <w:t>份。</w:t>
      </w:r>
    </w:p>
    <w:tbl>
      <w:tblPr>
        <w:tblStyle w:val="35"/>
        <w:tblpPr w:leftFromText="180" w:rightFromText="180" w:vertAnchor="text" w:horzAnchor="margin" w:tblpXSpec="center" w:tblpY="527"/>
        <w:tblW w:w="9241" w:type="dxa"/>
        <w:tblInd w:w="4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2"/>
        <w:gridCol w:w="4919"/>
      </w:tblGrid>
      <w:tr w14:paraId="7DA78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4" w:hRule="atLeast"/>
        </w:trPr>
        <w:tc>
          <w:tcPr>
            <w:tcW w:w="4322" w:type="dxa"/>
            <w:tcBorders>
              <w:top w:val="single" w:color="auto" w:sz="4" w:space="0"/>
              <w:left w:val="single" w:color="auto" w:sz="4" w:space="0"/>
              <w:bottom w:val="single" w:color="auto" w:sz="4" w:space="0"/>
              <w:right w:val="single" w:color="auto" w:sz="4" w:space="0"/>
            </w:tcBorders>
            <w:noWrap w:val="0"/>
            <w:vAlign w:val="top"/>
          </w:tcPr>
          <w:p w14:paraId="2A1DBF4C">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甲      方</w:t>
            </w:r>
          </w:p>
          <w:p w14:paraId="16A3160F">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单位名称（公章）：</w:t>
            </w:r>
          </w:p>
          <w:p w14:paraId="793874F0">
            <w:pPr>
              <w:spacing w:line="500" w:lineRule="exact"/>
              <w:ind w:left="1788" w:hanging="1788" w:hangingChars="745"/>
              <w:rPr>
                <w:rFonts w:hint="eastAsia" w:ascii="宋体" w:hAnsi="宋体" w:eastAsia="宋体" w:cs="宋体"/>
                <w:color w:val="auto"/>
                <w:kern w:val="0"/>
                <w:sz w:val="24"/>
                <w:szCs w:val="24"/>
                <w:highlight w:val="none"/>
              </w:rPr>
            </w:pPr>
          </w:p>
          <w:p w14:paraId="43360625">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单位地址：</w:t>
            </w:r>
          </w:p>
          <w:p w14:paraId="3BF28DBD">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p w14:paraId="3FD856B7">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委托代理人：</w:t>
            </w:r>
          </w:p>
          <w:p w14:paraId="14D12C9D">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电话： </w:t>
            </w:r>
          </w:p>
          <w:p w14:paraId="66B95A44">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开户银行： </w:t>
            </w:r>
          </w:p>
          <w:p w14:paraId="543F89AE">
            <w:pPr>
              <w:spacing w:line="500" w:lineRule="exact"/>
              <w:ind w:left="1788" w:hanging="1788" w:hangingChars="745"/>
              <w:rPr>
                <w:rFonts w:hint="eastAsia" w:ascii="宋体" w:hAnsi="宋体" w:eastAsia="宋体" w:cs="宋体"/>
                <w:color w:val="auto"/>
                <w:kern w:val="0"/>
                <w:sz w:val="24"/>
                <w:szCs w:val="24"/>
                <w:highlight w:val="none"/>
              </w:rPr>
            </w:pPr>
          </w:p>
          <w:p w14:paraId="19AB6F7F">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账号：</w:t>
            </w:r>
          </w:p>
          <w:p w14:paraId="024EC4F6">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签订日期：   年　　月　　日</w:t>
            </w:r>
          </w:p>
        </w:tc>
        <w:tc>
          <w:tcPr>
            <w:tcW w:w="4919" w:type="dxa"/>
            <w:tcBorders>
              <w:top w:val="single" w:color="auto" w:sz="4" w:space="0"/>
              <w:left w:val="single" w:color="auto" w:sz="4" w:space="0"/>
              <w:bottom w:val="single" w:color="auto" w:sz="4" w:space="0"/>
              <w:right w:val="single" w:color="auto" w:sz="4" w:space="0"/>
            </w:tcBorders>
            <w:noWrap w:val="0"/>
            <w:vAlign w:val="top"/>
          </w:tcPr>
          <w:p w14:paraId="4DC01B6A">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乙        方</w:t>
            </w:r>
          </w:p>
          <w:p w14:paraId="2AA8A2CE">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单位名称（公章）： </w:t>
            </w:r>
          </w:p>
          <w:p w14:paraId="65420081">
            <w:pPr>
              <w:spacing w:line="500" w:lineRule="exact"/>
              <w:ind w:left="1788" w:hanging="1788" w:hangingChars="745"/>
              <w:rPr>
                <w:rFonts w:hint="eastAsia" w:ascii="宋体" w:hAnsi="宋体" w:eastAsia="宋体" w:cs="宋体"/>
                <w:color w:val="auto"/>
                <w:kern w:val="0"/>
                <w:sz w:val="24"/>
                <w:szCs w:val="24"/>
                <w:highlight w:val="none"/>
              </w:rPr>
            </w:pPr>
          </w:p>
          <w:p w14:paraId="4126DF0B">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单位地址： </w:t>
            </w:r>
          </w:p>
          <w:p w14:paraId="64F44C78">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p w14:paraId="21933534">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委托代理人：</w:t>
            </w:r>
          </w:p>
          <w:p w14:paraId="163D7988">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电话： </w:t>
            </w:r>
          </w:p>
          <w:p w14:paraId="65E4381B">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开户银行： </w:t>
            </w:r>
          </w:p>
          <w:p w14:paraId="052ABF68">
            <w:pPr>
              <w:spacing w:line="500" w:lineRule="exact"/>
              <w:ind w:left="1788" w:hanging="1788" w:hangingChars="745"/>
              <w:rPr>
                <w:rFonts w:hint="eastAsia" w:ascii="宋体" w:hAnsi="宋体" w:eastAsia="宋体" w:cs="宋体"/>
                <w:color w:val="auto"/>
                <w:kern w:val="0"/>
                <w:sz w:val="24"/>
                <w:szCs w:val="24"/>
                <w:highlight w:val="none"/>
              </w:rPr>
            </w:pPr>
          </w:p>
          <w:p w14:paraId="122AE5A4">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账号：</w:t>
            </w:r>
          </w:p>
          <w:p w14:paraId="13E0BE40">
            <w:pPr>
              <w:spacing w:line="500" w:lineRule="exact"/>
              <w:ind w:left="1788" w:hanging="1788" w:hangingChars="74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签订日期：年　　月　　日</w:t>
            </w:r>
          </w:p>
        </w:tc>
      </w:tr>
    </w:tbl>
    <w:p w14:paraId="30D56C04">
      <w:pPr>
        <w:spacing w:line="360" w:lineRule="auto"/>
        <w:ind w:firstLine="482" w:firstLineChars="200"/>
        <w:rPr>
          <w:rFonts w:hint="eastAsia" w:ascii="宋体" w:hAnsi="宋体" w:eastAsia="宋体" w:cs="宋体"/>
          <w:b/>
          <w:color w:val="auto"/>
          <w:sz w:val="24"/>
          <w:szCs w:val="24"/>
          <w:highlight w:val="none"/>
        </w:rPr>
      </w:pPr>
    </w:p>
    <w:p w14:paraId="163CB1B8">
      <w:pPr>
        <w:pStyle w:val="11"/>
        <w:spacing w:line="255" w:lineRule="auto"/>
        <w:rPr>
          <w:rFonts w:hint="eastAsia" w:ascii="宋体" w:hAnsi="宋体" w:eastAsia="宋体" w:cs="宋体"/>
          <w:color w:val="auto"/>
          <w:highlight w:val="none"/>
          <w:lang w:eastAsia="zh-CN"/>
        </w:rPr>
      </w:pPr>
    </w:p>
    <w:p w14:paraId="35D61612">
      <w:pPr>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注：该合同范本仅作参考，实际合同内容以甲乙双方协定为准。</w:t>
      </w:r>
    </w:p>
    <w:p w14:paraId="35E684F1">
      <w:pPr>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681B14F3">
      <w:pPr>
        <w:pStyle w:val="129"/>
        <w:wordWrap/>
        <w:topLinePunct w:val="0"/>
        <w:rPr>
          <w:rFonts w:hint="eastAsia" w:ascii="宋体" w:hAnsi="宋体" w:eastAsia="宋体" w:cs="宋体"/>
          <w:color w:val="auto"/>
          <w:highlight w:val="none"/>
        </w:rPr>
        <w:sectPr>
          <w:footerReference r:id="rId9" w:type="default"/>
          <w:pgSz w:w="11906" w:h="16838"/>
          <w:pgMar w:top="1247" w:right="1134" w:bottom="1247" w:left="1134" w:header="680" w:footer="964" w:gutter="0"/>
          <w:pgNumType w:fmt="decimal"/>
          <w:cols w:space="720" w:num="1"/>
          <w:rtlGutter w:val="0"/>
          <w:docGrid w:linePitch="326" w:charSpace="0"/>
        </w:sectPr>
      </w:pPr>
    </w:p>
    <w:p w14:paraId="457F9FB1">
      <w:pPr>
        <w:pStyle w:val="2"/>
        <w:numPr>
          <w:ilvl w:val="0"/>
          <w:numId w:val="0"/>
        </w:numPr>
        <w:spacing w:before="0"/>
        <w:jc w:val="center"/>
        <w:rPr>
          <w:rFonts w:hint="eastAsia" w:ascii="宋体" w:hAnsi="宋体" w:eastAsia="宋体" w:cs="宋体"/>
          <w:color w:val="auto"/>
          <w:sz w:val="32"/>
          <w:szCs w:val="32"/>
          <w:highlight w:val="none"/>
        </w:rPr>
      </w:pPr>
      <w:bookmarkStart w:id="220" w:name="_Toc115077025"/>
      <w:bookmarkStart w:id="221" w:name="_Toc1380"/>
      <w:r>
        <w:rPr>
          <w:rFonts w:hint="eastAsia" w:ascii="宋体" w:hAnsi="宋体" w:eastAsia="宋体" w:cs="宋体"/>
          <w:color w:val="auto"/>
          <w:sz w:val="32"/>
          <w:szCs w:val="32"/>
          <w:highlight w:val="none"/>
          <w:lang w:val="en-US" w:eastAsia="zh-CN"/>
        </w:rPr>
        <w:t>第四章</w:t>
      </w:r>
      <w:r>
        <w:rPr>
          <w:rFonts w:hint="eastAsia" w:ascii="宋体" w:hAnsi="宋体" w:eastAsia="宋体" w:cs="宋体"/>
          <w:color w:val="auto"/>
          <w:sz w:val="32"/>
          <w:szCs w:val="32"/>
          <w:highlight w:val="none"/>
        </w:rPr>
        <w:t xml:space="preserve"> 响应文件格式</w:t>
      </w:r>
      <w:bookmarkEnd w:id="220"/>
      <w:bookmarkEnd w:id="221"/>
    </w:p>
    <w:p w14:paraId="611C4B19">
      <w:pPr>
        <w:numPr>
          <w:ilvl w:val="0"/>
          <w:numId w:val="0"/>
        </w:numPr>
        <w:rPr>
          <w:rFonts w:hint="eastAsia" w:ascii="宋体" w:hAnsi="宋体" w:eastAsia="宋体" w:cs="宋体"/>
          <w:color w:val="auto"/>
          <w:highlight w:val="none"/>
          <w:lang w:eastAsia="zh-CN"/>
        </w:rPr>
      </w:pPr>
    </w:p>
    <w:p w14:paraId="317B84C6">
      <w:pPr>
        <w:rPr>
          <w:rFonts w:hint="eastAsia" w:ascii="宋体" w:hAnsi="宋体" w:eastAsia="宋体" w:cs="宋体"/>
          <w:color w:val="auto"/>
          <w:highlight w:val="none"/>
        </w:rPr>
      </w:pPr>
      <w:bookmarkStart w:id="222" w:name="_Hlk36734614"/>
      <w:bookmarkStart w:id="223" w:name="_Hlk87014779"/>
    </w:p>
    <w:p w14:paraId="77019201">
      <w:pPr>
        <w:pStyle w:val="45"/>
        <w:rPr>
          <w:rFonts w:hint="eastAsia" w:ascii="宋体" w:hAnsi="宋体" w:eastAsia="宋体" w:cs="宋体"/>
          <w:color w:val="auto"/>
          <w:highlight w:val="none"/>
        </w:rPr>
      </w:pPr>
    </w:p>
    <w:p w14:paraId="190EC109">
      <w:pPr>
        <w:pStyle w:val="45"/>
        <w:rPr>
          <w:rFonts w:hint="eastAsia" w:ascii="宋体" w:hAnsi="宋体" w:eastAsia="宋体" w:cs="宋体"/>
          <w:color w:val="auto"/>
          <w:highlight w:val="none"/>
        </w:rPr>
      </w:pPr>
    </w:p>
    <w:p w14:paraId="0138860B">
      <w:pPr>
        <w:spacing w:line="360" w:lineRule="auto"/>
        <w:jc w:val="center"/>
        <w:rPr>
          <w:rFonts w:hint="eastAsia" w:ascii="宋体" w:hAnsi="宋体" w:eastAsia="宋体" w:cs="宋体"/>
          <w:b/>
          <w:color w:val="auto"/>
          <w:sz w:val="60"/>
          <w:szCs w:val="60"/>
          <w:highlight w:val="none"/>
          <w:lang w:eastAsia="zh-CN"/>
        </w:rPr>
      </w:pPr>
      <w:bookmarkStart w:id="224" w:name="_Toc8168204"/>
      <w:bookmarkStart w:id="225" w:name="_Toc115077026"/>
      <w:bookmarkStart w:id="226" w:name="_Toc8689649"/>
      <w:r>
        <w:rPr>
          <w:rFonts w:hint="eastAsia" w:ascii="宋体" w:hAnsi="宋体" w:cs="宋体"/>
          <w:b/>
          <w:color w:val="auto"/>
          <w:sz w:val="60"/>
          <w:szCs w:val="60"/>
          <w:highlight w:val="none"/>
          <w:lang w:eastAsia="zh-CN"/>
        </w:rPr>
        <w:t>福贡县2025年高素质农民培育项目（二次）</w:t>
      </w:r>
    </w:p>
    <w:p w14:paraId="3159432C">
      <w:pPr>
        <w:spacing w:line="360" w:lineRule="auto"/>
        <w:jc w:val="center"/>
        <w:rPr>
          <w:rFonts w:hint="eastAsia" w:ascii="宋体" w:hAnsi="宋体" w:eastAsia="宋体" w:cs="宋体"/>
          <w:color w:val="auto"/>
          <w:sz w:val="24"/>
          <w:highlight w:val="none"/>
        </w:rPr>
      </w:pPr>
    </w:p>
    <w:p w14:paraId="3D210072">
      <w:pPr>
        <w:spacing w:line="360" w:lineRule="auto"/>
        <w:jc w:val="center"/>
        <w:rPr>
          <w:rFonts w:hint="eastAsia" w:ascii="宋体" w:hAnsi="宋体" w:eastAsia="宋体" w:cs="宋体"/>
          <w:color w:val="auto"/>
          <w:sz w:val="24"/>
          <w:highlight w:val="none"/>
        </w:rPr>
      </w:pPr>
    </w:p>
    <w:p w14:paraId="4488DEE9">
      <w:pPr>
        <w:pStyle w:val="19"/>
        <w:rPr>
          <w:rFonts w:hint="eastAsia" w:ascii="宋体" w:hAnsi="宋体" w:eastAsia="宋体" w:cs="宋体"/>
          <w:color w:val="auto"/>
          <w:sz w:val="24"/>
          <w:highlight w:val="none"/>
        </w:rPr>
      </w:pPr>
    </w:p>
    <w:p w14:paraId="138C26B3">
      <w:pPr>
        <w:pStyle w:val="19"/>
        <w:rPr>
          <w:rFonts w:hint="eastAsia" w:ascii="宋体" w:hAnsi="宋体" w:eastAsia="宋体" w:cs="宋体"/>
          <w:color w:val="auto"/>
          <w:sz w:val="24"/>
          <w:highlight w:val="none"/>
        </w:rPr>
      </w:pPr>
    </w:p>
    <w:p w14:paraId="5C4BF5EE">
      <w:pPr>
        <w:pStyle w:val="16"/>
        <w:spacing w:line="360" w:lineRule="auto"/>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响</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应</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文</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件</w:t>
      </w:r>
    </w:p>
    <w:p w14:paraId="2D0AEA50">
      <w:pPr>
        <w:pStyle w:val="16"/>
        <w:spacing w:line="360" w:lineRule="auto"/>
        <w:ind w:left="0" w:leftChars="0" w:firstLine="0" w:firstLineChars="0"/>
        <w:jc w:val="center"/>
        <w:rPr>
          <w:rFonts w:hint="eastAsia" w:ascii="宋体" w:hAnsi="宋体" w:eastAsia="宋体" w:cs="宋体"/>
          <w:color w:val="auto"/>
          <w:sz w:val="32"/>
          <w:szCs w:val="32"/>
          <w:highlight w:val="none"/>
        </w:rPr>
      </w:pPr>
      <w:r>
        <w:rPr>
          <w:rFonts w:hint="eastAsia" w:ascii="宋体" w:hAnsi="宋体" w:eastAsia="宋体" w:cs="宋体"/>
          <w:b/>
          <w:bCs w:val="0"/>
          <w:color w:val="auto"/>
          <w:sz w:val="32"/>
          <w:szCs w:val="32"/>
          <w:highlight w:val="none"/>
        </w:rPr>
        <w:t>项目编号：</w:t>
      </w:r>
      <w:r>
        <w:rPr>
          <w:rFonts w:hint="eastAsia" w:hAnsi="宋体" w:cs="宋体"/>
          <w:b/>
          <w:bCs w:val="0"/>
          <w:color w:val="auto"/>
          <w:sz w:val="32"/>
          <w:szCs w:val="32"/>
          <w:highlight w:val="none"/>
          <w:u w:val="none"/>
          <w:lang w:val="en-US" w:eastAsia="zh-CN"/>
        </w:rPr>
        <w:t xml:space="preserve"> </w:t>
      </w:r>
    </w:p>
    <w:p w14:paraId="338786A8">
      <w:pPr>
        <w:spacing w:line="360" w:lineRule="auto"/>
        <w:jc w:val="center"/>
        <w:rPr>
          <w:rFonts w:hint="eastAsia" w:ascii="宋体" w:hAnsi="宋体" w:eastAsia="宋体" w:cs="宋体"/>
          <w:color w:val="auto"/>
          <w:sz w:val="24"/>
          <w:highlight w:val="none"/>
        </w:rPr>
      </w:pPr>
    </w:p>
    <w:p w14:paraId="2105A6EF">
      <w:pPr>
        <w:spacing w:line="360" w:lineRule="auto"/>
        <w:jc w:val="center"/>
        <w:rPr>
          <w:rFonts w:hint="eastAsia" w:ascii="宋体" w:hAnsi="宋体" w:eastAsia="宋体" w:cs="宋体"/>
          <w:color w:val="auto"/>
          <w:sz w:val="24"/>
          <w:highlight w:val="none"/>
        </w:rPr>
      </w:pPr>
    </w:p>
    <w:p w14:paraId="699AB8F3">
      <w:pPr>
        <w:pStyle w:val="19"/>
        <w:rPr>
          <w:rFonts w:hint="eastAsia" w:ascii="宋体" w:hAnsi="宋体" w:eastAsia="宋体" w:cs="宋体"/>
          <w:color w:val="auto"/>
          <w:highlight w:val="none"/>
        </w:rPr>
      </w:pPr>
    </w:p>
    <w:p w14:paraId="71EAE5EA">
      <w:pPr>
        <w:pStyle w:val="19"/>
        <w:rPr>
          <w:rFonts w:hint="eastAsia" w:ascii="宋体" w:hAnsi="宋体" w:eastAsia="宋体" w:cs="宋体"/>
          <w:color w:val="auto"/>
          <w:highlight w:val="none"/>
        </w:rPr>
      </w:pPr>
    </w:p>
    <w:p w14:paraId="517DEF2A">
      <w:pPr>
        <w:pStyle w:val="19"/>
        <w:rPr>
          <w:rFonts w:hint="eastAsia" w:ascii="宋体" w:hAnsi="宋体" w:eastAsia="宋体" w:cs="宋体"/>
          <w:color w:val="auto"/>
          <w:highlight w:val="none"/>
        </w:rPr>
      </w:pPr>
    </w:p>
    <w:p w14:paraId="56187D1B">
      <w:pPr>
        <w:spacing w:line="360" w:lineRule="auto"/>
        <w:jc w:val="center"/>
        <w:rPr>
          <w:rFonts w:hint="eastAsia" w:ascii="宋体" w:hAnsi="宋体" w:eastAsia="宋体" w:cs="宋体"/>
          <w:color w:val="auto"/>
          <w:sz w:val="24"/>
          <w:highlight w:val="none"/>
        </w:rPr>
      </w:pPr>
    </w:p>
    <w:p w14:paraId="6658E3C2">
      <w:pPr>
        <w:tabs>
          <w:tab w:val="right" w:pos="8647"/>
        </w:tabs>
        <w:adjustRightInd w:val="0"/>
        <w:snapToGrid w:val="0"/>
        <w:spacing w:line="480" w:lineRule="auto"/>
        <w:ind w:firstLine="640" w:firstLineChars="20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供应商全称：_____________________________（盖单位章）</w:t>
      </w:r>
    </w:p>
    <w:p w14:paraId="3CAE7A5C">
      <w:pPr>
        <w:tabs>
          <w:tab w:val="right" w:pos="8647"/>
        </w:tabs>
        <w:adjustRightInd w:val="0"/>
        <w:snapToGrid w:val="0"/>
        <w:spacing w:line="480" w:lineRule="auto"/>
        <w:ind w:firstLine="640" w:firstLineChars="20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法定代表人或其委托代理人：______________（签字或盖章）</w:t>
      </w:r>
    </w:p>
    <w:p w14:paraId="4D365DDA">
      <w:pPr>
        <w:tabs>
          <w:tab w:val="right" w:pos="8647"/>
        </w:tabs>
        <w:adjustRightInd w:val="0"/>
        <w:snapToGrid w:val="0"/>
        <w:spacing w:line="480" w:lineRule="auto"/>
        <w:ind w:firstLine="640" w:firstLineChars="200"/>
        <w:rPr>
          <w:rFonts w:hint="eastAsia" w:ascii="宋体" w:hAnsi="宋体" w:eastAsia="宋体" w:cs="宋体"/>
          <w:b/>
          <w:color w:val="auto"/>
          <w:highlight w:val="none"/>
        </w:rPr>
      </w:pPr>
      <w:r>
        <w:rPr>
          <w:rFonts w:hint="eastAsia" w:ascii="宋体" w:hAnsi="宋体" w:eastAsia="宋体" w:cs="宋体"/>
          <w:b/>
          <w:bCs/>
          <w:color w:val="auto"/>
          <w:sz w:val="32"/>
          <w:highlight w:val="none"/>
        </w:rPr>
        <w:t>日      期：________年____月____日</w:t>
      </w:r>
      <w:r>
        <w:rPr>
          <w:rFonts w:hint="eastAsia" w:ascii="宋体" w:hAnsi="宋体" w:eastAsia="宋体" w:cs="宋体"/>
          <w:color w:val="auto"/>
          <w:szCs w:val="28"/>
          <w:highlight w:val="none"/>
        </w:rPr>
        <w:br w:type="page"/>
      </w:r>
      <w:r>
        <w:rPr>
          <w:rFonts w:hint="eastAsia" w:ascii="宋体" w:hAnsi="宋体" w:eastAsia="宋体" w:cs="宋体"/>
          <w:b/>
          <w:color w:val="auto"/>
          <w:sz w:val="28"/>
          <w:highlight w:val="none"/>
        </w:rPr>
        <w:t>目录</w:t>
      </w:r>
    </w:p>
    <w:p w14:paraId="6CA56306">
      <w:pPr>
        <w:pStyle w:val="141"/>
        <w:spacing w:line="360" w:lineRule="auto"/>
        <w:ind w:firstLine="480" w:firstLineChars="200"/>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注:请根据竞争性磋商文件要求并结合响应文件组成情况编制目录，磋商程序和方法所明确得分点处应提供的资料，均应编制页码，以便于磋商小组评审查阅。</w:t>
      </w:r>
    </w:p>
    <w:p w14:paraId="3F1515AE">
      <w:pPr>
        <w:pStyle w:val="3"/>
        <w:numPr>
          <w:ilvl w:val="0"/>
          <w:numId w:val="0"/>
        </w:numPr>
        <w:tabs>
          <w:tab w:val="left" w:pos="360"/>
          <w:tab w:val="clear" w:pos="1304"/>
        </w:tabs>
        <w:spacing w:before="0"/>
        <w:jc w:val="center"/>
        <w:rPr>
          <w:rFonts w:hint="eastAsia" w:ascii="宋体" w:hAnsi="宋体" w:eastAsia="宋体" w:cs="宋体"/>
          <w:color w:val="auto"/>
          <w:szCs w:val="28"/>
          <w:highlight w:val="none"/>
        </w:rPr>
      </w:pPr>
      <w:r>
        <w:rPr>
          <w:rFonts w:hint="eastAsia" w:ascii="宋体" w:hAnsi="宋体" w:eastAsia="宋体" w:cs="宋体"/>
          <w:color w:val="auto"/>
          <w:szCs w:val="28"/>
          <w:highlight w:val="none"/>
        </w:rPr>
        <w:br w:type="page"/>
      </w:r>
      <w:bookmarkStart w:id="227" w:name="_Toc4534"/>
      <w:r>
        <w:rPr>
          <w:rFonts w:hint="eastAsia" w:ascii="宋体" w:hAnsi="宋体" w:eastAsia="宋体" w:cs="宋体"/>
          <w:color w:val="auto"/>
          <w:szCs w:val="28"/>
          <w:highlight w:val="none"/>
        </w:rPr>
        <w:t>一、资格审查部分格式</w:t>
      </w:r>
      <w:bookmarkEnd w:id="224"/>
      <w:bookmarkEnd w:id="225"/>
      <w:bookmarkEnd w:id="226"/>
      <w:bookmarkEnd w:id="227"/>
    </w:p>
    <w:p w14:paraId="1477FC6C">
      <w:pPr>
        <w:pStyle w:val="141"/>
        <w:ind w:firstLine="0"/>
        <w:rPr>
          <w:rFonts w:hint="eastAsia" w:ascii="宋体" w:hAnsi="宋体" w:eastAsia="宋体" w:cs="宋体"/>
          <w:b/>
          <w:bCs/>
          <w:color w:val="auto"/>
          <w:sz w:val="24"/>
          <w:szCs w:val="32"/>
          <w:highlight w:val="none"/>
        </w:rPr>
      </w:pPr>
      <w:bookmarkStart w:id="228" w:name="_Toc8168207"/>
      <w:bookmarkStart w:id="229" w:name="_Toc115077027"/>
      <w:bookmarkStart w:id="230" w:name="_Toc80880916"/>
      <w:r>
        <w:rPr>
          <w:rFonts w:hint="eastAsia" w:ascii="宋体" w:hAnsi="宋体" w:eastAsia="宋体" w:cs="宋体"/>
          <w:b/>
          <w:bCs/>
          <w:color w:val="auto"/>
          <w:sz w:val="24"/>
          <w:szCs w:val="32"/>
          <w:highlight w:val="none"/>
        </w:rPr>
        <w:t>说明:</w:t>
      </w:r>
    </w:p>
    <w:p w14:paraId="460A70B7">
      <w:pPr>
        <w:pStyle w:val="141"/>
        <w:spacing w:line="360"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1.供应商应按文件要求填写并提交。</w:t>
      </w:r>
    </w:p>
    <w:p w14:paraId="5E4DB810">
      <w:pPr>
        <w:pStyle w:val="141"/>
        <w:spacing w:line="360"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2.未附格式的，供应商格式自拟。</w:t>
      </w:r>
    </w:p>
    <w:p w14:paraId="6E147CF9">
      <w:pPr>
        <w:pStyle w:val="141"/>
        <w:spacing w:line="360"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3.供应商提交的材料将被保密，但不退还。</w:t>
      </w:r>
    </w:p>
    <w:p w14:paraId="439D5CC8">
      <w:pPr>
        <w:pStyle w:val="141"/>
        <w:spacing w:line="360"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4.磋商文件中要求提交的证明材料为扫描件或复印件的，须清晰可见，若因供应商提交的证明材料模糊不清晰，导致评标委员会无法辨认，其后果由供应商自己负责。</w:t>
      </w:r>
    </w:p>
    <w:p w14:paraId="2478676E">
      <w:pPr>
        <w:pStyle w:val="3"/>
        <w:keepNext/>
        <w:keepLines w:val="0"/>
        <w:pageBreakBefore w:val="0"/>
        <w:widowControl w:val="0"/>
        <w:numPr>
          <w:ilvl w:val="0"/>
          <w:numId w:val="0"/>
        </w:numPr>
        <w:tabs>
          <w:tab w:val="clear" w:pos="1304"/>
        </w:tabs>
        <w:kinsoku/>
        <w:wordWrap/>
        <w:overflowPunct/>
        <w:topLinePunct w:val="0"/>
        <w:autoSpaceDE/>
        <w:autoSpaceDN/>
        <w:bidi w:val="0"/>
        <w:adjustRightInd w:val="0"/>
        <w:snapToGrid w:val="0"/>
        <w:spacing w:before="0"/>
        <w:ind w:firstLine="420" w:firstLineChars="200"/>
        <w:jc w:val="center"/>
        <w:textAlignment w:val="baseline"/>
        <w:rPr>
          <w:rFonts w:hint="eastAsia" w:ascii="宋体" w:hAnsi="宋体" w:eastAsia="宋体" w:cs="宋体"/>
          <w:color w:val="auto"/>
          <w:szCs w:val="28"/>
          <w:highlight w:val="none"/>
        </w:rPr>
      </w:pPr>
      <w:r>
        <w:rPr>
          <w:rFonts w:hint="eastAsia" w:ascii="宋体" w:hAnsi="宋体" w:eastAsia="宋体" w:cs="宋体"/>
          <w:bCs/>
          <w:color w:val="auto"/>
          <w:kern w:val="2"/>
          <w:sz w:val="21"/>
          <w:szCs w:val="21"/>
          <w:highlight w:val="none"/>
          <w:lang w:val="en-US" w:eastAsia="zh-CN"/>
        </w:rPr>
        <w:br w:type="page"/>
      </w:r>
      <w:bookmarkStart w:id="231" w:name="_Toc32477"/>
      <w:r>
        <w:rPr>
          <w:rFonts w:hint="eastAsia" w:ascii="宋体" w:hAnsi="宋体" w:eastAsia="宋体" w:cs="宋体"/>
          <w:color w:val="auto"/>
          <w:szCs w:val="28"/>
          <w:highlight w:val="none"/>
        </w:rPr>
        <w:t>（</w:t>
      </w:r>
      <w:r>
        <w:rPr>
          <w:rFonts w:hint="eastAsia" w:ascii="宋体" w:hAnsi="宋体" w:eastAsia="宋体" w:cs="宋体"/>
          <w:color w:val="auto"/>
          <w:szCs w:val="28"/>
          <w:highlight w:val="none"/>
          <w:lang w:eastAsia="zh-CN"/>
        </w:rPr>
        <w:t>一</w:t>
      </w:r>
      <w:r>
        <w:rPr>
          <w:rFonts w:hint="eastAsia" w:ascii="宋体" w:hAnsi="宋体" w:eastAsia="宋体" w:cs="宋体"/>
          <w:color w:val="auto"/>
          <w:szCs w:val="28"/>
          <w:highlight w:val="none"/>
        </w:rPr>
        <w:t>）</w:t>
      </w:r>
      <w:bookmarkEnd w:id="228"/>
      <w:r>
        <w:rPr>
          <w:rFonts w:hint="eastAsia" w:ascii="宋体" w:hAnsi="宋体" w:eastAsia="宋体" w:cs="宋体"/>
          <w:color w:val="auto"/>
          <w:szCs w:val="28"/>
          <w:highlight w:val="none"/>
        </w:rPr>
        <w:t>具有独立承担民事责任的能力</w:t>
      </w:r>
      <w:bookmarkEnd w:id="229"/>
      <w:bookmarkEnd w:id="230"/>
      <w:bookmarkEnd w:id="231"/>
    </w:p>
    <w:p w14:paraId="3095561D">
      <w:pPr>
        <w:widowControl/>
        <w:adjustRightInd w:val="0"/>
        <w:snapToGrid w:val="0"/>
        <w:spacing w:before="331" w:beforeLines="100" w:line="360" w:lineRule="auto"/>
        <w:jc w:val="center"/>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1.提供有效的营业执照或其他组织证件或自然人身份证明</w:t>
      </w:r>
    </w:p>
    <w:p w14:paraId="261B851A">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提供合法有效的《营业执照》、《中华人民共和</w:t>
      </w:r>
      <w:r>
        <w:rPr>
          <w:rFonts w:hint="eastAsia" w:ascii="宋体" w:hAnsi="宋体" w:eastAsia="宋体" w:cs="宋体"/>
          <w:color w:val="auto"/>
          <w:sz w:val="24"/>
          <w:szCs w:val="24"/>
          <w:highlight w:val="none"/>
          <w:lang w:eastAsia="zh-CN"/>
        </w:rPr>
        <w:t>国</w:t>
      </w:r>
      <w:r>
        <w:rPr>
          <w:rFonts w:hint="eastAsia" w:ascii="宋体" w:hAnsi="宋体" w:eastAsia="宋体" w:cs="宋体"/>
          <w:color w:val="auto"/>
          <w:sz w:val="24"/>
          <w:szCs w:val="24"/>
          <w:highlight w:val="none"/>
        </w:rPr>
        <w:t>组织机构代码证》、《税务登记证》、(或统一社会信用代码证)或其他组织证件或自然人身份证件等能证明具有独立承担民事责任能力材料。</w:t>
      </w:r>
    </w:p>
    <w:p w14:paraId="3BFE66BA">
      <w:pPr>
        <w:adjustRightInd w:val="0"/>
        <w:snapToGrid w:val="0"/>
        <w:spacing w:line="360"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（注：说明、声明及提供书面承诺等，须加盖公章确认）</w:t>
      </w:r>
    </w:p>
    <w:p w14:paraId="15C94CF0">
      <w:pPr>
        <w:widowControl/>
        <w:adjustRightInd w:val="0"/>
        <w:snapToGrid w:val="0"/>
        <w:spacing w:before="331" w:beforeLines="100" w:line="360" w:lineRule="auto"/>
        <w:jc w:val="center"/>
        <w:outlineLvl w:val="3"/>
        <w:rPr>
          <w:rFonts w:hint="eastAsia" w:ascii="宋体" w:hAnsi="宋体" w:eastAsia="宋体" w:cs="宋体"/>
          <w:color w:val="auto"/>
          <w:szCs w:val="28"/>
          <w:highlight w:val="none"/>
        </w:rPr>
      </w:pPr>
      <w:bookmarkStart w:id="232" w:name="_Toc8689662"/>
      <w:bookmarkStart w:id="233" w:name="_Toc115077039"/>
      <w:bookmarkStart w:id="234" w:name="_Toc8168205"/>
      <w:r>
        <w:rPr>
          <w:rFonts w:hint="eastAsia" w:ascii="宋体" w:hAnsi="宋体" w:eastAsia="宋体" w:cs="宋体"/>
          <w:color w:val="auto"/>
          <w:szCs w:val="28"/>
          <w:highlight w:val="none"/>
        </w:rPr>
        <w:br w:type="page"/>
      </w:r>
      <w:r>
        <w:rPr>
          <w:rFonts w:hint="eastAsia" w:ascii="宋体" w:hAnsi="宋体" w:eastAsia="宋体" w:cs="宋体"/>
          <w:b/>
          <w:bCs/>
          <w:color w:val="auto"/>
          <w:sz w:val="24"/>
          <w:szCs w:val="32"/>
          <w:highlight w:val="none"/>
        </w:rPr>
        <w:t>2.法定代表人身份证明书</w:t>
      </w:r>
      <w:bookmarkEnd w:id="232"/>
      <w:bookmarkEnd w:id="233"/>
      <w:bookmarkEnd w:id="234"/>
    </w:p>
    <w:p w14:paraId="353B55EA">
      <w:pPr>
        <w:spacing w:line="360" w:lineRule="auto"/>
        <w:jc w:val="center"/>
        <w:rPr>
          <w:rFonts w:hint="eastAsia" w:ascii="宋体" w:hAnsi="宋体" w:eastAsia="宋体" w:cs="宋体"/>
          <w:b/>
          <w:bCs/>
          <w:color w:val="auto"/>
          <w:sz w:val="24"/>
          <w:szCs w:val="24"/>
          <w:highlight w:val="none"/>
        </w:rPr>
      </w:pPr>
    </w:p>
    <w:p w14:paraId="7FC93725">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p>
    <w:p w14:paraId="60F52FB2">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14:paraId="2BFDA36E">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73D00CA">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14:paraId="16BAA513">
      <w:pPr>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69DD0CB3">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（供应商名称）        </w:t>
      </w:r>
      <w:r>
        <w:rPr>
          <w:rFonts w:hint="eastAsia" w:ascii="宋体" w:hAnsi="宋体" w:eastAsia="宋体" w:cs="宋体"/>
          <w:color w:val="auto"/>
          <w:sz w:val="24"/>
          <w:szCs w:val="24"/>
          <w:highlight w:val="none"/>
        </w:rPr>
        <w:t>的法定代表人。</w:t>
      </w:r>
    </w:p>
    <w:p w14:paraId="1D19D87F">
      <w:pPr>
        <w:spacing w:line="360" w:lineRule="auto"/>
        <w:ind w:firstLine="480" w:firstLineChars="200"/>
        <w:rPr>
          <w:rFonts w:hint="eastAsia" w:ascii="宋体" w:hAnsi="宋体" w:eastAsia="宋体" w:cs="宋体"/>
          <w:color w:val="auto"/>
          <w:sz w:val="24"/>
          <w:szCs w:val="24"/>
          <w:highlight w:val="none"/>
        </w:rPr>
      </w:pPr>
    </w:p>
    <w:p w14:paraId="39D5F66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42CBEA56">
      <w:pPr>
        <w:spacing w:line="360" w:lineRule="auto"/>
        <w:rPr>
          <w:rFonts w:hint="eastAsia" w:ascii="宋体" w:hAnsi="宋体" w:eastAsia="宋体" w:cs="宋体"/>
          <w:color w:val="auto"/>
          <w:sz w:val="24"/>
          <w:szCs w:val="24"/>
          <w:highlight w:val="none"/>
        </w:rPr>
      </w:pPr>
    </w:p>
    <w:p w14:paraId="53A5EBE4">
      <w:pPr>
        <w:spacing w:line="360" w:lineRule="auto"/>
        <w:ind w:firstLine="2160" w:firstLineChars="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5506F21B">
      <w:pPr>
        <w:spacing w:line="360" w:lineRule="auto"/>
        <w:ind w:left="3780" w:leftChars="1800"/>
        <w:rPr>
          <w:rFonts w:hint="eastAsia" w:ascii="宋体" w:hAnsi="宋体" w:eastAsia="宋体" w:cs="宋体"/>
          <w:color w:val="auto"/>
          <w:sz w:val="24"/>
          <w:szCs w:val="24"/>
          <w:highlight w:val="none"/>
        </w:rPr>
      </w:pPr>
    </w:p>
    <w:p w14:paraId="0C2CF086">
      <w:pPr>
        <w:spacing w:line="360" w:lineRule="auto"/>
        <w:ind w:left="3780" w:leftChars="180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AAB6794">
      <w:pPr>
        <w:spacing w:line="360" w:lineRule="auto"/>
        <w:rPr>
          <w:rFonts w:hint="eastAsia" w:ascii="宋体" w:hAnsi="宋体" w:eastAsia="宋体" w:cs="宋体"/>
          <w:color w:val="auto"/>
          <w:szCs w:val="21"/>
          <w:highlight w:val="none"/>
        </w:rPr>
      </w:pPr>
    </w:p>
    <w:tbl>
      <w:tblPr>
        <w:tblStyle w:val="35"/>
        <w:tblW w:w="10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2"/>
        <w:gridCol w:w="5102"/>
      </w:tblGrid>
      <w:tr w14:paraId="7E479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2" w:hRule="atLeast"/>
          <w:jc w:val="center"/>
        </w:trPr>
        <w:tc>
          <w:tcPr>
            <w:tcW w:w="5102" w:type="dxa"/>
            <w:tcBorders>
              <w:top w:val="single" w:color="auto" w:sz="4" w:space="0"/>
              <w:left w:val="single" w:color="auto" w:sz="4" w:space="0"/>
              <w:bottom w:val="single" w:color="auto" w:sz="4" w:space="0"/>
              <w:right w:val="single" w:color="auto" w:sz="4" w:space="0"/>
            </w:tcBorders>
            <w:noWrap w:val="0"/>
            <w:vAlign w:val="center"/>
          </w:tcPr>
          <w:p w14:paraId="1166C7B1">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附：法定代表人（负责人）身份证国徽面</w:t>
            </w:r>
          </w:p>
        </w:tc>
        <w:tc>
          <w:tcPr>
            <w:tcW w:w="5102" w:type="dxa"/>
            <w:tcBorders>
              <w:top w:val="single" w:color="auto" w:sz="4" w:space="0"/>
              <w:left w:val="single" w:color="auto" w:sz="4" w:space="0"/>
              <w:bottom w:val="single" w:color="auto" w:sz="4" w:space="0"/>
              <w:right w:val="single" w:color="auto" w:sz="4" w:space="0"/>
            </w:tcBorders>
            <w:noWrap w:val="0"/>
            <w:vAlign w:val="center"/>
          </w:tcPr>
          <w:p w14:paraId="70627D3F">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附：法定代表人（负责人）身份证人像面</w:t>
            </w:r>
          </w:p>
        </w:tc>
      </w:tr>
    </w:tbl>
    <w:p w14:paraId="4060D9F1">
      <w:pPr>
        <w:spacing w:line="360" w:lineRule="auto"/>
        <w:rPr>
          <w:rFonts w:hint="eastAsia" w:ascii="宋体" w:hAnsi="宋体" w:eastAsia="宋体" w:cs="宋体"/>
          <w:color w:val="auto"/>
          <w:szCs w:val="21"/>
          <w:highlight w:val="none"/>
        </w:rPr>
      </w:pPr>
    </w:p>
    <w:p w14:paraId="628F3538">
      <w:pPr>
        <w:spacing w:line="360" w:lineRule="auto"/>
        <w:rPr>
          <w:rFonts w:hint="eastAsia" w:ascii="宋体" w:hAnsi="宋体" w:eastAsia="宋体" w:cs="宋体"/>
          <w:color w:val="auto"/>
          <w:szCs w:val="21"/>
          <w:highlight w:val="none"/>
        </w:rPr>
      </w:pPr>
    </w:p>
    <w:p w14:paraId="3D0F5D2F">
      <w:pPr>
        <w:widowControl/>
        <w:adjustRightInd w:val="0"/>
        <w:snapToGrid w:val="0"/>
        <w:spacing w:before="331" w:beforeLines="100" w:line="360" w:lineRule="auto"/>
        <w:jc w:val="center"/>
        <w:outlineLvl w:val="3"/>
        <w:rPr>
          <w:rFonts w:hint="eastAsia" w:ascii="宋体" w:hAnsi="宋体" w:eastAsia="宋体" w:cs="宋体"/>
          <w:color w:val="auto"/>
          <w:szCs w:val="28"/>
          <w:highlight w:val="none"/>
        </w:rPr>
      </w:pPr>
      <w:bookmarkStart w:id="235" w:name="_Toc8689663"/>
      <w:bookmarkStart w:id="236" w:name="_Toc8168206"/>
      <w:bookmarkStart w:id="237" w:name="_Toc115077040"/>
      <w:r>
        <w:rPr>
          <w:rFonts w:hint="eastAsia" w:ascii="宋体" w:hAnsi="宋体" w:eastAsia="宋体" w:cs="宋体"/>
          <w:color w:val="auto"/>
          <w:szCs w:val="28"/>
          <w:highlight w:val="none"/>
        </w:rPr>
        <w:br w:type="page"/>
      </w:r>
      <w:r>
        <w:rPr>
          <w:rFonts w:hint="eastAsia" w:ascii="宋体" w:hAnsi="宋体" w:eastAsia="宋体" w:cs="宋体"/>
          <w:b/>
          <w:bCs/>
          <w:color w:val="auto"/>
          <w:sz w:val="24"/>
          <w:szCs w:val="32"/>
          <w:highlight w:val="none"/>
        </w:rPr>
        <w:t>3.法定代表人授权委托书</w:t>
      </w:r>
      <w:bookmarkEnd w:id="235"/>
      <w:bookmarkEnd w:id="236"/>
      <w:bookmarkEnd w:id="237"/>
    </w:p>
    <w:p w14:paraId="61B0876A">
      <w:pPr>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（供应商名称）的法定代表人，现委托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（姓名）为我方代理人。代理人根据授权，以我方名义签署、澄清、说明、补正、提交、撤回、修改</w:t>
      </w:r>
      <w:r>
        <w:rPr>
          <w:rFonts w:hint="eastAsia" w:ascii="宋体" w:hAnsi="宋体" w:eastAsia="宋体" w:cs="宋体"/>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福贡县2025年高素质农民培育项目（二次）</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b/>
          <w:bCs/>
          <w:color w:val="auto"/>
          <w:sz w:val="24"/>
          <w:szCs w:val="24"/>
          <w:highlight w:val="none"/>
          <w:u w:val="single"/>
        </w:rPr>
        <w:t>项目编号：</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响应文件、签订合同和处理有关事宜，其法律后果由我方承担。</w:t>
      </w:r>
    </w:p>
    <w:p w14:paraId="25C6A6DB">
      <w:pPr>
        <w:tabs>
          <w:tab w:val="left" w:pos="9240"/>
          <w:tab w:val="left" w:pos="9450"/>
        </w:tabs>
        <w:spacing w:before="165" w:beforeLines="50" w:line="500" w:lineRule="exact"/>
        <w:ind w:right="459" w:rightChars="219"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9CD55DB">
      <w:pPr>
        <w:spacing w:line="360" w:lineRule="auto"/>
        <w:ind w:firstLine="480" w:firstLineChars="200"/>
        <w:rPr>
          <w:rFonts w:hint="eastAsia" w:ascii="宋体" w:hAnsi="宋体" w:eastAsia="宋体" w:cs="宋体"/>
          <w:color w:val="auto"/>
          <w:sz w:val="24"/>
          <w:szCs w:val="24"/>
          <w:highlight w:val="none"/>
        </w:rPr>
      </w:pPr>
    </w:p>
    <w:p w14:paraId="74365E0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5F8E6050">
      <w:pPr>
        <w:spacing w:line="360" w:lineRule="auto"/>
        <w:ind w:firstLine="480" w:firstLineChars="200"/>
        <w:rPr>
          <w:rFonts w:hint="eastAsia" w:ascii="宋体" w:hAnsi="宋体" w:eastAsia="宋体" w:cs="宋体"/>
          <w:color w:val="auto"/>
          <w:sz w:val="24"/>
          <w:szCs w:val="24"/>
          <w:highlight w:val="none"/>
        </w:rPr>
      </w:pPr>
    </w:p>
    <w:p w14:paraId="57B7CE6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6C66B44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595D503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5582173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委托代理人（姓名）：</w:t>
      </w:r>
      <w:r>
        <w:rPr>
          <w:rFonts w:hint="eastAsia" w:ascii="宋体" w:hAnsi="宋体" w:eastAsia="宋体" w:cs="宋体"/>
          <w:color w:val="auto"/>
          <w:sz w:val="24"/>
          <w:szCs w:val="24"/>
          <w:highlight w:val="none"/>
          <w:u w:val="single"/>
        </w:rPr>
        <w:t xml:space="preserve">                      </w:t>
      </w:r>
    </w:p>
    <w:p w14:paraId="02910C9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p>
    <w:p w14:paraId="7BCF36E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5D1794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FF94DBE">
      <w:pPr>
        <w:rPr>
          <w:rFonts w:hint="eastAsia" w:ascii="宋体" w:hAnsi="宋体" w:eastAsia="宋体" w:cs="宋体"/>
          <w:color w:val="auto"/>
          <w:szCs w:val="21"/>
          <w:highlight w:val="none"/>
        </w:rPr>
      </w:pPr>
    </w:p>
    <w:p w14:paraId="063EB93C">
      <w:pPr>
        <w:rPr>
          <w:rFonts w:hint="eastAsia" w:ascii="宋体" w:hAnsi="宋体" w:eastAsia="宋体" w:cs="宋体"/>
          <w:color w:val="auto"/>
          <w:szCs w:val="21"/>
          <w:highlight w:val="none"/>
        </w:rPr>
      </w:pPr>
    </w:p>
    <w:p w14:paraId="4CC51103">
      <w:pPr>
        <w:rPr>
          <w:rFonts w:hint="eastAsia" w:ascii="宋体" w:hAnsi="宋体" w:eastAsia="宋体" w:cs="宋体"/>
          <w:color w:val="auto"/>
          <w:szCs w:val="21"/>
          <w:highlight w:val="none"/>
        </w:rPr>
      </w:pPr>
    </w:p>
    <w:tbl>
      <w:tblPr>
        <w:tblStyle w:val="35"/>
        <w:tblW w:w="10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2"/>
        <w:gridCol w:w="5102"/>
      </w:tblGrid>
      <w:tr w14:paraId="6F22B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tcBorders>
              <w:top w:val="single" w:color="auto" w:sz="4" w:space="0"/>
              <w:left w:val="single" w:color="auto" w:sz="4" w:space="0"/>
              <w:bottom w:val="single" w:color="auto" w:sz="4" w:space="0"/>
              <w:right w:val="single" w:color="auto" w:sz="4" w:space="0"/>
            </w:tcBorders>
            <w:noWrap w:val="0"/>
            <w:vAlign w:val="center"/>
          </w:tcPr>
          <w:p w14:paraId="7FD42277">
            <w:pP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附：委托代理人身份证国徽面</w:t>
            </w:r>
          </w:p>
        </w:tc>
        <w:tc>
          <w:tcPr>
            <w:tcW w:w="5102" w:type="dxa"/>
            <w:tcBorders>
              <w:top w:val="single" w:color="auto" w:sz="4" w:space="0"/>
              <w:left w:val="single" w:color="auto" w:sz="4" w:space="0"/>
              <w:bottom w:val="single" w:color="auto" w:sz="4" w:space="0"/>
              <w:right w:val="single" w:color="auto" w:sz="4" w:space="0"/>
            </w:tcBorders>
            <w:noWrap w:val="0"/>
            <w:vAlign w:val="center"/>
          </w:tcPr>
          <w:p w14:paraId="7A0E8115">
            <w:pP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附：委托代理人身份证人像面</w:t>
            </w:r>
          </w:p>
        </w:tc>
      </w:tr>
    </w:tbl>
    <w:p w14:paraId="7A25F7FC">
      <w:pPr>
        <w:widowControl/>
        <w:jc w:val="left"/>
        <w:rPr>
          <w:rFonts w:hint="eastAsia" w:ascii="宋体" w:hAnsi="宋体" w:eastAsia="宋体" w:cs="宋体"/>
          <w:color w:val="auto"/>
          <w:kern w:val="0"/>
          <w:sz w:val="20"/>
          <w:szCs w:val="20"/>
          <w:highlight w:val="none"/>
        </w:rPr>
      </w:pPr>
    </w:p>
    <w:p w14:paraId="5B8E313F">
      <w:pPr>
        <w:widowControl/>
        <w:adjustRightInd w:val="0"/>
        <w:snapToGrid w:val="0"/>
        <w:spacing w:before="331" w:beforeLines="100" w:line="360" w:lineRule="auto"/>
        <w:jc w:val="center"/>
        <w:outlineLvl w:val="3"/>
        <w:rPr>
          <w:rFonts w:hint="eastAsia" w:ascii="宋体" w:hAnsi="宋体" w:eastAsia="宋体" w:cs="宋体"/>
          <w:b/>
          <w:color w:val="auto"/>
          <w:kern w:val="0"/>
          <w:sz w:val="24"/>
          <w:szCs w:val="21"/>
          <w:highlight w:val="none"/>
          <w:lang w:bidi="en-US"/>
        </w:rPr>
      </w:pPr>
      <w:bookmarkStart w:id="238" w:name="_Toc80880917"/>
      <w:bookmarkStart w:id="239" w:name="_Toc115077028"/>
      <w:r>
        <w:rPr>
          <w:rFonts w:hint="eastAsia" w:ascii="宋体" w:hAnsi="宋体" w:eastAsia="宋体" w:cs="宋体"/>
          <w:color w:val="auto"/>
          <w:szCs w:val="28"/>
          <w:highlight w:val="none"/>
        </w:rPr>
        <w:br w:type="page"/>
      </w:r>
      <w:r>
        <w:rPr>
          <w:rFonts w:hint="eastAsia" w:ascii="宋体" w:hAnsi="宋体" w:eastAsia="宋体" w:cs="宋体"/>
          <w:b/>
          <w:bCs/>
          <w:color w:val="auto"/>
          <w:sz w:val="24"/>
          <w:szCs w:val="32"/>
          <w:highlight w:val="none"/>
        </w:rPr>
        <w:t>4.供应商非联合体书面承诺</w:t>
      </w:r>
    </w:p>
    <w:p w14:paraId="1F447D10">
      <w:pPr>
        <w:spacing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 w:val="24"/>
          <w:highlight w:val="none"/>
        </w:rPr>
        <w:t>致：</w:t>
      </w:r>
      <w:r>
        <w:rPr>
          <w:rFonts w:hint="eastAsia" w:ascii="宋体" w:hAnsi="宋体" w:eastAsia="宋体" w:cs="宋体"/>
          <w:b/>
          <w:color w:val="auto"/>
          <w:sz w:val="24"/>
          <w:highlight w:val="none"/>
          <w:lang w:eastAsia="zh-CN"/>
        </w:rPr>
        <w:t>福贡县农业农村局</w:t>
      </w:r>
    </w:p>
    <w:p w14:paraId="6CB164C8">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在审阅了贵方</w:t>
      </w:r>
      <w:r>
        <w:rPr>
          <w:rFonts w:hint="eastAsia" w:ascii="宋体" w:hAnsi="宋体" w:eastAsia="宋体" w:cs="宋体"/>
          <w:color w:val="auto"/>
          <w:sz w:val="24"/>
          <w:highlight w:val="none"/>
          <w:u w:val="single"/>
        </w:rPr>
        <w:t xml:space="preserve"> </w:t>
      </w:r>
      <w:r>
        <w:rPr>
          <w:rFonts w:hint="eastAsia" w:ascii="宋体" w:hAnsi="宋体" w:cs="宋体"/>
          <w:b/>
          <w:bCs/>
          <w:color w:val="auto"/>
          <w:sz w:val="24"/>
          <w:szCs w:val="24"/>
          <w:highlight w:val="none"/>
          <w:u w:val="single"/>
          <w:lang w:eastAsia="zh-CN"/>
        </w:rPr>
        <w:t>福贡县2025年高素质农民培育项目（二次）</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b/>
          <w:bCs/>
          <w:color w:val="auto"/>
          <w:sz w:val="24"/>
          <w:szCs w:val="24"/>
          <w:highlight w:val="none"/>
          <w:u w:val="single"/>
        </w:rPr>
        <w:t>项目编号：</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的</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文件包括确已收到第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号补充文件（若有，若没有任何补遗、更正的，请填写“/”），我方被授权签字人在此申明我方就本项目为独立参与采购活动，我方不属于</w:t>
      </w:r>
      <w:r>
        <w:rPr>
          <w:rFonts w:hint="eastAsia" w:ascii="宋体" w:hAnsi="宋体" w:eastAsia="宋体" w:cs="宋体"/>
          <w:b/>
          <w:color w:val="auto"/>
          <w:sz w:val="24"/>
          <w:highlight w:val="none"/>
        </w:rPr>
        <w:t>联合体参加</w:t>
      </w:r>
      <w:r>
        <w:rPr>
          <w:rFonts w:hint="eastAsia" w:ascii="宋体" w:hAnsi="宋体" w:eastAsia="宋体" w:cs="宋体"/>
          <w:b/>
          <w:color w:val="auto"/>
          <w:sz w:val="24"/>
          <w:highlight w:val="none"/>
          <w:lang w:eastAsia="zh-CN"/>
        </w:rPr>
        <w:t>磋商</w:t>
      </w:r>
      <w:r>
        <w:rPr>
          <w:rFonts w:hint="eastAsia" w:ascii="宋体" w:hAnsi="宋体" w:eastAsia="宋体" w:cs="宋体"/>
          <w:b/>
          <w:color w:val="auto"/>
          <w:sz w:val="24"/>
          <w:highlight w:val="none"/>
        </w:rPr>
        <w:t>活动。</w:t>
      </w:r>
      <w:r>
        <w:rPr>
          <w:rFonts w:hint="eastAsia" w:ascii="宋体" w:hAnsi="宋体" w:eastAsia="宋体" w:cs="宋体"/>
          <w:color w:val="auto"/>
          <w:sz w:val="24"/>
          <w:highlight w:val="none"/>
        </w:rPr>
        <w:t>我方不属于</w:t>
      </w:r>
      <w:r>
        <w:rPr>
          <w:rFonts w:hint="eastAsia" w:ascii="宋体" w:hAnsi="宋体" w:eastAsia="宋体" w:cs="宋体"/>
          <w:b/>
          <w:color w:val="auto"/>
          <w:sz w:val="24"/>
          <w:highlight w:val="none"/>
        </w:rPr>
        <w:t>联合体，与其他</w:t>
      </w:r>
      <w:r>
        <w:rPr>
          <w:rFonts w:hint="eastAsia" w:ascii="宋体" w:hAnsi="宋体" w:eastAsia="宋体" w:cs="宋体"/>
          <w:b/>
          <w:color w:val="auto"/>
          <w:sz w:val="24"/>
          <w:highlight w:val="none"/>
          <w:lang w:val="en-US" w:eastAsia="zh-CN"/>
        </w:rPr>
        <w:t>供应商</w:t>
      </w:r>
      <w:r>
        <w:rPr>
          <w:rFonts w:hint="eastAsia" w:ascii="宋体" w:hAnsi="宋体" w:eastAsia="宋体" w:cs="宋体"/>
          <w:b/>
          <w:color w:val="auto"/>
          <w:sz w:val="24"/>
          <w:highlight w:val="none"/>
        </w:rPr>
        <w:t>不存在单位负责人为同一人或者存在直接控股、管理关系的情况。</w:t>
      </w:r>
    </w:p>
    <w:p w14:paraId="64C29395">
      <w:pPr>
        <w:spacing w:line="500" w:lineRule="exact"/>
        <w:ind w:firstLine="420" w:firstLineChars="200"/>
        <w:jc w:val="left"/>
        <w:rPr>
          <w:rFonts w:hint="eastAsia" w:ascii="宋体" w:hAnsi="宋体" w:eastAsia="宋体" w:cs="宋体"/>
          <w:color w:val="auto"/>
          <w:szCs w:val="21"/>
          <w:highlight w:val="none"/>
        </w:rPr>
      </w:pPr>
    </w:p>
    <w:p w14:paraId="0D0071FD">
      <w:pPr>
        <w:pStyle w:val="19"/>
        <w:rPr>
          <w:rFonts w:hint="eastAsia" w:ascii="宋体" w:hAnsi="宋体" w:eastAsia="宋体" w:cs="宋体"/>
          <w:color w:val="auto"/>
          <w:szCs w:val="21"/>
          <w:highlight w:val="none"/>
        </w:rPr>
      </w:pPr>
    </w:p>
    <w:p w14:paraId="3EBF30CC">
      <w:pPr>
        <w:pStyle w:val="19"/>
        <w:rPr>
          <w:rFonts w:hint="eastAsia" w:ascii="宋体" w:hAnsi="宋体" w:eastAsia="宋体" w:cs="宋体"/>
          <w:color w:val="auto"/>
          <w:szCs w:val="21"/>
          <w:highlight w:val="none"/>
        </w:rPr>
      </w:pPr>
    </w:p>
    <w:p w14:paraId="3C4A8F6E">
      <w:pPr>
        <w:pStyle w:val="7"/>
        <w:tabs>
          <w:tab w:val="left" w:pos="750"/>
        </w:tabs>
        <w:rPr>
          <w:rFonts w:hint="eastAsia" w:ascii="宋体" w:hAnsi="宋体" w:eastAsia="宋体" w:cs="宋体"/>
          <w:color w:val="auto"/>
          <w:highlight w:val="none"/>
        </w:rPr>
      </w:pPr>
    </w:p>
    <w:p w14:paraId="3DF4C81A">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供应商全称：_________________________________（盖单位章）</w:t>
      </w:r>
    </w:p>
    <w:p w14:paraId="504AF8BF">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法定代表人（负责人）或其委托代理人：_______（签字或盖章）</w:t>
      </w:r>
    </w:p>
    <w:p w14:paraId="466D6D87">
      <w:pPr>
        <w:adjustRightInd w:val="0"/>
        <w:snapToGrid w:val="0"/>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日    期：_________年______月______日</w:t>
      </w:r>
    </w:p>
    <w:p w14:paraId="63EC36E0">
      <w:pPr>
        <w:adjustRightInd w:val="0"/>
        <w:snapToGrid w:val="0"/>
        <w:spacing w:line="360" w:lineRule="auto"/>
        <w:ind w:firstLine="420" w:firstLineChars="200"/>
        <w:jc w:val="center"/>
        <w:rPr>
          <w:rFonts w:hint="eastAsia" w:ascii="宋体" w:hAnsi="宋体" w:eastAsia="宋体" w:cs="宋体"/>
          <w:color w:val="auto"/>
          <w:highlight w:val="none"/>
        </w:rPr>
      </w:pPr>
    </w:p>
    <w:p w14:paraId="519ACCAF">
      <w:pPr>
        <w:pStyle w:val="3"/>
        <w:keepNext/>
        <w:keepLines w:val="0"/>
        <w:pageBreakBefore w:val="0"/>
        <w:widowControl w:val="0"/>
        <w:numPr>
          <w:ilvl w:val="0"/>
          <w:numId w:val="0"/>
        </w:numPr>
        <w:tabs>
          <w:tab w:val="clear" w:pos="1304"/>
        </w:tabs>
        <w:kinsoku/>
        <w:wordWrap/>
        <w:overflowPunct/>
        <w:topLinePunct w:val="0"/>
        <w:autoSpaceDE/>
        <w:autoSpaceDN/>
        <w:bidi w:val="0"/>
        <w:adjustRightInd w:val="0"/>
        <w:snapToGrid w:val="0"/>
        <w:spacing w:before="0"/>
        <w:ind w:firstLine="420" w:firstLineChars="200"/>
        <w:jc w:val="center"/>
        <w:textAlignment w:val="baseline"/>
        <w:rPr>
          <w:rFonts w:hint="eastAsia" w:ascii="宋体" w:hAnsi="宋体" w:eastAsia="宋体" w:cs="宋体"/>
          <w:color w:val="auto"/>
          <w:szCs w:val="28"/>
          <w:highlight w:val="none"/>
        </w:rPr>
      </w:pPr>
      <w:r>
        <w:rPr>
          <w:rFonts w:hint="eastAsia" w:ascii="宋体" w:hAnsi="宋体" w:eastAsia="宋体" w:cs="宋体"/>
          <w:bCs/>
          <w:color w:val="auto"/>
          <w:kern w:val="2"/>
          <w:sz w:val="21"/>
          <w:szCs w:val="24"/>
          <w:highlight w:val="none"/>
          <w:lang w:val="en-US" w:eastAsia="zh-CN"/>
        </w:rPr>
        <w:br w:type="page"/>
      </w:r>
      <w:bookmarkStart w:id="240" w:name="_Toc195"/>
      <w:r>
        <w:rPr>
          <w:rFonts w:hint="eastAsia" w:ascii="宋体" w:hAnsi="宋体" w:eastAsia="宋体" w:cs="宋体"/>
          <w:color w:val="auto"/>
          <w:szCs w:val="28"/>
          <w:highlight w:val="none"/>
        </w:rPr>
        <w:t>（二）</w:t>
      </w:r>
      <w:bookmarkEnd w:id="238"/>
      <w:r>
        <w:rPr>
          <w:rFonts w:hint="eastAsia" w:ascii="宋体" w:hAnsi="宋体" w:eastAsia="宋体" w:cs="宋体"/>
          <w:color w:val="auto"/>
          <w:szCs w:val="28"/>
          <w:highlight w:val="none"/>
        </w:rPr>
        <w:t>具有良好的商业信誉和健全的财务会计制度</w:t>
      </w:r>
      <w:bookmarkEnd w:id="239"/>
      <w:bookmarkEnd w:id="240"/>
    </w:p>
    <w:p w14:paraId="34120E98">
      <w:pPr>
        <w:autoSpaceDE w:val="0"/>
        <w:autoSpaceDN w:val="0"/>
        <w:snapToGrid w:val="0"/>
        <w:spacing w:line="360" w:lineRule="auto"/>
        <w:ind w:firstLine="480" w:firstLineChars="200"/>
        <w:textAlignment w:val="bottom"/>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en-US"/>
        </w:rPr>
        <w:t>（1）</w:t>
      </w:r>
      <w:r>
        <w:rPr>
          <w:rFonts w:hint="eastAsia" w:ascii="宋体" w:hAnsi="宋体" w:eastAsia="宋体" w:cs="宋体"/>
          <w:color w:val="auto"/>
          <w:sz w:val="24"/>
          <w:szCs w:val="24"/>
          <w:highlight w:val="none"/>
        </w:rPr>
        <w:t>投标人具有良好的商业信誉（须提供书面声明）；若投标人被列入“信用中国”网站“失信被执行人”、“政府采购严重违法失信行为记录名单”、“重大税收违法失信主体”，被列入中国政府采购网“政府采购严重违法失信行为信息记录名单”，其投标将被否决</w:t>
      </w:r>
      <w:r>
        <w:rPr>
          <w:rFonts w:hint="eastAsia" w:ascii="宋体" w:hAnsi="宋体" w:eastAsia="宋体" w:cs="宋体"/>
          <w:b/>
          <w:bCs/>
          <w:color w:val="auto"/>
          <w:sz w:val="24"/>
          <w:szCs w:val="24"/>
          <w:highlight w:val="none"/>
        </w:rPr>
        <w:t>（查询结果以采购人、采购代理机构查询结果为准）</w:t>
      </w:r>
      <w:r>
        <w:rPr>
          <w:rFonts w:hint="eastAsia" w:ascii="宋体" w:hAnsi="宋体" w:eastAsia="宋体" w:cs="宋体"/>
          <w:color w:val="auto"/>
          <w:sz w:val="24"/>
          <w:szCs w:val="24"/>
          <w:highlight w:val="none"/>
        </w:rPr>
        <w:t>；</w:t>
      </w:r>
    </w:p>
    <w:p w14:paraId="233B6BA6">
      <w:pPr>
        <w:autoSpaceDE w:val="0"/>
        <w:autoSpaceDN w:val="0"/>
        <w:snapToGrid w:val="0"/>
        <w:spacing w:line="360" w:lineRule="auto"/>
        <w:ind w:firstLine="480" w:firstLineChars="200"/>
        <w:textAlignment w:val="bottom"/>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en-US"/>
        </w:rPr>
        <w:t>（</w:t>
      </w:r>
      <w:r>
        <w:rPr>
          <w:rFonts w:hint="eastAsia" w:ascii="宋体" w:hAnsi="宋体" w:eastAsia="宋体" w:cs="宋体"/>
          <w:color w:val="auto"/>
          <w:kern w:val="0"/>
          <w:sz w:val="24"/>
          <w:szCs w:val="24"/>
          <w:highlight w:val="none"/>
          <w:lang w:val="en-US" w:eastAsia="zh-CN" w:bidi="en-US"/>
        </w:rPr>
        <w:t>2</w:t>
      </w:r>
      <w:r>
        <w:rPr>
          <w:rFonts w:hint="eastAsia" w:ascii="宋体" w:hAnsi="宋体" w:eastAsia="宋体" w:cs="宋体"/>
          <w:color w:val="auto"/>
          <w:kern w:val="0"/>
          <w:sz w:val="24"/>
          <w:szCs w:val="24"/>
          <w:highlight w:val="none"/>
          <w:lang w:bidi="en-US"/>
        </w:rPr>
        <w:t>）</w:t>
      </w:r>
      <w:r>
        <w:rPr>
          <w:rFonts w:hint="eastAsia" w:ascii="宋体" w:hAnsi="宋体" w:eastAsia="宋体" w:cs="宋体"/>
          <w:color w:val="auto"/>
          <w:sz w:val="24"/>
          <w:szCs w:val="24"/>
          <w:highlight w:val="none"/>
        </w:rPr>
        <w:t>提供</w:t>
      </w:r>
      <w:r>
        <w:rPr>
          <w:rFonts w:hint="eastAsia" w:ascii="宋体" w:hAnsi="宋体" w:cs="宋体"/>
          <w:color w:val="auto"/>
          <w:sz w:val="24"/>
          <w:szCs w:val="24"/>
          <w:highlight w:val="none"/>
          <w:lang w:val="en-US" w:eastAsia="zh-CN"/>
        </w:rPr>
        <w:t>2022年至2024年任意一年</w:t>
      </w:r>
      <w:r>
        <w:rPr>
          <w:rFonts w:hint="eastAsia" w:ascii="宋体" w:hAnsi="宋体" w:eastAsia="宋体" w:cs="宋体"/>
          <w:color w:val="auto"/>
          <w:sz w:val="24"/>
          <w:szCs w:val="24"/>
          <w:highlight w:val="none"/>
        </w:rPr>
        <w:t>度经审计的财务报告（包含报告、资产负债表、现金流量表、损益表（或利润表）及财务报表附注）；</w:t>
      </w:r>
      <w:r>
        <w:rPr>
          <w:rFonts w:hint="eastAsia" w:ascii="宋体" w:hAnsi="宋体" w:cs="宋体"/>
          <w:b w:val="0"/>
          <w:bCs w:val="0"/>
          <w:color w:val="auto"/>
          <w:kern w:val="0"/>
          <w:sz w:val="24"/>
          <w:highlight w:val="none"/>
          <w:lang w:val="en-US" w:eastAsia="zh-CN"/>
        </w:rPr>
        <w:t>2025年之后</w:t>
      </w:r>
      <w:r>
        <w:rPr>
          <w:rFonts w:hint="eastAsia" w:ascii="宋体" w:hAnsi="宋体" w:eastAsia="宋体" w:cs="宋体"/>
          <w:b w:val="0"/>
          <w:bCs w:val="0"/>
          <w:color w:val="auto"/>
          <w:kern w:val="0"/>
          <w:sz w:val="24"/>
          <w:highlight w:val="none"/>
        </w:rPr>
        <w:t>成立的单位</w:t>
      </w:r>
      <w:r>
        <w:rPr>
          <w:rFonts w:hint="eastAsia" w:ascii="宋体" w:hAnsi="宋体" w:eastAsia="宋体" w:cs="宋体"/>
          <w:color w:val="auto"/>
          <w:sz w:val="24"/>
          <w:szCs w:val="24"/>
          <w:highlight w:val="none"/>
        </w:rPr>
        <w:t xml:space="preserve">，提供银行出具的资信证明或担保机构出具的投标担保函或企业自身出具的合法有效的财务报表等能证明具有健全的财务会计制度的证明材料。 </w:t>
      </w:r>
    </w:p>
    <w:p w14:paraId="151C1961">
      <w:pPr>
        <w:autoSpaceDE w:val="0"/>
        <w:autoSpaceDN w:val="0"/>
        <w:snapToGrid w:val="0"/>
        <w:spacing w:line="360" w:lineRule="auto"/>
        <w:textAlignment w:val="bottom"/>
        <w:rPr>
          <w:rFonts w:hint="eastAsia" w:ascii="宋体" w:hAnsi="宋体" w:eastAsia="宋体" w:cs="宋体"/>
          <w:color w:val="auto"/>
          <w:szCs w:val="21"/>
          <w:highlight w:val="none"/>
        </w:rPr>
      </w:pPr>
    </w:p>
    <w:p w14:paraId="0D47A32E">
      <w:pPr>
        <w:adjustRightInd w:val="0"/>
        <w:snapToGrid w:val="0"/>
        <w:spacing w:line="360" w:lineRule="auto"/>
        <w:ind w:firstLine="420" w:firstLineChars="200"/>
        <w:jc w:val="left"/>
        <w:rPr>
          <w:rFonts w:hint="eastAsia" w:ascii="宋体" w:hAnsi="宋体" w:eastAsia="宋体" w:cs="宋体"/>
          <w:color w:val="auto"/>
          <w:highlight w:val="none"/>
        </w:rPr>
      </w:pPr>
    </w:p>
    <w:p w14:paraId="4585E11B">
      <w:pPr>
        <w:jc w:val="left"/>
        <w:rPr>
          <w:rFonts w:hint="eastAsia" w:ascii="宋体" w:hAnsi="宋体" w:eastAsia="宋体" w:cs="宋体"/>
          <w:color w:val="auto"/>
          <w:highlight w:val="none"/>
        </w:rPr>
      </w:pPr>
    </w:p>
    <w:p w14:paraId="329A2B25">
      <w:pPr>
        <w:pStyle w:val="3"/>
        <w:keepNext/>
        <w:keepLines w:val="0"/>
        <w:pageBreakBefore w:val="0"/>
        <w:widowControl w:val="0"/>
        <w:numPr>
          <w:ilvl w:val="0"/>
          <w:numId w:val="0"/>
        </w:numPr>
        <w:tabs>
          <w:tab w:val="clear" w:pos="1304"/>
        </w:tabs>
        <w:kinsoku/>
        <w:wordWrap/>
        <w:overflowPunct/>
        <w:topLinePunct w:val="0"/>
        <w:autoSpaceDE/>
        <w:autoSpaceDN/>
        <w:bidi w:val="0"/>
        <w:adjustRightInd w:val="0"/>
        <w:snapToGrid w:val="0"/>
        <w:spacing w:before="0"/>
        <w:ind w:firstLine="560" w:firstLineChars="200"/>
        <w:jc w:val="center"/>
        <w:textAlignment w:val="baseline"/>
        <w:rPr>
          <w:rFonts w:hint="eastAsia" w:ascii="宋体" w:hAnsi="宋体" w:eastAsia="宋体" w:cs="宋体"/>
          <w:color w:val="auto"/>
          <w:szCs w:val="28"/>
          <w:highlight w:val="none"/>
        </w:rPr>
      </w:pPr>
      <w:bookmarkStart w:id="241" w:name="_Toc80880918"/>
      <w:bookmarkStart w:id="242" w:name="_Toc115077029"/>
      <w:r>
        <w:rPr>
          <w:rFonts w:hint="eastAsia" w:ascii="宋体" w:hAnsi="宋体" w:eastAsia="宋体" w:cs="宋体"/>
          <w:color w:val="auto"/>
          <w:szCs w:val="28"/>
          <w:highlight w:val="none"/>
        </w:rPr>
        <w:br w:type="page"/>
      </w:r>
      <w:bookmarkStart w:id="243" w:name="_Toc24559"/>
      <w:r>
        <w:rPr>
          <w:rFonts w:hint="eastAsia" w:ascii="宋体" w:hAnsi="宋体" w:eastAsia="宋体" w:cs="宋体"/>
          <w:color w:val="auto"/>
          <w:szCs w:val="28"/>
          <w:highlight w:val="none"/>
        </w:rPr>
        <w:t>（三）</w:t>
      </w:r>
      <w:bookmarkEnd w:id="241"/>
      <w:r>
        <w:rPr>
          <w:rFonts w:hint="eastAsia" w:ascii="宋体" w:hAnsi="宋体" w:eastAsia="宋体" w:cs="宋体"/>
          <w:color w:val="auto"/>
          <w:szCs w:val="28"/>
          <w:highlight w:val="none"/>
        </w:rPr>
        <w:t>具有履行合同所必需的设备和专业技术能力</w:t>
      </w:r>
      <w:bookmarkEnd w:id="242"/>
      <w:bookmarkEnd w:id="243"/>
    </w:p>
    <w:p w14:paraId="4D028587">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提供相关证明材料或书面声明</w:t>
      </w:r>
      <w:r>
        <w:rPr>
          <w:rFonts w:hint="eastAsia" w:ascii="宋体" w:hAnsi="宋体" w:eastAsia="宋体" w:cs="宋体"/>
          <w:b/>
          <w:bCs/>
          <w:color w:val="auto"/>
          <w:sz w:val="24"/>
          <w:szCs w:val="32"/>
          <w:highlight w:val="none"/>
        </w:rPr>
        <w:t>（格式自拟）</w:t>
      </w:r>
    </w:p>
    <w:p w14:paraId="102F4F46">
      <w:pPr>
        <w:jc w:val="center"/>
        <w:rPr>
          <w:rFonts w:hint="eastAsia" w:ascii="宋体" w:hAnsi="宋体" w:eastAsia="宋体" w:cs="宋体"/>
          <w:color w:val="auto"/>
          <w:highlight w:val="none"/>
        </w:rPr>
      </w:pPr>
    </w:p>
    <w:p w14:paraId="00F7EB23">
      <w:pPr>
        <w:pStyle w:val="3"/>
        <w:keepNext/>
        <w:keepLines w:val="0"/>
        <w:pageBreakBefore w:val="0"/>
        <w:widowControl w:val="0"/>
        <w:numPr>
          <w:ilvl w:val="0"/>
          <w:numId w:val="0"/>
        </w:numPr>
        <w:tabs>
          <w:tab w:val="clear" w:pos="1304"/>
        </w:tabs>
        <w:kinsoku/>
        <w:wordWrap/>
        <w:overflowPunct/>
        <w:topLinePunct w:val="0"/>
        <w:autoSpaceDE/>
        <w:autoSpaceDN/>
        <w:bidi w:val="0"/>
        <w:adjustRightInd w:val="0"/>
        <w:snapToGrid w:val="0"/>
        <w:spacing w:before="0"/>
        <w:ind w:firstLine="560" w:firstLineChars="200"/>
        <w:jc w:val="center"/>
        <w:textAlignment w:val="baseline"/>
        <w:rPr>
          <w:rFonts w:hint="eastAsia" w:ascii="宋体" w:hAnsi="宋体" w:eastAsia="宋体" w:cs="宋体"/>
          <w:color w:val="auto"/>
          <w:szCs w:val="28"/>
          <w:highlight w:val="none"/>
        </w:rPr>
      </w:pPr>
      <w:bookmarkStart w:id="244" w:name="_Toc80880919"/>
      <w:bookmarkStart w:id="245" w:name="_Toc115077030"/>
      <w:r>
        <w:rPr>
          <w:rFonts w:hint="eastAsia" w:ascii="宋体" w:hAnsi="宋体" w:eastAsia="宋体" w:cs="宋体"/>
          <w:color w:val="auto"/>
          <w:szCs w:val="28"/>
          <w:highlight w:val="none"/>
        </w:rPr>
        <w:br w:type="page"/>
      </w:r>
      <w:bookmarkStart w:id="246" w:name="_Toc4353"/>
      <w:r>
        <w:rPr>
          <w:rFonts w:hint="eastAsia" w:ascii="宋体" w:hAnsi="宋体" w:eastAsia="宋体" w:cs="宋体"/>
          <w:color w:val="auto"/>
          <w:szCs w:val="28"/>
          <w:highlight w:val="none"/>
        </w:rPr>
        <w:t>（四）</w:t>
      </w:r>
      <w:bookmarkEnd w:id="244"/>
      <w:r>
        <w:rPr>
          <w:rFonts w:hint="eastAsia" w:ascii="宋体" w:hAnsi="宋体" w:eastAsia="宋体" w:cs="宋体"/>
          <w:color w:val="auto"/>
          <w:szCs w:val="28"/>
          <w:highlight w:val="none"/>
        </w:rPr>
        <w:t>有依法缴纳税收和社会保障资金的良好记录</w:t>
      </w:r>
      <w:bookmarkEnd w:id="245"/>
      <w:bookmarkEnd w:id="246"/>
    </w:p>
    <w:p w14:paraId="7FC80E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提供202</w:t>
      </w:r>
      <w:r>
        <w:rPr>
          <w:rFonts w:hint="eastAsia" w:ascii="宋体" w:hAnsi="宋体" w:cs="宋体"/>
          <w:color w:val="auto"/>
          <w:sz w:val="24"/>
          <w:szCs w:val="32"/>
          <w:highlight w:val="none"/>
          <w:lang w:val="en-US" w:eastAsia="zh-CN"/>
        </w:rPr>
        <w:t>4</w:t>
      </w:r>
      <w:r>
        <w:rPr>
          <w:rFonts w:hint="eastAsia" w:ascii="宋体" w:hAnsi="宋体" w:eastAsia="宋体" w:cs="宋体"/>
          <w:color w:val="auto"/>
          <w:sz w:val="24"/>
          <w:szCs w:val="32"/>
          <w:highlight w:val="none"/>
        </w:rPr>
        <w:t>年1月至本项目响应文件提交截止时间前任意3个月的依法缴纳税收凭证和社会保险证明材料；新成立的</w:t>
      </w:r>
      <w:r>
        <w:rPr>
          <w:rFonts w:hint="eastAsia" w:ascii="宋体" w:hAnsi="宋体" w:eastAsia="宋体" w:cs="宋体"/>
          <w:color w:val="auto"/>
          <w:sz w:val="24"/>
          <w:szCs w:val="32"/>
          <w:highlight w:val="none"/>
          <w:lang w:val="en-US" w:eastAsia="zh-CN"/>
        </w:rPr>
        <w:t>供应商</w:t>
      </w:r>
      <w:r>
        <w:rPr>
          <w:rFonts w:hint="eastAsia" w:ascii="宋体" w:hAnsi="宋体" w:eastAsia="宋体" w:cs="宋体"/>
          <w:color w:val="auto"/>
          <w:sz w:val="24"/>
          <w:szCs w:val="32"/>
          <w:highlight w:val="none"/>
        </w:rPr>
        <w:t xml:space="preserve">根据实际情况提供，依法免税、免缴的，应提供依法免税、免缴的相关证明文件。 </w:t>
      </w:r>
    </w:p>
    <w:p w14:paraId="1FD0FA8B">
      <w:pPr>
        <w:pStyle w:val="3"/>
        <w:keepNext/>
        <w:keepLines w:val="0"/>
        <w:pageBreakBefore w:val="0"/>
        <w:widowControl w:val="0"/>
        <w:numPr>
          <w:ilvl w:val="0"/>
          <w:numId w:val="0"/>
        </w:numPr>
        <w:tabs>
          <w:tab w:val="clear" w:pos="1304"/>
        </w:tabs>
        <w:kinsoku/>
        <w:wordWrap/>
        <w:overflowPunct/>
        <w:topLinePunct w:val="0"/>
        <w:autoSpaceDE/>
        <w:autoSpaceDN/>
        <w:bidi w:val="0"/>
        <w:adjustRightInd w:val="0"/>
        <w:snapToGrid w:val="0"/>
        <w:spacing w:before="0"/>
        <w:ind w:firstLine="560" w:firstLineChars="200"/>
        <w:jc w:val="center"/>
        <w:textAlignment w:val="baseline"/>
        <w:rPr>
          <w:rFonts w:hint="eastAsia" w:ascii="宋体" w:hAnsi="宋体" w:eastAsia="宋体" w:cs="宋体"/>
          <w:color w:val="auto"/>
          <w:szCs w:val="28"/>
          <w:highlight w:val="none"/>
          <w:lang w:val="zh-CN"/>
        </w:rPr>
      </w:pPr>
      <w:bookmarkStart w:id="247" w:name="_Toc80880920"/>
      <w:bookmarkStart w:id="248" w:name="_Toc115077031"/>
      <w:r>
        <w:rPr>
          <w:rFonts w:hint="eastAsia" w:ascii="宋体" w:hAnsi="宋体" w:eastAsia="宋体" w:cs="宋体"/>
          <w:color w:val="auto"/>
          <w:szCs w:val="28"/>
          <w:highlight w:val="none"/>
        </w:rPr>
        <w:br w:type="page"/>
      </w:r>
      <w:bookmarkStart w:id="249" w:name="_Toc23159"/>
      <w:r>
        <w:rPr>
          <w:rFonts w:hint="eastAsia" w:ascii="宋体" w:hAnsi="宋体" w:eastAsia="宋体" w:cs="宋体"/>
          <w:color w:val="auto"/>
          <w:szCs w:val="28"/>
          <w:highlight w:val="none"/>
          <w:lang w:val="en-US" w:eastAsia="zh-CN"/>
        </w:rPr>
        <w:t>（五）</w:t>
      </w:r>
      <w:bookmarkEnd w:id="247"/>
      <w:bookmarkEnd w:id="248"/>
      <w:bookmarkStart w:id="250" w:name="_Toc169881043"/>
      <w:bookmarkStart w:id="251" w:name="_Toc80880921"/>
      <w:bookmarkStart w:id="252" w:name="_Toc115077032"/>
      <w:bookmarkStart w:id="253" w:name="_Toc8168211"/>
      <w:r>
        <w:rPr>
          <w:rFonts w:hint="eastAsia" w:ascii="宋体" w:hAnsi="宋体" w:eastAsia="宋体" w:cs="宋体"/>
          <w:color w:val="auto"/>
          <w:szCs w:val="28"/>
          <w:highlight w:val="none"/>
          <w:lang w:val="zh-CN" w:eastAsia="zh-CN"/>
        </w:rPr>
        <w:t>参加政府采购活动前三年内，在经营活动中没有重大违法记录</w:t>
      </w:r>
      <w:bookmarkEnd w:id="249"/>
      <w:bookmarkEnd w:id="250"/>
    </w:p>
    <w:p w14:paraId="4A0E2F67">
      <w:pPr>
        <w:spacing w:line="360" w:lineRule="auto"/>
        <w:ind w:firstLine="240" w:firstLineChars="10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提供相关证明材料或书面声明；</w:t>
      </w:r>
      <w:r>
        <w:rPr>
          <w:rFonts w:hint="eastAsia" w:ascii="宋体" w:hAnsi="宋体" w:eastAsia="宋体" w:cs="宋体"/>
          <w:b/>
          <w:bCs/>
          <w:color w:val="auto"/>
          <w:sz w:val="24"/>
          <w:szCs w:val="24"/>
          <w:highlight w:val="none"/>
        </w:rPr>
        <w:t>（格式自拟,加盖公章确认）</w:t>
      </w:r>
    </w:p>
    <w:p w14:paraId="79C3E876">
      <w:pPr>
        <w:spacing w:line="360" w:lineRule="auto"/>
        <w:ind w:firstLine="240" w:firstLineChars="10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重大违法记录是指：因违法经营受到刑事处罚或者责令停产停业、吊销许可证或者执照、较大数额罚款等行政处罚</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在参加政府采购活动前3年内因违法经营被禁止在一定期限内参加政府采购活动，期限届满的，可以参加政府采购活动。</w:t>
      </w:r>
    </w:p>
    <w:p w14:paraId="53711A6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b/>
          <w:color w:val="auto"/>
          <w:kern w:val="0"/>
          <w:sz w:val="28"/>
          <w:szCs w:val="28"/>
          <w:highlight w:val="none"/>
          <w:lang w:val="zh-CN" w:eastAsia="zh-CN" w:bidi="ar-SA"/>
        </w:rPr>
      </w:pPr>
      <w:bookmarkStart w:id="254" w:name="_Toc169881044"/>
      <w:r>
        <w:rPr>
          <w:rFonts w:hint="eastAsia" w:ascii="宋体" w:hAnsi="宋体" w:eastAsia="宋体" w:cs="宋体"/>
          <w:color w:val="auto"/>
          <w:kern w:val="0"/>
          <w:sz w:val="24"/>
          <w:szCs w:val="24"/>
          <w:highlight w:val="none"/>
          <w:lang w:val="zh-CN"/>
        </w:rPr>
        <w:br w:type="page"/>
      </w:r>
      <w:bookmarkStart w:id="255" w:name="_Toc20168"/>
      <w:r>
        <w:rPr>
          <w:rFonts w:hint="eastAsia" w:ascii="宋体" w:hAnsi="宋体" w:eastAsia="宋体" w:cs="宋体"/>
          <w:b/>
          <w:color w:val="auto"/>
          <w:kern w:val="0"/>
          <w:sz w:val="28"/>
          <w:szCs w:val="28"/>
          <w:highlight w:val="none"/>
          <w:lang w:val="zh-CN" w:eastAsia="zh-CN"/>
        </w:rPr>
        <w:t>（</w:t>
      </w:r>
      <w:r>
        <w:rPr>
          <w:rFonts w:hint="eastAsia" w:ascii="宋体" w:hAnsi="宋体" w:eastAsia="宋体" w:cs="宋体"/>
          <w:b/>
          <w:color w:val="auto"/>
          <w:kern w:val="0"/>
          <w:sz w:val="28"/>
          <w:szCs w:val="28"/>
          <w:highlight w:val="none"/>
          <w:lang w:val="en-US" w:eastAsia="zh-CN"/>
        </w:rPr>
        <w:t>六</w:t>
      </w:r>
      <w:r>
        <w:rPr>
          <w:rFonts w:hint="eastAsia" w:ascii="宋体" w:hAnsi="宋体" w:eastAsia="宋体" w:cs="宋体"/>
          <w:b/>
          <w:color w:val="auto"/>
          <w:kern w:val="0"/>
          <w:sz w:val="28"/>
          <w:szCs w:val="28"/>
          <w:highlight w:val="none"/>
          <w:lang w:val="zh-CN" w:eastAsia="zh-CN"/>
        </w:rPr>
        <w:t>）</w:t>
      </w:r>
      <w:r>
        <w:rPr>
          <w:rFonts w:hint="eastAsia" w:ascii="宋体" w:hAnsi="宋体" w:eastAsia="宋体" w:cs="宋体"/>
          <w:b/>
          <w:color w:val="auto"/>
          <w:kern w:val="0"/>
          <w:sz w:val="28"/>
          <w:szCs w:val="28"/>
          <w:highlight w:val="none"/>
          <w:lang w:val="en-US" w:eastAsia="zh-CN"/>
        </w:rPr>
        <w:t>法律、行政法规规定的其它条件</w:t>
      </w:r>
      <w:bookmarkEnd w:id="254"/>
      <w:bookmarkEnd w:id="255"/>
    </w:p>
    <w:p w14:paraId="2AF6BBB3">
      <w:pPr>
        <w:spacing w:line="360" w:lineRule="auto"/>
        <w:ind w:firstLine="240" w:firstLineChars="100"/>
        <w:jc w:val="left"/>
        <w:rPr>
          <w:rFonts w:hint="eastAsia" w:ascii="宋体" w:hAnsi="宋体" w:eastAsia="宋体" w:cs="宋体"/>
          <w:color w:val="auto"/>
          <w:kern w:val="0"/>
          <w:sz w:val="24"/>
          <w:szCs w:val="24"/>
          <w:highlight w:val="none"/>
          <w:lang w:bidi="en-US"/>
        </w:rPr>
      </w:pPr>
      <w:r>
        <w:rPr>
          <w:rFonts w:hint="eastAsia" w:ascii="宋体" w:hAnsi="宋体" w:eastAsia="宋体" w:cs="宋体"/>
          <w:color w:val="auto"/>
          <w:kern w:val="0"/>
          <w:sz w:val="24"/>
          <w:szCs w:val="24"/>
          <w:highlight w:val="none"/>
          <w:lang w:bidi="en-US"/>
        </w:rPr>
        <w:t>（1）单位负责人为同一人或者存在直接控股、管理关系的不同投标人，不得参加同一合同项下的政府采购活动</w:t>
      </w:r>
      <w:r>
        <w:rPr>
          <w:rFonts w:hint="eastAsia" w:ascii="宋体" w:hAnsi="宋体" w:eastAsia="宋体" w:cs="宋体"/>
          <w:b/>
          <w:color w:val="auto"/>
          <w:kern w:val="0"/>
          <w:sz w:val="24"/>
          <w:szCs w:val="24"/>
          <w:highlight w:val="none"/>
          <w:lang w:bidi="en-US"/>
        </w:rPr>
        <w:t>（须提供书面声明，格式自拟）</w:t>
      </w:r>
      <w:r>
        <w:rPr>
          <w:rFonts w:hint="eastAsia" w:ascii="宋体" w:hAnsi="宋体" w:eastAsia="宋体" w:cs="宋体"/>
          <w:color w:val="auto"/>
          <w:kern w:val="0"/>
          <w:sz w:val="24"/>
          <w:szCs w:val="24"/>
          <w:highlight w:val="none"/>
          <w:lang w:bidi="en-US"/>
        </w:rPr>
        <w:t>；</w:t>
      </w:r>
    </w:p>
    <w:p w14:paraId="0E21EDBE">
      <w:pPr>
        <w:spacing w:line="360" w:lineRule="auto"/>
        <w:ind w:firstLine="240" w:firstLineChars="100"/>
        <w:jc w:val="left"/>
        <w:rPr>
          <w:rFonts w:hint="eastAsia" w:ascii="宋体" w:hAnsi="宋体" w:eastAsia="宋体" w:cs="宋体"/>
          <w:color w:val="auto"/>
          <w:kern w:val="0"/>
          <w:sz w:val="24"/>
          <w:szCs w:val="24"/>
          <w:highlight w:val="none"/>
          <w:lang w:bidi="en-US"/>
        </w:rPr>
      </w:pPr>
      <w:r>
        <w:rPr>
          <w:rFonts w:hint="eastAsia" w:ascii="宋体" w:hAnsi="宋体" w:eastAsia="宋体" w:cs="宋体"/>
          <w:color w:val="auto"/>
          <w:kern w:val="0"/>
          <w:sz w:val="24"/>
          <w:szCs w:val="24"/>
          <w:highlight w:val="none"/>
          <w:lang w:bidi="en-US"/>
        </w:rPr>
        <w:t>（2）投标人不得与采购人存在利害关系可能影响采购公正性的法人、其他组织或者个人</w:t>
      </w:r>
      <w:r>
        <w:rPr>
          <w:rFonts w:hint="eastAsia" w:ascii="宋体" w:hAnsi="宋体" w:eastAsia="宋体" w:cs="宋体"/>
          <w:b/>
          <w:color w:val="auto"/>
          <w:kern w:val="0"/>
          <w:sz w:val="24"/>
          <w:szCs w:val="24"/>
          <w:highlight w:val="none"/>
          <w:lang w:bidi="en-US"/>
        </w:rPr>
        <w:t>（须提供书面声明，格式自拟）</w:t>
      </w:r>
      <w:r>
        <w:rPr>
          <w:rFonts w:hint="eastAsia" w:ascii="宋体" w:hAnsi="宋体" w:eastAsia="宋体" w:cs="宋体"/>
          <w:color w:val="auto"/>
          <w:kern w:val="0"/>
          <w:sz w:val="24"/>
          <w:szCs w:val="24"/>
          <w:highlight w:val="none"/>
          <w:lang w:bidi="en-US"/>
        </w:rPr>
        <w:t>。</w:t>
      </w:r>
    </w:p>
    <w:p w14:paraId="746B6A71">
      <w:pPr>
        <w:spacing w:line="360" w:lineRule="auto"/>
        <w:ind w:firstLine="240" w:firstLineChars="100"/>
        <w:jc w:val="left"/>
        <w:rPr>
          <w:rFonts w:hint="eastAsia" w:ascii="宋体" w:hAnsi="宋体" w:eastAsia="宋体" w:cs="宋体"/>
          <w:color w:val="auto"/>
          <w:sz w:val="24"/>
          <w:szCs w:val="24"/>
          <w:highlight w:val="none"/>
        </w:rPr>
      </w:pPr>
    </w:p>
    <w:p w14:paraId="1D0F12C9">
      <w:pPr>
        <w:widowControl/>
        <w:jc w:val="center"/>
        <w:rPr>
          <w:rFonts w:hint="eastAsia" w:ascii="宋体" w:hAnsi="宋体" w:eastAsia="宋体" w:cs="宋体"/>
          <w:bCs/>
          <w:color w:val="auto"/>
          <w:sz w:val="24"/>
          <w:szCs w:val="24"/>
          <w:highlight w:val="none"/>
        </w:rPr>
        <w:sectPr>
          <w:pgSz w:w="11906" w:h="16838"/>
          <w:pgMar w:top="1134" w:right="1134" w:bottom="1134" w:left="1134" w:header="850" w:footer="850" w:gutter="0"/>
          <w:pgNumType w:fmt="decimal"/>
          <w:cols w:space="720" w:num="1"/>
          <w:rtlGutter w:val="0"/>
          <w:docGrid w:type="linesAndChars" w:linePitch="331" w:charSpace="0"/>
        </w:sectPr>
      </w:pPr>
    </w:p>
    <w:bookmarkEnd w:id="251"/>
    <w:bookmarkEnd w:id="252"/>
    <w:bookmarkEnd w:id="253"/>
    <w:p w14:paraId="74A0B43C">
      <w:pPr>
        <w:keepNext/>
        <w:tabs>
          <w:tab w:val="left" w:pos="360"/>
          <w:tab w:val="left" w:pos="1021"/>
        </w:tabs>
        <w:adjustRightInd w:val="0"/>
        <w:jc w:val="center"/>
        <w:textAlignment w:val="baseline"/>
        <w:outlineLvl w:val="1"/>
        <w:rPr>
          <w:rFonts w:hint="eastAsia" w:ascii="宋体" w:hAnsi="宋体" w:eastAsia="宋体" w:cs="宋体"/>
          <w:color w:val="auto"/>
          <w:szCs w:val="28"/>
          <w:highlight w:val="none"/>
        </w:rPr>
      </w:pPr>
      <w:bookmarkStart w:id="256" w:name="_Toc5780235"/>
      <w:bookmarkStart w:id="257" w:name="_Toc348010006"/>
      <w:bookmarkStart w:id="258" w:name="_Toc8689657"/>
      <w:bookmarkStart w:id="259" w:name="_Toc8168213"/>
      <w:bookmarkStart w:id="260" w:name="_Toc115077033"/>
      <w:bookmarkStart w:id="261" w:name="_Toc2990"/>
      <w:r>
        <w:rPr>
          <w:rFonts w:hint="eastAsia" w:ascii="宋体" w:hAnsi="宋体" w:eastAsia="宋体" w:cs="宋体"/>
          <w:b/>
          <w:color w:val="auto"/>
          <w:kern w:val="0"/>
          <w:sz w:val="28"/>
          <w:szCs w:val="28"/>
          <w:highlight w:val="none"/>
        </w:rPr>
        <w:t>（</w:t>
      </w:r>
      <w:r>
        <w:rPr>
          <w:rFonts w:hint="eastAsia" w:ascii="宋体" w:hAnsi="宋体" w:eastAsia="宋体" w:cs="宋体"/>
          <w:b/>
          <w:color w:val="auto"/>
          <w:kern w:val="0"/>
          <w:sz w:val="28"/>
          <w:szCs w:val="28"/>
          <w:highlight w:val="none"/>
          <w:lang w:val="en-US" w:eastAsia="zh-CN"/>
        </w:rPr>
        <w:t>七</w:t>
      </w:r>
      <w:r>
        <w:rPr>
          <w:rFonts w:hint="eastAsia" w:ascii="宋体" w:hAnsi="宋体" w:eastAsia="宋体" w:cs="宋体"/>
          <w:b/>
          <w:color w:val="auto"/>
          <w:kern w:val="0"/>
          <w:sz w:val="28"/>
          <w:szCs w:val="28"/>
          <w:highlight w:val="none"/>
        </w:rPr>
        <w:t>）</w:t>
      </w:r>
      <w:bookmarkEnd w:id="256"/>
      <w:bookmarkEnd w:id="257"/>
      <w:bookmarkEnd w:id="258"/>
      <w:bookmarkEnd w:id="259"/>
      <w:r>
        <w:rPr>
          <w:rFonts w:hint="eastAsia" w:ascii="宋体" w:hAnsi="宋体" w:eastAsia="宋体" w:cs="宋体"/>
          <w:b/>
          <w:color w:val="auto"/>
          <w:kern w:val="0"/>
          <w:sz w:val="28"/>
          <w:szCs w:val="28"/>
          <w:highlight w:val="none"/>
        </w:rPr>
        <w:t>本项目的特定资格要求</w:t>
      </w:r>
      <w:bookmarkEnd w:id="260"/>
      <w:bookmarkEnd w:id="261"/>
    </w:p>
    <w:p w14:paraId="748D238F">
      <w:pPr>
        <w:spacing w:line="360" w:lineRule="auto"/>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）具备人力资源和社会保障部门或民政部门颁发的有效期内的《办学许可证》（202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年年度年检合格）</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提供有效的证明材料。</w:t>
      </w:r>
    </w:p>
    <w:p w14:paraId="7C70B625">
      <w:pPr>
        <w:spacing w:line="360" w:lineRule="auto"/>
        <w:jc w:val="left"/>
        <w:rPr>
          <w:rFonts w:hint="eastAsia" w:ascii="宋体" w:hAnsi="宋体" w:eastAsia="宋体" w:cs="宋体"/>
          <w:color w:val="auto"/>
          <w:szCs w:val="21"/>
          <w:highlight w:val="none"/>
        </w:rPr>
      </w:pPr>
    </w:p>
    <w:p w14:paraId="4B433E1E">
      <w:pPr>
        <w:spacing w:line="360" w:lineRule="auto"/>
        <w:jc w:val="left"/>
        <w:rPr>
          <w:rFonts w:hint="eastAsia" w:ascii="宋体" w:hAnsi="宋体" w:eastAsia="宋体" w:cs="宋体"/>
          <w:color w:val="auto"/>
          <w:szCs w:val="21"/>
          <w:highlight w:val="none"/>
        </w:rPr>
      </w:pPr>
    </w:p>
    <w:p w14:paraId="5C645619">
      <w:pPr>
        <w:spacing w:line="360" w:lineRule="auto"/>
        <w:jc w:val="left"/>
        <w:rPr>
          <w:rFonts w:hint="eastAsia" w:ascii="宋体" w:hAnsi="宋体" w:eastAsia="宋体" w:cs="宋体"/>
          <w:color w:val="auto"/>
          <w:szCs w:val="21"/>
          <w:highlight w:val="none"/>
        </w:rPr>
      </w:pPr>
    </w:p>
    <w:p w14:paraId="5AAC7B0D">
      <w:pPr>
        <w:spacing w:line="360" w:lineRule="auto"/>
        <w:jc w:val="left"/>
        <w:rPr>
          <w:rFonts w:hint="eastAsia" w:ascii="宋体" w:hAnsi="宋体" w:eastAsia="宋体" w:cs="宋体"/>
          <w:color w:val="auto"/>
          <w:szCs w:val="21"/>
          <w:highlight w:val="none"/>
        </w:rPr>
      </w:pPr>
    </w:p>
    <w:p w14:paraId="4BE10ADA">
      <w:pPr>
        <w:pStyle w:val="3"/>
        <w:numPr>
          <w:ilvl w:val="0"/>
          <w:numId w:val="0"/>
        </w:numPr>
        <w:tabs>
          <w:tab w:val="left" w:pos="360"/>
          <w:tab w:val="clear" w:pos="1304"/>
        </w:tabs>
        <w:spacing w:before="0"/>
        <w:jc w:val="center"/>
        <w:rPr>
          <w:rFonts w:hint="eastAsia" w:ascii="宋体" w:hAnsi="宋体" w:eastAsia="宋体" w:cs="宋体"/>
          <w:color w:val="auto"/>
          <w:szCs w:val="28"/>
          <w:highlight w:val="none"/>
        </w:rPr>
      </w:pPr>
      <w:bookmarkStart w:id="262" w:name="_Toc8168214"/>
      <w:bookmarkStart w:id="263" w:name="_Toc115077034"/>
      <w:bookmarkStart w:id="264" w:name="_Toc8689658"/>
      <w:r>
        <w:rPr>
          <w:rFonts w:hint="eastAsia" w:ascii="宋体" w:hAnsi="宋体" w:eastAsia="宋体" w:cs="宋体"/>
          <w:color w:val="auto"/>
          <w:szCs w:val="28"/>
          <w:highlight w:val="none"/>
        </w:rPr>
        <w:br w:type="page"/>
      </w:r>
      <w:bookmarkEnd w:id="262"/>
      <w:bookmarkEnd w:id="263"/>
      <w:bookmarkEnd w:id="264"/>
      <w:bookmarkStart w:id="265" w:name="_Toc115077035"/>
      <w:bookmarkStart w:id="266" w:name="_Toc8168215"/>
      <w:bookmarkStart w:id="267" w:name="_Toc8689659"/>
      <w:bookmarkStart w:id="268" w:name="_Toc9120"/>
      <w:r>
        <w:rPr>
          <w:rFonts w:hint="eastAsia" w:ascii="宋体" w:hAnsi="宋体" w:eastAsia="宋体" w:cs="宋体"/>
          <w:color w:val="auto"/>
          <w:szCs w:val="28"/>
          <w:highlight w:val="none"/>
        </w:rPr>
        <w:t>（</w:t>
      </w:r>
      <w:r>
        <w:rPr>
          <w:rFonts w:hint="eastAsia" w:ascii="宋体" w:hAnsi="宋体" w:eastAsia="宋体" w:cs="宋体"/>
          <w:color w:val="auto"/>
          <w:szCs w:val="28"/>
          <w:highlight w:val="none"/>
          <w:lang w:val="en-US" w:eastAsia="zh-CN"/>
        </w:rPr>
        <w:t>八</w:t>
      </w:r>
      <w:r>
        <w:rPr>
          <w:rFonts w:hint="eastAsia" w:ascii="宋体" w:hAnsi="宋体" w:eastAsia="宋体" w:cs="宋体"/>
          <w:color w:val="auto"/>
          <w:szCs w:val="28"/>
          <w:highlight w:val="none"/>
        </w:rPr>
        <w:t>）</w:t>
      </w:r>
      <w:bookmarkEnd w:id="265"/>
      <w:bookmarkEnd w:id="266"/>
      <w:bookmarkEnd w:id="267"/>
      <w:r>
        <w:rPr>
          <w:rFonts w:hint="eastAsia" w:ascii="宋体" w:hAnsi="宋体" w:eastAsia="宋体" w:cs="宋体"/>
          <w:color w:val="auto"/>
          <w:szCs w:val="28"/>
          <w:highlight w:val="none"/>
        </w:rPr>
        <w:t>其他资格证明材料</w:t>
      </w:r>
      <w:bookmarkEnd w:id="268"/>
    </w:p>
    <w:p w14:paraId="0F78E330">
      <w:pPr>
        <w:widowControl/>
        <w:adjustRightInd w:val="0"/>
        <w:snapToGrid w:val="0"/>
        <w:spacing w:line="360" w:lineRule="auto"/>
        <w:ind w:firstLine="480" w:firstLineChars="200"/>
        <w:jc w:val="center"/>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（格式自拟）</w:t>
      </w:r>
    </w:p>
    <w:p w14:paraId="6DC5D56D">
      <w:pPr>
        <w:rPr>
          <w:rFonts w:hint="eastAsia" w:ascii="宋体" w:hAnsi="宋体" w:eastAsia="宋体" w:cs="宋体"/>
          <w:color w:val="auto"/>
          <w:highlight w:val="none"/>
        </w:rPr>
      </w:pPr>
    </w:p>
    <w:p w14:paraId="2EAFF386">
      <w:pPr>
        <w:rPr>
          <w:rFonts w:hint="eastAsia" w:ascii="宋体" w:hAnsi="宋体" w:eastAsia="宋体" w:cs="宋体"/>
          <w:color w:val="auto"/>
          <w:highlight w:val="none"/>
        </w:rPr>
      </w:pPr>
    </w:p>
    <w:p w14:paraId="1137A65E">
      <w:pPr>
        <w:rPr>
          <w:rFonts w:hint="eastAsia" w:ascii="宋体" w:hAnsi="宋体" w:eastAsia="宋体" w:cs="宋体"/>
          <w:color w:val="auto"/>
          <w:highlight w:val="none"/>
        </w:rPr>
      </w:pPr>
    </w:p>
    <w:p w14:paraId="185B0AB4">
      <w:pPr>
        <w:rPr>
          <w:rFonts w:hint="eastAsia" w:ascii="宋体" w:hAnsi="宋体" w:eastAsia="宋体" w:cs="宋体"/>
          <w:color w:val="auto"/>
          <w:highlight w:val="none"/>
        </w:rPr>
      </w:pPr>
    </w:p>
    <w:p w14:paraId="720FAE08">
      <w:pPr>
        <w:rPr>
          <w:rFonts w:hint="eastAsia" w:ascii="宋体" w:hAnsi="宋体" w:eastAsia="宋体" w:cs="宋体"/>
          <w:color w:val="auto"/>
          <w:highlight w:val="none"/>
        </w:rPr>
      </w:pPr>
    </w:p>
    <w:p w14:paraId="2C67440D">
      <w:pPr>
        <w:rPr>
          <w:rFonts w:hint="eastAsia" w:ascii="宋体" w:hAnsi="宋体" w:eastAsia="宋体" w:cs="宋体"/>
          <w:color w:val="auto"/>
          <w:highlight w:val="none"/>
        </w:rPr>
      </w:pPr>
    </w:p>
    <w:p w14:paraId="2BDDD816">
      <w:pPr>
        <w:rPr>
          <w:rFonts w:hint="eastAsia" w:ascii="宋体" w:hAnsi="宋体" w:eastAsia="宋体" w:cs="宋体"/>
          <w:color w:val="auto"/>
          <w:highlight w:val="none"/>
        </w:rPr>
      </w:pPr>
    </w:p>
    <w:p w14:paraId="44E0521F">
      <w:pPr>
        <w:rPr>
          <w:rFonts w:hint="eastAsia" w:ascii="宋体" w:hAnsi="宋体" w:eastAsia="宋体" w:cs="宋体"/>
          <w:color w:val="auto"/>
          <w:highlight w:val="none"/>
        </w:rPr>
      </w:pPr>
    </w:p>
    <w:p w14:paraId="6005EDCF">
      <w:pPr>
        <w:rPr>
          <w:rFonts w:hint="eastAsia" w:ascii="宋体" w:hAnsi="宋体" w:eastAsia="宋体" w:cs="宋体"/>
          <w:color w:val="auto"/>
          <w:highlight w:val="none"/>
        </w:rPr>
      </w:pPr>
    </w:p>
    <w:p w14:paraId="7639AA56">
      <w:pPr>
        <w:rPr>
          <w:rFonts w:hint="eastAsia" w:ascii="宋体" w:hAnsi="宋体" w:eastAsia="宋体" w:cs="宋体"/>
          <w:color w:val="auto"/>
          <w:highlight w:val="none"/>
        </w:rPr>
      </w:pPr>
    </w:p>
    <w:p w14:paraId="2328945D">
      <w:pPr>
        <w:rPr>
          <w:rFonts w:hint="eastAsia" w:ascii="宋体" w:hAnsi="宋体" w:eastAsia="宋体" w:cs="宋体"/>
          <w:color w:val="auto"/>
          <w:highlight w:val="none"/>
        </w:rPr>
      </w:pPr>
    </w:p>
    <w:p w14:paraId="1FC9B8DC">
      <w:pPr>
        <w:rPr>
          <w:rFonts w:hint="eastAsia" w:ascii="宋体" w:hAnsi="宋体" w:eastAsia="宋体" w:cs="宋体"/>
          <w:color w:val="auto"/>
          <w:highlight w:val="none"/>
        </w:rPr>
      </w:pPr>
    </w:p>
    <w:p w14:paraId="36326631">
      <w:pPr>
        <w:rPr>
          <w:rFonts w:hint="eastAsia" w:ascii="宋体" w:hAnsi="宋体" w:eastAsia="宋体" w:cs="宋体"/>
          <w:color w:val="auto"/>
          <w:highlight w:val="none"/>
        </w:rPr>
      </w:pPr>
    </w:p>
    <w:p w14:paraId="05D680F5">
      <w:pPr>
        <w:rPr>
          <w:rFonts w:hint="eastAsia" w:ascii="宋体" w:hAnsi="宋体" w:eastAsia="宋体" w:cs="宋体"/>
          <w:color w:val="auto"/>
          <w:highlight w:val="none"/>
        </w:rPr>
      </w:pPr>
    </w:p>
    <w:p w14:paraId="71CE807D">
      <w:pPr>
        <w:rPr>
          <w:rFonts w:hint="eastAsia" w:ascii="宋体" w:hAnsi="宋体" w:eastAsia="宋体" w:cs="宋体"/>
          <w:color w:val="auto"/>
          <w:highlight w:val="none"/>
        </w:rPr>
      </w:pPr>
    </w:p>
    <w:p w14:paraId="0FE356B9">
      <w:pPr>
        <w:rPr>
          <w:rFonts w:hint="eastAsia" w:ascii="宋体" w:hAnsi="宋体" w:eastAsia="宋体" w:cs="宋体"/>
          <w:color w:val="auto"/>
          <w:highlight w:val="none"/>
        </w:rPr>
      </w:pPr>
    </w:p>
    <w:p w14:paraId="784EB4FD">
      <w:pPr>
        <w:rPr>
          <w:rFonts w:hint="eastAsia" w:ascii="宋体" w:hAnsi="宋体" w:eastAsia="宋体" w:cs="宋体"/>
          <w:color w:val="auto"/>
          <w:highlight w:val="none"/>
        </w:rPr>
      </w:pPr>
    </w:p>
    <w:p w14:paraId="5E2DF314">
      <w:pPr>
        <w:rPr>
          <w:rFonts w:hint="eastAsia" w:ascii="宋体" w:hAnsi="宋体" w:eastAsia="宋体" w:cs="宋体"/>
          <w:color w:val="auto"/>
          <w:highlight w:val="none"/>
        </w:rPr>
      </w:pPr>
    </w:p>
    <w:p w14:paraId="16D79650">
      <w:pPr>
        <w:rPr>
          <w:rFonts w:hint="eastAsia" w:ascii="宋体" w:hAnsi="宋体" w:eastAsia="宋体" w:cs="宋体"/>
          <w:color w:val="auto"/>
          <w:highlight w:val="none"/>
        </w:rPr>
      </w:pPr>
    </w:p>
    <w:p w14:paraId="54515CD2">
      <w:pPr>
        <w:rPr>
          <w:rFonts w:hint="eastAsia" w:ascii="宋体" w:hAnsi="宋体" w:eastAsia="宋体" w:cs="宋体"/>
          <w:color w:val="auto"/>
          <w:highlight w:val="none"/>
        </w:rPr>
      </w:pPr>
    </w:p>
    <w:p w14:paraId="453252CD">
      <w:pPr>
        <w:rPr>
          <w:rFonts w:hint="eastAsia" w:ascii="宋体" w:hAnsi="宋体" w:eastAsia="宋体" w:cs="宋体"/>
          <w:color w:val="auto"/>
          <w:highlight w:val="none"/>
        </w:rPr>
      </w:pPr>
    </w:p>
    <w:p w14:paraId="7E585CB5">
      <w:pPr>
        <w:rPr>
          <w:rFonts w:hint="eastAsia" w:ascii="宋体" w:hAnsi="宋体" w:eastAsia="宋体" w:cs="宋体"/>
          <w:color w:val="auto"/>
          <w:highlight w:val="none"/>
        </w:rPr>
      </w:pPr>
    </w:p>
    <w:p w14:paraId="7CD74693">
      <w:pPr>
        <w:rPr>
          <w:rFonts w:hint="eastAsia" w:ascii="宋体" w:hAnsi="宋体" w:eastAsia="宋体" w:cs="宋体"/>
          <w:color w:val="auto"/>
          <w:highlight w:val="none"/>
        </w:rPr>
      </w:pPr>
    </w:p>
    <w:p w14:paraId="1E170677">
      <w:pPr>
        <w:rPr>
          <w:rFonts w:hint="eastAsia" w:ascii="宋体" w:hAnsi="宋体" w:eastAsia="宋体" w:cs="宋体"/>
          <w:color w:val="auto"/>
          <w:highlight w:val="none"/>
        </w:rPr>
      </w:pPr>
    </w:p>
    <w:p w14:paraId="6D55A682">
      <w:pPr>
        <w:rPr>
          <w:rFonts w:hint="eastAsia" w:ascii="宋体" w:hAnsi="宋体" w:eastAsia="宋体" w:cs="宋体"/>
          <w:color w:val="auto"/>
          <w:highlight w:val="none"/>
        </w:rPr>
      </w:pPr>
    </w:p>
    <w:p w14:paraId="7B1B71CB">
      <w:pPr>
        <w:rPr>
          <w:rFonts w:hint="eastAsia" w:ascii="宋体" w:hAnsi="宋体" w:eastAsia="宋体" w:cs="宋体"/>
          <w:color w:val="auto"/>
          <w:highlight w:val="none"/>
        </w:rPr>
      </w:pPr>
    </w:p>
    <w:p w14:paraId="7DDF206F">
      <w:pPr>
        <w:rPr>
          <w:rFonts w:hint="eastAsia" w:ascii="宋体" w:hAnsi="宋体" w:eastAsia="宋体" w:cs="宋体"/>
          <w:color w:val="auto"/>
          <w:highlight w:val="none"/>
        </w:rPr>
      </w:pPr>
    </w:p>
    <w:p w14:paraId="07993914">
      <w:pPr>
        <w:rPr>
          <w:rFonts w:hint="eastAsia" w:ascii="宋体" w:hAnsi="宋体" w:eastAsia="宋体" w:cs="宋体"/>
          <w:color w:val="auto"/>
          <w:highlight w:val="none"/>
        </w:rPr>
      </w:pPr>
    </w:p>
    <w:p w14:paraId="5CC11AB8">
      <w:pPr>
        <w:rPr>
          <w:rFonts w:hint="eastAsia" w:ascii="宋体" w:hAnsi="宋体" w:eastAsia="宋体" w:cs="宋体"/>
          <w:color w:val="auto"/>
          <w:highlight w:val="none"/>
        </w:rPr>
      </w:pPr>
    </w:p>
    <w:p w14:paraId="19BFF187">
      <w:pPr>
        <w:rPr>
          <w:rFonts w:hint="eastAsia" w:ascii="宋体" w:hAnsi="宋体" w:eastAsia="宋体" w:cs="宋体"/>
          <w:color w:val="auto"/>
          <w:highlight w:val="none"/>
        </w:rPr>
      </w:pPr>
    </w:p>
    <w:p w14:paraId="6E802E06">
      <w:pPr>
        <w:rPr>
          <w:rFonts w:hint="eastAsia" w:ascii="宋体" w:hAnsi="宋体" w:eastAsia="宋体" w:cs="宋体"/>
          <w:color w:val="auto"/>
          <w:highlight w:val="none"/>
        </w:rPr>
      </w:pPr>
    </w:p>
    <w:p w14:paraId="3F762D3A">
      <w:pPr>
        <w:rPr>
          <w:rFonts w:hint="eastAsia" w:ascii="宋体" w:hAnsi="宋体" w:eastAsia="宋体" w:cs="宋体"/>
          <w:color w:val="auto"/>
          <w:highlight w:val="none"/>
        </w:rPr>
      </w:pPr>
    </w:p>
    <w:p w14:paraId="62F2D6BD">
      <w:pPr>
        <w:rPr>
          <w:rFonts w:hint="eastAsia" w:ascii="宋体" w:hAnsi="宋体" w:eastAsia="宋体" w:cs="宋体"/>
          <w:color w:val="auto"/>
          <w:highlight w:val="none"/>
        </w:rPr>
      </w:pPr>
    </w:p>
    <w:p w14:paraId="0FDC3766">
      <w:pPr>
        <w:rPr>
          <w:rFonts w:hint="eastAsia" w:ascii="宋体" w:hAnsi="宋体" w:eastAsia="宋体" w:cs="宋体"/>
          <w:color w:val="auto"/>
          <w:highlight w:val="none"/>
        </w:rPr>
      </w:pPr>
    </w:p>
    <w:p w14:paraId="612BA76B">
      <w:pPr>
        <w:rPr>
          <w:rFonts w:hint="eastAsia" w:ascii="宋体" w:hAnsi="宋体" w:eastAsia="宋体" w:cs="宋体"/>
          <w:color w:val="auto"/>
          <w:highlight w:val="none"/>
        </w:rPr>
      </w:pPr>
    </w:p>
    <w:p w14:paraId="386BFBA4">
      <w:pPr>
        <w:rPr>
          <w:rFonts w:hint="eastAsia" w:ascii="宋体" w:hAnsi="宋体" w:eastAsia="宋体" w:cs="宋体"/>
          <w:color w:val="auto"/>
          <w:highlight w:val="none"/>
        </w:rPr>
      </w:pPr>
    </w:p>
    <w:p w14:paraId="757AB770">
      <w:pPr>
        <w:rPr>
          <w:rFonts w:hint="eastAsia" w:ascii="宋体" w:hAnsi="宋体" w:eastAsia="宋体" w:cs="宋体"/>
          <w:color w:val="auto"/>
          <w:highlight w:val="none"/>
        </w:rPr>
      </w:pPr>
    </w:p>
    <w:p w14:paraId="1873AC17">
      <w:pPr>
        <w:pStyle w:val="3"/>
        <w:keepNext/>
        <w:keepLines w:val="0"/>
        <w:pageBreakBefore w:val="0"/>
        <w:widowControl w:val="0"/>
        <w:numPr>
          <w:ilvl w:val="0"/>
          <w:numId w:val="0"/>
        </w:numPr>
        <w:tabs>
          <w:tab w:val="left" w:pos="360"/>
          <w:tab w:val="clear" w:pos="1304"/>
        </w:tabs>
        <w:kinsoku/>
        <w:wordWrap/>
        <w:overflowPunct/>
        <w:topLinePunct w:val="0"/>
        <w:autoSpaceDE/>
        <w:autoSpaceDN/>
        <w:bidi w:val="0"/>
        <w:adjustRightInd w:val="0"/>
        <w:snapToGrid w:val="0"/>
        <w:spacing w:before="0"/>
        <w:ind w:left="0"/>
        <w:jc w:val="center"/>
        <w:textAlignment w:val="baseline"/>
        <w:rPr>
          <w:rFonts w:hint="eastAsia" w:ascii="宋体" w:hAnsi="宋体" w:eastAsia="宋体" w:cs="宋体"/>
          <w:color w:val="auto"/>
          <w:szCs w:val="28"/>
          <w:highlight w:val="none"/>
        </w:rPr>
      </w:pPr>
      <w:bookmarkStart w:id="269" w:name="_Toc115077036"/>
      <w:bookmarkStart w:id="270" w:name="_Toc8689660"/>
      <w:bookmarkStart w:id="271" w:name="_Toc8168216"/>
      <w:r>
        <w:rPr>
          <w:rFonts w:hint="eastAsia" w:ascii="宋体" w:hAnsi="宋体" w:eastAsia="宋体" w:cs="宋体"/>
          <w:color w:val="auto"/>
          <w:szCs w:val="28"/>
          <w:highlight w:val="none"/>
          <w:lang w:eastAsia="zh-CN"/>
        </w:rPr>
        <w:br w:type="page"/>
      </w:r>
      <w:bookmarkStart w:id="272" w:name="_Toc23372"/>
      <w:r>
        <w:rPr>
          <w:rFonts w:hint="eastAsia" w:ascii="宋体" w:hAnsi="宋体" w:eastAsia="宋体" w:cs="宋体"/>
          <w:color w:val="auto"/>
          <w:szCs w:val="28"/>
          <w:highlight w:val="none"/>
          <w:lang w:eastAsia="zh-CN"/>
        </w:rPr>
        <w:t>二</w:t>
      </w:r>
      <w:r>
        <w:rPr>
          <w:rFonts w:hint="eastAsia" w:ascii="宋体" w:hAnsi="宋体" w:eastAsia="宋体" w:cs="宋体"/>
          <w:color w:val="auto"/>
          <w:szCs w:val="28"/>
          <w:highlight w:val="none"/>
        </w:rPr>
        <w:t>、</w:t>
      </w:r>
      <w:r>
        <w:rPr>
          <w:rFonts w:hint="eastAsia" w:ascii="宋体" w:hAnsi="宋体" w:eastAsia="宋体" w:cs="宋体"/>
          <w:color w:val="auto"/>
          <w:szCs w:val="28"/>
          <w:highlight w:val="none"/>
          <w:lang w:eastAsia="zh-CN"/>
        </w:rPr>
        <w:t>报价</w:t>
      </w:r>
      <w:r>
        <w:rPr>
          <w:rFonts w:hint="eastAsia" w:ascii="宋体" w:hAnsi="宋体" w:eastAsia="宋体" w:cs="宋体"/>
          <w:color w:val="auto"/>
          <w:szCs w:val="28"/>
          <w:highlight w:val="none"/>
        </w:rPr>
        <w:t>部分格式</w:t>
      </w:r>
      <w:bookmarkEnd w:id="272"/>
    </w:p>
    <w:p w14:paraId="0868A25D">
      <w:pPr>
        <w:pStyle w:val="3"/>
        <w:numPr>
          <w:ilvl w:val="0"/>
          <w:numId w:val="0"/>
        </w:numPr>
        <w:tabs>
          <w:tab w:val="left" w:pos="360"/>
          <w:tab w:val="clear" w:pos="1304"/>
        </w:tabs>
        <w:spacing w:before="0"/>
        <w:ind w:left="425"/>
        <w:jc w:val="center"/>
        <w:rPr>
          <w:rFonts w:hint="eastAsia" w:ascii="宋体" w:hAnsi="宋体" w:eastAsia="宋体" w:cs="宋体"/>
          <w:color w:val="auto"/>
          <w:szCs w:val="28"/>
          <w:highlight w:val="none"/>
        </w:rPr>
      </w:pPr>
      <w:bookmarkStart w:id="273" w:name="_Toc13167"/>
      <w:r>
        <w:rPr>
          <w:rFonts w:hint="eastAsia" w:ascii="宋体" w:hAnsi="宋体" w:eastAsia="宋体" w:cs="宋体"/>
          <w:color w:val="auto"/>
          <w:szCs w:val="28"/>
          <w:highlight w:val="none"/>
        </w:rPr>
        <w:t>（一）磋商报价一览表</w:t>
      </w:r>
      <w:bookmarkEnd w:id="273"/>
    </w:p>
    <w:tbl>
      <w:tblPr>
        <w:tblStyle w:val="35"/>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3312"/>
        <w:gridCol w:w="5303"/>
      </w:tblGrid>
      <w:tr w14:paraId="20B2E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4" w:hRule="atLeast"/>
          <w:jc w:val="center"/>
        </w:trPr>
        <w:tc>
          <w:tcPr>
            <w:tcW w:w="763" w:type="dxa"/>
            <w:noWrap w:val="0"/>
            <w:vAlign w:val="center"/>
          </w:tcPr>
          <w:p w14:paraId="39697F67">
            <w:pPr>
              <w:jc w:val="center"/>
              <w:rPr>
                <w:rFonts w:hint="eastAsia" w:ascii="宋体" w:hAnsi="宋体" w:eastAsia="宋体" w:cs="宋体"/>
                <w:b/>
                <w:bCs/>
                <w:color w:val="auto"/>
                <w:kern w:val="1"/>
                <w:sz w:val="24"/>
                <w:szCs w:val="24"/>
                <w:highlight w:val="none"/>
                <w:lang w:eastAsia="zh-CN"/>
              </w:rPr>
            </w:pPr>
            <w:r>
              <w:rPr>
                <w:rFonts w:hint="eastAsia" w:ascii="宋体" w:hAnsi="宋体" w:eastAsia="宋体" w:cs="宋体"/>
                <w:b/>
                <w:bCs/>
                <w:color w:val="auto"/>
                <w:kern w:val="1"/>
                <w:sz w:val="24"/>
                <w:szCs w:val="24"/>
                <w:highlight w:val="none"/>
                <w:lang w:eastAsia="zh-CN"/>
              </w:rPr>
              <w:t>序号</w:t>
            </w:r>
          </w:p>
        </w:tc>
        <w:tc>
          <w:tcPr>
            <w:tcW w:w="3312" w:type="dxa"/>
            <w:noWrap w:val="0"/>
            <w:vAlign w:val="center"/>
          </w:tcPr>
          <w:p w14:paraId="54E8355D">
            <w:pPr>
              <w:jc w:val="center"/>
              <w:rPr>
                <w:rFonts w:hint="eastAsia" w:ascii="宋体" w:hAnsi="宋体" w:eastAsia="宋体" w:cs="宋体"/>
                <w:b/>
                <w:bCs/>
                <w:color w:val="auto"/>
                <w:kern w:val="1"/>
                <w:sz w:val="24"/>
                <w:szCs w:val="24"/>
                <w:highlight w:val="none"/>
              </w:rPr>
            </w:pPr>
            <w:r>
              <w:rPr>
                <w:rFonts w:hint="eastAsia" w:ascii="宋体" w:hAnsi="宋体" w:eastAsia="宋体" w:cs="宋体"/>
                <w:b/>
                <w:bCs/>
                <w:color w:val="auto"/>
                <w:kern w:val="1"/>
                <w:sz w:val="24"/>
                <w:szCs w:val="24"/>
                <w:highlight w:val="none"/>
              </w:rPr>
              <w:t>项目</w:t>
            </w:r>
          </w:p>
        </w:tc>
        <w:tc>
          <w:tcPr>
            <w:tcW w:w="5303" w:type="dxa"/>
            <w:noWrap w:val="0"/>
            <w:vAlign w:val="center"/>
          </w:tcPr>
          <w:p w14:paraId="0E756A25">
            <w:pPr>
              <w:jc w:val="center"/>
              <w:rPr>
                <w:rFonts w:hint="eastAsia" w:ascii="宋体" w:hAnsi="宋体" w:eastAsia="宋体" w:cs="宋体"/>
                <w:b/>
                <w:bCs/>
                <w:color w:val="auto"/>
                <w:kern w:val="1"/>
                <w:sz w:val="24"/>
                <w:szCs w:val="24"/>
                <w:highlight w:val="none"/>
              </w:rPr>
            </w:pPr>
            <w:r>
              <w:rPr>
                <w:rFonts w:hint="eastAsia" w:ascii="宋体" w:hAnsi="宋体" w:eastAsia="宋体" w:cs="宋体"/>
                <w:b/>
                <w:bCs/>
                <w:color w:val="auto"/>
                <w:kern w:val="1"/>
                <w:sz w:val="24"/>
                <w:szCs w:val="24"/>
                <w:highlight w:val="none"/>
              </w:rPr>
              <w:t>填报内容</w:t>
            </w:r>
          </w:p>
        </w:tc>
      </w:tr>
      <w:tr w14:paraId="7CBC4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jc w:val="center"/>
        </w:trPr>
        <w:tc>
          <w:tcPr>
            <w:tcW w:w="763" w:type="dxa"/>
            <w:noWrap w:val="0"/>
            <w:vAlign w:val="center"/>
          </w:tcPr>
          <w:p w14:paraId="1325B5DD">
            <w:pPr>
              <w:jc w:val="center"/>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1</w:t>
            </w:r>
          </w:p>
        </w:tc>
        <w:tc>
          <w:tcPr>
            <w:tcW w:w="3312" w:type="dxa"/>
            <w:noWrap w:val="0"/>
            <w:vAlign w:val="center"/>
          </w:tcPr>
          <w:p w14:paraId="483AC853">
            <w:pPr>
              <w:jc w:val="center"/>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磋商报价</w:t>
            </w:r>
          </w:p>
        </w:tc>
        <w:tc>
          <w:tcPr>
            <w:tcW w:w="5303" w:type="dxa"/>
            <w:noWrap w:val="0"/>
            <w:vAlign w:val="center"/>
          </w:tcPr>
          <w:p w14:paraId="364902B6">
            <w:pPr>
              <w:jc w:val="left"/>
              <w:rPr>
                <w:rFonts w:hint="eastAsia" w:ascii="宋体" w:hAnsi="宋体" w:eastAsia="宋体" w:cs="宋体"/>
                <w:color w:val="auto"/>
                <w:kern w:val="1"/>
                <w:sz w:val="24"/>
                <w:szCs w:val="24"/>
                <w:highlight w:val="none"/>
                <w:u w:val="none"/>
                <w:lang w:val="en-US" w:eastAsia="zh-CN"/>
              </w:rPr>
            </w:pPr>
            <w:r>
              <w:rPr>
                <w:rFonts w:hint="eastAsia" w:ascii="宋体" w:hAnsi="宋体" w:eastAsia="宋体" w:cs="宋体"/>
                <w:color w:val="auto"/>
                <w:kern w:val="1"/>
                <w:sz w:val="24"/>
                <w:szCs w:val="24"/>
                <w:highlight w:val="none"/>
                <w:u w:val="none"/>
                <w:lang w:val="en-US" w:eastAsia="zh-CN"/>
              </w:rPr>
              <w:t>小写：</w:t>
            </w:r>
          </w:p>
          <w:p w14:paraId="0FA19D94">
            <w:pPr>
              <w:jc w:val="left"/>
              <w:rPr>
                <w:rFonts w:hint="eastAsia" w:ascii="宋体" w:hAnsi="宋体" w:eastAsia="宋体" w:cs="宋体"/>
                <w:color w:val="auto"/>
                <w:kern w:val="1"/>
                <w:sz w:val="24"/>
                <w:szCs w:val="24"/>
                <w:highlight w:val="none"/>
                <w:lang w:val="en-US" w:eastAsia="zh-CN"/>
              </w:rPr>
            </w:pPr>
            <w:r>
              <w:rPr>
                <w:rFonts w:hint="eastAsia" w:ascii="宋体" w:hAnsi="宋体" w:eastAsia="宋体" w:cs="宋体"/>
                <w:color w:val="auto"/>
                <w:kern w:val="1"/>
                <w:sz w:val="24"/>
                <w:szCs w:val="24"/>
                <w:highlight w:val="none"/>
                <w:u w:val="none"/>
                <w:lang w:val="en-US" w:eastAsia="zh-CN"/>
              </w:rPr>
              <w:t>大写：</w:t>
            </w:r>
          </w:p>
        </w:tc>
      </w:tr>
      <w:tr w14:paraId="00199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jc w:val="center"/>
        </w:trPr>
        <w:tc>
          <w:tcPr>
            <w:tcW w:w="763" w:type="dxa"/>
            <w:noWrap w:val="0"/>
            <w:vAlign w:val="center"/>
          </w:tcPr>
          <w:p w14:paraId="7B241D46">
            <w:pPr>
              <w:jc w:val="center"/>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2</w:t>
            </w:r>
          </w:p>
        </w:tc>
        <w:tc>
          <w:tcPr>
            <w:tcW w:w="3312" w:type="dxa"/>
            <w:noWrap w:val="0"/>
            <w:vAlign w:val="center"/>
          </w:tcPr>
          <w:p w14:paraId="38525BB8">
            <w:pPr>
              <w:jc w:val="center"/>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合同履行期限</w:t>
            </w:r>
          </w:p>
        </w:tc>
        <w:tc>
          <w:tcPr>
            <w:tcW w:w="5303" w:type="dxa"/>
            <w:noWrap w:val="0"/>
            <w:vAlign w:val="center"/>
          </w:tcPr>
          <w:p w14:paraId="28526144">
            <w:pPr>
              <w:ind w:firstLine="720" w:firstLineChars="300"/>
              <w:jc w:val="center"/>
              <w:rPr>
                <w:rFonts w:hint="eastAsia" w:ascii="宋体" w:hAnsi="宋体" w:eastAsia="宋体" w:cs="宋体"/>
                <w:color w:val="auto"/>
                <w:kern w:val="1"/>
                <w:sz w:val="24"/>
                <w:szCs w:val="24"/>
                <w:highlight w:val="none"/>
              </w:rPr>
            </w:pPr>
          </w:p>
        </w:tc>
      </w:tr>
      <w:tr w14:paraId="3099E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jc w:val="center"/>
        </w:trPr>
        <w:tc>
          <w:tcPr>
            <w:tcW w:w="763" w:type="dxa"/>
            <w:noWrap w:val="0"/>
            <w:vAlign w:val="center"/>
          </w:tcPr>
          <w:p w14:paraId="52EDE745">
            <w:pPr>
              <w:jc w:val="center"/>
              <w:rPr>
                <w:rFonts w:hint="eastAsia" w:ascii="宋体" w:hAnsi="宋体" w:eastAsia="宋体" w:cs="宋体"/>
                <w:color w:val="auto"/>
                <w:kern w:val="1"/>
                <w:sz w:val="24"/>
                <w:szCs w:val="24"/>
                <w:highlight w:val="none"/>
                <w:lang w:val="en-US" w:eastAsia="zh-CN"/>
              </w:rPr>
            </w:pPr>
            <w:r>
              <w:rPr>
                <w:rFonts w:hint="eastAsia" w:ascii="宋体" w:hAnsi="宋体" w:eastAsia="宋体" w:cs="宋体"/>
                <w:color w:val="auto"/>
                <w:kern w:val="1"/>
                <w:sz w:val="24"/>
                <w:szCs w:val="24"/>
                <w:highlight w:val="none"/>
                <w:lang w:val="en-US" w:eastAsia="zh-CN"/>
              </w:rPr>
              <w:t>3</w:t>
            </w:r>
          </w:p>
        </w:tc>
        <w:tc>
          <w:tcPr>
            <w:tcW w:w="3312" w:type="dxa"/>
            <w:noWrap w:val="0"/>
            <w:vAlign w:val="center"/>
          </w:tcPr>
          <w:p w14:paraId="63AF68E1">
            <w:pPr>
              <w:jc w:val="center"/>
              <w:rPr>
                <w:rFonts w:hint="eastAsia" w:ascii="宋体" w:hAnsi="宋体" w:eastAsia="宋体" w:cs="宋体"/>
                <w:color w:val="auto"/>
                <w:kern w:val="1"/>
                <w:sz w:val="24"/>
                <w:szCs w:val="24"/>
                <w:highlight w:val="none"/>
                <w:lang w:val="en-US" w:eastAsia="zh-CN"/>
              </w:rPr>
            </w:pPr>
            <w:r>
              <w:rPr>
                <w:rFonts w:hint="eastAsia" w:ascii="宋体" w:hAnsi="宋体" w:eastAsia="宋体" w:cs="宋体"/>
                <w:color w:val="auto"/>
                <w:kern w:val="1"/>
                <w:sz w:val="24"/>
                <w:szCs w:val="24"/>
                <w:highlight w:val="none"/>
                <w:lang w:val="en-US" w:eastAsia="zh-CN"/>
              </w:rPr>
              <w:t>服务质量标准</w:t>
            </w:r>
          </w:p>
        </w:tc>
        <w:tc>
          <w:tcPr>
            <w:tcW w:w="5303" w:type="dxa"/>
            <w:noWrap w:val="0"/>
            <w:vAlign w:val="center"/>
          </w:tcPr>
          <w:p w14:paraId="4BD372BF">
            <w:pPr>
              <w:ind w:firstLine="720" w:firstLineChars="300"/>
              <w:jc w:val="center"/>
              <w:rPr>
                <w:rFonts w:hint="eastAsia" w:ascii="宋体" w:hAnsi="宋体" w:eastAsia="宋体" w:cs="宋体"/>
                <w:color w:val="auto"/>
                <w:kern w:val="1"/>
                <w:sz w:val="24"/>
                <w:szCs w:val="24"/>
                <w:highlight w:val="none"/>
              </w:rPr>
            </w:pPr>
          </w:p>
        </w:tc>
      </w:tr>
      <w:tr w14:paraId="3D427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jc w:val="center"/>
        </w:trPr>
        <w:tc>
          <w:tcPr>
            <w:tcW w:w="763" w:type="dxa"/>
            <w:noWrap w:val="0"/>
            <w:vAlign w:val="center"/>
          </w:tcPr>
          <w:p w14:paraId="54B8BB27">
            <w:pPr>
              <w:jc w:val="center"/>
              <w:rPr>
                <w:rFonts w:hint="eastAsia" w:ascii="宋体" w:hAnsi="宋体" w:eastAsia="宋体" w:cs="宋体"/>
                <w:color w:val="auto"/>
                <w:kern w:val="1"/>
                <w:sz w:val="24"/>
                <w:szCs w:val="24"/>
                <w:highlight w:val="none"/>
                <w:lang w:eastAsia="zh-CN"/>
              </w:rPr>
            </w:pPr>
            <w:r>
              <w:rPr>
                <w:rFonts w:hint="eastAsia" w:ascii="宋体" w:hAnsi="宋体" w:eastAsia="宋体" w:cs="宋体"/>
                <w:color w:val="auto"/>
                <w:kern w:val="1"/>
                <w:sz w:val="24"/>
                <w:szCs w:val="24"/>
                <w:highlight w:val="none"/>
                <w:lang w:val="en-US" w:eastAsia="zh-CN"/>
              </w:rPr>
              <w:t>4</w:t>
            </w:r>
          </w:p>
        </w:tc>
        <w:tc>
          <w:tcPr>
            <w:tcW w:w="3312" w:type="dxa"/>
            <w:noWrap w:val="0"/>
            <w:vAlign w:val="center"/>
          </w:tcPr>
          <w:p w14:paraId="6E193E28">
            <w:pPr>
              <w:jc w:val="center"/>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服务地点</w:t>
            </w:r>
          </w:p>
        </w:tc>
        <w:tc>
          <w:tcPr>
            <w:tcW w:w="5303" w:type="dxa"/>
            <w:noWrap w:val="0"/>
            <w:vAlign w:val="center"/>
          </w:tcPr>
          <w:p w14:paraId="570D1A47">
            <w:pPr>
              <w:ind w:firstLine="720" w:firstLineChars="300"/>
              <w:jc w:val="center"/>
              <w:rPr>
                <w:rFonts w:hint="eastAsia" w:ascii="宋体" w:hAnsi="宋体" w:eastAsia="宋体" w:cs="宋体"/>
                <w:color w:val="auto"/>
                <w:kern w:val="1"/>
                <w:sz w:val="24"/>
                <w:szCs w:val="24"/>
                <w:highlight w:val="none"/>
              </w:rPr>
            </w:pPr>
          </w:p>
        </w:tc>
      </w:tr>
      <w:tr w14:paraId="7888E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2" w:hRule="atLeast"/>
          <w:jc w:val="center"/>
        </w:trPr>
        <w:tc>
          <w:tcPr>
            <w:tcW w:w="763" w:type="dxa"/>
            <w:noWrap w:val="0"/>
            <w:vAlign w:val="center"/>
          </w:tcPr>
          <w:p w14:paraId="509CC1E8">
            <w:pPr>
              <w:jc w:val="center"/>
              <w:rPr>
                <w:rFonts w:hint="eastAsia" w:ascii="宋体" w:hAnsi="宋体" w:eastAsia="宋体" w:cs="宋体"/>
                <w:color w:val="auto"/>
                <w:kern w:val="1"/>
                <w:sz w:val="24"/>
                <w:szCs w:val="24"/>
                <w:highlight w:val="none"/>
                <w:lang w:eastAsia="zh-CN"/>
              </w:rPr>
            </w:pPr>
            <w:r>
              <w:rPr>
                <w:rFonts w:hint="eastAsia" w:ascii="宋体" w:hAnsi="宋体" w:eastAsia="宋体" w:cs="宋体"/>
                <w:color w:val="auto"/>
                <w:kern w:val="1"/>
                <w:sz w:val="24"/>
                <w:szCs w:val="24"/>
                <w:highlight w:val="none"/>
                <w:lang w:val="en-US" w:eastAsia="zh-CN"/>
              </w:rPr>
              <w:t>5</w:t>
            </w:r>
          </w:p>
        </w:tc>
        <w:tc>
          <w:tcPr>
            <w:tcW w:w="3312" w:type="dxa"/>
            <w:noWrap w:val="0"/>
            <w:vAlign w:val="center"/>
          </w:tcPr>
          <w:p w14:paraId="132F414F">
            <w:pPr>
              <w:jc w:val="center"/>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备注</w:t>
            </w:r>
          </w:p>
        </w:tc>
        <w:tc>
          <w:tcPr>
            <w:tcW w:w="5303" w:type="dxa"/>
            <w:noWrap w:val="0"/>
            <w:vAlign w:val="center"/>
          </w:tcPr>
          <w:p w14:paraId="25821E09">
            <w:pPr>
              <w:ind w:firstLine="720" w:firstLineChars="300"/>
              <w:jc w:val="center"/>
              <w:rPr>
                <w:rFonts w:hint="eastAsia" w:ascii="宋体" w:hAnsi="宋体" w:eastAsia="宋体" w:cs="宋体"/>
                <w:color w:val="auto"/>
                <w:kern w:val="1"/>
                <w:sz w:val="24"/>
                <w:szCs w:val="24"/>
                <w:highlight w:val="none"/>
              </w:rPr>
            </w:pPr>
          </w:p>
        </w:tc>
      </w:tr>
    </w:tbl>
    <w:p w14:paraId="457B334C">
      <w:pPr>
        <w:spacing w:line="360" w:lineRule="auto"/>
        <w:ind w:firstLine="964" w:firstLineChars="400"/>
        <w:rPr>
          <w:rFonts w:hint="eastAsia" w:ascii="宋体" w:hAnsi="宋体" w:eastAsia="宋体" w:cs="宋体"/>
          <w:b/>
          <w:bCs/>
          <w:color w:val="auto"/>
          <w:kern w:val="1"/>
          <w:sz w:val="24"/>
          <w:highlight w:val="none"/>
        </w:rPr>
      </w:pPr>
      <w:r>
        <w:rPr>
          <w:rFonts w:hint="eastAsia" w:ascii="宋体" w:hAnsi="宋体" w:eastAsia="宋体" w:cs="宋体"/>
          <w:b/>
          <w:bCs/>
          <w:color w:val="auto"/>
          <w:kern w:val="1"/>
          <w:sz w:val="24"/>
          <w:highlight w:val="none"/>
        </w:rPr>
        <w:t>注：报价应综合考虑</w:t>
      </w:r>
      <w:r>
        <w:rPr>
          <w:rFonts w:hint="eastAsia" w:ascii="宋体" w:hAnsi="宋体" w:eastAsia="宋体" w:cs="宋体"/>
          <w:b/>
          <w:bCs/>
          <w:color w:val="auto"/>
          <w:kern w:val="1"/>
          <w:sz w:val="24"/>
          <w:highlight w:val="none"/>
          <w:lang w:eastAsia="zh-CN"/>
        </w:rPr>
        <w:t>项目</w:t>
      </w:r>
      <w:r>
        <w:rPr>
          <w:rFonts w:hint="eastAsia" w:ascii="宋体" w:hAnsi="宋体" w:eastAsia="宋体" w:cs="宋体"/>
          <w:b/>
          <w:bCs/>
          <w:color w:val="auto"/>
          <w:kern w:val="1"/>
          <w:sz w:val="24"/>
          <w:highlight w:val="none"/>
        </w:rPr>
        <w:t>实施和完成合同所需人员工资、设备费、加班费、保险、管理费、利润及税金等全部费用。</w:t>
      </w:r>
    </w:p>
    <w:p w14:paraId="37CB86AD">
      <w:pPr>
        <w:spacing w:line="360" w:lineRule="auto"/>
        <w:ind w:firstLine="3840" w:firstLineChars="1600"/>
        <w:rPr>
          <w:rFonts w:hint="eastAsia" w:ascii="宋体" w:hAnsi="宋体" w:eastAsia="宋体" w:cs="宋体"/>
          <w:color w:val="auto"/>
          <w:kern w:val="1"/>
          <w:sz w:val="24"/>
          <w:highlight w:val="none"/>
        </w:rPr>
      </w:pPr>
    </w:p>
    <w:p w14:paraId="6DEC46FC">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p>
    <w:p w14:paraId="5734066F">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p>
    <w:p w14:paraId="1A265340">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供应商全称：_________________________________（盖单位章）</w:t>
      </w:r>
    </w:p>
    <w:p w14:paraId="049441A8">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法定代表人（负责人）或其委托代理人：_______（签字或盖章）</w:t>
      </w:r>
    </w:p>
    <w:p w14:paraId="4320F472">
      <w:pPr>
        <w:adjustRightInd w:val="0"/>
        <w:snapToGrid w:val="0"/>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日    期：_________年______月______日</w:t>
      </w:r>
    </w:p>
    <w:p w14:paraId="50EDEAB0">
      <w:pPr>
        <w:pStyle w:val="3"/>
        <w:numPr>
          <w:ilvl w:val="0"/>
          <w:numId w:val="0"/>
        </w:numPr>
        <w:tabs>
          <w:tab w:val="left" w:pos="360"/>
          <w:tab w:val="clear" w:pos="1304"/>
        </w:tabs>
        <w:spacing w:before="0"/>
        <w:ind w:left="425"/>
        <w:jc w:val="center"/>
        <w:rPr>
          <w:rFonts w:hint="eastAsia" w:ascii="宋体" w:hAnsi="宋体" w:eastAsia="宋体" w:cs="宋体"/>
          <w:color w:val="auto"/>
          <w:szCs w:val="28"/>
          <w:highlight w:val="none"/>
        </w:rPr>
      </w:pPr>
      <w:r>
        <w:rPr>
          <w:rFonts w:hint="eastAsia" w:ascii="宋体" w:hAnsi="宋体" w:eastAsia="宋体" w:cs="宋体"/>
          <w:color w:val="auto"/>
          <w:szCs w:val="28"/>
          <w:highlight w:val="none"/>
          <w:lang w:eastAsia="zh-CN"/>
        </w:rPr>
        <w:br w:type="page"/>
      </w:r>
      <w:bookmarkStart w:id="274" w:name="_Toc29830"/>
      <w:r>
        <w:rPr>
          <w:rFonts w:hint="eastAsia" w:ascii="宋体" w:hAnsi="宋体" w:eastAsia="宋体" w:cs="宋体"/>
          <w:color w:val="auto"/>
          <w:szCs w:val="28"/>
          <w:highlight w:val="none"/>
          <w:lang w:eastAsia="zh-CN"/>
        </w:rPr>
        <w:t>三、商务技术部分格式</w:t>
      </w:r>
      <w:bookmarkEnd w:id="269"/>
      <w:bookmarkEnd w:id="270"/>
      <w:bookmarkEnd w:id="271"/>
      <w:bookmarkEnd w:id="274"/>
    </w:p>
    <w:p w14:paraId="33784421">
      <w:pPr>
        <w:pStyle w:val="3"/>
        <w:numPr>
          <w:ilvl w:val="0"/>
          <w:numId w:val="0"/>
        </w:numPr>
        <w:tabs>
          <w:tab w:val="left" w:pos="360"/>
          <w:tab w:val="clear" w:pos="1304"/>
        </w:tabs>
        <w:spacing w:before="0"/>
        <w:ind w:left="425"/>
        <w:jc w:val="center"/>
        <w:rPr>
          <w:rFonts w:hint="eastAsia" w:ascii="宋体" w:hAnsi="宋体" w:eastAsia="宋体" w:cs="宋体"/>
          <w:color w:val="auto"/>
          <w:szCs w:val="28"/>
          <w:highlight w:val="none"/>
        </w:rPr>
      </w:pPr>
      <w:bookmarkStart w:id="275" w:name="_Toc16366"/>
      <w:bookmarkStart w:id="276" w:name="_Toc115077042"/>
      <w:bookmarkStart w:id="277" w:name="_Toc23426734"/>
      <w:r>
        <w:rPr>
          <w:rFonts w:hint="eastAsia" w:ascii="宋体" w:hAnsi="宋体" w:eastAsia="宋体" w:cs="宋体"/>
          <w:color w:val="auto"/>
          <w:szCs w:val="28"/>
          <w:highlight w:val="none"/>
        </w:rPr>
        <w:t>（</w:t>
      </w:r>
      <w:r>
        <w:rPr>
          <w:rFonts w:hint="eastAsia" w:ascii="宋体" w:hAnsi="宋体" w:eastAsia="宋体" w:cs="宋体"/>
          <w:color w:val="auto"/>
          <w:szCs w:val="28"/>
          <w:highlight w:val="none"/>
          <w:lang w:eastAsia="zh-CN"/>
        </w:rPr>
        <w:t>一</w:t>
      </w:r>
      <w:r>
        <w:rPr>
          <w:rFonts w:hint="eastAsia" w:ascii="宋体" w:hAnsi="宋体" w:eastAsia="宋体" w:cs="宋体"/>
          <w:color w:val="auto"/>
          <w:szCs w:val="28"/>
          <w:highlight w:val="none"/>
        </w:rPr>
        <w:t>）磋商申请函</w:t>
      </w:r>
      <w:bookmarkEnd w:id="275"/>
    </w:p>
    <w:p w14:paraId="6E47EC45">
      <w:pPr>
        <w:spacing w:line="360" w:lineRule="auto"/>
        <w:rPr>
          <w:rFonts w:hint="eastAsia" w:ascii="宋体" w:hAnsi="宋体" w:eastAsia="宋体" w:cs="宋体"/>
          <w:b/>
          <w:bCs/>
          <w:color w:val="auto"/>
          <w:sz w:val="24"/>
          <w:highlight w:val="none"/>
          <w:u w:val="single"/>
          <w:lang w:eastAsia="zh-CN"/>
        </w:rPr>
      </w:pPr>
      <w:r>
        <w:rPr>
          <w:rFonts w:hint="eastAsia" w:ascii="宋体" w:hAnsi="宋体" w:eastAsia="宋体" w:cs="宋体"/>
          <w:b/>
          <w:bCs/>
          <w:color w:val="auto"/>
          <w:sz w:val="24"/>
          <w:highlight w:val="none"/>
        </w:rPr>
        <w:t>致：</w:t>
      </w:r>
      <w:r>
        <w:rPr>
          <w:rFonts w:hint="eastAsia" w:ascii="宋体" w:hAnsi="宋体" w:eastAsia="宋体" w:cs="宋体"/>
          <w:b/>
          <w:bCs/>
          <w:color w:val="auto"/>
          <w:sz w:val="24"/>
          <w:highlight w:val="none"/>
          <w:lang w:eastAsia="zh-CN"/>
        </w:rPr>
        <w:t>福贡县农业农村局</w:t>
      </w:r>
    </w:p>
    <w:p w14:paraId="77A51265">
      <w:pPr>
        <w:spacing w:line="360" w:lineRule="auto"/>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1.根据你方项目为</w:t>
      </w:r>
      <w:r>
        <w:rPr>
          <w:rFonts w:hint="eastAsia" w:ascii="宋体" w:hAnsi="宋体" w:eastAsia="宋体" w:cs="宋体"/>
          <w:color w:val="auto"/>
          <w:sz w:val="24"/>
          <w:highlight w:val="none"/>
          <w:u w:val="single"/>
          <w:lang w:val="en-US" w:eastAsia="zh-CN"/>
        </w:rPr>
        <w:t xml:space="preserve"> </w:t>
      </w:r>
      <w:r>
        <w:rPr>
          <w:rFonts w:hint="eastAsia" w:ascii="宋体" w:hAnsi="宋体" w:cs="宋体"/>
          <w:b/>
          <w:bCs/>
          <w:color w:val="auto"/>
          <w:sz w:val="24"/>
          <w:szCs w:val="24"/>
          <w:highlight w:val="none"/>
          <w:u w:val="single"/>
          <w:lang w:eastAsia="zh-CN"/>
        </w:rPr>
        <w:t>福贡县2025年高素质农民培育项目（二次）</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b/>
          <w:bCs/>
          <w:color w:val="auto"/>
          <w:sz w:val="24"/>
          <w:szCs w:val="24"/>
          <w:highlight w:val="none"/>
          <w:u w:val="single"/>
        </w:rPr>
        <w:t>项目编号：</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color w:val="auto"/>
          <w:sz w:val="24"/>
          <w:highlight w:val="none"/>
        </w:rPr>
        <w:t>的竞争性磋商文件，遵照《中华人民共和国政府采购法》等有关规定，经研究上述竞争性磋商文件的磋商须知、合同条款、服务标准及其他有关文件资料后，我方愿以最后报价为我们的磋商报价，并按竞争性磋商文件的规定、合同条款的要求和我方项目文件的承诺履行合同责任和义务，保证按合同约定完成本项目全部工作。</w:t>
      </w:r>
    </w:p>
    <w:p w14:paraId="4D2D34F7">
      <w:pPr>
        <w:spacing w:line="360" w:lineRule="auto"/>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2.我方承诺我们的磋商报价不低于我们自身的成本。</w:t>
      </w:r>
    </w:p>
    <w:p w14:paraId="12691DA0">
      <w:pPr>
        <w:spacing w:line="360" w:lineRule="auto"/>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3.我方已详细审核全部竞争性磋商文件，包括修改文件（如有时）及有关附件。</w:t>
      </w:r>
    </w:p>
    <w:p w14:paraId="6381AC50">
      <w:pPr>
        <w:spacing w:line="360" w:lineRule="auto"/>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4.我方同意所提交的响应文件在竞争性磋商文件的磋商须知中规定的磋商有效期内有效，在此期间内如果成交，我方将受此约束。</w:t>
      </w:r>
    </w:p>
    <w:p w14:paraId="25247C19">
      <w:pPr>
        <w:spacing w:line="360" w:lineRule="auto"/>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5.除非另外达成协议并生效，你方的成交通知书和本响应文件将成为约束双方的合同文件的组成部分。</w:t>
      </w:r>
    </w:p>
    <w:p w14:paraId="163B05E5">
      <w:pPr>
        <w:spacing w:line="360" w:lineRule="auto"/>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6.若我方成为承包人后，我方在项目实施过程中出现违反国家法律、法规、合同约定等情况，采购人可依据相关规定解除合同。</w:t>
      </w:r>
    </w:p>
    <w:p w14:paraId="5237194A">
      <w:pPr>
        <w:spacing w:line="360" w:lineRule="auto"/>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7.如果我方成交，将按竞争性磋商文件的规定时间签订合同。</w:t>
      </w:r>
    </w:p>
    <w:p w14:paraId="3CD42680">
      <w:pPr>
        <w:spacing w:line="360" w:lineRule="auto"/>
        <w:ind w:firstLine="424" w:firstLineChars="202"/>
        <w:rPr>
          <w:rFonts w:hint="eastAsia" w:ascii="宋体" w:hAnsi="宋体" w:eastAsia="宋体" w:cs="宋体"/>
          <w:color w:val="auto"/>
          <w:szCs w:val="21"/>
          <w:highlight w:val="none"/>
        </w:rPr>
      </w:pPr>
    </w:p>
    <w:p w14:paraId="34D9C855">
      <w:pPr>
        <w:spacing w:line="360" w:lineRule="auto"/>
        <w:ind w:firstLine="424" w:firstLineChars="202"/>
        <w:rPr>
          <w:rFonts w:hint="eastAsia" w:ascii="宋体" w:hAnsi="宋体" w:eastAsia="宋体" w:cs="宋体"/>
          <w:color w:val="auto"/>
          <w:szCs w:val="21"/>
          <w:highlight w:val="none"/>
        </w:rPr>
      </w:pPr>
    </w:p>
    <w:p w14:paraId="327B3751">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p>
    <w:p w14:paraId="4A0AB78E">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供应商全称：_________________________________（盖单位章）</w:t>
      </w:r>
    </w:p>
    <w:p w14:paraId="4FCE6108">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法定代表人（负责人）或其委托代理人：_______（签字或盖章）</w:t>
      </w:r>
    </w:p>
    <w:p w14:paraId="34404D19">
      <w:pPr>
        <w:adjustRightInd w:val="0"/>
        <w:snapToGrid w:val="0"/>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日    期：_________年______月______日</w:t>
      </w:r>
    </w:p>
    <w:p w14:paraId="6D1F07AC">
      <w:pPr>
        <w:pStyle w:val="3"/>
        <w:numPr>
          <w:ilvl w:val="0"/>
          <w:numId w:val="0"/>
        </w:numPr>
        <w:ind w:left="284" w:hanging="284"/>
        <w:jc w:val="center"/>
        <w:rPr>
          <w:rFonts w:hint="eastAsia" w:ascii="宋体" w:hAnsi="宋体" w:eastAsia="宋体" w:cs="宋体"/>
          <w:color w:val="auto"/>
          <w:szCs w:val="28"/>
          <w:highlight w:val="none"/>
          <w:lang w:val="en-US" w:eastAsia="zh-CN"/>
        </w:rPr>
      </w:pPr>
      <w:r>
        <w:rPr>
          <w:rFonts w:hint="eastAsia" w:ascii="宋体" w:hAnsi="宋体" w:eastAsia="宋体" w:cs="宋体"/>
          <w:color w:val="auto"/>
          <w:szCs w:val="28"/>
          <w:highlight w:val="none"/>
          <w:lang w:val="en-US" w:eastAsia="zh-CN"/>
        </w:rPr>
        <w:br w:type="page"/>
      </w:r>
      <w:bookmarkStart w:id="278" w:name="_Toc12317"/>
      <w:r>
        <w:rPr>
          <w:rFonts w:hint="eastAsia" w:ascii="宋体" w:hAnsi="宋体" w:eastAsia="宋体" w:cs="宋体"/>
          <w:color w:val="auto"/>
          <w:szCs w:val="28"/>
          <w:highlight w:val="none"/>
          <w:lang w:val="en-US" w:eastAsia="zh-CN"/>
        </w:rPr>
        <w:t>（二）磋商保证金</w:t>
      </w:r>
      <w:bookmarkEnd w:id="278"/>
    </w:p>
    <w:p w14:paraId="5BD6F17D">
      <w:pPr>
        <w:adjustRightInd w:val="0"/>
        <w:snapToGrid w:val="0"/>
        <w:spacing w:line="360" w:lineRule="auto"/>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致：</w:t>
      </w:r>
      <w:r>
        <w:rPr>
          <w:rFonts w:hint="eastAsia" w:ascii="宋体" w:hAnsi="宋体" w:eastAsia="宋体" w:cs="宋体"/>
          <w:b/>
          <w:bCs/>
          <w:color w:val="auto"/>
          <w:sz w:val="24"/>
          <w:highlight w:val="none"/>
          <w:lang w:eastAsia="zh-CN"/>
        </w:rPr>
        <w:t>福贡县农业农村局</w:t>
      </w:r>
    </w:p>
    <w:p w14:paraId="5E0DFF6C">
      <w:pPr>
        <w:adjustRightInd w:val="0"/>
        <w:snapToGrid w:val="0"/>
        <w:spacing w:line="360" w:lineRule="auto"/>
        <w:rPr>
          <w:rFonts w:hint="eastAsia" w:ascii="宋体" w:hAnsi="宋体" w:eastAsia="宋体" w:cs="宋体"/>
          <w:color w:val="auto"/>
          <w:sz w:val="24"/>
          <w:highlight w:val="none"/>
          <w:u w:val="single"/>
        </w:rPr>
      </w:pPr>
    </w:p>
    <w:p w14:paraId="6621D0C5">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我</w:t>
      </w:r>
      <w:r>
        <w:rPr>
          <w:rFonts w:hint="eastAsia" w:ascii="宋体" w:hAnsi="宋体" w:eastAsia="宋体" w:cs="宋体"/>
          <w:color w:val="auto"/>
          <w:sz w:val="24"/>
          <w:highlight w:val="none"/>
          <w:lang w:val="en-US" w:eastAsia="zh-CN"/>
        </w:rPr>
        <w:t>公司</w:t>
      </w:r>
      <w:r>
        <w:rPr>
          <w:rFonts w:hint="eastAsia" w:ascii="宋体" w:hAnsi="宋体" w:eastAsia="宋体" w:cs="宋体"/>
          <w:color w:val="auto"/>
          <w:sz w:val="24"/>
          <w:highlight w:val="none"/>
        </w:rPr>
        <w:t>自愿参加</w:t>
      </w:r>
      <w:r>
        <w:rPr>
          <w:rFonts w:hint="eastAsia" w:ascii="宋体" w:hAnsi="宋体" w:eastAsia="宋体" w:cs="宋体"/>
          <w:color w:val="auto"/>
          <w:sz w:val="24"/>
          <w:highlight w:val="none"/>
          <w:u w:val="single"/>
          <w:lang w:val="en-US" w:eastAsia="zh-CN"/>
        </w:rPr>
        <w:t xml:space="preserve"> </w:t>
      </w:r>
      <w:r>
        <w:rPr>
          <w:rFonts w:hint="eastAsia" w:ascii="宋体" w:hAnsi="宋体" w:cs="宋体"/>
          <w:b/>
          <w:bCs/>
          <w:color w:val="auto"/>
          <w:sz w:val="24"/>
          <w:szCs w:val="24"/>
          <w:highlight w:val="none"/>
          <w:u w:val="single"/>
          <w:lang w:eastAsia="zh-CN"/>
        </w:rPr>
        <w:t>福贡县2025年高素质农民培育项目（二次）</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b/>
          <w:bCs/>
          <w:color w:val="auto"/>
          <w:sz w:val="24"/>
          <w:szCs w:val="24"/>
          <w:highlight w:val="none"/>
          <w:u w:val="single"/>
        </w:rPr>
        <w:t>项目编号：</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color w:val="auto"/>
          <w:sz w:val="24"/>
          <w:highlight w:val="none"/>
        </w:rPr>
        <w:t>的竞争性磋商，并按磋商文件要求缴纳磋商保证金，金额为人民币（大写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p>
    <w:p w14:paraId="743662BC">
      <w:pPr>
        <w:adjustRightInd w:val="0"/>
        <w:snapToGrid w:val="0"/>
        <w:spacing w:line="360" w:lineRule="auto"/>
        <w:rPr>
          <w:rFonts w:hint="eastAsia" w:ascii="宋体" w:hAnsi="宋体" w:eastAsia="宋体" w:cs="宋体"/>
          <w:color w:val="auto"/>
          <w:sz w:val="24"/>
          <w:highlight w:val="none"/>
        </w:rPr>
      </w:pP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0"/>
      </w:tblGrid>
      <w:tr w14:paraId="138CD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6" w:hRule="atLeast"/>
        </w:trPr>
        <w:tc>
          <w:tcPr>
            <w:tcW w:w="9570" w:type="dxa"/>
            <w:noWrap w:val="0"/>
            <w:vAlign w:val="top"/>
          </w:tcPr>
          <w:p w14:paraId="33A92BC4">
            <w:pPr>
              <w:adjustRightInd w:val="0"/>
              <w:snapToGrid w:val="0"/>
              <w:spacing w:line="360" w:lineRule="auto"/>
              <w:ind w:firstLine="480" w:firstLineChars="200"/>
              <w:rPr>
                <w:rFonts w:hint="eastAsia" w:ascii="宋体" w:hAnsi="宋体" w:eastAsia="宋体" w:cs="宋体"/>
                <w:color w:val="auto"/>
                <w:sz w:val="24"/>
                <w:highlight w:val="none"/>
              </w:rPr>
            </w:pPr>
          </w:p>
          <w:p w14:paraId="0D177BC3">
            <w:pPr>
              <w:adjustRightInd w:val="0"/>
              <w:snapToGrid w:val="0"/>
              <w:spacing w:line="360" w:lineRule="auto"/>
              <w:ind w:firstLine="480" w:firstLineChars="200"/>
              <w:rPr>
                <w:rFonts w:hint="eastAsia" w:ascii="宋体" w:hAnsi="宋体" w:eastAsia="宋体" w:cs="宋体"/>
                <w:color w:val="auto"/>
                <w:sz w:val="24"/>
                <w:highlight w:val="none"/>
              </w:rPr>
            </w:pPr>
          </w:p>
          <w:p w14:paraId="43CCEB83">
            <w:pPr>
              <w:adjustRightInd w:val="0"/>
              <w:snapToGrid w:val="0"/>
              <w:spacing w:line="360" w:lineRule="auto"/>
              <w:ind w:firstLine="480" w:firstLineChars="200"/>
              <w:rPr>
                <w:rFonts w:hint="eastAsia" w:ascii="宋体" w:hAnsi="宋体" w:eastAsia="宋体" w:cs="宋体"/>
                <w:color w:val="auto"/>
                <w:sz w:val="24"/>
                <w:highlight w:val="none"/>
              </w:rPr>
            </w:pPr>
          </w:p>
          <w:p w14:paraId="7D0763B3">
            <w:pPr>
              <w:adjustRightInd w:val="0"/>
              <w:snapToGrid w:val="0"/>
              <w:spacing w:line="360" w:lineRule="auto"/>
              <w:ind w:firstLine="480" w:firstLineChars="200"/>
              <w:rPr>
                <w:rFonts w:hint="eastAsia" w:ascii="宋体" w:hAnsi="宋体" w:eastAsia="宋体" w:cs="宋体"/>
                <w:color w:val="auto"/>
                <w:sz w:val="24"/>
                <w:highlight w:val="none"/>
              </w:rPr>
            </w:pPr>
          </w:p>
          <w:p w14:paraId="4BD60A4A">
            <w:pPr>
              <w:adjustRightInd w:val="0"/>
              <w:snapToGrid w:val="0"/>
              <w:spacing w:line="360" w:lineRule="auto"/>
              <w:ind w:firstLine="480" w:firstLineChars="200"/>
              <w:rPr>
                <w:rFonts w:hint="eastAsia" w:ascii="宋体" w:hAnsi="宋体" w:eastAsia="宋体" w:cs="宋体"/>
                <w:color w:val="auto"/>
                <w:sz w:val="24"/>
                <w:highlight w:val="none"/>
              </w:rPr>
            </w:pPr>
          </w:p>
          <w:p w14:paraId="3C7CFE9F">
            <w:pPr>
              <w:adjustRightInd w:val="0"/>
              <w:snapToGrid w:val="0"/>
              <w:spacing w:line="360" w:lineRule="auto"/>
              <w:ind w:firstLine="480" w:firstLineChars="200"/>
              <w:jc w:val="center"/>
              <w:rPr>
                <w:rFonts w:hint="eastAsia" w:ascii="宋体" w:hAnsi="宋体" w:eastAsia="宋体" w:cs="宋体"/>
                <w:color w:val="auto"/>
                <w:sz w:val="24"/>
                <w:highlight w:val="none"/>
              </w:rPr>
            </w:pPr>
          </w:p>
          <w:p w14:paraId="5D029F24">
            <w:pPr>
              <w:adjustRightInd w:val="0"/>
              <w:snapToGrid w:val="0"/>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附：磋商保证金缴纳凭证原件扫描件</w:t>
            </w:r>
          </w:p>
          <w:p w14:paraId="3F4D0A39">
            <w:pPr>
              <w:pStyle w:val="54"/>
              <w:rPr>
                <w:rFonts w:hint="eastAsia" w:ascii="宋体" w:hAnsi="宋体" w:eastAsia="宋体" w:cs="宋体"/>
                <w:color w:val="auto"/>
                <w:highlight w:val="none"/>
              </w:rPr>
            </w:pPr>
          </w:p>
        </w:tc>
      </w:tr>
    </w:tbl>
    <w:p w14:paraId="167BB91E">
      <w:pPr>
        <w:pStyle w:val="54"/>
        <w:rPr>
          <w:rFonts w:hint="eastAsia" w:ascii="宋体" w:hAnsi="宋体" w:eastAsia="宋体" w:cs="宋体"/>
          <w:color w:val="auto"/>
          <w:highlight w:val="none"/>
        </w:rPr>
      </w:pPr>
    </w:p>
    <w:p w14:paraId="450FBA5E">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bookmarkStart w:id="279" w:name="_Toc23918"/>
      <w:bookmarkStart w:id="280" w:name="_Toc104905928"/>
    </w:p>
    <w:p w14:paraId="3050656B">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p>
    <w:p w14:paraId="53ABDBF0">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供应商全称：_________________________________（盖单位章）</w:t>
      </w:r>
    </w:p>
    <w:p w14:paraId="54093501">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法定代表人（负责人）或其委托代理人：_______（签字或盖章）</w:t>
      </w:r>
    </w:p>
    <w:p w14:paraId="05DCE4A9">
      <w:pPr>
        <w:adjustRightInd w:val="0"/>
        <w:snapToGrid w:val="0"/>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日    期：_________年______月______日</w:t>
      </w:r>
    </w:p>
    <w:p w14:paraId="769BECD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b/>
          <w:color w:val="auto"/>
          <w:kern w:val="0"/>
          <w:sz w:val="28"/>
          <w:szCs w:val="28"/>
          <w:highlight w:val="none"/>
          <w:lang w:val="en-US" w:eastAsia="zh-CN" w:bidi="ar-SA"/>
        </w:rPr>
      </w:pPr>
      <w:r>
        <w:rPr>
          <w:rFonts w:hint="eastAsia" w:ascii="宋体" w:hAnsi="宋体" w:eastAsia="宋体" w:cs="宋体"/>
          <w:color w:val="auto"/>
          <w:highlight w:val="none"/>
          <w:lang w:eastAsia="zh-CN"/>
        </w:rPr>
        <w:br w:type="page"/>
      </w:r>
      <w:bookmarkStart w:id="281" w:name="_Toc11524"/>
      <w:r>
        <w:rPr>
          <w:rFonts w:hint="eastAsia" w:ascii="宋体" w:hAnsi="宋体" w:eastAsia="宋体" w:cs="宋体"/>
          <w:b/>
          <w:color w:val="auto"/>
          <w:kern w:val="0"/>
          <w:sz w:val="28"/>
          <w:szCs w:val="28"/>
          <w:highlight w:val="none"/>
          <w:lang w:val="en-US" w:eastAsia="zh-CN" w:bidi="ar-SA"/>
        </w:rPr>
        <w:t>（三）供应商基本情况表</w:t>
      </w:r>
      <w:bookmarkEnd w:id="279"/>
      <w:bookmarkEnd w:id="280"/>
      <w:bookmarkEnd w:id="281"/>
    </w:p>
    <w:tbl>
      <w:tblPr>
        <w:tblStyle w:val="35"/>
        <w:tblW w:w="980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99"/>
        <w:gridCol w:w="992"/>
        <w:gridCol w:w="1276"/>
        <w:gridCol w:w="1275"/>
        <w:gridCol w:w="1701"/>
        <w:gridCol w:w="993"/>
        <w:gridCol w:w="1867"/>
      </w:tblGrid>
      <w:tr w14:paraId="5F6353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noWrap w:val="0"/>
            <w:vAlign w:val="center"/>
          </w:tcPr>
          <w:p w14:paraId="653AB5F9">
            <w:pPr>
              <w:adjustRightInd w:val="0"/>
              <w:snapToGrid w:val="0"/>
              <w:jc w:val="center"/>
              <w:rPr>
                <w:rFonts w:hint="eastAsia" w:ascii="宋体" w:hAnsi="宋体" w:eastAsia="宋体" w:cs="宋体"/>
                <w:color w:val="auto"/>
                <w:sz w:val="24"/>
                <w:highlight w:val="none"/>
              </w:rPr>
            </w:pPr>
            <w:bookmarkStart w:id="282" w:name="_Toc526930765"/>
            <w:bookmarkStart w:id="283" w:name="_Toc526953657"/>
            <w:bookmarkStart w:id="284" w:name="_Toc526774254"/>
            <w:bookmarkStart w:id="285" w:name="_Toc526775953"/>
            <w:r>
              <w:rPr>
                <w:rFonts w:hint="eastAsia" w:ascii="宋体" w:hAnsi="宋体" w:eastAsia="宋体" w:cs="宋体"/>
                <w:color w:val="auto"/>
                <w:sz w:val="24"/>
                <w:highlight w:val="none"/>
              </w:rPr>
              <w:t>供应商名称</w:t>
            </w:r>
            <w:bookmarkEnd w:id="282"/>
            <w:bookmarkEnd w:id="283"/>
            <w:bookmarkEnd w:id="284"/>
            <w:bookmarkEnd w:id="285"/>
          </w:p>
        </w:tc>
        <w:tc>
          <w:tcPr>
            <w:tcW w:w="8104" w:type="dxa"/>
            <w:gridSpan w:val="6"/>
            <w:noWrap w:val="0"/>
            <w:vAlign w:val="center"/>
          </w:tcPr>
          <w:p w14:paraId="119093B8">
            <w:pPr>
              <w:adjustRightInd w:val="0"/>
              <w:snapToGrid w:val="0"/>
              <w:jc w:val="center"/>
              <w:rPr>
                <w:rFonts w:hint="eastAsia" w:ascii="宋体" w:hAnsi="宋体" w:eastAsia="宋体" w:cs="宋体"/>
                <w:color w:val="auto"/>
                <w:sz w:val="24"/>
                <w:highlight w:val="none"/>
              </w:rPr>
            </w:pPr>
          </w:p>
        </w:tc>
      </w:tr>
      <w:tr w14:paraId="09280C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noWrap w:val="0"/>
            <w:vAlign w:val="center"/>
          </w:tcPr>
          <w:p w14:paraId="7FC3FE83">
            <w:pPr>
              <w:adjustRightInd w:val="0"/>
              <w:snapToGrid w:val="0"/>
              <w:jc w:val="center"/>
              <w:rPr>
                <w:rFonts w:hint="eastAsia" w:ascii="宋体" w:hAnsi="宋体" w:eastAsia="宋体" w:cs="宋体"/>
                <w:color w:val="auto"/>
                <w:sz w:val="24"/>
                <w:highlight w:val="none"/>
              </w:rPr>
            </w:pPr>
            <w:bookmarkStart w:id="286" w:name="_Toc526930766"/>
            <w:bookmarkStart w:id="287" w:name="_Toc526774255"/>
            <w:bookmarkStart w:id="288" w:name="_Toc526775954"/>
            <w:bookmarkStart w:id="289" w:name="_Toc526953658"/>
            <w:r>
              <w:rPr>
                <w:rFonts w:hint="eastAsia" w:ascii="宋体" w:hAnsi="宋体" w:eastAsia="宋体" w:cs="宋体"/>
                <w:color w:val="auto"/>
                <w:sz w:val="24"/>
                <w:highlight w:val="none"/>
              </w:rPr>
              <w:t>注册地址</w:t>
            </w:r>
            <w:bookmarkEnd w:id="286"/>
            <w:bookmarkEnd w:id="287"/>
            <w:bookmarkEnd w:id="288"/>
            <w:bookmarkEnd w:id="289"/>
          </w:p>
        </w:tc>
        <w:tc>
          <w:tcPr>
            <w:tcW w:w="3543" w:type="dxa"/>
            <w:gridSpan w:val="3"/>
            <w:noWrap w:val="0"/>
            <w:vAlign w:val="center"/>
          </w:tcPr>
          <w:p w14:paraId="4C005AC6">
            <w:pPr>
              <w:adjustRightInd w:val="0"/>
              <w:snapToGrid w:val="0"/>
              <w:jc w:val="center"/>
              <w:rPr>
                <w:rFonts w:hint="eastAsia" w:ascii="宋体" w:hAnsi="宋体" w:eastAsia="宋体" w:cs="宋体"/>
                <w:color w:val="auto"/>
                <w:sz w:val="24"/>
                <w:highlight w:val="none"/>
              </w:rPr>
            </w:pPr>
          </w:p>
        </w:tc>
        <w:tc>
          <w:tcPr>
            <w:tcW w:w="1701" w:type="dxa"/>
            <w:noWrap w:val="0"/>
            <w:vAlign w:val="center"/>
          </w:tcPr>
          <w:p w14:paraId="67AC7A65">
            <w:pPr>
              <w:adjustRightInd w:val="0"/>
              <w:snapToGrid w:val="0"/>
              <w:jc w:val="center"/>
              <w:rPr>
                <w:rFonts w:hint="eastAsia" w:ascii="宋体" w:hAnsi="宋体" w:eastAsia="宋体" w:cs="宋体"/>
                <w:color w:val="auto"/>
                <w:sz w:val="24"/>
                <w:highlight w:val="none"/>
              </w:rPr>
            </w:pPr>
            <w:bookmarkStart w:id="290" w:name="_Toc526774256"/>
            <w:bookmarkStart w:id="291" w:name="_Toc526775955"/>
            <w:bookmarkStart w:id="292" w:name="_Toc526953659"/>
            <w:bookmarkStart w:id="293" w:name="_Toc526930767"/>
            <w:r>
              <w:rPr>
                <w:rFonts w:hint="eastAsia" w:ascii="宋体" w:hAnsi="宋体" w:eastAsia="宋体" w:cs="宋体"/>
                <w:color w:val="auto"/>
                <w:sz w:val="24"/>
                <w:highlight w:val="none"/>
              </w:rPr>
              <w:t>邮政编码</w:t>
            </w:r>
            <w:bookmarkEnd w:id="290"/>
            <w:bookmarkEnd w:id="291"/>
            <w:bookmarkEnd w:id="292"/>
            <w:bookmarkEnd w:id="293"/>
          </w:p>
        </w:tc>
        <w:tc>
          <w:tcPr>
            <w:tcW w:w="2860" w:type="dxa"/>
            <w:gridSpan w:val="2"/>
            <w:noWrap w:val="0"/>
            <w:vAlign w:val="center"/>
          </w:tcPr>
          <w:p w14:paraId="52809A3D">
            <w:pPr>
              <w:adjustRightInd w:val="0"/>
              <w:snapToGrid w:val="0"/>
              <w:jc w:val="center"/>
              <w:rPr>
                <w:rFonts w:hint="eastAsia" w:ascii="宋体" w:hAnsi="宋体" w:eastAsia="宋体" w:cs="宋体"/>
                <w:color w:val="auto"/>
                <w:sz w:val="24"/>
                <w:highlight w:val="none"/>
              </w:rPr>
            </w:pPr>
          </w:p>
        </w:tc>
      </w:tr>
      <w:tr w14:paraId="1A0E3F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vMerge w:val="restart"/>
            <w:noWrap w:val="0"/>
            <w:vAlign w:val="center"/>
          </w:tcPr>
          <w:p w14:paraId="3659075F">
            <w:pPr>
              <w:adjustRightInd w:val="0"/>
              <w:snapToGrid w:val="0"/>
              <w:jc w:val="center"/>
              <w:rPr>
                <w:rFonts w:hint="eastAsia" w:ascii="宋体" w:hAnsi="宋体" w:eastAsia="宋体" w:cs="宋体"/>
                <w:color w:val="auto"/>
                <w:sz w:val="24"/>
                <w:highlight w:val="none"/>
              </w:rPr>
            </w:pPr>
            <w:bookmarkStart w:id="294" w:name="_Toc526953660"/>
            <w:bookmarkStart w:id="295" w:name="_Toc526775956"/>
            <w:bookmarkStart w:id="296" w:name="_Toc526930768"/>
            <w:bookmarkStart w:id="297" w:name="_Toc526774257"/>
            <w:r>
              <w:rPr>
                <w:rFonts w:hint="eastAsia" w:ascii="宋体" w:hAnsi="宋体" w:eastAsia="宋体" w:cs="宋体"/>
                <w:color w:val="auto"/>
                <w:sz w:val="24"/>
                <w:highlight w:val="none"/>
              </w:rPr>
              <w:t>联系方式</w:t>
            </w:r>
            <w:bookmarkEnd w:id="294"/>
            <w:bookmarkEnd w:id="295"/>
            <w:bookmarkEnd w:id="296"/>
            <w:bookmarkEnd w:id="297"/>
          </w:p>
        </w:tc>
        <w:tc>
          <w:tcPr>
            <w:tcW w:w="992" w:type="dxa"/>
            <w:noWrap w:val="0"/>
            <w:vAlign w:val="center"/>
          </w:tcPr>
          <w:p w14:paraId="0A62C9C3">
            <w:pPr>
              <w:adjustRightInd w:val="0"/>
              <w:snapToGrid w:val="0"/>
              <w:jc w:val="center"/>
              <w:rPr>
                <w:rFonts w:hint="eastAsia" w:ascii="宋体" w:hAnsi="宋体" w:eastAsia="宋体" w:cs="宋体"/>
                <w:color w:val="auto"/>
                <w:sz w:val="24"/>
                <w:highlight w:val="none"/>
              </w:rPr>
            </w:pPr>
            <w:bookmarkStart w:id="298" w:name="_Toc526774258"/>
            <w:bookmarkStart w:id="299" w:name="_Toc526930769"/>
            <w:bookmarkStart w:id="300" w:name="_Toc526953661"/>
            <w:bookmarkStart w:id="301" w:name="_Toc526775957"/>
            <w:r>
              <w:rPr>
                <w:rFonts w:hint="eastAsia" w:ascii="宋体" w:hAnsi="宋体" w:eastAsia="宋体" w:cs="宋体"/>
                <w:color w:val="auto"/>
                <w:sz w:val="24"/>
                <w:highlight w:val="none"/>
              </w:rPr>
              <w:t>联系人</w:t>
            </w:r>
            <w:bookmarkEnd w:id="298"/>
            <w:bookmarkEnd w:id="299"/>
            <w:bookmarkEnd w:id="300"/>
            <w:bookmarkEnd w:id="301"/>
          </w:p>
        </w:tc>
        <w:tc>
          <w:tcPr>
            <w:tcW w:w="2551" w:type="dxa"/>
            <w:gridSpan w:val="2"/>
            <w:noWrap w:val="0"/>
            <w:vAlign w:val="center"/>
          </w:tcPr>
          <w:p w14:paraId="51423CC2">
            <w:pPr>
              <w:adjustRightInd w:val="0"/>
              <w:snapToGrid w:val="0"/>
              <w:jc w:val="center"/>
              <w:rPr>
                <w:rFonts w:hint="eastAsia" w:ascii="宋体" w:hAnsi="宋体" w:eastAsia="宋体" w:cs="宋体"/>
                <w:color w:val="auto"/>
                <w:sz w:val="24"/>
                <w:highlight w:val="none"/>
              </w:rPr>
            </w:pPr>
          </w:p>
        </w:tc>
        <w:tc>
          <w:tcPr>
            <w:tcW w:w="1701" w:type="dxa"/>
            <w:noWrap w:val="0"/>
            <w:vAlign w:val="center"/>
          </w:tcPr>
          <w:p w14:paraId="3C6F7BF2">
            <w:pPr>
              <w:adjustRightInd w:val="0"/>
              <w:snapToGrid w:val="0"/>
              <w:jc w:val="center"/>
              <w:rPr>
                <w:rFonts w:hint="eastAsia" w:ascii="宋体" w:hAnsi="宋体" w:eastAsia="宋体" w:cs="宋体"/>
                <w:color w:val="auto"/>
                <w:sz w:val="24"/>
                <w:highlight w:val="none"/>
              </w:rPr>
            </w:pPr>
            <w:bookmarkStart w:id="302" w:name="_Toc526930770"/>
            <w:bookmarkStart w:id="303" w:name="_Toc526774259"/>
            <w:bookmarkStart w:id="304" w:name="_Toc526953662"/>
            <w:bookmarkStart w:id="305" w:name="_Toc526775958"/>
            <w:r>
              <w:rPr>
                <w:rFonts w:hint="eastAsia" w:ascii="宋体" w:hAnsi="宋体" w:eastAsia="宋体" w:cs="宋体"/>
                <w:color w:val="auto"/>
                <w:sz w:val="24"/>
                <w:highlight w:val="none"/>
              </w:rPr>
              <w:t>电    话</w:t>
            </w:r>
            <w:bookmarkEnd w:id="302"/>
            <w:bookmarkEnd w:id="303"/>
            <w:bookmarkEnd w:id="304"/>
            <w:bookmarkEnd w:id="305"/>
          </w:p>
        </w:tc>
        <w:tc>
          <w:tcPr>
            <w:tcW w:w="2860" w:type="dxa"/>
            <w:gridSpan w:val="2"/>
            <w:noWrap w:val="0"/>
            <w:vAlign w:val="center"/>
          </w:tcPr>
          <w:p w14:paraId="11D4BEF0">
            <w:pPr>
              <w:adjustRightInd w:val="0"/>
              <w:snapToGrid w:val="0"/>
              <w:jc w:val="center"/>
              <w:rPr>
                <w:rFonts w:hint="eastAsia" w:ascii="宋体" w:hAnsi="宋体" w:eastAsia="宋体" w:cs="宋体"/>
                <w:color w:val="auto"/>
                <w:sz w:val="24"/>
                <w:highlight w:val="none"/>
              </w:rPr>
            </w:pPr>
          </w:p>
        </w:tc>
      </w:tr>
      <w:tr w14:paraId="3CCCA9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vMerge w:val="continue"/>
            <w:noWrap w:val="0"/>
            <w:vAlign w:val="center"/>
          </w:tcPr>
          <w:p w14:paraId="2E558744">
            <w:pPr>
              <w:adjustRightInd w:val="0"/>
              <w:snapToGrid w:val="0"/>
              <w:jc w:val="center"/>
              <w:rPr>
                <w:rFonts w:hint="eastAsia" w:ascii="宋体" w:hAnsi="宋体" w:eastAsia="宋体" w:cs="宋体"/>
                <w:color w:val="auto"/>
                <w:sz w:val="24"/>
                <w:highlight w:val="none"/>
              </w:rPr>
            </w:pPr>
          </w:p>
        </w:tc>
        <w:tc>
          <w:tcPr>
            <w:tcW w:w="992" w:type="dxa"/>
            <w:noWrap w:val="0"/>
            <w:vAlign w:val="center"/>
          </w:tcPr>
          <w:p w14:paraId="173F1E10">
            <w:pPr>
              <w:adjustRightInd w:val="0"/>
              <w:snapToGrid w:val="0"/>
              <w:jc w:val="center"/>
              <w:rPr>
                <w:rFonts w:hint="eastAsia" w:ascii="宋体" w:hAnsi="宋体" w:eastAsia="宋体" w:cs="宋体"/>
                <w:color w:val="auto"/>
                <w:sz w:val="24"/>
                <w:highlight w:val="none"/>
              </w:rPr>
            </w:pPr>
            <w:bookmarkStart w:id="306" w:name="_Toc526930771"/>
            <w:bookmarkStart w:id="307" w:name="_Toc526774260"/>
            <w:bookmarkStart w:id="308" w:name="_Toc526775959"/>
            <w:bookmarkStart w:id="309" w:name="_Toc526953663"/>
            <w:r>
              <w:rPr>
                <w:rFonts w:hint="eastAsia" w:ascii="宋体" w:hAnsi="宋体" w:eastAsia="宋体" w:cs="宋体"/>
                <w:color w:val="auto"/>
                <w:sz w:val="24"/>
                <w:highlight w:val="none"/>
              </w:rPr>
              <w:t>传  真</w:t>
            </w:r>
            <w:bookmarkEnd w:id="306"/>
            <w:bookmarkEnd w:id="307"/>
            <w:bookmarkEnd w:id="308"/>
            <w:bookmarkEnd w:id="309"/>
          </w:p>
        </w:tc>
        <w:tc>
          <w:tcPr>
            <w:tcW w:w="2551" w:type="dxa"/>
            <w:gridSpan w:val="2"/>
            <w:noWrap w:val="0"/>
            <w:vAlign w:val="center"/>
          </w:tcPr>
          <w:p w14:paraId="1E2409E9">
            <w:pPr>
              <w:adjustRightInd w:val="0"/>
              <w:snapToGrid w:val="0"/>
              <w:jc w:val="center"/>
              <w:rPr>
                <w:rFonts w:hint="eastAsia" w:ascii="宋体" w:hAnsi="宋体" w:eastAsia="宋体" w:cs="宋体"/>
                <w:color w:val="auto"/>
                <w:sz w:val="24"/>
                <w:highlight w:val="none"/>
              </w:rPr>
            </w:pPr>
          </w:p>
        </w:tc>
        <w:tc>
          <w:tcPr>
            <w:tcW w:w="1701" w:type="dxa"/>
            <w:noWrap w:val="0"/>
            <w:vAlign w:val="center"/>
          </w:tcPr>
          <w:p w14:paraId="0019FF84">
            <w:pPr>
              <w:adjustRightInd w:val="0"/>
              <w:snapToGrid w:val="0"/>
              <w:jc w:val="center"/>
              <w:rPr>
                <w:rFonts w:hint="eastAsia" w:ascii="宋体" w:hAnsi="宋体" w:eastAsia="宋体" w:cs="宋体"/>
                <w:color w:val="auto"/>
                <w:sz w:val="24"/>
                <w:highlight w:val="none"/>
              </w:rPr>
            </w:pPr>
            <w:bookmarkStart w:id="310" w:name="_Toc526774261"/>
            <w:bookmarkStart w:id="311" w:name="_Toc526775960"/>
            <w:bookmarkStart w:id="312" w:name="_Toc526930772"/>
            <w:bookmarkStart w:id="313" w:name="_Toc526953664"/>
            <w:r>
              <w:rPr>
                <w:rFonts w:hint="eastAsia" w:ascii="宋体" w:hAnsi="宋体" w:eastAsia="宋体" w:cs="宋体"/>
                <w:color w:val="auto"/>
                <w:sz w:val="24"/>
                <w:highlight w:val="none"/>
              </w:rPr>
              <w:t>网    址</w:t>
            </w:r>
            <w:bookmarkEnd w:id="310"/>
            <w:bookmarkEnd w:id="311"/>
            <w:bookmarkEnd w:id="312"/>
            <w:bookmarkEnd w:id="313"/>
          </w:p>
        </w:tc>
        <w:tc>
          <w:tcPr>
            <w:tcW w:w="2860" w:type="dxa"/>
            <w:gridSpan w:val="2"/>
            <w:noWrap w:val="0"/>
            <w:vAlign w:val="center"/>
          </w:tcPr>
          <w:p w14:paraId="0D016418">
            <w:pPr>
              <w:adjustRightInd w:val="0"/>
              <w:snapToGrid w:val="0"/>
              <w:jc w:val="center"/>
              <w:rPr>
                <w:rFonts w:hint="eastAsia" w:ascii="宋体" w:hAnsi="宋体" w:eastAsia="宋体" w:cs="宋体"/>
                <w:color w:val="auto"/>
                <w:sz w:val="24"/>
                <w:highlight w:val="none"/>
              </w:rPr>
            </w:pPr>
          </w:p>
        </w:tc>
      </w:tr>
      <w:tr w14:paraId="19100C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noWrap w:val="0"/>
            <w:vAlign w:val="center"/>
          </w:tcPr>
          <w:p w14:paraId="0956FD38">
            <w:pPr>
              <w:adjustRightInd w:val="0"/>
              <w:snapToGrid w:val="0"/>
              <w:jc w:val="center"/>
              <w:rPr>
                <w:rFonts w:hint="eastAsia" w:ascii="宋体" w:hAnsi="宋体" w:eastAsia="宋体" w:cs="宋体"/>
                <w:color w:val="auto"/>
                <w:sz w:val="24"/>
                <w:highlight w:val="none"/>
              </w:rPr>
            </w:pPr>
            <w:bookmarkStart w:id="314" w:name="_Toc526930773"/>
            <w:bookmarkStart w:id="315" w:name="_Toc526774262"/>
            <w:bookmarkStart w:id="316" w:name="_Toc526775961"/>
            <w:bookmarkStart w:id="317" w:name="_Toc526953665"/>
            <w:r>
              <w:rPr>
                <w:rFonts w:hint="eastAsia" w:ascii="宋体" w:hAnsi="宋体" w:eastAsia="宋体" w:cs="宋体"/>
                <w:color w:val="auto"/>
                <w:sz w:val="24"/>
                <w:highlight w:val="none"/>
              </w:rPr>
              <w:t>组织结构</w:t>
            </w:r>
            <w:bookmarkEnd w:id="314"/>
            <w:bookmarkEnd w:id="315"/>
            <w:bookmarkEnd w:id="316"/>
            <w:bookmarkEnd w:id="317"/>
          </w:p>
        </w:tc>
        <w:tc>
          <w:tcPr>
            <w:tcW w:w="8104" w:type="dxa"/>
            <w:gridSpan w:val="6"/>
            <w:noWrap w:val="0"/>
            <w:vAlign w:val="center"/>
          </w:tcPr>
          <w:p w14:paraId="74EC318F">
            <w:pPr>
              <w:adjustRightInd w:val="0"/>
              <w:snapToGrid w:val="0"/>
              <w:jc w:val="center"/>
              <w:rPr>
                <w:rFonts w:hint="eastAsia" w:ascii="宋体" w:hAnsi="宋体" w:eastAsia="宋体" w:cs="宋体"/>
                <w:color w:val="auto"/>
                <w:sz w:val="24"/>
                <w:highlight w:val="none"/>
              </w:rPr>
            </w:pPr>
          </w:p>
        </w:tc>
      </w:tr>
      <w:tr w14:paraId="282664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noWrap w:val="0"/>
            <w:vAlign w:val="center"/>
          </w:tcPr>
          <w:p w14:paraId="32E6B59C">
            <w:pPr>
              <w:adjustRightInd w:val="0"/>
              <w:snapToGrid w:val="0"/>
              <w:jc w:val="center"/>
              <w:rPr>
                <w:rFonts w:hint="eastAsia" w:ascii="宋体" w:hAnsi="宋体" w:eastAsia="宋体" w:cs="宋体"/>
                <w:color w:val="auto"/>
                <w:sz w:val="24"/>
                <w:highlight w:val="none"/>
              </w:rPr>
            </w:pPr>
            <w:bookmarkStart w:id="318" w:name="_Toc526953666"/>
            <w:bookmarkStart w:id="319" w:name="_Toc526930774"/>
            <w:bookmarkStart w:id="320" w:name="_Toc526775962"/>
            <w:bookmarkStart w:id="321" w:name="_Toc526774263"/>
            <w:r>
              <w:rPr>
                <w:rFonts w:hint="eastAsia" w:ascii="宋体" w:hAnsi="宋体" w:eastAsia="宋体" w:cs="宋体"/>
                <w:color w:val="auto"/>
                <w:sz w:val="24"/>
                <w:highlight w:val="none"/>
              </w:rPr>
              <w:t>法定代表人</w:t>
            </w:r>
            <w:bookmarkEnd w:id="318"/>
            <w:bookmarkEnd w:id="319"/>
            <w:bookmarkEnd w:id="320"/>
            <w:bookmarkEnd w:id="321"/>
          </w:p>
        </w:tc>
        <w:tc>
          <w:tcPr>
            <w:tcW w:w="2268" w:type="dxa"/>
            <w:gridSpan w:val="2"/>
            <w:noWrap w:val="0"/>
            <w:vAlign w:val="center"/>
          </w:tcPr>
          <w:p w14:paraId="6FD6941F">
            <w:pPr>
              <w:adjustRightInd w:val="0"/>
              <w:snapToGrid w:val="0"/>
              <w:jc w:val="center"/>
              <w:rPr>
                <w:rFonts w:hint="eastAsia" w:ascii="宋体" w:hAnsi="宋体" w:eastAsia="宋体" w:cs="宋体"/>
                <w:color w:val="auto"/>
                <w:sz w:val="24"/>
                <w:highlight w:val="none"/>
              </w:rPr>
            </w:pPr>
          </w:p>
        </w:tc>
        <w:tc>
          <w:tcPr>
            <w:tcW w:w="1275" w:type="dxa"/>
            <w:noWrap w:val="0"/>
            <w:vAlign w:val="center"/>
          </w:tcPr>
          <w:p w14:paraId="34763A9D">
            <w:pPr>
              <w:adjustRightInd w:val="0"/>
              <w:snapToGrid w:val="0"/>
              <w:jc w:val="center"/>
              <w:rPr>
                <w:rFonts w:hint="eastAsia" w:ascii="宋体" w:hAnsi="宋体" w:eastAsia="宋体" w:cs="宋体"/>
                <w:color w:val="auto"/>
                <w:sz w:val="24"/>
                <w:highlight w:val="none"/>
              </w:rPr>
            </w:pPr>
            <w:bookmarkStart w:id="322" w:name="_Toc526775964"/>
            <w:bookmarkStart w:id="323" w:name="_Toc526774265"/>
            <w:bookmarkStart w:id="324" w:name="_Toc526953668"/>
            <w:bookmarkStart w:id="325" w:name="_Toc526930776"/>
            <w:r>
              <w:rPr>
                <w:rFonts w:hint="eastAsia" w:ascii="宋体" w:hAnsi="宋体" w:eastAsia="宋体" w:cs="宋体"/>
                <w:color w:val="auto"/>
                <w:sz w:val="24"/>
                <w:highlight w:val="none"/>
              </w:rPr>
              <w:t>技术职称</w:t>
            </w:r>
            <w:bookmarkEnd w:id="322"/>
            <w:bookmarkEnd w:id="323"/>
            <w:bookmarkEnd w:id="324"/>
            <w:bookmarkEnd w:id="325"/>
          </w:p>
        </w:tc>
        <w:tc>
          <w:tcPr>
            <w:tcW w:w="1701" w:type="dxa"/>
            <w:noWrap w:val="0"/>
            <w:vAlign w:val="center"/>
          </w:tcPr>
          <w:p w14:paraId="40682ABC">
            <w:pPr>
              <w:adjustRightInd w:val="0"/>
              <w:snapToGrid w:val="0"/>
              <w:jc w:val="center"/>
              <w:rPr>
                <w:rFonts w:hint="eastAsia" w:ascii="宋体" w:hAnsi="宋体" w:eastAsia="宋体" w:cs="宋体"/>
                <w:color w:val="auto"/>
                <w:sz w:val="24"/>
                <w:highlight w:val="none"/>
              </w:rPr>
            </w:pPr>
          </w:p>
        </w:tc>
        <w:tc>
          <w:tcPr>
            <w:tcW w:w="993" w:type="dxa"/>
            <w:noWrap w:val="0"/>
            <w:vAlign w:val="center"/>
          </w:tcPr>
          <w:p w14:paraId="5E536A83">
            <w:pPr>
              <w:adjustRightInd w:val="0"/>
              <w:snapToGrid w:val="0"/>
              <w:jc w:val="center"/>
              <w:rPr>
                <w:rFonts w:hint="eastAsia" w:ascii="宋体" w:hAnsi="宋体" w:eastAsia="宋体" w:cs="宋体"/>
                <w:color w:val="auto"/>
                <w:sz w:val="24"/>
                <w:highlight w:val="none"/>
              </w:rPr>
            </w:pPr>
            <w:bookmarkStart w:id="326" w:name="_Toc526930777"/>
            <w:bookmarkStart w:id="327" w:name="_Toc526953669"/>
            <w:bookmarkStart w:id="328" w:name="_Toc526775965"/>
            <w:bookmarkStart w:id="329" w:name="_Toc526774266"/>
            <w:r>
              <w:rPr>
                <w:rFonts w:hint="eastAsia" w:ascii="宋体" w:hAnsi="宋体" w:eastAsia="宋体" w:cs="宋体"/>
                <w:color w:val="auto"/>
                <w:sz w:val="24"/>
                <w:highlight w:val="none"/>
              </w:rPr>
              <w:t>电  话</w:t>
            </w:r>
            <w:bookmarkEnd w:id="326"/>
            <w:bookmarkEnd w:id="327"/>
            <w:bookmarkEnd w:id="328"/>
            <w:bookmarkEnd w:id="329"/>
          </w:p>
        </w:tc>
        <w:tc>
          <w:tcPr>
            <w:tcW w:w="1867" w:type="dxa"/>
            <w:noWrap w:val="0"/>
            <w:vAlign w:val="center"/>
          </w:tcPr>
          <w:p w14:paraId="6DFBE692">
            <w:pPr>
              <w:adjustRightInd w:val="0"/>
              <w:snapToGrid w:val="0"/>
              <w:jc w:val="center"/>
              <w:rPr>
                <w:rFonts w:hint="eastAsia" w:ascii="宋体" w:hAnsi="宋体" w:eastAsia="宋体" w:cs="宋体"/>
                <w:color w:val="auto"/>
                <w:sz w:val="24"/>
                <w:highlight w:val="none"/>
              </w:rPr>
            </w:pPr>
          </w:p>
        </w:tc>
      </w:tr>
      <w:tr w14:paraId="27014F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noWrap w:val="0"/>
            <w:vAlign w:val="center"/>
          </w:tcPr>
          <w:p w14:paraId="28ADD388">
            <w:pPr>
              <w:adjustRightInd w:val="0"/>
              <w:snapToGrid w:val="0"/>
              <w:jc w:val="center"/>
              <w:rPr>
                <w:rFonts w:hint="eastAsia" w:ascii="宋体" w:hAnsi="宋体" w:eastAsia="宋体" w:cs="宋体"/>
                <w:color w:val="auto"/>
                <w:sz w:val="24"/>
                <w:highlight w:val="none"/>
              </w:rPr>
            </w:pPr>
            <w:bookmarkStart w:id="330" w:name="_Toc526775966"/>
            <w:bookmarkStart w:id="331" w:name="_Toc526774267"/>
            <w:bookmarkStart w:id="332" w:name="_Toc526953670"/>
            <w:bookmarkStart w:id="333" w:name="_Toc526930778"/>
            <w:r>
              <w:rPr>
                <w:rFonts w:hint="eastAsia" w:ascii="宋体" w:hAnsi="宋体" w:eastAsia="宋体" w:cs="宋体"/>
                <w:color w:val="auto"/>
                <w:sz w:val="24"/>
                <w:highlight w:val="none"/>
              </w:rPr>
              <w:t>技术负责人</w:t>
            </w:r>
            <w:bookmarkEnd w:id="330"/>
            <w:bookmarkEnd w:id="331"/>
            <w:bookmarkEnd w:id="332"/>
            <w:bookmarkEnd w:id="333"/>
          </w:p>
        </w:tc>
        <w:tc>
          <w:tcPr>
            <w:tcW w:w="2268" w:type="dxa"/>
            <w:gridSpan w:val="2"/>
            <w:noWrap w:val="0"/>
            <w:vAlign w:val="center"/>
          </w:tcPr>
          <w:p w14:paraId="61F39C70">
            <w:pPr>
              <w:adjustRightInd w:val="0"/>
              <w:snapToGrid w:val="0"/>
              <w:jc w:val="center"/>
              <w:rPr>
                <w:rFonts w:hint="eastAsia" w:ascii="宋体" w:hAnsi="宋体" w:eastAsia="宋体" w:cs="宋体"/>
                <w:color w:val="auto"/>
                <w:sz w:val="24"/>
                <w:highlight w:val="none"/>
              </w:rPr>
            </w:pPr>
          </w:p>
        </w:tc>
        <w:tc>
          <w:tcPr>
            <w:tcW w:w="1275" w:type="dxa"/>
            <w:noWrap w:val="0"/>
            <w:vAlign w:val="center"/>
          </w:tcPr>
          <w:p w14:paraId="4BE2BD51">
            <w:pPr>
              <w:adjustRightInd w:val="0"/>
              <w:snapToGrid w:val="0"/>
              <w:jc w:val="center"/>
              <w:rPr>
                <w:rFonts w:hint="eastAsia" w:ascii="宋体" w:hAnsi="宋体" w:eastAsia="宋体" w:cs="宋体"/>
                <w:color w:val="auto"/>
                <w:sz w:val="24"/>
                <w:highlight w:val="none"/>
              </w:rPr>
            </w:pPr>
            <w:bookmarkStart w:id="334" w:name="_Toc526775968"/>
            <w:bookmarkStart w:id="335" w:name="_Toc526930780"/>
            <w:bookmarkStart w:id="336" w:name="_Toc526774269"/>
            <w:bookmarkStart w:id="337" w:name="_Toc526953672"/>
            <w:r>
              <w:rPr>
                <w:rFonts w:hint="eastAsia" w:ascii="宋体" w:hAnsi="宋体" w:eastAsia="宋体" w:cs="宋体"/>
                <w:color w:val="auto"/>
                <w:sz w:val="24"/>
                <w:highlight w:val="none"/>
              </w:rPr>
              <w:t>技术职称</w:t>
            </w:r>
            <w:bookmarkEnd w:id="334"/>
            <w:bookmarkEnd w:id="335"/>
            <w:bookmarkEnd w:id="336"/>
            <w:bookmarkEnd w:id="337"/>
          </w:p>
        </w:tc>
        <w:tc>
          <w:tcPr>
            <w:tcW w:w="1701" w:type="dxa"/>
            <w:noWrap w:val="0"/>
            <w:vAlign w:val="center"/>
          </w:tcPr>
          <w:p w14:paraId="6373B093">
            <w:pPr>
              <w:adjustRightInd w:val="0"/>
              <w:snapToGrid w:val="0"/>
              <w:jc w:val="center"/>
              <w:rPr>
                <w:rFonts w:hint="eastAsia" w:ascii="宋体" w:hAnsi="宋体" w:eastAsia="宋体" w:cs="宋体"/>
                <w:color w:val="auto"/>
                <w:sz w:val="24"/>
                <w:highlight w:val="none"/>
              </w:rPr>
            </w:pPr>
          </w:p>
        </w:tc>
        <w:tc>
          <w:tcPr>
            <w:tcW w:w="993" w:type="dxa"/>
            <w:noWrap w:val="0"/>
            <w:vAlign w:val="center"/>
          </w:tcPr>
          <w:p w14:paraId="69C77FFE">
            <w:pPr>
              <w:adjustRightInd w:val="0"/>
              <w:snapToGrid w:val="0"/>
              <w:jc w:val="center"/>
              <w:rPr>
                <w:rFonts w:hint="eastAsia" w:ascii="宋体" w:hAnsi="宋体" w:eastAsia="宋体" w:cs="宋体"/>
                <w:color w:val="auto"/>
                <w:sz w:val="24"/>
                <w:highlight w:val="none"/>
              </w:rPr>
            </w:pPr>
            <w:bookmarkStart w:id="338" w:name="_Toc526774270"/>
            <w:bookmarkStart w:id="339" w:name="_Toc526775969"/>
            <w:bookmarkStart w:id="340" w:name="_Toc526930781"/>
            <w:bookmarkStart w:id="341" w:name="_Toc526953673"/>
            <w:r>
              <w:rPr>
                <w:rFonts w:hint="eastAsia" w:ascii="宋体" w:hAnsi="宋体" w:eastAsia="宋体" w:cs="宋体"/>
                <w:color w:val="auto"/>
                <w:sz w:val="24"/>
                <w:highlight w:val="none"/>
              </w:rPr>
              <w:t>电  话</w:t>
            </w:r>
            <w:bookmarkEnd w:id="338"/>
            <w:bookmarkEnd w:id="339"/>
            <w:bookmarkEnd w:id="340"/>
            <w:bookmarkEnd w:id="341"/>
          </w:p>
        </w:tc>
        <w:tc>
          <w:tcPr>
            <w:tcW w:w="1867" w:type="dxa"/>
            <w:noWrap w:val="0"/>
            <w:vAlign w:val="center"/>
          </w:tcPr>
          <w:p w14:paraId="48399437">
            <w:pPr>
              <w:adjustRightInd w:val="0"/>
              <w:snapToGrid w:val="0"/>
              <w:jc w:val="center"/>
              <w:rPr>
                <w:rFonts w:hint="eastAsia" w:ascii="宋体" w:hAnsi="宋体" w:eastAsia="宋体" w:cs="宋体"/>
                <w:color w:val="auto"/>
                <w:sz w:val="24"/>
                <w:highlight w:val="none"/>
              </w:rPr>
            </w:pPr>
          </w:p>
        </w:tc>
      </w:tr>
      <w:tr w14:paraId="3185D1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noWrap w:val="0"/>
            <w:vAlign w:val="center"/>
          </w:tcPr>
          <w:p w14:paraId="2A3E9A57">
            <w:pPr>
              <w:adjustRightInd w:val="0"/>
              <w:snapToGrid w:val="0"/>
              <w:jc w:val="center"/>
              <w:rPr>
                <w:rFonts w:hint="eastAsia" w:ascii="宋体" w:hAnsi="宋体" w:eastAsia="宋体" w:cs="宋体"/>
                <w:color w:val="auto"/>
                <w:sz w:val="24"/>
                <w:highlight w:val="none"/>
              </w:rPr>
            </w:pPr>
            <w:bookmarkStart w:id="342" w:name="_Toc526930782"/>
            <w:bookmarkStart w:id="343" w:name="_Toc526774271"/>
            <w:bookmarkStart w:id="344" w:name="_Toc526775970"/>
            <w:bookmarkStart w:id="345" w:name="_Toc526953674"/>
            <w:r>
              <w:rPr>
                <w:rFonts w:hint="eastAsia" w:ascii="宋体" w:hAnsi="宋体" w:eastAsia="宋体" w:cs="宋体"/>
                <w:color w:val="auto"/>
                <w:sz w:val="24"/>
                <w:highlight w:val="none"/>
              </w:rPr>
              <w:t>成立时间</w:t>
            </w:r>
            <w:bookmarkEnd w:id="342"/>
            <w:bookmarkEnd w:id="343"/>
            <w:bookmarkEnd w:id="344"/>
            <w:bookmarkEnd w:id="345"/>
          </w:p>
        </w:tc>
        <w:tc>
          <w:tcPr>
            <w:tcW w:w="2268" w:type="dxa"/>
            <w:gridSpan w:val="2"/>
            <w:noWrap w:val="0"/>
            <w:vAlign w:val="center"/>
          </w:tcPr>
          <w:p w14:paraId="483A9561">
            <w:pPr>
              <w:adjustRightInd w:val="0"/>
              <w:snapToGrid w:val="0"/>
              <w:jc w:val="center"/>
              <w:rPr>
                <w:rFonts w:hint="eastAsia" w:ascii="宋体" w:hAnsi="宋体" w:eastAsia="宋体" w:cs="宋体"/>
                <w:color w:val="auto"/>
                <w:sz w:val="24"/>
                <w:highlight w:val="none"/>
              </w:rPr>
            </w:pPr>
          </w:p>
        </w:tc>
        <w:tc>
          <w:tcPr>
            <w:tcW w:w="5836" w:type="dxa"/>
            <w:gridSpan w:val="4"/>
            <w:noWrap w:val="0"/>
            <w:vAlign w:val="center"/>
          </w:tcPr>
          <w:p w14:paraId="0962CBC2">
            <w:pPr>
              <w:adjustRightInd w:val="0"/>
              <w:snapToGrid w:val="0"/>
              <w:jc w:val="center"/>
              <w:rPr>
                <w:rFonts w:hint="eastAsia" w:ascii="宋体" w:hAnsi="宋体" w:eastAsia="宋体" w:cs="宋体"/>
                <w:color w:val="auto"/>
                <w:sz w:val="24"/>
                <w:highlight w:val="none"/>
              </w:rPr>
            </w:pPr>
            <w:bookmarkStart w:id="346" w:name="_Toc526930783"/>
            <w:bookmarkStart w:id="347" w:name="_Toc526775971"/>
            <w:bookmarkStart w:id="348" w:name="_Toc526953675"/>
            <w:bookmarkStart w:id="349" w:name="_Toc526774272"/>
            <w:r>
              <w:rPr>
                <w:rFonts w:hint="eastAsia" w:ascii="宋体" w:hAnsi="宋体" w:eastAsia="宋体" w:cs="宋体"/>
                <w:color w:val="auto"/>
                <w:sz w:val="24"/>
                <w:highlight w:val="none"/>
              </w:rPr>
              <w:t>员工总人数：</w:t>
            </w:r>
            <w:bookmarkEnd w:id="346"/>
            <w:bookmarkEnd w:id="347"/>
            <w:bookmarkEnd w:id="348"/>
            <w:bookmarkEnd w:id="349"/>
          </w:p>
        </w:tc>
      </w:tr>
      <w:tr w14:paraId="328FC0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noWrap w:val="0"/>
            <w:vAlign w:val="center"/>
          </w:tcPr>
          <w:p w14:paraId="1DA10217">
            <w:pPr>
              <w:adjustRightInd w:val="0"/>
              <w:snapToGrid w:val="0"/>
              <w:jc w:val="center"/>
              <w:rPr>
                <w:rFonts w:hint="eastAsia" w:ascii="宋体" w:hAnsi="宋体" w:eastAsia="宋体" w:cs="宋体"/>
                <w:color w:val="auto"/>
                <w:sz w:val="24"/>
                <w:highlight w:val="none"/>
              </w:rPr>
            </w:pPr>
            <w:bookmarkStart w:id="350" w:name="_Toc526774273"/>
            <w:bookmarkStart w:id="351" w:name="_Toc526930784"/>
            <w:bookmarkStart w:id="352" w:name="_Toc526953676"/>
            <w:bookmarkStart w:id="353" w:name="_Toc526775972"/>
            <w:r>
              <w:rPr>
                <w:rFonts w:hint="eastAsia" w:ascii="宋体" w:hAnsi="宋体" w:eastAsia="宋体" w:cs="宋体"/>
                <w:color w:val="auto"/>
                <w:sz w:val="24"/>
                <w:highlight w:val="none"/>
              </w:rPr>
              <w:t>企业资质等级</w:t>
            </w:r>
            <w:bookmarkEnd w:id="350"/>
            <w:bookmarkEnd w:id="351"/>
            <w:bookmarkEnd w:id="352"/>
            <w:bookmarkEnd w:id="353"/>
          </w:p>
        </w:tc>
        <w:tc>
          <w:tcPr>
            <w:tcW w:w="2268" w:type="dxa"/>
            <w:gridSpan w:val="2"/>
            <w:noWrap w:val="0"/>
            <w:vAlign w:val="center"/>
          </w:tcPr>
          <w:p w14:paraId="194EAB6B">
            <w:pPr>
              <w:adjustRightInd w:val="0"/>
              <w:snapToGrid w:val="0"/>
              <w:jc w:val="center"/>
              <w:rPr>
                <w:rFonts w:hint="eastAsia" w:ascii="宋体" w:hAnsi="宋体" w:eastAsia="宋体" w:cs="宋体"/>
                <w:color w:val="auto"/>
                <w:sz w:val="24"/>
                <w:highlight w:val="none"/>
              </w:rPr>
            </w:pPr>
          </w:p>
        </w:tc>
        <w:tc>
          <w:tcPr>
            <w:tcW w:w="1275" w:type="dxa"/>
            <w:vMerge w:val="restart"/>
            <w:noWrap w:val="0"/>
            <w:vAlign w:val="center"/>
          </w:tcPr>
          <w:p w14:paraId="32707800">
            <w:pPr>
              <w:adjustRightInd w:val="0"/>
              <w:snapToGrid w:val="0"/>
              <w:jc w:val="center"/>
              <w:rPr>
                <w:rFonts w:hint="eastAsia" w:ascii="宋体" w:hAnsi="宋体" w:eastAsia="宋体" w:cs="宋体"/>
                <w:color w:val="auto"/>
                <w:sz w:val="24"/>
                <w:highlight w:val="none"/>
              </w:rPr>
            </w:pPr>
            <w:bookmarkStart w:id="354" w:name="_Toc526774274"/>
            <w:bookmarkStart w:id="355" w:name="_Toc526775973"/>
            <w:bookmarkStart w:id="356" w:name="_Toc526930785"/>
            <w:bookmarkStart w:id="357" w:name="_Toc526953677"/>
            <w:r>
              <w:rPr>
                <w:rFonts w:hint="eastAsia" w:ascii="宋体" w:hAnsi="宋体" w:eastAsia="宋体" w:cs="宋体"/>
                <w:color w:val="auto"/>
                <w:sz w:val="24"/>
                <w:highlight w:val="none"/>
              </w:rPr>
              <w:t>其中</w:t>
            </w:r>
            <w:bookmarkEnd w:id="354"/>
            <w:bookmarkEnd w:id="355"/>
            <w:bookmarkEnd w:id="356"/>
            <w:bookmarkEnd w:id="357"/>
          </w:p>
        </w:tc>
        <w:tc>
          <w:tcPr>
            <w:tcW w:w="1701" w:type="dxa"/>
            <w:noWrap w:val="0"/>
            <w:vAlign w:val="center"/>
          </w:tcPr>
          <w:p w14:paraId="05D0B250">
            <w:pPr>
              <w:adjustRightInd w:val="0"/>
              <w:snapToGrid w:val="0"/>
              <w:jc w:val="center"/>
              <w:rPr>
                <w:rFonts w:hint="eastAsia" w:ascii="宋体" w:hAnsi="宋体" w:eastAsia="宋体" w:cs="宋体"/>
                <w:color w:val="auto"/>
                <w:sz w:val="24"/>
                <w:highlight w:val="none"/>
              </w:rPr>
            </w:pPr>
            <w:bookmarkStart w:id="358" w:name="_Toc526953678"/>
            <w:r>
              <w:rPr>
                <w:rFonts w:hint="eastAsia" w:ascii="宋体" w:hAnsi="宋体" w:eastAsia="宋体" w:cs="宋体"/>
                <w:color w:val="auto"/>
                <w:sz w:val="24"/>
                <w:highlight w:val="none"/>
              </w:rPr>
              <w:t>注册专业人员</w:t>
            </w:r>
            <w:bookmarkEnd w:id="358"/>
          </w:p>
        </w:tc>
        <w:tc>
          <w:tcPr>
            <w:tcW w:w="2860" w:type="dxa"/>
            <w:gridSpan w:val="2"/>
            <w:noWrap w:val="0"/>
            <w:vAlign w:val="center"/>
          </w:tcPr>
          <w:p w14:paraId="5D665B57">
            <w:pPr>
              <w:adjustRightInd w:val="0"/>
              <w:snapToGrid w:val="0"/>
              <w:jc w:val="center"/>
              <w:rPr>
                <w:rFonts w:hint="eastAsia" w:ascii="宋体" w:hAnsi="宋体" w:eastAsia="宋体" w:cs="宋体"/>
                <w:color w:val="auto"/>
                <w:sz w:val="24"/>
                <w:highlight w:val="none"/>
              </w:rPr>
            </w:pPr>
          </w:p>
        </w:tc>
      </w:tr>
      <w:tr w14:paraId="1826F1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noWrap w:val="0"/>
            <w:vAlign w:val="center"/>
          </w:tcPr>
          <w:p w14:paraId="68339FD3">
            <w:pPr>
              <w:adjustRightInd w:val="0"/>
              <w:snapToGrid w:val="0"/>
              <w:jc w:val="center"/>
              <w:rPr>
                <w:rFonts w:hint="eastAsia" w:ascii="宋体" w:hAnsi="宋体" w:eastAsia="宋体" w:cs="宋体"/>
                <w:color w:val="auto"/>
                <w:sz w:val="24"/>
                <w:highlight w:val="none"/>
              </w:rPr>
            </w:pPr>
            <w:bookmarkStart w:id="359" w:name="_Toc526953679"/>
            <w:bookmarkStart w:id="360" w:name="_Toc526930787"/>
            <w:bookmarkStart w:id="361" w:name="_Toc526774276"/>
            <w:bookmarkStart w:id="362" w:name="_Toc526775975"/>
            <w:r>
              <w:rPr>
                <w:rFonts w:hint="eastAsia" w:ascii="宋体" w:hAnsi="宋体" w:eastAsia="宋体" w:cs="宋体"/>
                <w:color w:val="auto"/>
                <w:sz w:val="24"/>
                <w:highlight w:val="none"/>
              </w:rPr>
              <w:t>营业执照号</w:t>
            </w:r>
            <w:bookmarkEnd w:id="359"/>
            <w:bookmarkEnd w:id="360"/>
            <w:bookmarkEnd w:id="361"/>
            <w:bookmarkEnd w:id="362"/>
          </w:p>
        </w:tc>
        <w:tc>
          <w:tcPr>
            <w:tcW w:w="2268" w:type="dxa"/>
            <w:gridSpan w:val="2"/>
            <w:noWrap w:val="0"/>
            <w:vAlign w:val="center"/>
          </w:tcPr>
          <w:p w14:paraId="26E6C839">
            <w:pPr>
              <w:adjustRightInd w:val="0"/>
              <w:snapToGrid w:val="0"/>
              <w:jc w:val="center"/>
              <w:rPr>
                <w:rFonts w:hint="eastAsia" w:ascii="宋体" w:hAnsi="宋体" w:eastAsia="宋体" w:cs="宋体"/>
                <w:color w:val="auto"/>
                <w:sz w:val="24"/>
                <w:highlight w:val="none"/>
              </w:rPr>
            </w:pPr>
          </w:p>
        </w:tc>
        <w:tc>
          <w:tcPr>
            <w:tcW w:w="1275" w:type="dxa"/>
            <w:vMerge w:val="continue"/>
            <w:noWrap w:val="0"/>
            <w:vAlign w:val="center"/>
          </w:tcPr>
          <w:p w14:paraId="5DB8D821">
            <w:pPr>
              <w:adjustRightInd w:val="0"/>
              <w:snapToGrid w:val="0"/>
              <w:jc w:val="center"/>
              <w:rPr>
                <w:rFonts w:hint="eastAsia" w:ascii="宋体" w:hAnsi="宋体" w:eastAsia="宋体" w:cs="宋体"/>
                <w:color w:val="auto"/>
                <w:sz w:val="24"/>
                <w:highlight w:val="none"/>
              </w:rPr>
            </w:pPr>
          </w:p>
        </w:tc>
        <w:tc>
          <w:tcPr>
            <w:tcW w:w="1701" w:type="dxa"/>
            <w:noWrap w:val="0"/>
            <w:vAlign w:val="center"/>
          </w:tcPr>
          <w:p w14:paraId="389675B6">
            <w:pPr>
              <w:adjustRightInd w:val="0"/>
              <w:snapToGrid w:val="0"/>
              <w:jc w:val="center"/>
              <w:rPr>
                <w:rFonts w:hint="eastAsia" w:ascii="宋体" w:hAnsi="宋体" w:eastAsia="宋体" w:cs="宋体"/>
                <w:color w:val="auto"/>
                <w:sz w:val="24"/>
                <w:highlight w:val="none"/>
              </w:rPr>
            </w:pPr>
            <w:bookmarkStart w:id="363" w:name="_Toc526953680"/>
            <w:bookmarkStart w:id="364" w:name="_Toc526774277"/>
            <w:bookmarkStart w:id="365" w:name="_Toc526775976"/>
            <w:bookmarkStart w:id="366" w:name="_Toc526930788"/>
            <w:r>
              <w:rPr>
                <w:rFonts w:hint="eastAsia" w:ascii="宋体" w:hAnsi="宋体" w:eastAsia="宋体" w:cs="宋体"/>
                <w:color w:val="auto"/>
                <w:sz w:val="24"/>
                <w:highlight w:val="none"/>
              </w:rPr>
              <w:t>高级职称人员</w:t>
            </w:r>
            <w:bookmarkEnd w:id="363"/>
            <w:bookmarkEnd w:id="364"/>
            <w:bookmarkEnd w:id="365"/>
            <w:bookmarkEnd w:id="366"/>
          </w:p>
        </w:tc>
        <w:tc>
          <w:tcPr>
            <w:tcW w:w="2860" w:type="dxa"/>
            <w:gridSpan w:val="2"/>
            <w:noWrap w:val="0"/>
            <w:vAlign w:val="center"/>
          </w:tcPr>
          <w:p w14:paraId="7FCA08DA">
            <w:pPr>
              <w:adjustRightInd w:val="0"/>
              <w:snapToGrid w:val="0"/>
              <w:jc w:val="center"/>
              <w:rPr>
                <w:rFonts w:hint="eastAsia" w:ascii="宋体" w:hAnsi="宋体" w:eastAsia="宋体" w:cs="宋体"/>
                <w:color w:val="auto"/>
                <w:sz w:val="24"/>
                <w:highlight w:val="none"/>
              </w:rPr>
            </w:pPr>
          </w:p>
        </w:tc>
      </w:tr>
      <w:tr w14:paraId="0BC574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noWrap w:val="0"/>
            <w:vAlign w:val="center"/>
          </w:tcPr>
          <w:p w14:paraId="5D361B2E">
            <w:pPr>
              <w:adjustRightInd w:val="0"/>
              <w:snapToGrid w:val="0"/>
              <w:jc w:val="center"/>
              <w:rPr>
                <w:rFonts w:hint="eastAsia" w:ascii="宋体" w:hAnsi="宋体" w:eastAsia="宋体" w:cs="宋体"/>
                <w:color w:val="auto"/>
                <w:sz w:val="24"/>
                <w:highlight w:val="none"/>
              </w:rPr>
            </w:pPr>
            <w:bookmarkStart w:id="367" w:name="_Toc526953681"/>
            <w:bookmarkStart w:id="368" w:name="_Toc526930789"/>
            <w:bookmarkStart w:id="369" w:name="_Toc526774278"/>
            <w:bookmarkStart w:id="370" w:name="_Toc526775977"/>
            <w:r>
              <w:rPr>
                <w:rFonts w:hint="eastAsia" w:ascii="宋体" w:hAnsi="宋体" w:eastAsia="宋体" w:cs="宋体"/>
                <w:color w:val="auto"/>
                <w:sz w:val="24"/>
                <w:highlight w:val="none"/>
              </w:rPr>
              <w:t>注册资金</w:t>
            </w:r>
            <w:bookmarkEnd w:id="367"/>
            <w:bookmarkEnd w:id="368"/>
            <w:bookmarkEnd w:id="369"/>
            <w:bookmarkEnd w:id="370"/>
          </w:p>
        </w:tc>
        <w:tc>
          <w:tcPr>
            <w:tcW w:w="2268" w:type="dxa"/>
            <w:gridSpan w:val="2"/>
            <w:noWrap w:val="0"/>
            <w:vAlign w:val="center"/>
          </w:tcPr>
          <w:p w14:paraId="7E5F2DF9">
            <w:pPr>
              <w:adjustRightInd w:val="0"/>
              <w:snapToGrid w:val="0"/>
              <w:jc w:val="center"/>
              <w:rPr>
                <w:rFonts w:hint="eastAsia" w:ascii="宋体" w:hAnsi="宋体" w:eastAsia="宋体" w:cs="宋体"/>
                <w:color w:val="auto"/>
                <w:sz w:val="24"/>
                <w:highlight w:val="none"/>
              </w:rPr>
            </w:pPr>
          </w:p>
        </w:tc>
        <w:tc>
          <w:tcPr>
            <w:tcW w:w="1275" w:type="dxa"/>
            <w:vMerge w:val="continue"/>
            <w:noWrap w:val="0"/>
            <w:vAlign w:val="center"/>
          </w:tcPr>
          <w:p w14:paraId="6873B485">
            <w:pPr>
              <w:adjustRightInd w:val="0"/>
              <w:snapToGrid w:val="0"/>
              <w:jc w:val="center"/>
              <w:rPr>
                <w:rFonts w:hint="eastAsia" w:ascii="宋体" w:hAnsi="宋体" w:eastAsia="宋体" w:cs="宋体"/>
                <w:color w:val="auto"/>
                <w:sz w:val="24"/>
                <w:highlight w:val="none"/>
              </w:rPr>
            </w:pPr>
          </w:p>
        </w:tc>
        <w:tc>
          <w:tcPr>
            <w:tcW w:w="1701" w:type="dxa"/>
            <w:noWrap w:val="0"/>
            <w:vAlign w:val="center"/>
          </w:tcPr>
          <w:p w14:paraId="7B31911D">
            <w:pPr>
              <w:adjustRightInd w:val="0"/>
              <w:snapToGrid w:val="0"/>
              <w:jc w:val="center"/>
              <w:rPr>
                <w:rFonts w:hint="eastAsia" w:ascii="宋体" w:hAnsi="宋体" w:eastAsia="宋体" w:cs="宋体"/>
                <w:color w:val="auto"/>
                <w:sz w:val="24"/>
                <w:highlight w:val="none"/>
              </w:rPr>
            </w:pPr>
            <w:bookmarkStart w:id="371" w:name="_Toc526774279"/>
            <w:bookmarkStart w:id="372" w:name="_Toc526953682"/>
            <w:bookmarkStart w:id="373" w:name="_Toc526930790"/>
            <w:bookmarkStart w:id="374" w:name="_Toc526775978"/>
            <w:r>
              <w:rPr>
                <w:rFonts w:hint="eastAsia" w:ascii="宋体" w:hAnsi="宋体" w:eastAsia="宋体" w:cs="宋体"/>
                <w:color w:val="auto"/>
                <w:sz w:val="24"/>
                <w:highlight w:val="none"/>
              </w:rPr>
              <w:t>中级职称人员</w:t>
            </w:r>
            <w:bookmarkEnd w:id="371"/>
            <w:bookmarkEnd w:id="372"/>
            <w:bookmarkEnd w:id="373"/>
            <w:bookmarkEnd w:id="374"/>
          </w:p>
        </w:tc>
        <w:tc>
          <w:tcPr>
            <w:tcW w:w="2860" w:type="dxa"/>
            <w:gridSpan w:val="2"/>
            <w:noWrap w:val="0"/>
            <w:vAlign w:val="center"/>
          </w:tcPr>
          <w:p w14:paraId="5CA13AAB">
            <w:pPr>
              <w:adjustRightInd w:val="0"/>
              <w:snapToGrid w:val="0"/>
              <w:jc w:val="center"/>
              <w:rPr>
                <w:rFonts w:hint="eastAsia" w:ascii="宋体" w:hAnsi="宋体" w:eastAsia="宋体" w:cs="宋体"/>
                <w:color w:val="auto"/>
                <w:sz w:val="24"/>
                <w:highlight w:val="none"/>
              </w:rPr>
            </w:pPr>
          </w:p>
        </w:tc>
      </w:tr>
      <w:tr w14:paraId="4705F9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noWrap w:val="0"/>
            <w:vAlign w:val="center"/>
          </w:tcPr>
          <w:p w14:paraId="3DD18F02">
            <w:pPr>
              <w:adjustRightInd w:val="0"/>
              <w:snapToGrid w:val="0"/>
              <w:jc w:val="center"/>
              <w:rPr>
                <w:rFonts w:hint="eastAsia" w:ascii="宋体" w:hAnsi="宋体" w:eastAsia="宋体" w:cs="宋体"/>
                <w:color w:val="auto"/>
                <w:sz w:val="24"/>
                <w:highlight w:val="none"/>
              </w:rPr>
            </w:pPr>
            <w:bookmarkStart w:id="375" w:name="_Toc526775979"/>
            <w:bookmarkStart w:id="376" w:name="_Toc526774280"/>
            <w:bookmarkStart w:id="377" w:name="_Toc526930791"/>
            <w:bookmarkStart w:id="378" w:name="_Toc526953683"/>
            <w:r>
              <w:rPr>
                <w:rFonts w:hint="eastAsia" w:ascii="宋体" w:hAnsi="宋体" w:eastAsia="宋体" w:cs="宋体"/>
                <w:color w:val="auto"/>
                <w:sz w:val="24"/>
                <w:highlight w:val="none"/>
              </w:rPr>
              <w:t>开户银行</w:t>
            </w:r>
            <w:bookmarkEnd w:id="375"/>
            <w:bookmarkEnd w:id="376"/>
            <w:bookmarkEnd w:id="377"/>
            <w:bookmarkEnd w:id="378"/>
          </w:p>
        </w:tc>
        <w:tc>
          <w:tcPr>
            <w:tcW w:w="2268" w:type="dxa"/>
            <w:gridSpan w:val="2"/>
            <w:noWrap w:val="0"/>
            <w:vAlign w:val="center"/>
          </w:tcPr>
          <w:p w14:paraId="51694C32">
            <w:pPr>
              <w:adjustRightInd w:val="0"/>
              <w:snapToGrid w:val="0"/>
              <w:jc w:val="center"/>
              <w:rPr>
                <w:rFonts w:hint="eastAsia" w:ascii="宋体" w:hAnsi="宋体" w:eastAsia="宋体" w:cs="宋体"/>
                <w:color w:val="auto"/>
                <w:sz w:val="24"/>
                <w:highlight w:val="none"/>
              </w:rPr>
            </w:pPr>
          </w:p>
        </w:tc>
        <w:tc>
          <w:tcPr>
            <w:tcW w:w="1275" w:type="dxa"/>
            <w:vMerge w:val="continue"/>
            <w:noWrap w:val="0"/>
            <w:vAlign w:val="center"/>
          </w:tcPr>
          <w:p w14:paraId="2585A28A">
            <w:pPr>
              <w:adjustRightInd w:val="0"/>
              <w:snapToGrid w:val="0"/>
              <w:jc w:val="center"/>
              <w:rPr>
                <w:rFonts w:hint="eastAsia" w:ascii="宋体" w:hAnsi="宋体" w:eastAsia="宋体" w:cs="宋体"/>
                <w:color w:val="auto"/>
                <w:sz w:val="24"/>
                <w:highlight w:val="none"/>
              </w:rPr>
            </w:pPr>
          </w:p>
        </w:tc>
        <w:tc>
          <w:tcPr>
            <w:tcW w:w="1701" w:type="dxa"/>
            <w:noWrap w:val="0"/>
            <w:vAlign w:val="center"/>
          </w:tcPr>
          <w:p w14:paraId="27BE1130">
            <w:pPr>
              <w:adjustRightInd w:val="0"/>
              <w:snapToGrid w:val="0"/>
              <w:jc w:val="center"/>
              <w:rPr>
                <w:rFonts w:hint="eastAsia" w:ascii="宋体" w:hAnsi="宋体" w:eastAsia="宋体" w:cs="宋体"/>
                <w:color w:val="auto"/>
                <w:sz w:val="24"/>
                <w:highlight w:val="none"/>
              </w:rPr>
            </w:pPr>
            <w:bookmarkStart w:id="379" w:name="_Toc526953684"/>
            <w:bookmarkStart w:id="380" w:name="_Toc526774281"/>
            <w:bookmarkStart w:id="381" w:name="_Toc526775980"/>
            <w:bookmarkStart w:id="382" w:name="_Toc526930792"/>
            <w:r>
              <w:rPr>
                <w:rFonts w:hint="eastAsia" w:ascii="宋体" w:hAnsi="宋体" w:eastAsia="宋体" w:cs="宋体"/>
                <w:color w:val="auto"/>
                <w:sz w:val="24"/>
                <w:highlight w:val="none"/>
              </w:rPr>
              <w:t>初级职称人员</w:t>
            </w:r>
            <w:bookmarkEnd w:id="379"/>
            <w:bookmarkEnd w:id="380"/>
            <w:bookmarkEnd w:id="381"/>
            <w:bookmarkEnd w:id="382"/>
          </w:p>
        </w:tc>
        <w:tc>
          <w:tcPr>
            <w:tcW w:w="2860" w:type="dxa"/>
            <w:gridSpan w:val="2"/>
            <w:noWrap w:val="0"/>
            <w:vAlign w:val="center"/>
          </w:tcPr>
          <w:p w14:paraId="4E608D13">
            <w:pPr>
              <w:adjustRightInd w:val="0"/>
              <w:snapToGrid w:val="0"/>
              <w:jc w:val="center"/>
              <w:rPr>
                <w:rFonts w:hint="eastAsia" w:ascii="宋体" w:hAnsi="宋体" w:eastAsia="宋体" w:cs="宋体"/>
                <w:color w:val="auto"/>
                <w:sz w:val="24"/>
                <w:highlight w:val="none"/>
              </w:rPr>
            </w:pPr>
          </w:p>
        </w:tc>
      </w:tr>
      <w:tr w14:paraId="179E52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noWrap w:val="0"/>
            <w:vAlign w:val="center"/>
          </w:tcPr>
          <w:p w14:paraId="269DBB0E">
            <w:pPr>
              <w:adjustRightInd w:val="0"/>
              <w:snapToGrid w:val="0"/>
              <w:jc w:val="center"/>
              <w:rPr>
                <w:rFonts w:hint="eastAsia" w:ascii="宋体" w:hAnsi="宋体" w:eastAsia="宋体" w:cs="宋体"/>
                <w:color w:val="auto"/>
                <w:sz w:val="24"/>
                <w:highlight w:val="none"/>
              </w:rPr>
            </w:pPr>
            <w:bookmarkStart w:id="383" w:name="_Toc526930793"/>
            <w:bookmarkStart w:id="384" w:name="_Toc526953685"/>
            <w:bookmarkStart w:id="385" w:name="_Toc526774282"/>
            <w:bookmarkStart w:id="386" w:name="_Toc526775981"/>
            <w:r>
              <w:rPr>
                <w:rFonts w:hint="eastAsia" w:ascii="宋体" w:hAnsi="宋体" w:eastAsia="宋体" w:cs="宋体"/>
                <w:color w:val="auto"/>
                <w:sz w:val="24"/>
                <w:highlight w:val="none"/>
              </w:rPr>
              <w:t>账    号</w:t>
            </w:r>
            <w:bookmarkEnd w:id="383"/>
            <w:bookmarkEnd w:id="384"/>
            <w:bookmarkEnd w:id="385"/>
            <w:bookmarkEnd w:id="386"/>
          </w:p>
        </w:tc>
        <w:tc>
          <w:tcPr>
            <w:tcW w:w="2268" w:type="dxa"/>
            <w:gridSpan w:val="2"/>
            <w:noWrap w:val="0"/>
            <w:vAlign w:val="center"/>
          </w:tcPr>
          <w:p w14:paraId="0346BA88">
            <w:pPr>
              <w:adjustRightInd w:val="0"/>
              <w:snapToGrid w:val="0"/>
              <w:jc w:val="center"/>
              <w:rPr>
                <w:rFonts w:hint="eastAsia" w:ascii="宋体" w:hAnsi="宋体" w:eastAsia="宋体" w:cs="宋体"/>
                <w:color w:val="auto"/>
                <w:sz w:val="24"/>
                <w:highlight w:val="none"/>
              </w:rPr>
            </w:pPr>
          </w:p>
        </w:tc>
        <w:tc>
          <w:tcPr>
            <w:tcW w:w="1275" w:type="dxa"/>
            <w:vMerge w:val="continue"/>
            <w:noWrap w:val="0"/>
            <w:vAlign w:val="center"/>
          </w:tcPr>
          <w:p w14:paraId="0BC183CD">
            <w:pPr>
              <w:adjustRightInd w:val="0"/>
              <w:snapToGrid w:val="0"/>
              <w:jc w:val="center"/>
              <w:rPr>
                <w:rFonts w:hint="eastAsia" w:ascii="宋体" w:hAnsi="宋体" w:eastAsia="宋体" w:cs="宋体"/>
                <w:color w:val="auto"/>
                <w:sz w:val="24"/>
                <w:highlight w:val="none"/>
              </w:rPr>
            </w:pPr>
          </w:p>
        </w:tc>
        <w:tc>
          <w:tcPr>
            <w:tcW w:w="1701" w:type="dxa"/>
            <w:noWrap w:val="0"/>
            <w:vAlign w:val="center"/>
          </w:tcPr>
          <w:p w14:paraId="2481D22E">
            <w:pPr>
              <w:adjustRightInd w:val="0"/>
              <w:snapToGrid w:val="0"/>
              <w:jc w:val="center"/>
              <w:rPr>
                <w:rFonts w:hint="eastAsia" w:ascii="宋体" w:hAnsi="宋体" w:eastAsia="宋体" w:cs="宋体"/>
                <w:color w:val="auto"/>
                <w:sz w:val="24"/>
                <w:highlight w:val="none"/>
              </w:rPr>
            </w:pPr>
            <w:bookmarkStart w:id="387" w:name="_Toc526953686"/>
            <w:r>
              <w:rPr>
                <w:rFonts w:hint="eastAsia" w:ascii="宋体" w:hAnsi="宋体" w:eastAsia="宋体" w:cs="宋体"/>
                <w:color w:val="auto"/>
                <w:sz w:val="24"/>
                <w:highlight w:val="none"/>
              </w:rPr>
              <w:t>其他技术人员</w:t>
            </w:r>
            <w:bookmarkEnd w:id="387"/>
          </w:p>
        </w:tc>
        <w:tc>
          <w:tcPr>
            <w:tcW w:w="2860" w:type="dxa"/>
            <w:gridSpan w:val="2"/>
            <w:noWrap w:val="0"/>
            <w:vAlign w:val="center"/>
          </w:tcPr>
          <w:p w14:paraId="36C9DBF9">
            <w:pPr>
              <w:adjustRightInd w:val="0"/>
              <w:snapToGrid w:val="0"/>
              <w:jc w:val="center"/>
              <w:rPr>
                <w:rFonts w:hint="eastAsia" w:ascii="宋体" w:hAnsi="宋体" w:eastAsia="宋体" w:cs="宋体"/>
                <w:color w:val="auto"/>
                <w:sz w:val="24"/>
                <w:highlight w:val="none"/>
              </w:rPr>
            </w:pPr>
          </w:p>
        </w:tc>
      </w:tr>
      <w:tr w14:paraId="3E564E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94" w:hRule="atLeast"/>
          <w:jc w:val="center"/>
        </w:trPr>
        <w:tc>
          <w:tcPr>
            <w:tcW w:w="1699" w:type="dxa"/>
            <w:noWrap w:val="0"/>
            <w:vAlign w:val="center"/>
          </w:tcPr>
          <w:p w14:paraId="302240F5">
            <w:pPr>
              <w:adjustRightInd w:val="0"/>
              <w:snapToGrid w:val="0"/>
              <w:jc w:val="center"/>
              <w:rPr>
                <w:rFonts w:hint="eastAsia" w:ascii="宋体" w:hAnsi="宋体" w:eastAsia="宋体" w:cs="宋体"/>
                <w:color w:val="auto"/>
                <w:sz w:val="24"/>
                <w:highlight w:val="none"/>
              </w:rPr>
            </w:pPr>
            <w:bookmarkStart w:id="388" w:name="_Toc526930795"/>
            <w:bookmarkStart w:id="389" w:name="_Toc526774284"/>
            <w:bookmarkStart w:id="390" w:name="_Toc526775983"/>
            <w:bookmarkStart w:id="391" w:name="_Toc526953687"/>
            <w:r>
              <w:rPr>
                <w:rFonts w:hint="eastAsia" w:ascii="宋体" w:hAnsi="宋体" w:eastAsia="宋体" w:cs="宋体"/>
                <w:color w:val="auto"/>
                <w:sz w:val="24"/>
                <w:highlight w:val="none"/>
              </w:rPr>
              <w:t>经营范围</w:t>
            </w:r>
            <w:bookmarkEnd w:id="388"/>
            <w:bookmarkEnd w:id="389"/>
            <w:bookmarkEnd w:id="390"/>
            <w:bookmarkEnd w:id="391"/>
          </w:p>
        </w:tc>
        <w:tc>
          <w:tcPr>
            <w:tcW w:w="8104" w:type="dxa"/>
            <w:gridSpan w:val="6"/>
            <w:noWrap w:val="0"/>
            <w:vAlign w:val="center"/>
          </w:tcPr>
          <w:p w14:paraId="47D46B50">
            <w:pPr>
              <w:adjustRightInd w:val="0"/>
              <w:snapToGrid w:val="0"/>
              <w:rPr>
                <w:rFonts w:hint="eastAsia" w:ascii="宋体" w:hAnsi="宋体" w:eastAsia="宋体" w:cs="宋体"/>
                <w:color w:val="auto"/>
                <w:sz w:val="24"/>
                <w:highlight w:val="none"/>
              </w:rPr>
            </w:pPr>
          </w:p>
        </w:tc>
      </w:tr>
      <w:tr w14:paraId="767A5D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99" w:type="dxa"/>
            <w:noWrap w:val="0"/>
            <w:vAlign w:val="center"/>
          </w:tcPr>
          <w:p w14:paraId="6C32E5A8">
            <w:pPr>
              <w:adjustRightInd w:val="0"/>
              <w:snapToGrid w:val="0"/>
              <w:jc w:val="center"/>
              <w:rPr>
                <w:rFonts w:hint="eastAsia" w:ascii="宋体" w:hAnsi="宋体" w:eastAsia="宋体" w:cs="宋体"/>
                <w:color w:val="auto"/>
                <w:sz w:val="24"/>
                <w:highlight w:val="none"/>
              </w:rPr>
            </w:pPr>
            <w:bookmarkStart w:id="392" w:name="_Toc526930796"/>
            <w:bookmarkStart w:id="393" w:name="_Toc526775984"/>
            <w:bookmarkStart w:id="394" w:name="_Toc526774285"/>
            <w:bookmarkStart w:id="395" w:name="_Toc526953688"/>
            <w:r>
              <w:rPr>
                <w:rFonts w:hint="eastAsia" w:ascii="宋体" w:hAnsi="宋体" w:eastAsia="宋体" w:cs="宋体"/>
                <w:color w:val="auto"/>
                <w:sz w:val="24"/>
                <w:highlight w:val="none"/>
              </w:rPr>
              <w:t>备    注</w:t>
            </w:r>
            <w:bookmarkEnd w:id="392"/>
            <w:bookmarkEnd w:id="393"/>
            <w:bookmarkEnd w:id="394"/>
            <w:bookmarkEnd w:id="395"/>
          </w:p>
        </w:tc>
        <w:tc>
          <w:tcPr>
            <w:tcW w:w="8104" w:type="dxa"/>
            <w:gridSpan w:val="6"/>
            <w:noWrap w:val="0"/>
            <w:vAlign w:val="center"/>
          </w:tcPr>
          <w:p w14:paraId="3C7544DD">
            <w:pPr>
              <w:adjustRightInd w:val="0"/>
              <w:snapToGrid w:val="0"/>
              <w:jc w:val="center"/>
              <w:rPr>
                <w:rFonts w:hint="eastAsia" w:ascii="宋体" w:hAnsi="宋体" w:eastAsia="宋体" w:cs="宋体"/>
                <w:color w:val="auto"/>
                <w:sz w:val="24"/>
                <w:highlight w:val="none"/>
              </w:rPr>
            </w:pPr>
          </w:p>
        </w:tc>
      </w:tr>
    </w:tbl>
    <w:p w14:paraId="3A7522EF">
      <w:pPr>
        <w:adjustRightInd w:val="0"/>
        <w:snapToGrid w:val="0"/>
        <w:spacing w:line="360" w:lineRule="auto"/>
        <w:rPr>
          <w:rFonts w:hint="eastAsia" w:ascii="宋体" w:hAnsi="宋体" w:eastAsia="宋体" w:cs="宋体"/>
          <w:color w:val="auto"/>
          <w:kern w:val="0"/>
          <w:szCs w:val="21"/>
          <w:highlight w:val="none"/>
        </w:rPr>
      </w:pPr>
    </w:p>
    <w:p w14:paraId="5417A846">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p>
    <w:p w14:paraId="115A0F00">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供应商全称：_________________________________（盖单位章）</w:t>
      </w:r>
    </w:p>
    <w:p w14:paraId="1C473102">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法定代表人（负责人）或其委托代理人：_______（签字或盖章）</w:t>
      </w:r>
    </w:p>
    <w:p w14:paraId="3E51A77B">
      <w:pPr>
        <w:adjustRightInd w:val="0"/>
        <w:snapToGrid w:val="0"/>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日    期：_________年______月______日</w:t>
      </w:r>
    </w:p>
    <w:p w14:paraId="2ED9C19A">
      <w:pPr>
        <w:adjustRightInd w:val="0"/>
        <w:snapToGrid w:val="0"/>
        <w:ind w:left="2976" w:leftChars="1417"/>
        <w:rPr>
          <w:rFonts w:hint="eastAsia" w:ascii="宋体" w:hAnsi="宋体" w:eastAsia="宋体" w:cs="宋体"/>
          <w:color w:val="auto"/>
          <w:sz w:val="24"/>
          <w:highlight w:val="none"/>
        </w:rPr>
      </w:pPr>
    </w:p>
    <w:p w14:paraId="3274A452">
      <w:pPr>
        <w:rPr>
          <w:rFonts w:hint="eastAsia" w:ascii="宋体" w:hAnsi="宋体" w:eastAsia="宋体" w:cs="宋体"/>
          <w:color w:val="auto"/>
          <w:szCs w:val="28"/>
          <w:highlight w:val="none"/>
        </w:rPr>
      </w:pPr>
    </w:p>
    <w:p w14:paraId="6DE0EF0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color w:val="auto"/>
          <w:szCs w:val="28"/>
          <w:highlight w:val="none"/>
        </w:rPr>
      </w:pPr>
      <w:r>
        <w:rPr>
          <w:rFonts w:hint="eastAsia" w:ascii="宋体" w:hAnsi="宋体" w:eastAsia="宋体" w:cs="宋体"/>
          <w:color w:val="auto"/>
          <w:szCs w:val="28"/>
          <w:highlight w:val="none"/>
          <w:lang w:eastAsia="zh-CN"/>
        </w:rPr>
        <w:br w:type="page"/>
      </w:r>
      <w:bookmarkStart w:id="396" w:name="_Toc16356"/>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商务条款偏离表</w:t>
      </w:r>
      <w:bookmarkEnd w:id="276"/>
      <w:bookmarkEnd w:id="277"/>
      <w:bookmarkEnd w:id="396"/>
    </w:p>
    <w:p w14:paraId="30C15355">
      <w:pPr>
        <w:spacing w:line="360" w:lineRule="auto"/>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供应商应逐条对应磋商文件第五章“</w:t>
      </w:r>
      <w:r>
        <w:rPr>
          <w:rFonts w:hint="eastAsia" w:ascii="宋体" w:hAnsi="宋体" w:eastAsia="宋体" w:cs="宋体"/>
          <w:color w:val="auto"/>
          <w:sz w:val="24"/>
          <w:szCs w:val="24"/>
          <w:highlight w:val="none"/>
        </w:rPr>
        <w:t>采购需求</w:t>
      </w:r>
      <w:r>
        <w:rPr>
          <w:rFonts w:hint="eastAsia" w:ascii="宋体" w:hAnsi="宋体" w:eastAsia="宋体" w:cs="宋体"/>
          <w:color w:val="auto"/>
          <w:sz w:val="24"/>
          <w:szCs w:val="32"/>
          <w:highlight w:val="none"/>
        </w:rPr>
        <w:t>”和第三章“</w:t>
      </w:r>
      <w:r>
        <w:rPr>
          <w:rFonts w:hint="eastAsia" w:ascii="宋体" w:hAnsi="宋体" w:eastAsia="宋体" w:cs="宋体"/>
          <w:b/>
          <w:bCs/>
          <w:color w:val="auto"/>
          <w:sz w:val="24"/>
          <w:szCs w:val="32"/>
          <w:highlight w:val="none"/>
        </w:rPr>
        <w:t>合同书样式及主要条款</w:t>
      </w:r>
      <w:r>
        <w:rPr>
          <w:rFonts w:hint="eastAsia" w:ascii="宋体" w:hAnsi="宋体" w:eastAsia="宋体" w:cs="宋体"/>
          <w:color w:val="auto"/>
          <w:sz w:val="24"/>
          <w:szCs w:val="32"/>
          <w:highlight w:val="none"/>
        </w:rPr>
        <w:t>”中要求的商务条件，包括合同履行期限、付款方式、实施地点、履约保证金等内容，并根据实际响应情况如实填写本表格。</w:t>
      </w:r>
    </w:p>
    <w:p w14:paraId="4BC52408">
      <w:pPr>
        <w:spacing w:line="360" w:lineRule="auto"/>
        <w:rPr>
          <w:rFonts w:hint="eastAsia" w:ascii="宋体" w:hAnsi="宋体" w:eastAsia="宋体" w:cs="宋体"/>
          <w:color w:val="auto"/>
          <w:sz w:val="24"/>
          <w:szCs w:val="32"/>
          <w:highlight w:val="none"/>
          <w:u w:val="single"/>
        </w:rPr>
      </w:pPr>
      <w:r>
        <w:rPr>
          <w:rFonts w:hint="eastAsia" w:ascii="宋体" w:hAnsi="宋体" w:eastAsia="宋体" w:cs="宋体"/>
          <w:color w:val="auto"/>
          <w:sz w:val="24"/>
          <w:szCs w:val="32"/>
          <w:highlight w:val="none"/>
        </w:rPr>
        <w:t>项目名称：</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项目编号：</w:t>
      </w:r>
      <w:r>
        <w:rPr>
          <w:rFonts w:hint="eastAsia" w:ascii="宋体" w:hAnsi="宋体" w:eastAsia="宋体" w:cs="宋体"/>
          <w:color w:val="auto"/>
          <w:sz w:val="24"/>
          <w:szCs w:val="32"/>
          <w:highlight w:val="none"/>
          <w:u w:val="single"/>
        </w:rPr>
        <w:t xml:space="preserve">                 </w:t>
      </w:r>
    </w:p>
    <w:p w14:paraId="769657C9">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A、□我公司已详细阅读磋商文件中项商务要求，所有商务要求均无偏离，成交后我公司将严格遵照执行。</w:t>
      </w:r>
    </w:p>
    <w:p w14:paraId="5F6839EF">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B、□我公司已详细阅读磋商文件中项商务要求，除下述条款有偏离外，其余条款我公司均予以认可，成交后将严格遵照执行。</w:t>
      </w:r>
    </w:p>
    <w:tbl>
      <w:tblPr>
        <w:tblStyle w:val="35"/>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4272"/>
        <w:gridCol w:w="3895"/>
      </w:tblGrid>
      <w:tr w14:paraId="1C71D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51" w:type="dxa"/>
            <w:noWrap w:val="0"/>
            <w:vAlign w:val="center"/>
          </w:tcPr>
          <w:p w14:paraId="1819AA59">
            <w:pPr>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4272" w:type="dxa"/>
            <w:noWrap w:val="0"/>
            <w:vAlign w:val="center"/>
          </w:tcPr>
          <w:p w14:paraId="40BD1C27">
            <w:pPr>
              <w:jc w:val="center"/>
              <w:rPr>
                <w:rFonts w:hint="eastAsia" w:ascii="宋体" w:hAnsi="宋体" w:eastAsia="宋体" w:cs="宋体"/>
                <w:color w:val="auto"/>
                <w:highlight w:val="none"/>
              </w:rPr>
            </w:pPr>
            <w:r>
              <w:rPr>
                <w:rFonts w:hint="eastAsia" w:ascii="宋体" w:hAnsi="宋体" w:eastAsia="宋体" w:cs="宋体"/>
                <w:color w:val="auto"/>
                <w:highlight w:val="none"/>
              </w:rPr>
              <w:t>磋商文件的商务条款要求</w:t>
            </w:r>
          </w:p>
        </w:tc>
        <w:tc>
          <w:tcPr>
            <w:tcW w:w="3895" w:type="dxa"/>
            <w:noWrap w:val="0"/>
            <w:vAlign w:val="center"/>
          </w:tcPr>
          <w:p w14:paraId="2B259E01">
            <w:pPr>
              <w:jc w:val="center"/>
              <w:rPr>
                <w:rFonts w:hint="eastAsia" w:ascii="宋体" w:hAnsi="宋体" w:eastAsia="宋体" w:cs="宋体"/>
                <w:color w:val="auto"/>
                <w:highlight w:val="none"/>
              </w:rPr>
            </w:pPr>
            <w:r>
              <w:rPr>
                <w:rFonts w:hint="eastAsia" w:ascii="宋体" w:hAnsi="宋体" w:eastAsia="宋体" w:cs="宋体"/>
                <w:color w:val="auto"/>
                <w:highlight w:val="none"/>
              </w:rPr>
              <w:t>响应文件的商务条款</w:t>
            </w:r>
          </w:p>
        </w:tc>
      </w:tr>
      <w:tr w14:paraId="02085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51" w:type="dxa"/>
            <w:noWrap w:val="0"/>
            <w:vAlign w:val="center"/>
          </w:tcPr>
          <w:p w14:paraId="4C054466">
            <w:pPr>
              <w:jc w:val="center"/>
              <w:rPr>
                <w:rFonts w:hint="eastAsia" w:ascii="宋体" w:hAnsi="宋体" w:eastAsia="宋体" w:cs="宋体"/>
                <w:color w:val="auto"/>
                <w:highlight w:val="none"/>
              </w:rPr>
            </w:pPr>
          </w:p>
        </w:tc>
        <w:tc>
          <w:tcPr>
            <w:tcW w:w="4272" w:type="dxa"/>
            <w:noWrap w:val="0"/>
            <w:vAlign w:val="center"/>
          </w:tcPr>
          <w:p w14:paraId="27DAF9D4">
            <w:pPr>
              <w:jc w:val="center"/>
              <w:rPr>
                <w:rFonts w:hint="eastAsia" w:ascii="宋体" w:hAnsi="宋体" w:eastAsia="宋体" w:cs="宋体"/>
                <w:color w:val="auto"/>
                <w:highlight w:val="none"/>
              </w:rPr>
            </w:pPr>
          </w:p>
        </w:tc>
        <w:tc>
          <w:tcPr>
            <w:tcW w:w="3895" w:type="dxa"/>
            <w:noWrap w:val="0"/>
            <w:vAlign w:val="center"/>
          </w:tcPr>
          <w:p w14:paraId="7AA4626E">
            <w:pPr>
              <w:jc w:val="center"/>
              <w:rPr>
                <w:rFonts w:hint="eastAsia" w:ascii="宋体" w:hAnsi="宋体" w:eastAsia="宋体" w:cs="宋体"/>
                <w:color w:val="auto"/>
                <w:highlight w:val="none"/>
              </w:rPr>
            </w:pPr>
          </w:p>
        </w:tc>
      </w:tr>
      <w:tr w14:paraId="3F525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51" w:type="dxa"/>
            <w:noWrap w:val="0"/>
            <w:vAlign w:val="center"/>
          </w:tcPr>
          <w:p w14:paraId="4636E6C0">
            <w:pPr>
              <w:jc w:val="center"/>
              <w:rPr>
                <w:rFonts w:hint="eastAsia" w:ascii="宋体" w:hAnsi="宋体" w:eastAsia="宋体" w:cs="宋体"/>
                <w:color w:val="auto"/>
                <w:highlight w:val="none"/>
              </w:rPr>
            </w:pPr>
          </w:p>
        </w:tc>
        <w:tc>
          <w:tcPr>
            <w:tcW w:w="4272" w:type="dxa"/>
            <w:noWrap w:val="0"/>
            <w:vAlign w:val="center"/>
          </w:tcPr>
          <w:p w14:paraId="142FD3AE">
            <w:pPr>
              <w:jc w:val="center"/>
              <w:rPr>
                <w:rFonts w:hint="eastAsia" w:ascii="宋体" w:hAnsi="宋体" w:eastAsia="宋体" w:cs="宋体"/>
                <w:color w:val="auto"/>
                <w:highlight w:val="none"/>
              </w:rPr>
            </w:pPr>
          </w:p>
        </w:tc>
        <w:tc>
          <w:tcPr>
            <w:tcW w:w="3895" w:type="dxa"/>
            <w:noWrap w:val="0"/>
            <w:vAlign w:val="center"/>
          </w:tcPr>
          <w:p w14:paraId="5674FA0C">
            <w:pPr>
              <w:jc w:val="center"/>
              <w:rPr>
                <w:rFonts w:hint="eastAsia" w:ascii="宋体" w:hAnsi="宋体" w:eastAsia="宋体" w:cs="宋体"/>
                <w:color w:val="auto"/>
                <w:highlight w:val="none"/>
              </w:rPr>
            </w:pPr>
          </w:p>
        </w:tc>
      </w:tr>
      <w:tr w14:paraId="76AC8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2" w:hRule="atLeast"/>
          <w:jc w:val="center"/>
        </w:trPr>
        <w:tc>
          <w:tcPr>
            <w:tcW w:w="751" w:type="dxa"/>
            <w:noWrap w:val="0"/>
            <w:vAlign w:val="center"/>
          </w:tcPr>
          <w:p w14:paraId="3FB24363">
            <w:pPr>
              <w:jc w:val="center"/>
              <w:rPr>
                <w:rFonts w:hint="eastAsia" w:ascii="宋体" w:hAnsi="宋体" w:eastAsia="宋体" w:cs="宋体"/>
                <w:color w:val="auto"/>
                <w:highlight w:val="none"/>
              </w:rPr>
            </w:pPr>
          </w:p>
        </w:tc>
        <w:tc>
          <w:tcPr>
            <w:tcW w:w="4272" w:type="dxa"/>
            <w:noWrap w:val="0"/>
            <w:vAlign w:val="center"/>
          </w:tcPr>
          <w:p w14:paraId="3E5015C2">
            <w:pPr>
              <w:jc w:val="center"/>
              <w:rPr>
                <w:rFonts w:hint="eastAsia" w:ascii="宋体" w:hAnsi="宋体" w:eastAsia="宋体" w:cs="宋体"/>
                <w:color w:val="auto"/>
                <w:highlight w:val="none"/>
              </w:rPr>
            </w:pPr>
          </w:p>
        </w:tc>
        <w:tc>
          <w:tcPr>
            <w:tcW w:w="3895" w:type="dxa"/>
            <w:noWrap w:val="0"/>
            <w:vAlign w:val="center"/>
          </w:tcPr>
          <w:p w14:paraId="17CC10CD">
            <w:pPr>
              <w:jc w:val="center"/>
              <w:rPr>
                <w:rFonts w:hint="eastAsia" w:ascii="宋体" w:hAnsi="宋体" w:eastAsia="宋体" w:cs="宋体"/>
                <w:color w:val="auto"/>
                <w:highlight w:val="none"/>
              </w:rPr>
            </w:pPr>
          </w:p>
        </w:tc>
      </w:tr>
    </w:tbl>
    <w:p w14:paraId="3E583387">
      <w:pPr>
        <w:spacing w:line="360" w:lineRule="auto"/>
        <w:ind w:firstLine="2" w:firstLineChars="1"/>
        <w:rPr>
          <w:rFonts w:hint="eastAsia" w:ascii="宋体" w:hAnsi="宋体" w:eastAsia="宋体" w:cs="宋体"/>
          <w:color w:val="auto"/>
          <w:szCs w:val="21"/>
          <w:highlight w:val="none"/>
        </w:rPr>
      </w:pPr>
    </w:p>
    <w:p w14:paraId="032C4F1D">
      <w:pPr>
        <w:tabs>
          <w:tab w:val="right" w:pos="8931"/>
        </w:tabs>
        <w:adjustRightInd w:val="0"/>
        <w:snapToGrid w:val="0"/>
        <w:spacing w:line="480" w:lineRule="auto"/>
        <w:rPr>
          <w:rFonts w:hint="eastAsia" w:ascii="宋体" w:hAnsi="宋体" w:eastAsia="宋体" w:cs="宋体"/>
          <w:color w:val="auto"/>
          <w:sz w:val="24"/>
          <w:szCs w:val="20"/>
          <w:highlight w:val="none"/>
        </w:rPr>
      </w:pPr>
    </w:p>
    <w:p w14:paraId="532E4BB0">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供应商全称：_________________________________（盖单位章）</w:t>
      </w:r>
    </w:p>
    <w:p w14:paraId="3488F966">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法定代表人（负责人）或其委托代理人：_______（签字或盖章）</w:t>
      </w:r>
    </w:p>
    <w:p w14:paraId="31FFCD2C">
      <w:pPr>
        <w:adjustRightInd w:val="0"/>
        <w:snapToGrid w:val="0"/>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日    期：_________年______月______日</w:t>
      </w:r>
    </w:p>
    <w:p w14:paraId="286BD0A4">
      <w:pPr>
        <w:pStyle w:val="16"/>
        <w:spacing w:line="240" w:lineRule="auto"/>
        <w:rPr>
          <w:rFonts w:hint="eastAsia" w:ascii="宋体" w:hAnsi="宋体" w:eastAsia="宋体" w:cs="宋体"/>
          <w:b/>
          <w:color w:val="auto"/>
          <w:sz w:val="24"/>
          <w:szCs w:val="24"/>
          <w:highlight w:val="none"/>
        </w:rPr>
      </w:pPr>
    </w:p>
    <w:p w14:paraId="643F2CF8">
      <w:pPr>
        <w:pStyle w:val="16"/>
        <w:spacing w:line="240" w:lineRule="auto"/>
        <w:rPr>
          <w:rFonts w:hint="eastAsia" w:ascii="宋体" w:hAnsi="宋体" w:eastAsia="宋体" w:cs="宋体"/>
          <w:b/>
          <w:color w:val="auto"/>
          <w:sz w:val="24"/>
          <w:szCs w:val="24"/>
          <w:highlight w:val="none"/>
        </w:rPr>
      </w:pPr>
    </w:p>
    <w:p w14:paraId="03A1C0FC">
      <w:pPr>
        <w:pStyle w:val="16"/>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表格填写说明：</w:t>
      </w:r>
    </w:p>
    <w:p w14:paraId="6F7879EF">
      <w:pPr>
        <w:pStyle w:val="16"/>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1、供应商根据应根据实际响应情况，填写本表格，若无偏离，则勾选A项，加盖公章即可。若有偏离，则勾选B项，按表格要求及实际情况填写后加盖公章。</w:t>
      </w:r>
    </w:p>
    <w:p w14:paraId="2213864A">
      <w:pPr>
        <w:pStyle w:val="16"/>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2、表格中“磋商文件的商务条款要求”在填写时应注明该条款在磋商文件的页码及条款号。</w:t>
      </w:r>
    </w:p>
    <w:p w14:paraId="12EFA8E8">
      <w:pPr>
        <w:pStyle w:val="16"/>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3、表格中“响应文件的商务条款”请供应商根据实际响应情况如实、完整、准确的填写。</w:t>
      </w:r>
    </w:p>
    <w:p w14:paraId="25351B5D">
      <w:pPr>
        <w:pStyle w:val="16"/>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b/>
          <w:color w:val="auto"/>
          <w:sz w:val="24"/>
          <w:szCs w:val="24"/>
          <w:highlight w:val="none"/>
        </w:rPr>
        <w:t>本表格中内容与响应文件其余部分不一致的，以本表格为准。</w:t>
      </w:r>
    </w:p>
    <w:p w14:paraId="7D56556E">
      <w:pPr>
        <w:pStyle w:val="16"/>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5、填表示例：（有偏离情况的）</w:t>
      </w:r>
    </w:p>
    <w:p w14:paraId="449A8BFC">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我公司已详细阅读磋商文件中项商务要求，所有商务要求均无偏离，中标后我公司将严格遵照执行。</w:t>
      </w:r>
    </w:p>
    <w:p w14:paraId="718BF115">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我公司已详细阅读磋商文件中项商务要求，除下述条款有偏离外，其余条款我公司均予以认可，中标后将严格遵照执行。</w:t>
      </w:r>
    </w:p>
    <w:p w14:paraId="0CD40D53">
      <w:pPr>
        <w:pStyle w:val="3"/>
        <w:keepNext/>
        <w:keepLines w:val="0"/>
        <w:pageBreakBefore w:val="0"/>
        <w:widowControl w:val="0"/>
        <w:numPr>
          <w:ilvl w:val="0"/>
          <w:numId w:val="0"/>
        </w:numPr>
        <w:kinsoku/>
        <w:wordWrap/>
        <w:overflowPunct/>
        <w:topLinePunct w:val="0"/>
        <w:autoSpaceDE/>
        <w:autoSpaceDN/>
        <w:bidi w:val="0"/>
        <w:adjustRightInd w:val="0"/>
        <w:snapToGrid w:val="0"/>
        <w:spacing w:before="0"/>
        <w:ind w:left="0" w:firstLine="0"/>
        <w:jc w:val="center"/>
        <w:textAlignment w:val="baseline"/>
        <w:rPr>
          <w:rFonts w:hint="eastAsia" w:ascii="宋体" w:hAnsi="宋体" w:eastAsia="宋体" w:cs="宋体"/>
          <w:color w:val="auto"/>
          <w:highlight w:val="none"/>
        </w:rPr>
      </w:pPr>
      <w:bookmarkStart w:id="397" w:name="_Toc21686"/>
      <w:r>
        <w:rPr>
          <w:rFonts w:hint="eastAsia" w:ascii="宋体" w:hAnsi="宋体" w:eastAsia="宋体" w:cs="宋体"/>
          <w:color w:val="auto"/>
          <w:szCs w:val="28"/>
          <w:highlight w:val="none"/>
          <w:lang w:val="en-US" w:eastAsia="zh-CN"/>
        </w:rPr>
        <w:br w:type="page"/>
      </w:r>
      <w:r>
        <w:rPr>
          <w:rFonts w:hint="eastAsia" w:ascii="宋体" w:hAnsi="宋体" w:eastAsia="宋体" w:cs="宋体"/>
          <w:color w:val="auto"/>
          <w:szCs w:val="28"/>
          <w:highlight w:val="none"/>
          <w:lang w:val="en-US" w:eastAsia="zh-CN"/>
        </w:rPr>
        <w:t>（五）项目实施方案</w:t>
      </w:r>
      <w:bookmarkEnd w:id="397"/>
    </w:p>
    <w:p w14:paraId="665500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培训服务方案包含但不限于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格式自拟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10420B8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rPr>
        <w:t>培训课程介绍；</w:t>
      </w:r>
    </w:p>
    <w:p w14:paraId="5A59723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rPr>
        <w:t>.培训时间计划；</w:t>
      </w:r>
    </w:p>
    <w:p w14:paraId="4561F3F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sz w:val="24"/>
          <w:szCs w:val="24"/>
          <w:highlight w:val="none"/>
        </w:rPr>
        <w:t>.培训场地及设施安排；</w:t>
      </w:r>
    </w:p>
    <w:p w14:paraId="1867763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sz w:val="24"/>
          <w:szCs w:val="24"/>
          <w:highlight w:val="none"/>
        </w:rPr>
        <w:t>.</w:t>
      </w:r>
      <w:r>
        <w:rPr>
          <w:rFonts w:hint="eastAsia" w:ascii="宋体" w:hAnsi="宋体" w:eastAsia="宋体" w:cs="宋体"/>
          <w:b w:val="0"/>
          <w:bCs w:val="0"/>
          <w:color w:val="auto"/>
          <w:kern w:val="0"/>
          <w:sz w:val="24"/>
          <w:highlight w:val="none"/>
          <w:lang w:val="en-US" w:eastAsia="zh-CN"/>
        </w:rPr>
        <w:t>粮油和重要农产品生产经营主体提升培训</w:t>
      </w:r>
      <w:r>
        <w:rPr>
          <w:rFonts w:hint="eastAsia" w:ascii="宋体" w:hAnsi="宋体" w:eastAsia="宋体" w:cs="宋体"/>
          <w:b w:val="0"/>
          <w:bCs w:val="0"/>
          <w:color w:val="auto"/>
          <w:kern w:val="0"/>
          <w:sz w:val="24"/>
          <w:highlight w:val="none"/>
          <w:lang w:eastAsia="zh-CN"/>
        </w:rPr>
        <w:t>（</w:t>
      </w:r>
      <w:r>
        <w:rPr>
          <w:rFonts w:hint="eastAsia" w:ascii="宋体" w:hAnsi="宋体" w:eastAsia="宋体" w:cs="宋体"/>
          <w:b w:val="0"/>
          <w:bCs w:val="0"/>
          <w:color w:val="auto"/>
          <w:kern w:val="0"/>
          <w:sz w:val="24"/>
          <w:highlight w:val="none"/>
          <w:lang w:val="en-US" w:eastAsia="zh-CN"/>
        </w:rPr>
        <w:t>草果种植管理全周期的技术培训</w:t>
      </w:r>
      <w:r>
        <w:rPr>
          <w:rFonts w:hint="eastAsia" w:ascii="宋体" w:hAnsi="宋体" w:cs="宋体"/>
          <w:b w:val="0"/>
          <w:bCs w:val="0"/>
          <w:color w:val="auto"/>
          <w:kern w:val="0"/>
          <w:sz w:val="24"/>
          <w:highlight w:val="none"/>
          <w:lang w:val="en-US" w:eastAsia="zh-CN"/>
        </w:rPr>
        <w:t>）；</w:t>
      </w:r>
    </w:p>
    <w:p w14:paraId="2070A8F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5</w:t>
      </w:r>
      <w:r>
        <w:rPr>
          <w:rFonts w:hint="eastAsia" w:ascii="宋体" w:hAnsi="宋体" w:eastAsia="宋体" w:cs="宋体"/>
          <w:color w:val="auto"/>
          <w:sz w:val="24"/>
          <w:szCs w:val="24"/>
          <w:highlight w:val="none"/>
        </w:rPr>
        <w:t>.</w:t>
      </w:r>
      <w:r>
        <w:rPr>
          <w:rFonts w:hint="eastAsia" w:ascii="宋体" w:hAnsi="宋体" w:eastAsia="宋体" w:cs="宋体"/>
          <w:b w:val="0"/>
          <w:bCs w:val="0"/>
          <w:color w:val="auto"/>
          <w:kern w:val="0"/>
          <w:sz w:val="24"/>
          <w:highlight w:val="none"/>
          <w:lang w:val="en-US" w:eastAsia="zh-CN"/>
        </w:rPr>
        <w:t>粮油和重要农产品生产经营主体提升培训</w:t>
      </w:r>
      <w:r>
        <w:rPr>
          <w:rFonts w:hint="eastAsia" w:ascii="宋体" w:hAnsi="宋体" w:eastAsia="宋体" w:cs="宋体"/>
          <w:b w:val="0"/>
          <w:bCs w:val="0"/>
          <w:color w:val="auto"/>
          <w:kern w:val="0"/>
          <w:sz w:val="24"/>
          <w:highlight w:val="none"/>
          <w:lang w:eastAsia="zh-CN"/>
        </w:rPr>
        <w:t>（</w:t>
      </w:r>
      <w:r>
        <w:rPr>
          <w:rFonts w:hint="eastAsia" w:ascii="宋体" w:hAnsi="宋体" w:eastAsia="宋体" w:cs="宋体"/>
          <w:b w:val="0"/>
          <w:bCs w:val="0"/>
          <w:color w:val="auto"/>
          <w:kern w:val="0"/>
          <w:sz w:val="24"/>
          <w:highlight w:val="none"/>
          <w:lang w:val="en-US" w:eastAsia="zh-CN"/>
        </w:rPr>
        <w:t>高山茶生态种植与特色加工技术培训</w:t>
      </w:r>
      <w:r>
        <w:rPr>
          <w:rFonts w:hint="eastAsia" w:ascii="宋体" w:hAnsi="宋体" w:cs="宋体"/>
          <w:b w:val="0"/>
          <w:bCs w:val="0"/>
          <w:color w:val="auto"/>
          <w:kern w:val="0"/>
          <w:sz w:val="24"/>
          <w:highlight w:val="none"/>
          <w:lang w:val="en-US" w:eastAsia="zh-CN"/>
        </w:rPr>
        <w:t>）；</w:t>
      </w:r>
    </w:p>
    <w:p w14:paraId="7C4ECB4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b w:val="0"/>
          <w:bCs w:val="0"/>
          <w:color w:val="auto"/>
          <w:kern w:val="0"/>
          <w:sz w:val="24"/>
          <w:highlight w:val="none"/>
          <w:lang w:val="en-US" w:eastAsia="zh-CN"/>
        </w:rPr>
        <w:t>乡村治理人才培训（民宿（农家乐）经营群体的管理素质提升培训）</w:t>
      </w:r>
      <w:r>
        <w:rPr>
          <w:rFonts w:hint="eastAsia" w:ascii="宋体" w:hAnsi="宋体" w:eastAsia="宋体" w:cs="宋体"/>
          <w:color w:val="auto"/>
          <w:sz w:val="24"/>
          <w:szCs w:val="24"/>
          <w:highlight w:val="none"/>
        </w:rPr>
        <w:t>；</w:t>
      </w:r>
    </w:p>
    <w:p w14:paraId="4998644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b w:val="0"/>
          <w:bCs w:val="0"/>
          <w:color w:val="auto"/>
          <w:kern w:val="0"/>
          <w:sz w:val="24"/>
          <w:highlight w:val="none"/>
          <w:lang w:val="en-US" w:eastAsia="zh-CN"/>
        </w:rPr>
        <w:t>文明乡风培训（</w:t>
      </w:r>
      <w:r>
        <w:rPr>
          <w:rFonts w:hint="eastAsia" w:ascii="宋体" w:hAnsi="宋体" w:eastAsia="宋体" w:cs="宋体"/>
          <w:b w:val="0"/>
          <w:bCs w:val="0"/>
          <w:color w:val="auto"/>
          <w:kern w:val="0"/>
          <w:sz w:val="24"/>
          <w:highlight w:val="none"/>
          <w:lang w:eastAsia="zh-CN"/>
        </w:rPr>
        <w:t>非遗保护和传承培训</w:t>
      </w:r>
      <w:r>
        <w:rPr>
          <w:rFonts w:hint="eastAsia" w:ascii="宋体" w:hAnsi="宋体" w:eastAsia="宋体" w:cs="宋体"/>
          <w:b w:val="0"/>
          <w:bCs w:val="0"/>
          <w:color w:val="auto"/>
          <w:kern w:val="0"/>
          <w:sz w:val="24"/>
          <w:highlight w:val="none"/>
          <w:lang w:val="en-US" w:eastAsia="zh-CN"/>
        </w:rPr>
        <w:t>）</w:t>
      </w:r>
      <w:r>
        <w:rPr>
          <w:rFonts w:hint="eastAsia" w:ascii="宋体" w:hAnsi="宋体" w:eastAsia="宋体" w:cs="宋体"/>
          <w:color w:val="auto"/>
          <w:sz w:val="24"/>
          <w:szCs w:val="24"/>
          <w:highlight w:val="none"/>
        </w:rPr>
        <w:t>。</w:t>
      </w:r>
    </w:p>
    <w:p w14:paraId="260365BD">
      <w:pPr>
        <w:rPr>
          <w:rFonts w:hint="eastAsia" w:ascii="宋体" w:hAnsi="宋体" w:eastAsia="宋体" w:cs="宋体"/>
          <w:color w:val="auto"/>
          <w:highlight w:val="none"/>
        </w:rPr>
      </w:pPr>
    </w:p>
    <w:p w14:paraId="4DB875C2">
      <w:pPr>
        <w:rPr>
          <w:rFonts w:hint="eastAsia" w:ascii="宋体" w:hAnsi="宋体" w:eastAsia="宋体" w:cs="宋体"/>
          <w:color w:val="auto"/>
          <w:highlight w:val="none"/>
        </w:rPr>
      </w:pPr>
    </w:p>
    <w:p w14:paraId="4766510E">
      <w:pPr>
        <w:rPr>
          <w:rFonts w:hint="eastAsia" w:ascii="宋体" w:hAnsi="宋体" w:eastAsia="宋体" w:cs="宋体"/>
          <w:color w:val="auto"/>
          <w:highlight w:val="none"/>
        </w:rPr>
      </w:pPr>
    </w:p>
    <w:p w14:paraId="75059F86">
      <w:pPr>
        <w:rPr>
          <w:rFonts w:hint="eastAsia" w:ascii="宋体" w:hAnsi="宋体" w:eastAsia="宋体" w:cs="宋体"/>
          <w:color w:val="auto"/>
          <w:highlight w:val="none"/>
        </w:rPr>
      </w:pPr>
    </w:p>
    <w:p w14:paraId="22C2800D">
      <w:pPr>
        <w:rPr>
          <w:rFonts w:hint="eastAsia" w:ascii="宋体" w:hAnsi="宋体" w:eastAsia="宋体" w:cs="宋体"/>
          <w:color w:val="auto"/>
          <w:highlight w:val="none"/>
        </w:rPr>
      </w:pPr>
    </w:p>
    <w:p w14:paraId="4A76809B">
      <w:pPr>
        <w:rPr>
          <w:rFonts w:hint="eastAsia" w:ascii="宋体" w:hAnsi="宋体" w:eastAsia="宋体" w:cs="宋体"/>
          <w:color w:val="auto"/>
          <w:highlight w:val="none"/>
        </w:rPr>
      </w:pPr>
    </w:p>
    <w:p w14:paraId="1515F1E6">
      <w:pPr>
        <w:rPr>
          <w:rFonts w:hint="eastAsia" w:ascii="宋体" w:hAnsi="宋体" w:eastAsia="宋体" w:cs="宋体"/>
          <w:color w:val="auto"/>
          <w:highlight w:val="none"/>
        </w:rPr>
      </w:pPr>
    </w:p>
    <w:p w14:paraId="582867CA">
      <w:pPr>
        <w:rPr>
          <w:rFonts w:hint="eastAsia" w:ascii="宋体" w:hAnsi="宋体" w:eastAsia="宋体" w:cs="宋体"/>
          <w:color w:val="auto"/>
          <w:highlight w:val="none"/>
        </w:rPr>
      </w:pPr>
    </w:p>
    <w:p w14:paraId="016098F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color w:val="auto"/>
          <w:szCs w:val="28"/>
          <w:highlight w:val="none"/>
          <w:lang w:val="en-US" w:eastAsia="zh-CN"/>
        </w:rPr>
      </w:pPr>
      <w:r>
        <w:rPr>
          <w:rFonts w:hint="eastAsia" w:ascii="宋体" w:hAnsi="宋体" w:eastAsia="宋体" w:cs="宋体"/>
          <w:b/>
          <w:color w:val="auto"/>
          <w:szCs w:val="28"/>
          <w:highlight w:val="none"/>
          <w:lang w:val="en-US" w:eastAsia="zh-CN"/>
        </w:rPr>
        <w:br w:type="page"/>
      </w:r>
      <w:bookmarkStart w:id="398" w:name="_Toc12125"/>
      <w:r>
        <w:rPr>
          <w:rFonts w:hint="eastAsia" w:ascii="宋体" w:hAnsi="宋体" w:eastAsia="宋体" w:cs="宋体"/>
          <w:b/>
          <w:color w:val="auto"/>
          <w:kern w:val="0"/>
          <w:sz w:val="28"/>
          <w:szCs w:val="28"/>
          <w:highlight w:val="none"/>
          <w:lang w:val="en-US" w:eastAsia="zh-CN" w:bidi="ar-SA"/>
        </w:rPr>
        <w:t>（六）管理制度</w:t>
      </w:r>
      <w:bookmarkEnd w:id="398"/>
    </w:p>
    <w:p w14:paraId="1CAF128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管理制度包含但不限于（</w:t>
      </w:r>
      <w:r>
        <w:rPr>
          <w:rFonts w:hint="eastAsia" w:ascii="宋体" w:hAnsi="宋体" w:eastAsia="宋体" w:cs="宋体"/>
          <w:color w:val="auto"/>
          <w:sz w:val="24"/>
          <w:szCs w:val="24"/>
          <w:highlight w:val="none"/>
        </w:rPr>
        <w:t>格式自拟</w:t>
      </w:r>
      <w:r>
        <w:rPr>
          <w:rFonts w:hint="eastAsia" w:ascii="宋体" w:hAnsi="宋体" w:eastAsia="宋体" w:cs="宋体"/>
          <w:color w:val="auto"/>
          <w:sz w:val="24"/>
          <w:szCs w:val="24"/>
          <w:highlight w:val="none"/>
          <w:lang w:val="en-US" w:eastAsia="zh-CN"/>
        </w:rPr>
        <w:t>）：</w:t>
      </w:r>
    </w:p>
    <w:p w14:paraId="0F454488">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1.组织管理制度；</w:t>
      </w:r>
    </w:p>
    <w:p w14:paraId="267E4ECC">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2.教师管理及聘任制度；</w:t>
      </w:r>
    </w:p>
    <w:p w14:paraId="565EBEBF">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3.学籍管理制度；</w:t>
      </w:r>
    </w:p>
    <w:p w14:paraId="315E5855">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4.学员考核鉴定制度；</w:t>
      </w:r>
    </w:p>
    <w:p w14:paraId="322A8F26">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5.安全管理制度；</w:t>
      </w:r>
    </w:p>
    <w:p w14:paraId="66839133">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6.档案管理制度；</w:t>
      </w:r>
    </w:p>
    <w:p w14:paraId="46936F74">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7.岗位责任制度；</w:t>
      </w:r>
    </w:p>
    <w:p w14:paraId="58A9FA44">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8.学员考勤管理制度等。</w:t>
      </w:r>
    </w:p>
    <w:p w14:paraId="2CA05AD9">
      <w:pPr>
        <w:rPr>
          <w:rFonts w:hint="eastAsia" w:ascii="宋体" w:hAnsi="宋体" w:eastAsia="宋体" w:cs="宋体"/>
          <w:color w:val="auto"/>
          <w:highlight w:val="none"/>
        </w:rPr>
      </w:pPr>
    </w:p>
    <w:p w14:paraId="79D4C8E1">
      <w:pPr>
        <w:rPr>
          <w:rFonts w:hint="eastAsia" w:ascii="宋体" w:hAnsi="宋体" w:eastAsia="宋体" w:cs="宋体"/>
          <w:color w:val="auto"/>
          <w:highlight w:val="none"/>
        </w:rPr>
      </w:pPr>
    </w:p>
    <w:p w14:paraId="1C447B11">
      <w:pPr>
        <w:rPr>
          <w:rFonts w:hint="eastAsia" w:ascii="宋体" w:hAnsi="宋体" w:eastAsia="宋体" w:cs="宋体"/>
          <w:color w:val="auto"/>
          <w:highlight w:val="none"/>
        </w:rPr>
      </w:pPr>
    </w:p>
    <w:p w14:paraId="13944788">
      <w:pPr>
        <w:rPr>
          <w:rFonts w:hint="eastAsia" w:ascii="宋体" w:hAnsi="宋体" w:eastAsia="宋体" w:cs="宋体"/>
          <w:color w:val="auto"/>
          <w:highlight w:val="none"/>
        </w:rPr>
      </w:pPr>
    </w:p>
    <w:p w14:paraId="7A1B7EF1">
      <w:pPr>
        <w:rPr>
          <w:rFonts w:hint="eastAsia" w:ascii="宋体" w:hAnsi="宋体" w:eastAsia="宋体" w:cs="宋体"/>
          <w:color w:val="auto"/>
          <w:highlight w:val="none"/>
        </w:rPr>
      </w:pPr>
    </w:p>
    <w:p w14:paraId="4466141C">
      <w:pPr>
        <w:rPr>
          <w:rFonts w:hint="eastAsia" w:ascii="宋体" w:hAnsi="宋体" w:eastAsia="宋体" w:cs="宋体"/>
          <w:color w:val="auto"/>
          <w:highlight w:val="none"/>
        </w:rPr>
      </w:pPr>
    </w:p>
    <w:p w14:paraId="3AF0D2C4">
      <w:pPr>
        <w:rPr>
          <w:rFonts w:hint="eastAsia" w:ascii="宋体" w:hAnsi="宋体" w:eastAsia="宋体" w:cs="宋体"/>
          <w:color w:val="auto"/>
          <w:highlight w:val="none"/>
        </w:rPr>
      </w:pPr>
    </w:p>
    <w:p w14:paraId="28D7791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b/>
          <w:color w:val="auto"/>
          <w:szCs w:val="28"/>
          <w:highlight w:val="none"/>
          <w:lang w:val="en-US" w:eastAsia="zh-CN"/>
        </w:rPr>
      </w:pPr>
      <w:r>
        <w:rPr>
          <w:rFonts w:hint="eastAsia" w:ascii="宋体" w:hAnsi="宋体" w:eastAsia="宋体" w:cs="宋体"/>
          <w:color w:val="auto"/>
          <w:szCs w:val="28"/>
          <w:highlight w:val="none"/>
          <w:lang w:val="en-US" w:eastAsia="zh-CN"/>
        </w:rPr>
        <w:br w:type="page"/>
      </w:r>
      <w:bookmarkStart w:id="399" w:name="_Toc4038"/>
      <w:r>
        <w:rPr>
          <w:rFonts w:hint="eastAsia" w:ascii="宋体" w:hAnsi="宋体" w:eastAsia="宋体" w:cs="宋体"/>
          <w:b/>
          <w:color w:val="auto"/>
          <w:kern w:val="0"/>
          <w:sz w:val="28"/>
          <w:szCs w:val="28"/>
          <w:highlight w:val="none"/>
          <w:lang w:val="en-US" w:eastAsia="zh-CN" w:bidi="ar-SA"/>
        </w:rPr>
        <w:t>（七）教学实施方案</w:t>
      </w:r>
      <w:bookmarkEnd w:id="399"/>
    </w:p>
    <w:p w14:paraId="7228AEE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格式自拟</w:t>
      </w:r>
    </w:p>
    <w:p w14:paraId="4CEA9F88">
      <w:pPr>
        <w:rPr>
          <w:rFonts w:hint="eastAsia" w:ascii="宋体" w:hAnsi="宋体" w:eastAsia="宋体" w:cs="宋体"/>
          <w:color w:val="auto"/>
          <w:highlight w:val="none"/>
        </w:rPr>
      </w:pPr>
    </w:p>
    <w:p w14:paraId="656DD4E1">
      <w:pPr>
        <w:rPr>
          <w:rFonts w:hint="eastAsia" w:ascii="宋体" w:hAnsi="宋体" w:eastAsia="宋体" w:cs="宋体"/>
          <w:color w:val="auto"/>
          <w:highlight w:val="none"/>
        </w:rPr>
      </w:pPr>
    </w:p>
    <w:p w14:paraId="445B1641">
      <w:pPr>
        <w:rPr>
          <w:rFonts w:hint="eastAsia" w:ascii="宋体" w:hAnsi="宋体" w:eastAsia="宋体" w:cs="宋体"/>
          <w:color w:val="auto"/>
          <w:highlight w:val="none"/>
        </w:rPr>
      </w:pPr>
    </w:p>
    <w:p w14:paraId="4F747CF9">
      <w:pPr>
        <w:rPr>
          <w:rFonts w:hint="eastAsia" w:ascii="宋体" w:hAnsi="宋体" w:eastAsia="宋体" w:cs="宋体"/>
          <w:color w:val="auto"/>
          <w:highlight w:val="none"/>
        </w:rPr>
      </w:pPr>
    </w:p>
    <w:p w14:paraId="0433235B">
      <w:pPr>
        <w:rPr>
          <w:rFonts w:hint="eastAsia" w:ascii="宋体" w:hAnsi="宋体" w:eastAsia="宋体" w:cs="宋体"/>
          <w:color w:val="auto"/>
          <w:highlight w:val="none"/>
        </w:rPr>
      </w:pPr>
    </w:p>
    <w:p w14:paraId="00E3AC95">
      <w:pPr>
        <w:rPr>
          <w:rFonts w:hint="eastAsia" w:ascii="宋体" w:hAnsi="宋体" w:eastAsia="宋体" w:cs="宋体"/>
          <w:color w:val="auto"/>
          <w:highlight w:val="none"/>
        </w:rPr>
      </w:pPr>
    </w:p>
    <w:p w14:paraId="072A61FA">
      <w:pPr>
        <w:rPr>
          <w:rFonts w:hint="eastAsia" w:ascii="宋体" w:hAnsi="宋体" w:eastAsia="宋体" w:cs="宋体"/>
          <w:color w:val="auto"/>
          <w:highlight w:val="none"/>
        </w:rPr>
      </w:pPr>
    </w:p>
    <w:p w14:paraId="17620643">
      <w:pPr>
        <w:rPr>
          <w:rFonts w:hint="eastAsia" w:ascii="宋体" w:hAnsi="宋体" w:eastAsia="宋体" w:cs="宋体"/>
          <w:color w:val="auto"/>
          <w:highlight w:val="none"/>
        </w:rPr>
      </w:pPr>
    </w:p>
    <w:p w14:paraId="2223DAFE">
      <w:pPr>
        <w:rPr>
          <w:rFonts w:hint="eastAsia" w:ascii="宋体" w:hAnsi="宋体" w:eastAsia="宋体" w:cs="宋体"/>
          <w:color w:val="auto"/>
          <w:highlight w:val="none"/>
        </w:rPr>
      </w:pPr>
    </w:p>
    <w:p w14:paraId="1B87DB1D">
      <w:pPr>
        <w:rPr>
          <w:rFonts w:hint="eastAsia" w:ascii="宋体" w:hAnsi="宋体" w:eastAsia="宋体" w:cs="宋体"/>
          <w:color w:val="auto"/>
          <w:highlight w:val="none"/>
        </w:rPr>
      </w:pPr>
    </w:p>
    <w:p w14:paraId="7207B9F3">
      <w:pPr>
        <w:rPr>
          <w:rFonts w:hint="eastAsia" w:ascii="宋体" w:hAnsi="宋体" w:eastAsia="宋体" w:cs="宋体"/>
          <w:color w:val="auto"/>
          <w:highlight w:val="none"/>
        </w:rPr>
      </w:pPr>
    </w:p>
    <w:p w14:paraId="73AC2748">
      <w:pPr>
        <w:rPr>
          <w:rFonts w:hint="eastAsia" w:ascii="宋体" w:hAnsi="宋体" w:eastAsia="宋体" w:cs="宋体"/>
          <w:color w:val="auto"/>
          <w:highlight w:val="none"/>
        </w:rPr>
      </w:pPr>
    </w:p>
    <w:p w14:paraId="386EEBAA">
      <w:pPr>
        <w:pStyle w:val="3"/>
        <w:numPr>
          <w:ilvl w:val="0"/>
          <w:numId w:val="0"/>
        </w:numPr>
        <w:ind w:left="284" w:hanging="284"/>
        <w:jc w:val="center"/>
        <w:rPr>
          <w:rFonts w:hint="eastAsia" w:ascii="宋体" w:hAnsi="宋体" w:eastAsia="宋体" w:cs="宋体"/>
          <w:b/>
          <w:color w:val="auto"/>
          <w:szCs w:val="28"/>
          <w:highlight w:val="none"/>
          <w:lang w:val="en-US" w:eastAsia="zh-CN"/>
        </w:rPr>
      </w:pPr>
      <w:bookmarkStart w:id="400" w:name="_Toc10848"/>
      <w:r>
        <w:rPr>
          <w:rFonts w:hint="eastAsia" w:ascii="宋体" w:hAnsi="宋体" w:eastAsia="宋体" w:cs="宋体"/>
          <w:b/>
          <w:color w:val="auto"/>
          <w:szCs w:val="28"/>
          <w:highlight w:val="none"/>
          <w:lang w:val="en-US" w:eastAsia="zh-CN"/>
        </w:rPr>
        <w:t>（八）投入本项目设施设备</w:t>
      </w:r>
      <w:bookmarkEnd w:id="400"/>
    </w:p>
    <w:p w14:paraId="4E0D5C9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格式自拟</w:t>
      </w:r>
    </w:p>
    <w:p w14:paraId="3BF70D4D">
      <w:pPr>
        <w:rPr>
          <w:rFonts w:hint="eastAsia" w:ascii="宋体" w:hAnsi="宋体" w:eastAsia="宋体" w:cs="宋体"/>
          <w:color w:val="auto"/>
          <w:highlight w:val="none"/>
        </w:rPr>
      </w:pPr>
    </w:p>
    <w:p w14:paraId="2DEECC86">
      <w:pPr>
        <w:rPr>
          <w:rFonts w:hint="eastAsia" w:ascii="宋体" w:hAnsi="宋体" w:eastAsia="宋体" w:cs="宋体"/>
          <w:color w:val="auto"/>
          <w:highlight w:val="none"/>
        </w:rPr>
      </w:pPr>
    </w:p>
    <w:p w14:paraId="758FC742">
      <w:pPr>
        <w:rPr>
          <w:rFonts w:hint="eastAsia" w:ascii="宋体" w:hAnsi="宋体" w:eastAsia="宋体" w:cs="宋体"/>
          <w:color w:val="auto"/>
          <w:highlight w:val="none"/>
        </w:rPr>
      </w:pPr>
    </w:p>
    <w:p w14:paraId="5D103AD1">
      <w:pPr>
        <w:rPr>
          <w:rFonts w:hint="eastAsia" w:ascii="宋体" w:hAnsi="宋体" w:eastAsia="宋体" w:cs="宋体"/>
          <w:color w:val="auto"/>
          <w:highlight w:val="none"/>
        </w:rPr>
      </w:pPr>
    </w:p>
    <w:p w14:paraId="2309F175">
      <w:pPr>
        <w:rPr>
          <w:rFonts w:hint="eastAsia" w:ascii="宋体" w:hAnsi="宋体" w:eastAsia="宋体" w:cs="宋体"/>
          <w:color w:val="auto"/>
          <w:highlight w:val="none"/>
        </w:rPr>
      </w:pPr>
    </w:p>
    <w:p w14:paraId="37E9BE83">
      <w:pPr>
        <w:rPr>
          <w:rFonts w:hint="eastAsia" w:ascii="宋体" w:hAnsi="宋体" w:eastAsia="宋体" w:cs="宋体"/>
          <w:color w:val="auto"/>
          <w:highlight w:val="none"/>
        </w:rPr>
      </w:pPr>
    </w:p>
    <w:p w14:paraId="6A035A60">
      <w:pPr>
        <w:rPr>
          <w:rFonts w:hint="eastAsia" w:ascii="宋体" w:hAnsi="宋体" w:eastAsia="宋体" w:cs="宋体"/>
          <w:color w:val="auto"/>
          <w:highlight w:val="none"/>
        </w:rPr>
      </w:pPr>
    </w:p>
    <w:p w14:paraId="4CA7594E">
      <w:pPr>
        <w:rPr>
          <w:rFonts w:hint="eastAsia" w:ascii="宋体" w:hAnsi="宋体" w:eastAsia="宋体" w:cs="宋体"/>
          <w:color w:val="auto"/>
          <w:highlight w:val="none"/>
        </w:rPr>
      </w:pPr>
    </w:p>
    <w:p w14:paraId="0A5D721A">
      <w:pPr>
        <w:rPr>
          <w:rFonts w:hint="eastAsia" w:ascii="宋体" w:hAnsi="宋体" w:eastAsia="宋体" w:cs="宋体"/>
          <w:color w:val="auto"/>
          <w:highlight w:val="none"/>
        </w:rPr>
      </w:pPr>
    </w:p>
    <w:p w14:paraId="780F2303">
      <w:pPr>
        <w:rPr>
          <w:rFonts w:hint="eastAsia" w:ascii="宋体" w:hAnsi="宋体" w:eastAsia="宋体" w:cs="宋体"/>
          <w:color w:val="auto"/>
          <w:highlight w:val="none"/>
        </w:rPr>
      </w:pPr>
    </w:p>
    <w:p w14:paraId="1BEE4FF6">
      <w:pPr>
        <w:rPr>
          <w:rFonts w:hint="eastAsia" w:ascii="宋体" w:hAnsi="宋体" w:eastAsia="宋体" w:cs="宋体"/>
          <w:color w:val="auto"/>
          <w:highlight w:val="none"/>
        </w:rPr>
      </w:pPr>
    </w:p>
    <w:p w14:paraId="0100CD29">
      <w:pPr>
        <w:rPr>
          <w:rFonts w:hint="eastAsia" w:ascii="宋体" w:hAnsi="宋体" w:eastAsia="宋体" w:cs="宋体"/>
          <w:color w:val="auto"/>
          <w:highlight w:val="none"/>
        </w:rPr>
      </w:pPr>
    </w:p>
    <w:p w14:paraId="0CAB0871">
      <w:pPr>
        <w:rPr>
          <w:rFonts w:hint="eastAsia" w:ascii="宋体" w:hAnsi="宋体" w:eastAsia="宋体" w:cs="宋体"/>
          <w:b/>
          <w:color w:val="auto"/>
          <w:kern w:val="0"/>
          <w:sz w:val="28"/>
          <w:szCs w:val="28"/>
          <w:highlight w:val="none"/>
          <w:lang w:val="en-US" w:eastAsia="zh-CN" w:bidi="ar-SA"/>
        </w:rPr>
      </w:pPr>
    </w:p>
    <w:p w14:paraId="05A28E2C">
      <w:pPr>
        <w:pStyle w:val="3"/>
        <w:numPr>
          <w:ilvl w:val="0"/>
          <w:numId w:val="0"/>
        </w:numPr>
        <w:ind w:left="284" w:hanging="284"/>
        <w:jc w:val="center"/>
        <w:rPr>
          <w:rFonts w:hint="eastAsia" w:ascii="宋体" w:hAnsi="宋体" w:eastAsia="宋体" w:cs="宋体"/>
          <w:b/>
          <w:color w:val="auto"/>
          <w:szCs w:val="28"/>
          <w:highlight w:val="none"/>
          <w:lang w:val="en-US" w:eastAsia="zh-CN"/>
        </w:rPr>
      </w:pPr>
      <w:bookmarkStart w:id="401" w:name="_Toc16453"/>
      <w:r>
        <w:rPr>
          <w:rFonts w:hint="eastAsia" w:ascii="宋体" w:hAnsi="宋体" w:eastAsia="宋体" w:cs="宋体"/>
          <w:b/>
          <w:color w:val="auto"/>
          <w:szCs w:val="28"/>
          <w:highlight w:val="none"/>
          <w:lang w:val="en-US" w:eastAsia="zh-CN"/>
        </w:rPr>
        <w:t>（九）服务质量承诺、保证措施及违约处罚措施</w:t>
      </w:r>
      <w:bookmarkEnd w:id="401"/>
    </w:p>
    <w:p w14:paraId="1E92CBD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格式自拟</w:t>
      </w:r>
    </w:p>
    <w:p w14:paraId="70FADD6D">
      <w:pPr>
        <w:rPr>
          <w:rFonts w:hint="eastAsia" w:ascii="宋体" w:hAnsi="宋体" w:eastAsia="宋体" w:cs="宋体"/>
          <w:b/>
          <w:color w:val="auto"/>
          <w:kern w:val="0"/>
          <w:sz w:val="28"/>
          <w:szCs w:val="28"/>
          <w:highlight w:val="none"/>
          <w:lang w:val="en-US" w:eastAsia="zh-CN" w:bidi="ar-SA"/>
        </w:rPr>
      </w:pPr>
    </w:p>
    <w:p w14:paraId="6E31BD85">
      <w:pPr>
        <w:jc w:val="center"/>
        <w:rPr>
          <w:rFonts w:hint="eastAsia" w:ascii="宋体" w:hAnsi="宋体" w:eastAsia="宋体" w:cs="宋体"/>
          <w:color w:val="auto"/>
          <w:szCs w:val="28"/>
          <w:highlight w:val="none"/>
          <w:lang w:val="en-US" w:eastAsia="zh-CN"/>
        </w:rPr>
      </w:pPr>
      <w:r>
        <w:rPr>
          <w:rFonts w:hint="eastAsia" w:ascii="宋体" w:hAnsi="宋体" w:eastAsia="宋体" w:cs="宋体"/>
          <w:color w:val="auto"/>
          <w:szCs w:val="28"/>
          <w:highlight w:val="none"/>
          <w:lang w:val="en-US" w:eastAsia="zh-CN"/>
        </w:rPr>
        <w:br w:type="page"/>
      </w:r>
      <w:bookmarkStart w:id="402" w:name="_Toc16878"/>
      <w:r>
        <w:rPr>
          <w:rFonts w:hint="eastAsia" w:ascii="宋体" w:hAnsi="宋体" w:eastAsia="宋体" w:cs="宋体"/>
          <w:b/>
          <w:color w:val="auto"/>
          <w:kern w:val="0"/>
          <w:sz w:val="28"/>
          <w:szCs w:val="28"/>
          <w:highlight w:val="none"/>
          <w:lang w:val="en-US" w:eastAsia="zh-CN" w:bidi="ar-SA"/>
        </w:rPr>
        <w:t>（十）项目人员配置</w:t>
      </w:r>
      <w:bookmarkEnd w:id="402"/>
    </w:p>
    <w:tbl>
      <w:tblPr>
        <w:tblStyle w:val="35"/>
        <w:tblW w:w="10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5"/>
        <w:gridCol w:w="1288"/>
        <w:gridCol w:w="866"/>
        <w:gridCol w:w="2011"/>
        <w:gridCol w:w="1039"/>
        <w:gridCol w:w="1184"/>
        <w:gridCol w:w="2081"/>
        <w:gridCol w:w="1037"/>
      </w:tblGrid>
      <w:tr w14:paraId="1A1CD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atLeast"/>
          <w:jc w:val="center"/>
        </w:trPr>
        <w:tc>
          <w:tcPr>
            <w:tcW w:w="675" w:type="dxa"/>
            <w:noWrap w:val="0"/>
            <w:vAlign w:val="center"/>
          </w:tcPr>
          <w:p w14:paraId="0F3995C7">
            <w:pPr>
              <w:pStyle w:val="104"/>
              <w:jc w:val="center"/>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t>序号</w:t>
            </w:r>
          </w:p>
        </w:tc>
        <w:tc>
          <w:tcPr>
            <w:tcW w:w="1288" w:type="dxa"/>
            <w:noWrap w:val="0"/>
            <w:vAlign w:val="center"/>
          </w:tcPr>
          <w:p w14:paraId="5EC82376">
            <w:pPr>
              <w:pStyle w:val="104"/>
              <w:jc w:val="center"/>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t>姓名</w:t>
            </w:r>
          </w:p>
        </w:tc>
        <w:tc>
          <w:tcPr>
            <w:tcW w:w="866" w:type="dxa"/>
            <w:noWrap w:val="0"/>
            <w:vAlign w:val="center"/>
          </w:tcPr>
          <w:p w14:paraId="5A820434">
            <w:pPr>
              <w:pStyle w:val="104"/>
              <w:jc w:val="center"/>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t>性别</w:t>
            </w:r>
          </w:p>
        </w:tc>
        <w:tc>
          <w:tcPr>
            <w:tcW w:w="2011" w:type="dxa"/>
            <w:noWrap w:val="0"/>
            <w:vAlign w:val="center"/>
          </w:tcPr>
          <w:p w14:paraId="4199D3EC">
            <w:pPr>
              <w:pStyle w:val="104"/>
              <w:jc w:val="center"/>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t>担任本项目的职务</w:t>
            </w:r>
          </w:p>
        </w:tc>
        <w:tc>
          <w:tcPr>
            <w:tcW w:w="1039" w:type="dxa"/>
            <w:noWrap w:val="0"/>
            <w:vAlign w:val="center"/>
          </w:tcPr>
          <w:p w14:paraId="385B7128">
            <w:pPr>
              <w:pStyle w:val="104"/>
              <w:jc w:val="center"/>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t>专业</w:t>
            </w:r>
          </w:p>
        </w:tc>
        <w:tc>
          <w:tcPr>
            <w:tcW w:w="1184" w:type="dxa"/>
            <w:noWrap w:val="0"/>
            <w:vAlign w:val="center"/>
          </w:tcPr>
          <w:p w14:paraId="76D0EC00">
            <w:pPr>
              <w:pStyle w:val="104"/>
              <w:jc w:val="center"/>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t>职称</w:t>
            </w:r>
          </w:p>
        </w:tc>
        <w:tc>
          <w:tcPr>
            <w:tcW w:w="2081" w:type="dxa"/>
            <w:noWrap w:val="0"/>
            <w:vAlign w:val="center"/>
          </w:tcPr>
          <w:p w14:paraId="6D6D1B78">
            <w:pPr>
              <w:pStyle w:val="104"/>
              <w:jc w:val="center"/>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t>相关证书编号</w:t>
            </w:r>
          </w:p>
        </w:tc>
        <w:tc>
          <w:tcPr>
            <w:tcW w:w="1037" w:type="dxa"/>
            <w:noWrap w:val="0"/>
            <w:vAlign w:val="center"/>
          </w:tcPr>
          <w:p w14:paraId="7B780642">
            <w:pPr>
              <w:pStyle w:val="104"/>
              <w:jc w:val="center"/>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t>备注</w:t>
            </w:r>
          </w:p>
        </w:tc>
      </w:tr>
      <w:tr w14:paraId="72D72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jc w:val="center"/>
        </w:trPr>
        <w:tc>
          <w:tcPr>
            <w:tcW w:w="675" w:type="dxa"/>
            <w:noWrap w:val="0"/>
            <w:vAlign w:val="center"/>
          </w:tcPr>
          <w:p w14:paraId="3D3F709A">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288" w:type="dxa"/>
            <w:noWrap w:val="0"/>
            <w:vAlign w:val="center"/>
          </w:tcPr>
          <w:p w14:paraId="7F0721A0">
            <w:pPr>
              <w:pStyle w:val="104"/>
              <w:jc w:val="center"/>
              <w:rPr>
                <w:rFonts w:hint="eastAsia" w:ascii="宋体" w:hAnsi="宋体" w:eastAsia="宋体" w:cs="宋体"/>
                <w:color w:val="auto"/>
                <w:sz w:val="20"/>
                <w:highlight w:val="none"/>
              </w:rPr>
            </w:pPr>
          </w:p>
        </w:tc>
        <w:tc>
          <w:tcPr>
            <w:tcW w:w="866" w:type="dxa"/>
            <w:noWrap w:val="0"/>
            <w:vAlign w:val="center"/>
          </w:tcPr>
          <w:p w14:paraId="19B69B8A">
            <w:pPr>
              <w:pStyle w:val="104"/>
              <w:jc w:val="center"/>
              <w:rPr>
                <w:rFonts w:hint="eastAsia" w:ascii="宋体" w:hAnsi="宋体" w:eastAsia="宋体" w:cs="宋体"/>
                <w:color w:val="auto"/>
                <w:sz w:val="20"/>
                <w:highlight w:val="none"/>
              </w:rPr>
            </w:pPr>
          </w:p>
        </w:tc>
        <w:tc>
          <w:tcPr>
            <w:tcW w:w="2011" w:type="dxa"/>
            <w:noWrap w:val="0"/>
            <w:vAlign w:val="center"/>
          </w:tcPr>
          <w:p w14:paraId="1DA53D09">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项目负责人</w:t>
            </w:r>
          </w:p>
        </w:tc>
        <w:tc>
          <w:tcPr>
            <w:tcW w:w="1039" w:type="dxa"/>
            <w:noWrap w:val="0"/>
            <w:vAlign w:val="center"/>
          </w:tcPr>
          <w:p w14:paraId="3D4A5988">
            <w:pPr>
              <w:pStyle w:val="104"/>
              <w:jc w:val="center"/>
              <w:rPr>
                <w:rFonts w:hint="eastAsia" w:ascii="宋体" w:hAnsi="宋体" w:eastAsia="宋体" w:cs="宋体"/>
                <w:color w:val="auto"/>
                <w:sz w:val="20"/>
                <w:highlight w:val="none"/>
              </w:rPr>
            </w:pPr>
          </w:p>
        </w:tc>
        <w:tc>
          <w:tcPr>
            <w:tcW w:w="1184" w:type="dxa"/>
            <w:noWrap w:val="0"/>
            <w:vAlign w:val="center"/>
          </w:tcPr>
          <w:p w14:paraId="14FCE0BE">
            <w:pPr>
              <w:pStyle w:val="104"/>
              <w:jc w:val="center"/>
              <w:rPr>
                <w:rFonts w:hint="eastAsia" w:ascii="宋体" w:hAnsi="宋体" w:eastAsia="宋体" w:cs="宋体"/>
                <w:color w:val="auto"/>
                <w:sz w:val="20"/>
                <w:highlight w:val="none"/>
              </w:rPr>
            </w:pPr>
          </w:p>
        </w:tc>
        <w:tc>
          <w:tcPr>
            <w:tcW w:w="2081" w:type="dxa"/>
            <w:noWrap w:val="0"/>
            <w:vAlign w:val="center"/>
          </w:tcPr>
          <w:p w14:paraId="15C80F16">
            <w:pPr>
              <w:pStyle w:val="104"/>
              <w:jc w:val="center"/>
              <w:rPr>
                <w:rFonts w:hint="eastAsia" w:ascii="宋体" w:hAnsi="宋体" w:eastAsia="宋体" w:cs="宋体"/>
                <w:color w:val="auto"/>
                <w:sz w:val="20"/>
                <w:highlight w:val="none"/>
              </w:rPr>
            </w:pPr>
          </w:p>
        </w:tc>
        <w:tc>
          <w:tcPr>
            <w:tcW w:w="1037" w:type="dxa"/>
            <w:noWrap w:val="0"/>
            <w:vAlign w:val="center"/>
          </w:tcPr>
          <w:p w14:paraId="6A964B10">
            <w:pPr>
              <w:pStyle w:val="104"/>
              <w:jc w:val="center"/>
              <w:rPr>
                <w:rFonts w:hint="eastAsia" w:ascii="宋体" w:hAnsi="宋体" w:eastAsia="宋体" w:cs="宋体"/>
                <w:color w:val="auto"/>
                <w:sz w:val="20"/>
                <w:highlight w:val="none"/>
              </w:rPr>
            </w:pPr>
          </w:p>
        </w:tc>
      </w:tr>
      <w:tr w14:paraId="106D0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jc w:val="center"/>
        </w:trPr>
        <w:tc>
          <w:tcPr>
            <w:tcW w:w="675" w:type="dxa"/>
            <w:noWrap w:val="0"/>
            <w:vAlign w:val="center"/>
          </w:tcPr>
          <w:p w14:paraId="55F86D4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c>
          <w:tcPr>
            <w:tcW w:w="1288" w:type="dxa"/>
            <w:noWrap w:val="0"/>
            <w:vAlign w:val="center"/>
          </w:tcPr>
          <w:p w14:paraId="2F57A017">
            <w:pPr>
              <w:pStyle w:val="104"/>
              <w:jc w:val="center"/>
              <w:rPr>
                <w:rFonts w:hint="eastAsia" w:ascii="宋体" w:hAnsi="宋体" w:eastAsia="宋体" w:cs="宋体"/>
                <w:color w:val="auto"/>
                <w:sz w:val="20"/>
                <w:highlight w:val="none"/>
              </w:rPr>
            </w:pPr>
          </w:p>
        </w:tc>
        <w:tc>
          <w:tcPr>
            <w:tcW w:w="866" w:type="dxa"/>
            <w:noWrap w:val="0"/>
            <w:vAlign w:val="center"/>
          </w:tcPr>
          <w:p w14:paraId="298933C3">
            <w:pPr>
              <w:pStyle w:val="104"/>
              <w:jc w:val="center"/>
              <w:rPr>
                <w:rFonts w:hint="eastAsia" w:ascii="宋体" w:hAnsi="宋体" w:eastAsia="宋体" w:cs="宋体"/>
                <w:color w:val="auto"/>
                <w:sz w:val="20"/>
                <w:highlight w:val="none"/>
              </w:rPr>
            </w:pPr>
          </w:p>
        </w:tc>
        <w:tc>
          <w:tcPr>
            <w:tcW w:w="2011" w:type="dxa"/>
            <w:noWrap w:val="0"/>
            <w:vAlign w:val="center"/>
          </w:tcPr>
          <w:p w14:paraId="2F0C219D">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班主任</w:t>
            </w:r>
          </w:p>
        </w:tc>
        <w:tc>
          <w:tcPr>
            <w:tcW w:w="1039" w:type="dxa"/>
            <w:noWrap w:val="0"/>
            <w:vAlign w:val="center"/>
          </w:tcPr>
          <w:p w14:paraId="38F6EC4E">
            <w:pPr>
              <w:pStyle w:val="104"/>
              <w:jc w:val="center"/>
              <w:rPr>
                <w:rFonts w:hint="eastAsia" w:ascii="宋体" w:hAnsi="宋体" w:eastAsia="宋体" w:cs="宋体"/>
                <w:color w:val="auto"/>
                <w:sz w:val="20"/>
                <w:highlight w:val="none"/>
              </w:rPr>
            </w:pPr>
          </w:p>
        </w:tc>
        <w:tc>
          <w:tcPr>
            <w:tcW w:w="1184" w:type="dxa"/>
            <w:noWrap w:val="0"/>
            <w:vAlign w:val="center"/>
          </w:tcPr>
          <w:p w14:paraId="41CAA028">
            <w:pPr>
              <w:pStyle w:val="104"/>
              <w:jc w:val="center"/>
              <w:rPr>
                <w:rFonts w:hint="eastAsia" w:ascii="宋体" w:hAnsi="宋体" w:eastAsia="宋体" w:cs="宋体"/>
                <w:color w:val="auto"/>
                <w:sz w:val="20"/>
                <w:highlight w:val="none"/>
              </w:rPr>
            </w:pPr>
          </w:p>
        </w:tc>
        <w:tc>
          <w:tcPr>
            <w:tcW w:w="2081" w:type="dxa"/>
            <w:noWrap w:val="0"/>
            <w:vAlign w:val="center"/>
          </w:tcPr>
          <w:p w14:paraId="3002B1F8">
            <w:pPr>
              <w:pStyle w:val="104"/>
              <w:jc w:val="center"/>
              <w:rPr>
                <w:rFonts w:hint="eastAsia" w:ascii="宋体" w:hAnsi="宋体" w:eastAsia="宋体" w:cs="宋体"/>
                <w:color w:val="auto"/>
                <w:sz w:val="20"/>
                <w:highlight w:val="none"/>
              </w:rPr>
            </w:pPr>
          </w:p>
        </w:tc>
        <w:tc>
          <w:tcPr>
            <w:tcW w:w="1037" w:type="dxa"/>
            <w:noWrap w:val="0"/>
            <w:vAlign w:val="center"/>
          </w:tcPr>
          <w:p w14:paraId="5482879E">
            <w:pPr>
              <w:pStyle w:val="104"/>
              <w:jc w:val="center"/>
              <w:rPr>
                <w:rFonts w:hint="eastAsia" w:ascii="宋体" w:hAnsi="宋体" w:eastAsia="宋体" w:cs="宋体"/>
                <w:color w:val="auto"/>
                <w:sz w:val="20"/>
                <w:highlight w:val="none"/>
              </w:rPr>
            </w:pPr>
          </w:p>
        </w:tc>
      </w:tr>
      <w:tr w14:paraId="40F63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jc w:val="center"/>
        </w:trPr>
        <w:tc>
          <w:tcPr>
            <w:tcW w:w="675" w:type="dxa"/>
            <w:noWrap w:val="0"/>
            <w:vAlign w:val="center"/>
          </w:tcPr>
          <w:p w14:paraId="30382E6D">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3</w:t>
            </w:r>
          </w:p>
        </w:tc>
        <w:tc>
          <w:tcPr>
            <w:tcW w:w="1288" w:type="dxa"/>
            <w:noWrap w:val="0"/>
            <w:vAlign w:val="center"/>
          </w:tcPr>
          <w:p w14:paraId="00DC6A5B">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866" w:type="dxa"/>
            <w:noWrap w:val="0"/>
            <w:vAlign w:val="center"/>
          </w:tcPr>
          <w:p w14:paraId="37DEA8EF">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2011" w:type="dxa"/>
            <w:noWrap w:val="0"/>
            <w:vAlign w:val="center"/>
          </w:tcPr>
          <w:p w14:paraId="6417F93C">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039" w:type="dxa"/>
            <w:noWrap w:val="0"/>
            <w:vAlign w:val="center"/>
          </w:tcPr>
          <w:p w14:paraId="7AE58BC8">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1184" w:type="dxa"/>
            <w:noWrap w:val="0"/>
            <w:vAlign w:val="center"/>
          </w:tcPr>
          <w:p w14:paraId="7086C3E0">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2081" w:type="dxa"/>
            <w:noWrap w:val="0"/>
            <w:vAlign w:val="center"/>
          </w:tcPr>
          <w:p w14:paraId="186D2053">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1037" w:type="dxa"/>
            <w:noWrap w:val="0"/>
            <w:vAlign w:val="center"/>
          </w:tcPr>
          <w:p w14:paraId="6F75BDBB">
            <w:pPr>
              <w:pStyle w:val="104"/>
              <w:jc w:val="center"/>
              <w:rPr>
                <w:rFonts w:hint="eastAsia" w:ascii="宋体" w:hAnsi="宋体" w:eastAsia="宋体" w:cs="宋体"/>
                <w:color w:val="auto"/>
                <w:sz w:val="20"/>
                <w:highlight w:val="none"/>
              </w:rPr>
            </w:pPr>
          </w:p>
        </w:tc>
      </w:tr>
      <w:tr w14:paraId="3D6EB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75" w:type="dxa"/>
            <w:noWrap w:val="0"/>
            <w:vAlign w:val="center"/>
          </w:tcPr>
          <w:p w14:paraId="4D898505">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288" w:type="dxa"/>
            <w:noWrap w:val="0"/>
            <w:vAlign w:val="center"/>
          </w:tcPr>
          <w:p w14:paraId="3F54050C">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866" w:type="dxa"/>
            <w:noWrap w:val="0"/>
            <w:vAlign w:val="center"/>
          </w:tcPr>
          <w:p w14:paraId="0804E4A1">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2011" w:type="dxa"/>
            <w:noWrap w:val="0"/>
            <w:vAlign w:val="center"/>
          </w:tcPr>
          <w:p w14:paraId="0E6DC682">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039" w:type="dxa"/>
            <w:noWrap w:val="0"/>
            <w:vAlign w:val="center"/>
          </w:tcPr>
          <w:p w14:paraId="78640A85">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1184" w:type="dxa"/>
            <w:noWrap w:val="0"/>
            <w:vAlign w:val="center"/>
          </w:tcPr>
          <w:p w14:paraId="6959123E">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2081" w:type="dxa"/>
            <w:noWrap w:val="0"/>
            <w:vAlign w:val="center"/>
          </w:tcPr>
          <w:p w14:paraId="5473F6A2">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1037" w:type="dxa"/>
            <w:noWrap w:val="0"/>
            <w:vAlign w:val="center"/>
          </w:tcPr>
          <w:p w14:paraId="382520C5">
            <w:pPr>
              <w:pStyle w:val="104"/>
              <w:jc w:val="center"/>
              <w:rPr>
                <w:rFonts w:hint="eastAsia" w:ascii="宋体" w:hAnsi="宋体" w:eastAsia="宋体" w:cs="宋体"/>
                <w:color w:val="auto"/>
                <w:sz w:val="20"/>
                <w:highlight w:val="none"/>
              </w:rPr>
            </w:pPr>
          </w:p>
        </w:tc>
      </w:tr>
      <w:tr w14:paraId="7C836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jc w:val="center"/>
        </w:trPr>
        <w:tc>
          <w:tcPr>
            <w:tcW w:w="675" w:type="dxa"/>
            <w:noWrap w:val="0"/>
            <w:vAlign w:val="center"/>
          </w:tcPr>
          <w:p w14:paraId="62024747">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288" w:type="dxa"/>
            <w:noWrap w:val="0"/>
            <w:vAlign w:val="center"/>
          </w:tcPr>
          <w:p w14:paraId="38E90284">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866" w:type="dxa"/>
            <w:noWrap w:val="0"/>
            <w:vAlign w:val="center"/>
          </w:tcPr>
          <w:p w14:paraId="2C175E3B">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11" w:type="dxa"/>
            <w:noWrap w:val="0"/>
            <w:vAlign w:val="center"/>
          </w:tcPr>
          <w:p w14:paraId="6931F4D2">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039" w:type="dxa"/>
            <w:noWrap w:val="0"/>
            <w:vAlign w:val="center"/>
          </w:tcPr>
          <w:p w14:paraId="7AECEE73">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184" w:type="dxa"/>
            <w:noWrap w:val="0"/>
            <w:vAlign w:val="center"/>
          </w:tcPr>
          <w:p w14:paraId="0AF400A2">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81" w:type="dxa"/>
            <w:noWrap w:val="0"/>
            <w:vAlign w:val="center"/>
          </w:tcPr>
          <w:p w14:paraId="1D582C32">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037" w:type="dxa"/>
            <w:noWrap w:val="0"/>
            <w:vAlign w:val="center"/>
          </w:tcPr>
          <w:p w14:paraId="75F37E5C">
            <w:pPr>
              <w:pStyle w:val="104"/>
              <w:jc w:val="center"/>
              <w:rPr>
                <w:rFonts w:hint="eastAsia" w:ascii="宋体" w:hAnsi="宋体" w:eastAsia="宋体" w:cs="宋体"/>
                <w:color w:val="auto"/>
                <w:sz w:val="20"/>
                <w:highlight w:val="none"/>
              </w:rPr>
            </w:pPr>
          </w:p>
        </w:tc>
      </w:tr>
      <w:tr w14:paraId="41C4A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jc w:val="center"/>
        </w:trPr>
        <w:tc>
          <w:tcPr>
            <w:tcW w:w="675" w:type="dxa"/>
            <w:noWrap w:val="0"/>
            <w:vAlign w:val="center"/>
          </w:tcPr>
          <w:p w14:paraId="2920E25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w:t>
            </w:r>
          </w:p>
        </w:tc>
        <w:tc>
          <w:tcPr>
            <w:tcW w:w="1288" w:type="dxa"/>
            <w:noWrap w:val="0"/>
            <w:vAlign w:val="center"/>
          </w:tcPr>
          <w:p w14:paraId="2E00FF1D">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866" w:type="dxa"/>
            <w:noWrap w:val="0"/>
            <w:vAlign w:val="center"/>
          </w:tcPr>
          <w:p w14:paraId="0633F10C">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11" w:type="dxa"/>
            <w:noWrap w:val="0"/>
            <w:vAlign w:val="center"/>
          </w:tcPr>
          <w:p w14:paraId="17BBBD31">
            <w:pPr>
              <w:jc w:val="center"/>
              <w:rPr>
                <w:rFonts w:hint="eastAsia" w:ascii="宋体" w:hAnsi="宋体" w:eastAsia="宋体" w:cs="宋体"/>
                <w:color w:val="auto"/>
                <w:highlight w:val="none"/>
              </w:rPr>
            </w:pPr>
            <w:r>
              <w:rPr>
                <w:rFonts w:hint="eastAsia" w:ascii="宋体" w:hAnsi="宋体" w:eastAsia="宋体" w:cs="宋体"/>
                <w:color w:val="auto"/>
                <w:highlight w:val="none"/>
              </w:rPr>
              <w:t>技能培训教师</w:t>
            </w:r>
          </w:p>
        </w:tc>
        <w:tc>
          <w:tcPr>
            <w:tcW w:w="1039" w:type="dxa"/>
            <w:noWrap w:val="0"/>
            <w:vAlign w:val="center"/>
          </w:tcPr>
          <w:p w14:paraId="18B0C2FB">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184" w:type="dxa"/>
            <w:noWrap w:val="0"/>
            <w:vAlign w:val="center"/>
          </w:tcPr>
          <w:p w14:paraId="6B2E1E0B">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81" w:type="dxa"/>
            <w:noWrap w:val="0"/>
            <w:vAlign w:val="center"/>
          </w:tcPr>
          <w:p w14:paraId="6A41DCC5">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037" w:type="dxa"/>
            <w:noWrap w:val="0"/>
            <w:vAlign w:val="center"/>
          </w:tcPr>
          <w:p w14:paraId="2C6CE45F">
            <w:pPr>
              <w:jc w:val="center"/>
              <w:rPr>
                <w:rFonts w:hint="eastAsia" w:ascii="宋体" w:hAnsi="宋体" w:eastAsia="宋体" w:cs="宋体"/>
                <w:color w:val="auto"/>
                <w:highlight w:val="none"/>
              </w:rPr>
            </w:pPr>
          </w:p>
        </w:tc>
      </w:tr>
      <w:tr w14:paraId="4924E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jc w:val="center"/>
        </w:trPr>
        <w:tc>
          <w:tcPr>
            <w:tcW w:w="675" w:type="dxa"/>
            <w:noWrap w:val="0"/>
            <w:vAlign w:val="center"/>
          </w:tcPr>
          <w:p w14:paraId="68222BB7">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w:t>
            </w:r>
          </w:p>
        </w:tc>
        <w:tc>
          <w:tcPr>
            <w:tcW w:w="1288" w:type="dxa"/>
            <w:noWrap w:val="0"/>
            <w:vAlign w:val="center"/>
          </w:tcPr>
          <w:p w14:paraId="51106079">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866" w:type="dxa"/>
            <w:noWrap w:val="0"/>
            <w:vAlign w:val="center"/>
          </w:tcPr>
          <w:p w14:paraId="7CAA0C0D">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11" w:type="dxa"/>
            <w:noWrap w:val="0"/>
            <w:vAlign w:val="center"/>
          </w:tcPr>
          <w:p w14:paraId="2EAEDB67">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039" w:type="dxa"/>
            <w:noWrap w:val="0"/>
            <w:vAlign w:val="center"/>
          </w:tcPr>
          <w:p w14:paraId="5BECA89E">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184" w:type="dxa"/>
            <w:noWrap w:val="0"/>
            <w:vAlign w:val="center"/>
          </w:tcPr>
          <w:p w14:paraId="7735F8D1">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81" w:type="dxa"/>
            <w:noWrap w:val="0"/>
            <w:vAlign w:val="center"/>
          </w:tcPr>
          <w:p w14:paraId="2CFCEEFB">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037" w:type="dxa"/>
            <w:noWrap w:val="0"/>
            <w:vAlign w:val="center"/>
          </w:tcPr>
          <w:p w14:paraId="633B4AF7">
            <w:pPr>
              <w:jc w:val="center"/>
              <w:rPr>
                <w:rFonts w:hint="eastAsia" w:ascii="宋体" w:hAnsi="宋体" w:eastAsia="宋体" w:cs="宋体"/>
                <w:color w:val="auto"/>
                <w:highlight w:val="none"/>
              </w:rPr>
            </w:pPr>
          </w:p>
        </w:tc>
      </w:tr>
      <w:tr w14:paraId="7BF67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jc w:val="center"/>
        </w:trPr>
        <w:tc>
          <w:tcPr>
            <w:tcW w:w="675" w:type="dxa"/>
            <w:noWrap w:val="0"/>
            <w:vAlign w:val="center"/>
          </w:tcPr>
          <w:p w14:paraId="22853F6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w:t>
            </w:r>
          </w:p>
        </w:tc>
        <w:tc>
          <w:tcPr>
            <w:tcW w:w="1288" w:type="dxa"/>
            <w:noWrap w:val="0"/>
            <w:vAlign w:val="center"/>
          </w:tcPr>
          <w:p w14:paraId="2B1197F3">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866" w:type="dxa"/>
            <w:noWrap w:val="0"/>
            <w:vAlign w:val="center"/>
          </w:tcPr>
          <w:p w14:paraId="033EA953">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11" w:type="dxa"/>
            <w:noWrap w:val="0"/>
            <w:vAlign w:val="center"/>
          </w:tcPr>
          <w:p w14:paraId="2678EC34">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039" w:type="dxa"/>
            <w:noWrap w:val="0"/>
            <w:vAlign w:val="center"/>
          </w:tcPr>
          <w:p w14:paraId="7FD6233D">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184" w:type="dxa"/>
            <w:noWrap w:val="0"/>
            <w:vAlign w:val="center"/>
          </w:tcPr>
          <w:p w14:paraId="5C96FCE9">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81" w:type="dxa"/>
            <w:noWrap w:val="0"/>
            <w:vAlign w:val="center"/>
          </w:tcPr>
          <w:p w14:paraId="225261C4">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037" w:type="dxa"/>
            <w:noWrap w:val="0"/>
            <w:vAlign w:val="center"/>
          </w:tcPr>
          <w:p w14:paraId="388F107A">
            <w:pPr>
              <w:jc w:val="center"/>
              <w:rPr>
                <w:rFonts w:hint="eastAsia" w:ascii="宋体" w:hAnsi="宋体" w:eastAsia="宋体" w:cs="宋体"/>
                <w:color w:val="auto"/>
                <w:highlight w:val="none"/>
              </w:rPr>
            </w:pPr>
          </w:p>
        </w:tc>
      </w:tr>
      <w:tr w14:paraId="62E5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jc w:val="center"/>
        </w:trPr>
        <w:tc>
          <w:tcPr>
            <w:tcW w:w="675" w:type="dxa"/>
            <w:noWrap w:val="0"/>
            <w:vAlign w:val="center"/>
          </w:tcPr>
          <w:p w14:paraId="135A36EF">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w:t>
            </w:r>
          </w:p>
        </w:tc>
        <w:tc>
          <w:tcPr>
            <w:tcW w:w="1288" w:type="dxa"/>
            <w:noWrap w:val="0"/>
            <w:vAlign w:val="center"/>
          </w:tcPr>
          <w:p w14:paraId="786CB415">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866" w:type="dxa"/>
            <w:noWrap w:val="0"/>
            <w:vAlign w:val="center"/>
          </w:tcPr>
          <w:p w14:paraId="20922EA2">
            <w:pPr>
              <w:pStyle w:val="104"/>
              <w:jc w:val="center"/>
              <w:rPr>
                <w:rFonts w:hint="eastAsia" w:ascii="宋体" w:hAnsi="宋体" w:eastAsia="宋体" w:cs="宋体"/>
                <w:color w:val="auto"/>
                <w:sz w:val="20"/>
                <w:highlight w:val="none"/>
              </w:rPr>
            </w:pPr>
          </w:p>
        </w:tc>
        <w:tc>
          <w:tcPr>
            <w:tcW w:w="2011" w:type="dxa"/>
            <w:noWrap w:val="0"/>
            <w:vAlign w:val="center"/>
          </w:tcPr>
          <w:p w14:paraId="1E50D7DD">
            <w:pPr>
              <w:jc w:val="center"/>
              <w:rPr>
                <w:rFonts w:hint="eastAsia" w:ascii="宋体" w:hAnsi="宋体" w:eastAsia="宋体" w:cs="宋体"/>
                <w:color w:val="auto"/>
                <w:highlight w:val="none"/>
              </w:rPr>
            </w:pPr>
            <w:r>
              <w:rPr>
                <w:rFonts w:hint="eastAsia" w:ascii="宋体" w:hAnsi="宋体" w:eastAsia="宋体" w:cs="宋体"/>
                <w:color w:val="auto"/>
                <w:highlight w:val="none"/>
              </w:rPr>
              <w:t>后勤服务</w:t>
            </w:r>
          </w:p>
        </w:tc>
        <w:tc>
          <w:tcPr>
            <w:tcW w:w="1039" w:type="dxa"/>
            <w:noWrap w:val="0"/>
            <w:vAlign w:val="center"/>
          </w:tcPr>
          <w:p w14:paraId="5D434886">
            <w:pPr>
              <w:pStyle w:val="104"/>
              <w:jc w:val="center"/>
              <w:rPr>
                <w:rFonts w:hint="eastAsia" w:ascii="宋体" w:hAnsi="宋体" w:eastAsia="宋体" w:cs="宋体"/>
                <w:color w:val="auto"/>
                <w:sz w:val="20"/>
                <w:highlight w:val="none"/>
              </w:rPr>
            </w:pPr>
          </w:p>
        </w:tc>
        <w:tc>
          <w:tcPr>
            <w:tcW w:w="1184" w:type="dxa"/>
            <w:noWrap w:val="0"/>
            <w:vAlign w:val="center"/>
          </w:tcPr>
          <w:p w14:paraId="3E2D6E8C">
            <w:pPr>
              <w:pStyle w:val="104"/>
              <w:jc w:val="center"/>
              <w:rPr>
                <w:rFonts w:hint="eastAsia" w:ascii="宋体" w:hAnsi="宋体" w:eastAsia="宋体" w:cs="宋体"/>
                <w:color w:val="auto"/>
                <w:sz w:val="20"/>
                <w:highlight w:val="none"/>
              </w:rPr>
            </w:pPr>
          </w:p>
        </w:tc>
        <w:tc>
          <w:tcPr>
            <w:tcW w:w="2081" w:type="dxa"/>
            <w:noWrap w:val="0"/>
            <w:vAlign w:val="center"/>
          </w:tcPr>
          <w:p w14:paraId="050803CC">
            <w:pPr>
              <w:pStyle w:val="104"/>
              <w:jc w:val="center"/>
              <w:rPr>
                <w:rFonts w:hint="eastAsia" w:ascii="宋体" w:hAnsi="宋体" w:eastAsia="宋体" w:cs="宋体"/>
                <w:color w:val="auto"/>
                <w:sz w:val="20"/>
                <w:highlight w:val="none"/>
              </w:rPr>
            </w:pPr>
          </w:p>
        </w:tc>
        <w:tc>
          <w:tcPr>
            <w:tcW w:w="1037" w:type="dxa"/>
            <w:noWrap w:val="0"/>
            <w:vAlign w:val="center"/>
          </w:tcPr>
          <w:p w14:paraId="306535F2">
            <w:pPr>
              <w:pStyle w:val="104"/>
              <w:jc w:val="center"/>
              <w:rPr>
                <w:rFonts w:hint="eastAsia" w:ascii="宋体" w:hAnsi="宋体" w:eastAsia="宋体" w:cs="宋体"/>
                <w:color w:val="auto"/>
                <w:sz w:val="20"/>
                <w:highlight w:val="none"/>
              </w:rPr>
            </w:pPr>
          </w:p>
        </w:tc>
      </w:tr>
      <w:tr w14:paraId="00819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jc w:val="center"/>
        </w:trPr>
        <w:tc>
          <w:tcPr>
            <w:tcW w:w="675" w:type="dxa"/>
            <w:noWrap w:val="0"/>
            <w:vAlign w:val="center"/>
          </w:tcPr>
          <w:p w14:paraId="61B6EECE">
            <w:pPr>
              <w:jc w:val="center"/>
              <w:rPr>
                <w:rFonts w:hint="eastAsia" w:ascii="宋体" w:hAnsi="宋体" w:eastAsia="宋体" w:cs="宋体"/>
                <w:color w:val="auto"/>
                <w:highlight w:val="none"/>
                <w:lang w:val="en-US"/>
              </w:rPr>
            </w:pPr>
            <w:r>
              <w:rPr>
                <w:rFonts w:hint="eastAsia" w:ascii="宋体" w:hAnsi="宋体" w:eastAsia="宋体" w:cs="宋体"/>
                <w:color w:val="auto"/>
                <w:highlight w:val="none"/>
              </w:rPr>
              <w:t>……</w:t>
            </w:r>
          </w:p>
        </w:tc>
        <w:tc>
          <w:tcPr>
            <w:tcW w:w="1288" w:type="dxa"/>
            <w:noWrap w:val="0"/>
            <w:vAlign w:val="center"/>
          </w:tcPr>
          <w:p w14:paraId="7190C34F">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866" w:type="dxa"/>
            <w:noWrap w:val="0"/>
            <w:vAlign w:val="center"/>
          </w:tcPr>
          <w:p w14:paraId="6B8FBC0F">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2011" w:type="dxa"/>
            <w:noWrap w:val="0"/>
            <w:vAlign w:val="center"/>
          </w:tcPr>
          <w:p w14:paraId="48E98B0D">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1039" w:type="dxa"/>
            <w:noWrap w:val="0"/>
            <w:vAlign w:val="center"/>
          </w:tcPr>
          <w:p w14:paraId="28079F13">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1184" w:type="dxa"/>
            <w:noWrap w:val="0"/>
            <w:vAlign w:val="center"/>
          </w:tcPr>
          <w:p w14:paraId="4D8D2FEA">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2081" w:type="dxa"/>
            <w:noWrap w:val="0"/>
            <w:vAlign w:val="center"/>
          </w:tcPr>
          <w:p w14:paraId="4543A158">
            <w:pPr>
              <w:jc w:val="center"/>
              <w:rPr>
                <w:rFonts w:hint="eastAsia" w:ascii="宋体" w:hAnsi="宋体" w:eastAsia="宋体" w:cs="宋体"/>
                <w:color w:val="auto"/>
                <w:sz w:val="20"/>
                <w:highlight w:val="none"/>
              </w:rPr>
            </w:pPr>
            <w:r>
              <w:rPr>
                <w:rFonts w:hint="eastAsia" w:ascii="宋体" w:hAnsi="宋体" w:eastAsia="宋体" w:cs="宋体"/>
                <w:color w:val="auto"/>
                <w:highlight w:val="none"/>
              </w:rPr>
              <w:t>……</w:t>
            </w:r>
          </w:p>
        </w:tc>
        <w:tc>
          <w:tcPr>
            <w:tcW w:w="1037" w:type="dxa"/>
            <w:noWrap w:val="0"/>
            <w:vAlign w:val="center"/>
          </w:tcPr>
          <w:p w14:paraId="5EC4057D">
            <w:pPr>
              <w:pStyle w:val="104"/>
              <w:jc w:val="center"/>
              <w:rPr>
                <w:rFonts w:hint="eastAsia" w:ascii="宋体" w:hAnsi="宋体" w:eastAsia="宋体" w:cs="宋体"/>
                <w:color w:val="auto"/>
                <w:sz w:val="20"/>
                <w:highlight w:val="none"/>
              </w:rPr>
            </w:pPr>
          </w:p>
        </w:tc>
      </w:tr>
      <w:tr w14:paraId="564B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jc w:val="center"/>
        </w:trPr>
        <w:tc>
          <w:tcPr>
            <w:tcW w:w="675" w:type="dxa"/>
            <w:noWrap w:val="0"/>
            <w:vAlign w:val="center"/>
          </w:tcPr>
          <w:p w14:paraId="6C469C92">
            <w:pPr>
              <w:jc w:val="center"/>
              <w:rPr>
                <w:rFonts w:hint="eastAsia" w:ascii="宋体" w:hAnsi="宋体" w:eastAsia="宋体" w:cs="宋体"/>
                <w:color w:val="auto"/>
                <w:highlight w:val="none"/>
                <w:lang w:eastAsia="zh-CN"/>
              </w:rPr>
            </w:pPr>
          </w:p>
        </w:tc>
        <w:tc>
          <w:tcPr>
            <w:tcW w:w="1288" w:type="dxa"/>
            <w:noWrap w:val="0"/>
            <w:vAlign w:val="center"/>
          </w:tcPr>
          <w:p w14:paraId="165AAB3E">
            <w:pPr>
              <w:jc w:val="center"/>
              <w:rPr>
                <w:rFonts w:hint="eastAsia" w:ascii="宋体" w:hAnsi="宋体" w:eastAsia="宋体" w:cs="宋体"/>
                <w:color w:val="auto"/>
                <w:sz w:val="20"/>
                <w:highlight w:val="none"/>
              </w:rPr>
            </w:pPr>
          </w:p>
        </w:tc>
        <w:tc>
          <w:tcPr>
            <w:tcW w:w="866" w:type="dxa"/>
            <w:noWrap w:val="0"/>
            <w:vAlign w:val="center"/>
          </w:tcPr>
          <w:p w14:paraId="415F898E">
            <w:pPr>
              <w:pStyle w:val="104"/>
              <w:jc w:val="center"/>
              <w:rPr>
                <w:rFonts w:hint="eastAsia" w:ascii="宋体" w:hAnsi="宋体" w:eastAsia="宋体" w:cs="宋体"/>
                <w:color w:val="auto"/>
                <w:sz w:val="20"/>
                <w:highlight w:val="none"/>
              </w:rPr>
            </w:pPr>
          </w:p>
        </w:tc>
        <w:tc>
          <w:tcPr>
            <w:tcW w:w="2011" w:type="dxa"/>
            <w:noWrap w:val="0"/>
            <w:vAlign w:val="center"/>
          </w:tcPr>
          <w:p w14:paraId="5520CA22">
            <w:pPr>
              <w:pStyle w:val="104"/>
              <w:jc w:val="center"/>
              <w:rPr>
                <w:rFonts w:hint="eastAsia" w:ascii="宋体" w:hAnsi="宋体" w:eastAsia="宋体" w:cs="宋体"/>
                <w:color w:val="auto"/>
                <w:sz w:val="20"/>
                <w:highlight w:val="none"/>
              </w:rPr>
            </w:pPr>
          </w:p>
        </w:tc>
        <w:tc>
          <w:tcPr>
            <w:tcW w:w="1039" w:type="dxa"/>
            <w:noWrap w:val="0"/>
            <w:vAlign w:val="center"/>
          </w:tcPr>
          <w:p w14:paraId="7061DB7C">
            <w:pPr>
              <w:pStyle w:val="104"/>
              <w:jc w:val="center"/>
              <w:rPr>
                <w:rFonts w:hint="eastAsia" w:ascii="宋体" w:hAnsi="宋体" w:eastAsia="宋体" w:cs="宋体"/>
                <w:color w:val="auto"/>
                <w:sz w:val="20"/>
                <w:highlight w:val="none"/>
              </w:rPr>
            </w:pPr>
          </w:p>
        </w:tc>
        <w:tc>
          <w:tcPr>
            <w:tcW w:w="1184" w:type="dxa"/>
            <w:noWrap w:val="0"/>
            <w:vAlign w:val="center"/>
          </w:tcPr>
          <w:p w14:paraId="046C210D">
            <w:pPr>
              <w:pStyle w:val="104"/>
              <w:jc w:val="center"/>
              <w:rPr>
                <w:rFonts w:hint="eastAsia" w:ascii="宋体" w:hAnsi="宋体" w:eastAsia="宋体" w:cs="宋体"/>
                <w:color w:val="auto"/>
                <w:sz w:val="20"/>
                <w:highlight w:val="none"/>
              </w:rPr>
            </w:pPr>
          </w:p>
        </w:tc>
        <w:tc>
          <w:tcPr>
            <w:tcW w:w="2081" w:type="dxa"/>
            <w:noWrap w:val="0"/>
            <w:vAlign w:val="center"/>
          </w:tcPr>
          <w:p w14:paraId="2AD14641">
            <w:pPr>
              <w:pStyle w:val="104"/>
              <w:jc w:val="center"/>
              <w:rPr>
                <w:rFonts w:hint="eastAsia" w:ascii="宋体" w:hAnsi="宋体" w:eastAsia="宋体" w:cs="宋体"/>
                <w:color w:val="auto"/>
                <w:sz w:val="20"/>
                <w:highlight w:val="none"/>
              </w:rPr>
            </w:pPr>
          </w:p>
        </w:tc>
        <w:tc>
          <w:tcPr>
            <w:tcW w:w="1037" w:type="dxa"/>
            <w:noWrap w:val="0"/>
            <w:vAlign w:val="center"/>
          </w:tcPr>
          <w:p w14:paraId="3BBA2469">
            <w:pPr>
              <w:pStyle w:val="104"/>
              <w:jc w:val="center"/>
              <w:rPr>
                <w:rFonts w:hint="eastAsia" w:ascii="宋体" w:hAnsi="宋体" w:eastAsia="宋体" w:cs="宋体"/>
                <w:color w:val="auto"/>
                <w:sz w:val="20"/>
                <w:highlight w:val="none"/>
              </w:rPr>
            </w:pPr>
          </w:p>
        </w:tc>
      </w:tr>
      <w:tr w14:paraId="5EE2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jc w:val="center"/>
        </w:trPr>
        <w:tc>
          <w:tcPr>
            <w:tcW w:w="675" w:type="dxa"/>
            <w:noWrap w:val="0"/>
            <w:vAlign w:val="center"/>
          </w:tcPr>
          <w:p w14:paraId="5E597597">
            <w:pPr>
              <w:jc w:val="center"/>
              <w:rPr>
                <w:rFonts w:hint="eastAsia" w:ascii="宋体" w:hAnsi="宋体" w:eastAsia="宋体" w:cs="宋体"/>
                <w:color w:val="auto"/>
                <w:highlight w:val="none"/>
                <w:lang w:eastAsia="zh-CN"/>
              </w:rPr>
            </w:pPr>
          </w:p>
        </w:tc>
        <w:tc>
          <w:tcPr>
            <w:tcW w:w="1288" w:type="dxa"/>
            <w:noWrap w:val="0"/>
            <w:vAlign w:val="center"/>
          </w:tcPr>
          <w:p w14:paraId="2892C0DA">
            <w:pPr>
              <w:pStyle w:val="104"/>
              <w:jc w:val="center"/>
              <w:rPr>
                <w:rFonts w:hint="eastAsia" w:ascii="宋体" w:hAnsi="宋体" w:eastAsia="宋体" w:cs="宋体"/>
                <w:color w:val="auto"/>
                <w:sz w:val="20"/>
                <w:highlight w:val="none"/>
              </w:rPr>
            </w:pPr>
          </w:p>
        </w:tc>
        <w:tc>
          <w:tcPr>
            <w:tcW w:w="866" w:type="dxa"/>
            <w:noWrap w:val="0"/>
            <w:vAlign w:val="center"/>
          </w:tcPr>
          <w:p w14:paraId="589533E1">
            <w:pPr>
              <w:pStyle w:val="104"/>
              <w:jc w:val="center"/>
              <w:rPr>
                <w:rFonts w:hint="eastAsia" w:ascii="宋体" w:hAnsi="宋体" w:eastAsia="宋体" w:cs="宋体"/>
                <w:color w:val="auto"/>
                <w:sz w:val="20"/>
                <w:highlight w:val="none"/>
              </w:rPr>
            </w:pPr>
          </w:p>
        </w:tc>
        <w:tc>
          <w:tcPr>
            <w:tcW w:w="2011" w:type="dxa"/>
            <w:noWrap w:val="0"/>
            <w:vAlign w:val="center"/>
          </w:tcPr>
          <w:p w14:paraId="6A98C3DB">
            <w:pPr>
              <w:pStyle w:val="104"/>
              <w:jc w:val="center"/>
              <w:rPr>
                <w:rFonts w:hint="eastAsia" w:ascii="宋体" w:hAnsi="宋体" w:eastAsia="宋体" w:cs="宋体"/>
                <w:color w:val="auto"/>
                <w:sz w:val="20"/>
                <w:highlight w:val="none"/>
              </w:rPr>
            </w:pPr>
          </w:p>
        </w:tc>
        <w:tc>
          <w:tcPr>
            <w:tcW w:w="1039" w:type="dxa"/>
            <w:noWrap w:val="0"/>
            <w:vAlign w:val="center"/>
          </w:tcPr>
          <w:p w14:paraId="420B552D">
            <w:pPr>
              <w:pStyle w:val="104"/>
              <w:jc w:val="center"/>
              <w:rPr>
                <w:rFonts w:hint="eastAsia" w:ascii="宋体" w:hAnsi="宋体" w:eastAsia="宋体" w:cs="宋体"/>
                <w:color w:val="auto"/>
                <w:sz w:val="20"/>
                <w:highlight w:val="none"/>
              </w:rPr>
            </w:pPr>
          </w:p>
        </w:tc>
        <w:tc>
          <w:tcPr>
            <w:tcW w:w="1184" w:type="dxa"/>
            <w:noWrap w:val="0"/>
            <w:vAlign w:val="center"/>
          </w:tcPr>
          <w:p w14:paraId="1D0626BF">
            <w:pPr>
              <w:pStyle w:val="104"/>
              <w:jc w:val="center"/>
              <w:rPr>
                <w:rFonts w:hint="eastAsia" w:ascii="宋体" w:hAnsi="宋体" w:eastAsia="宋体" w:cs="宋体"/>
                <w:color w:val="auto"/>
                <w:sz w:val="20"/>
                <w:highlight w:val="none"/>
              </w:rPr>
            </w:pPr>
          </w:p>
        </w:tc>
        <w:tc>
          <w:tcPr>
            <w:tcW w:w="2081" w:type="dxa"/>
            <w:noWrap w:val="0"/>
            <w:vAlign w:val="center"/>
          </w:tcPr>
          <w:p w14:paraId="4B964D3A">
            <w:pPr>
              <w:pStyle w:val="104"/>
              <w:jc w:val="center"/>
              <w:rPr>
                <w:rFonts w:hint="eastAsia" w:ascii="宋体" w:hAnsi="宋体" w:eastAsia="宋体" w:cs="宋体"/>
                <w:color w:val="auto"/>
                <w:sz w:val="20"/>
                <w:highlight w:val="none"/>
              </w:rPr>
            </w:pPr>
          </w:p>
        </w:tc>
        <w:tc>
          <w:tcPr>
            <w:tcW w:w="1037" w:type="dxa"/>
            <w:noWrap w:val="0"/>
            <w:vAlign w:val="center"/>
          </w:tcPr>
          <w:p w14:paraId="35A62635">
            <w:pPr>
              <w:pStyle w:val="104"/>
              <w:jc w:val="center"/>
              <w:rPr>
                <w:rFonts w:hint="eastAsia" w:ascii="宋体" w:hAnsi="宋体" w:eastAsia="宋体" w:cs="宋体"/>
                <w:color w:val="auto"/>
                <w:sz w:val="20"/>
                <w:highlight w:val="none"/>
              </w:rPr>
            </w:pPr>
          </w:p>
        </w:tc>
      </w:tr>
    </w:tbl>
    <w:p w14:paraId="79F45092">
      <w:pPr>
        <w:rPr>
          <w:rFonts w:hint="eastAsia" w:ascii="宋体" w:hAnsi="宋体" w:eastAsia="宋体" w:cs="宋体"/>
          <w:color w:val="auto"/>
          <w:highlight w:val="none"/>
        </w:rPr>
      </w:pPr>
    </w:p>
    <w:p w14:paraId="42AF18F0">
      <w:pPr>
        <w:spacing w:line="360" w:lineRule="auto"/>
        <w:ind w:firstLine="2" w:firstLineChars="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注：（1）此表可扩展。</w:t>
      </w:r>
    </w:p>
    <w:p w14:paraId="7287ED86">
      <w:pPr>
        <w:spacing w:line="360" w:lineRule="auto"/>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（2）拟投入本项目的</w:t>
      </w:r>
      <w:r>
        <w:rPr>
          <w:rFonts w:hint="eastAsia" w:ascii="宋体" w:hAnsi="宋体" w:eastAsia="宋体" w:cs="宋体"/>
          <w:b/>
          <w:bCs/>
          <w:color w:val="auto"/>
          <w:sz w:val="24"/>
          <w:szCs w:val="24"/>
          <w:highlight w:val="none"/>
          <w:lang w:eastAsia="zh-CN"/>
        </w:rPr>
        <w:t>人员</w:t>
      </w:r>
      <w:r>
        <w:rPr>
          <w:rFonts w:hint="eastAsia" w:ascii="宋体" w:hAnsi="宋体" w:eastAsia="宋体" w:cs="宋体"/>
          <w:b/>
          <w:bCs/>
          <w:color w:val="auto"/>
          <w:sz w:val="24"/>
          <w:szCs w:val="24"/>
          <w:highlight w:val="none"/>
        </w:rPr>
        <w:t>须在本表后附（1）项目负责人附身份证、学历证、专业技术资格证、社保缴费证明或人社部门备案的劳动合同或其他证明材料等；（2）技能培训教师须附身份证、与教学岗位相应的专业技术职称证书或职业技能证书、人社部门备案的劳动合同或劳务协议。（3）后勤服务人员、班主任须附身份证、社保缴费证明（2024年</w:t>
      </w:r>
      <w:r>
        <w:rPr>
          <w:rFonts w:hint="eastAsia" w:ascii="宋体" w:hAnsi="宋体" w:cs="宋体"/>
          <w:b/>
          <w:bCs/>
          <w:color w:val="auto"/>
          <w:sz w:val="24"/>
          <w:szCs w:val="24"/>
          <w:highlight w:val="none"/>
          <w:lang w:val="en-US" w:eastAsia="zh-CN"/>
        </w:rPr>
        <w:t>至今</w:t>
      </w:r>
      <w:r>
        <w:rPr>
          <w:rFonts w:hint="eastAsia" w:ascii="宋体" w:hAnsi="宋体" w:eastAsia="宋体" w:cs="宋体"/>
          <w:b/>
          <w:bCs/>
          <w:color w:val="auto"/>
          <w:sz w:val="24"/>
          <w:szCs w:val="24"/>
          <w:highlight w:val="none"/>
        </w:rPr>
        <w:t>任意一个月）或人社部门系统备案的劳动合同。</w:t>
      </w:r>
    </w:p>
    <w:p w14:paraId="78543221">
      <w:pPr>
        <w:spacing w:line="360" w:lineRule="auto"/>
        <w:ind w:firstLine="2" w:firstLineChars="1"/>
        <w:rPr>
          <w:rFonts w:hint="eastAsia" w:ascii="宋体" w:hAnsi="宋体" w:eastAsia="宋体" w:cs="宋体"/>
          <w:b/>
          <w:bCs/>
          <w:color w:val="auto"/>
          <w:szCs w:val="21"/>
          <w:highlight w:val="none"/>
        </w:rPr>
      </w:pPr>
    </w:p>
    <w:p w14:paraId="4ACEC900">
      <w:pPr>
        <w:rPr>
          <w:rFonts w:hint="eastAsia" w:ascii="宋体" w:hAnsi="宋体" w:eastAsia="宋体" w:cs="宋体"/>
          <w:color w:val="auto"/>
          <w:highlight w:val="none"/>
        </w:rPr>
      </w:pPr>
    </w:p>
    <w:p w14:paraId="25202777">
      <w:pPr>
        <w:rPr>
          <w:rFonts w:hint="eastAsia" w:ascii="宋体" w:hAnsi="宋体" w:eastAsia="宋体" w:cs="宋体"/>
          <w:color w:val="auto"/>
          <w:highlight w:val="none"/>
        </w:rPr>
      </w:pPr>
    </w:p>
    <w:p w14:paraId="60E24F04">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供应商全称：_________________________________（盖单位章）</w:t>
      </w:r>
    </w:p>
    <w:p w14:paraId="6B7ED8C8">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法定代表人（负责人）或其委托代理人：_______（签字或盖章）</w:t>
      </w:r>
    </w:p>
    <w:p w14:paraId="016DDE20">
      <w:pPr>
        <w:adjustRightInd w:val="0"/>
        <w:snapToGrid w:val="0"/>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日    期：_________年______月______日</w:t>
      </w:r>
    </w:p>
    <w:p w14:paraId="4723F380">
      <w:pPr>
        <w:jc w:val="center"/>
        <w:rPr>
          <w:rFonts w:hint="eastAsia" w:ascii="宋体" w:hAnsi="宋体" w:eastAsia="宋体" w:cs="宋体"/>
          <w:b/>
          <w:bCs/>
          <w:color w:val="auto"/>
          <w:kern w:val="0"/>
          <w:sz w:val="28"/>
          <w:szCs w:val="32"/>
          <w:highlight w:val="none"/>
        </w:rPr>
      </w:pPr>
    </w:p>
    <w:p w14:paraId="012A969D">
      <w:pPr>
        <w:pStyle w:val="3"/>
        <w:numPr>
          <w:ilvl w:val="0"/>
          <w:numId w:val="0"/>
        </w:numPr>
        <w:jc w:val="center"/>
        <w:rPr>
          <w:rFonts w:hint="eastAsia" w:ascii="宋体" w:hAnsi="宋体" w:eastAsia="宋体" w:cs="宋体"/>
          <w:color w:val="auto"/>
          <w:szCs w:val="28"/>
          <w:highlight w:val="none"/>
          <w:lang w:val="en-US" w:eastAsia="zh-CN"/>
        </w:rPr>
      </w:pPr>
      <w:r>
        <w:rPr>
          <w:rFonts w:hint="eastAsia" w:ascii="宋体" w:hAnsi="宋体" w:eastAsia="宋体" w:cs="宋体"/>
          <w:color w:val="auto"/>
          <w:szCs w:val="28"/>
          <w:highlight w:val="none"/>
          <w:lang w:val="en-US" w:eastAsia="zh-CN"/>
        </w:rPr>
        <w:br w:type="page"/>
      </w:r>
      <w:bookmarkStart w:id="403" w:name="_Toc21912"/>
      <w:r>
        <w:rPr>
          <w:rFonts w:hint="eastAsia" w:ascii="宋体" w:hAnsi="宋体" w:eastAsia="宋体" w:cs="宋体"/>
          <w:color w:val="auto"/>
          <w:szCs w:val="28"/>
          <w:highlight w:val="none"/>
          <w:lang w:val="en-US" w:eastAsia="zh-CN"/>
        </w:rPr>
        <w:t>（十一）培训教育经验</w:t>
      </w:r>
      <w:bookmarkEnd w:id="403"/>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2157"/>
        <w:gridCol w:w="1588"/>
        <w:gridCol w:w="1984"/>
        <w:gridCol w:w="2550"/>
        <w:gridCol w:w="859"/>
      </w:tblGrid>
      <w:tr w14:paraId="1BEFB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19" w:type="dxa"/>
            <w:vMerge w:val="restart"/>
            <w:tcBorders>
              <w:top w:val="single" w:color="auto" w:sz="4" w:space="0"/>
              <w:left w:val="single" w:color="auto" w:sz="4" w:space="0"/>
              <w:right w:val="single" w:color="auto" w:sz="4" w:space="0"/>
            </w:tcBorders>
            <w:noWrap w:val="0"/>
            <w:vAlign w:val="center"/>
          </w:tcPr>
          <w:p w14:paraId="63988D5F">
            <w:pP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2157" w:type="dxa"/>
            <w:vMerge w:val="restart"/>
            <w:tcBorders>
              <w:top w:val="single" w:color="auto" w:sz="4" w:space="0"/>
              <w:left w:val="single" w:color="auto" w:sz="4" w:space="0"/>
              <w:right w:val="single" w:color="auto" w:sz="4" w:space="0"/>
            </w:tcBorders>
            <w:noWrap w:val="0"/>
            <w:vAlign w:val="center"/>
          </w:tcPr>
          <w:p w14:paraId="04267F8D">
            <w:pP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项目名称</w:t>
            </w:r>
          </w:p>
        </w:tc>
        <w:tc>
          <w:tcPr>
            <w:tcW w:w="1588" w:type="dxa"/>
            <w:vMerge w:val="restart"/>
            <w:tcBorders>
              <w:top w:val="single" w:color="auto" w:sz="4" w:space="0"/>
              <w:left w:val="single" w:color="auto" w:sz="4" w:space="0"/>
              <w:right w:val="single" w:color="auto" w:sz="4" w:space="0"/>
            </w:tcBorders>
            <w:noWrap w:val="0"/>
            <w:vAlign w:val="center"/>
          </w:tcPr>
          <w:p w14:paraId="180987AD">
            <w:pP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采购单位</w:t>
            </w:r>
          </w:p>
        </w:tc>
        <w:tc>
          <w:tcPr>
            <w:tcW w:w="1984" w:type="dxa"/>
            <w:vMerge w:val="restart"/>
            <w:tcBorders>
              <w:top w:val="single" w:color="auto" w:sz="4" w:space="0"/>
              <w:left w:val="single" w:color="auto" w:sz="4" w:space="0"/>
              <w:right w:val="single" w:color="auto" w:sz="4" w:space="0"/>
            </w:tcBorders>
            <w:noWrap w:val="0"/>
            <w:vAlign w:val="center"/>
          </w:tcPr>
          <w:p w14:paraId="4EAAC03A">
            <w:pP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合同金额</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5D259C62">
            <w:pP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附件页码</w:t>
            </w:r>
          </w:p>
        </w:tc>
        <w:tc>
          <w:tcPr>
            <w:tcW w:w="859" w:type="dxa"/>
            <w:vMerge w:val="restart"/>
            <w:tcBorders>
              <w:top w:val="single" w:color="auto" w:sz="4" w:space="0"/>
              <w:left w:val="single" w:color="auto" w:sz="4" w:space="0"/>
              <w:right w:val="single" w:color="auto" w:sz="4" w:space="0"/>
            </w:tcBorders>
            <w:noWrap w:val="0"/>
            <w:vAlign w:val="center"/>
          </w:tcPr>
          <w:p w14:paraId="16627258">
            <w:pP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14:paraId="2AE2A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619" w:type="dxa"/>
            <w:vMerge w:val="continue"/>
            <w:tcBorders>
              <w:left w:val="single" w:color="auto" w:sz="4" w:space="0"/>
              <w:bottom w:val="single" w:color="auto" w:sz="4" w:space="0"/>
              <w:right w:val="single" w:color="auto" w:sz="4" w:space="0"/>
            </w:tcBorders>
            <w:noWrap w:val="0"/>
            <w:vAlign w:val="center"/>
          </w:tcPr>
          <w:p w14:paraId="5EF4F2F8">
            <w:pPr>
              <w:snapToGrid w:val="0"/>
              <w:jc w:val="center"/>
              <w:rPr>
                <w:rFonts w:hint="eastAsia" w:ascii="宋体" w:hAnsi="宋体" w:eastAsia="宋体" w:cs="宋体"/>
                <w:b/>
                <w:color w:val="auto"/>
                <w:sz w:val="24"/>
                <w:szCs w:val="24"/>
                <w:highlight w:val="none"/>
              </w:rPr>
            </w:pPr>
          </w:p>
        </w:tc>
        <w:tc>
          <w:tcPr>
            <w:tcW w:w="2157" w:type="dxa"/>
            <w:vMerge w:val="continue"/>
            <w:tcBorders>
              <w:left w:val="single" w:color="auto" w:sz="4" w:space="0"/>
              <w:bottom w:val="single" w:color="auto" w:sz="4" w:space="0"/>
              <w:right w:val="single" w:color="auto" w:sz="4" w:space="0"/>
            </w:tcBorders>
            <w:noWrap w:val="0"/>
            <w:vAlign w:val="center"/>
          </w:tcPr>
          <w:p w14:paraId="11E20270">
            <w:pPr>
              <w:snapToGrid w:val="0"/>
              <w:jc w:val="center"/>
              <w:rPr>
                <w:rFonts w:hint="eastAsia" w:ascii="宋体" w:hAnsi="宋体" w:eastAsia="宋体" w:cs="宋体"/>
                <w:b/>
                <w:color w:val="auto"/>
                <w:sz w:val="24"/>
                <w:szCs w:val="24"/>
                <w:highlight w:val="none"/>
              </w:rPr>
            </w:pPr>
          </w:p>
        </w:tc>
        <w:tc>
          <w:tcPr>
            <w:tcW w:w="1588" w:type="dxa"/>
            <w:vMerge w:val="continue"/>
            <w:tcBorders>
              <w:left w:val="single" w:color="auto" w:sz="4" w:space="0"/>
              <w:bottom w:val="single" w:color="auto" w:sz="4" w:space="0"/>
              <w:right w:val="single" w:color="auto" w:sz="4" w:space="0"/>
            </w:tcBorders>
            <w:noWrap w:val="0"/>
            <w:vAlign w:val="center"/>
          </w:tcPr>
          <w:p w14:paraId="243914CD">
            <w:pPr>
              <w:snapToGrid w:val="0"/>
              <w:jc w:val="center"/>
              <w:rPr>
                <w:rFonts w:hint="eastAsia" w:ascii="宋体" w:hAnsi="宋体" w:eastAsia="宋体" w:cs="宋体"/>
                <w:b/>
                <w:color w:val="auto"/>
                <w:sz w:val="24"/>
                <w:szCs w:val="24"/>
                <w:highlight w:val="none"/>
              </w:rPr>
            </w:pPr>
          </w:p>
        </w:tc>
        <w:tc>
          <w:tcPr>
            <w:tcW w:w="1984" w:type="dxa"/>
            <w:vMerge w:val="continue"/>
            <w:tcBorders>
              <w:left w:val="single" w:color="auto" w:sz="4" w:space="0"/>
              <w:bottom w:val="single" w:color="auto" w:sz="4" w:space="0"/>
              <w:right w:val="single" w:color="auto" w:sz="4" w:space="0"/>
            </w:tcBorders>
            <w:noWrap w:val="0"/>
            <w:vAlign w:val="center"/>
          </w:tcPr>
          <w:p w14:paraId="1235F082">
            <w:pPr>
              <w:snapToGrid w:val="0"/>
              <w:jc w:val="center"/>
              <w:rPr>
                <w:rFonts w:hint="eastAsia" w:ascii="宋体" w:hAnsi="宋体" w:eastAsia="宋体" w:cs="宋体"/>
                <w:b/>
                <w:color w:val="auto"/>
                <w:sz w:val="24"/>
                <w:szCs w:val="24"/>
                <w:highlight w:val="none"/>
              </w:rPr>
            </w:pPr>
          </w:p>
        </w:tc>
        <w:tc>
          <w:tcPr>
            <w:tcW w:w="2550" w:type="dxa"/>
            <w:tcBorders>
              <w:top w:val="single" w:color="auto" w:sz="4" w:space="0"/>
              <w:left w:val="single" w:color="auto" w:sz="4" w:space="0"/>
              <w:bottom w:val="single" w:color="auto" w:sz="4" w:space="0"/>
              <w:right w:val="single" w:color="auto" w:sz="4" w:space="0"/>
            </w:tcBorders>
            <w:noWrap w:val="0"/>
            <w:vAlign w:val="center"/>
          </w:tcPr>
          <w:p w14:paraId="48EA0A8D">
            <w:pP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中标（成交）通知书或合同证明材料</w:t>
            </w:r>
          </w:p>
        </w:tc>
        <w:tc>
          <w:tcPr>
            <w:tcW w:w="859" w:type="dxa"/>
            <w:vMerge w:val="continue"/>
            <w:tcBorders>
              <w:left w:val="single" w:color="auto" w:sz="4" w:space="0"/>
              <w:bottom w:val="single" w:color="auto" w:sz="4" w:space="0"/>
              <w:right w:val="single" w:color="auto" w:sz="4" w:space="0"/>
            </w:tcBorders>
            <w:noWrap w:val="0"/>
            <w:vAlign w:val="center"/>
          </w:tcPr>
          <w:p w14:paraId="7877DE64">
            <w:pPr>
              <w:snapToGrid w:val="0"/>
              <w:jc w:val="center"/>
              <w:rPr>
                <w:rFonts w:hint="eastAsia" w:ascii="宋体" w:hAnsi="宋体" w:eastAsia="宋体" w:cs="宋体"/>
                <w:b/>
                <w:color w:val="auto"/>
                <w:sz w:val="24"/>
                <w:szCs w:val="24"/>
                <w:highlight w:val="none"/>
              </w:rPr>
            </w:pPr>
          </w:p>
        </w:tc>
      </w:tr>
      <w:tr w14:paraId="174A6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19" w:type="dxa"/>
            <w:tcBorders>
              <w:top w:val="single" w:color="auto" w:sz="4" w:space="0"/>
              <w:left w:val="single" w:color="auto" w:sz="4" w:space="0"/>
              <w:bottom w:val="single" w:color="auto" w:sz="4" w:space="0"/>
              <w:right w:val="single" w:color="auto" w:sz="4" w:space="0"/>
            </w:tcBorders>
            <w:noWrap w:val="0"/>
            <w:vAlign w:val="center"/>
          </w:tcPr>
          <w:p w14:paraId="75137D07">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57" w:type="dxa"/>
            <w:tcBorders>
              <w:top w:val="single" w:color="auto" w:sz="4" w:space="0"/>
              <w:left w:val="single" w:color="auto" w:sz="4" w:space="0"/>
              <w:bottom w:val="single" w:color="auto" w:sz="4" w:space="0"/>
              <w:right w:val="single" w:color="auto" w:sz="4" w:space="0"/>
            </w:tcBorders>
            <w:noWrap w:val="0"/>
            <w:vAlign w:val="center"/>
          </w:tcPr>
          <w:p w14:paraId="1EBCDF98">
            <w:pPr>
              <w:snapToGrid w:val="0"/>
              <w:jc w:val="center"/>
              <w:rPr>
                <w:rFonts w:hint="eastAsia" w:ascii="宋体" w:hAnsi="宋体" w:eastAsia="宋体" w:cs="宋体"/>
                <w:color w:val="auto"/>
                <w:sz w:val="24"/>
                <w:szCs w:val="24"/>
                <w:highlight w:val="none"/>
                <w:u w:val="singl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153C7DB3">
            <w:pPr>
              <w:snapToGrid w:val="0"/>
              <w:jc w:val="center"/>
              <w:rPr>
                <w:rFonts w:hint="eastAsia" w:ascii="宋体" w:hAnsi="宋体" w:eastAsia="宋体" w:cs="宋体"/>
                <w:color w:val="auto"/>
                <w:sz w:val="24"/>
                <w:szCs w:val="24"/>
                <w:highlight w:val="none"/>
                <w:u w:val="singl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26DA080">
            <w:pPr>
              <w:snapToGrid w:val="0"/>
              <w:jc w:val="center"/>
              <w:rPr>
                <w:rFonts w:hint="eastAsia" w:ascii="宋体" w:hAnsi="宋体" w:eastAsia="宋体" w:cs="宋体"/>
                <w:color w:val="auto"/>
                <w:sz w:val="24"/>
                <w:szCs w:val="24"/>
                <w:highlight w:val="none"/>
                <w:u w:val="single"/>
              </w:rPr>
            </w:pPr>
          </w:p>
        </w:tc>
        <w:tc>
          <w:tcPr>
            <w:tcW w:w="2550" w:type="dxa"/>
            <w:tcBorders>
              <w:top w:val="single" w:color="auto" w:sz="4" w:space="0"/>
              <w:left w:val="single" w:color="auto" w:sz="4" w:space="0"/>
              <w:bottom w:val="single" w:color="auto" w:sz="4" w:space="0"/>
              <w:right w:val="single" w:color="auto" w:sz="4" w:space="0"/>
            </w:tcBorders>
            <w:noWrap w:val="0"/>
            <w:vAlign w:val="center"/>
          </w:tcPr>
          <w:p w14:paraId="39CA3F3D">
            <w:pPr>
              <w:snapToGrid w:val="0"/>
              <w:jc w:val="center"/>
              <w:rPr>
                <w:rFonts w:hint="eastAsia" w:ascii="宋体" w:hAnsi="宋体" w:eastAsia="宋体" w:cs="宋体"/>
                <w:color w:val="auto"/>
                <w:sz w:val="24"/>
                <w:szCs w:val="24"/>
                <w:highlight w:val="none"/>
                <w:u w:val="single"/>
              </w:rPr>
            </w:pPr>
          </w:p>
        </w:tc>
        <w:tc>
          <w:tcPr>
            <w:tcW w:w="859" w:type="dxa"/>
            <w:tcBorders>
              <w:top w:val="single" w:color="auto" w:sz="4" w:space="0"/>
              <w:left w:val="single" w:color="auto" w:sz="4" w:space="0"/>
              <w:bottom w:val="single" w:color="auto" w:sz="4" w:space="0"/>
              <w:right w:val="single" w:color="auto" w:sz="4" w:space="0"/>
            </w:tcBorders>
            <w:noWrap w:val="0"/>
            <w:vAlign w:val="center"/>
          </w:tcPr>
          <w:p w14:paraId="7C066838">
            <w:pPr>
              <w:snapToGrid w:val="0"/>
              <w:jc w:val="center"/>
              <w:rPr>
                <w:rFonts w:hint="eastAsia" w:ascii="宋体" w:hAnsi="宋体" w:eastAsia="宋体" w:cs="宋体"/>
                <w:color w:val="auto"/>
                <w:sz w:val="24"/>
                <w:szCs w:val="24"/>
                <w:highlight w:val="none"/>
                <w:u w:val="single"/>
              </w:rPr>
            </w:pPr>
          </w:p>
        </w:tc>
      </w:tr>
      <w:tr w14:paraId="1008D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19" w:type="dxa"/>
            <w:tcBorders>
              <w:top w:val="single" w:color="auto" w:sz="4" w:space="0"/>
              <w:left w:val="single" w:color="auto" w:sz="4" w:space="0"/>
              <w:bottom w:val="single" w:color="auto" w:sz="4" w:space="0"/>
              <w:right w:val="single" w:color="auto" w:sz="4" w:space="0"/>
            </w:tcBorders>
            <w:noWrap w:val="0"/>
            <w:vAlign w:val="center"/>
          </w:tcPr>
          <w:p w14:paraId="5C876ADE">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157" w:type="dxa"/>
            <w:tcBorders>
              <w:top w:val="single" w:color="auto" w:sz="4" w:space="0"/>
              <w:left w:val="single" w:color="auto" w:sz="4" w:space="0"/>
              <w:bottom w:val="single" w:color="auto" w:sz="4" w:space="0"/>
              <w:right w:val="single" w:color="auto" w:sz="4" w:space="0"/>
            </w:tcBorders>
            <w:noWrap w:val="0"/>
            <w:vAlign w:val="center"/>
          </w:tcPr>
          <w:p w14:paraId="461B319A">
            <w:pPr>
              <w:snapToGrid w:val="0"/>
              <w:jc w:val="center"/>
              <w:rPr>
                <w:rFonts w:hint="eastAsia" w:ascii="宋体" w:hAnsi="宋体" w:eastAsia="宋体" w:cs="宋体"/>
                <w:color w:val="auto"/>
                <w:sz w:val="24"/>
                <w:szCs w:val="24"/>
                <w:highlight w:val="none"/>
                <w:u w:val="singl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1EBDE676">
            <w:pPr>
              <w:snapToGrid w:val="0"/>
              <w:jc w:val="center"/>
              <w:rPr>
                <w:rFonts w:hint="eastAsia" w:ascii="宋体" w:hAnsi="宋体" w:eastAsia="宋体" w:cs="宋体"/>
                <w:color w:val="auto"/>
                <w:sz w:val="24"/>
                <w:szCs w:val="24"/>
                <w:highlight w:val="none"/>
                <w:u w:val="singl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F4DBBF5">
            <w:pPr>
              <w:snapToGrid w:val="0"/>
              <w:jc w:val="center"/>
              <w:rPr>
                <w:rFonts w:hint="eastAsia" w:ascii="宋体" w:hAnsi="宋体" w:eastAsia="宋体" w:cs="宋体"/>
                <w:color w:val="auto"/>
                <w:sz w:val="24"/>
                <w:szCs w:val="24"/>
                <w:highlight w:val="none"/>
                <w:u w:val="single"/>
              </w:rPr>
            </w:pPr>
          </w:p>
        </w:tc>
        <w:tc>
          <w:tcPr>
            <w:tcW w:w="2550" w:type="dxa"/>
            <w:tcBorders>
              <w:top w:val="single" w:color="auto" w:sz="4" w:space="0"/>
              <w:left w:val="single" w:color="auto" w:sz="4" w:space="0"/>
              <w:bottom w:val="single" w:color="auto" w:sz="4" w:space="0"/>
              <w:right w:val="single" w:color="auto" w:sz="4" w:space="0"/>
            </w:tcBorders>
            <w:noWrap w:val="0"/>
            <w:vAlign w:val="center"/>
          </w:tcPr>
          <w:p w14:paraId="15F66E64">
            <w:pPr>
              <w:snapToGrid w:val="0"/>
              <w:jc w:val="center"/>
              <w:rPr>
                <w:rFonts w:hint="eastAsia" w:ascii="宋体" w:hAnsi="宋体" w:eastAsia="宋体" w:cs="宋体"/>
                <w:color w:val="auto"/>
                <w:sz w:val="24"/>
                <w:szCs w:val="24"/>
                <w:highlight w:val="none"/>
                <w:u w:val="single"/>
              </w:rPr>
            </w:pPr>
          </w:p>
        </w:tc>
        <w:tc>
          <w:tcPr>
            <w:tcW w:w="859" w:type="dxa"/>
            <w:tcBorders>
              <w:top w:val="single" w:color="auto" w:sz="4" w:space="0"/>
              <w:left w:val="single" w:color="auto" w:sz="4" w:space="0"/>
              <w:bottom w:val="single" w:color="auto" w:sz="4" w:space="0"/>
              <w:right w:val="single" w:color="auto" w:sz="4" w:space="0"/>
            </w:tcBorders>
            <w:noWrap w:val="0"/>
            <w:vAlign w:val="center"/>
          </w:tcPr>
          <w:p w14:paraId="670BE71D">
            <w:pPr>
              <w:snapToGrid w:val="0"/>
              <w:jc w:val="center"/>
              <w:rPr>
                <w:rFonts w:hint="eastAsia" w:ascii="宋体" w:hAnsi="宋体" w:eastAsia="宋体" w:cs="宋体"/>
                <w:color w:val="auto"/>
                <w:sz w:val="24"/>
                <w:szCs w:val="24"/>
                <w:highlight w:val="none"/>
                <w:u w:val="single"/>
              </w:rPr>
            </w:pPr>
          </w:p>
        </w:tc>
      </w:tr>
      <w:tr w14:paraId="5C275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19" w:type="dxa"/>
            <w:tcBorders>
              <w:top w:val="single" w:color="auto" w:sz="4" w:space="0"/>
              <w:left w:val="single" w:color="auto" w:sz="4" w:space="0"/>
              <w:bottom w:val="single" w:color="auto" w:sz="4" w:space="0"/>
              <w:right w:val="single" w:color="auto" w:sz="4" w:space="0"/>
            </w:tcBorders>
            <w:noWrap w:val="0"/>
            <w:vAlign w:val="center"/>
          </w:tcPr>
          <w:p w14:paraId="2FE54906">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157" w:type="dxa"/>
            <w:tcBorders>
              <w:top w:val="single" w:color="auto" w:sz="4" w:space="0"/>
              <w:left w:val="single" w:color="auto" w:sz="4" w:space="0"/>
              <w:bottom w:val="single" w:color="auto" w:sz="4" w:space="0"/>
              <w:right w:val="single" w:color="auto" w:sz="4" w:space="0"/>
            </w:tcBorders>
            <w:noWrap w:val="0"/>
            <w:vAlign w:val="center"/>
          </w:tcPr>
          <w:p w14:paraId="58E21B40">
            <w:pPr>
              <w:snapToGrid w:val="0"/>
              <w:jc w:val="center"/>
              <w:rPr>
                <w:rFonts w:hint="eastAsia" w:ascii="宋体" w:hAnsi="宋体" w:eastAsia="宋体" w:cs="宋体"/>
                <w:color w:val="auto"/>
                <w:sz w:val="24"/>
                <w:szCs w:val="24"/>
                <w:highlight w:val="none"/>
                <w:u w:val="singl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1E5CE3FD">
            <w:pPr>
              <w:snapToGrid w:val="0"/>
              <w:jc w:val="center"/>
              <w:rPr>
                <w:rFonts w:hint="eastAsia" w:ascii="宋体" w:hAnsi="宋体" w:eastAsia="宋体" w:cs="宋体"/>
                <w:color w:val="auto"/>
                <w:sz w:val="24"/>
                <w:szCs w:val="24"/>
                <w:highlight w:val="none"/>
                <w:u w:val="singl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41E908D">
            <w:pPr>
              <w:snapToGrid w:val="0"/>
              <w:jc w:val="center"/>
              <w:rPr>
                <w:rFonts w:hint="eastAsia" w:ascii="宋体" w:hAnsi="宋体" w:eastAsia="宋体" w:cs="宋体"/>
                <w:color w:val="auto"/>
                <w:sz w:val="24"/>
                <w:szCs w:val="24"/>
                <w:highlight w:val="none"/>
                <w:u w:val="single"/>
              </w:rPr>
            </w:pPr>
          </w:p>
        </w:tc>
        <w:tc>
          <w:tcPr>
            <w:tcW w:w="2550" w:type="dxa"/>
            <w:tcBorders>
              <w:top w:val="single" w:color="auto" w:sz="4" w:space="0"/>
              <w:left w:val="single" w:color="auto" w:sz="4" w:space="0"/>
              <w:bottom w:val="single" w:color="auto" w:sz="4" w:space="0"/>
              <w:right w:val="single" w:color="auto" w:sz="4" w:space="0"/>
            </w:tcBorders>
            <w:noWrap w:val="0"/>
            <w:vAlign w:val="center"/>
          </w:tcPr>
          <w:p w14:paraId="28C1936A">
            <w:pPr>
              <w:snapToGrid w:val="0"/>
              <w:jc w:val="center"/>
              <w:rPr>
                <w:rFonts w:hint="eastAsia" w:ascii="宋体" w:hAnsi="宋体" w:eastAsia="宋体" w:cs="宋体"/>
                <w:color w:val="auto"/>
                <w:sz w:val="24"/>
                <w:szCs w:val="24"/>
                <w:highlight w:val="none"/>
                <w:u w:val="single"/>
              </w:rPr>
            </w:pPr>
          </w:p>
        </w:tc>
        <w:tc>
          <w:tcPr>
            <w:tcW w:w="859" w:type="dxa"/>
            <w:tcBorders>
              <w:top w:val="single" w:color="auto" w:sz="4" w:space="0"/>
              <w:left w:val="single" w:color="auto" w:sz="4" w:space="0"/>
              <w:bottom w:val="single" w:color="auto" w:sz="4" w:space="0"/>
              <w:right w:val="single" w:color="auto" w:sz="4" w:space="0"/>
            </w:tcBorders>
            <w:noWrap w:val="0"/>
            <w:vAlign w:val="center"/>
          </w:tcPr>
          <w:p w14:paraId="22D77E24">
            <w:pPr>
              <w:snapToGrid w:val="0"/>
              <w:jc w:val="center"/>
              <w:rPr>
                <w:rFonts w:hint="eastAsia" w:ascii="宋体" w:hAnsi="宋体" w:eastAsia="宋体" w:cs="宋体"/>
                <w:color w:val="auto"/>
                <w:sz w:val="24"/>
                <w:szCs w:val="24"/>
                <w:highlight w:val="none"/>
                <w:u w:val="single"/>
              </w:rPr>
            </w:pPr>
          </w:p>
        </w:tc>
      </w:tr>
      <w:tr w14:paraId="24FDC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619" w:type="dxa"/>
            <w:tcBorders>
              <w:top w:val="single" w:color="auto" w:sz="4" w:space="0"/>
              <w:left w:val="single" w:color="auto" w:sz="4" w:space="0"/>
              <w:bottom w:val="single" w:color="auto" w:sz="4" w:space="0"/>
              <w:right w:val="single" w:color="auto" w:sz="4" w:space="0"/>
            </w:tcBorders>
            <w:noWrap w:val="0"/>
            <w:vAlign w:val="center"/>
          </w:tcPr>
          <w:p w14:paraId="48247397">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157" w:type="dxa"/>
            <w:tcBorders>
              <w:top w:val="single" w:color="auto" w:sz="4" w:space="0"/>
              <w:left w:val="single" w:color="auto" w:sz="4" w:space="0"/>
              <w:bottom w:val="single" w:color="auto" w:sz="4" w:space="0"/>
              <w:right w:val="single" w:color="auto" w:sz="4" w:space="0"/>
            </w:tcBorders>
            <w:noWrap w:val="0"/>
            <w:vAlign w:val="center"/>
          </w:tcPr>
          <w:p w14:paraId="2992E7E7">
            <w:pPr>
              <w:snapToGrid w:val="0"/>
              <w:jc w:val="center"/>
              <w:rPr>
                <w:rFonts w:hint="eastAsia" w:ascii="宋体" w:hAnsi="宋体" w:eastAsia="宋体" w:cs="宋体"/>
                <w:color w:val="auto"/>
                <w:sz w:val="24"/>
                <w:szCs w:val="24"/>
                <w:highlight w:val="none"/>
                <w:u w:val="singl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2892EEDC">
            <w:pPr>
              <w:snapToGrid w:val="0"/>
              <w:jc w:val="center"/>
              <w:rPr>
                <w:rFonts w:hint="eastAsia" w:ascii="宋体" w:hAnsi="宋体" w:eastAsia="宋体" w:cs="宋体"/>
                <w:color w:val="auto"/>
                <w:sz w:val="24"/>
                <w:szCs w:val="24"/>
                <w:highlight w:val="none"/>
                <w:u w:val="singl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0990E73">
            <w:pPr>
              <w:snapToGrid w:val="0"/>
              <w:jc w:val="center"/>
              <w:rPr>
                <w:rFonts w:hint="eastAsia" w:ascii="宋体" w:hAnsi="宋体" w:eastAsia="宋体" w:cs="宋体"/>
                <w:color w:val="auto"/>
                <w:sz w:val="24"/>
                <w:szCs w:val="24"/>
                <w:highlight w:val="none"/>
                <w:u w:val="single"/>
              </w:rPr>
            </w:pPr>
          </w:p>
        </w:tc>
        <w:tc>
          <w:tcPr>
            <w:tcW w:w="2550" w:type="dxa"/>
            <w:tcBorders>
              <w:top w:val="single" w:color="auto" w:sz="4" w:space="0"/>
              <w:left w:val="single" w:color="auto" w:sz="4" w:space="0"/>
              <w:bottom w:val="single" w:color="auto" w:sz="4" w:space="0"/>
              <w:right w:val="single" w:color="auto" w:sz="4" w:space="0"/>
            </w:tcBorders>
            <w:noWrap w:val="0"/>
            <w:vAlign w:val="center"/>
          </w:tcPr>
          <w:p w14:paraId="28E5A585">
            <w:pPr>
              <w:snapToGrid w:val="0"/>
              <w:jc w:val="center"/>
              <w:rPr>
                <w:rFonts w:hint="eastAsia" w:ascii="宋体" w:hAnsi="宋体" w:eastAsia="宋体" w:cs="宋体"/>
                <w:color w:val="auto"/>
                <w:sz w:val="24"/>
                <w:szCs w:val="24"/>
                <w:highlight w:val="none"/>
                <w:u w:val="single"/>
              </w:rPr>
            </w:pPr>
          </w:p>
        </w:tc>
        <w:tc>
          <w:tcPr>
            <w:tcW w:w="859" w:type="dxa"/>
            <w:tcBorders>
              <w:top w:val="single" w:color="auto" w:sz="4" w:space="0"/>
              <w:left w:val="single" w:color="auto" w:sz="4" w:space="0"/>
              <w:bottom w:val="single" w:color="auto" w:sz="4" w:space="0"/>
              <w:right w:val="single" w:color="auto" w:sz="4" w:space="0"/>
            </w:tcBorders>
            <w:noWrap w:val="0"/>
            <w:vAlign w:val="center"/>
          </w:tcPr>
          <w:p w14:paraId="6EA2E42C">
            <w:pPr>
              <w:snapToGrid w:val="0"/>
              <w:jc w:val="center"/>
              <w:rPr>
                <w:rFonts w:hint="eastAsia" w:ascii="宋体" w:hAnsi="宋体" w:eastAsia="宋体" w:cs="宋体"/>
                <w:color w:val="auto"/>
                <w:sz w:val="24"/>
                <w:szCs w:val="24"/>
                <w:highlight w:val="none"/>
                <w:u w:val="single"/>
              </w:rPr>
            </w:pPr>
          </w:p>
        </w:tc>
      </w:tr>
    </w:tbl>
    <w:p w14:paraId="2FFF93A3">
      <w:pPr>
        <w:pStyle w:val="16"/>
        <w:spacing w:line="360" w:lineRule="auto"/>
        <w:rPr>
          <w:rFonts w:hint="eastAsia" w:ascii="宋体" w:hAnsi="宋体" w:eastAsia="宋体" w:cs="宋体"/>
          <w:color w:val="auto"/>
          <w:sz w:val="24"/>
          <w:highlight w:val="none"/>
        </w:rPr>
      </w:pPr>
    </w:p>
    <w:p w14:paraId="70D148BB">
      <w:pPr>
        <w:pStyle w:val="16"/>
        <w:spacing w:line="360" w:lineRule="auto"/>
        <w:rPr>
          <w:rFonts w:hint="eastAsia" w:ascii="宋体" w:hAnsi="宋体" w:eastAsia="宋体" w:cs="宋体"/>
          <w:color w:val="auto"/>
          <w:szCs w:val="21"/>
          <w:highlight w:val="none"/>
        </w:rPr>
      </w:pPr>
    </w:p>
    <w:p w14:paraId="719187F4">
      <w:pPr>
        <w:pStyle w:val="1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注：本表须附供应商2021年1月至今已完成职业技能类、农业系统类、创业培训类等培训业绩证明材料。</w:t>
      </w:r>
    </w:p>
    <w:p w14:paraId="20A565AC">
      <w:pPr>
        <w:pStyle w:val="1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证明材料：提供项目合同或项目验收证明材料，若未验收的项目请提供项目合同或中标通知书证明材料。否则视为未提供。</w:t>
      </w:r>
    </w:p>
    <w:p w14:paraId="2CA8EE06">
      <w:pPr>
        <w:pStyle w:val="16"/>
        <w:spacing w:line="360" w:lineRule="auto"/>
        <w:rPr>
          <w:rFonts w:hint="eastAsia" w:ascii="宋体" w:hAnsi="宋体" w:eastAsia="宋体" w:cs="宋体"/>
          <w:color w:val="auto"/>
          <w:sz w:val="24"/>
          <w:highlight w:val="none"/>
        </w:rPr>
      </w:pPr>
    </w:p>
    <w:p w14:paraId="045AD6A4">
      <w:pPr>
        <w:pStyle w:val="16"/>
        <w:spacing w:line="360" w:lineRule="auto"/>
        <w:rPr>
          <w:rFonts w:hint="eastAsia" w:ascii="宋体" w:hAnsi="宋体" w:eastAsia="宋体" w:cs="宋体"/>
          <w:color w:val="auto"/>
          <w:sz w:val="24"/>
          <w:highlight w:val="none"/>
        </w:rPr>
      </w:pPr>
    </w:p>
    <w:p w14:paraId="4DBB5B40">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供应商全称：_________________________________（盖单位章）</w:t>
      </w:r>
    </w:p>
    <w:p w14:paraId="00543774">
      <w:pPr>
        <w:tabs>
          <w:tab w:val="right" w:pos="8931"/>
        </w:tabs>
        <w:adjustRightInd w:val="0"/>
        <w:snapToGrid w:val="0"/>
        <w:spacing w:line="480" w:lineRule="auto"/>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法定代表人（负责人）或其委托代理人：_______（签字或盖章）</w:t>
      </w:r>
    </w:p>
    <w:p w14:paraId="3AA79BD3">
      <w:pPr>
        <w:adjustRightInd w:val="0"/>
        <w:snapToGrid w:val="0"/>
        <w:ind w:left="2100" w:leftChars="10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日    期：_________年______月______日</w:t>
      </w:r>
    </w:p>
    <w:p w14:paraId="7E79B32A">
      <w:pPr>
        <w:pStyle w:val="3"/>
        <w:numPr>
          <w:ilvl w:val="0"/>
          <w:numId w:val="0"/>
        </w:numPr>
        <w:tabs>
          <w:tab w:val="left" w:pos="360"/>
          <w:tab w:val="clear" w:pos="1304"/>
        </w:tabs>
        <w:ind w:left="425"/>
        <w:jc w:val="center"/>
        <w:rPr>
          <w:rFonts w:hint="eastAsia" w:ascii="宋体" w:hAnsi="宋体" w:eastAsia="宋体" w:cs="宋体"/>
          <w:color w:val="auto"/>
          <w:szCs w:val="28"/>
          <w:highlight w:val="none"/>
        </w:rPr>
      </w:pPr>
      <w:r>
        <w:rPr>
          <w:rFonts w:hint="eastAsia" w:ascii="宋体" w:hAnsi="宋体" w:eastAsia="宋体" w:cs="宋体"/>
          <w:color w:val="auto"/>
          <w:sz w:val="24"/>
          <w:szCs w:val="24"/>
          <w:highlight w:val="none"/>
        </w:rPr>
        <w:br w:type="page"/>
      </w:r>
      <w:bookmarkStart w:id="404" w:name="_Toc115077048"/>
      <w:bookmarkStart w:id="405" w:name="_Toc26778"/>
      <w:r>
        <w:rPr>
          <w:rFonts w:hint="eastAsia" w:ascii="宋体" w:hAnsi="宋体" w:eastAsia="宋体" w:cs="宋体"/>
          <w:color w:val="auto"/>
          <w:szCs w:val="28"/>
          <w:highlight w:val="none"/>
        </w:rPr>
        <w:t>（</w:t>
      </w:r>
      <w:r>
        <w:rPr>
          <w:rFonts w:hint="eastAsia" w:ascii="宋体" w:hAnsi="宋体" w:eastAsia="宋体" w:cs="宋体"/>
          <w:color w:val="auto"/>
          <w:szCs w:val="28"/>
          <w:highlight w:val="none"/>
          <w:lang w:eastAsia="zh-CN"/>
        </w:rPr>
        <w:t>十二</w:t>
      </w:r>
      <w:r>
        <w:rPr>
          <w:rFonts w:hint="eastAsia" w:ascii="宋体" w:hAnsi="宋体" w:eastAsia="宋体" w:cs="宋体"/>
          <w:color w:val="auto"/>
          <w:szCs w:val="28"/>
          <w:highlight w:val="none"/>
        </w:rPr>
        <w:t>）构成响应文件的其它资料</w:t>
      </w:r>
      <w:bookmarkEnd w:id="404"/>
      <w:bookmarkEnd w:id="405"/>
    </w:p>
    <w:p w14:paraId="5E4FECBF">
      <w:pPr>
        <w:spacing w:line="360" w:lineRule="auto"/>
        <w:jc w:val="center"/>
        <w:rPr>
          <w:rFonts w:hint="eastAsia" w:ascii="宋体" w:hAnsi="宋体" w:eastAsia="宋体" w:cs="宋体"/>
          <w:b/>
          <w:bCs/>
          <w:color w:val="auto"/>
          <w:sz w:val="32"/>
          <w:szCs w:val="32"/>
          <w:highlight w:val="none"/>
        </w:rPr>
      </w:pPr>
    </w:p>
    <w:p w14:paraId="4E99A689">
      <w:pPr>
        <w:spacing w:line="360" w:lineRule="auto"/>
        <w:rPr>
          <w:rFonts w:hint="eastAsia" w:ascii="宋体" w:hAnsi="宋体" w:eastAsia="宋体" w:cs="宋体"/>
          <w:color w:val="auto"/>
          <w:sz w:val="24"/>
          <w:highlight w:val="none"/>
        </w:rPr>
      </w:pPr>
    </w:p>
    <w:p w14:paraId="380C5555">
      <w:pPr>
        <w:spacing w:line="360" w:lineRule="auto"/>
        <w:rPr>
          <w:rFonts w:hint="eastAsia" w:ascii="宋体" w:hAnsi="宋体" w:eastAsia="宋体" w:cs="宋体"/>
          <w:color w:val="auto"/>
          <w:szCs w:val="21"/>
          <w:highlight w:val="none"/>
        </w:rPr>
      </w:pPr>
    </w:p>
    <w:p w14:paraId="218B130A">
      <w:pPr>
        <w:spacing w:line="360" w:lineRule="auto"/>
        <w:rPr>
          <w:rFonts w:hint="eastAsia" w:ascii="宋体" w:hAnsi="宋体" w:eastAsia="宋体" w:cs="宋体"/>
          <w:color w:val="auto"/>
          <w:szCs w:val="21"/>
          <w:highlight w:val="none"/>
        </w:rPr>
      </w:pPr>
    </w:p>
    <w:p w14:paraId="2B406CE7">
      <w:pPr>
        <w:spacing w:line="360" w:lineRule="auto"/>
        <w:ind w:firstLine="480" w:firstLineChars="200"/>
        <w:rPr>
          <w:rFonts w:hint="eastAsia" w:ascii="宋体" w:hAnsi="宋体" w:eastAsia="宋体" w:cs="宋体"/>
          <w:color w:val="auto"/>
          <w:sz w:val="24"/>
          <w:highlight w:val="none"/>
        </w:rPr>
      </w:pPr>
    </w:p>
    <w:p w14:paraId="642C575D">
      <w:pPr>
        <w:spacing w:line="360" w:lineRule="auto"/>
        <w:ind w:firstLine="480" w:firstLineChars="200"/>
        <w:rPr>
          <w:rFonts w:hint="eastAsia" w:ascii="宋体" w:hAnsi="宋体" w:eastAsia="宋体" w:cs="宋体"/>
          <w:color w:val="auto"/>
          <w:sz w:val="24"/>
          <w:highlight w:val="none"/>
        </w:rPr>
      </w:pPr>
    </w:p>
    <w:p w14:paraId="58B006F8">
      <w:pPr>
        <w:spacing w:line="360" w:lineRule="auto"/>
        <w:ind w:firstLine="480" w:firstLineChars="200"/>
        <w:rPr>
          <w:rFonts w:hint="eastAsia" w:ascii="宋体" w:hAnsi="宋体" w:eastAsia="宋体" w:cs="宋体"/>
          <w:color w:val="auto"/>
          <w:sz w:val="24"/>
          <w:highlight w:val="none"/>
        </w:rPr>
      </w:pPr>
    </w:p>
    <w:p w14:paraId="58290DBE">
      <w:pPr>
        <w:spacing w:line="360" w:lineRule="auto"/>
        <w:ind w:firstLine="480" w:firstLineChars="200"/>
        <w:rPr>
          <w:rFonts w:hint="eastAsia" w:ascii="宋体" w:hAnsi="宋体" w:eastAsia="宋体" w:cs="宋体"/>
          <w:color w:val="auto"/>
          <w:sz w:val="24"/>
          <w:highlight w:val="none"/>
        </w:rPr>
      </w:pPr>
    </w:p>
    <w:p w14:paraId="4947BE72">
      <w:pPr>
        <w:spacing w:line="360" w:lineRule="auto"/>
        <w:ind w:firstLine="480" w:firstLineChars="200"/>
        <w:rPr>
          <w:rFonts w:hint="eastAsia" w:ascii="宋体" w:hAnsi="宋体" w:eastAsia="宋体" w:cs="宋体"/>
          <w:color w:val="auto"/>
          <w:sz w:val="24"/>
          <w:highlight w:val="none"/>
        </w:rPr>
      </w:pPr>
    </w:p>
    <w:p w14:paraId="617F13BA">
      <w:pPr>
        <w:spacing w:line="360" w:lineRule="auto"/>
        <w:ind w:firstLine="480" w:firstLineChars="200"/>
        <w:rPr>
          <w:rFonts w:hint="eastAsia" w:ascii="宋体" w:hAnsi="宋体" w:eastAsia="宋体" w:cs="宋体"/>
          <w:color w:val="auto"/>
          <w:sz w:val="24"/>
          <w:highlight w:val="none"/>
        </w:rPr>
      </w:pPr>
    </w:p>
    <w:p w14:paraId="78E7C605">
      <w:pPr>
        <w:spacing w:line="360" w:lineRule="auto"/>
        <w:ind w:firstLine="480" w:firstLineChars="200"/>
        <w:rPr>
          <w:rFonts w:hint="eastAsia" w:ascii="宋体" w:hAnsi="宋体" w:eastAsia="宋体" w:cs="宋体"/>
          <w:color w:val="auto"/>
          <w:sz w:val="24"/>
          <w:highlight w:val="none"/>
        </w:rPr>
      </w:pPr>
    </w:p>
    <w:p w14:paraId="1F938FA9">
      <w:pPr>
        <w:spacing w:line="360" w:lineRule="auto"/>
        <w:ind w:firstLine="480" w:firstLineChars="200"/>
        <w:rPr>
          <w:rFonts w:hint="eastAsia" w:ascii="宋体" w:hAnsi="宋体" w:eastAsia="宋体" w:cs="宋体"/>
          <w:color w:val="auto"/>
          <w:sz w:val="24"/>
          <w:highlight w:val="none"/>
        </w:rPr>
      </w:pPr>
    </w:p>
    <w:p w14:paraId="738D794E">
      <w:pPr>
        <w:spacing w:line="360" w:lineRule="auto"/>
        <w:ind w:firstLine="480" w:firstLineChars="200"/>
        <w:rPr>
          <w:rFonts w:hint="eastAsia" w:ascii="宋体" w:hAnsi="宋体" w:eastAsia="宋体" w:cs="宋体"/>
          <w:color w:val="auto"/>
          <w:sz w:val="24"/>
          <w:highlight w:val="none"/>
        </w:rPr>
      </w:pPr>
    </w:p>
    <w:p w14:paraId="7334D0AC">
      <w:pPr>
        <w:spacing w:line="360" w:lineRule="auto"/>
        <w:ind w:firstLine="480" w:firstLineChars="200"/>
        <w:rPr>
          <w:rFonts w:hint="eastAsia" w:ascii="宋体" w:hAnsi="宋体" w:eastAsia="宋体" w:cs="宋体"/>
          <w:color w:val="auto"/>
          <w:sz w:val="24"/>
          <w:highlight w:val="none"/>
        </w:rPr>
      </w:pPr>
    </w:p>
    <w:p w14:paraId="3C59468D">
      <w:pPr>
        <w:spacing w:line="360" w:lineRule="auto"/>
        <w:ind w:firstLine="480" w:firstLineChars="200"/>
        <w:rPr>
          <w:rFonts w:hint="eastAsia" w:ascii="宋体" w:hAnsi="宋体" w:eastAsia="宋体" w:cs="宋体"/>
          <w:color w:val="auto"/>
          <w:sz w:val="24"/>
          <w:highlight w:val="none"/>
        </w:rPr>
      </w:pPr>
    </w:p>
    <w:p w14:paraId="4953D475">
      <w:pPr>
        <w:spacing w:line="360" w:lineRule="auto"/>
        <w:ind w:firstLine="480" w:firstLineChars="200"/>
        <w:rPr>
          <w:rFonts w:hint="eastAsia" w:ascii="宋体" w:hAnsi="宋体" w:eastAsia="宋体" w:cs="宋体"/>
          <w:color w:val="auto"/>
          <w:sz w:val="24"/>
          <w:highlight w:val="none"/>
        </w:rPr>
      </w:pPr>
    </w:p>
    <w:p w14:paraId="71E5AE1D">
      <w:pPr>
        <w:spacing w:line="360" w:lineRule="auto"/>
        <w:ind w:firstLine="480" w:firstLineChars="200"/>
        <w:rPr>
          <w:rFonts w:hint="eastAsia" w:ascii="宋体" w:hAnsi="宋体" w:eastAsia="宋体" w:cs="宋体"/>
          <w:color w:val="auto"/>
          <w:sz w:val="24"/>
          <w:highlight w:val="none"/>
        </w:rPr>
      </w:pPr>
    </w:p>
    <w:p w14:paraId="0201C649">
      <w:pPr>
        <w:spacing w:line="360" w:lineRule="auto"/>
        <w:ind w:firstLine="480" w:firstLineChars="200"/>
        <w:rPr>
          <w:rFonts w:hint="eastAsia" w:ascii="宋体" w:hAnsi="宋体" w:eastAsia="宋体" w:cs="宋体"/>
          <w:color w:val="auto"/>
          <w:sz w:val="24"/>
          <w:highlight w:val="none"/>
        </w:rPr>
      </w:pPr>
    </w:p>
    <w:p w14:paraId="21BC97A5">
      <w:pPr>
        <w:spacing w:line="360" w:lineRule="auto"/>
        <w:ind w:firstLine="480" w:firstLineChars="200"/>
        <w:rPr>
          <w:rFonts w:hint="eastAsia" w:ascii="宋体" w:hAnsi="宋体" w:eastAsia="宋体" w:cs="宋体"/>
          <w:color w:val="auto"/>
          <w:sz w:val="24"/>
          <w:highlight w:val="none"/>
        </w:rPr>
      </w:pPr>
    </w:p>
    <w:p w14:paraId="43B37113">
      <w:pPr>
        <w:spacing w:line="360" w:lineRule="auto"/>
        <w:ind w:firstLine="480" w:firstLineChars="200"/>
        <w:rPr>
          <w:rFonts w:hint="eastAsia" w:ascii="宋体" w:hAnsi="宋体" w:eastAsia="宋体" w:cs="宋体"/>
          <w:color w:val="auto"/>
          <w:sz w:val="24"/>
          <w:highlight w:val="none"/>
        </w:rPr>
      </w:pPr>
    </w:p>
    <w:p w14:paraId="54CC874F">
      <w:pPr>
        <w:spacing w:line="360" w:lineRule="auto"/>
        <w:ind w:firstLine="480" w:firstLineChars="200"/>
        <w:rPr>
          <w:rFonts w:hint="eastAsia" w:ascii="宋体" w:hAnsi="宋体" w:eastAsia="宋体" w:cs="宋体"/>
          <w:color w:val="auto"/>
          <w:sz w:val="24"/>
          <w:highlight w:val="none"/>
        </w:rPr>
      </w:pPr>
    </w:p>
    <w:p w14:paraId="02759A5E">
      <w:pPr>
        <w:spacing w:line="360" w:lineRule="auto"/>
        <w:ind w:firstLine="480" w:firstLineChars="200"/>
        <w:rPr>
          <w:rFonts w:hint="eastAsia" w:ascii="宋体" w:hAnsi="宋体" w:eastAsia="宋体" w:cs="宋体"/>
          <w:color w:val="auto"/>
          <w:sz w:val="24"/>
          <w:highlight w:val="none"/>
        </w:rPr>
      </w:pPr>
    </w:p>
    <w:p w14:paraId="00B8D003">
      <w:pPr>
        <w:spacing w:line="360" w:lineRule="auto"/>
        <w:ind w:firstLine="480" w:firstLineChars="200"/>
        <w:rPr>
          <w:rFonts w:hint="eastAsia" w:ascii="宋体" w:hAnsi="宋体" w:eastAsia="宋体" w:cs="宋体"/>
          <w:color w:val="auto"/>
          <w:sz w:val="24"/>
          <w:highlight w:val="none"/>
        </w:rPr>
      </w:pPr>
    </w:p>
    <w:p w14:paraId="3BE09EC2">
      <w:pPr>
        <w:spacing w:line="360" w:lineRule="auto"/>
        <w:ind w:firstLine="480" w:firstLineChars="200"/>
        <w:rPr>
          <w:rFonts w:hint="eastAsia" w:ascii="宋体" w:hAnsi="宋体" w:eastAsia="宋体" w:cs="宋体"/>
          <w:color w:val="auto"/>
          <w:sz w:val="24"/>
          <w:highlight w:val="none"/>
        </w:rPr>
      </w:pPr>
    </w:p>
    <w:p w14:paraId="2C1AB0D9">
      <w:pPr>
        <w:spacing w:line="360" w:lineRule="auto"/>
        <w:ind w:firstLine="480" w:firstLineChars="200"/>
        <w:rPr>
          <w:rFonts w:hint="eastAsia" w:ascii="宋体" w:hAnsi="宋体" w:eastAsia="宋体" w:cs="宋体"/>
          <w:color w:val="auto"/>
          <w:sz w:val="24"/>
          <w:highlight w:val="none"/>
        </w:rPr>
      </w:pPr>
    </w:p>
    <w:p w14:paraId="1386812E">
      <w:pPr>
        <w:keepNext/>
        <w:numPr>
          <w:ilvl w:val="1"/>
          <w:numId w:val="0"/>
        </w:numPr>
        <w:adjustRightInd w:val="0"/>
        <w:spacing w:before="120" w:line="360" w:lineRule="auto"/>
        <w:jc w:val="center"/>
        <w:textAlignment w:val="baseline"/>
        <w:outlineLvl w:val="1"/>
        <w:rPr>
          <w:rFonts w:hint="eastAsia" w:ascii="宋体" w:hAnsi="宋体" w:eastAsia="宋体" w:cs="宋体"/>
          <w:b/>
          <w:color w:val="auto"/>
          <w:kern w:val="0"/>
          <w:sz w:val="32"/>
          <w:szCs w:val="32"/>
          <w:highlight w:val="none"/>
          <w:lang w:val="zh-CN"/>
        </w:rPr>
      </w:pPr>
      <w:bookmarkStart w:id="406" w:name="_Toc5780249"/>
      <w:bookmarkStart w:id="407" w:name="_Toc115077049"/>
      <w:r>
        <w:rPr>
          <w:rFonts w:hint="eastAsia" w:ascii="宋体" w:hAnsi="宋体" w:eastAsia="宋体" w:cs="宋体"/>
          <w:b/>
          <w:color w:val="auto"/>
          <w:kern w:val="0"/>
          <w:sz w:val="32"/>
          <w:szCs w:val="32"/>
          <w:highlight w:val="none"/>
          <w:lang w:val="zh-CN"/>
        </w:rPr>
        <w:br w:type="page"/>
      </w:r>
      <w:bookmarkStart w:id="408" w:name="_Toc15811"/>
      <w:r>
        <w:rPr>
          <w:rFonts w:hint="eastAsia" w:ascii="宋体" w:hAnsi="宋体" w:eastAsia="宋体" w:cs="宋体"/>
          <w:b/>
          <w:color w:val="auto"/>
          <w:kern w:val="0"/>
          <w:sz w:val="28"/>
          <w:szCs w:val="28"/>
          <w:highlight w:val="none"/>
          <w:lang w:val="zh-CN" w:eastAsia="zh-CN" w:bidi="ar-SA"/>
        </w:rPr>
        <w:t>（</w:t>
      </w:r>
      <w:r>
        <w:rPr>
          <w:rFonts w:hint="eastAsia" w:ascii="宋体" w:hAnsi="宋体" w:eastAsia="宋体" w:cs="宋体"/>
          <w:b/>
          <w:color w:val="auto"/>
          <w:kern w:val="0"/>
          <w:sz w:val="28"/>
          <w:szCs w:val="28"/>
          <w:highlight w:val="none"/>
          <w:lang w:val="en-US" w:eastAsia="zh-CN" w:bidi="ar-SA"/>
        </w:rPr>
        <w:t>十三</w:t>
      </w:r>
      <w:r>
        <w:rPr>
          <w:rFonts w:hint="eastAsia" w:ascii="宋体" w:hAnsi="宋体" w:eastAsia="宋体" w:cs="宋体"/>
          <w:b/>
          <w:color w:val="auto"/>
          <w:kern w:val="0"/>
          <w:sz w:val="28"/>
          <w:szCs w:val="28"/>
          <w:highlight w:val="none"/>
          <w:lang w:val="zh-CN" w:eastAsia="zh-CN" w:bidi="ar-SA"/>
        </w:rPr>
        <w:t>）</w:t>
      </w:r>
      <w:bookmarkStart w:id="409" w:name="_Hlk54614965"/>
      <w:r>
        <w:rPr>
          <w:rFonts w:hint="eastAsia" w:ascii="宋体" w:hAnsi="宋体" w:eastAsia="宋体" w:cs="宋体"/>
          <w:b/>
          <w:color w:val="auto"/>
          <w:kern w:val="0"/>
          <w:sz w:val="28"/>
          <w:szCs w:val="28"/>
          <w:highlight w:val="none"/>
          <w:lang w:val="zh-CN" w:eastAsia="zh-CN" w:bidi="ar-SA"/>
        </w:rPr>
        <w:t>中小企业</w:t>
      </w:r>
      <w:bookmarkEnd w:id="409"/>
      <w:r>
        <w:rPr>
          <w:rFonts w:hint="eastAsia" w:ascii="宋体" w:hAnsi="宋体" w:eastAsia="宋体" w:cs="宋体"/>
          <w:b/>
          <w:color w:val="auto"/>
          <w:kern w:val="0"/>
          <w:sz w:val="28"/>
          <w:szCs w:val="28"/>
          <w:highlight w:val="none"/>
          <w:lang w:val="zh-CN" w:eastAsia="zh-CN" w:bidi="ar-SA"/>
        </w:rPr>
        <w:t>或监狱企业、残疾人福利性单位声明函</w:t>
      </w:r>
      <w:bookmarkEnd w:id="406"/>
      <w:bookmarkEnd w:id="407"/>
      <w:bookmarkEnd w:id="408"/>
    </w:p>
    <w:p w14:paraId="02F17B5E">
      <w:pPr>
        <w:spacing w:line="360" w:lineRule="auto"/>
        <w:ind w:firstLine="420" w:firstLineChars="200"/>
        <w:rPr>
          <w:rFonts w:hint="eastAsia" w:ascii="宋体" w:hAnsi="宋体" w:eastAsia="宋体" w:cs="宋体"/>
          <w:color w:val="auto"/>
          <w:szCs w:val="21"/>
          <w:highlight w:val="none"/>
        </w:rPr>
      </w:pPr>
    </w:p>
    <w:p w14:paraId="7753F7B6">
      <w:pPr>
        <w:widowControl/>
        <w:adjustRightInd w:val="0"/>
        <w:snapToGrid w:val="0"/>
        <w:spacing w:line="360" w:lineRule="auto"/>
        <w:jc w:val="center"/>
        <w:outlineLvl w:val="3"/>
        <w:rPr>
          <w:rFonts w:hint="eastAsia" w:ascii="宋体" w:hAnsi="宋体" w:eastAsia="宋体" w:cs="宋体"/>
          <w:b/>
          <w:color w:val="auto"/>
          <w:kern w:val="0"/>
          <w:sz w:val="24"/>
          <w:szCs w:val="21"/>
          <w:highlight w:val="none"/>
          <w:lang w:bidi="en-US"/>
        </w:rPr>
      </w:pPr>
      <w:r>
        <w:rPr>
          <w:rFonts w:hint="eastAsia" w:ascii="宋体" w:hAnsi="宋体" w:eastAsia="宋体" w:cs="宋体"/>
          <w:b/>
          <w:color w:val="auto"/>
          <w:kern w:val="0"/>
          <w:sz w:val="24"/>
          <w:szCs w:val="21"/>
          <w:highlight w:val="none"/>
          <w:lang w:bidi="en-US"/>
        </w:rPr>
        <w:t>1.《中小企业声明函》格式</w:t>
      </w:r>
    </w:p>
    <w:p w14:paraId="2C33D664">
      <w:pPr>
        <w:widowControl/>
        <w:adjustRightInd w:val="0"/>
        <w:snapToGrid w:val="0"/>
        <w:spacing w:line="360" w:lineRule="auto"/>
        <w:ind w:firstLine="482" w:firstLineChars="200"/>
        <w:jc w:val="center"/>
        <w:rPr>
          <w:rFonts w:hint="eastAsia" w:ascii="宋体" w:hAnsi="宋体" w:eastAsia="宋体" w:cs="宋体"/>
          <w:b/>
          <w:color w:val="auto"/>
          <w:kern w:val="0"/>
          <w:sz w:val="24"/>
          <w:szCs w:val="22"/>
          <w:highlight w:val="none"/>
          <w:lang w:eastAsia="zh-CN" w:bidi="en-US"/>
        </w:rPr>
      </w:pPr>
      <w:r>
        <w:rPr>
          <w:rFonts w:hint="eastAsia" w:ascii="宋体" w:hAnsi="宋体" w:eastAsia="宋体" w:cs="宋体"/>
          <w:b/>
          <w:color w:val="auto"/>
          <w:kern w:val="0"/>
          <w:sz w:val="24"/>
          <w:szCs w:val="22"/>
          <w:highlight w:val="none"/>
          <w:lang w:eastAsia="zh-CN" w:bidi="en-US"/>
        </w:rPr>
        <w:t>中小企业声明函</w:t>
      </w:r>
    </w:p>
    <w:p w14:paraId="4581CFE3">
      <w:pPr>
        <w:widowControl/>
        <w:adjustRightInd w:val="0"/>
        <w:snapToGrid w:val="0"/>
        <w:spacing w:line="360" w:lineRule="auto"/>
        <w:ind w:firstLine="482" w:firstLineChars="200"/>
        <w:jc w:val="center"/>
        <w:rPr>
          <w:rFonts w:hint="eastAsia" w:ascii="宋体" w:hAnsi="宋体" w:eastAsia="宋体" w:cs="宋体"/>
          <w:b/>
          <w:color w:val="auto"/>
          <w:kern w:val="0"/>
          <w:sz w:val="24"/>
          <w:szCs w:val="22"/>
          <w:highlight w:val="none"/>
          <w:lang w:eastAsia="zh-CN" w:bidi="en-US"/>
        </w:rPr>
      </w:pPr>
      <w:r>
        <w:rPr>
          <w:rFonts w:hint="eastAsia" w:ascii="宋体" w:hAnsi="宋体" w:eastAsia="宋体" w:cs="宋体"/>
          <w:b/>
          <w:color w:val="auto"/>
          <w:kern w:val="0"/>
          <w:sz w:val="24"/>
          <w:szCs w:val="22"/>
          <w:highlight w:val="none"/>
          <w:lang w:eastAsia="zh-CN" w:bidi="en-US"/>
        </w:rPr>
        <w:t>（不属于中小微企业的无需填写）</w:t>
      </w:r>
    </w:p>
    <w:p w14:paraId="67B35619">
      <w:pPr>
        <w:spacing w:line="588" w:lineRule="exact"/>
        <w:rPr>
          <w:rFonts w:hint="eastAsia" w:ascii="宋体" w:hAnsi="宋体" w:eastAsia="宋体" w:cs="宋体"/>
          <w:b/>
          <w:color w:val="auto"/>
          <w:spacing w:val="6"/>
          <w:sz w:val="30"/>
          <w:szCs w:val="30"/>
          <w:highlight w:val="none"/>
        </w:rPr>
      </w:pPr>
    </w:p>
    <w:p w14:paraId="3A74862E">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pacing w:val="6"/>
          <w:sz w:val="24"/>
          <w:szCs w:val="24"/>
          <w:highlight w:val="none"/>
          <w:u w:val="single"/>
        </w:rPr>
        <w:t xml:space="preserve"> （单位名称）</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u w:val="single"/>
        </w:rPr>
        <w:t xml:space="preserve"> </w:t>
      </w:r>
      <w:r>
        <w:rPr>
          <w:rFonts w:hint="eastAsia" w:ascii="宋体" w:hAnsi="宋体" w:cs="宋体"/>
          <w:b/>
          <w:bCs/>
          <w:color w:val="auto"/>
          <w:sz w:val="24"/>
          <w:szCs w:val="24"/>
          <w:highlight w:val="none"/>
          <w:u w:val="single"/>
          <w:lang w:eastAsia="zh-CN"/>
        </w:rPr>
        <w:t>福贡县2025年高素质农民培育项目（二次）</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b/>
          <w:bCs/>
          <w:color w:val="auto"/>
          <w:sz w:val="24"/>
          <w:szCs w:val="24"/>
          <w:highlight w:val="none"/>
          <w:u w:val="single"/>
        </w:rPr>
        <w:t>项目编号：</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采购活动，服务全部由符合政策要求的中小企业承接。相关企业（含联合体中的中小企业、签订分包意向协议的中小企业）的具体情况如下：</w:t>
      </w:r>
    </w:p>
    <w:p w14:paraId="5FC2A47A">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1.</w:t>
      </w:r>
      <w:r>
        <w:rPr>
          <w:rFonts w:hint="eastAsia" w:ascii="宋体" w:hAnsi="宋体" w:eastAsia="宋体" w:cs="宋体"/>
          <w:color w:val="auto"/>
          <w:spacing w:val="6"/>
          <w:sz w:val="24"/>
          <w:szCs w:val="24"/>
          <w:highlight w:val="none"/>
          <w:u w:val="single"/>
        </w:rPr>
        <w:t xml:space="preserve"> （标的名称）</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 xml:space="preserve"> （采购文件中明确的所属行业）行业</w:t>
      </w:r>
      <w:r>
        <w:rPr>
          <w:rFonts w:hint="eastAsia" w:ascii="宋体" w:hAnsi="宋体" w:eastAsia="宋体" w:cs="宋体"/>
          <w:color w:val="auto"/>
          <w:spacing w:val="6"/>
          <w:sz w:val="24"/>
          <w:szCs w:val="24"/>
          <w:highlight w:val="none"/>
        </w:rPr>
        <w:t>；承接企业为</w:t>
      </w:r>
      <w:r>
        <w:rPr>
          <w:rFonts w:hint="eastAsia" w:ascii="宋体" w:hAnsi="宋体" w:eastAsia="宋体" w:cs="宋体"/>
          <w:color w:val="auto"/>
          <w:spacing w:val="6"/>
          <w:sz w:val="24"/>
          <w:szCs w:val="24"/>
          <w:highlight w:val="none"/>
          <w:u w:val="single"/>
        </w:rPr>
        <w:t xml:space="preserve"> （企业名称）</w:t>
      </w:r>
      <w:r>
        <w:rPr>
          <w:rFonts w:hint="eastAsia" w:ascii="宋体" w:hAnsi="宋体" w:eastAsia="宋体" w:cs="宋体"/>
          <w:color w:val="auto"/>
          <w:spacing w:val="6"/>
          <w:sz w:val="24"/>
          <w:szCs w:val="24"/>
          <w:highlight w:val="none"/>
        </w:rPr>
        <w:t>，从业人员</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人，营业收入为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万元，资产总额为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万元，属于</w:t>
      </w:r>
      <w:r>
        <w:rPr>
          <w:rFonts w:hint="eastAsia" w:ascii="宋体" w:hAnsi="宋体" w:eastAsia="宋体" w:cs="宋体"/>
          <w:color w:val="auto"/>
          <w:spacing w:val="6"/>
          <w:sz w:val="24"/>
          <w:szCs w:val="24"/>
          <w:highlight w:val="none"/>
          <w:u w:val="single"/>
        </w:rPr>
        <w:t>（中型企业、小型企业、微型企业）</w:t>
      </w:r>
      <w:r>
        <w:rPr>
          <w:rFonts w:hint="eastAsia" w:ascii="宋体" w:hAnsi="宋体" w:eastAsia="宋体" w:cs="宋体"/>
          <w:color w:val="auto"/>
          <w:spacing w:val="6"/>
          <w:sz w:val="24"/>
          <w:szCs w:val="24"/>
          <w:highlight w:val="none"/>
        </w:rPr>
        <w:t>；</w:t>
      </w:r>
    </w:p>
    <w:p w14:paraId="6585F773">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2.</w:t>
      </w:r>
      <w:r>
        <w:rPr>
          <w:rFonts w:hint="eastAsia" w:ascii="宋体" w:hAnsi="宋体" w:eastAsia="宋体" w:cs="宋体"/>
          <w:color w:val="auto"/>
          <w:spacing w:val="6"/>
          <w:sz w:val="24"/>
          <w:szCs w:val="24"/>
          <w:highlight w:val="none"/>
          <w:u w:val="single"/>
        </w:rPr>
        <w:t xml:space="preserve"> （标的名称）</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 xml:space="preserve"> （采购文件中明确的所属行业）行业</w:t>
      </w:r>
      <w:r>
        <w:rPr>
          <w:rFonts w:hint="eastAsia" w:ascii="宋体" w:hAnsi="宋体" w:eastAsia="宋体" w:cs="宋体"/>
          <w:color w:val="auto"/>
          <w:spacing w:val="6"/>
          <w:sz w:val="24"/>
          <w:szCs w:val="24"/>
          <w:highlight w:val="none"/>
        </w:rPr>
        <w:t>；承接企业为</w:t>
      </w:r>
      <w:r>
        <w:rPr>
          <w:rFonts w:hint="eastAsia" w:ascii="宋体" w:hAnsi="宋体" w:eastAsia="宋体" w:cs="宋体"/>
          <w:color w:val="auto"/>
          <w:spacing w:val="6"/>
          <w:sz w:val="24"/>
          <w:szCs w:val="24"/>
          <w:highlight w:val="none"/>
          <w:u w:val="single"/>
        </w:rPr>
        <w:t xml:space="preserve"> （企业名称）</w:t>
      </w:r>
      <w:r>
        <w:rPr>
          <w:rFonts w:hint="eastAsia" w:ascii="宋体" w:hAnsi="宋体" w:eastAsia="宋体" w:cs="宋体"/>
          <w:color w:val="auto"/>
          <w:spacing w:val="6"/>
          <w:sz w:val="24"/>
          <w:szCs w:val="24"/>
          <w:highlight w:val="none"/>
        </w:rPr>
        <w:t>，从业人员</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人，营业收入为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万元，资产总额为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万元，属于</w:t>
      </w:r>
      <w:r>
        <w:rPr>
          <w:rFonts w:hint="eastAsia" w:ascii="宋体" w:hAnsi="宋体" w:eastAsia="宋体" w:cs="宋体"/>
          <w:color w:val="auto"/>
          <w:spacing w:val="6"/>
          <w:sz w:val="24"/>
          <w:szCs w:val="24"/>
          <w:highlight w:val="none"/>
          <w:u w:val="single"/>
        </w:rPr>
        <w:t>（中型企业、小型企业、微型企业）</w:t>
      </w:r>
      <w:r>
        <w:rPr>
          <w:rFonts w:hint="eastAsia" w:ascii="宋体" w:hAnsi="宋体" w:eastAsia="宋体" w:cs="宋体"/>
          <w:color w:val="auto"/>
          <w:spacing w:val="6"/>
          <w:sz w:val="24"/>
          <w:szCs w:val="24"/>
          <w:highlight w:val="none"/>
        </w:rPr>
        <w:t>；</w:t>
      </w:r>
    </w:p>
    <w:p w14:paraId="2D14439A">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w:t>
      </w:r>
    </w:p>
    <w:p w14:paraId="28FF69FD">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以上企业，不属于大企业的分支机构，不存在控股股东为大企业的情形，也不存在与大企业的负责人为同一人的情形。</w:t>
      </w:r>
    </w:p>
    <w:p w14:paraId="2B166DDD">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本企业对上述声明内容的真实性负责。如有虚假，将依法承担相应责任。</w:t>
      </w:r>
    </w:p>
    <w:p w14:paraId="0D1DBC70">
      <w:pPr>
        <w:tabs>
          <w:tab w:val="left" w:pos="4860"/>
        </w:tabs>
        <w:spacing w:line="588" w:lineRule="exact"/>
        <w:ind w:right="1560" w:firstLine="504" w:firstLineChars="200"/>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w:t>
      </w:r>
    </w:p>
    <w:p w14:paraId="147ECE4F">
      <w:pPr>
        <w:tabs>
          <w:tab w:val="left" w:pos="4860"/>
        </w:tabs>
        <w:spacing w:line="588" w:lineRule="exact"/>
        <w:ind w:right="1560" w:firstLine="504" w:firstLineChars="200"/>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企业名称</w:t>
      </w:r>
      <w:r>
        <w:rPr>
          <w:rFonts w:hint="eastAsia" w:ascii="宋体" w:hAnsi="宋体" w:eastAsia="宋体" w:cs="宋体"/>
          <w:color w:val="auto"/>
          <w:sz w:val="24"/>
          <w:szCs w:val="24"/>
          <w:highlight w:val="none"/>
        </w:rPr>
        <w:t>（盖单位公章）</w:t>
      </w:r>
      <w:r>
        <w:rPr>
          <w:rFonts w:hint="eastAsia" w:ascii="宋体" w:hAnsi="宋体" w:eastAsia="宋体" w:cs="宋体"/>
          <w:color w:val="auto"/>
          <w:spacing w:val="6"/>
          <w:sz w:val="24"/>
          <w:szCs w:val="24"/>
          <w:highlight w:val="none"/>
        </w:rPr>
        <w:t xml:space="preserve">： </w:t>
      </w:r>
    </w:p>
    <w:p w14:paraId="38BE6D58">
      <w:pPr>
        <w:tabs>
          <w:tab w:val="left" w:pos="4860"/>
        </w:tabs>
        <w:spacing w:line="588" w:lineRule="exact"/>
        <w:ind w:right="1560" w:firstLine="504" w:firstLineChars="200"/>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日期：                </w:t>
      </w:r>
    </w:p>
    <w:p w14:paraId="73D71FF6">
      <w:pPr>
        <w:spacing w:line="360" w:lineRule="auto"/>
        <w:rPr>
          <w:rFonts w:hint="eastAsia" w:ascii="宋体" w:hAnsi="宋体" w:eastAsia="宋体" w:cs="宋体"/>
          <w:b/>
          <w:color w:val="auto"/>
          <w:sz w:val="24"/>
          <w:szCs w:val="24"/>
          <w:highlight w:val="none"/>
        </w:rPr>
      </w:pPr>
    </w:p>
    <w:p w14:paraId="7C913A2C">
      <w:pPr>
        <w:spacing w:line="360" w:lineRule="auto"/>
        <w:rPr>
          <w:rFonts w:hint="eastAsia" w:ascii="宋体" w:hAnsi="宋体" w:eastAsia="宋体" w:cs="宋体"/>
          <w:b/>
          <w:color w:val="auto"/>
          <w:sz w:val="24"/>
          <w:szCs w:val="24"/>
          <w:highlight w:val="none"/>
        </w:rPr>
      </w:pPr>
    </w:p>
    <w:p w14:paraId="65A0311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注：从业人员、营业收入、资产总额填报上一年度数据，无上一年度数据的新成立企业可不填写。</w:t>
      </w:r>
    </w:p>
    <w:p w14:paraId="19A4D636">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67276535">
      <w:pPr>
        <w:widowControl/>
        <w:adjustRightInd w:val="0"/>
        <w:snapToGrid w:val="0"/>
        <w:spacing w:line="360" w:lineRule="auto"/>
        <w:jc w:val="center"/>
        <w:outlineLvl w:val="3"/>
        <w:rPr>
          <w:rFonts w:hint="eastAsia" w:ascii="宋体" w:hAnsi="宋体" w:eastAsia="宋体" w:cs="宋体"/>
          <w:b/>
          <w:color w:val="auto"/>
          <w:kern w:val="0"/>
          <w:sz w:val="24"/>
          <w:szCs w:val="21"/>
          <w:highlight w:val="none"/>
          <w:lang w:bidi="en-US"/>
        </w:rPr>
      </w:pPr>
      <w:r>
        <w:rPr>
          <w:rFonts w:hint="eastAsia" w:ascii="宋体" w:hAnsi="宋体" w:eastAsia="宋体" w:cs="宋体"/>
          <w:b/>
          <w:color w:val="auto"/>
          <w:kern w:val="0"/>
          <w:sz w:val="24"/>
          <w:szCs w:val="21"/>
          <w:highlight w:val="none"/>
          <w:lang w:bidi="en-US"/>
        </w:rPr>
        <w:t>2.《残疾人福利性单位声明函》格式</w:t>
      </w:r>
    </w:p>
    <w:p w14:paraId="491C544F">
      <w:pPr>
        <w:widowControl/>
        <w:adjustRightInd w:val="0"/>
        <w:snapToGrid w:val="0"/>
        <w:spacing w:line="360" w:lineRule="auto"/>
        <w:jc w:val="center"/>
        <w:rPr>
          <w:rFonts w:hint="eastAsia" w:ascii="宋体" w:hAnsi="宋体" w:eastAsia="宋体" w:cs="宋体"/>
          <w:b/>
          <w:color w:val="auto"/>
          <w:kern w:val="0"/>
          <w:sz w:val="24"/>
          <w:highlight w:val="none"/>
          <w:lang w:bidi="en-US"/>
        </w:rPr>
      </w:pPr>
      <w:r>
        <w:rPr>
          <w:rFonts w:hint="eastAsia" w:ascii="宋体" w:hAnsi="宋体" w:eastAsia="宋体" w:cs="宋体"/>
          <w:b/>
          <w:color w:val="auto"/>
          <w:kern w:val="0"/>
          <w:sz w:val="24"/>
          <w:highlight w:val="none"/>
          <w:lang w:bidi="en-US"/>
        </w:rPr>
        <w:t>残疾人福利性单位声明函</w:t>
      </w:r>
    </w:p>
    <w:p w14:paraId="172E4B5E">
      <w:pPr>
        <w:widowControl/>
        <w:adjustRightInd w:val="0"/>
        <w:snapToGrid w:val="0"/>
        <w:spacing w:line="360" w:lineRule="auto"/>
        <w:jc w:val="center"/>
        <w:rPr>
          <w:rFonts w:hint="eastAsia" w:ascii="宋体" w:hAnsi="宋体" w:eastAsia="宋体" w:cs="宋体"/>
          <w:b/>
          <w:color w:val="auto"/>
          <w:kern w:val="0"/>
          <w:sz w:val="24"/>
          <w:highlight w:val="none"/>
          <w:lang w:bidi="en-US"/>
        </w:rPr>
      </w:pPr>
      <w:r>
        <w:rPr>
          <w:rFonts w:hint="eastAsia" w:ascii="宋体" w:hAnsi="宋体" w:eastAsia="宋体" w:cs="宋体"/>
          <w:b/>
          <w:color w:val="auto"/>
          <w:kern w:val="0"/>
          <w:sz w:val="24"/>
          <w:highlight w:val="none"/>
          <w:lang w:bidi="en-US"/>
        </w:rPr>
        <w:t>（不属于残疾人福利性单位的无需填写）</w:t>
      </w:r>
    </w:p>
    <w:p w14:paraId="3CA9A3DD">
      <w:pPr>
        <w:widowControl/>
        <w:adjustRightInd w:val="0"/>
        <w:snapToGrid w:val="0"/>
        <w:spacing w:line="360" w:lineRule="auto"/>
        <w:ind w:firstLine="482" w:firstLineChars="200"/>
        <w:jc w:val="left"/>
        <w:rPr>
          <w:rFonts w:hint="eastAsia" w:ascii="宋体" w:hAnsi="宋体" w:eastAsia="宋体" w:cs="宋体"/>
          <w:b/>
          <w:color w:val="auto"/>
          <w:kern w:val="0"/>
          <w:sz w:val="24"/>
          <w:highlight w:val="none"/>
          <w:lang w:bidi="en-US"/>
        </w:rPr>
      </w:pPr>
    </w:p>
    <w:p w14:paraId="2091E7CA">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r>
        <w:rPr>
          <w:rFonts w:hint="eastAsia" w:ascii="宋体" w:hAnsi="宋体" w:eastAsia="宋体" w:cs="宋体"/>
          <w:color w:val="auto"/>
          <w:kern w:val="0"/>
          <w:sz w:val="24"/>
          <w:highlight w:val="none"/>
          <w:lang w:bidi="en-US"/>
        </w:rPr>
        <w:t>本单位郑重声明，根据《财政部 民政部 中国残疾人联合会关于促进残疾人就业政府采购政策的通知》</w:t>
      </w:r>
    </w:p>
    <w:p w14:paraId="5F35934B">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r>
        <w:rPr>
          <w:rFonts w:hint="eastAsia" w:ascii="宋体" w:hAnsi="宋体" w:eastAsia="宋体" w:cs="宋体"/>
          <w:color w:val="auto"/>
          <w:kern w:val="0"/>
          <w:sz w:val="24"/>
          <w:highlight w:val="none"/>
          <w:lang w:bidi="en-US"/>
        </w:rPr>
        <w:t>（财库〔2017〕141号）的规定，本单位为符合条件的残疾人福利性单位，且本单位参加</w:t>
      </w:r>
      <w:r>
        <w:rPr>
          <w:rFonts w:hint="eastAsia" w:ascii="宋体" w:hAnsi="宋体" w:eastAsia="宋体" w:cs="宋体"/>
          <w:color w:val="auto"/>
          <w:spacing w:val="6"/>
          <w:sz w:val="24"/>
          <w:szCs w:val="24"/>
          <w:highlight w:val="none"/>
          <w:u w:val="single"/>
        </w:rPr>
        <w:t>（单位名称）</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u w:val="single"/>
        </w:rPr>
        <w:t xml:space="preserve"> </w:t>
      </w:r>
      <w:r>
        <w:rPr>
          <w:rFonts w:hint="eastAsia" w:ascii="宋体" w:hAnsi="宋体" w:cs="宋体"/>
          <w:b/>
          <w:bCs/>
          <w:color w:val="auto"/>
          <w:sz w:val="24"/>
          <w:szCs w:val="24"/>
          <w:highlight w:val="none"/>
          <w:u w:val="single"/>
          <w:lang w:eastAsia="zh-CN"/>
        </w:rPr>
        <w:t>福贡县2025年高素质农民培育项目（二次）</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b/>
          <w:bCs/>
          <w:color w:val="auto"/>
          <w:sz w:val="24"/>
          <w:szCs w:val="24"/>
          <w:highlight w:val="none"/>
          <w:u w:val="single"/>
        </w:rPr>
        <w:t>项目编号：</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kern w:val="0"/>
          <w:sz w:val="24"/>
          <w:highlight w:val="none"/>
          <w:lang w:bidi="en-US"/>
        </w:rPr>
        <w:t>项目采购活动提供本单位制造的货物（由本单位承担工程/提供服务），或者提供其他残疾人福利性单位制造的货物（不包括使用非残疾人福利性单位注册商标的货物）。</w:t>
      </w:r>
    </w:p>
    <w:p w14:paraId="3CCB7FBD">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r>
        <w:rPr>
          <w:rFonts w:hint="eastAsia" w:ascii="宋体" w:hAnsi="宋体" w:eastAsia="宋体" w:cs="宋体"/>
          <w:color w:val="auto"/>
          <w:kern w:val="0"/>
          <w:sz w:val="24"/>
          <w:highlight w:val="none"/>
          <w:lang w:bidi="en-US"/>
        </w:rPr>
        <w:t>本单位对上述声明的真实性负责。如有虚假，将依法承担相应责任。</w:t>
      </w:r>
    </w:p>
    <w:p w14:paraId="3399DA93">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p>
    <w:p w14:paraId="77E2FDC4">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p>
    <w:p w14:paraId="7C287954">
      <w:pPr>
        <w:widowControl/>
        <w:adjustRightInd w:val="0"/>
        <w:snapToGrid w:val="0"/>
        <w:spacing w:line="360" w:lineRule="auto"/>
        <w:ind w:firstLine="482" w:firstLineChars="200"/>
        <w:jc w:val="left"/>
        <w:rPr>
          <w:rFonts w:hint="eastAsia" w:ascii="宋体" w:hAnsi="宋体" w:eastAsia="宋体" w:cs="宋体"/>
          <w:b/>
          <w:color w:val="auto"/>
          <w:kern w:val="0"/>
          <w:sz w:val="24"/>
          <w:highlight w:val="none"/>
          <w:lang w:bidi="en-US"/>
        </w:rPr>
      </w:pPr>
      <w:r>
        <w:rPr>
          <w:rFonts w:hint="eastAsia" w:ascii="宋体" w:hAnsi="宋体" w:eastAsia="宋体" w:cs="宋体"/>
          <w:b/>
          <w:color w:val="auto"/>
          <w:kern w:val="0"/>
          <w:sz w:val="24"/>
          <w:highlight w:val="none"/>
          <w:lang w:bidi="en-US"/>
        </w:rPr>
        <w:t>注：请单独列出所供残疾人福利性单位制造的货物产品或提供的服务或实施的工程的单价和总价。</w:t>
      </w:r>
    </w:p>
    <w:p w14:paraId="49B144E5">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r>
        <w:rPr>
          <w:rFonts w:hint="eastAsia" w:ascii="宋体" w:hAnsi="宋体" w:eastAsia="宋体" w:cs="宋体"/>
          <w:color w:val="auto"/>
          <w:kern w:val="0"/>
          <w:sz w:val="24"/>
          <w:highlight w:val="none"/>
          <w:lang w:bidi="en-US"/>
        </w:rPr>
        <w:t>（若响应文件中无上述材料，则在评审时不考虑对该小、微企业的相关优惠。）</w:t>
      </w:r>
    </w:p>
    <w:p w14:paraId="7E8A3F4D">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p>
    <w:p w14:paraId="58D7AF73">
      <w:pPr>
        <w:tabs>
          <w:tab w:val="left" w:pos="-6379"/>
        </w:tabs>
        <w:adjustRightInd w:val="0"/>
        <w:snapToGrid w:val="0"/>
        <w:spacing w:line="588" w:lineRule="exact"/>
        <w:ind w:left="3118" w:leftChars="1485" w:right="1560"/>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企业名称（盖章）：</w:t>
      </w:r>
    </w:p>
    <w:p w14:paraId="4C07C578">
      <w:pPr>
        <w:tabs>
          <w:tab w:val="left" w:pos="-6379"/>
        </w:tabs>
        <w:adjustRightInd w:val="0"/>
        <w:snapToGrid w:val="0"/>
        <w:spacing w:line="588" w:lineRule="exact"/>
        <w:ind w:left="3118" w:leftChars="1485" w:right="1560"/>
        <w:jc w:val="left"/>
        <w:rPr>
          <w:rFonts w:hint="eastAsia" w:ascii="宋体" w:hAnsi="宋体" w:eastAsia="宋体" w:cs="宋体"/>
          <w:color w:val="auto"/>
          <w:spacing w:val="6"/>
          <w:sz w:val="24"/>
          <w:highlight w:val="none"/>
        </w:rPr>
      </w:pPr>
    </w:p>
    <w:p w14:paraId="29D8E0CA">
      <w:pPr>
        <w:tabs>
          <w:tab w:val="left" w:pos="-6379"/>
        </w:tabs>
        <w:adjustRightInd w:val="0"/>
        <w:snapToGrid w:val="0"/>
        <w:spacing w:line="588" w:lineRule="exact"/>
        <w:ind w:left="3118" w:leftChars="1485" w:right="1560"/>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日  期：</w:t>
      </w:r>
    </w:p>
    <w:p w14:paraId="01F556F4">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p>
    <w:p w14:paraId="744B8467">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r>
        <w:rPr>
          <w:rFonts w:hint="eastAsia" w:ascii="宋体" w:hAnsi="宋体" w:eastAsia="宋体" w:cs="宋体"/>
          <w:color w:val="auto"/>
          <w:kern w:val="0"/>
          <w:sz w:val="24"/>
          <w:highlight w:val="none"/>
          <w:lang w:bidi="en-US"/>
        </w:rPr>
        <w:t>符合条件的残疾人福利性单位在参加政府采购活动时，应当提供本通知规定的《残疾人福利性单位声明函》，并对声明的真实性负责。采购代理机构在随成交、成交结果同时公告其《残疾人福利性单位声明函》，接受社会监督。供应商提供的《残疾人福利性单位声明函》与事实不符的，依照《政府采购法》第七十七条第一款的规定追究法律责任。</w:t>
      </w:r>
    </w:p>
    <w:p w14:paraId="152461E6">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3"/>
        <w:rPr>
          <w:rFonts w:hint="eastAsia" w:ascii="宋体" w:hAnsi="宋体" w:eastAsia="宋体" w:cs="宋体"/>
          <w:b/>
          <w:color w:val="auto"/>
          <w:kern w:val="0"/>
          <w:sz w:val="24"/>
          <w:szCs w:val="21"/>
          <w:highlight w:val="none"/>
          <w:lang w:bidi="en-US"/>
        </w:rPr>
      </w:pPr>
      <w:r>
        <w:rPr>
          <w:rFonts w:hint="eastAsia" w:ascii="宋体" w:hAnsi="宋体" w:eastAsia="宋体" w:cs="宋体"/>
          <w:b/>
          <w:color w:val="auto"/>
          <w:kern w:val="0"/>
          <w:sz w:val="24"/>
          <w:szCs w:val="21"/>
          <w:highlight w:val="none"/>
          <w:lang w:bidi="en-US"/>
        </w:rPr>
        <w:br w:type="page"/>
      </w:r>
      <w:r>
        <w:rPr>
          <w:rFonts w:hint="eastAsia" w:ascii="宋体" w:hAnsi="宋体" w:eastAsia="宋体" w:cs="宋体"/>
          <w:b/>
          <w:color w:val="auto"/>
          <w:kern w:val="0"/>
          <w:sz w:val="24"/>
          <w:szCs w:val="21"/>
          <w:highlight w:val="none"/>
          <w:lang w:val="en-US" w:eastAsia="zh-CN" w:bidi="en-US"/>
        </w:rPr>
        <w:t>3.《监狱企业声明函》格式</w:t>
      </w:r>
    </w:p>
    <w:p w14:paraId="09C48F13">
      <w:pPr>
        <w:widowControl/>
        <w:adjustRightInd w:val="0"/>
        <w:snapToGrid w:val="0"/>
        <w:spacing w:line="360" w:lineRule="auto"/>
        <w:jc w:val="center"/>
        <w:rPr>
          <w:rFonts w:hint="eastAsia" w:ascii="宋体" w:hAnsi="宋体" w:eastAsia="宋体" w:cs="宋体"/>
          <w:b/>
          <w:color w:val="auto"/>
          <w:kern w:val="0"/>
          <w:sz w:val="24"/>
          <w:highlight w:val="none"/>
          <w:lang w:bidi="en-US"/>
        </w:rPr>
      </w:pPr>
      <w:r>
        <w:rPr>
          <w:rFonts w:hint="eastAsia" w:ascii="宋体" w:hAnsi="宋体" w:eastAsia="宋体" w:cs="宋体"/>
          <w:b/>
          <w:color w:val="auto"/>
          <w:kern w:val="0"/>
          <w:sz w:val="24"/>
          <w:highlight w:val="none"/>
          <w:lang w:bidi="en-US"/>
        </w:rPr>
        <w:t>监狱企业声明函</w:t>
      </w:r>
    </w:p>
    <w:p w14:paraId="20E693F9">
      <w:pPr>
        <w:widowControl/>
        <w:adjustRightInd w:val="0"/>
        <w:snapToGrid w:val="0"/>
        <w:spacing w:line="360" w:lineRule="auto"/>
        <w:jc w:val="center"/>
        <w:rPr>
          <w:rFonts w:hint="eastAsia" w:ascii="宋体" w:hAnsi="宋体" w:eastAsia="宋体" w:cs="宋体"/>
          <w:b/>
          <w:color w:val="auto"/>
          <w:kern w:val="0"/>
          <w:sz w:val="24"/>
          <w:highlight w:val="none"/>
          <w:lang w:bidi="en-US"/>
        </w:rPr>
      </w:pPr>
      <w:r>
        <w:rPr>
          <w:rFonts w:hint="eastAsia" w:ascii="宋体" w:hAnsi="宋体" w:eastAsia="宋体" w:cs="宋体"/>
          <w:b/>
          <w:color w:val="auto"/>
          <w:kern w:val="0"/>
          <w:sz w:val="24"/>
          <w:highlight w:val="none"/>
          <w:lang w:bidi="en-US"/>
        </w:rPr>
        <w:t>（不属于监狱企业的无需填写）</w:t>
      </w:r>
    </w:p>
    <w:p w14:paraId="11BD6278">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p>
    <w:p w14:paraId="117B4C44">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r>
        <w:rPr>
          <w:rFonts w:hint="eastAsia" w:ascii="宋体" w:hAnsi="宋体" w:eastAsia="宋体" w:cs="宋体"/>
          <w:color w:val="auto"/>
          <w:kern w:val="0"/>
          <w:sz w:val="24"/>
          <w:highlight w:val="none"/>
          <w:lang w:bidi="en-US"/>
        </w:rPr>
        <w:t>公司郑重声明，根据《关于政府采购支持监狱企业发展有关问题的通知》 （财库[2014]68 号）的规定，本公司为监狱企业。</w:t>
      </w:r>
    </w:p>
    <w:p w14:paraId="562D4B7D">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r>
        <w:rPr>
          <w:rFonts w:hint="eastAsia" w:ascii="宋体" w:hAnsi="宋体" w:eastAsia="宋体" w:cs="宋体"/>
          <w:color w:val="auto"/>
          <w:kern w:val="0"/>
          <w:sz w:val="24"/>
          <w:highlight w:val="none"/>
          <w:lang w:bidi="en-US"/>
        </w:rPr>
        <w:t>根据上述标准，我公司属于监狱企业的理由为：。</w:t>
      </w:r>
    </w:p>
    <w:p w14:paraId="75DB5FF9">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r>
        <w:rPr>
          <w:rFonts w:hint="eastAsia" w:ascii="宋体" w:hAnsi="宋体" w:eastAsia="宋体" w:cs="宋体"/>
          <w:color w:val="auto"/>
          <w:kern w:val="0"/>
          <w:sz w:val="24"/>
          <w:highlight w:val="none"/>
          <w:lang w:bidi="en-US"/>
        </w:rPr>
        <w:t>本公司为参加</w:t>
      </w:r>
      <w:r>
        <w:rPr>
          <w:rFonts w:hint="eastAsia" w:ascii="宋体" w:hAnsi="宋体" w:eastAsia="宋体" w:cs="宋体"/>
          <w:color w:val="auto"/>
          <w:spacing w:val="6"/>
          <w:sz w:val="24"/>
          <w:szCs w:val="24"/>
          <w:highlight w:val="none"/>
          <w:u w:val="single"/>
        </w:rPr>
        <w:t>（单位名称）</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u w:val="single"/>
        </w:rPr>
        <w:t xml:space="preserve"> </w:t>
      </w:r>
      <w:r>
        <w:rPr>
          <w:rFonts w:hint="eastAsia" w:ascii="宋体" w:hAnsi="宋体" w:cs="宋体"/>
          <w:b/>
          <w:bCs/>
          <w:color w:val="auto"/>
          <w:sz w:val="24"/>
          <w:szCs w:val="24"/>
          <w:highlight w:val="none"/>
          <w:u w:val="single"/>
          <w:lang w:eastAsia="zh-CN"/>
        </w:rPr>
        <w:t>福贡县2025年高素质农民培育项目（二次）</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b/>
          <w:bCs/>
          <w:color w:val="auto"/>
          <w:sz w:val="24"/>
          <w:szCs w:val="24"/>
          <w:highlight w:val="none"/>
          <w:u w:val="single"/>
        </w:rPr>
        <w:t>项目编号：</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采购活动</w:t>
      </w:r>
      <w:r>
        <w:rPr>
          <w:rFonts w:hint="eastAsia" w:ascii="宋体" w:hAnsi="宋体" w:eastAsia="宋体" w:cs="宋体"/>
          <w:color w:val="auto"/>
          <w:kern w:val="0"/>
          <w:sz w:val="24"/>
          <w:highlight w:val="none"/>
          <w:lang w:bidi="en-US"/>
        </w:rPr>
        <w:t>采购活动提供本企业（填写制造的货物，由本企业承担工程、提供服务）。</w:t>
      </w:r>
    </w:p>
    <w:p w14:paraId="3A8FB7A4">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r>
        <w:rPr>
          <w:rFonts w:hint="eastAsia" w:ascii="宋体" w:hAnsi="宋体" w:eastAsia="宋体" w:cs="宋体"/>
          <w:color w:val="auto"/>
          <w:kern w:val="0"/>
          <w:sz w:val="24"/>
          <w:highlight w:val="none"/>
          <w:lang w:bidi="en-US"/>
        </w:rPr>
        <w:t>本条所称货物不包括使用大型企业注册商标的货物和服务。</w:t>
      </w:r>
    </w:p>
    <w:p w14:paraId="10F6A220">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p>
    <w:p w14:paraId="27E62BB4">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r>
        <w:rPr>
          <w:rFonts w:hint="eastAsia" w:ascii="宋体" w:hAnsi="宋体" w:eastAsia="宋体" w:cs="宋体"/>
          <w:color w:val="auto"/>
          <w:kern w:val="0"/>
          <w:sz w:val="24"/>
          <w:highlight w:val="none"/>
          <w:lang w:bidi="en-US"/>
        </w:rPr>
        <w:t>本公司对上述声明的真实性负责。如有虚假，将依法承担相应责任</w:t>
      </w:r>
    </w:p>
    <w:p w14:paraId="56A8A901">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p>
    <w:p w14:paraId="3C0C2F91">
      <w:pPr>
        <w:tabs>
          <w:tab w:val="left" w:pos="-6379"/>
        </w:tabs>
        <w:adjustRightInd w:val="0"/>
        <w:snapToGrid w:val="0"/>
        <w:spacing w:line="588" w:lineRule="exact"/>
        <w:ind w:left="3118" w:leftChars="1485" w:right="1560"/>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企业名称（盖章）：</w:t>
      </w:r>
    </w:p>
    <w:p w14:paraId="153B5AA0">
      <w:pPr>
        <w:tabs>
          <w:tab w:val="left" w:pos="-6379"/>
        </w:tabs>
        <w:adjustRightInd w:val="0"/>
        <w:snapToGrid w:val="0"/>
        <w:spacing w:line="588" w:lineRule="exact"/>
        <w:ind w:right="1560" w:firstLine="504" w:firstLineChars="200"/>
        <w:jc w:val="center"/>
        <w:rPr>
          <w:rFonts w:hint="eastAsia" w:ascii="宋体" w:hAnsi="宋体" w:eastAsia="宋体" w:cs="宋体"/>
          <w:color w:val="auto"/>
          <w:spacing w:val="6"/>
          <w:sz w:val="24"/>
          <w:highlight w:val="none"/>
        </w:rPr>
      </w:pPr>
    </w:p>
    <w:p w14:paraId="1FABD2A5">
      <w:pPr>
        <w:tabs>
          <w:tab w:val="left" w:pos="-6379"/>
        </w:tabs>
        <w:adjustRightInd w:val="0"/>
        <w:snapToGrid w:val="0"/>
        <w:spacing w:line="588" w:lineRule="exact"/>
        <w:ind w:left="3118" w:leftChars="1485" w:right="1560"/>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日  期：</w:t>
      </w:r>
    </w:p>
    <w:p w14:paraId="7B18946B">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p>
    <w:p w14:paraId="57E6D1B6">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r>
        <w:rPr>
          <w:rFonts w:hint="eastAsia" w:ascii="宋体" w:hAnsi="宋体" w:eastAsia="宋体" w:cs="宋体"/>
          <w:color w:val="auto"/>
          <w:kern w:val="0"/>
          <w:sz w:val="24"/>
          <w:highlight w:val="none"/>
          <w:lang w:bidi="en-US"/>
        </w:rPr>
        <w:t>注：</w:t>
      </w:r>
    </w:p>
    <w:p w14:paraId="798471BF">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r>
        <w:rPr>
          <w:rFonts w:hint="eastAsia" w:ascii="宋体" w:hAnsi="宋体" w:eastAsia="宋体" w:cs="宋体"/>
          <w:color w:val="auto"/>
          <w:kern w:val="0"/>
          <w:sz w:val="24"/>
          <w:highlight w:val="none"/>
          <w:lang w:bidi="en-US"/>
        </w:rPr>
        <w:t>若产品出自符合国家规定的监狱企业，则该产品制造企业必须出具上述声明函，且供应商必须提供应当提供由省级以上监狱管理局、戒毒管理局（含新疆生产建设兵团）出具的属于监狱企业的证明文件，否则在评审时将不考虑对该监狱企业的相关优惠。</w:t>
      </w:r>
    </w:p>
    <w:p w14:paraId="1D76DE8F">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lang w:bidi="en-US"/>
        </w:rPr>
      </w:pPr>
      <w:r>
        <w:rPr>
          <w:rFonts w:hint="eastAsia" w:ascii="宋体" w:hAnsi="宋体" w:eastAsia="宋体" w:cs="宋体"/>
          <w:color w:val="auto"/>
          <w:kern w:val="0"/>
          <w:sz w:val="24"/>
          <w:highlight w:val="none"/>
          <w:lang w:bidi="en-US"/>
        </w:rPr>
        <w:t>监狱企业视同小型、微型企业，享受评审中价格扣除等政府采购促进中小企业发展的政府采购政策。</w:t>
      </w:r>
    </w:p>
    <w:p w14:paraId="3B47FC24">
      <w:pPr>
        <w:widowControl/>
        <w:adjustRightInd w:val="0"/>
        <w:snapToGrid w:val="0"/>
        <w:spacing w:line="360" w:lineRule="auto"/>
        <w:ind w:firstLine="482" w:firstLineChars="200"/>
        <w:jc w:val="left"/>
        <w:rPr>
          <w:rFonts w:hint="eastAsia" w:ascii="宋体" w:hAnsi="宋体" w:eastAsia="宋体" w:cs="宋体"/>
          <w:b/>
          <w:color w:val="auto"/>
          <w:kern w:val="0"/>
          <w:sz w:val="24"/>
          <w:highlight w:val="none"/>
          <w:lang w:bidi="en-US"/>
        </w:rPr>
      </w:pPr>
      <w:r>
        <w:rPr>
          <w:rFonts w:hint="eastAsia" w:ascii="宋体" w:hAnsi="宋体" w:eastAsia="宋体" w:cs="宋体"/>
          <w:b/>
          <w:color w:val="auto"/>
          <w:kern w:val="0"/>
          <w:sz w:val="24"/>
          <w:highlight w:val="none"/>
          <w:lang w:bidi="en-US"/>
        </w:rPr>
        <w:t>请单独列出所供监狱企业制造的货物产品或提供的服务或实施的工程的单价和总价。</w:t>
      </w:r>
    </w:p>
    <w:p w14:paraId="17438B96">
      <w:pPr>
        <w:pStyle w:val="2"/>
        <w:numPr>
          <w:ilvl w:val="0"/>
          <w:numId w:val="0"/>
        </w:numPr>
        <w:spacing w:before="0"/>
        <w:jc w:val="center"/>
        <w:rPr>
          <w:rFonts w:hint="eastAsia" w:ascii="宋体" w:hAnsi="宋体" w:eastAsia="宋体" w:cs="宋体"/>
          <w:color w:val="auto"/>
          <w:highlight w:val="none"/>
        </w:rPr>
      </w:pPr>
      <w:r>
        <w:rPr>
          <w:rFonts w:hint="eastAsia" w:ascii="宋体" w:hAnsi="宋体" w:eastAsia="宋体" w:cs="宋体"/>
          <w:color w:val="auto"/>
          <w:sz w:val="32"/>
          <w:szCs w:val="32"/>
          <w:highlight w:val="none"/>
        </w:rPr>
        <w:br w:type="page"/>
      </w:r>
      <w:bookmarkEnd w:id="222"/>
      <w:bookmarkEnd w:id="223"/>
      <w:bookmarkStart w:id="410" w:name="_Toc115077050"/>
      <w:bookmarkStart w:id="411" w:name="_Toc27436"/>
      <w:r>
        <w:rPr>
          <w:rFonts w:hint="eastAsia" w:ascii="宋体" w:hAnsi="宋体" w:eastAsia="宋体" w:cs="宋体"/>
          <w:color w:val="auto"/>
          <w:sz w:val="32"/>
          <w:szCs w:val="32"/>
          <w:highlight w:val="none"/>
        </w:rPr>
        <w:t>第</w:t>
      </w:r>
      <w:r>
        <w:rPr>
          <w:rFonts w:hint="eastAsia" w:ascii="宋体" w:hAnsi="宋体" w:eastAsia="宋体" w:cs="宋体"/>
          <w:color w:val="auto"/>
          <w:sz w:val="32"/>
          <w:szCs w:val="32"/>
          <w:highlight w:val="none"/>
          <w:lang w:val="en-US" w:eastAsia="zh-CN"/>
        </w:rPr>
        <w:t>五</w:t>
      </w:r>
      <w:r>
        <w:rPr>
          <w:rFonts w:hint="eastAsia" w:ascii="宋体" w:hAnsi="宋体" w:eastAsia="宋体" w:cs="宋体"/>
          <w:color w:val="auto"/>
          <w:sz w:val="32"/>
          <w:szCs w:val="32"/>
          <w:highlight w:val="none"/>
        </w:rPr>
        <w:t>章  采购需求</w:t>
      </w:r>
      <w:bookmarkEnd w:id="410"/>
      <w:bookmarkEnd w:id="411"/>
      <w:bookmarkStart w:id="412" w:name="_Toc115077051"/>
    </w:p>
    <w:p w14:paraId="1C8354C5">
      <w:pPr>
        <w:keepNext w:val="0"/>
        <w:keepLines w:val="0"/>
        <w:pageBreakBefore w:val="0"/>
        <w:widowControl w:val="0"/>
        <w:kinsoku/>
        <w:wordWrap/>
        <w:overflowPunct/>
        <w:topLinePunct w:val="0"/>
        <w:autoSpaceDE/>
        <w:autoSpaceDN/>
        <w:bidi w:val="0"/>
        <w:adjustRightInd w:val="0"/>
        <w:snapToGrid w:val="0"/>
        <w:spacing w:line="660" w:lineRule="exact"/>
        <w:jc w:val="center"/>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 </w:t>
      </w:r>
      <w:r>
        <w:rPr>
          <w:rFonts w:hint="eastAsia" w:ascii="宋体" w:hAnsi="宋体" w:cs="宋体"/>
          <w:b/>
          <w:bCs/>
          <w:color w:val="auto"/>
          <w:sz w:val="32"/>
          <w:szCs w:val="32"/>
          <w:highlight w:val="none"/>
          <w:lang w:eastAsia="zh-CN"/>
        </w:rPr>
        <w:t>福贡县2025年高素质农民培育项目（二次）</w:t>
      </w:r>
    </w:p>
    <w:p w14:paraId="545F59FE">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采购需求</w:t>
      </w:r>
    </w:p>
    <w:p w14:paraId="62CC39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为巩固拓展脱贫攻坚成果，全力推进乡村振兴，加快培养高素质农民队伍，强化乡村振兴人才支撑，根据《农业农村部办公厅关于做好202</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年高素质农民培育工作的通知》</w:t>
      </w:r>
      <w:r>
        <w:rPr>
          <w:rFonts w:hint="eastAsia" w:ascii="宋体" w:hAnsi="宋体" w:eastAsia="宋体" w:cs="宋体"/>
          <w:b w:val="0"/>
          <w:bCs w:val="0"/>
          <w:color w:val="auto"/>
          <w:sz w:val="24"/>
          <w:szCs w:val="24"/>
          <w:highlight w:val="none"/>
          <w:lang w:eastAsia="zh-CN"/>
        </w:rPr>
        <w:t>（农办社</w:t>
      </w:r>
      <w:r>
        <w:rPr>
          <w:rFonts w:hint="eastAsia" w:ascii="宋体" w:hAnsi="宋体" w:eastAsia="宋体" w:cs="宋体"/>
          <w:b w:val="0"/>
          <w:bCs w:val="0"/>
          <w:color w:val="auto"/>
          <w:sz w:val="24"/>
          <w:szCs w:val="24"/>
          <w:highlight w:val="none"/>
          <w:lang w:val="en-US" w:eastAsia="zh-CN"/>
        </w:rPr>
        <w:t>[2025]3号</w:t>
      </w:r>
      <w:r>
        <w:rPr>
          <w:rFonts w:hint="eastAsia" w:ascii="宋体" w:hAnsi="宋体" w:eastAsia="宋体" w:cs="宋体"/>
          <w:b w:val="0"/>
          <w:bCs w:val="0"/>
          <w:color w:val="auto"/>
          <w:sz w:val="24"/>
          <w:szCs w:val="24"/>
          <w:highlight w:val="none"/>
          <w:lang w:eastAsia="zh-CN"/>
        </w:rPr>
        <w:t>）的文件精神，</w:t>
      </w:r>
      <w:r>
        <w:rPr>
          <w:rFonts w:hint="eastAsia" w:ascii="宋体" w:hAnsi="宋体" w:eastAsia="宋体" w:cs="宋体"/>
          <w:b w:val="0"/>
          <w:bCs w:val="0"/>
          <w:color w:val="auto"/>
          <w:sz w:val="24"/>
          <w:szCs w:val="24"/>
          <w:highlight w:val="none"/>
        </w:rPr>
        <w:t>结合</w:t>
      </w:r>
      <w:r>
        <w:rPr>
          <w:rFonts w:hint="eastAsia" w:ascii="宋体" w:hAnsi="宋体" w:eastAsia="宋体" w:cs="宋体"/>
          <w:b w:val="0"/>
          <w:bCs w:val="0"/>
          <w:color w:val="auto"/>
          <w:sz w:val="24"/>
          <w:szCs w:val="24"/>
          <w:highlight w:val="none"/>
          <w:lang w:eastAsia="zh-CN"/>
        </w:rPr>
        <w:t>我</w:t>
      </w:r>
      <w:r>
        <w:rPr>
          <w:rFonts w:hint="eastAsia" w:ascii="宋体" w:hAnsi="宋体" w:eastAsia="宋体" w:cs="宋体"/>
          <w:b w:val="0"/>
          <w:bCs w:val="0"/>
          <w:color w:val="auto"/>
          <w:sz w:val="24"/>
          <w:szCs w:val="24"/>
          <w:highlight w:val="none"/>
        </w:rPr>
        <w:t>县实际，特制定</w:t>
      </w:r>
      <w:r>
        <w:rPr>
          <w:rFonts w:hint="eastAsia" w:ascii="宋体" w:hAnsi="宋体" w:eastAsia="宋体" w:cs="宋体"/>
          <w:b w:val="0"/>
          <w:bCs w:val="0"/>
          <w:color w:val="auto"/>
          <w:sz w:val="24"/>
          <w:szCs w:val="24"/>
          <w:highlight w:val="none"/>
          <w:lang w:eastAsia="zh-CN"/>
        </w:rPr>
        <w:t>本</w:t>
      </w:r>
      <w:r>
        <w:rPr>
          <w:rFonts w:hint="eastAsia" w:ascii="宋体" w:hAnsi="宋体" w:eastAsia="宋体" w:cs="宋体"/>
          <w:b w:val="0"/>
          <w:bCs w:val="0"/>
          <w:color w:val="auto"/>
          <w:sz w:val="24"/>
          <w:szCs w:val="24"/>
          <w:highlight w:val="none"/>
        </w:rPr>
        <w:t>实施方案。</w:t>
      </w:r>
    </w:p>
    <w:p w14:paraId="64C36CBE">
      <w:pPr>
        <w:pStyle w:val="54"/>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一、指导思想</w:t>
      </w:r>
    </w:p>
    <w:p w14:paraId="64F74D8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以习近平新时代中国特色社会主义思想为指导，深入贯彻党的二十大精神及习近平考察云南重要讲话精神，加快构建新发展格局，聚焦“全力保障粮食和重要农产品稳定安全供给”“多措并举促进农民增收”两个主要目标，结合全面推进乡村振兴和现代农业发展人才需求，培养一支有文化、懂技术、善经营、会管理的高素质农民队伍，造就更多乡土人才。把加强农民培训作为推动乡村人才振兴和产业振兴的重要保障，为全面推进乡村振兴、加快建设农业强国提供坚强人才保障。</w:t>
      </w:r>
    </w:p>
    <w:p w14:paraId="4FD57C8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w:t>
      </w:r>
      <w:r>
        <w:rPr>
          <w:rFonts w:hint="eastAsia" w:ascii="宋体" w:hAnsi="宋体" w:eastAsia="宋体" w:cs="宋体"/>
          <w:b/>
          <w:bCs/>
          <w:color w:val="auto"/>
          <w:sz w:val="24"/>
          <w:szCs w:val="24"/>
          <w:highlight w:val="none"/>
        </w:rPr>
        <w:t>、任务</w:t>
      </w:r>
      <w:r>
        <w:rPr>
          <w:rFonts w:hint="eastAsia" w:ascii="宋体" w:hAnsi="宋体" w:eastAsia="宋体" w:cs="宋体"/>
          <w:b/>
          <w:bCs/>
          <w:color w:val="auto"/>
          <w:sz w:val="24"/>
          <w:szCs w:val="24"/>
          <w:highlight w:val="none"/>
          <w:lang w:eastAsia="zh-CN"/>
        </w:rPr>
        <w:t>、目标及资金来源</w:t>
      </w:r>
    </w:p>
    <w:p w14:paraId="283F78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(一）</w:t>
      </w:r>
      <w:r>
        <w:rPr>
          <w:rFonts w:hint="eastAsia" w:ascii="宋体" w:hAnsi="宋体" w:eastAsia="宋体" w:cs="宋体"/>
          <w:b w:val="0"/>
          <w:bCs w:val="0"/>
          <w:color w:val="auto"/>
          <w:sz w:val="24"/>
          <w:szCs w:val="24"/>
          <w:highlight w:val="none"/>
          <w:lang w:eastAsia="zh-CN"/>
        </w:rPr>
        <w:t>培育任务：按照云南省农业农村厅下达的培育目标任务</w:t>
      </w:r>
      <w:r>
        <w:rPr>
          <w:rFonts w:hint="eastAsia" w:ascii="宋体" w:hAnsi="宋体" w:eastAsia="宋体" w:cs="宋体"/>
          <w:b w:val="0"/>
          <w:bCs w:val="0"/>
          <w:color w:val="auto"/>
          <w:sz w:val="24"/>
          <w:szCs w:val="24"/>
          <w:highlight w:val="none"/>
          <w:lang w:val="en-US" w:eastAsia="zh-CN"/>
        </w:rPr>
        <w:t>150人，县自筹经费培育110人，总计培育260人。其中：粮油和重要农产品生产经营主体提升培训</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草果种植管理全周期的技术培训100人、高山茶生态种植与特色加工技术培训55人），乡村治理人才培训（民宿（农家乐）经营群体的管理素质提升培训）55人，文明乡风培训（</w:t>
      </w:r>
      <w:r>
        <w:rPr>
          <w:rFonts w:hint="eastAsia" w:ascii="宋体" w:hAnsi="宋体" w:eastAsia="宋体" w:cs="宋体"/>
          <w:b w:val="0"/>
          <w:bCs w:val="0"/>
          <w:color w:val="auto"/>
          <w:sz w:val="24"/>
          <w:szCs w:val="24"/>
          <w:highlight w:val="none"/>
          <w:lang w:eastAsia="zh-CN"/>
        </w:rPr>
        <w:t>非遗保护和传承培训</w:t>
      </w:r>
      <w:r>
        <w:rPr>
          <w:rFonts w:hint="eastAsia" w:ascii="宋体" w:hAnsi="宋体" w:eastAsia="宋体" w:cs="宋体"/>
          <w:b w:val="0"/>
          <w:bCs w:val="0"/>
          <w:color w:val="auto"/>
          <w:sz w:val="24"/>
          <w:szCs w:val="24"/>
          <w:highlight w:val="none"/>
          <w:lang w:val="en-US" w:eastAsia="zh-CN"/>
        </w:rPr>
        <w:t>）50人。</w:t>
      </w:r>
    </w:p>
    <w:p w14:paraId="402065B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二）培训目标：以“稳粮保供、非遗活化、产业升级”为主线，围绕农业农村中心工作，培养一批看得见、靠得住、用得上的农业农村建设者和生力军，在留村青年中培育一批懂农业、懂技术的“土专家”“田秀才”，把青年</w:t>
      </w:r>
      <w:r>
        <w:rPr>
          <w:rFonts w:hint="eastAsia" w:ascii="宋体" w:hAnsi="宋体" w:eastAsia="宋体" w:cs="宋体"/>
          <w:b w:val="0"/>
          <w:bCs w:val="0"/>
          <w:color w:val="auto"/>
          <w:sz w:val="24"/>
          <w:szCs w:val="24"/>
          <w:highlight w:val="none"/>
          <w:lang w:val="en-US" w:eastAsia="zh-CN"/>
        </w:rPr>
        <w:t>粮油、草果</w:t>
      </w:r>
      <w:r>
        <w:rPr>
          <w:rFonts w:hint="eastAsia" w:ascii="宋体" w:hAnsi="宋体" w:eastAsia="宋体" w:cs="宋体"/>
          <w:b w:val="0"/>
          <w:bCs w:val="0"/>
          <w:color w:val="auto"/>
          <w:sz w:val="24"/>
          <w:szCs w:val="24"/>
          <w:highlight w:val="none"/>
          <w:lang w:eastAsia="zh-CN"/>
        </w:rPr>
        <w:t>种植能手、专业大户、</w:t>
      </w:r>
      <w:r>
        <w:rPr>
          <w:rFonts w:hint="eastAsia" w:ascii="宋体" w:hAnsi="宋体" w:eastAsia="宋体" w:cs="宋体"/>
          <w:b w:val="0"/>
          <w:bCs w:val="0"/>
          <w:color w:val="auto"/>
          <w:sz w:val="24"/>
          <w:szCs w:val="24"/>
          <w:highlight w:val="none"/>
          <w:lang w:val="en-US" w:eastAsia="zh-CN"/>
        </w:rPr>
        <w:t>乡村旅游经营者、高山茶叶种植加工农户</w:t>
      </w:r>
      <w:r>
        <w:rPr>
          <w:rFonts w:hint="eastAsia" w:ascii="宋体" w:hAnsi="宋体" w:eastAsia="宋体" w:cs="宋体"/>
          <w:b w:val="0"/>
          <w:bCs w:val="0"/>
          <w:color w:val="auto"/>
          <w:sz w:val="24"/>
          <w:szCs w:val="24"/>
          <w:highlight w:val="none"/>
          <w:lang w:eastAsia="zh-CN"/>
        </w:rPr>
        <w:t>等培养成致富带头人，培育真正有文化、懂技术、善经营、会管理的高素质农民。</w:t>
      </w:r>
    </w:p>
    <w:p w14:paraId="5F2AD2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三）项目绩效目标：围绕粮油稳产保供开展培育的人数不低于60%，培育对象信息入库率100%，满意度不低于90%，学员参评率不低于90%。通过培训提高受训者的经营管理水平、专业技能水平和示范带动效应，为乡村振兴培养一批有用的高素质人才，全力保障粮食和重要农产品稳定安全供给，多措并举促进农民增收。</w:t>
      </w:r>
    </w:p>
    <w:p w14:paraId="423063B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（四）</w:t>
      </w:r>
      <w:r>
        <w:rPr>
          <w:rFonts w:hint="eastAsia" w:ascii="宋体" w:hAnsi="宋体" w:eastAsia="宋体" w:cs="宋体"/>
          <w:b w:val="0"/>
          <w:bCs w:val="0"/>
          <w:color w:val="auto"/>
          <w:sz w:val="24"/>
          <w:szCs w:val="24"/>
          <w:highlight w:val="none"/>
          <w:lang w:eastAsia="zh-CN"/>
        </w:rPr>
        <w:t>资金来源：</w:t>
      </w:r>
      <w:r>
        <w:rPr>
          <w:rFonts w:hint="eastAsia" w:ascii="宋体" w:hAnsi="宋体" w:eastAsia="宋体" w:cs="宋体"/>
          <w:b w:val="0"/>
          <w:bCs w:val="0"/>
          <w:color w:val="auto"/>
          <w:sz w:val="24"/>
          <w:szCs w:val="24"/>
          <w:highlight w:val="none"/>
          <w:lang w:val="en-US" w:eastAsia="zh-CN"/>
        </w:rPr>
        <w:t>根据《福贡县财政局关于下达2025年中</w:t>
      </w:r>
      <w:r>
        <w:rPr>
          <w:rFonts w:hint="eastAsia" w:ascii="宋体" w:hAnsi="宋体" w:eastAsia="宋体" w:cs="宋体"/>
          <w:b w:val="0"/>
          <w:bCs w:val="0"/>
          <w:color w:val="auto"/>
          <w:sz w:val="24"/>
          <w:szCs w:val="24"/>
          <w:highlight w:val="none"/>
          <w:lang w:eastAsia="zh-CN"/>
        </w:rPr>
        <w:t>央农业经营主体能力提升资金（第二批）的通知》（福财农[2025]6号、福财农[2025]</w:t>
      </w:r>
      <w:r>
        <w:rPr>
          <w:rFonts w:hint="eastAsia" w:ascii="宋体" w:hAnsi="宋体" w:eastAsia="宋体" w:cs="宋体"/>
          <w:b w:val="0"/>
          <w:bCs w:val="0"/>
          <w:color w:val="auto"/>
          <w:sz w:val="24"/>
          <w:szCs w:val="24"/>
          <w:highlight w:val="none"/>
          <w:lang w:val="en-US" w:eastAsia="zh-CN"/>
        </w:rPr>
        <w:t>29</w:t>
      </w:r>
      <w:r>
        <w:rPr>
          <w:rFonts w:hint="eastAsia" w:ascii="宋体" w:hAnsi="宋体" w:eastAsia="宋体" w:cs="宋体"/>
          <w:b w:val="0"/>
          <w:bCs w:val="0"/>
          <w:color w:val="auto"/>
          <w:sz w:val="24"/>
          <w:szCs w:val="24"/>
          <w:highlight w:val="none"/>
          <w:lang w:eastAsia="zh-CN"/>
        </w:rPr>
        <w:t>号文件精神，项目资金</w:t>
      </w:r>
      <w:r>
        <w:rPr>
          <w:rFonts w:hint="eastAsia" w:ascii="宋体" w:hAnsi="宋体" w:eastAsia="宋体" w:cs="宋体"/>
          <w:b w:val="0"/>
          <w:bCs w:val="0"/>
          <w:color w:val="auto"/>
          <w:sz w:val="24"/>
          <w:szCs w:val="24"/>
          <w:highlight w:val="none"/>
          <w:lang w:val="en-US" w:eastAsia="zh-CN"/>
        </w:rPr>
        <w:t>82</w:t>
      </w:r>
      <w:r>
        <w:rPr>
          <w:rFonts w:hint="eastAsia" w:ascii="宋体" w:hAnsi="宋体" w:eastAsia="宋体" w:cs="宋体"/>
          <w:b w:val="0"/>
          <w:bCs w:val="0"/>
          <w:color w:val="auto"/>
          <w:sz w:val="24"/>
          <w:szCs w:val="24"/>
          <w:highlight w:val="none"/>
          <w:lang w:eastAsia="zh-CN"/>
        </w:rPr>
        <w:t>万元。</w:t>
      </w:r>
    </w:p>
    <w:p w14:paraId="05AA80C3">
      <w:pPr>
        <w:pStyle w:val="54"/>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三、培训对象</w:t>
      </w:r>
    </w:p>
    <w:p w14:paraId="02276509">
      <w:pPr>
        <w:pStyle w:val="54"/>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年满16周岁，具有代表性的农民专业合作社负责人、致富带头人、乡村工匠、村“两委”骨干，正在从事或有意愿从事农业生产、草果种植经营、茶叶种植加工、民宿（农家乐）经营服务的农民和返乡创业者。</w:t>
      </w:r>
    </w:p>
    <w:p w14:paraId="44F914E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四、</w:t>
      </w:r>
      <w:r>
        <w:rPr>
          <w:rFonts w:hint="eastAsia" w:ascii="宋体" w:hAnsi="宋体" w:eastAsia="宋体" w:cs="宋体"/>
          <w:b/>
          <w:bCs/>
          <w:color w:val="auto"/>
          <w:sz w:val="24"/>
          <w:szCs w:val="24"/>
          <w:highlight w:val="none"/>
        </w:rPr>
        <w:t>培训内容</w:t>
      </w:r>
    </w:p>
    <w:p w14:paraId="42C8A2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（一）粮油和重要农产品生产经营主体提升培训（大豆玉米带状复合种植、油菜高产栽培、草果种植管理全周期的技术培训）</w:t>
      </w:r>
    </w:p>
    <w:p w14:paraId="24C5C1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一是粮油产业发展形势分析、前景展望，农业生产经营管理，粮油品种选择及种植新技术的应用，种植各阶段管理及病虫害防治等内容。</w:t>
      </w:r>
    </w:p>
    <w:p w14:paraId="3512E10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二是围绕草果种植基础知识，种植技术，施肥、浇水、修枝、花期授粉及病虫害防治等管理技术，采收与初加工，市场营销与品牌建设等方面开展培训。</w:t>
      </w:r>
    </w:p>
    <w:p w14:paraId="32BB13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（二）粮油和重要农产品生产经营主体提升培训（高山茶生态种植与特色加工技术培训）</w:t>
      </w:r>
    </w:p>
    <w:p w14:paraId="0C9FEA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一是粮油产业发展形势分析、前景展望，农业生产经营管理，粮油品种选择及种植新技术的应用，种植各阶段管理及病虫害防治等内容。</w:t>
      </w:r>
    </w:p>
    <w:p w14:paraId="6A026FB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是围绕老姆登（高海拔茶）、上帕镇（台地茶集中区）和鹿马登乡（混农林模式）三地茶叶资源对比，提出生态茶叶种植技术要点，茶园管理，病虫害防治，茶叶采收及绿茶、红茶和传统傈僳族怒族茶叶加工制作培训。</w:t>
      </w:r>
    </w:p>
    <w:p w14:paraId="0B1C2A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三）乡村治理人才培训（民宿（农家乐）经营群体的管理素质提升培训）：紧密结合老姆登民族文化特色和乡村旅游发展需求，重点围绕“服务意识与职业道德、语言沟通、民宿（农家乐）标准化管理、庭院环境治理、数字化营销推广、文化赋能（将民族歌舞、手工艺转化为游客参与项目，打造"非遗民宿""生态农庄"）等方面开展培训。</w:t>
      </w:r>
      <w:bookmarkStart w:id="413" w:name="OLE_LINK5"/>
    </w:p>
    <w:p w14:paraId="4C3E0F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bookmarkStart w:id="414" w:name="OLE_LINK3"/>
      <w:r>
        <w:rPr>
          <w:rFonts w:hint="eastAsia" w:ascii="宋体" w:hAnsi="宋体" w:eastAsia="宋体" w:cs="宋体"/>
          <w:b w:val="0"/>
          <w:bCs w:val="0"/>
          <w:color w:val="auto"/>
          <w:sz w:val="24"/>
          <w:szCs w:val="24"/>
          <w:highlight w:val="none"/>
          <w:lang w:val="en-US" w:eastAsia="zh-CN"/>
        </w:rPr>
        <w:t>（四）文明乡风培训（非遗保护和传承培训）</w:t>
      </w:r>
      <w:bookmarkEnd w:id="413"/>
      <w:bookmarkEnd w:id="414"/>
    </w:p>
    <w:p w14:paraId="3A25D34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针对具有文化艺术特长、长期扎根乡村的农民文化骨干和具备农文旅融合发展基础的相关主体从业者，依托重要农业文化遗产地、村艺工坊等场所，开展乡村礼俗传承人、农耕技艺传承人保护、村艺工坊传习人和乡村工匠等乡村文化人才培育，用好各地农耕文化资源，普及中华传统美德、乡村优秀文化艺术、健康生活方式和文明礼仪常识等，提升农民文明、文化素养。</w:t>
      </w:r>
    </w:p>
    <w:p w14:paraId="4BE9ABD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五</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培训要求</w:t>
      </w:r>
    </w:p>
    <w:p w14:paraId="4D18C7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（一）严格培训要求。严格按照《高素质农民培育项目管理工作规程(试行)》</w:t>
      </w:r>
      <w:r>
        <w:rPr>
          <w:rFonts w:hint="eastAsia" w:ascii="宋体" w:hAnsi="宋体" w:eastAsia="宋体" w:cs="宋体"/>
          <w:b w:val="0"/>
          <w:bCs w:val="0"/>
          <w:color w:val="auto"/>
          <w:sz w:val="24"/>
          <w:szCs w:val="24"/>
          <w:highlight w:val="none"/>
        </w:rPr>
        <w:t>文件要求开展工作，</w:t>
      </w:r>
      <w:r>
        <w:rPr>
          <w:rFonts w:hint="eastAsia" w:ascii="宋体" w:hAnsi="宋体" w:eastAsia="宋体" w:cs="宋体"/>
          <w:b w:val="0"/>
          <w:bCs w:val="0"/>
          <w:color w:val="auto"/>
          <w:sz w:val="24"/>
          <w:szCs w:val="24"/>
          <w:highlight w:val="none"/>
          <w:lang w:eastAsia="zh-CN"/>
        </w:rPr>
        <w:t>,压实各级责任，抓好高素质农民培育计划的组织实施，</w:t>
      </w:r>
      <w:r>
        <w:rPr>
          <w:rFonts w:hint="eastAsia" w:ascii="宋体" w:hAnsi="宋体" w:eastAsia="宋体" w:cs="宋体"/>
          <w:b w:val="0"/>
          <w:bCs w:val="0"/>
          <w:color w:val="auto"/>
          <w:sz w:val="24"/>
          <w:szCs w:val="24"/>
          <w:highlight w:val="none"/>
        </w:rPr>
        <w:t>确保培训质量和效果</w:t>
      </w:r>
      <w:r>
        <w:rPr>
          <w:rFonts w:hint="eastAsia" w:ascii="宋体" w:hAnsi="宋体" w:eastAsia="宋体" w:cs="宋体"/>
          <w:b w:val="0"/>
          <w:bCs w:val="0"/>
          <w:color w:val="auto"/>
          <w:sz w:val="24"/>
          <w:szCs w:val="24"/>
          <w:highlight w:val="none"/>
          <w:lang w:eastAsia="zh-CN"/>
        </w:rPr>
        <w:t>。</w:t>
      </w:r>
    </w:p>
    <w:p w14:paraId="658F84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(二)落实培育规范，提升培训质效。严格按照《高素质  农民培育规范》要求，强化培育各环节组织管理，通过“选、  训、管”,促进培育工作提质增效。 一 要精准遴选学员，优选 师资、培育机构和实训基地，全力做好培育基础工作，把控好“主营业务”和“培育条件”,机构资质条件不够的不予承担培育工作，确保培育机构资质必须符合规范要求。 二要科学规范培训内容，根据育人目标确定培训内容，分模块安排好培训课程，不断提升培育的针对性。严格审核开班计划和把关培训内容，教材未经审查合格不予使用，优先选用农业农村部农民教育培训规划教材。 严格把控培训时间要求，每个培训班原则上不少于40个学时(不含报到、返程时间),1学时为45分钟，每天不超过8个学时； 综合素养课学时不低于总学时数的10%、专业技能课学时数应不低于总学时数的70%、实践教学的比例不低于专业技能课学时数的50%、能力拓展课学时数应不高于总学时数的20%、线上学习学时数(即课堂教学-线上)不超过总学时数的15%,强化 过程管理与支持服务，确保线上培训质量。</w:t>
      </w:r>
    </w:p>
    <w:p w14:paraId="5F05CC0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三</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严格</w:t>
      </w:r>
      <w:r>
        <w:rPr>
          <w:rFonts w:hint="eastAsia" w:ascii="宋体" w:hAnsi="宋体" w:eastAsia="宋体" w:cs="宋体"/>
          <w:b w:val="0"/>
          <w:bCs w:val="0"/>
          <w:color w:val="auto"/>
          <w:sz w:val="24"/>
          <w:szCs w:val="24"/>
          <w:highlight w:val="none"/>
        </w:rPr>
        <w:t>学员考试考核</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考试方式为闭卷考试，由福贡县农业农村局拟制综合性试卷或委托培训机构拟制综合性试卷，题目类型包含选择题、判断题、简答题、论述题。针对培训内容进行理论考试，考核结合平时出勤情况、实习、实践操作及课堂表现进行综合评分，纸质考试成绩占50%，综合评分占50%。对考试考核合格者统一发放高素质农民培训结业合格证书。</w:t>
      </w:r>
    </w:p>
    <w:p w14:paraId="40F7BF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四</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严格</w:t>
      </w:r>
      <w:r>
        <w:rPr>
          <w:rFonts w:hint="eastAsia" w:ascii="宋体" w:hAnsi="宋体" w:eastAsia="宋体" w:cs="宋体"/>
          <w:b w:val="0"/>
          <w:bCs w:val="0"/>
          <w:color w:val="auto"/>
          <w:sz w:val="24"/>
          <w:szCs w:val="24"/>
          <w:highlight w:val="none"/>
        </w:rPr>
        <w:t>痕迹管理</w:t>
      </w:r>
      <w:r>
        <w:rPr>
          <w:rFonts w:hint="eastAsia" w:ascii="宋体" w:hAnsi="宋体" w:eastAsia="宋体" w:cs="宋体"/>
          <w:b w:val="0"/>
          <w:bCs w:val="0"/>
          <w:color w:val="auto"/>
          <w:sz w:val="24"/>
          <w:szCs w:val="24"/>
          <w:highlight w:val="none"/>
          <w:lang w:eastAsia="zh-CN"/>
        </w:rPr>
        <w:t>。一是</w:t>
      </w:r>
      <w:r>
        <w:rPr>
          <w:rFonts w:hint="eastAsia" w:ascii="宋体" w:hAnsi="宋体" w:eastAsia="宋体" w:cs="宋体"/>
          <w:b w:val="0"/>
          <w:bCs w:val="0"/>
          <w:color w:val="auto"/>
          <w:sz w:val="24"/>
          <w:szCs w:val="24"/>
          <w:highlight w:val="none"/>
        </w:rPr>
        <w:t>学员花名册、培训考勤表、培训日志、考试考核成绩表、身份证复印件、学员照片等供档案管理使用。实现参训农民基本信息100%录入信息库，培育全程可监测可追溯。</w:t>
      </w:r>
      <w:r>
        <w:rPr>
          <w:rFonts w:hint="eastAsia" w:ascii="宋体" w:hAnsi="宋体" w:eastAsia="宋体" w:cs="宋体"/>
          <w:b w:val="0"/>
          <w:bCs w:val="0"/>
          <w:color w:val="auto"/>
          <w:sz w:val="24"/>
          <w:szCs w:val="24"/>
          <w:highlight w:val="none"/>
          <w:lang w:eastAsia="zh-CN"/>
        </w:rPr>
        <w:t>二是</w:t>
      </w:r>
      <w:r>
        <w:rPr>
          <w:rFonts w:hint="eastAsia" w:ascii="宋体" w:hAnsi="宋体" w:eastAsia="宋体" w:cs="宋体"/>
          <w:b w:val="0"/>
          <w:bCs w:val="0"/>
          <w:color w:val="auto"/>
          <w:sz w:val="24"/>
          <w:szCs w:val="24"/>
          <w:highlight w:val="none"/>
        </w:rPr>
        <w:t>《学员手册》（包括学员须知、培训课程表、学员联系表、学员管理制度、班级管理制度、外出参观须知等）供学员培训期间遵守执行。</w:t>
      </w:r>
      <w:r>
        <w:rPr>
          <w:rFonts w:hint="eastAsia" w:ascii="宋体" w:hAnsi="宋体" w:eastAsia="宋体" w:cs="宋体"/>
          <w:b w:val="0"/>
          <w:bCs w:val="0"/>
          <w:color w:val="auto"/>
          <w:sz w:val="24"/>
          <w:szCs w:val="24"/>
          <w:highlight w:val="none"/>
          <w:lang w:eastAsia="zh-CN"/>
        </w:rPr>
        <w:t>三是</w:t>
      </w:r>
      <w:r>
        <w:rPr>
          <w:rFonts w:hint="eastAsia" w:ascii="宋体" w:hAnsi="宋体" w:eastAsia="宋体" w:cs="宋体"/>
          <w:b w:val="0"/>
          <w:bCs w:val="0"/>
          <w:color w:val="auto"/>
          <w:sz w:val="24"/>
          <w:szCs w:val="24"/>
          <w:highlight w:val="none"/>
        </w:rPr>
        <w:t>填写报到登记表、学习用品发放表、学员用餐签到表等对培训进行记录，建立培训班学习交流微信群，填写学员信息及需求采集表、指导学员进行网络申报，并在网上及现场对培训教师、培训机构、教学班培训效果进行评价。</w:t>
      </w:r>
    </w:p>
    <w:p w14:paraId="038EC3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五</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严格</w:t>
      </w:r>
      <w:r>
        <w:rPr>
          <w:rFonts w:hint="eastAsia" w:ascii="宋体" w:hAnsi="宋体" w:eastAsia="宋体" w:cs="宋体"/>
          <w:b w:val="0"/>
          <w:bCs w:val="0"/>
          <w:color w:val="auto"/>
          <w:sz w:val="24"/>
          <w:szCs w:val="24"/>
          <w:highlight w:val="none"/>
        </w:rPr>
        <w:t>满意度评价</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每堂课结束请学员对当次课程和服务进行满意度评分，以便取得信息反馈，及时对培训做出改进，进而提升培训管理水平。</w:t>
      </w:r>
    </w:p>
    <w:p w14:paraId="184544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六</w:t>
      </w:r>
      <w:r>
        <w:rPr>
          <w:rFonts w:hint="eastAsia" w:ascii="宋体" w:hAnsi="宋体" w:eastAsia="宋体" w:cs="宋体"/>
          <w:b w:val="0"/>
          <w:bCs w:val="0"/>
          <w:color w:val="auto"/>
          <w:sz w:val="24"/>
          <w:szCs w:val="24"/>
          <w:highlight w:val="none"/>
        </w:rPr>
        <w:t>）挖掘推介典型，主动宣传推广。在培育实践中开展高产技能竞赛等活动，培养一批种植、 养殖和加工能手，挖掘和选树一批高素质农民培育典型，加快  推动科技赋能。充分利用广播、电视、报刊</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政府网站、微信公众号等传统媒体以及网络新媒体，全力做好高素质农民培育先进人物、先进事迹的宣传报道，总结推广好的经验和做法。培训过程中及时撰写相关信息，注重宣传推广，扩大影响力。</w:t>
      </w:r>
    </w:p>
    <w:p w14:paraId="18C9AD6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六、合同期限</w:t>
      </w:r>
    </w:p>
    <w:p w14:paraId="31E4E85E">
      <w:pPr>
        <w:keepNext w:val="0"/>
        <w:keepLines w:val="0"/>
        <w:pageBreakBefore w:val="0"/>
        <w:widowControl w:val="0"/>
        <w:kinsoku/>
        <w:wordWrap/>
        <w:overflowPunct/>
        <w:topLinePunct w:val="0"/>
        <w:autoSpaceDE/>
        <w:autoSpaceDN/>
        <w:bidi w:val="0"/>
        <w:adjustRightInd w:val="0"/>
        <w:snapToGrid w:val="0"/>
        <w:spacing w:line="360" w:lineRule="auto"/>
        <w:ind w:firstLine="488" w:firstLineChars="200"/>
        <w:textAlignment w:val="auto"/>
        <w:rPr>
          <w:rFonts w:hint="eastAsia" w:ascii="宋体" w:hAnsi="宋体" w:eastAsia="宋体" w:cs="宋体"/>
          <w:b w:val="0"/>
          <w:bCs w:val="0"/>
          <w:color w:val="auto"/>
          <w:spacing w:val="2"/>
          <w:sz w:val="24"/>
          <w:szCs w:val="24"/>
          <w:highlight w:val="none"/>
        </w:rPr>
      </w:pPr>
      <w:r>
        <w:rPr>
          <w:rFonts w:hint="eastAsia" w:ascii="宋体" w:hAnsi="宋体" w:eastAsia="宋体" w:cs="宋体"/>
          <w:b w:val="0"/>
          <w:bCs w:val="0"/>
          <w:color w:val="auto"/>
          <w:spacing w:val="2"/>
          <w:sz w:val="24"/>
          <w:szCs w:val="24"/>
          <w:highlight w:val="none"/>
          <w:lang w:val="en-US" w:eastAsia="zh-CN"/>
        </w:rPr>
        <w:t>自签订合同之日起至202</w:t>
      </w:r>
      <w:r>
        <w:rPr>
          <w:rFonts w:hint="eastAsia" w:ascii="宋体" w:hAnsi="宋体" w:cs="宋体"/>
          <w:b w:val="0"/>
          <w:bCs w:val="0"/>
          <w:color w:val="auto"/>
          <w:spacing w:val="2"/>
          <w:sz w:val="24"/>
          <w:szCs w:val="24"/>
          <w:highlight w:val="none"/>
          <w:lang w:val="en-US" w:eastAsia="zh-CN"/>
        </w:rPr>
        <w:t>5</w:t>
      </w:r>
      <w:r>
        <w:rPr>
          <w:rFonts w:hint="eastAsia" w:ascii="宋体" w:hAnsi="宋体" w:eastAsia="宋体" w:cs="宋体"/>
          <w:b w:val="0"/>
          <w:bCs w:val="0"/>
          <w:color w:val="auto"/>
          <w:spacing w:val="2"/>
          <w:sz w:val="24"/>
          <w:szCs w:val="24"/>
          <w:highlight w:val="none"/>
          <w:lang w:val="en-US" w:eastAsia="zh-CN"/>
        </w:rPr>
        <w:t>年1</w:t>
      </w:r>
      <w:r>
        <w:rPr>
          <w:rFonts w:hint="eastAsia" w:ascii="宋体" w:hAnsi="宋体" w:cs="宋体"/>
          <w:b w:val="0"/>
          <w:bCs w:val="0"/>
          <w:color w:val="auto"/>
          <w:spacing w:val="2"/>
          <w:sz w:val="24"/>
          <w:szCs w:val="24"/>
          <w:highlight w:val="none"/>
          <w:lang w:val="en-US" w:eastAsia="zh-CN"/>
        </w:rPr>
        <w:t>1</w:t>
      </w:r>
      <w:r>
        <w:rPr>
          <w:rFonts w:hint="eastAsia" w:ascii="宋体" w:hAnsi="宋体" w:eastAsia="宋体" w:cs="宋体"/>
          <w:b w:val="0"/>
          <w:bCs w:val="0"/>
          <w:color w:val="auto"/>
          <w:spacing w:val="2"/>
          <w:sz w:val="24"/>
          <w:szCs w:val="24"/>
          <w:highlight w:val="none"/>
          <w:lang w:val="en-US" w:eastAsia="zh-CN"/>
        </w:rPr>
        <w:t>月3</w:t>
      </w:r>
      <w:r>
        <w:rPr>
          <w:rFonts w:hint="eastAsia" w:ascii="宋体" w:hAnsi="宋体" w:cs="宋体"/>
          <w:b w:val="0"/>
          <w:bCs w:val="0"/>
          <w:color w:val="auto"/>
          <w:spacing w:val="2"/>
          <w:sz w:val="24"/>
          <w:szCs w:val="24"/>
          <w:highlight w:val="none"/>
          <w:lang w:val="en-US" w:eastAsia="zh-CN"/>
        </w:rPr>
        <w:t>0</w:t>
      </w:r>
      <w:r>
        <w:rPr>
          <w:rFonts w:hint="eastAsia" w:ascii="宋体" w:hAnsi="宋体" w:eastAsia="宋体" w:cs="宋体"/>
          <w:b w:val="0"/>
          <w:bCs w:val="0"/>
          <w:color w:val="auto"/>
          <w:spacing w:val="2"/>
          <w:sz w:val="24"/>
          <w:szCs w:val="24"/>
          <w:highlight w:val="none"/>
          <w:lang w:val="en-US" w:eastAsia="zh-CN"/>
        </w:rPr>
        <w:t>日完成培育。</w:t>
      </w:r>
    </w:p>
    <w:p w14:paraId="75F4D48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七、服务质量标准</w:t>
      </w:r>
    </w:p>
    <w:p w14:paraId="173B26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围绕粮油稳产保供开展培育的人数不低于60%，培育对象信息入库率100%，满意度不低于90%，学员参评率不低于90%。并通过福贡县农业农村局组织相关部门验收，确保一次性验收合格。</w:t>
      </w:r>
    </w:p>
    <w:p w14:paraId="49CFAC66">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highlight w:val="none"/>
        </w:rPr>
        <w:sectPr>
          <w:pgSz w:w="11906" w:h="16838"/>
          <w:pgMar w:top="1134" w:right="1134" w:bottom="1134" w:left="1134" w:header="851" w:footer="850" w:gutter="0"/>
          <w:pgNumType w:fmt="decimal"/>
          <w:cols w:space="720" w:num="1"/>
          <w:rtlGutter w:val="0"/>
          <w:docGrid w:type="lines" w:linePitch="312" w:charSpace="0"/>
        </w:sectPr>
      </w:pPr>
      <w:r>
        <w:rPr>
          <w:rFonts w:hint="eastAsia" w:ascii="宋体" w:hAnsi="宋体" w:eastAsia="宋体" w:cs="宋体"/>
          <w:b/>
          <w:bCs/>
          <w:color w:val="auto"/>
          <w:sz w:val="24"/>
          <w:szCs w:val="24"/>
          <w:highlight w:val="none"/>
          <w:lang w:val="en-US" w:eastAsia="zh-CN"/>
        </w:rPr>
        <w:t>八、服务地点：</w:t>
      </w:r>
      <w:r>
        <w:rPr>
          <w:rFonts w:hint="eastAsia" w:ascii="宋体" w:hAnsi="宋体" w:eastAsia="宋体" w:cs="宋体"/>
          <w:b w:val="0"/>
          <w:bCs w:val="0"/>
          <w:color w:val="auto"/>
          <w:sz w:val="24"/>
          <w:szCs w:val="24"/>
          <w:highlight w:val="none"/>
          <w:lang w:val="en-US" w:eastAsia="zh-CN"/>
        </w:rPr>
        <w:t>采购人指定地点。</w:t>
      </w:r>
    </w:p>
    <w:p w14:paraId="2B3B42EE">
      <w:pPr>
        <w:pStyle w:val="2"/>
        <w:numPr>
          <w:ilvl w:val="0"/>
          <w:numId w:val="0"/>
        </w:numPr>
        <w:spacing w:before="0"/>
        <w:jc w:val="center"/>
        <w:rPr>
          <w:rFonts w:hint="eastAsia" w:ascii="宋体" w:hAnsi="宋体" w:eastAsia="宋体" w:cs="宋体"/>
          <w:color w:val="auto"/>
          <w:sz w:val="32"/>
          <w:szCs w:val="32"/>
          <w:highlight w:val="none"/>
        </w:rPr>
      </w:pPr>
      <w:bookmarkStart w:id="415" w:name="_Toc5625"/>
      <w:r>
        <w:rPr>
          <w:rFonts w:hint="eastAsia" w:ascii="宋体" w:hAnsi="宋体" w:eastAsia="宋体" w:cs="宋体"/>
          <w:color w:val="auto"/>
          <w:sz w:val="32"/>
          <w:szCs w:val="32"/>
          <w:highlight w:val="none"/>
        </w:rPr>
        <w:t>第六章  磋商办法（综合评分法）</w:t>
      </w:r>
      <w:bookmarkEnd w:id="412"/>
      <w:bookmarkEnd w:id="415"/>
    </w:p>
    <w:p w14:paraId="02793788">
      <w:pPr>
        <w:pStyle w:val="3"/>
        <w:numPr>
          <w:ilvl w:val="0"/>
          <w:numId w:val="0"/>
        </w:numPr>
        <w:tabs>
          <w:tab w:val="left" w:pos="360"/>
          <w:tab w:val="clear" w:pos="1304"/>
        </w:tabs>
        <w:spacing w:before="0"/>
        <w:jc w:val="center"/>
        <w:rPr>
          <w:rFonts w:hint="eastAsia" w:ascii="宋体" w:hAnsi="宋体" w:eastAsia="宋体" w:cs="宋体"/>
          <w:color w:val="auto"/>
          <w:sz w:val="24"/>
          <w:szCs w:val="24"/>
          <w:highlight w:val="none"/>
        </w:rPr>
      </w:pPr>
      <w:bookmarkStart w:id="416" w:name="_Toc468805875"/>
      <w:bookmarkStart w:id="417" w:name="_Toc115077052"/>
      <w:bookmarkStart w:id="418" w:name="_Toc3944"/>
      <w:r>
        <w:rPr>
          <w:rFonts w:hint="eastAsia" w:ascii="宋体" w:hAnsi="宋体" w:eastAsia="宋体" w:cs="宋体"/>
          <w:color w:val="auto"/>
          <w:szCs w:val="28"/>
          <w:highlight w:val="none"/>
        </w:rPr>
        <w:t>磋商办法前附表</w:t>
      </w:r>
      <w:bookmarkEnd w:id="416"/>
      <w:bookmarkEnd w:id="417"/>
      <w:bookmarkEnd w:id="418"/>
    </w:p>
    <w:tbl>
      <w:tblPr>
        <w:tblStyle w:val="35"/>
        <w:tblW w:w="10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9"/>
        <w:gridCol w:w="1002"/>
        <w:gridCol w:w="946"/>
        <w:gridCol w:w="1023"/>
        <w:gridCol w:w="1110"/>
        <w:gridCol w:w="5519"/>
      </w:tblGrid>
      <w:tr w14:paraId="7EDD0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901" w:type="dxa"/>
            <w:gridSpan w:val="2"/>
            <w:noWrap w:val="0"/>
            <w:vAlign w:val="center"/>
          </w:tcPr>
          <w:p w14:paraId="25D81DDA">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1969" w:type="dxa"/>
            <w:gridSpan w:val="2"/>
            <w:noWrap w:val="0"/>
            <w:vAlign w:val="center"/>
          </w:tcPr>
          <w:p w14:paraId="0C547516">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 审 因 素</w:t>
            </w:r>
          </w:p>
        </w:tc>
        <w:tc>
          <w:tcPr>
            <w:tcW w:w="6629" w:type="dxa"/>
            <w:gridSpan w:val="2"/>
            <w:noWrap w:val="0"/>
            <w:vAlign w:val="center"/>
          </w:tcPr>
          <w:p w14:paraId="5512A4F2">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 审 标 准</w:t>
            </w:r>
          </w:p>
        </w:tc>
      </w:tr>
      <w:tr w14:paraId="1C8FB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899" w:type="dxa"/>
            <w:vMerge w:val="restart"/>
            <w:noWrap w:val="0"/>
            <w:vAlign w:val="center"/>
          </w:tcPr>
          <w:p w14:paraId="0579FF8D">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2.1</w:t>
            </w:r>
            <w:r>
              <w:rPr>
                <w:rFonts w:hint="eastAsia" w:ascii="宋体" w:hAnsi="宋体" w:eastAsia="宋体" w:cs="宋体"/>
                <w:bCs/>
                <w:color w:val="auto"/>
                <w:sz w:val="24"/>
                <w:szCs w:val="24"/>
                <w:highlight w:val="none"/>
                <w:lang w:val="en-US" w:eastAsia="zh-CN"/>
              </w:rPr>
              <w:t>.1</w:t>
            </w:r>
          </w:p>
        </w:tc>
        <w:tc>
          <w:tcPr>
            <w:tcW w:w="1002" w:type="dxa"/>
            <w:vMerge w:val="restart"/>
            <w:noWrap w:val="0"/>
            <w:vAlign w:val="center"/>
          </w:tcPr>
          <w:p w14:paraId="34D83E39">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资格审查标准</w:t>
            </w:r>
          </w:p>
        </w:tc>
        <w:tc>
          <w:tcPr>
            <w:tcW w:w="1969" w:type="dxa"/>
            <w:gridSpan w:val="2"/>
            <w:noWrap w:val="0"/>
            <w:vAlign w:val="center"/>
          </w:tcPr>
          <w:p w14:paraId="23BC7892">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具有独立承担民事责任的能力</w:t>
            </w:r>
          </w:p>
        </w:tc>
        <w:tc>
          <w:tcPr>
            <w:tcW w:w="6629" w:type="dxa"/>
            <w:gridSpan w:val="2"/>
            <w:noWrap w:val="0"/>
            <w:vAlign w:val="center"/>
          </w:tcPr>
          <w:p w14:paraId="4FE557B5">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（1）审查供应商是否按采购文件要求提供具有独立承担民事责任的能力的相关证明材料；</w:t>
            </w:r>
          </w:p>
          <w:p w14:paraId="0A12C90E">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（2）审查法定代表人（负责人）是否与提供的营业执照或其他组织证件载明事项保持一致，并审查身份证有效期限；</w:t>
            </w:r>
          </w:p>
          <w:p w14:paraId="54357A11">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（3）若为委托代理人磋商的，审查是否提供《法定代表人授权委托书》，并审查代理人身份证有效期限；</w:t>
            </w:r>
          </w:p>
          <w:p w14:paraId="7A2185E0">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（4）本项目不接受联合体磋商，供应商须提供声明文件。</w:t>
            </w:r>
          </w:p>
        </w:tc>
      </w:tr>
      <w:tr w14:paraId="4328D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jc w:val="center"/>
        </w:trPr>
        <w:tc>
          <w:tcPr>
            <w:tcW w:w="899" w:type="dxa"/>
            <w:vMerge w:val="continue"/>
            <w:noWrap w:val="0"/>
            <w:vAlign w:val="center"/>
          </w:tcPr>
          <w:p w14:paraId="60E6CB18">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color w:val="auto"/>
                <w:sz w:val="24"/>
                <w:szCs w:val="24"/>
                <w:highlight w:val="none"/>
              </w:rPr>
            </w:pPr>
          </w:p>
        </w:tc>
        <w:tc>
          <w:tcPr>
            <w:tcW w:w="1002" w:type="dxa"/>
            <w:vMerge w:val="continue"/>
            <w:noWrap w:val="0"/>
            <w:vAlign w:val="center"/>
          </w:tcPr>
          <w:p w14:paraId="4A6182A7">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color w:val="auto"/>
                <w:sz w:val="24"/>
                <w:szCs w:val="24"/>
                <w:highlight w:val="none"/>
              </w:rPr>
            </w:pPr>
          </w:p>
        </w:tc>
        <w:tc>
          <w:tcPr>
            <w:tcW w:w="1969" w:type="dxa"/>
            <w:gridSpan w:val="2"/>
            <w:noWrap w:val="0"/>
            <w:vAlign w:val="center"/>
          </w:tcPr>
          <w:p w14:paraId="7CD61CF1">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6629" w:type="dxa"/>
            <w:gridSpan w:val="2"/>
            <w:noWrap w:val="0"/>
            <w:vAlign w:val="center"/>
          </w:tcPr>
          <w:p w14:paraId="55648CEE">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审查供应商是否按采购文件要求提供具有良好商业信誉的声明函；同时查询相关网站，审查供应商是否有不良记录；</w:t>
            </w:r>
          </w:p>
          <w:p w14:paraId="4142DAEE">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（2）审查供应商是否按采购文件要求提供具有健全的财务会计制度的相关证明材料。</w:t>
            </w:r>
          </w:p>
        </w:tc>
      </w:tr>
      <w:tr w14:paraId="65B9B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jc w:val="center"/>
        </w:trPr>
        <w:tc>
          <w:tcPr>
            <w:tcW w:w="899" w:type="dxa"/>
            <w:vMerge w:val="continue"/>
            <w:noWrap w:val="0"/>
            <w:vAlign w:val="center"/>
          </w:tcPr>
          <w:p w14:paraId="092C9882">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color w:val="auto"/>
                <w:sz w:val="24"/>
                <w:szCs w:val="24"/>
                <w:highlight w:val="none"/>
              </w:rPr>
            </w:pPr>
          </w:p>
        </w:tc>
        <w:tc>
          <w:tcPr>
            <w:tcW w:w="1002" w:type="dxa"/>
            <w:vMerge w:val="continue"/>
            <w:noWrap w:val="0"/>
            <w:vAlign w:val="center"/>
          </w:tcPr>
          <w:p w14:paraId="4DB64386">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color w:val="auto"/>
                <w:sz w:val="24"/>
                <w:szCs w:val="24"/>
                <w:highlight w:val="none"/>
              </w:rPr>
            </w:pPr>
          </w:p>
        </w:tc>
        <w:tc>
          <w:tcPr>
            <w:tcW w:w="1969" w:type="dxa"/>
            <w:gridSpan w:val="2"/>
            <w:noWrap w:val="0"/>
            <w:vAlign w:val="center"/>
          </w:tcPr>
          <w:p w14:paraId="33544688">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具有履行合同所必需的设备和专业技术能力</w:t>
            </w:r>
          </w:p>
        </w:tc>
        <w:tc>
          <w:tcPr>
            <w:tcW w:w="6629" w:type="dxa"/>
            <w:gridSpan w:val="2"/>
            <w:noWrap w:val="0"/>
            <w:vAlign w:val="center"/>
          </w:tcPr>
          <w:p w14:paraId="5C1B6177">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提供证明材料或书面说明。</w:t>
            </w:r>
          </w:p>
        </w:tc>
      </w:tr>
      <w:tr w14:paraId="5F0B3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jc w:val="center"/>
        </w:trPr>
        <w:tc>
          <w:tcPr>
            <w:tcW w:w="899" w:type="dxa"/>
            <w:vMerge w:val="continue"/>
            <w:noWrap w:val="0"/>
            <w:vAlign w:val="center"/>
          </w:tcPr>
          <w:p w14:paraId="7D3DC72C">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color w:val="auto"/>
                <w:sz w:val="24"/>
                <w:szCs w:val="24"/>
                <w:highlight w:val="none"/>
              </w:rPr>
            </w:pPr>
          </w:p>
        </w:tc>
        <w:tc>
          <w:tcPr>
            <w:tcW w:w="1002" w:type="dxa"/>
            <w:vMerge w:val="continue"/>
            <w:noWrap w:val="0"/>
            <w:vAlign w:val="center"/>
          </w:tcPr>
          <w:p w14:paraId="4DD88C81">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color w:val="auto"/>
                <w:sz w:val="24"/>
                <w:szCs w:val="24"/>
                <w:highlight w:val="none"/>
              </w:rPr>
            </w:pPr>
          </w:p>
        </w:tc>
        <w:tc>
          <w:tcPr>
            <w:tcW w:w="1969" w:type="dxa"/>
            <w:gridSpan w:val="2"/>
            <w:noWrap w:val="0"/>
            <w:vAlign w:val="center"/>
          </w:tcPr>
          <w:p w14:paraId="6BBACFE1">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有依法缴纳税收和社会保障资金的良好记录</w:t>
            </w:r>
          </w:p>
        </w:tc>
        <w:tc>
          <w:tcPr>
            <w:tcW w:w="6629" w:type="dxa"/>
            <w:gridSpan w:val="2"/>
            <w:noWrap w:val="0"/>
            <w:vAlign w:val="center"/>
          </w:tcPr>
          <w:p w14:paraId="4D0DD646">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审查供应商是否按采购文件要求提供具有依法缴纳税收和社会保障资金的良好记录的的书面声明或其他证明材料。</w:t>
            </w:r>
          </w:p>
        </w:tc>
      </w:tr>
      <w:tr w14:paraId="15616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jc w:val="center"/>
        </w:trPr>
        <w:tc>
          <w:tcPr>
            <w:tcW w:w="899" w:type="dxa"/>
            <w:vMerge w:val="continue"/>
            <w:noWrap w:val="0"/>
            <w:vAlign w:val="center"/>
          </w:tcPr>
          <w:p w14:paraId="45D18E28">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color w:val="auto"/>
                <w:sz w:val="24"/>
                <w:szCs w:val="24"/>
                <w:highlight w:val="none"/>
              </w:rPr>
            </w:pPr>
          </w:p>
        </w:tc>
        <w:tc>
          <w:tcPr>
            <w:tcW w:w="1002" w:type="dxa"/>
            <w:vMerge w:val="continue"/>
            <w:noWrap w:val="0"/>
            <w:vAlign w:val="center"/>
          </w:tcPr>
          <w:p w14:paraId="06E78D3E">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color w:val="auto"/>
                <w:sz w:val="24"/>
                <w:szCs w:val="24"/>
                <w:highlight w:val="none"/>
              </w:rPr>
            </w:pPr>
          </w:p>
        </w:tc>
        <w:tc>
          <w:tcPr>
            <w:tcW w:w="1969" w:type="dxa"/>
            <w:gridSpan w:val="2"/>
            <w:noWrap w:val="0"/>
            <w:vAlign w:val="center"/>
          </w:tcPr>
          <w:p w14:paraId="6169F11A">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参加政府采购活动前三年内，在经营活动中没有重大违法记录</w:t>
            </w:r>
          </w:p>
        </w:tc>
        <w:tc>
          <w:tcPr>
            <w:tcW w:w="6629" w:type="dxa"/>
            <w:gridSpan w:val="2"/>
            <w:noWrap w:val="0"/>
            <w:vAlign w:val="center"/>
          </w:tcPr>
          <w:p w14:paraId="6FD7191E">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审查供应商是否按采购文件要求提供声明或相关材料。</w:t>
            </w:r>
          </w:p>
        </w:tc>
      </w:tr>
      <w:tr w14:paraId="4EF01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899" w:type="dxa"/>
            <w:vMerge w:val="continue"/>
            <w:noWrap w:val="0"/>
            <w:vAlign w:val="center"/>
          </w:tcPr>
          <w:p w14:paraId="1F132863">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color w:val="auto"/>
                <w:sz w:val="24"/>
                <w:szCs w:val="24"/>
                <w:highlight w:val="none"/>
              </w:rPr>
            </w:pPr>
          </w:p>
        </w:tc>
        <w:tc>
          <w:tcPr>
            <w:tcW w:w="1002" w:type="dxa"/>
            <w:vMerge w:val="continue"/>
            <w:noWrap w:val="0"/>
            <w:vAlign w:val="center"/>
          </w:tcPr>
          <w:p w14:paraId="5BFBB1C6">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color w:val="auto"/>
                <w:sz w:val="24"/>
                <w:szCs w:val="24"/>
                <w:highlight w:val="none"/>
              </w:rPr>
            </w:pPr>
          </w:p>
        </w:tc>
        <w:tc>
          <w:tcPr>
            <w:tcW w:w="1969" w:type="dxa"/>
            <w:gridSpan w:val="2"/>
            <w:noWrap w:val="0"/>
            <w:vAlign w:val="center"/>
          </w:tcPr>
          <w:p w14:paraId="255E0E81">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本项目的特定资格要求</w:t>
            </w:r>
          </w:p>
        </w:tc>
        <w:tc>
          <w:tcPr>
            <w:tcW w:w="6629" w:type="dxa"/>
            <w:gridSpan w:val="2"/>
            <w:noWrap w:val="0"/>
            <w:vAlign w:val="center"/>
          </w:tcPr>
          <w:p w14:paraId="139C59C5">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审查供应商是否满足本项目的特定资格要求。</w:t>
            </w:r>
          </w:p>
        </w:tc>
      </w:tr>
      <w:tr w14:paraId="66248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899" w:type="dxa"/>
            <w:vMerge w:val="restart"/>
            <w:noWrap w:val="0"/>
            <w:vAlign w:val="center"/>
          </w:tcPr>
          <w:p w14:paraId="07B285CC">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w:t>
            </w:r>
          </w:p>
        </w:tc>
        <w:tc>
          <w:tcPr>
            <w:tcW w:w="1002" w:type="dxa"/>
            <w:vMerge w:val="restart"/>
            <w:noWrap w:val="0"/>
            <w:vAlign w:val="center"/>
          </w:tcPr>
          <w:p w14:paraId="49DA78BB">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符合性审查标准</w:t>
            </w:r>
          </w:p>
        </w:tc>
        <w:tc>
          <w:tcPr>
            <w:tcW w:w="1969" w:type="dxa"/>
            <w:gridSpan w:val="2"/>
            <w:noWrap w:val="0"/>
            <w:vAlign w:val="center"/>
          </w:tcPr>
          <w:p w14:paraId="4D1BCFF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签字、盖章</w:t>
            </w:r>
          </w:p>
        </w:tc>
        <w:tc>
          <w:tcPr>
            <w:tcW w:w="6629" w:type="dxa"/>
            <w:gridSpan w:val="2"/>
            <w:noWrap w:val="0"/>
            <w:vAlign w:val="center"/>
          </w:tcPr>
          <w:p w14:paraId="0A4956A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审查响应文件是否按照采购文件要求进行单位盖章、法定代表人或其授权代理人签字或盖章。</w:t>
            </w:r>
          </w:p>
        </w:tc>
      </w:tr>
      <w:tr w14:paraId="3B698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899" w:type="dxa"/>
            <w:vMerge w:val="continue"/>
            <w:noWrap w:val="0"/>
            <w:vAlign w:val="center"/>
          </w:tcPr>
          <w:p w14:paraId="3A4A79FD">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color w:val="auto"/>
                <w:sz w:val="24"/>
                <w:szCs w:val="24"/>
                <w:highlight w:val="none"/>
              </w:rPr>
            </w:pPr>
          </w:p>
        </w:tc>
        <w:tc>
          <w:tcPr>
            <w:tcW w:w="1002" w:type="dxa"/>
            <w:vMerge w:val="continue"/>
            <w:noWrap w:val="0"/>
            <w:vAlign w:val="center"/>
          </w:tcPr>
          <w:p w14:paraId="7BF1CB61">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color w:val="auto"/>
                <w:sz w:val="24"/>
                <w:szCs w:val="24"/>
                <w:highlight w:val="none"/>
              </w:rPr>
            </w:pPr>
          </w:p>
        </w:tc>
        <w:tc>
          <w:tcPr>
            <w:tcW w:w="1969" w:type="dxa"/>
            <w:gridSpan w:val="2"/>
            <w:noWrap w:val="0"/>
            <w:vAlign w:val="center"/>
          </w:tcPr>
          <w:p w14:paraId="49E3CFF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响应文件格式</w:t>
            </w:r>
          </w:p>
        </w:tc>
        <w:tc>
          <w:tcPr>
            <w:tcW w:w="6629" w:type="dxa"/>
            <w:gridSpan w:val="2"/>
            <w:noWrap w:val="0"/>
            <w:vAlign w:val="center"/>
          </w:tcPr>
          <w:p w14:paraId="093355A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按规定的格式填写，内容</w:t>
            </w:r>
            <w:r>
              <w:rPr>
                <w:rFonts w:hint="eastAsia" w:ascii="宋体" w:hAnsi="宋体" w:cs="宋体"/>
                <w:color w:val="auto"/>
                <w:sz w:val="24"/>
                <w:szCs w:val="24"/>
                <w:highlight w:val="none"/>
                <w:lang w:val="en-US" w:eastAsia="zh-CN"/>
              </w:rPr>
              <w:t>无</w:t>
            </w:r>
            <w:r>
              <w:rPr>
                <w:rFonts w:hint="eastAsia" w:ascii="宋体" w:hAnsi="宋体" w:eastAsia="宋体" w:cs="宋体"/>
                <w:color w:val="auto"/>
                <w:sz w:val="24"/>
                <w:szCs w:val="24"/>
                <w:highlight w:val="none"/>
              </w:rPr>
              <w:t>不全或关键字迹模糊、无法辨认的。</w:t>
            </w:r>
          </w:p>
        </w:tc>
      </w:tr>
      <w:tr w14:paraId="2818D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899" w:type="dxa"/>
            <w:vMerge w:val="continue"/>
            <w:noWrap w:val="0"/>
            <w:vAlign w:val="center"/>
          </w:tcPr>
          <w:p w14:paraId="77702C4D">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color w:val="auto"/>
                <w:sz w:val="24"/>
                <w:szCs w:val="24"/>
                <w:highlight w:val="none"/>
              </w:rPr>
            </w:pPr>
          </w:p>
        </w:tc>
        <w:tc>
          <w:tcPr>
            <w:tcW w:w="1002" w:type="dxa"/>
            <w:vMerge w:val="continue"/>
            <w:noWrap w:val="0"/>
            <w:vAlign w:val="center"/>
          </w:tcPr>
          <w:p w14:paraId="7528B89E">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color w:val="auto"/>
                <w:sz w:val="24"/>
                <w:szCs w:val="24"/>
                <w:highlight w:val="none"/>
              </w:rPr>
            </w:pPr>
          </w:p>
        </w:tc>
        <w:tc>
          <w:tcPr>
            <w:tcW w:w="1969" w:type="dxa"/>
            <w:gridSpan w:val="2"/>
            <w:noWrap w:val="0"/>
            <w:vAlign w:val="center"/>
          </w:tcPr>
          <w:p w14:paraId="47C1A16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磋商报价</w:t>
            </w:r>
          </w:p>
        </w:tc>
        <w:tc>
          <w:tcPr>
            <w:tcW w:w="6629" w:type="dxa"/>
            <w:gridSpan w:val="2"/>
            <w:noWrap w:val="0"/>
            <w:vAlign w:val="center"/>
          </w:tcPr>
          <w:p w14:paraId="1E80C6D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递交两份或多份内容不同的响应文件，或在一份响应文件中对同一采购服务报两个或多个报价，且未声名哪一个为最终报价的，按竞争性磋商文件规定提交备选磋商方案的除外；（2）磋商报价超过最高限价的；（3）磋商小组认为供应商的报价明显低于其他通过符合性审查供应商的报价，有可能影响</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质量或者不能诚信履约的，应当要求其在磋商现场合理的时间内提供书面说明，必要时提交相关证明材料；供应商不能证明其报价合理性的，磋商小组应当将其作为无效磋商处理。</w:t>
            </w:r>
          </w:p>
        </w:tc>
      </w:tr>
      <w:tr w14:paraId="6DA07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899" w:type="dxa"/>
            <w:vMerge w:val="continue"/>
            <w:noWrap w:val="0"/>
            <w:vAlign w:val="center"/>
          </w:tcPr>
          <w:p w14:paraId="3C9F3E8E">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color w:val="auto"/>
                <w:sz w:val="24"/>
                <w:szCs w:val="24"/>
                <w:highlight w:val="none"/>
              </w:rPr>
            </w:pPr>
          </w:p>
        </w:tc>
        <w:tc>
          <w:tcPr>
            <w:tcW w:w="1002" w:type="dxa"/>
            <w:vMerge w:val="continue"/>
            <w:noWrap w:val="0"/>
            <w:vAlign w:val="center"/>
          </w:tcPr>
          <w:p w14:paraId="32F99229">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color w:val="auto"/>
                <w:sz w:val="24"/>
                <w:szCs w:val="24"/>
                <w:highlight w:val="none"/>
              </w:rPr>
            </w:pPr>
          </w:p>
        </w:tc>
        <w:tc>
          <w:tcPr>
            <w:tcW w:w="1969" w:type="dxa"/>
            <w:gridSpan w:val="2"/>
            <w:noWrap w:val="0"/>
            <w:vAlign w:val="center"/>
          </w:tcPr>
          <w:p w14:paraId="51E33FA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竞争性磋商文件要求提交的资料</w:t>
            </w:r>
          </w:p>
        </w:tc>
        <w:tc>
          <w:tcPr>
            <w:tcW w:w="6629" w:type="dxa"/>
            <w:gridSpan w:val="2"/>
            <w:noWrap w:val="0"/>
            <w:vAlign w:val="center"/>
          </w:tcPr>
          <w:p w14:paraId="1E427EA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按竞争性磋商文件要求提交相关资料的。</w:t>
            </w:r>
          </w:p>
        </w:tc>
      </w:tr>
      <w:tr w14:paraId="0BAF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2" w:hRule="atLeast"/>
          <w:jc w:val="center"/>
        </w:trPr>
        <w:tc>
          <w:tcPr>
            <w:tcW w:w="899" w:type="dxa"/>
            <w:vMerge w:val="continue"/>
            <w:noWrap w:val="0"/>
            <w:vAlign w:val="center"/>
          </w:tcPr>
          <w:p w14:paraId="7B883770">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color w:val="auto"/>
                <w:sz w:val="24"/>
                <w:szCs w:val="24"/>
                <w:highlight w:val="none"/>
              </w:rPr>
            </w:pPr>
          </w:p>
        </w:tc>
        <w:tc>
          <w:tcPr>
            <w:tcW w:w="1002" w:type="dxa"/>
            <w:vMerge w:val="continue"/>
            <w:noWrap w:val="0"/>
            <w:vAlign w:val="center"/>
          </w:tcPr>
          <w:p w14:paraId="61C08B32">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color w:val="auto"/>
                <w:sz w:val="24"/>
                <w:szCs w:val="24"/>
                <w:highlight w:val="none"/>
              </w:rPr>
            </w:pPr>
          </w:p>
        </w:tc>
        <w:tc>
          <w:tcPr>
            <w:tcW w:w="1969" w:type="dxa"/>
            <w:gridSpan w:val="2"/>
            <w:noWrap w:val="0"/>
            <w:vAlign w:val="center"/>
          </w:tcPr>
          <w:p w14:paraId="617AB16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实质性响应</w:t>
            </w:r>
          </w:p>
        </w:tc>
        <w:tc>
          <w:tcPr>
            <w:tcW w:w="6629" w:type="dxa"/>
            <w:gridSpan w:val="2"/>
            <w:noWrap w:val="0"/>
            <w:vAlign w:val="center"/>
          </w:tcPr>
          <w:p w14:paraId="6596CFE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（1）质量要求、合同履行期限、</w:t>
            </w:r>
            <w:r>
              <w:rPr>
                <w:rFonts w:hint="eastAsia" w:ascii="宋体" w:hAnsi="宋体" w:eastAsia="宋体" w:cs="宋体"/>
                <w:color w:val="auto"/>
                <w:sz w:val="24"/>
                <w:szCs w:val="24"/>
                <w:highlight w:val="none"/>
                <w:lang w:val="en-US" w:eastAsia="zh-CN"/>
              </w:rPr>
              <w:t>项目实施地点</w:t>
            </w:r>
            <w:r>
              <w:rPr>
                <w:rFonts w:hint="eastAsia" w:ascii="宋体" w:hAnsi="宋体" w:eastAsia="宋体" w:cs="宋体"/>
                <w:color w:val="auto"/>
                <w:sz w:val="24"/>
                <w:szCs w:val="24"/>
                <w:highlight w:val="none"/>
              </w:rPr>
              <w:t>地点及其他要求等实质性内容不满足采购内容及要求的。（2）</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方案出现严重不满采购采购内容及要求或不符合实际的。</w:t>
            </w:r>
          </w:p>
        </w:tc>
      </w:tr>
      <w:tr w14:paraId="3E062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2" w:hRule="atLeast"/>
          <w:jc w:val="center"/>
        </w:trPr>
        <w:tc>
          <w:tcPr>
            <w:tcW w:w="899" w:type="dxa"/>
            <w:vMerge w:val="continue"/>
            <w:noWrap w:val="0"/>
            <w:vAlign w:val="center"/>
          </w:tcPr>
          <w:p w14:paraId="5837648A">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color w:val="auto"/>
                <w:sz w:val="24"/>
                <w:szCs w:val="24"/>
                <w:highlight w:val="none"/>
              </w:rPr>
            </w:pPr>
          </w:p>
        </w:tc>
        <w:tc>
          <w:tcPr>
            <w:tcW w:w="1002" w:type="dxa"/>
            <w:vMerge w:val="continue"/>
            <w:noWrap w:val="0"/>
            <w:vAlign w:val="center"/>
          </w:tcPr>
          <w:p w14:paraId="1E4B57D6">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color w:val="auto"/>
                <w:sz w:val="24"/>
                <w:szCs w:val="24"/>
                <w:highlight w:val="none"/>
              </w:rPr>
            </w:pPr>
          </w:p>
        </w:tc>
        <w:tc>
          <w:tcPr>
            <w:tcW w:w="1969" w:type="dxa"/>
            <w:gridSpan w:val="2"/>
            <w:noWrap w:val="0"/>
            <w:vAlign w:val="center"/>
          </w:tcPr>
          <w:p w14:paraId="730EDA7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澄清说明</w:t>
            </w:r>
          </w:p>
        </w:tc>
        <w:tc>
          <w:tcPr>
            <w:tcW w:w="6629" w:type="dxa"/>
            <w:gridSpan w:val="2"/>
            <w:noWrap w:val="0"/>
            <w:vAlign w:val="center"/>
          </w:tcPr>
          <w:p w14:paraId="7C11A7F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供应商未按照要求对响应文件进行澄清、说明或者补正的（如有澄清事项，磋商小组须对本项目进行审查，若无澄清事项的则认定为符合竞争性磋商文件要求）。</w:t>
            </w:r>
          </w:p>
        </w:tc>
      </w:tr>
      <w:tr w14:paraId="2E244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899" w:type="dxa"/>
            <w:vMerge w:val="continue"/>
            <w:noWrap w:val="0"/>
            <w:vAlign w:val="center"/>
          </w:tcPr>
          <w:p w14:paraId="593B4DA1">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color w:val="auto"/>
                <w:sz w:val="24"/>
                <w:szCs w:val="24"/>
                <w:highlight w:val="none"/>
              </w:rPr>
            </w:pPr>
          </w:p>
        </w:tc>
        <w:tc>
          <w:tcPr>
            <w:tcW w:w="1002" w:type="dxa"/>
            <w:vMerge w:val="continue"/>
            <w:noWrap w:val="0"/>
            <w:vAlign w:val="center"/>
          </w:tcPr>
          <w:p w14:paraId="148E3A71">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color w:val="auto"/>
                <w:sz w:val="24"/>
                <w:szCs w:val="24"/>
                <w:highlight w:val="none"/>
              </w:rPr>
            </w:pPr>
          </w:p>
        </w:tc>
        <w:tc>
          <w:tcPr>
            <w:tcW w:w="1969" w:type="dxa"/>
            <w:gridSpan w:val="2"/>
            <w:noWrap w:val="0"/>
            <w:vAlign w:val="center"/>
          </w:tcPr>
          <w:p w14:paraId="25575CD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w:t>
            </w:r>
          </w:p>
        </w:tc>
        <w:tc>
          <w:tcPr>
            <w:tcW w:w="6629" w:type="dxa"/>
            <w:gridSpan w:val="2"/>
            <w:noWrap w:val="0"/>
            <w:vAlign w:val="center"/>
          </w:tcPr>
          <w:p w14:paraId="49E4CA3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（1）响应文件含有采购人不能接受的附加条件的；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不符合法律、法规和竞争性磋商文件中规定的其他要求的。</w:t>
            </w:r>
          </w:p>
        </w:tc>
      </w:tr>
      <w:tr w14:paraId="34053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901" w:type="dxa"/>
            <w:gridSpan w:val="2"/>
            <w:noWrap w:val="0"/>
            <w:vAlign w:val="center"/>
          </w:tcPr>
          <w:p w14:paraId="7517E601">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条款号</w:t>
            </w:r>
          </w:p>
        </w:tc>
        <w:tc>
          <w:tcPr>
            <w:tcW w:w="1969" w:type="dxa"/>
            <w:gridSpan w:val="2"/>
            <w:noWrap w:val="0"/>
            <w:vAlign w:val="center"/>
          </w:tcPr>
          <w:p w14:paraId="0F99D9FA">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条款内容</w:t>
            </w:r>
          </w:p>
        </w:tc>
        <w:tc>
          <w:tcPr>
            <w:tcW w:w="6629" w:type="dxa"/>
            <w:gridSpan w:val="2"/>
            <w:noWrap w:val="0"/>
            <w:vAlign w:val="center"/>
          </w:tcPr>
          <w:p w14:paraId="7766BE07">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编列内容</w:t>
            </w:r>
          </w:p>
        </w:tc>
      </w:tr>
      <w:tr w14:paraId="77334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5" w:hRule="atLeast"/>
          <w:jc w:val="center"/>
        </w:trPr>
        <w:tc>
          <w:tcPr>
            <w:tcW w:w="899" w:type="dxa"/>
            <w:noWrap w:val="0"/>
            <w:vAlign w:val="center"/>
          </w:tcPr>
          <w:p w14:paraId="422047D4">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2971" w:type="dxa"/>
            <w:gridSpan w:val="3"/>
            <w:noWrap w:val="0"/>
            <w:vAlign w:val="center"/>
          </w:tcPr>
          <w:p w14:paraId="3EEFA7E2">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分值构成</w:t>
            </w:r>
          </w:p>
          <w:p w14:paraId="6491E035">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（100分）</w:t>
            </w:r>
          </w:p>
        </w:tc>
        <w:tc>
          <w:tcPr>
            <w:tcW w:w="6629" w:type="dxa"/>
            <w:gridSpan w:val="2"/>
            <w:noWrap w:val="0"/>
            <w:vAlign w:val="center"/>
          </w:tcPr>
          <w:p w14:paraId="5B206DA2">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磋商总得分＝磋商报价＋技术商务部分</w:t>
            </w:r>
          </w:p>
          <w:p w14:paraId="5FB151B3">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磋商报价：满分1</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分。</w:t>
            </w:r>
          </w:p>
          <w:p w14:paraId="07298A10">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技术商务部分：满分</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0分。</w:t>
            </w:r>
          </w:p>
        </w:tc>
      </w:tr>
      <w:tr w14:paraId="1430A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5" w:hRule="atLeast"/>
          <w:jc w:val="center"/>
        </w:trPr>
        <w:tc>
          <w:tcPr>
            <w:tcW w:w="899" w:type="dxa"/>
            <w:noWrap w:val="0"/>
            <w:vAlign w:val="center"/>
          </w:tcPr>
          <w:p w14:paraId="2BCC428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2.2.2</w:t>
            </w:r>
          </w:p>
        </w:tc>
        <w:tc>
          <w:tcPr>
            <w:tcW w:w="2971" w:type="dxa"/>
            <w:gridSpan w:val="3"/>
            <w:noWrap w:val="0"/>
            <w:vAlign w:val="center"/>
          </w:tcPr>
          <w:p w14:paraId="4AA5DB7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评标基准价计算方法</w:t>
            </w:r>
          </w:p>
        </w:tc>
        <w:tc>
          <w:tcPr>
            <w:tcW w:w="6629" w:type="dxa"/>
            <w:gridSpan w:val="2"/>
            <w:noWrap w:val="0"/>
            <w:vAlign w:val="center"/>
          </w:tcPr>
          <w:p w14:paraId="3B80655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满足采购文件要求的有效供应商的最终报价的最低评标价为评标基准价。</w:t>
            </w:r>
          </w:p>
        </w:tc>
      </w:tr>
      <w:tr w14:paraId="7E30F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847" w:type="dxa"/>
            <w:gridSpan w:val="3"/>
            <w:noWrap w:val="0"/>
            <w:vAlign w:val="center"/>
          </w:tcPr>
          <w:p w14:paraId="2630700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bookmarkStart w:id="419" w:name="_Toc71642565"/>
            <w:bookmarkStart w:id="420" w:name="_Toc19907"/>
            <w:r>
              <w:rPr>
                <w:rFonts w:hint="eastAsia" w:ascii="宋体" w:hAnsi="宋体" w:eastAsia="宋体" w:cs="宋体"/>
                <w:b/>
                <w:color w:val="auto"/>
                <w:sz w:val="24"/>
                <w:szCs w:val="24"/>
                <w:highlight w:val="none"/>
              </w:rPr>
              <w:t>条款号</w:t>
            </w:r>
          </w:p>
        </w:tc>
        <w:tc>
          <w:tcPr>
            <w:tcW w:w="2133" w:type="dxa"/>
            <w:gridSpan w:val="2"/>
            <w:noWrap w:val="0"/>
            <w:vAlign w:val="center"/>
          </w:tcPr>
          <w:p w14:paraId="7E3385A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tc>
        <w:tc>
          <w:tcPr>
            <w:tcW w:w="5519" w:type="dxa"/>
            <w:noWrap w:val="0"/>
            <w:vAlign w:val="center"/>
          </w:tcPr>
          <w:p w14:paraId="03ACE4D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68DA0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9" w:hRule="atLeast"/>
          <w:jc w:val="center"/>
        </w:trPr>
        <w:tc>
          <w:tcPr>
            <w:tcW w:w="899" w:type="dxa"/>
            <w:noWrap w:val="0"/>
            <w:vAlign w:val="center"/>
          </w:tcPr>
          <w:p w14:paraId="0E68FCB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w:t>
            </w:r>
          </w:p>
          <w:p w14:paraId="187232E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48" w:type="dxa"/>
            <w:gridSpan w:val="2"/>
            <w:noWrap w:val="0"/>
            <w:vAlign w:val="center"/>
          </w:tcPr>
          <w:p w14:paraId="4DFC586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最终报价</w:t>
            </w:r>
          </w:p>
          <w:p w14:paraId="3167B68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p w14:paraId="48286CC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（满分</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2133" w:type="dxa"/>
            <w:gridSpan w:val="2"/>
            <w:noWrap w:val="0"/>
            <w:vAlign w:val="center"/>
          </w:tcPr>
          <w:p w14:paraId="1FFDE58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磋商最终报价评分计算办法</w:t>
            </w:r>
          </w:p>
          <w:p w14:paraId="068EF29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（满分1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c>
        <w:tc>
          <w:tcPr>
            <w:tcW w:w="5519" w:type="dxa"/>
            <w:noWrap w:val="0"/>
            <w:vAlign w:val="center"/>
          </w:tcPr>
          <w:p w14:paraId="0346BB2E">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报价计算公式=（</w:t>
            </w:r>
            <w:r>
              <w:rPr>
                <w:rFonts w:hint="eastAsia" w:ascii="宋体" w:hAnsi="宋体" w:eastAsia="宋体" w:cs="宋体"/>
                <w:b w:val="0"/>
                <w:bCs w:val="0"/>
                <w:color w:val="auto"/>
                <w:sz w:val="24"/>
                <w:szCs w:val="24"/>
                <w:highlight w:val="none"/>
                <w:lang w:val="en-US" w:eastAsia="zh-CN"/>
              </w:rPr>
              <w:t>评标</w:t>
            </w:r>
            <w:r>
              <w:rPr>
                <w:rFonts w:hint="eastAsia" w:ascii="宋体" w:hAnsi="宋体" w:eastAsia="宋体" w:cs="宋体"/>
                <w:b w:val="0"/>
                <w:bCs w:val="0"/>
                <w:color w:val="auto"/>
                <w:sz w:val="24"/>
                <w:szCs w:val="24"/>
                <w:highlight w:val="none"/>
              </w:rPr>
              <w:t>基准价/该供应商报价）×1</w:t>
            </w:r>
            <w:r>
              <w:rPr>
                <w:rFonts w:hint="eastAsia" w:ascii="宋体" w:hAnsi="宋体" w:eastAsia="宋体" w:cs="宋体"/>
                <w:b w:val="0"/>
                <w:bCs w:val="0"/>
                <w:color w:val="auto"/>
                <w:sz w:val="24"/>
                <w:szCs w:val="24"/>
                <w:highlight w:val="none"/>
                <w:lang w:val="en-US" w:eastAsia="zh-CN"/>
              </w:rPr>
              <w:t>0</w:t>
            </w:r>
          </w:p>
          <w:p w14:paraId="751C92AF">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即：F1=[C/（B1，B2，…，Bn）]×1</w:t>
            </w:r>
            <w:r>
              <w:rPr>
                <w:rFonts w:hint="eastAsia" w:ascii="宋体" w:hAnsi="宋体" w:eastAsia="宋体" w:cs="宋体"/>
                <w:b w:val="0"/>
                <w:bCs w:val="0"/>
                <w:color w:val="auto"/>
                <w:sz w:val="24"/>
                <w:szCs w:val="24"/>
                <w:highlight w:val="none"/>
                <w:lang w:val="en-US" w:eastAsia="zh-CN"/>
              </w:rPr>
              <w:t>0</w:t>
            </w:r>
          </w:p>
          <w:p w14:paraId="3D5F8A02">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注：C为</w:t>
            </w:r>
            <w:r>
              <w:rPr>
                <w:rFonts w:hint="eastAsia" w:ascii="宋体" w:hAnsi="宋体" w:eastAsia="宋体" w:cs="宋体"/>
                <w:b w:val="0"/>
                <w:bCs w:val="0"/>
                <w:color w:val="auto"/>
                <w:sz w:val="24"/>
                <w:szCs w:val="24"/>
                <w:highlight w:val="none"/>
                <w:lang w:val="en-US" w:eastAsia="zh-CN"/>
              </w:rPr>
              <w:t>评标</w:t>
            </w:r>
            <w:r>
              <w:rPr>
                <w:rFonts w:hint="eastAsia" w:ascii="宋体" w:hAnsi="宋体" w:eastAsia="宋体" w:cs="宋体"/>
                <w:b w:val="0"/>
                <w:bCs w:val="0"/>
                <w:color w:val="auto"/>
                <w:sz w:val="24"/>
                <w:szCs w:val="24"/>
                <w:highlight w:val="none"/>
              </w:rPr>
              <w:t>基准价，B1，B2，…，Bn 为第 n 个经初步审查合格的有效磋商报价。</w:t>
            </w:r>
          </w:p>
          <w:p w14:paraId="2446989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本项目对小微企业投标报价给予10%的扣除。</w:t>
            </w:r>
          </w:p>
        </w:tc>
      </w:tr>
      <w:tr w14:paraId="6C2E6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1" w:hRule="atLeast"/>
          <w:jc w:val="center"/>
        </w:trPr>
        <w:tc>
          <w:tcPr>
            <w:tcW w:w="899" w:type="dxa"/>
            <w:vMerge w:val="restart"/>
            <w:noWrap w:val="0"/>
            <w:vAlign w:val="center"/>
          </w:tcPr>
          <w:p w14:paraId="0652702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w:t>
            </w:r>
          </w:p>
          <w:p w14:paraId="460E2EF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48" w:type="dxa"/>
            <w:gridSpan w:val="2"/>
            <w:vMerge w:val="restart"/>
            <w:noWrap w:val="0"/>
            <w:vAlign w:val="center"/>
          </w:tcPr>
          <w:p w14:paraId="2FCFFC3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技术部分评审标准</w:t>
            </w:r>
          </w:p>
          <w:p w14:paraId="4561FB2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（满分</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分）</w:t>
            </w:r>
          </w:p>
          <w:p w14:paraId="5650CA3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p>
        </w:tc>
        <w:tc>
          <w:tcPr>
            <w:tcW w:w="2133" w:type="dxa"/>
            <w:gridSpan w:val="2"/>
            <w:noWrap w:val="0"/>
            <w:vAlign w:val="center"/>
          </w:tcPr>
          <w:p w14:paraId="48F02C9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4"/>
                <w:szCs w:val="24"/>
                <w:highlight w:val="none"/>
                <w:lang w:val="en-US" w:eastAsia="en-US"/>
              </w:rPr>
            </w:pPr>
          </w:p>
          <w:p w14:paraId="686E88E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4"/>
                <w:szCs w:val="24"/>
                <w:highlight w:val="none"/>
                <w:lang w:val="en-US" w:eastAsia="en-US"/>
              </w:rPr>
            </w:pPr>
          </w:p>
          <w:p w14:paraId="5C5703B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培训服务方案</w:t>
            </w:r>
          </w:p>
          <w:p w14:paraId="5743D67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（满分</w:t>
            </w:r>
            <w:r>
              <w:rPr>
                <w:rFonts w:hint="eastAsia" w:ascii="宋体" w:hAnsi="宋体" w:eastAsia="宋体" w:cs="宋体"/>
                <w:b w:val="0"/>
                <w:bCs w:val="0"/>
                <w:color w:val="auto"/>
                <w:sz w:val="24"/>
                <w:szCs w:val="24"/>
                <w:highlight w:val="none"/>
                <w:lang w:val="en-US" w:eastAsia="en-US"/>
              </w:rPr>
              <w:t>25分</w:t>
            </w:r>
            <w:r>
              <w:rPr>
                <w:rFonts w:hint="eastAsia" w:ascii="宋体" w:hAnsi="宋体" w:eastAsia="宋体" w:cs="宋体"/>
                <w:b w:val="0"/>
                <w:bCs w:val="0"/>
                <w:color w:val="auto"/>
                <w:sz w:val="24"/>
                <w:szCs w:val="24"/>
                <w:highlight w:val="none"/>
                <w:lang w:val="en-US" w:eastAsia="zh-CN"/>
              </w:rPr>
              <w:t>）</w:t>
            </w:r>
          </w:p>
        </w:tc>
        <w:tc>
          <w:tcPr>
            <w:tcW w:w="5519" w:type="dxa"/>
            <w:noWrap w:val="0"/>
            <w:vAlign w:val="center"/>
          </w:tcPr>
          <w:p w14:paraId="77CA9D6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培训服务方案包含但不限于：</w:t>
            </w:r>
            <w:r>
              <w:rPr>
                <w:rFonts w:hint="eastAsia" w:ascii="宋体" w:hAnsi="宋体" w:eastAsia="宋体" w:cs="宋体"/>
                <w:b/>
                <w:bCs/>
                <w:color w:val="auto"/>
                <w:kern w:val="2"/>
                <w:sz w:val="24"/>
                <w:szCs w:val="24"/>
                <w:highlight w:val="none"/>
                <w:lang w:val="en-US" w:eastAsia="zh-CN" w:bidi="ar-SA"/>
              </w:rPr>
              <w:t>1.培训课程介绍；2.培训时间计划；3.培训场地及设施安排；4.粮油和重要农产品生产经营主体提升培训；5.乡村治理人才培训；6.文明乡风培训。</w:t>
            </w:r>
          </w:p>
          <w:p w14:paraId="279F3F6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第一档次（20-25分）：培训服务方案中培训计划、培训目标编制思路清晰、考虑全面、 完整、详细、科学合理、有针对性、可操作性强；具备培训工种丰富且针对性强；培训实施方案重点、强项突出及地方特色显著、鲜明的，符合招标人要求的。</w:t>
            </w:r>
          </w:p>
          <w:p w14:paraId="213555E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第二档次（15-19分）：培训服务方案中培训计划、培训目标编制思路清晰、考虑基本全 面、完整、详细、科学合理、有一定针对性、可操作性一般；具备培训工种丰富且针对性一般；培训实施方案重点、强项基本突出及地方特色一般的，基本符合招标人要求的。</w:t>
            </w:r>
          </w:p>
          <w:p w14:paraId="7FA3C30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第三档次（9-14分）：培训服务方案中培训计划、培训目标编制思路一般、考虑基本全面、基本完整、针对性差、可操作性一般；具备培训工种不丰富且针对性差；培训实施方案重点、强项基本突出及地方特色一般的。</w:t>
            </w:r>
          </w:p>
          <w:p w14:paraId="64FED4A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第四档次（1-8分）：培训服务方案内容不完整，没有针对本招标项目内容要求细化制定的。</w:t>
            </w:r>
          </w:p>
          <w:p w14:paraId="140EEC3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未提供培训服务方案的不得分。</w:t>
            </w:r>
          </w:p>
          <w:p w14:paraId="4BE8943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en-US"/>
              </w:rPr>
              <w:t>未提供培训服务方案的不得分。</w:t>
            </w:r>
          </w:p>
        </w:tc>
      </w:tr>
      <w:tr w14:paraId="64489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0" w:hRule="atLeast"/>
          <w:jc w:val="center"/>
        </w:trPr>
        <w:tc>
          <w:tcPr>
            <w:tcW w:w="899" w:type="dxa"/>
            <w:vMerge w:val="continue"/>
            <w:noWrap w:val="0"/>
            <w:vAlign w:val="center"/>
          </w:tcPr>
          <w:p w14:paraId="44028B0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p>
        </w:tc>
        <w:tc>
          <w:tcPr>
            <w:tcW w:w="1948" w:type="dxa"/>
            <w:gridSpan w:val="2"/>
            <w:vMerge w:val="continue"/>
            <w:noWrap w:val="0"/>
            <w:vAlign w:val="center"/>
          </w:tcPr>
          <w:p w14:paraId="0FFC070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p>
        </w:tc>
        <w:tc>
          <w:tcPr>
            <w:tcW w:w="2133" w:type="dxa"/>
            <w:gridSpan w:val="2"/>
            <w:noWrap w:val="0"/>
            <w:vAlign w:val="center"/>
          </w:tcPr>
          <w:p w14:paraId="6CCAE16F">
            <w:pPr>
              <w:keepNext w:val="0"/>
              <w:keepLines w:val="0"/>
              <w:pageBreakBefore w:val="0"/>
              <w:widowControl w:val="0"/>
              <w:kinsoku/>
              <w:wordWrap/>
              <w:overflowPunct/>
              <w:topLinePunct w:val="0"/>
              <w:autoSpaceDE/>
              <w:autoSpaceDN/>
              <w:bidi w:val="0"/>
              <w:adjustRightInd w:val="0"/>
              <w:snapToGrid w:val="0"/>
              <w:spacing w:before="156" w:beforeLines="50" w:after="156" w:afterLines="50" w:line="360" w:lineRule="auto"/>
              <w:jc w:val="center"/>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en-US" w:bidi="ar-SA"/>
              </w:rPr>
              <w:t>教学实施方案</w:t>
            </w:r>
          </w:p>
          <w:p w14:paraId="3F3359BE">
            <w:pPr>
              <w:keepNext w:val="0"/>
              <w:keepLines w:val="0"/>
              <w:pageBreakBefore w:val="0"/>
              <w:widowControl w:val="0"/>
              <w:kinsoku/>
              <w:wordWrap/>
              <w:overflowPunct/>
              <w:topLinePunct w:val="0"/>
              <w:autoSpaceDE/>
              <w:autoSpaceDN/>
              <w:bidi w:val="0"/>
              <w:adjustRightInd w:val="0"/>
              <w:snapToGrid w:val="0"/>
              <w:spacing w:before="156" w:beforeLines="50" w:after="156" w:afterLines="5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kern w:val="2"/>
                <w:sz w:val="24"/>
                <w:szCs w:val="24"/>
                <w:highlight w:val="none"/>
                <w:lang w:val="en-US" w:eastAsia="zh-CN" w:bidi="ar-SA"/>
              </w:rPr>
              <w:t>（满分20</w:t>
            </w:r>
            <w:r>
              <w:rPr>
                <w:rFonts w:hint="eastAsia" w:ascii="宋体" w:hAnsi="宋体" w:eastAsia="宋体" w:cs="宋体"/>
                <w:b w:val="0"/>
                <w:bCs w:val="0"/>
                <w:color w:val="auto"/>
                <w:kern w:val="2"/>
                <w:sz w:val="24"/>
                <w:szCs w:val="24"/>
                <w:highlight w:val="none"/>
                <w:lang w:val="en-US" w:eastAsia="en-US" w:bidi="ar-SA"/>
              </w:rPr>
              <w:t>分</w:t>
            </w:r>
            <w:r>
              <w:rPr>
                <w:rFonts w:hint="eastAsia" w:ascii="宋体" w:hAnsi="宋体" w:eastAsia="宋体" w:cs="宋体"/>
                <w:b w:val="0"/>
                <w:bCs w:val="0"/>
                <w:color w:val="auto"/>
                <w:kern w:val="2"/>
                <w:sz w:val="24"/>
                <w:szCs w:val="24"/>
                <w:highlight w:val="none"/>
                <w:lang w:val="en-US" w:eastAsia="zh-CN" w:bidi="ar-SA"/>
              </w:rPr>
              <w:t>）</w:t>
            </w:r>
          </w:p>
        </w:tc>
        <w:tc>
          <w:tcPr>
            <w:tcW w:w="5519" w:type="dxa"/>
            <w:noWrap w:val="0"/>
            <w:vAlign w:val="center"/>
          </w:tcPr>
          <w:p w14:paraId="5A5C91A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第一档</w:t>
            </w:r>
            <w:r>
              <w:rPr>
                <w:rFonts w:hint="eastAsia" w:ascii="宋体" w:hAnsi="宋体" w:eastAsia="宋体" w:cs="宋体"/>
                <w:color w:val="auto"/>
                <w:sz w:val="24"/>
                <w:szCs w:val="24"/>
                <w:highlight w:val="none"/>
                <w:lang w:val="en-US" w:eastAsia="zh-CN"/>
              </w:rPr>
              <w:t>次</w:t>
            </w:r>
            <w:r>
              <w:rPr>
                <w:rFonts w:hint="eastAsia" w:ascii="宋体" w:hAnsi="宋体" w:eastAsia="宋体" w:cs="宋体"/>
                <w:color w:val="auto"/>
                <w:sz w:val="24"/>
                <w:szCs w:val="24"/>
                <w:highlight w:val="none"/>
                <w:lang w:val="en-US" w:eastAsia="en-US"/>
              </w:rPr>
              <w:t>（</w:t>
            </w:r>
            <w:r>
              <w:rPr>
                <w:rFonts w:hint="eastAsia" w:ascii="宋体" w:hAnsi="宋体" w:cs="宋体"/>
                <w:color w:val="auto"/>
                <w:sz w:val="24"/>
                <w:szCs w:val="24"/>
                <w:highlight w:val="none"/>
                <w:lang w:val="en-US" w:eastAsia="zh-CN"/>
              </w:rPr>
              <w:t>16-20</w:t>
            </w:r>
            <w:r>
              <w:rPr>
                <w:rFonts w:hint="eastAsia" w:ascii="宋体" w:hAnsi="宋体" w:eastAsia="宋体" w:cs="宋体"/>
                <w:color w:val="auto"/>
                <w:sz w:val="24"/>
                <w:szCs w:val="24"/>
                <w:highlight w:val="none"/>
                <w:lang w:val="en-US" w:eastAsia="en-US"/>
              </w:rPr>
              <w:t>分）：方案清晰、架构完整详细，对采购人需求分析透彻，对服务内容、培训方法、培训大纲、教学计划、范围、任务目标、完成保障措施等表述全面、详尽；内容齐全、结构清晰、可行、规范、周密、可操作性强，培训方式多样化，能充分满足本项目要求的。</w:t>
            </w:r>
          </w:p>
          <w:p w14:paraId="0CB6A27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第二档</w:t>
            </w:r>
            <w:r>
              <w:rPr>
                <w:rFonts w:hint="eastAsia" w:ascii="宋体" w:hAnsi="宋体" w:eastAsia="宋体" w:cs="宋体"/>
                <w:color w:val="auto"/>
                <w:sz w:val="24"/>
                <w:szCs w:val="24"/>
                <w:highlight w:val="none"/>
                <w:lang w:val="en-US" w:eastAsia="zh-CN"/>
              </w:rPr>
              <w:t>次</w:t>
            </w:r>
            <w:r>
              <w:rPr>
                <w:rFonts w:hint="eastAsia" w:ascii="宋体" w:hAnsi="宋体" w:eastAsia="宋体" w:cs="宋体"/>
                <w:color w:val="auto"/>
                <w:sz w:val="24"/>
                <w:szCs w:val="24"/>
                <w:highlight w:val="none"/>
                <w:lang w:val="en-US" w:eastAsia="en-US"/>
              </w:rPr>
              <w:t>（</w:t>
            </w:r>
            <w:r>
              <w:rPr>
                <w:rFonts w:hint="eastAsia" w:ascii="宋体" w:hAnsi="宋体" w:cs="宋体"/>
                <w:color w:val="auto"/>
                <w:sz w:val="24"/>
                <w:szCs w:val="24"/>
                <w:highlight w:val="none"/>
                <w:lang w:val="en-US" w:eastAsia="zh-CN"/>
              </w:rPr>
              <w:t>10-15</w:t>
            </w:r>
            <w:r>
              <w:rPr>
                <w:rFonts w:hint="eastAsia" w:ascii="宋体" w:hAnsi="宋体" w:eastAsia="宋体" w:cs="宋体"/>
                <w:color w:val="auto"/>
                <w:sz w:val="24"/>
                <w:szCs w:val="24"/>
                <w:highlight w:val="none"/>
                <w:lang w:val="en-US" w:eastAsia="en-US"/>
              </w:rPr>
              <w:t>分）：方案相对清晰、架构相对完整详细，对采购人需求分析一般，对服务内容、培训方法、培训大纲、教学计划、范围、任务目标、完成保障措施等表述相对全面、详尽；内容相对齐全、结构相对清晰、可行、规范、周密、可操作性一般，培训方式多样化，能满足本项目要求的。</w:t>
            </w:r>
          </w:p>
          <w:p w14:paraId="5F4C1F8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第三档</w:t>
            </w:r>
            <w:r>
              <w:rPr>
                <w:rFonts w:hint="eastAsia" w:ascii="宋体" w:hAnsi="宋体" w:eastAsia="宋体" w:cs="宋体"/>
                <w:color w:val="auto"/>
                <w:sz w:val="24"/>
                <w:szCs w:val="24"/>
                <w:highlight w:val="none"/>
                <w:lang w:val="en-US" w:eastAsia="zh-CN"/>
              </w:rPr>
              <w:t>次</w:t>
            </w:r>
            <w:r>
              <w:rPr>
                <w:rFonts w:hint="eastAsia" w:ascii="宋体" w:hAnsi="宋体" w:eastAsia="宋体" w:cs="宋体"/>
                <w:color w:val="auto"/>
                <w:sz w:val="24"/>
                <w:szCs w:val="24"/>
                <w:highlight w:val="none"/>
                <w:lang w:val="en-US" w:eastAsia="en-US"/>
              </w:rPr>
              <w:t>（</w:t>
            </w:r>
            <w:r>
              <w:rPr>
                <w:rFonts w:hint="eastAsia" w:ascii="宋体" w:hAnsi="宋体" w:cs="宋体"/>
                <w:color w:val="auto"/>
                <w:sz w:val="24"/>
                <w:szCs w:val="24"/>
                <w:highlight w:val="none"/>
                <w:lang w:val="en-US" w:eastAsia="zh-CN"/>
              </w:rPr>
              <w:t>5-9</w:t>
            </w:r>
            <w:r>
              <w:rPr>
                <w:rFonts w:hint="eastAsia" w:ascii="宋体" w:hAnsi="宋体" w:eastAsia="宋体" w:cs="宋体"/>
                <w:color w:val="auto"/>
                <w:sz w:val="24"/>
                <w:szCs w:val="24"/>
                <w:highlight w:val="none"/>
                <w:lang w:val="en-US" w:eastAsia="en-US"/>
              </w:rPr>
              <w:t>分）：方案模糊、架构不够完整，对采购人需求分析一般，对服务内容、培训方法、培训大纲、教学计划、范围、任务目标、完成保障措施等表述模糊或不全；内容不全、结构一般、可操作性一般，培训方式单一，能部分满足本项目要求的。</w:t>
            </w:r>
          </w:p>
          <w:p w14:paraId="418AB90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第四档</w:t>
            </w:r>
            <w:r>
              <w:rPr>
                <w:rFonts w:hint="eastAsia" w:ascii="宋体" w:hAnsi="宋体" w:eastAsia="宋体" w:cs="宋体"/>
                <w:color w:val="auto"/>
                <w:sz w:val="24"/>
                <w:szCs w:val="24"/>
                <w:highlight w:val="none"/>
                <w:lang w:val="en-US" w:eastAsia="zh-CN"/>
              </w:rPr>
              <w:t>次</w:t>
            </w:r>
            <w:r>
              <w:rPr>
                <w:rFonts w:hint="eastAsia" w:ascii="宋体" w:hAnsi="宋体" w:eastAsia="宋体" w:cs="宋体"/>
                <w:color w:val="auto"/>
                <w:sz w:val="24"/>
                <w:szCs w:val="24"/>
                <w:highlight w:val="none"/>
                <w:lang w:val="en-US" w:eastAsia="en-US"/>
              </w:rPr>
              <w:t>（</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en-US"/>
              </w:rPr>
              <w:t>分）：有方案但方案混乱、不够完整、不能满足本项目要求。</w:t>
            </w:r>
          </w:p>
          <w:p w14:paraId="1621D0A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en-US"/>
              </w:rPr>
              <w:t>未提供教学实施方案的不得分。</w:t>
            </w:r>
          </w:p>
        </w:tc>
      </w:tr>
      <w:tr w14:paraId="2388B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5" w:hRule="atLeast"/>
          <w:jc w:val="center"/>
        </w:trPr>
        <w:tc>
          <w:tcPr>
            <w:tcW w:w="899" w:type="dxa"/>
            <w:vMerge w:val="continue"/>
            <w:noWrap w:val="0"/>
            <w:vAlign w:val="center"/>
          </w:tcPr>
          <w:p w14:paraId="563F1D0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p>
        </w:tc>
        <w:tc>
          <w:tcPr>
            <w:tcW w:w="1948" w:type="dxa"/>
            <w:gridSpan w:val="2"/>
            <w:vMerge w:val="continue"/>
            <w:noWrap w:val="0"/>
            <w:vAlign w:val="center"/>
          </w:tcPr>
          <w:p w14:paraId="20530D2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p>
        </w:tc>
        <w:tc>
          <w:tcPr>
            <w:tcW w:w="2133" w:type="dxa"/>
            <w:gridSpan w:val="2"/>
            <w:noWrap w:val="0"/>
            <w:vAlign w:val="center"/>
          </w:tcPr>
          <w:p w14:paraId="63EA443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管理制度</w:t>
            </w:r>
          </w:p>
          <w:p w14:paraId="05153EB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（满分10分）</w:t>
            </w:r>
          </w:p>
        </w:tc>
        <w:tc>
          <w:tcPr>
            <w:tcW w:w="5519" w:type="dxa"/>
            <w:noWrap w:val="0"/>
            <w:vAlign w:val="center"/>
          </w:tcPr>
          <w:p w14:paraId="03B72EB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管理制度包含但不限于：</w:t>
            </w:r>
            <w:r>
              <w:rPr>
                <w:rFonts w:hint="eastAsia" w:ascii="宋体" w:hAnsi="宋体" w:eastAsia="宋体" w:cs="宋体"/>
                <w:b/>
                <w:bCs/>
                <w:color w:val="auto"/>
                <w:sz w:val="24"/>
                <w:szCs w:val="24"/>
                <w:highlight w:val="none"/>
                <w:lang w:val="en-US" w:eastAsia="en-US"/>
              </w:rPr>
              <w:t>组织管理制度、教师管理及聘任制度、学籍管理制度、学员考核鉴定制度、安全管理制度、档案管理制度、岗位责任制度、学员考勤管理制度等</w:t>
            </w:r>
            <w:r>
              <w:rPr>
                <w:rFonts w:hint="eastAsia" w:ascii="宋体" w:hAnsi="宋体" w:eastAsia="宋体" w:cs="宋体"/>
                <w:b/>
                <w:bCs/>
                <w:color w:val="auto"/>
                <w:sz w:val="24"/>
                <w:szCs w:val="24"/>
                <w:highlight w:val="none"/>
                <w:lang w:val="en-US" w:eastAsia="zh-CN"/>
              </w:rPr>
              <w:t>。</w:t>
            </w:r>
          </w:p>
          <w:p w14:paraId="0D67403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第一档次(</w:t>
            </w:r>
            <w:r>
              <w:rPr>
                <w:rFonts w:hint="eastAsia" w:ascii="宋体" w:hAnsi="宋体" w:cs="宋体"/>
                <w:color w:val="auto"/>
                <w:sz w:val="24"/>
                <w:szCs w:val="24"/>
                <w:highlight w:val="none"/>
                <w:lang w:val="en-US" w:eastAsia="zh-CN"/>
              </w:rPr>
              <w:t>8-10</w:t>
            </w:r>
            <w:r>
              <w:rPr>
                <w:rFonts w:hint="eastAsia" w:ascii="宋体" w:hAnsi="宋体" w:eastAsia="宋体" w:cs="宋体"/>
                <w:color w:val="auto"/>
                <w:sz w:val="24"/>
                <w:szCs w:val="24"/>
                <w:highlight w:val="none"/>
                <w:lang w:val="en-US" w:eastAsia="en-US"/>
              </w:rPr>
              <w:t xml:space="preserve">分)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en-US"/>
              </w:rPr>
              <w:t>供应商有完善、详尽的企业内部管理制度，人员管理科学、合理、规范、专业性强，能很好的满足项目服务需求的。</w:t>
            </w:r>
          </w:p>
          <w:p w14:paraId="5A777D6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第二档次(</w:t>
            </w:r>
            <w:r>
              <w:rPr>
                <w:rFonts w:hint="eastAsia" w:ascii="宋体" w:hAnsi="宋体" w:cs="宋体"/>
                <w:color w:val="auto"/>
                <w:sz w:val="24"/>
                <w:szCs w:val="24"/>
                <w:highlight w:val="none"/>
                <w:lang w:val="en-US" w:eastAsia="zh-CN"/>
              </w:rPr>
              <w:t>5-8</w:t>
            </w:r>
            <w:r>
              <w:rPr>
                <w:rFonts w:hint="eastAsia" w:ascii="宋体" w:hAnsi="宋体" w:eastAsia="宋体" w:cs="宋体"/>
                <w:color w:val="auto"/>
                <w:sz w:val="24"/>
                <w:szCs w:val="24"/>
                <w:highlight w:val="none"/>
                <w:lang w:val="en-US" w:eastAsia="en-US"/>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en-US"/>
              </w:rPr>
              <w:t>供应商有健全的企业内部管理制度，人员管理较科学、合理、规范、专业性较强，基本满足项目服务需求的。</w:t>
            </w:r>
          </w:p>
          <w:p w14:paraId="54FDA6B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第三档次(</w:t>
            </w:r>
            <w:r>
              <w:rPr>
                <w:rFonts w:hint="eastAsia" w:ascii="宋体" w:hAnsi="宋体" w:cs="宋体"/>
                <w:color w:val="auto"/>
                <w:sz w:val="24"/>
                <w:szCs w:val="24"/>
                <w:highlight w:val="none"/>
                <w:lang w:val="en-US" w:eastAsia="zh-CN"/>
              </w:rPr>
              <w:t>3-4</w:t>
            </w:r>
            <w:r>
              <w:rPr>
                <w:rFonts w:hint="eastAsia" w:ascii="宋体" w:hAnsi="宋体" w:eastAsia="宋体" w:cs="宋体"/>
                <w:color w:val="auto"/>
                <w:sz w:val="24"/>
                <w:szCs w:val="24"/>
                <w:highlight w:val="none"/>
                <w:lang w:val="en-US" w:eastAsia="en-US"/>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en-US"/>
              </w:rPr>
              <w:t>供应商企业内部管理制度一般，内容基本详细、较为合理、较为规范、专业性- 般，基本满足项目服务需求的。</w:t>
            </w:r>
          </w:p>
          <w:p w14:paraId="5E0DA66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第四档次(</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en-US"/>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en-US"/>
              </w:rPr>
              <w:t>供应商企业内部管理制度不健全，内容宽泛、专业性较差。</w:t>
            </w:r>
          </w:p>
          <w:p w14:paraId="0398B6BF">
            <w:pPr>
              <w:pStyle w:val="45"/>
              <w:ind w:left="0" w:leftChars="0" w:firstLine="0" w:firstLineChars="0"/>
              <w:rPr>
                <w:rFonts w:hint="eastAsia" w:ascii="宋体" w:hAnsi="宋体" w:eastAsia="宋体" w:cs="宋体"/>
                <w:color w:val="auto"/>
                <w:highlight w:val="none"/>
              </w:rPr>
            </w:pPr>
            <w:r>
              <w:rPr>
                <w:rFonts w:hint="eastAsia" w:ascii="宋体" w:hAnsi="宋体" w:eastAsia="宋体" w:cs="宋体"/>
                <w:b/>
                <w:bCs/>
                <w:color w:val="auto"/>
                <w:kern w:val="2"/>
                <w:sz w:val="24"/>
                <w:szCs w:val="24"/>
                <w:highlight w:val="none"/>
                <w:lang w:val="en-US" w:eastAsia="zh-CN" w:bidi="ar-SA"/>
              </w:rPr>
              <w:t>未提供管理制度不</w:t>
            </w:r>
            <w:r>
              <w:rPr>
                <w:rFonts w:hint="eastAsia" w:ascii="宋体" w:hAnsi="宋体" w:eastAsia="宋体" w:cs="宋体"/>
                <w:b/>
                <w:bCs/>
                <w:color w:val="auto"/>
                <w:kern w:val="2"/>
                <w:sz w:val="24"/>
                <w:szCs w:val="24"/>
                <w:highlight w:val="none"/>
                <w:lang w:val="en-US" w:eastAsia="en-US" w:bidi="ar-SA"/>
              </w:rPr>
              <w:t>得分</w:t>
            </w:r>
            <w:r>
              <w:rPr>
                <w:rFonts w:hint="eastAsia" w:ascii="宋体" w:hAnsi="宋体" w:eastAsia="宋体" w:cs="宋体"/>
                <w:b/>
                <w:bCs/>
                <w:color w:val="auto"/>
                <w:kern w:val="2"/>
                <w:sz w:val="24"/>
                <w:szCs w:val="24"/>
                <w:highlight w:val="none"/>
                <w:lang w:val="en-US" w:eastAsia="zh-CN" w:bidi="ar-SA"/>
              </w:rPr>
              <w:t>。</w:t>
            </w:r>
          </w:p>
        </w:tc>
      </w:tr>
      <w:tr w14:paraId="3EA49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6" w:hRule="atLeast"/>
          <w:jc w:val="center"/>
        </w:trPr>
        <w:tc>
          <w:tcPr>
            <w:tcW w:w="899" w:type="dxa"/>
            <w:vMerge w:val="continue"/>
            <w:noWrap w:val="0"/>
            <w:vAlign w:val="center"/>
          </w:tcPr>
          <w:p w14:paraId="4FC022F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p>
        </w:tc>
        <w:tc>
          <w:tcPr>
            <w:tcW w:w="1948" w:type="dxa"/>
            <w:gridSpan w:val="2"/>
            <w:vMerge w:val="continue"/>
            <w:noWrap w:val="0"/>
            <w:vAlign w:val="center"/>
          </w:tcPr>
          <w:p w14:paraId="3155652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p>
        </w:tc>
        <w:tc>
          <w:tcPr>
            <w:tcW w:w="2133" w:type="dxa"/>
            <w:gridSpan w:val="2"/>
            <w:noWrap w:val="0"/>
            <w:vAlign w:val="center"/>
          </w:tcPr>
          <w:p w14:paraId="6224A3BE">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投入</w:t>
            </w:r>
            <w:r>
              <w:rPr>
                <w:rFonts w:hint="eastAsia" w:ascii="宋体" w:hAnsi="宋体" w:eastAsia="宋体" w:cs="宋体"/>
                <w:b w:val="0"/>
                <w:bCs w:val="0"/>
                <w:color w:val="auto"/>
                <w:sz w:val="24"/>
                <w:szCs w:val="24"/>
                <w:highlight w:val="none"/>
                <w:lang w:val="en-US" w:eastAsia="zh-CN"/>
              </w:rPr>
              <w:t>本项目</w:t>
            </w:r>
            <w:r>
              <w:rPr>
                <w:rFonts w:hint="eastAsia" w:ascii="宋体" w:hAnsi="宋体" w:eastAsia="宋体" w:cs="宋体"/>
                <w:b w:val="0"/>
                <w:bCs w:val="0"/>
                <w:color w:val="auto"/>
                <w:sz w:val="24"/>
                <w:szCs w:val="24"/>
                <w:highlight w:val="none"/>
              </w:rPr>
              <w:t>设施设备</w:t>
            </w:r>
          </w:p>
          <w:p w14:paraId="0AA0A386">
            <w:pPr>
              <w:pStyle w:val="11"/>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满分1</w:t>
            </w:r>
            <w:r>
              <w:rPr>
                <w:rFonts w:hint="eastAsia" w:ascii="宋体" w:hAnsi="宋体" w:eastAsia="宋体" w:cs="宋体"/>
                <w:b w:val="0"/>
                <w:bCs w:val="0"/>
                <w:color w:val="auto"/>
                <w:sz w:val="24"/>
                <w:szCs w:val="24"/>
                <w:highlight w:val="none"/>
              </w:rPr>
              <w:t>0分）</w:t>
            </w:r>
          </w:p>
        </w:tc>
        <w:tc>
          <w:tcPr>
            <w:tcW w:w="5519" w:type="dxa"/>
            <w:noWrap w:val="0"/>
            <w:vAlign w:val="center"/>
          </w:tcPr>
          <w:p w14:paraId="23A40526">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第一档</w:t>
            </w:r>
            <w:r>
              <w:rPr>
                <w:rFonts w:hint="eastAsia" w:ascii="宋体" w:hAnsi="宋体" w:eastAsia="宋体" w:cs="宋体"/>
                <w:color w:val="auto"/>
                <w:sz w:val="24"/>
                <w:szCs w:val="24"/>
                <w:highlight w:val="none"/>
                <w:lang w:val="en-US" w:eastAsia="zh-CN"/>
              </w:rPr>
              <w:t>次</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8-10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拟投入本项目教学设施设备齐全，能完全满足本项目培训要求；</w:t>
            </w:r>
          </w:p>
          <w:p w14:paraId="6A621C6E">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第二档</w:t>
            </w:r>
            <w:r>
              <w:rPr>
                <w:rFonts w:hint="eastAsia" w:ascii="宋体" w:hAnsi="宋体" w:eastAsia="宋体" w:cs="宋体"/>
                <w:color w:val="auto"/>
                <w:sz w:val="24"/>
                <w:szCs w:val="24"/>
                <w:highlight w:val="none"/>
                <w:lang w:val="en-US" w:eastAsia="zh-CN"/>
              </w:rPr>
              <w:t>次</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5-7</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拟投入本项目教学设施设备基本齐全，基本满足本项目培训要求；</w:t>
            </w:r>
          </w:p>
          <w:p w14:paraId="3950FEAA">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第三档</w:t>
            </w:r>
            <w:r>
              <w:rPr>
                <w:rFonts w:hint="eastAsia" w:ascii="宋体" w:hAnsi="宋体" w:eastAsia="宋体" w:cs="宋体"/>
                <w:color w:val="auto"/>
                <w:sz w:val="24"/>
                <w:szCs w:val="24"/>
                <w:highlight w:val="none"/>
                <w:lang w:val="en-US" w:eastAsia="zh-CN"/>
              </w:rPr>
              <w:t>次</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拟投入本项目教学设施设备不齐全，</w:t>
            </w:r>
            <w:r>
              <w:rPr>
                <w:rFonts w:hint="eastAsia" w:ascii="宋体" w:hAnsi="宋体" w:eastAsia="宋体" w:cs="宋体"/>
                <w:color w:val="auto"/>
                <w:sz w:val="24"/>
                <w:szCs w:val="24"/>
                <w:highlight w:val="none"/>
                <w:lang w:val="en-US" w:eastAsia="zh-CN"/>
              </w:rPr>
              <w:t>基本</w:t>
            </w:r>
            <w:r>
              <w:rPr>
                <w:rFonts w:hint="eastAsia" w:ascii="宋体" w:hAnsi="宋体" w:eastAsia="宋体" w:cs="宋体"/>
                <w:color w:val="auto"/>
                <w:sz w:val="24"/>
                <w:szCs w:val="24"/>
                <w:highlight w:val="none"/>
              </w:rPr>
              <w:t>满足本项目培训要求；</w:t>
            </w:r>
          </w:p>
          <w:p w14:paraId="0A90549D">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en-US"/>
              </w:rPr>
              <w:t>第四档次(</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en-US"/>
              </w:rPr>
              <w:t>分)</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拟投入本项目教学设施设备不齐全，</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满足本项目培训要求；</w:t>
            </w:r>
          </w:p>
          <w:p w14:paraId="62B14576">
            <w:pPr>
              <w:keepNext w:val="0"/>
              <w:keepLines w:val="0"/>
              <w:pageBreakBefore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未提供</w:t>
            </w:r>
            <w:r>
              <w:rPr>
                <w:rFonts w:hint="eastAsia" w:ascii="宋体" w:hAnsi="宋体" w:eastAsia="宋体" w:cs="宋体"/>
                <w:b/>
                <w:bCs/>
                <w:color w:val="auto"/>
                <w:sz w:val="24"/>
                <w:szCs w:val="24"/>
                <w:highlight w:val="none"/>
              </w:rPr>
              <w:t>拟投入设施设备</w:t>
            </w:r>
            <w:r>
              <w:rPr>
                <w:rFonts w:hint="eastAsia" w:ascii="宋体" w:hAnsi="宋体" w:eastAsia="宋体" w:cs="宋体"/>
                <w:b/>
                <w:bCs/>
                <w:color w:val="auto"/>
                <w:sz w:val="24"/>
                <w:szCs w:val="24"/>
                <w:highlight w:val="none"/>
                <w:lang w:val="en-US" w:eastAsia="zh-CN"/>
              </w:rPr>
              <w:t>不</w:t>
            </w:r>
            <w:r>
              <w:rPr>
                <w:rFonts w:hint="eastAsia" w:ascii="宋体" w:hAnsi="宋体" w:eastAsia="宋体" w:cs="宋体"/>
                <w:b/>
                <w:bCs/>
                <w:color w:val="auto"/>
                <w:sz w:val="24"/>
                <w:szCs w:val="24"/>
                <w:highlight w:val="none"/>
              </w:rPr>
              <w:t>得分</w:t>
            </w:r>
            <w:r>
              <w:rPr>
                <w:rFonts w:hint="eastAsia" w:ascii="宋体" w:hAnsi="宋体" w:eastAsia="宋体" w:cs="宋体"/>
                <w:b/>
                <w:bCs/>
                <w:color w:val="auto"/>
                <w:sz w:val="24"/>
                <w:szCs w:val="24"/>
                <w:highlight w:val="none"/>
                <w:lang w:eastAsia="zh-CN"/>
              </w:rPr>
              <w:t>。</w:t>
            </w:r>
          </w:p>
        </w:tc>
      </w:tr>
      <w:tr w14:paraId="55A21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6" w:hRule="atLeast"/>
          <w:jc w:val="center"/>
        </w:trPr>
        <w:tc>
          <w:tcPr>
            <w:tcW w:w="899" w:type="dxa"/>
            <w:vMerge w:val="continue"/>
            <w:noWrap w:val="0"/>
            <w:vAlign w:val="center"/>
          </w:tcPr>
          <w:p w14:paraId="7DAD5B8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p>
        </w:tc>
        <w:tc>
          <w:tcPr>
            <w:tcW w:w="1948" w:type="dxa"/>
            <w:gridSpan w:val="2"/>
            <w:vMerge w:val="continue"/>
            <w:noWrap w:val="0"/>
            <w:vAlign w:val="center"/>
          </w:tcPr>
          <w:p w14:paraId="289C2AE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p>
        </w:tc>
        <w:tc>
          <w:tcPr>
            <w:tcW w:w="2133" w:type="dxa"/>
            <w:gridSpan w:val="2"/>
            <w:noWrap w:val="0"/>
            <w:vAlign w:val="center"/>
          </w:tcPr>
          <w:p w14:paraId="194D3D66">
            <w:pPr>
              <w:keepNext w:val="0"/>
              <w:keepLines w:val="0"/>
              <w:pageBreakBefore w:val="0"/>
              <w:kinsoku/>
              <w:wordWrap/>
              <w:overflowPunct/>
              <w:topLinePunct w:val="0"/>
              <w:autoSpaceDE/>
              <w:autoSpaceDN/>
              <w:bidi w:val="0"/>
              <w:adjustRightInd w:val="0"/>
              <w:snapToGrid w:val="0"/>
              <w:spacing w:before="156" w:beforeLines="50" w:after="156" w:afterLines="50" w:line="360" w:lineRule="auto"/>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机构师资条件 </w:t>
            </w:r>
          </w:p>
          <w:p w14:paraId="70075279">
            <w:pPr>
              <w:keepNext w:val="0"/>
              <w:keepLines w:val="0"/>
              <w:pageBreakBefore w:val="0"/>
              <w:kinsoku/>
              <w:wordWrap/>
              <w:overflowPunct/>
              <w:topLinePunct w:val="0"/>
              <w:autoSpaceDE/>
              <w:autoSpaceDN/>
              <w:bidi w:val="0"/>
              <w:adjustRightInd w:val="0"/>
              <w:snapToGrid w:val="0"/>
              <w:spacing w:before="156" w:beforeLines="50" w:after="156" w:afterLines="50" w:line="360" w:lineRule="auto"/>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(满分10分)</w:t>
            </w:r>
          </w:p>
          <w:p w14:paraId="6C8E723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4"/>
                <w:szCs w:val="24"/>
                <w:highlight w:val="none"/>
              </w:rPr>
            </w:pPr>
          </w:p>
        </w:tc>
        <w:tc>
          <w:tcPr>
            <w:tcW w:w="5519" w:type="dxa"/>
            <w:noWrap w:val="0"/>
            <w:vAlign w:val="center"/>
          </w:tcPr>
          <w:p w14:paraId="75235B7D">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1.项目负责人（满分4分）</w:t>
            </w:r>
          </w:p>
          <w:p w14:paraId="375D70AD">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项目负责人应为本单位职工，具有中级专业技术资格得2分；项目负责人应为本单位职工，具有高级专业技术资格得4分。</w:t>
            </w:r>
          </w:p>
          <w:p w14:paraId="505DA3D7">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2.师资及管理机构（满分4分）</w:t>
            </w:r>
          </w:p>
          <w:p w14:paraId="7C1208C9">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提供4名班主任和5名技能培训教师得2分，每增加1名技能培训教师的得1分，最多加2分；</w:t>
            </w:r>
          </w:p>
          <w:p w14:paraId="49F309A3">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3.</w:t>
            </w:r>
            <w:r>
              <w:rPr>
                <w:rFonts w:hint="eastAsia" w:ascii="宋体" w:hAnsi="宋体" w:eastAsia="宋体" w:cs="宋体"/>
                <w:b/>
                <w:bCs/>
                <w:color w:val="auto"/>
                <w:sz w:val="24"/>
                <w:szCs w:val="24"/>
                <w:highlight w:val="none"/>
                <w:lang w:val="en-US" w:eastAsia="zh-CN"/>
              </w:rPr>
              <w:t>专职后勤服务人员（满分2分）</w:t>
            </w:r>
          </w:p>
          <w:p w14:paraId="22D6EDC7">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提供专职后勤服务人员；每提供一人得1分，最多得2分。</w:t>
            </w:r>
          </w:p>
          <w:p w14:paraId="4EBF6536">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注：后勤服务人员须附身份证、社保缴费证明（2024年</w:t>
            </w:r>
            <w:r>
              <w:rPr>
                <w:rFonts w:hint="eastAsia" w:ascii="宋体" w:hAnsi="宋体" w:cs="宋体"/>
                <w:color w:val="auto"/>
                <w:sz w:val="24"/>
                <w:szCs w:val="24"/>
                <w:highlight w:val="none"/>
                <w:lang w:val="en-US" w:eastAsia="zh-CN"/>
              </w:rPr>
              <w:t>至今</w:t>
            </w:r>
            <w:r>
              <w:rPr>
                <w:rFonts w:hint="eastAsia" w:ascii="宋体" w:hAnsi="宋体" w:eastAsia="宋体" w:cs="宋体"/>
                <w:color w:val="auto"/>
                <w:sz w:val="24"/>
                <w:szCs w:val="24"/>
                <w:highlight w:val="none"/>
                <w:lang w:val="en-US" w:eastAsia="zh-CN"/>
              </w:rPr>
              <w:t>任意一个月）或人社部门系统备案的劳动合同。</w:t>
            </w:r>
          </w:p>
          <w:p w14:paraId="25E49F7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注：（1）项目负责人附身份证、学历证、专业技术资格证、社保缴费证明或人社部门备案的劳动合同或其他证明材料等；（2）技能培训教师须附身份证、与教学岗位相应的专业技术职称证书或职业技能证书、人社部门备案的劳动合同或劳务协议。（3）后勤服务人员、班主任须附身份证、社保缴费证明（2024年</w:t>
            </w:r>
            <w:r>
              <w:rPr>
                <w:rFonts w:hint="eastAsia" w:ascii="宋体" w:hAnsi="宋体" w:cs="宋体"/>
                <w:b/>
                <w:bCs/>
                <w:color w:val="auto"/>
                <w:sz w:val="24"/>
                <w:szCs w:val="24"/>
                <w:highlight w:val="none"/>
                <w:lang w:val="en-US" w:eastAsia="zh-CN"/>
              </w:rPr>
              <w:t>至今</w:t>
            </w:r>
            <w:r>
              <w:rPr>
                <w:rFonts w:hint="eastAsia" w:ascii="宋体" w:hAnsi="宋体" w:eastAsia="宋体" w:cs="宋体"/>
                <w:b/>
                <w:bCs/>
                <w:color w:val="auto"/>
                <w:sz w:val="24"/>
                <w:szCs w:val="24"/>
                <w:highlight w:val="none"/>
                <w:lang w:val="en-US" w:eastAsia="zh-CN"/>
              </w:rPr>
              <w:t>任意一个月）或人社部门系统备案的劳动合同。</w:t>
            </w:r>
          </w:p>
        </w:tc>
      </w:tr>
      <w:tr w14:paraId="49156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4" w:hRule="atLeast"/>
          <w:jc w:val="center"/>
        </w:trPr>
        <w:tc>
          <w:tcPr>
            <w:tcW w:w="899" w:type="dxa"/>
            <w:vMerge w:val="continue"/>
            <w:noWrap w:val="0"/>
            <w:vAlign w:val="center"/>
          </w:tcPr>
          <w:p w14:paraId="2A63DDD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p>
        </w:tc>
        <w:tc>
          <w:tcPr>
            <w:tcW w:w="1948" w:type="dxa"/>
            <w:gridSpan w:val="2"/>
            <w:vMerge w:val="continue"/>
            <w:noWrap w:val="0"/>
            <w:vAlign w:val="center"/>
          </w:tcPr>
          <w:p w14:paraId="0A2D38A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kern w:val="2"/>
                <w:sz w:val="24"/>
                <w:szCs w:val="24"/>
                <w:highlight w:val="none"/>
                <w:lang w:val="en-US" w:eastAsia="zh-CN" w:bidi="ar-SA"/>
              </w:rPr>
            </w:pPr>
          </w:p>
        </w:tc>
        <w:tc>
          <w:tcPr>
            <w:tcW w:w="2133" w:type="dxa"/>
            <w:gridSpan w:val="2"/>
            <w:noWrap w:val="0"/>
            <w:vAlign w:val="center"/>
          </w:tcPr>
          <w:p w14:paraId="727614D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服务质量承诺、保证措施及违约处罚措施</w:t>
            </w:r>
          </w:p>
          <w:p w14:paraId="3B1815F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（满分10分）</w:t>
            </w:r>
          </w:p>
          <w:p w14:paraId="376DE2E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4"/>
                <w:szCs w:val="24"/>
                <w:highlight w:val="none"/>
              </w:rPr>
            </w:pPr>
          </w:p>
        </w:tc>
        <w:tc>
          <w:tcPr>
            <w:tcW w:w="5519" w:type="dxa"/>
            <w:noWrap w:val="0"/>
            <w:vAlign w:val="center"/>
          </w:tcPr>
          <w:p w14:paraId="1AB9722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第一档次（</w:t>
            </w:r>
            <w:r>
              <w:rPr>
                <w:rFonts w:hint="eastAsia" w:ascii="宋体" w:hAnsi="宋体" w:cs="宋体"/>
                <w:color w:val="auto"/>
                <w:sz w:val="24"/>
                <w:szCs w:val="24"/>
                <w:highlight w:val="none"/>
                <w:lang w:val="en-US" w:eastAsia="zh-CN"/>
              </w:rPr>
              <w:t>8-10</w:t>
            </w:r>
            <w:r>
              <w:rPr>
                <w:rFonts w:hint="eastAsia" w:ascii="宋体" w:hAnsi="宋体" w:eastAsia="宋体" w:cs="宋体"/>
                <w:color w:val="auto"/>
                <w:sz w:val="24"/>
                <w:szCs w:val="24"/>
                <w:highlight w:val="none"/>
                <w:lang w:val="en-US" w:eastAsia="zh-CN"/>
              </w:rPr>
              <w:t>分）：针对本项目提出的服务质量承诺、保证措施及违约处罚措施全面、具体，针对性强，可行性强的。</w:t>
            </w:r>
          </w:p>
          <w:p w14:paraId="2E6952E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第二档次（</w:t>
            </w:r>
            <w:r>
              <w:rPr>
                <w:rFonts w:hint="eastAsia" w:ascii="宋体" w:hAnsi="宋体" w:cs="宋体"/>
                <w:color w:val="auto"/>
                <w:sz w:val="24"/>
                <w:szCs w:val="24"/>
                <w:highlight w:val="none"/>
                <w:lang w:val="en-US" w:eastAsia="zh-CN"/>
              </w:rPr>
              <w:t>5-7</w:t>
            </w:r>
            <w:r>
              <w:rPr>
                <w:rFonts w:hint="eastAsia" w:ascii="宋体" w:hAnsi="宋体" w:eastAsia="宋体" w:cs="宋体"/>
                <w:color w:val="auto"/>
                <w:sz w:val="24"/>
                <w:szCs w:val="24"/>
                <w:highlight w:val="none"/>
                <w:lang w:val="en-US" w:eastAsia="zh-CN"/>
              </w:rPr>
              <w:t>分）：针对本项目提出的服务质量承诺、保证措施及违约处罚措施基本完整，具有一定针对性，具有一定可行性的。</w:t>
            </w:r>
          </w:p>
          <w:p w14:paraId="7A169E8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第三档次（</w:t>
            </w:r>
            <w:r>
              <w:rPr>
                <w:rFonts w:hint="eastAsia" w:ascii="宋体" w:hAnsi="宋体" w:cs="宋体"/>
                <w:color w:val="auto"/>
                <w:sz w:val="24"/>
                <w:szCs w:val="24"/>
                <w:highlight w:val="none"/>
                <w:lang w:val="en-US" w:eastAsia="zh-CN"/>
              </w:rPr>
              <w:t>3-4</w:t>
            </w:r>
            <w:r>
              <w:rPr>
                <w:rFonts w:hint="eastAsia" w:ascii="宋体" w:hAnsi="宋体" w:eastAsia="宋体" w:cs="宋体"/>
                <w:color w:val="auto"/>
                <w:sz w:val="24"/>
                <w:szCs w:val="24"/>
                <w:highlight w:val="none"/>
                <w:lang w:val="en-US" w:eastAsia="zh-CN"/>
              </w:rPr>
              <w:t>分）针对本项目提出的服务质量承诺、保证措施及违约处罚措施一般，针对性、可行性合理的。</w:t>
            </w:r>
          </w:p>
          <w:p w14:paraId="5762BA8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第四档次（</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分）：针对本项目提出的服务质量承诺、保证措施及违约处罚措施可行、有缺漏，针对性、可行性一般的。</w:t>
            </w:r>
          </w:p>
          <w:p w14:paraId="754B230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未提供服务质量承诺、保证措施及违约处罚措施不得分。</w:t>
            </w:r>
          </w:p>
        </w:tc>
      </w:tr>
      <w:tr w14:paraId="25101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1" w:hRule="atLeast"/>
          <w:jc w:val="center"/>
        </w:trPr>
        <w:tc>
          <w:tcPr>
            <w:tcW w:w="899" w:type="dxa"/>
            <w:vMerge w:val="continue"/>
            <w:noWrap w:val="0"/>
            <w:vAlign w:val="center"/>
          </w:tcPr>
          <w:p w14:paraId="0952531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rPr>
            </w:pPr>
          </w:p>
        </w:tc>
        <w:tc>
          <w:tcPr>
            <w:tcW w:w="1948" w:type="dxa"/>
            <w:gridSpan w:val="2"/>
            <w:vMerge w:val="continue"/>
            <w:noWrap w:val="0"/>
            <w:vAlign w:val="center"/>
          </w:tcPr>
          <w:p w14:paraId="63CA4B4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kern w:val="2"/>
                <w:sz w:val="24"/>
                <w:szCs w:val="24"/>
                <w:highlight w:val="none"/>
                <w:lang w:val="en-US" w:eastAsia="zh-CN" w:bidi="ar-SA"/>
              </w:rPr>
            </w:pPr>
          </w:p>
        </w:tc>
        <w:tc>
          <w:tcPr>
            <w:tcW w:w="2133" w:type="dxa"/>
            <w:gridSpan w:val="2"/>
            <w:noWrap w:val="0"/>
            <w:vAlign w:val="center"/>
          </w:tcPr>
          <w:p w14:paraId="0372DBD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培训教育经验</w:t>
            </w:r>
          </w:p>
          <w:p w14:paraId="62DC700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2"/>
                <w:sz w:val="24"/>
                <w:szCs w:val="24"/>
                <w:highlight w:val="none"/>
                <w:lang w:val="en-US" w:eastAsia="zh-CN" w:bidi="ar-SA"/>
              </w:rPr>
              <w:t>（满分5分）</w:t>
            </w:r>
          </w:p>
        </w:tc>
        <w:tc>
          <w:tcPr>
            <w:tcW w:w="5519" w:type="dxa"/>
            <w:noWrap w:val="0"/>
            <w:vAlign w:val="center"/>
          </w:tcPr>
          <w:p w14:paraId="2377F10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bookmarkStart w:id="474" w:name="_GoBack"/>
            <w:r>
              <w:rPr>
                <w:rFonts w:hint="eastAsia" w:ascii="宋体" w:hAnsi="宋体" w:eastAsia="宋体" w:cs="宋体"/>
                <w:color w:val="auto"/>
                <w:sz w:val="24"/>
                <w:szCs w:val="24"/>
                <w:highlight w:val="none"/>
                <w:lang w:val="en-US" w:eastAsia="zh-CN"/>
              </w:rPr>
              <w:t>供应商202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年1月至今已完成职业技能类、农业系统类、创业培训类等培训业绩证明材料进行评审，每提供一个有效类似项目业绩得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分，满分5分。</w:t>
            </w:r>
          </w:p>
          <w:p w14:paraId="013D601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证明材料：提供项目合同或项目验收证明材料，若未验收的项目请提供项目合同或中标通知书证明材料。否则视为未提供。    </w:t>
            </w:r>
            <w:bookmarkEnd w:id="474"/>
            <w:r>
              <w:rPr>
                <w:rFonts w:hint="eastAsia" w:ascii="宋体" w:hAnsi="宋体" w:eastAsia="宋体" w:cs="宋体"/>
                <w:b/>
                <w:bCs/>
                <w:color w:val="auto"/>
                <w:sz w:val="24"/>
                <w:szCs w:val="24"/>
                <w:highlight w:val="none"/>
                <w:lang w:val="en-US" w:eastAsia="zh-CN"/>
              </w:rPr>
              <w:t xml:space="preserve">     </w:t>
            </w:r>
          </w:p>
        </w:tc>
      </w:tr>
    </w:tbl>
    <w:p w14:paraId="4E942021">
      <w:pPr>
        <w:rPr>
          <w:rFonts w:hint="eastAsia" w:ascii="宋体" w:hAnsi="宋体" w:eastAsia="宋体" w:cs="宋体"/>
          <w:color w:val="auto"/>
          <w:highlight w:val="none"/>
        </w:rPr>
      </w:pPr>
    </w:p>
    <w:p w14:paraId="42E218C5">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E2B72E9">
      <w:pPr>
        <w:pStyle w:val="4"/>
        <w:keepNext w:val="0"/>
        <w:keepLines w:val="0"/>
        <w:pageBreakBefore w:val="0"/>
        <w:widowControl w:val="0"/>
        <w:numPr>
          <w:ilvl w:val="2"/>
          <w:numId w:val="0"/>
        </w:numPr>
        <w:tabs>
          <w:tab w:val="clear" w:pos="900"/>
          <w:tab w:val="clear" w:pos="1588"/>
        </w:tabs>
        <w:kinsoku/>
        <w:wordWrap/>
        <w:overflowPunct/>
        <w:topLinePunct w:val="0"/>
        <w:autoSpaceDE/>
        <w:autoSpaceDN/>
        <w:bidi w:val="0"/>
        <w:adjustRightInd w:val="0"/>
        <w:snapToGrid w:val="0"/>
        <w:spacing w:before="0"/>
        <w:ind w:left="0" w:leftChars="0" w:firstLine="0" w:firstLineChars="0"/>
        <w:jc w:val="center"/>
        <w:textAlignment w:val="baseline"/>
        <w:rPr>
          <w:rFonts w:hint="eastAsia" w:ascii="宋体" w:hAnsi="宋体" w:eastAsia="宋体" w:cs="宋体"/>
          <w:color w:val="auto"/>
          <w:highlight w:val="none"/>
        </w:rPr>
      </w:pPr>
      <w:bookmarkStart w:id="421" w:name="_Toc15555"/>
      <w:r>
        <w:rPr>
          <w:rFonts w:hint="eastAsia" w:ascii="宋体" w:hAnsi="宋体" w:eastAsia="宋体" w:cs="宋体"/>
          <w:color w:val="auto"/>
          <w:highlight w:val="none"/>
        </w:rPr>
        <w:t>一、磋商</w:t>
      </w:r>
      <w:bookmarkEnd w:id="419"/>
      <w:r>
        <w:rPr>
          <w:rFonts w:hint="eastAsia" w:ascii="宋体" w:hAnsi="宋体" w:eastAsia="宋体" w:cs="宋体"/>
          <w:color w:val="auto"/>
          <w:highlight w:val="none"/>
          <w:lang w:eastAsia="zh-CN"/>
        </w:rPr>
        <w:t>办法</w:t>
      </w:r>
      <w:bookmarkEnd w:id="420"/>
      <w:bookmarkEnd w:id="421"/>
    </w:p>
    <w:p w14:paraId="59647476">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本次采购所采用的磋商办法为“综合评分法”，即：在满足竞争性磋商文件实质性要求前提下，按照磋商文件中规定的各项因素进行综合评审后，按总得分由高到低的顺序推荐成交候选人的评标办法。</w:t>
      </w:r>
    </w:p>
    <w:p w14:paraId="075A68FD">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磋商小组将根据评审办法计算出各供应商的综合得分，按得分由高到低的顺序推荐成交候选人；得分相同的，以最终报价低的优先；最终报价也相同的，以技术部分得分高的优先；技术部分得分也相同的，磋商小组投票决定，以得票数高的优先。</w:t>
      </w:r>
    </w:p>
    <w:p w14:paraId="065B0C2B">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磋商时，除价格得分外，磋商小组各成员将独立对每个有效供应商的响应文件进行评价、打分，然后将每个供应商各项评分因素的得分汇总后计算磋商小组各成员独立评分的算术平均值（保留2位小数），得出每个供应商的最终得分。</w:t>
      </w:r>
    </w:p>
    <w:p w14:paraId="551BF177">
      <w:pPr>
        <w:pStyle w:val="4"/>
        <w:keepNext w:val="0"/>
        <w:keepLines w:val="0"/>
        <w:pageBreakBefore w:val="0"/>
        <w:widowControl w:val="0"/>
        <w:numPr>
          <w:ilvl w:val="2"/>
          <w:numId w:val="0"/>
        </w:numPr>
        <w:tabs>
          <w:tab w:val="clear" w:pos="900"/>
          <w:tab w:val="clear" w:pos="1588"/>
        </w:tabs>
        <w:kinsoku/>
        <w:wordWrap/>
        <w:overflowPunct/>
        <w:topLinePunct w:val="0"/>
        <w:autoSpaceDE/>
        <w:autoSpaceDN/>
        <w:bidi w:val="0"/>
        <w:adjustRightInd w:val="0"/>
        <w:snapToGrid w:val="0"/>
        <w:spacing w:before="0"/>
        <w:ind w:left="0" w:leftChars="0" w:firstLine="0" w:firstLineChars="0"/>
        <w:jc w:val="center"/>
        <w:textAlignment w:val="baseline"/>
        <w:rPr>
          <w:rFonts w:hint="eastAsia" w:ascii="宋体" w:hAnsi="宋体" w:eastAsia="宋体" w:cs="宋体"/>
          <w:color w:val="auto"/>
          <w:highlight w:val="none"/>
        </w:rPr>
      </w:pPr>
      <w:bookmarkStart w:id="422" w:name="_Toc4652"/>
      <w:bookmarkStart w:id="423" w:name="_Toc71642566"/>
      <w:bookmarkStart w:id="424" w:name="_Toc41557880"/>
      <w:bookmarkStart w:id="425" w:name="_Toc41755416"/>
      <w:bookmarkStart w:id="426" w:name="_Toc46301090"/>
      <w:bookmarkStart w:id="427" w:name="_Toc46169667"/>
      <w:bookmarkStart w:id="428" w:name="_Toc41558022"/>
      <w:bookmarkStart w:id="429" w:name="_Toc18449"/>
      <w:r>
        <w:rPr>
          <w:rFonts w:hint="eastAsia" w:ascii="宋体" w:hAnsi="宋体" w:eastAsia="宋体" w:cs="宋体"/>
          <w:color w:val="auto"/>
          <w:highlight w:val="none"/>
        </w:rPr>
        <w:t>二、磋商标准</w:t>
      </w:r>
      <w:bookmarkEnd w:id="422"/>
      <w:bookmarkEnd w:id="423"/>
      <w:bookmarkEnd w:id="424"/>
      <w:bookmarkEnd w:id="425"/>
      <w:bookmarkEnd w:id="426"/>
      <w:bookmarkEnd w:id="427"/>
      <w:bookmarkEnd w:id="428"/>
      <w:bookmarkEnd w:id="429"/>
    </w:p>
    <w:p w14:paraId="352C97C3">
      <w:pPr>
        <w:keepNext w:val="0"/>
        <w:keepLines w:val="0"/>
        <w:pageBreakBefore w:val="0"/>
        <w:kinsoku/>
        <w:wordWrap/>
        <w:overflowPunct/>
        <w:topLinePunct w:val="0"/>
        <w:autoSpaceDE/>
        <w:autoSpaceDN/>
        <w:bidi w:val="0"/>
        <w:adjustRightInd w:val="0"/>
        <w:snapToGrid w:val="0"/>
        <w:spacing w:line="450" w:lineRule="exact"/>
        <w:textAlignment w:val="auto"/>
        <w:outlineLvl w:val="3"/>
        <w:rPr>
          <w:rFonts w:hint="eastAsia" w:ascii="宋体" w:hAnsi="宋体" w:eastAsia="宋体" w:cs="宋体"/>
          <w:b/>
          <w:color w:val="auto"/>
          <w:sz w:val="24"/>
          <w:highlight w:val="none"/>
        </w:rPr>
      </w:pPr>
      <w:bookmarkStart w:id="430" w:name="_Toc382315987"/>
      <w:bookmarkStart w:id="431" w:name="_Toc508012990"/>
      <w:bookmarkStart w:id="432" w:name="_Toc46169668"/>
      <w:r>
        <w:rPr>
          <w:rFonts w:hint="eastAsia" w:ascii="宋体" w:hAnsi="宋体" w:eastAsia="宋体" w:cs="宋体"/>
          <w:b/>
          <w:color w:val="auto"/>
          <w:sz w:val="24"/>
          <w:highlight w:val="none"/>
        </w:rPr>
        <w:t>2.1 初步评审标准</w:t>
      </w:r>
      <w:bookmarkEnd w:id="430"/>
      <w:bookmarkEnd w:id="431"/>
      <w:bookmarkEnd w:id="432"/>
    </w:p>
    <w:p w14:paraId="61928F88">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2.1.1 资格评审标准：依据法律法规和竞争性磋商文件的规定，对响应文件中的资格证明进行审查，以确定供应商是否具备磋商资格；见磋商办法前附表。通过资格评审的供应商才能进入符合性评审。</w:t>
      </w:r>
    </w:p>
    <w:p w14:paraId="6FE72745">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2.1.2 符合性评审标准：依据竞争性磋商文件的规定，从响应文件的磋商保证金、有效性、完整性和对竞争性磋商文件的响应程度进行审查，以确定是否对竞争性磋商文件的实质性要求作出响应；见磋商办法前附表。通过符合性评审的供应商才能进入第二轮磋商报价及详细评审。</w:t>
      </w:r>
    </w:p>
    <w:p w14:paraId="1D68C915">
      <w:pPr>
        <w:keepNext w:val="0"/>
        <w:keepLines w:val="0"/>
        <w:pageBreakBefore w:val="0"/>
        <w:kinsoku/>
        <w:wordWrap/>
        <w:overflowPunct/>
        <w:topLinePunct w:val="0"/>
        <w:autoSpaceDE/>
        <w:autoSpaceDN/>
        <w:bidi w:val="0"/>
        <w:adjustRightInd w:val="0"/>
        <w:snapToGrid w:val="0"/>
        <w:spacing w:line="450" w:lineRule="exact"/>
        <w:textAlignment w:val="auto"/>
        <w:outlineLvl w:val="3"/>
        <w:rPr>
          <w:rFonts w:hint="eastAsia" w:ascii="宋体" w:hAnsi="宋体" w:eastAsia="宋体" w:cs="宋体"/>
          <w:b/>
          <w:color w:val="auto"/>
          <w:sz w:val="24"/>
          <w:highlight w:val="none"/>
        </w:rPr>
      </w:pPr>
      <w:bookmarkStart w:id="433" w:name="_Toc508012991"/>
      <w:bookmarkStart w:id="434" w:name="_Toc46169669"/>
      <w:r>
        <w:rPr>
          <w:rFonts w:hint="eastAsia" w:ascii="宋体" w:hAnsi="宋体" w:eastAsia="宋体" w:cs="宋体"/>
          <w:b/>
          <w:color w:val="auto"/>
          <w:sz w:val="24"/>
          <w:highlight w:val="none"/>
        </w:rPr>
        <w:t>2.2 磋商标准</w:t>
      </w:r>
      <w:bookmarkEnd w:id="433"/>
      <w:bookmarkEnd w:id="434"/>
    </w:p>
    <w:p w14:paraId="17A8B157">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2.2.1供应商只有通过实质性评审才能进入第二轮磋商报价及详细评审。</w:t>
      </w:r>
    </w:p>
    <w:p w14:paraId="2D18F948">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2.2.2第二轮磋商报价为供应商的最终报价。若供应商最终报价超过预算金额或最高限价，其磋商报价及响应文件将被拒绝。</w:t>
      </w:r>
    </w:p>
    <w:p w14:paraId="732B38C2">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2.2.3磋商小组对各供应商的响应文件进行详细评审。磋商小组按照得分的高低推荐成交候选人，并标明排列顺序。</w:t>
      </w:r>
    </w:p>
    <w:p w14:paraId="4C35CE5A">
      <w:pPr>
        <w:pStyle w:val="4"/>
        <w:keepNext w:val="0"/>
        <w:keepLines w:val="0"/>
        <w:pageBreakBefore w:val="0"/>
        <w:widowControl w:val="0"/>
        <w:numPr>
          <w:ilvl w:val="2"/>
          <w:numId w:val="0"/>
        </w:numPr>
        <w:tabs>
          <w:tab w:val="clear" w:pos="900"/>
          <w:tab w:val="clear" w:pos="1588"/>
        </w:tabs>
        <w:kinsoku/>
        <w:wordWrap/>
        <w:overflowPunct/>
        <w:topLinePunct w:val="0"/>
        <w:autoSpaceDE/>
        <w:autoSpaceDN/>
        <w:bidi w:val="0"/>
        <w:adjustRightInd w:val="0"/>
        <w:snapToGrid w:val="0"/>
        <w:spacing w:before="0"/>
        <w:ind w:left="0" w:leftChars="0" w:firstLine="0" w:firstLineChars="0"/>
        <w:jc w:val="center"/>
        <w:textAlignment w:val="baseline"/>
        <w:rPr>
          <w:rFonts w:hint="eastAsia" w:ascii="宋体" w:hAnsi="宋体" w:eastAsia="宋体" w:cs="宋体"/>
          <w:color w:val="auto"/>
          <w:highlight w:val="none"/>
        </w:rPr>
      </w:pPr>
      <w:bookmarkStart w:id="435" w:name="_Toc71642567"/>
      <w:bookmarkStart w:id="436" w:name="_Toc14902"/>
      <w:bookmarkStart w:id="437" w:name="_Toc41557881"/>
      <w:bookmarkStart w:id="438" w:name="_Toc86124098"/>
      <w:bookmarkStart w:id="439" w:name="_Toc378499754"/>
      <w:bookmarkStart w:id="440" w:name="_Toc46169670"/>
      <w:bookmarkStart w:id="441" w:name="_Toc191374451"/>
      <w:bookmarkStart w:id="442" w:name="_Toc46301091"/>
      <w:bookmarkStart w:id="443" w:name="_Toc5430"/>
      <w:bookmarkStart w:id="444" w:name="_Toc383175535"/>
      <w:bookmarkStart w:id="445" w:name="_Toc347849273"/>
      <w:bookmarkStart w:id="446" w:name="_Toc41558023"/>
      <w:bookmarkStart w:id="447" w:name="_Toc41755417"/>
      <w:r>
        <w:rPr>
          <w:rFonts w:hint="eastAsia" w:ascii="宋体" w:hAnsi="宋体" w:eastAsia="宋体" w:cs="宋体"/>
          <w:color w:val="auto"/>
          <w:highlight w:val="none"/>
        </w:rPr>
        <w:t>三</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磋商程序</w:t>
      </w:r>
      <w:bookmarkEnd w:id="435"/>
      <w:bookmarkEnd w:id="436"/>
      <w:bookmarkEnd w:id="437"/>
      <w:bookmarkEnd w:id="438"/>
      <w:bookmarkEnd w:id="439"/>
      <w:bookmarkEnd w:id="440"/>
      <w:bookmarkEnd w:id="441"/>
      <w:bookmarkEnd w:id="442"/>
      <w:bookmarkEnd w:id="443"/>
      <w:bookmarkEnd w:id="444"/>
      <w:bookmarkEnd w:id="445"/>
      <w:bookmarkEnd w:id="446"/>
      <w:bookmarkEnd w:id="447"/>
    </w:p>
    <w:p w14:paraId="3196AB15">
      <w:pPr>
        <w:keepNext w:val="0"/>
        <w:keepLines w:val="0"/>
        <w:pageBreakBefore w:val="0"/>
        <w:kinsoku/>
        <w:wordWrap/>
        <w:overflowPunct/>
        <w:topLinePunct w:val="0"/>
        <w:autoSpaceDE/>
        <w:autoSpaceDN/>
        <w:bidi w:val="0"/>
        <w:adjustRightInd w:val="0"/>
        <w:snapToGrid w:val="0"/>
        <w:spacing w:line="450" w:lineRule="exact"/>
        <w:textAlignment w:val="auto"/>
        <w:outlineLvl w:val="3"/>
        <w:rPr>
          <w:rFonts w:hint="eastAsia" w:ascii="宋体" w:hAnsi="宋体" w:eastAsia="宋体" w:cs="宋体"/>
          <w:b/>
          <w:color w:val="auto"/>
          <w:sz w:val="24"/>
          <w:highlight w:val="none"/>
        </w:rPr>
      </w:pPr>
      <w:bookmarkStart w:id="448" w:name="_Toc191374452"/>
      <w:bookmarkStart w:id="449" w:name="_Toc329810240"/>
      <w:bookmarkStart w:id="450" w:name="_Toc347849274"/>
      <w:bookmarkStart w:id="451" w:name="_Toc86124099"/>
      <w:bookmarkStart w:id="452" w:name="_Toc378499755"/>
      <w:bookmarkStart w:id="453" w:name="_Toc48271432"/>
      <w:bookmarkStart w:id="454" w:name="_Toc508012993"/>
      <w:bookmarkStart w:id="455" w:name="_Toc383175536"/>
      <w:bookmarkStart w:id="456" w:name="_Toc46169671"/>
      <w:r>
        <w:rPr>
          <w:rFonts w:hint="eastAsia" w:ascii="宋体" w:hAnsi="宋体" w:eastAsia="宋体" w:cs="宋体"/>
          <w:b/>
          <w:color w:val="auto"/>
          <w:sz w:val="24"/>
          <w:highlight w:val="none"/>
        </w:rPr>
        <w:t xml:space="preserve">3.1 </w:t>
      </w:r>
      <w:bookmarkEnd w:id="448"/>
      <w:bookmarkEnd w:id="449"/>
      <w:bookmarkEnd w:id="450"/>
      <w:bookmarkEnd w:id="451"/>
      <w:bookmarkEnd w:id="452"/>
      <w:bookmarkEnd w:id="453"/>
      <w:r>
        <w:rPr>
          <w:rFonts w:hint="eastAsia" w:ascii="宋体" w:hAnsi="宋体" w:eastAsia="宋体" w:cs="宋体"/>
          <w:b/>
          <w:color w:val="auto"/>
          <w:sz w:val="24"/>
          <w:highlight w:val="none"/>
        </w:rPr>
        <w:t>实质性要求审查</w:t>
      </w:r>
      <w:bookmarkEnd w:id="454"/>
      <w:bookmarkEnd w:id="455"/>
      <w:bookmarkEnd w:id="456"/>
    </w:p>
    <w:p w14:paraId="28FB3644">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3.1.1磋商小组依据本章第2.1.1项规定的标准对响应文件进行资格评审。有一项不符合审查标准的，不通过资格评审，不再参与符合性审查。</w:t>
      </w:r>
    </w:p>
    <w:p w14:paraId="308934C6">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磋商小组依据本章第2.1.2项规定的标准对响应文件进行符合性评审。有一项不符合审查标准的，不通过符合性评审，不再参与磋商评审。</w:t>
      </w:r>
    </w:p>
    <w:p w14:paraId="67BC3CED">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3.1.2项目需求的审查以响应文件中所提供的服务指标规范响应表进行审查；响应文件中未提供相应资料的，按不实质性响应磋商文件处理。</w:t>
      </w:r>
    </w:p>
    <w:p w14:paraId="5B10FF21">
      <w:pPr>
        <w:keepNext w:val="0"/>
        <w:keepLines w:val="0"/>
        <w:pageBreakBefore w:val="0"/>
        <w:kinsoku/>
        <w:wordWrap/>
        <w:overflowPunct/>
        <w:topLinePunct w:val="0"/>
        <w:autoSpaceDE/>
        <w:autoSpaceDN/>
        <w:bidi w:val="0"/>
        <w:adjustRightInd w:val="0"/>
        <w:snapToGrid w:val="0"/>
        <w:spacing w:line="450" w:lineRule="exact"/>
        <w:textAlignment w:val="auto"/>
        <w:outlineLvl w:val="3"/>
        <w:rPr>
          <w:rFonts w:hint="eastAsia" w:ascii="宋体" w:hAnsi="宋体" w:eastAsia="宋体" w:cs="宋体"/>
          <w:b/>
          <w:color w:val="auto"/>
          <w:sz w:val="24"/>
          <w:highlight w:val="none"/>
        </w:rPr>
      </w:pPr>
      <w:bookmarkStart w:id="457" w:name="_Toc86124100"/>
      <w:bookmarkStart w:id="458" w:name="_Toc191374453"/>
      <w:bookmarkStart w:id="459" w:name="_Toc48271433"/>
      <w:bookmarkStart w:id="460" w:name="_Toc383175537"/>
      <w:bookmarkStart w:id="461" w:name="_Toc378499756"/>
      <w:bookmarkStart w:id="462" w:name="_Toc347849275"/>
      <w:bookmarkStart w:id="463" w:name="_Toc329810241"/>
      <w:bookmarkStart w:id="464" w:name="_Toc46169672"/>
      <w:bookmarkStart w:id="465" w:name="_Toc508012994"/>
      <w:r>
        <w:rPr>
          <w:rFonts w:hint="eastAsia" w:ascii="宋体" w:hAnsi="宋体" w:eastAsia="宋体" w:cs="宋体"/>
          <w:b/>
          <w:color w:val="auto"/>
          <w:sz w:val="24"/>
          <w:highlight w:val="none"/>
        </w:rPr>
        <w:t xml:space="preserve">3.2 </w:t>
      </w:r>
      <w:bookmarkEnd w:id="457"/>
      <w:bookmarkEnd w:id="458"/>
      <w:bookmarkStart w:id="466" w:name="_Toc191374454"/>
      <w:bookmarkStart w:id="467" w:name="_Toc86124101"/>
      <w:r>
        <w:rPr>
          <w:rFonts w:hint="eastAsia" w:ascii="宋体" w:hAnsi="宋体" w:eastAsia="宋体" w:cs="宋体"/>
          <w:b/>
          <w:color w:val="auto"/>
          <w:sz w:val="24"/>
          <w:highlight w:val="none"/>
        </w:rPr>
        <w:t>磋商</w:t>
      </w:r>
      <w:bookmarkEnd w:id="459"/>
      <w:r>
        <w:rPr>
          <w:rFonts w:hint="eastAsia" w:ascii="宋体" w:hAnsi="宋体" w:eastAsia="宋体" w:cs="宋体"/>
          <w:b/>
          <w:color w:val="auto"/>
          <w:sz w:val="24"/>
          <w:highlight w:val="none"/>
        </w:rPr>
        <w:t>、比较与评价</w:t>
      </w:r>
      <w:bookmarkEnd w:id="460"/>
      <w:bookmarkEnd w:id="461"/>
      <w:bookmarkEnd w:id="462"/>
      <w:bookmarkEnd w:id="463"/>
      <w:bookmarkEnd w:id="464"/>
      <w:bookmarkEnd w:id="465"/>
    </w:p>
    <w:p w14:paraId="63FA2356">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3.2.1磋商小组所有成员集中与通过初步评审的单一供应商按照平台顺序分别进行磋商。磋商的任何一方不得透露与磋商有关的其他供应商的技术资料、价格、折扣和其他信息。</w:t>
      </w:r>
    </w:p>
    <w:p w14:paraId="1B3A24F0">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3.2.2磋商文件有实质性变动的，磋商小组将经采购人代表确认后，以书面形式通知所有参加磋商的供应商。但不得对涉及竞争的公平、公正性内容进行修改、变动。</w:t>
      </w:r>
    </w:p>
    <w:p w14:paraId="0E86AC2A">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3.2.3为有助于对响应文件的详细审查、评价和比较，磋商小组可要求对供应商分别进行技术询问、澄清，有关要求和答复均现场进行。</w:t>
      </w:r>
    </w:p>
    <w:p w14:paraId="769C98A5">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3F3ADF1">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3.2.5磋商小组对供应商提交的澄清、说明有疑问的，可以要求供应商进一步澄清、说明。磋商小组要求供应商澄清、说明或者更正响应文件应当以书面形式作出。供应商的澄清、说明或者更正应当由法定代表人或其授权代表签字或者加盖公章。</w:t>
      </w:r>
    </w:p>
    <w:p w14:paraId="170A60B2">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3.2.6磋商结束后，磋商小组将要求所有继续参加磋商的供应商在规定时间内提交最后报价，提交最后报价的供应商不得少于2家。</w:t>
      </w:r>
    </w:p>
    <w:p w14:paraId="7330B79D">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3.2.7磋商小组成员要依法独立审查，并对审查意见承担个人责任。磋商小组成员对需要共同认定的事项存在争议的，按照少数服从多数的原则做出结论。</w:t>
      </w:r>
    </w:p>
    <w:p w14:paraId="29551A7B">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3.2.8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BA7E2F3">
      <w:pPr>
        <w:keepNext w:val="0"/>
        <w:keepLines w:val="0"/>
        <w:pageBreakBefore w:val="0"/>
        <w:kinsoku/>
        <w:wordWrap/>
        <w:overflowPunct/>
        <w:topLinePunct w:val="0"/>
        <w:autoSpaceDE/>
        <w:autoSpaceDN/>
        <w:bidi w:val="0"/>
        <w:adjustRightInd w:val="0"/>
        <w:snapToGrid w:val="0"/>
        <w:spacing w:line="450" w:lineRule="exact"/>
        <w:textAlignment w:val="auto"/>
        <w:outlineLvl w:val="3"/>
        <w:rPr>
          <w:rFonts w:hint="eastAsia" w:ascii="宋体" w:hAnsi="宋体" w:eastAsia="宋体" w:cs="宋体"/>
          <w:b/>
          <w:color w:val="auto"/>
          <w:sz w:val="24"/>
          <w:highlight w:val="none"/>
        </w:rPr>
      </w:pPr>
      <w:bookmarkStart w:id="468" w:name="_Toc378499757"/>
      <w:bookmarkStart w:id="469" w:name="_Toc383175538"/>
      <w:bookmarkStart w:id="470" w:name="_Toc508012995"/>
      <w:bookmarkStart w:id="471" w:name="_Toc46169673"/>
      <w:bookmarkStart w:id="472" w:name="_Toc347849276"/>
      <w:bookmarkStart w:id="473" w:name="_Toc329810242"/>
      <w:r>
        <w:rPr>
          <w:rFonts w:hint="eastAsia" w:ascii="宋体" w:hAnsi="宋体" w:eastAsia="宋体" w:cs="宋体"/>
          <w:b/>
          <w:color w:val="auto"/>
          <w:sz w:val="24"/>
          <w:highlight w:val="none"/>
        </w:rPr>
        <w:t>3.3 磋商结果</w:t>
      </w:r>
      <w:bookmarkEnd w:id="468"/>
      <w:bookmarkEnd w:id="469"/>
      <w:bookmarkEnd w:id="470"/>
      <w:bookmarkEnd w:id="471"/>
      <w:bookmarkEnd w:id="472"/>
      <w:bookmarkEnd w:id="473"/>
    </w:p>
    <w:bookmarkEnd w:id="466"/>
    <w:bookmarkEnd w:id="467"/>
    <w:p w14:paraId="469CAC9A">
      <w:pPr>
        <w:keepNext w:val="0"/>
        <w:keepLines w:val="0"/>
        <w:pageBreakBefore w:val="0"/>
        <w:widowControl/>
        <w:kinsoku/>
        <w:wordWrap/>
        <w:overflowPunct/>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磋商小组对各供应商的响应文件进行详细评审。磋商小组按照得分的高低推荐成交候选人，取前3名成交候选人，并标明排列顺序。</w:t>
      </w:r>
    </w:p>
    <w:p w14:paraId="0D3B761A">
      <w:pPr>
        <w:spacing w:line="360" w:lineRule="auto"/>
        <w:ind w:firstLine="480" w:firstLineChars="200"/>
        <w:jc w:val="left"/>
        <w:rPr>
          <w:rFonts w:hint="eastAsia" w:ascii="宋体" w:hAnsi="宋体" w:eastAsia="宋体" w:cs="宋体"/>
          <w:color w:val="auto"/>
          <w:sz w:val="24"/>
          <w:szCs w:val="24"/>
          <w:highlight w:val="none"/>
        </w:rPr>
      </w:pPr>
    </w:p>
    <w:sectPr>
      <w:footerReference r:id="rId10" w:type="default"/>
      <w:pgSz w:w="11906" w:h="16838"/>
      <w:pgMar w:top="1134" w:right="1134" w:bottom="1134" w:left="1134" w:header="850" w:footer="850" w:gutter="0"/>
      <w:pgNumType w:fmt="decimal"/>
      <w:cols w:space="720" w:num="1"/>
      <w:rtlGutter w:val="0"/>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金山简黑体">
    <w:altName w:val="宋体"/>
    <w:panose1 w:val="00000000000000000000"/>
    <w:charset w:val="00"/>
    <w:family w:val="auto"/>
    <w:pitch w:val="default"/>
    <w:sig w:usb0="00000000" w:usb1="00000000" w:usb2="00000000"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全真簡粗明">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华文中宋">
    <w:altName w:val="宋体"/>
    <w:panose1 w:val="02010600040101010101"/>
    <w:charset w:val="86"/>
    <w:family w:val="auto"/>
    <w:pitch w:val="default"/>
    <w:sig w:usb0="00000000" w:usb1="00000000" w:usb2="00000000" w:usb3="00000000" w:csb0="0004009F" w:csb1="DFD7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Calibri Light">
    <w:panose1 w:val="020F03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E68EE">
    <w:pPr>
      <w:pStyle w:val="21"/>
      <w:ind w:firstLine="105"/>
      <w:jc w:val="right"/>
      <w:rPr>
        <w:rFonts w:hint="eastAsia"/>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7D2B19">
                          <w:pPr>
                            <w:pStyle w:val="21"/>
                          </w:pPr>
                          <w:r>
                            <w:fldChar w:fldCharType="begin"/>
                          </w:r>
                          <w:r>
                            <w:instrText xml:space="preserve"> PAGE  \* MERGEFORMAT </w:instrText>
                          </w:r>
                          <w:r>
                            <w:fldChar w:fldCharType="separate"/>
                          </w:r>
                          <w:r>
                            <w:t>II</w:t>
                          </w:r>
                          <w:r>
                            <w:fldChar w:fldCharType="end"/>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jqTvp+IBAADMAwAADgAA&#10;AAAAAAABACAAAAAeAQAAZHJzL2Uyb0RvYy54bWxQSwUGAAAAAAYABgBZAQAAcgUAAAAA&#10;">
              <v:fill on="f" focussize="0,0"/>
              <v:stroke on="f"/>
              <v:imagedata o:title=""/>
              <o:lock v:ext="edit" aspectratio="f"/>
              <v:textbox inset="0mm,0mm,0mm,0mm" style="mso-fit-shape-to-text:t;">
                <w:txbxContent>
                  <w:p w14:paraId="3E7D2B19">
                    <w:pPr>
                      <w:pStyle w:val="21"/>
                    </w:pPr>
                    <w:r>
                      <w:fldChar w:fldCharType="begin"/>
                    </w:r>
                    <w:r>
                      <w:instrText xml:space="preserve"> PAGE  \* MERGEFORMAT </w:instrText>
                    </w:r>
                    <w:r>
                      <w:fldChar w:fldCharType="separate"/>
                    </w:r>
                    <w:r>
                      <w:t>II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47D5C">
    <w:pPr>
      <w:pStyle w:val="21"/>
      <w:framePr w:wrap="around" w:vAnchor="text" w:hAnchor="margin" w:xAlign="center" w:y="1"/>
      <w:rPr>
        <w:rStyle w:val="39"/>
      </w:rPr>
    </w:pPr>
    <w:r>
      <w:fldChar w:fldCharType="begin"/>
    </w:r>
    <w:r>
      <w:rPr>
        <w:rStyle w:val="39"/>
      </w:rPr>
      <w:instrText xml:space="preserve">PAGE  </w:instrText>
    </w:r>
    <w:r>
      <w:fldChar w:fldCharType="separate"/>
    </w:r>
    <w:r>
      <w:rPr>
        <w:rStyle w:val="39"/>
      </w:rPr>
      <w:t>70</w:t>
    </w:r>
    <w:r>
      <w:fldChar w:fldCharType="end"/>
    </w:r>
  </w:p>
  <w:p w14:paraId="4515C3AC">
    <w:pPr>
      <w:pStyle w:val="21"/>
      <w:ind w:right="360"/>
      <w:rPr>
        <w:sz w:val="21"/>
      </w:rP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4" name="文本框 1026"/>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w="9525">
                        <a:noFill/>
                      </a:ln>
                      <a:effectLst/>
                    </wps:spPr>
                    <wps:txbx>
                      <w:txbxContent>
                        <w:p w14:paraId="743BCE33">
                          <w:pPr>
                            <w:pStyle w:val="21"/>
                            <w:rPr>
                              <w:rStyle w:val="39"/>
                            </w:rPr>
                          </w:pPr>
                          <w:r>
                            <w:fldChar w:fldCharType="begin"/>
                          </w:r>
                          <w:r>
                            <w:rPr>
                              <w:rStyle w:val="39"/>
                            </w:rPr>
                            <w:instrText xml:space="preserve">PAGE  </w:instrText>
                          </w:r>
                          <w:r>
                            <w:fldChar w:fldCharType="separate"/>
                          </w:r>
                          <w:r>
                            <w:rPr>
                              <w:rStyle w:val="39"/>
                            </w:rPr>
                            <w:t>70</w:t>
                          </w:r>
                          <w:r>
                            <w:fldChar w:fldCharType="end"/>
                          </w:r>
                        </w:p>
                      </w:txbxContent>
                    </wps:txbx>
                    <wps:bodyPr vert="horz" wrap="none" lIns="0" tIns="0" rIns="0" bIns="0" anchor="t" anchorCtr="0" upright="1">
                      <a:spAutoFit/>
                    </wps:bodyPr>
                  </wps:wsp>
                </a:graphicData>
              </a:graphic>
            </wp:anchor>
          </w:drawing>
        </mc:Choice>
        <mc:Fallback>
          <w:pict>
            <v:shape id="文本框 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m&#10;0JBs0AAAAAIBAAAPAAAAAAAAAAEAIAAAACIAAABkcnMvZG93bnJldi54bWxQSwECFAAUAAAACACH&#10;TuJAykqB//MBAADVAwAADgAAAAAAAAABACAAAAAfAQAAZHJzL2Uyb0RvYy54bWxQSwUGAAAAAAYA&#10;BgBZAQAAhAUAAAAA&#10;">
              <v:fill on="f" focussize="0,0"/>
              <v:stroke on="f"/>
              <v:imagedata o:title=""/>
              <o:lock v:ext="edit" aspectratio="f"/>
              <v:textbox inset="0mm,0mm,0mm,0mm" style="mso-fit-shape-to-text:t;">
                <w:txbxContent>
                  <w:p w14:paraId="743BCE33">
                    <w:pPr>
                      <w:pStyle w:val="21"/>
                      <w:rPr>
                        <w:rStyle w:val="39"/>
                      </w:rPr>
                    </w:pPr>
                    <w:r>
                      <w:fldChar w:fldCharType="begin"/>
                    </w:r>
                    <w:r>
                      <w:rPr>
                        <w:rStyle w:val="39"/>
                      </w:rPr>
                      <w:instrText xml:space="preserve">PAGE  </w:instrText>
                    </w:r>
                    <w:r>
                      <w:fldChar w:fldCharType="separate"/>
                    </w:r>
                    <w:r>
                      <w:rPr>
                        <w:rStyle w:val="39"/>
                      </w:rPr>
                      <w:t>70</w:t>
                    </w:r>
                    <w:r>
                      <w:fldChar w:fldCharType="end"/>
                    </w:r>
                  </w:p>
                </w:txbxContent>
              </v:textbox>
              <w10:wrap type="square"/>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2" name="文本框 1027"/>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w="9525">
                        <a:noFill/>
                      </a:ln>
                      <a:effectLst/>
                    </wps:spPr>
                    <wps:txbx>
                      <w:txbxContent>
                        <w:p w14:paraId="03417437">
                          <w:pPr>
                            <w:pStyle w:val="21"/>
                            <w:rPr>
                              <w:rStyle w:val="39"/>
                              <w:sz w:val="21"/>
                            </w:rPr>
                          </w:pPr>
                          <w:r>
                            <w:rPr>
                              <w:sz w:val="21"/>
                            </w:rPr>
                            <w:fldChar w:fldCharType="begin"/>
                          </w:r>
                          <w:r>
                            <w:rPr>
                              <w:rStyle w:val="39"/>
                              <w:sz w:val="21"/>
                            </w:rPr>
                            <w:instrText xml:space="preserve">PAGE  </w:instrText>
                          </w:r>
                          <w:r>
                            <w:rPr>
                              <w:sz w:val="21"/>
                            </w:rPr>
                            <w:fldChar w:fldCharType="separate"/>
                          </w:r>
                          <w:r>
                            <w:rPr>
                              <w:rStyle w:val="39"/>
                              <w:sz w:val="21"/>
                            </w:rPr>
                            <w:t>70</w:t>
                          </w:r>
                          <w:r>
                            <w:rPr>
                              <w:sz w:val="21"/>
                            </w:rPr>
                            <w:fldChar w:fldCharType="end"/>
                          </w:r>
                        </w:p>
                      </w:txbxContent>
                    </wps:txbx>
                    <wps:bodyPr vert="horz" wrap="none" lIns="0" tIns="0" rIns="0" bIns="0" anchor="t" anchorCtr="0" upright="1">
                      <a:spAutoFit/>
                    </wps:bodyPr>
                  </wps:wsp>
                </a:graphicData>
              </a:graphic>
            </wp:anchor>
          </w:drawing>
        </mc:Choice>
        <mc:Fallback>
          <w:pict>
            <v:shape id="文本框 1027"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sqsu&#10;Uc8AAAADAQAADwAAAAAAAAABACAAAAAiAAAAZHJzL2Rvd25yZXYueG1sUEsBAhQAFAAAAAgAh07i&#10;QEiu6UjyAQAA1gMAAA4AAAAAAAAAAQAgAAAAHgEAAGRycy9lMm9Eb2MueG1sUEsFBgAAAAAGAAYA&#10;WQEAAIIFAAAAAA==&#10;">
              <v:fill on="f" focussize="0,0"/>
              <v:stroke on="f"/>
              <v:imagedata o:title=""/>
              <o:lock v:ext="edit" aspectratio="f"/>
              <v:textbox inset="0mm,0mm,0mm,0mm" style="mso-fit-shape-to-text:t;">
                <w:txbxContent>
                  <w:p w14:paraId="03417437">
                    <w:pPr>
                      <w:pStyle w:val="21"/>
                      <w:rPr>
                        <w:rStyle w:val="39"/>
                        <w:sz w:val="21"/>
                      </w:rPr>
                    </w:pPr>
                    <w:r>
                      <w:rPr>
                        <w:sz w:val="21"/>
                      </w:rPr>
                      <w:fldChar w:fldCharType="begin"/>
                    </w:r>
                    <w:r>
                      <w:rPr>
                        <w:rStyle w:val="39"/>
                        <w:sz w:val="21"/>
                      </w:rPr>
                      <w:instrText xml:space="preserve">PAGE  </w:instrText>
                    </w:r>
                    <w:r>
                      <w:rPr>
                        <w:sz w:val="21"/>
                      </w:rPr>
                      <w:fldChar w:fldCharType="separate"/>
                    </w:r>
                    <w:r>
                      <w:rPr>
                        <w:rStyle w:val="39"/>
                        <w:sz w:val="21"/>
                      </w:rPr>
                      <w:t>70</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B5B8B">
    <w:pPr>
      <w:pStyle w:val="21"/>
      <w:ind w:firstLine="105"/>
      <w:jc w:val="right"/>
      <w:rPr>
        <w:rFonts w:hint="eastAsia"/>
        <w:sz w:val="21"/>
        <w:szCs w:val="21"/>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752546">
                          <w:pPr>
                            <w:pStyle w:val="21"/>
                          </w:pPr>
                          <w:r>
                            <w:fldChar w:fldCharType="begin"/>
                          </w:r>
                          <w:r>
                            <w:instrText xml:space="preserve"> PAGE  \* MERGEFORMAT </w:instrText>
                          </w:r>
                          <w:r>
                            <w:fldChar w:fldCharType="separate"/>
                          </w:r>
                          <w:r>
                            <w:t>I</w:t>
                          </w:r>
                          <w:r>
                            <w:fldChar w:fldCharType="end"/>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eIRRg3gEAAL4DAAAOAAAAAAAA&#10;AAEAIAAAAB4BAABkcnMvZTJvRG9jLnhtbFBLBQYAAAAABgAGAFkBAABuBQAAAAA=&#10;">
              <v:fill on="f" focussize="0,0"/>
              <v:stroke on="f"/>
              <v:imagedata o:title=""/>
              <o:lock v:ext="edit" aspectratio="f"/>
              <v:textbox inset="0mm,0mm,0mm,0mm" style="mso-fit-shape-to-text:t;">
                <w:txbxContent>
                  <w:p w14:paraId="71752546">
                    <w:pPr>
                      <w:pStyle w:val="21"/>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B90BC">
    <w:pPr>
      <w:pStyle w:val="21"/>
      <w:ind w:firstLine="105"/>
      <w:jc w:val="right"/>
      <w:rPr>
        <w:rFonts w:hint="eastAsia"/>
        <w:sz w:val="21"/>
        <w:szCs w:val="21"/>
      </w:rPr>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06187A5">
                          <w:pPr>
                            <w:pStyle w:val="21"/>
                          </w:pPr>
                          <w:r>
                            <w:t xml:space="preserve">第 </w:t>
                          </w:r>
                          <w:r>
                            <w:fldChar w:fldCharType="begin"/>
                          </w:r>
                          <w:r>
                            <w:instrText xml:space="preserve"> PAGE  \* MERGEFORMAT </w:instrText>
                          </w:r>
                          <w:r>
                            <w:fldChar w:fldCharType="separate"/>
                          </w:r>
                          <w:r>
                            <w:t>III</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EPfMoOIBAADMAwAADgAA&#10;AAAAAAABACAAAAAeAQAAZHJzL2Uyb0RvYy54bWxQSwUGAAAAAAYABgBZAQAAcgUAAAAA&#10;">
              <v:fill on="f" focussize="0,0"/>
              <v:stroke on="f"/>
              <v:imagedata o:title=""/>
              <o:lock v:ext="edit" aspectratio="f"/>
              <v:textbox inset="0mm,0mm,0mm,0mm" style="mso-fit-shape-to-text:t;">
                <w:txbxContent>
                  <w:p w14:paraId="606187A5">
                    <w:pPr>
                      <w:pStyle w:val="21"/>
                    </w:pPr>
                    <w:r>
                      <w:t xml:space="preserve">第 </w:t>
                    </w:r>
                    <w:r>
                      <w:fldChar w:fldCharType="begin"/>
                    </w:r>
                    <w:r>
                      <w:instrText xml:space="preserve"> PAGE  \* MERGEFORMAT </w:instrText>
                    </w:r>
                    <w:r>
                      <w:fldChar w:fldCharType="separate"/>
                    </w:r>
                    <w:r>
                      <w:t>III</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08760">
    <w:pPr>
      <w:pStyle w:val="21"/>
      <w:ind w:firstLine="105"/>
      <w:jc w:val="right"/>
      <w:rPr>
        <w:rFonts w:hint="eastAsia"/>
        <w:sz w:val="21"/>
        <w:szCs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5ED7CC">
                          <w:pPr>
                            <w:pStyle w:val="21"/>
                          </w:pPr>
                          <w:r>
                            <w:t xml:space="preserve">第 </w:t>
                          </w:r>
                          <w:r>
                            <w:fldChar w:fldCharType="begin"/>
                          </w:r>
                          <w:r>
                            <w:instrText xml:space="preserve"> PAGE  \* MERGEFORMAT </w:instrText>
                          </w:r>
                          <w:r>
                            <w:fldChar w:fldCharType="separate"/>
                          </w:r>
                          <w:r>
                            <w:t>I</w:t>
                          </w:r>
                          <w:r>
                            <w:fldChar w:fldCharType="end"/>
                          </w:r>
                          <w:r>
                            <w:t xml:space="preserve"> 页</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7BLNb3gEAAL4DAAAOAAAAAAAA&#10;AAEAIAAAAB4BAABkcnMvZTJvRG9jLnhtbFBLBQYAAAAABgAGAFkBAABuBQAAAAA=&#10;">
              <v:fill on="f" focussize="0,0"/>
              <v:stroke on="f"/>
              <v:imagedata o:title=""/>
              <o:lock v:ext="edit" aspectratio="f"/>
              <v:textbox inset="0mm,0mm,0mm,0mm" style="mso-fit-shape-to-text:t;">
                <w:txbxContent>
                  <w:p w14:paraId="725ED7CC">
                    <w:pPr>
                      <w:pStyle w:val="21"/>
                    </w:pPr>
                    <w:r>
                      <w:t xml:space="preserve">第 </w:t>
                    </w:r>
                    <w:r>
                      <w:fldChar w:fldCharType="begin"/>
                    </w:r>
                    <w:r>
                      <w:instrText xml:space="preserve"> PAGE  \* MERGEFORMAT </w:instrText>
                    </w:r>
                    <w:r>
                      <w:fldChar w:fldCharType="separate"/>
                    </w:r>
                    <w:r>
                      <w:t>I</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7AB04">
    <w:pPr>
      <w:pStyle w:val="21"/>
      <w:ind w:firstLine="105"/>
      <w:jc w:val="right"/>
      <w:rPr>
        <w:rFonts w:hint="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3C2721">
                          <w:pPr>
                            <w:pStyle w:val="21"/>
                          </w:pPr>
                          <w:r>
                            <w:t xml:space="preserve">第 </w:t>
                          </w:r>
                          <w:r>
                            <w:fldChar w:fldCharType="begin"/>
                          </w:r>
                          <w:r>
                            <w:instrText xml:space="preserve"> PAGE  \* MERGEFORMAT </w:instrText>
                          </w:r>
                          <w:r>
                            <w:fldChar w:fldCharType="separate"/>
                          </w:r>
                          <w:r>
                            <w:t>LII</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Mq2F63gEAAL4DAAAOAAAAAAAA&#10;AAEAIAAAAB4BAABkcnMvZTJvRG9jLnhtbFBLBQYAAAAABgAGAFkBAABuBQAAAAA=&#10;">
              <v:fill on="f" focussize="0,0"/>
              <v:stroke on="f"/>
              <v:imagedata o:title=""/>
              <o:lock v:ext="edit" aspectratio="f"/>
              <v:textbox inset="0mm,0mm,0mm,0mm" style="mso-fit-shape-to-text:t;">
                <w:txbxContent>
                  <w:p w14:paraId="323C2721">
                    <w:pPr>
                      <w:pStyle w:val="21"/>
                    </w:pPr>
                    <w:r>
                      <w:t xml:space="preserve">第 </w:t>
                    </w:r>
                    <w:r>
                      <w:fldChar w:fldCharType="begin"/>
                    </w:r>
                    <w:r>
                      <w:instrText xml:space="preserve"> PAGE  \* MERGEFORMAT </w:instrText>
                    </w:r>
                    <w:r>
                      <w:fldChar w:fldCharType="separate"/>
                    </w:r>
                    <w:r>
                      <w:t>LII</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3058E">
    <w:pPr>
      <w:pStyle w:val="2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143A8">
    <w:pPr>
      <w:pStyle w:val="22"/>
      <w:pBdr>
        <w:top w:val="none" w:color="auto" w:sz="0" w:space="0"/>
        <w:left w:val="none" w:color="auto" w:sz="0" w:space="0"/>
        <w:bottom w:val="none" w:color="auto" w:sz="0" w:space="1"/>
        <w:right w:val="none" w:color="auto" w:sz="0" w:space="0"/>
        <w:between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304"/>
        </w:tabs>
        <w:ind w:left="1304"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62687BB6"/>
    <w:multiLevelType w:val="multilevel"/>
    <w:tmpl w:val="62687BB6"/>
    <w:lvl w:ilvl="0" w:tentative="0">
      <w:start w:val="1"/>
      <w:numFmt w:val="decimal"/>
      <w:pStyle w:val="137"/>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3">
    <w:nsid w:val="6E87019F"/>
    <w:multiLevelType w:val="multilevel"/>
    <w:tmpl w:val="6E87019F"/>
    <w:lvl w:ilvl="0" w:tentative="0">
      <w:start w:val="1"/>
      <w:numFmt w:val="chineseCountingThousand"/>
      <w:pStyle w:val="134"/>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19"/>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yMjg0N2NjNzcyNGQxYTY1NzY1ZmU2N2M3NjI2ZDQifQ=="/>
  </w:docVars>
  <w:rsids>
    <w:rsidRoot w:val="00A21078"/>
    <w:rsid w:val="0000099F"/>
    <w:rsid w:val="00001446"/>
    <w:rsid w:val="00002039"/>
    <w:rsid w:val="0000223A"/>
    <w:rsid w:val="00003C6A"/>
    <w:rsid w:val="00003F55"/>
    <w:rsid w:val="000053C8"/>
    <w:rsid w:val="00006970"/>
    <w:rsid w:val="00006A06"/>
    <w:rsid w:val="000079FD"/>
    <w:rsid w:val="00007DAC"/>
    <w:rsid w:val="00007FF4"/>
    <w:rsid w:val="0001197D"/>
    <w:rsid w:val="00011D87"/>
    <w:rsid w:val="00011EAE"/>
    <w:rsid w:val="0001294D"/>
    <w:rsid w:val="00012BF0"/>
    <w:rsid w:val="000132E8"/>
    <w:rsid w:val="000134BF"/>
    <w:rsid w:val="00013D9A"/>
    <w:rsid w:val="000140F9"/>
    <w:rsid w:val="00016257"/>
    <w:rsid w:val="000209BE"/>
    <w:rsid w:val="00020E3E"/>
    <w:rsid w:val="00021D5D"/>
    <w:rsid w:val="000221CE"/>
    <w:rsid w:val="000223B7"/>
    <w:rsid w:val="00022619"/>
    <w:rsid w:val="00022B2B"/>
    <w:rsid w:val="0002310E"/>
    <w:rsid w:val="000246B1"/>
    <w:rsid w:val="00024C98"/>
    <w:rsid w:val="00024E77"/>
    <w:rsid w:val="000250F8"/>
    <w:rsid w:val="000258EA"/>
    <w:rsid w:val="0002599F"/>
    <w:rsid w:val="00025A53"/>
    <w:rsid w:val="00025CA2"/>
    <w:rsid w:val="00026185"/>
    <w:rsid w:val="000265E6"/>
    <w:rsid w:val="00026EFC"/>
    <w:rsid w:val="00027AFD"/>
    <w:rsid w:val="00027BB9"/>
    <w:rsid w:val="00027E9A"/>
    <w:rsid w:val="0003100E"/>
    <w:rsid w:val="0003112B"/>
    <w:rsid w:val="00031272"/>
    <w:rsid w:val="00031CE7"/>
    <w:rsid w:val="00032963"/>
    <w:rsid w:val="00033289"/>
    <w:rsid w:val="00033460"/>
    <w:rsid w:val="0003351F"/>
    <w:rsid w:val="000336DE"/>
    <w:rsid w:val="000337E5"/>
    <w:rsid w:val="00033EA3"/>
    <w:rsid w:val="00034D47"/>
    <w:rsid w:val="000358B3"/>
    <w:rsid w:val="00035A83"/>
    <w:rsid w:val="0003792B"/>
    <w:rsid w:val="00037CCD"/>
    <w:rsid w:val="0004189A"/>
    <w:rsid w:val="000419D3"/>
    <w:rsid w:val="00041C4C"/>
    <w:rsid w:val="00041C96"/>
    <w:rsid w:val="00041E27"/>
    <w:rsid w:val="00043217"/>
    <w:rsid w:val="0004376D"/>
    <w:rsid w:val="000457FF"/>
    <w:rsid w:val="00045F90"/>
    <w:rsid w:val="00046678"/>
    <w:rsid w:val="00046D94"/>
    <w:rsid w:val="000507D2"/>
    <w:rsid w:val="00050FC2"/>
    <w:rsid w:val="0005177F"/>
    <w:rsid w:val="00052666"/>
    <w:rsid w:val="000526B9"/>
    <w:rsid w:val="00052EFD"/>
    <w:rsid w:val="000538FB"/>
    <w:rsid w:val="00054243"/>
    <w:rsid w:val="000542B0"/>
    <w:rsid w:val="0005486C"/>
    <w:rsid w:val="00054CDC"/>
    <w:rsid w:val="0005507C"/>
    <w:rsid w:val="00055350"/>
    <w:rsid w:val="00055435"/>
    <w:rsid w:val="00057009"/>
    <w:rsid w:val="0005722C"/>
    <w:rsid w:val="00057443"/>
    <w:rsid w:val="00057CFB"/>
    <w:rsid w:val="000601B7"/>
    <w:rsid w:val="0006043B"/>
    <w:rsid w:val="000612E4"/>
    <w:rsid w:val="0006168C"/>
    <w:rsid w:val="0006202D"/>
    <w:rsid w:val="00062314"/>
    <w:rsid w:val="00062628"/>
    <w:rsid w:val="00062B83"/>
    <w:rsid w:val="00065819"/>
    <w:rsid w:val="00065DBC"/>
    <w:rsid w:val="00065E27"/>
    <w:rsid w:val="00066173"/>
    <w:rsid w:val="00066854"/>
    <w:rsid w:val="00067256"/>
    <w:rsid w:val="00070867"/>
    <w:rsid w:val="00070DCA"/>
    <w:rsid w:val="00071687"/>
    <w:rsid w:val="000729AE"/>
    <w:rsid w:val="00073A10"/>
    <w:rsid w:val="000751B5"/>
    <w:rsid w:val="00076F83"/>
    <w:rsid w:val="00076F91"/>
    <w:rsid w:val="000772C5"/>
    <w:rsid w:val="0007779E"/>
    <w:rsid w:val="00077AC3"/>
    <w:rsid w:val="00077ADD"/>
    <w:rsid w:val="00081061"/>
    <w:rsid w:val="000810B4"/>
    <w:rsid w:val="000811C1"/>
    <w:rsid w:val="00081D56"/>
    <w:rsid w:val="000829E6"/>
    <w:rsid w:val="00083058"/>
    <w:rsid w:val="00083B30"/>
    <w:rsid w:val="000841A7"/>
    <w:rsid w:val="000849A0"/>
    <w:rsid w:val="000849A9"/>
    <w:rsid w:val="00085215"/>
    <w:rsid w:val="000853C9"/>
    <w:rsid w:val="000854F9"/>
    <w:rsid w:val="00085B88"/>
    <w:rsid w:val="00085E40"/>
    <w:rsid w:val="00085E89"/>
    <w:rsid w:val="00085F41"/>
    <w:rsid w:val="00086310"/>
    <w:rsid w:val="0008673E"/>
    <w:rsid w:val="00086FF1"/>
    <w:rsid w:val="0008714E"/>
    <w:rsid w:val="00087D3B"/>
    <w:rsid w:val="0009112E"/>
    <w:rsid w:val="000914F4"/>
    <w:rsid w:val="00092DA2"/>
    <w:rsid w:val="00092EFC"/>
    <w:rsid w:val="000931CC"/>
    <w:rsid w:val="00095144"/>
    <w:rsid w:val="00095612"/>
    <w:rsid w:val="000962B4"/>
    <w:rsid w:val="000966AB"/>
    <w:rsid w:val="00096CDA"/>
    <w:rsid w:val="00097065"/>
    <w:rsid w:val="0009771D"/>
    <w:rsid w:val="000A0317"/>
    <w:rsid w:val="000A0323"/>
    <w:rsid w:val="000A0409"/>
    <w:rsid w:val="000A0E3E"/>
    <w:rsid w:val="000A1022"/>
    <w:rsid w:val="000A27D9"/>
    <w:rsid w:val="000A2CA6"/>
    <w:rsid w:val="000A2D5B"/>
    <w:rsid w:val="000A362B"/>
    <w:rsid w:val="000A3742"/>
    <w:rsid w:val="000A4DD1"/>
    <w:rsid w:val="000A59D0"/>
    <w:rsid w:val="000A5E0D"/>
    <w:rsid w:val="000A7080"/>
    <w:rsid w:val="000A72B9"/>
    <w:rsid w:val="000A7560"/>
    <w:rsid w:val="000A7740"/>
    <w:rsid w:val="000A7EA8"/>
    <w:rsid w:val="000B0046"/>
    <w:rsid w:val="000B0501"/>
    <w:rsid w:val="000B0ED3"/>
    <w:rsid w:val="000B13AF"/>
    <w:rsid w:val="000B1789"/>
    <w:rsid w:val="000B19A4"/>
    <w:rsid w:val="000B2CC4"/>
    <w:rsid w:val="000B30D0"/>
    <w:rsid w:val="000B35EC"/>
    <w:rsid w:val="000B4889"/>
    <w:rsid w:val="000B498C"/>
    <w:rsid w:val="000B5FF8"/>
    <w:rsid w:val="000B6445"/>
    <w:rsid w:val="000B6B93"/>
    <w:rsid w:val="000B6D49"/>
    <w:rsid w:val="000B79B1"/>
    <w:rsid w:val="000B7A0C"/>
    <w:rsid w:val="000C059A"/>
    <w:rsid w:val="000C07B2"/>
    <w:rsid w:val="000C161D"/>
    <w:rsid w:val="000C1939"/>
    <w:rsid w:val="000C1A22"/>
    <w:rsid w:val="000C1BA6"/>
    <w:rsid w:val="000C1ED6"/>
    <w:rsid w:val="000C20E8"/>
    <w:rsid w:val="000C2455"/>
    <w:rsid w:val="000C24CA"/>
    <w:rsid w:val="000C26FF"/>
    <w:rsid w:val="000C2727"/>
    <w:rsid w:val="000C318B"/>
    <w:rsid w:val="000C321A"/>
    <w:rsid w:val="000C3BBB"/>
    <w:rsid w:val="000C3BBF"/>
    <w:rsid w:val="000C4415"/>
    <w:rsid w:val="000C44A1"/>
    <w:rsid w:val="000C51BC"/>
    <w:rsid w:val="000C5564"/>
    <w:rsid w:val="000C5969"/>
    <w:rsid w:val="000C5A62"/>
    <w:rsid w:val="000C708A"/>
    <w:rsid w:val="000C7720"/>
    <w:rsid w:val="000C7DF4"/>
    <w:rsid w:val="000D0165"/>
    <w:rsid w:val="000D0296"/>
    <w:rsid w:val="000D0852"/>
    <w:rsid w:val="000D2A9E"/>
    <w:rsid w:val="000D3029"/>
    <w:rsid w:val="000D31EA"/>
    <w:rsid w:val="000D331B"/>
    <w:rsid w:val="000D337B"/>
    <w:rsid w:val="000D3C3F"/>
    <w:rsid w:val="000D3CF7"/>
    <w:rsid w:val="000D423F"/>
    <w:rsid w:val="000D426D"/>
    <w:rsid w:val="000D43FD"/>
    <w:rsid w:val="000D48C5"/>
    <w:rsid w:val="000D5651"/>
    <w:rsid w:val="000D5949"/>
    <w:rsid w:val="000D5B73"/>
    <w:rsid w:val="000D6B16"/>
    <w:rsid w:val="000D6F07"/>
    <w:rsid w:val="000D79D7"/>
    <w:rsid w:val="000D79ED"/>
    <w:rsid w:val="000E078B"/>
    <w:rsid w:val="000E08AC"/>
    <w:rsid w:val="000E0C51"/>
    <w:rsid w:val="000E15E3"/>
    <w:rsid w:val="000E2D05"/>
    <w:rsid w:val="000E3B3E"/>
    <w:rsid w:val="000E3C98"/>
    <w:rsid w:val="000E3D15"/>
    <w:rsid w:val="000E5530"/>
    <w:rsid w:val="000E5CA5"/>
    <w:rsid w:val="000E6514"/>
    <w:rsid w:val="000E6A12"/>
    <w:rsid w:val="000E78D0"/>
    <w:rsid w:val="000F0DC5"/>
    <w:rsid w:val="000F150F"/>
    <w:rsid w:val="000F1920"/>
    <w:rsid w:val="000F23ED"/>
    <w:rsid w:val="000F2705"/>
    <w:rsid w:val="000F2A32"/>
    <w:rsid w:val="000F317D"/>
    <w:rsid w:val="000F52A2"/>
    <w:rsid w:val="000F52B3"/>
    <w:rsid w:val="000F547C"/>
    <w:rsid w:val="000F5867"/>
    <w:rsid w:val="000F6A09"/>
    <w:rsid w:val="000F79EC"/>
    <w:rsid w:val="000F7E46"/>
    <w:rsid w:val="00101C03"/>
    <w:rsid w:val="00102B52"/>
    <w:rsid w:val="00103224"/>
    <w:rsid w:val="00103543"/>
    <w:rsid w:val="001042D2"/>
    <w:rsid w:val="00104588"/>
    <w:rsid w:val="00104826"/>
    <w:rsid w:val="001048FB"/>
    <w:rsid w:val="00105395"/>
    <w:rsid w:val="001054A2"/>
    <w:rsid w:val="001057AD"/>
    <w:rsid w:val="00105AE8"/>
    <w:rsid w:val="001067D5"/>
    <w:rsid w:val="00106867"/>
    <w:rsid w:val="001069D3"/>
    <w:rsid w:val="00107558"/>
    <w:rsid w:val="00110158"/>
    <w:rsid w:val="001105E0"/>
    <w:rsid w:val="001108C3"/>
    <w:rsid w:val="0011172D"/>
    <w:rsid w:val="001134FB"/>
    <w:rsid w:val="00113888"/>
    <w:rsid w:val="001144B1"/>
    <w:rsid w:val="00115AB2"/>
    <w:rsid w:val="00115F3B"/>
    <w:rsid w:val="001160A3"/>
    <w:rsid w:val="0011633C"/>
    <w:rsid w:val="00116444"/>
    <w:rsid w:val="00116460"/>
    <w:rsid w:val="00121F62"/>
    <w:rsid w:val="00121FC3"/>
    <w:rsid w:val="001231F7"/>
    <w:rsid w:val="0012393F"/>
    <w:rsid w:val="00123F2A"/>
    <w:rsid w:val="001243A5"/>
    <w:rsid w:val="001246FF"/>
    <w:rsid w:val="0012606E"/>
    <w:rsid w:val="001261E8"/>
    <w:rsid w:val="001263AB"/>
    <w:rsid w:val="00126405"/>
    <w:rsid w:val="00126520"/>
    <w:rsid w:val="00127094"/>
    <w:rsid w:val="0012787E"/>
    <w:rsid w:val="00130AC9"/>
    <w:rsid w:val="00130EE0"/>
    <w:rsid w:val="0013202C"/>
    <w:rsid w:val="0013238F"/>
    <w:rsid w:val="00132906"/>
    <w:rsid w:val="0013486B"/>
    <w:rsid w:val="00134906"/>
    <w:rsid w:val="0013599E"/>
    <w:rsid w:val="001362EB"/>
    <w:rsid w:val="00136307"/>
    <w:rsid w:val="001374DB"/>
    <w:rsid w:val="00137566"/>
    <w:rsid w:val="00137ADA"/>
    <w:rsid w:val="00141A2E"/>
    <w:rsid w:val="00141CE8"/>
    <w:rsid w:val="001421FB"/>
    <w:rsid w:val="00142CFE"/>
    <w:rsid w:val="0014376B"/>
    <w:rsid w:val="00143B6E"/>
    <w:rsid w:val="00144BB9"/>
    <w:rsid w:val="00145252"/>
    <w:rsid w:val="00145A44"/>
    <w:rsid w:val="00146080"/>
    <w:rsid w:val="00146582"/>
    <w:rsid w:val="001475CE"/>
    <w:rsid w:val="00147658"/>
    <w:rsid w:val="0015025E"/>
    <w:rsid w:val="001511B2"/>
    <w:rsid w:val="0015180B"/>
    <w:rsid w:val="00151EC8"/>
    <w:rsid w:val="00152A68"/>
    <w:rsid w:val="00153336"/>
    <w:rsid w:val="0015353E"/>
    <w:rsid w:val="001537FE"/>
    <w:rsid w:val="00153B3C"/>
    <w:rsid w:val="00153D1F"/>
    <w:rsid w:val="00153D4A"/>
    <w:rsid w:val="00155BD3"/>
    <w:rsid w:val="00156D1D"/>
    <w:rsid w:val="00157A81"/>
    <w:rsid w:val="0016009A"/>
    <w:rsid w:val="0016168E"/>
    <w:rsid w:val="001617E4"/>
    <w:rsid w:val="001621C3"/>
    <w:rsid w:val="001625D3"/>
    <w:rsid w:val="00162EC2"/>
    <w:rsid w:val="00162FD2"/>
    <w:rsid w:val="00163C40"/>
    <w:rsid w:val="00163DE6"/>
    <w:rsid w:val="001641DA"/>
    <w:rsid w:val="00164CE1"/>
    <w:rsid w:val="00165C13"/>
    <w:rsid w:val="001664C4"/>
    <w:rsid w:val="001667CA"/>
    <w:rsid w:val="00166935"/>
    <w:rsid w:val="001675B9"/>
    <w:rsid w:val="00170657"/>
    <w:rsid w:val="00170E3F"/>
    <w:rsid w:val="00171602"/>
    <w:rsid w:val="001733A1"/>
    <w:rsid w:val="0017350D"/>
    <w:rsid w:val="0017360D"/>
    <w:rsid w:val="00173649"/>
    <w:rsid w:val="00173A5D"/>
    <w:rsid w:val="00173B1F"/>
    <w:rsid w:val="00173CF6"/>
    <w:rsid w:val="001750C3"/>
    <w:rsid w:val="001756EE"/>
    <w:rsid w:val="001757F0"/>
    <w:rsid w:val="001758B0"/>
    <w:rsid w:val="00177638"/>
    <w:rsid w:val="00180000"/>
    <w:rsid w:val="001803EF"/>
    <w:rsid w:val="001809F6"/>
    <w:rsid w:val="00180CF8"/>
    <w:rsid w:val="00181143"/>
    <w:rsid w:val="00181A65"/>
    <w:rsid w:val="00181AAC"/>
    <w:rsid w:val="00181E81"/>
    <w:rsid w:val="001823CB"/>
    <w:rsid w:val="00182F64"/>
    <w:rsid w:val="0018303B"/>
    <w:rsid w:val="001838B8"/>
    <w:rsid w:val="00183C2B"/>
    <w:rsid w:val="001840A2"/>
    <w:rsid w:val="001840A8"/>
    <w:rsid w:val="001847DE"/>
    <w:rsid w:val="001848F9"/>
    <w:rsid w:val="00184904"/>
    <w:rsid w:val="00184F62"/>
    <w:rsid w:val="001862EA"/>
    <w:rsid w:val="00186C38"/>
    <w:rsid w:val="001876E8"/>
    <w:rsid w:val="001909A4"/>
    <w:rsid w:val="00191AA6"/>
    <w:rsid w:val="00191C33"/>
    <w:rsid w:val="00191C6A"/>
    <w:rsid w:val="00192366"/>
    <w:rsid w:val="0019249A"/>
    <w:rsid w:val="00192BD4"/>
    <w:rsid w:val="00193114"/>
    <w:rsid w:val="00193C86"/>
    <w:rsid w:val="0019410F"/>
    <w:rsid w:val="0019507D"/>
    <w:rsid w:val="001950CF"/>
    <w:rsid w:val="00195395"/>
    <w:rsid w:val="0019574B"/>
    <w:rsid w:val="00196105"/>
    <w:rsid w:val="001964BC"/>
    <w:rsid w:val="00196A91"/>
    <w:rsid w:val="00196CE0"/>
    <w:rsid w:val="0019789F"/>
    <w:rsid w:val="00197E4F"/>
    <w:rsid w:val="001A1127"/>
    <w:rsid w:val="001A1A28"/>
    <w:rsid w:val="001A1CAC"/>
    <w:rsid w:val="001A1F37"/>
    <w:rsid w:val="001A2425"/>
    <w:rsid w:val="001A2AC4"/>
    <w:rsid w:val="001A2EAC"/>
    <w:rsid w:val="001A3512"/>
    <w:rsid w:val="001A3B0A"/>
    <w:rsid w:val="001A3BC8"/>
    <w:rsid w:val="001A4262"/>
    <w:rsid w:val="001A42C3"/>
    <w:rsid w:val="001A42D3"/>
    <w:rsid w:val="001A46B4"/>
    <w:rsid w:val="001A5369"/>
    <w:rsid w:val="001A5680"/>
    <w:rsid w:val="001A5832"/>
    <w:rsid w:val="001A5A84"/>
    <w:rsid w:val="001A5CF0"/>
    <w:rsid w:val="001A6025"/>
    <w:rsid w:val="001A62E2"/>
    <w:rsid w:val="001A649B"/>
    <w:rsid w:val="001A6B31"/>
    <w:rsid w:val="001B0D5C"/>
    <w:rsid w:val="001B111C"/>
    <w:rsid w:val="001B1579"/>
    <w:rsid w:val="001B1D60"/>
    <w:rsid w:val="001B2D44"/>
    <w:rsid w:val="001B2FB2"/>
    <w:rsid w:val="001B301F"/>
    <w:rsid w:val="001B35C8"/>
    <w:rsid w:val="001B3852"/>
    <w:rsid w:val="001B38EC"/>
    <w:rsid w:val="001B4EA4"/>
    <w:rsid w:val="001B5214"/>
    <w:rsid w:val="001B55B2"/>
    <w:rsid w:val="001B5E3F"/>
    <w:rsid w:val="001B650D"/>
    <w:rsid w:val="001B669C"/>
    <w:rsid w:val="001B67E5"/>
    <w:rsid w:val="001B6C14"/>
    <w:rsid w:val="001B72C3"/>
    <w:rsid w:val="001B740E"/>
    <w:rsid w:val="001B7A87"/>
    <w:rsid w:val="001C2674"/>
    <w:rsid w:val="001C29B7"/>
    <w:rsid w:val="001C29C4"/>
    <w:rsid w:val="001C2B37"/>
    <w:rsid w:val="001C3049"/>
    <w:rsid w:val="001C4669"/>
    <w:rsid w:val="001C58D6"/>
    <w:rsid w:val="001C5CD5"/>
    <w:rsid w:val="001C6247"/>
    <w:rsid w:val="001D0957"/>
    <w:rsid w:val="001D141C"/>
    <w:rsid w:val="001D29A6"/>
    <w:rsid w:val="001D31BD"/>
    <w:rsid w:val="001D3B8F"/>
    <w:rsid w:val="001D41A8"/>
    <w:rsid w:val="001D4448"/>
    <w:rsid w:val="001D4623"/>
    <w:rsid w:val="001D46E2"/>
    <w:rsid w:val="001D4B2C"/>
    <w:rsid w:val="001D4CF9"/>
    <w:rsid w:val="001D525D"/>
    <w:rsid w:val="001D61C7"/>
    <w:rsid w:val="001D6B01"/>
    <w:rsid w:val="001D6BFE"/>
    <w:rsid w:val="001D6C24"/>
    <w:rsid w:val="001D70A4"/>
    <w:rsid w:val="001D72E4"/>
    <w:rsid w:val="001E0057"/>
    <w:rsid w:val="001E036C"/>
    <w:rsid w:val="001E0736"/>
    <w:rsid w:val="001E0DC1"/>
    <w:rsid w:val="001E0DE4"/>
    <w:rsid w:val="001E0E28"/>
    <w:rsid w:val="001E0F7C"/>
    <w:rsid w:val="001E1A28"/>
    <w:rsid w:val="001E1D27"/>
    <w:rsid w:val="001E1D6E"/>
    <w:rsid w:val="001E39AB"/>
    <w:rsid w:val="001E3A06"/>
    <w:rsid w:val="001E4875"/>
    <w:rsid w:val="001E5606"/>
    <w:rsid w:val="001E5657"/>
    <w:rsid w:val="001E63BE"/>
    <w:rsid w:val="001E64E2"/>
    <w:rsid w:val="001E6572"/>
    <w:rsid w:val="001E6692"/>
    <w:rsid w:val="001F1BA4"/>
    <w:rsid w:val="001F27BB"/>
    <w:rsid w:val="001F30A0"/>
    <w:rsid w:val="001F3114"/>
    <w:rsid w:val="001F341F"/>
    <w:rsid w:val="001F35E0"/>
    <w:rsid w:val="001F387B"/>
    <w:rsid w:val="001F3F19"/>
    <w:rsid w:val="001F44FC"/>
    <w:rsid w:val="001F507D"/>
    <w:rsid w:val="001F742E"/>
    <w:rsid w:val="001F7686"/>
    <w:rsid w:val="002007E4"/>
    <w:rsid w:val="002009F7"/>
    <w:rsid w:val="0020105C"/>
    <w:rsid w:val="00201342"/>
    <w:rsid w:val="002024EF"/>
    <w:rsid w:val="0020514A"/>
    <w:rsid w:val="00205174"/>
    <w:rsid w:val="002062C4"/>
    <w:rsid w:val="002073CA"/>
    <w:rsid w:val="002077E2"/>
    <w:rsid w:val="00207D60"/>
    <w:rsid w:val="0021063B"/>
    <w:rsid w:val="00210DF1"/>
    <w:rsid w:val="002118E0"/>
    <w:rsid w:val="002118FE"/>
    <w:rsid w:val="00211932"/>
    <w:rsid w:val="002119CD"/>
    <w:rsid w:val="002119D8"/>
    <w:rsid w:val="00211E1F"/>
    <w:rsid w:val="00212194"/>
    <w:rsid w:val="002129FF"/>
    <w:rsid w:val="00212D1A"/>
    <w:rsid w:val="00213298"/>
    <w:rsid w:val="002135E9"/>
    <w:rsid w:val="00213C0C"/>
    <w:rsid w:val="00213C12"/>
    <w:rsid w:val="002142AC"/>
    <w:rsid w:val="002146A1"/>
    <w:rsid w:val="00214913"/>
    <w:rsid w:val="00214D73"/>
    <w:rsid w:val="00215A14"/>
    <w:rsid w:val="00215C41"/>
    <w:rsid w:val="002161B3"/>
    <w:rsid w:val="0021661A"/>
    <w:rsid w:val="00217362"/>
    <w:rsid w:val="00217D21"/>
    <w:rsid w:val="00217FE0"/>
    <w:rsid w:val="002205E2"/>
    <w:rsid w:val="00221043"/>
    <w:rsid w:val="002215B2"/>
    <w:rsid w:val="00221ECB"/>
    <w:rsid w:val="00222347"/>
    <w:rsid w:val="0022312C"/>
    <w:rsid w:val="002238EE"/>
    <w:rsid w:val="002250CC"/>
    <w:rsid w:val="002255D9"/>
    <w:rsid w:val="00225895"/>
    <w:rsid w:val="00226161"/>
    <w:rsid w:val="002268BE"/>
    <w:rsid w:val="00226C57"/>
    <w:rsid w:val="00227870"/>
    <w:rsid w:val="0022794A"/>
    <w:rsid w:val="00227A56"/>
    <w:rsid w:val="00227CE9"/>
    <w:rsid w:val="00227E6A"/>
    <w:rsid w:val="0023054D"/>
    <w:rsid w:val="002305EE"/>
    <w:rsid w:val="00230BA4"/>
    <w:rsid w:val="0023125F"/>
    <w:rsid w:val="00233A18"/>
    <w:rsid w:val="00233D0A"/>
    <w:rsid w:val="002348E8"/>
    <w:rsid w:val="00234B1F"/>
    <w:rsid w:val="00235E38"/>
    <w:rsid w:val="0023608D"/>
    <w:rsid w:val="00237247"/>
    <w:rsid w:val="00237FE5"/>
    <w:rsid w:val="002400F7"/>
    <w:rsid w:val="00240C0A"/>
    <w:rsid w:val="002417A7"/>
    <w:rsid w:val="002430F5"/>
    <w:rsid w:val="00243702"/>
    <w:rsid w:val="00243A1E"/>
    <w:rsid w:val="00243BBE"/>
    <w:rsid w:val="00243D55"/>
    <w:rsid w:val="002446AD"/>
    <w:rsid w:val="00245544"/>
    <w:rsid w:val="00245BF8"/>
    <w:rsid w:val="00245DD0"/>
    <w:rsid w:val="00245F3A"/>
    <w:rsid w:val="00246307"/>
    <w:rsid w:val="00246E36"/>
    <w:rsid w:val="00250746"/>
    <w:rsid w:val="00250986"/>
    <w:rsid w:val="00250E06"/>
    <w:rsid w:val="0025139A"/>
    <w:rsid w:val="002513B4"/>
    <w:rsid w:val="00251648"/>
    <w:rsid w:val="002516DB"/>
    <w:rsid w:val="002516EF"/>
    <w:rsid w:val="0025197B"/>
    <w:rsid w:val="0025276B"/>
    <w:rsid w:val="002529A2"/>
    <w:rsid w:val="00252C26"/>
    <w:rsid w:val="00252CD5"/>
    <w:rsid w:val="00253476"/>
    <w:rsid w:val="00253CA4"/>
    <w:rsid w:val="00254992"/>
    <w:rsid w:val="00254E78"/>
    <w:rsid w:val="0025547B"/>
    <w:rsid w:val="00255502"/>
    <w:rsid w:val="00255863"/>
    <w:rsid w:val="00255D83"/>
    <w:rsid w:val="00255F4F"/>
    <w:rsid w:val="00256E3E"/>
    <w:rsid w:val="00256EBF"/>
    <w:rsid w:val="00257075"/>
    <w:rsid w:val="00257087"/>
    <w:rsid w:val="00257223"/>
    <w:rsid w:val="002579D5"/>
    <w:rsid w:val="002600E8"/>
    <w:rsid w:val="00260313"/>
    <w:rsid w:val="0026098B"/>
    <w:rsid w:val="00260CA1"/>
    <w:rsid w:val="0026159E"/>
    <w:rsid w:val="00261EB9"/>
    <w:rsid w:val="00262279"/>
    <w:rsid w:val="00262360"/>
    <w:rsid w:val="002623BF"/>
    <w:rsid w:val="002633E8"/>
    <w:rsid w:val="00263494"/>
    <w:rsid w:val="00263EF5"/>
    <w:rsid w:val="00264241"/>
    <w:rsid w:val="00264527"/>
    <w:rsid w:val="00264C50"/>
    <w:rsid w:val="00265E3E"/>
    <w:rsid w:val="0026600E"/>
    <w:rsid w:val="0026608E"/>
    <w:rsid w:val="00266100"/>
    <w:rsid w:val="00266445"/>
    <w:rsid w:val="00266B09"/>
    <w:rsid w:val="002671FF"/>
    <w:rsid w:val="00267921"/>
    <w:rsid w:val="00267AA2"/>
    <w:rsid w:val="00267E8B"/>
    <w:rsid w:val="0027003C"/>
    <w:rsid w:val="0027004C"/>
    <w:rsid w:val="00270598"/>
    <w:rsid w:val="00271374"/>
    <w:rsid w:val="00271536"/>
    <w:rsid w:val="0027194A"/>
    <w:rsid w:val="002736C1"/>
    <w:rsid w:val="00273C05"/>
    <w:rsid w:val="00273D09"/>
    <w:rsid w:val="00275069"/>
    <w:rsid w:val="00275267"/>
    <w:rsid w:val="00275831"/>
    <w:rsid w:val="00275D8E"/>
    <w:rsid w:val="00276725"/>
    <w:rsid w:val="00277417"/>
    <w:rsid w:val="00277518"/>
    <w:rsid w:val="00277A19"/>
    <w:rsid w:val="00280572"/>
    <w:rsid w:val="00280BEE"/>
    <w:rsid w:val="002817D0"/>
    <w:rsid w:val="002821F7"/>
    <w:rsid w:val="00282EEF"/>
    <w:rsid w:val="0028419B"/>
    <w:rsid w:val="002841FC"/>
    <w:rsid w:val="0028447A"/>
    <w:rsid w:val="00284A52"/>
    <w:rsid w:val="00284B1A"/>
    <w:rsid w:val="00284DD7"/>
    <w:rsid w:val="00285EED"/>
    <w:rsid w:val="00286107"/>
    <w:rsid w:val="002868FB"/>
    <w:rsid w:val="00286C31"/>
    <w:rsid w:val="00286C65"/>
    <w:rsid w:val="00286C78"/>
    <w:rsid w:val="00286D32"/>
    <w:rsid w:val="00286ED8"/>
    <w:rsid w:val="002873EA"/>
    <w:rsid w:val="00287812"/>
    <w:rsid w:val="00290D50"/>
    <w:rsid w:val="00290F0D"/>
    <w:rsid w:val="002913B3"/>
    <w:rsid w:val="002917DB"/>
    <w:rsid w:val="00292690"/>
    <w:rsid w:val="00292A6E"/>
    <w:rsid w:val="00292C4D"/>
    <w:rsid w:val="002936CC"/>
    <w:rsid w:val="00293784"/>
    <w:rsid w:val="00295A0A"/>
    <w:rsid w:val="00295CE7"/>
    <w:rsid w:val="002961FA"/>
    <w:rsid w:val="00296A5A"/>
    <w:rsid w:val="00296AC5"/>
    <w:rsid w:val="00297C6A"/>
    <w:rsid w:val="002A0459"/>
    <w:rsid w:val="002A1469"/>
    <w:rsid w:val="002A18D7"/>
    <w:rsid w:val="002A236D"/>
    <w:rsid w:val="002A2489"/>
    <w:rsid w:val="002A24FD"/>
    <w:rsid w:val="002A274C"/>
    <w:rsid w:val="002A36D7"/>
    <w:rsid w:val="002A3E21"/>
    <w:rsid w:val="002A538A"/>
    <w:rsid w:val="002A5737"/>
    <w:rsid w:val="002A61A4"/>
    <w:rsid w:val="002A6966"/>
    <w:rsid w:val="002A75A1"/>
    <w:rsid w:val="002A7703"/>
    <w:rsid w:val="002A78C2"/>
    <w:rsid w:val="002A796E"/>
    <w:rsid w:val="002A7B2A"/>
    <w:rsid w:val="002A7D6B"/>
    <w:rsid w:val="002B1C21"/>
    <w:rsid w:val="002B2EBC"/>
    <w:rsid w:val="002B3617"/>
    <w:rsid w:val="002B4108"/>
    <w:rsid w:val="002B46E0"/>
    <w:rsid w:val="002B5AE9"/>
    <w:rsid w:val="002B5E5F"/>
    <w:rsid w:val="002B617C"/>
    <w:rsid w:val="002B6644"/>
    <w:rsid w:val="002B6CD0"/>
    <w:rsid w:val="002B6EA6"/>
    <w:rsid w:val="002B761E"/>
    <w:rsid w:val="002B79E4"/>
    <w:rsid w:val="002B7E1C"/>
    <w:rsid w:val="002B7FE5"/>
    <w:rsid w:val="002C0F12"/>
    <w:rsid w:val="002C25C6"/>
    <w:rsid w:val="002C27A5"/>
    <w:rsid w:val="002C28AC"/>
    <w:rsid w:val="002C2A53"/>
    <w:rsid w:val="002C40D5"/>
    <w:rsid w:val="002C4CAF"/>
    <w:rsid w:val="002C4D49"/>
    <w:rsid w:val="002C5504"/>
    <w:rsid w:val="002C5EBE"/>
    <w:rsid w:val="002C6649"/>
    <w:rsid w:val="002C6BF9"/>
    <w:rsid w:val="002C6DCE"/>
    <w:rsid w:val="002D095E"/>
    <w:rsid w:val="002D188A"/>
    <w:rsid w:val="002D1D94"/>
    <w:rsid w:val="002D20D4"/>
    <w:rsid w:val="002D21C5"/>
    <w:rsid w:val="002D230E"/>
    <w:rsid w:val="002D32E3"/>
    <w:rsid w:val="002D3744"/>
    <w:rsid w:val="002D3DA3"/>
    <w:rsid w:val="002D43A9"/>
    <w:rsid w:val="002D4B0B"/>
    <w:rsid w:val="002D5319"/>
    <w:rsid w:val="002D5619"/>
    <w:rsid w:val="002D5B9C"/>
    <w:rsid w:val="002D5EB0"/>
    <w:rsid w:val="002D64DE"/>
    <w:rsid w:val="002D72F8"/>
    <w:rsid w:val="002D7E30"/>
    <w:rsid w:val="002E0CC8"/>
    <w:rsid w:val="002E0FB5"/>
    <w:rsid w:val="002E11DD"/>
    <w:rsid w:val="002E21E7"/>
    <w:rsid w:val="002E29AB"/>
    <w:rsid w:val="002E2B4D"/>
    <w:rsid w:val="002E2CD8"/>
    <w:rsid w:val="002E3133"/>
    <w:rsid w:val="002E386F"/>
    <w:rsid w:val="002E472E"/>
    <w:rsid w:val="002E54F4"/>
    <w:rsid w:val="002E5998"/>
    <w:rsid w:val="002E5AE8"/>
    <w:rsid w:val="002E5B95"/>
    <w:rsid w:val="002E7479"/>
    <w:rsid w:val="002E7F7A"/>
    <w:rsid w:val="002F06E5"/>
    <w:rsid w:val="002F070C"/>
    <w:rsid w:val="002F0B1A"/>
    <w:rsid w:val="002F198B"/>
    <w:rsid w:val="002F2665"/>
    <w:rsid w:val="002F2A82"/>
    <w:rsid w:val="002F2C81"/>
    <w:rsid w:val="002F444A"/>
    <w:rsid w:val="002F47FA"/>
    <w:rsid w:val="002F4919"/>
    <w:rsid w:val="002F4BED"/>
    <w:rsid w:val="002F604A"/>
    <w:rsid w:val="002F6807"/>
    <w:rsid w:val="002F6FC2"/>
    <w:rsid w:val="002F7659"/>
    <w:rsid w:val="002F7A5A"/>
    <w:rsid w:val="00300280"/>
    <w:rsid w:val="003003A3"/>
    <w:rsid w:val="00301393"/>
    <w:rsid w:val="00301DCA"/>
    <w:rsid w:val="00301ECC"/>
    <w:rsid w:val="00303A3C"/>
    <w:rsid w:val="00303D8A"/>
    <w:rsid w:val="003042E5"/>
    <w:rsid w:val="0030438E"/>
    <w:rsid w:val="003045C4"/>
    <w:rsid w:val="00305863"/>
    <w:rsid w:val="003058AF"/>
    <w:rsid w:val="00305B3F"/>
    <w:rsid w:val="00305BF4"/>
    <w:rsid w:val="00306182"/>
    <w:rsid w:val="00306F79"/>
    <w:rsid w:val="003070B2"/>
    <w:rsid w:val="0030767C"/>
    <w:rsid w:val="00310525"/>
    <w:rsid w:val="003107C1"/>
    <w:rsid w:val="00310986"/>
    <w:rsid w:val="00311958"/>
    <w:rsid w:val="00312849"/>
    <w:rsid w:val="00312C4B"/>
    <w:rsid w:val="00313ABB"/>
    <w:rsid w:val="00313AE2"/>
    <w:rsid w:val="003142CF"/>
    <w:rsid w:val="003158F2"/>
    <w:rsid w:val="0031611F"/>
    <w:rsid w:val="00316977"/>
    <w:rsid w:val="00317A9A"/>
    <w:rsid w:val="00320B59"/>
    <w:rsid w:val="003221AD"/>
    <w:rsid w:val="0032402D"/>
    <w:rsid w:val="0032472C"/>
    <w:rsid w:val="0032486A"/>
    <w:rsid w:val="00324CF0"/>
    <w:rsid w:val="00324EF2"/>
    <w:rsid w:val="00325E43"/>
    <w:rsid w:val="003263EA"/>
    <w:rsid w:val="00327166"/>
    <w:rsid w:val="00327262"/>
    <w:rsid w:val="00327729"/>
    <w:rsid w:val="00327E81"/>
    <w:rsid w:val="00330911"/>
    <w:rsid w:val="003317B8"/>
    <w:rsid w:val="00331882"/>
    <w:rsid w:val="00331A62"/>
    <w:rsid w:val="00331D7E"/>
    <w:rsid w:val="003321D1"/>
    <w:rsid w:val="00332866"/>
    <w:rsid w:val="00332D2F"/>
    <w:rsid w:val="003338DD"/>
    <w:rsid w:val="00333BEE"/>
    <w:rsid w:val="00334400"/>
    <w:rsid w:val="00334776"/>
    <w:rsid w:val="003349D9"/>
    <w:rsid w:val="00334C61"/>
    <w:rsid w:val="0033568C"/>
    <w:rsid w:val="00335FC2"/>
    <w:rsid w:val="0033643D"/>
    <w:rsid w:val="00336B58"/>
    <w:rsid w:val="0033715E"/>
    <w:rsid w:val="00337368"/>
    <w:rsid w:val="003378BD"/>
    <w:rsid w:val="003405A5"/>
    <w:rsid w:val="00341169"/>
    <w:rsid w:val="00341797"/>
    <w:rsid w:val="0034185B"/>
    <w:rsid w:val="00341B40"/>
    <w:rsid w:val="00342FF5"/>
    <w:rsid w:val="003434E8"/>
    <w:rsid w:val="003445C6"/>
    <w:rsid w:val="00344872"/>
    <w:rsid w:val="00344949"/>
    <w:rsid w:val="00344CF2"/>
    <w:rsid w:val="00344FE6"/>
    <w:rsid w:val="00345482"/>
    <w:rsid w:val="003458C6"/>
    <w:rsid w:val="00345B27"/>
    <w:rsid w:val="00345CF5"/>
    <w:rsid w:val="00345DFD"/>
    <w:rsid w:val="00347377"/>
    <w:rsid w:val="00350383"/>
    <w:rsid w:val="0035080B"/>
    <w:rsid w:val="00350F52"/>
    <w:rsid w:val="003512B5"/>
    <w:rsid w:val="00351893"/>
    <w:rsid w:val="0035282B"/>
    <w:rsid w:val="00352E8A"/>
    <w:rsid w:val="00352EC9"/>
    <w:rsid w:val="00354E37"/>
    <w:rsid w:val="0035559D"/>
    <w:rsid w:val="00355E42"/>
    <w:rsid w:val="00356AC4"/>
    <w:rsid w:val="00357839"/>
    <w:rsid w:val="00357C8A"/>
    <w:rsid w:val="00360835"/>
    <w:rsid w:val="003609AA"/>
    <w:rsid w:val="003609AB"/>
    <w:rsid w:val="00360B64"/>
    <w:rsid w:val="00360DB8"/>
    <w:rsid w:val="0036266C"/>
    <w:rsid w:val="003630C3"/>
    <w:rsid w:val="003632AD"/>
    <w:rsid w:val="00363518"/>
    <w:rsid w:val="00363A81"/>
    <w:rsid w:val="0036434D"/>
    <w:rsid w:val="00364D4B"/>
    <w:rsid w:val="00364E9C"/>
    <w:rsid w:val="003657DD"/>
    <w:rsid w:val="0036631B"/>
    <w:rsid w:val="003666C9"/>
    <w:rsid w:val="00366FD0"/>
    <w:rsid w:val="003677D1"/>
    <w:rsid w:val="00367982"/>
    <w:rsid w:val="00367B36"/>
    <w:rsid w:val="00367DDA"/>
    <w:rsid w:val="00367F6D"/>
    <w:rsid w:val="003709CB"/>
    <w:rsid w:val="00370E3F"/>
    <w:rsid w:val="00370FC8"/>
    <w:rsid w:val="0037100C"/>
    <w:rsid w:val="00371886"/>
    <w:rsid w:val="003725C6"/>
    <w:rsid w:val="00373483"/>
    <w:rsid w:val="00373B27"/>
    <w:rsid w:val="00374583"/>
    <w:rsid w:val="00375D8D"/>
    <w:rsid w:val="003760AD"/>
    <w:rsid w:val="00377BA0"/>
    <w:rsid w:val="00377D3E"/>
    <w:rsid w:val="00380DFA"/>
    <w:rsid w:val="00381B80"/>
    <w:rsid w:val="00382072"/>
    <w:rsid w:val="003822E9"/>
    <w:rsid w:val="00382C13"/>
    <w:rsid w:val="003833AC"/>
    <w:rsid w:val="003836AA"/>
    <w:rsid w:val="0038422C"/>
    <w:rsid w:val="0038534C"/>
    <w:rsid w:val="00385A0F"/>
    <w:rsid w:val="00385F7D"/>
    <w:rsid w:val="0038607B"/>
    <w:rsid w:val="00387338"/>
    <w:rsid w:val="003875E8"/>
    <w:rsid w:val="003909B5"/>
    <w:rsid w:val="00392A8B"/>
    <w:rsid w:val="00392FA3"/>
    <w:rsid w:val="00393216"/>
    <w:rsid w:val="00393793"/>
    <w:rsid w:val="00393AD4"/>
    <w:rsid w:val="003952A3"/>
    <w:rsid w:val="0039530A"/>
    <w:rsid w:val="0039543D"/>
    <w:rsid w:val="00395528"/>
    <w:rsid w:val="00395642"/>
    <w:rsid w:val="003A009B"/>
    <w:rsid w:val="003A0E92"/>
    <w:rsid w:val="003A155F"/>
    <w:rsid w:val="003A1921"/>
    <w:rsid w:val="003A2242"/>
    <w:rsid w:val="003A2476"/>
    <w:rsid w:val="003A4149"/>
    <w:rsid w:val="003A4532"/>
    <w:rsid w:val="003A471A"/>
    <w:rsid w:val="003A47B0"/>
    <w:rsid w:val="003A4932"/>
    <w:rsid w:val="003A4A65"/>
    <w:rsid w:val="003A5E5D"/>
    <w:rsid w:val="003A67CA"/>
    <w:rsid w:val="003A6C0C"/>
    <w:rsid w:val="003A7C60"/>
    <w:rsid w:val="003B0C0D"/>
    <w:rsid w:val="003B0C66"/>
    <w:rsid w:val="003B0CD9"/>
    <w:rsid w:val="003B0DCE"/>
    <w:rsid w:val="003B2551"/>
    <w:rsid w:val="003B365F"/>
    <w:rsid w:val="003B3FB3"/>
    <w:rsid w:val="003B404F"/>
    <w:rsid w:val="003B4230"/>
    <w:rsid w:val="003B4430"/>
    <w:rsid w:val="003B4760"/>
    <w:rsid w:val="003B47F5"/>
    <w:rsid w:val="003B504F"/>
    <w:rsid w:val="003B5FB2"/>
    <w:rsid w:val="003B6060"/>
    <w:rsid w:val="003B6287"/>
    <w:rsid w:val="003B71E3"/>
    <w:rsid w:val="003B7A07"/>
    <w:rsid w:val="003C0070"/>
    <w:rsid w:val="003C010A"/>
    <w:rsid w:val="003C0C82"/>
    <w:rsid w:val="003C0F4C"/>
    <w:rsid w:val="003C0FB1"/>
    <w:rsid w:val="003C166F"/>
    <w:rsid w:val="003C1769"/>
    <w:rsid w:val="003C178E"/>
    <w:rsid w:val="003C20DA"/>
    <w:rsid w:val="003C23CC"/>
    <w:rsid w:val="003C23D9"/>
    <w:rsid w:val="003C2BA7"/>
    <w:rsid w:val="003C2BDB"/>
    <w:rsid w:val="003C33DA"/>
    <w:rsid w:val="003C5054"/>
    <w:rsid w:val="003C5188"/>
    <w:rsid w:val="003C5776"/>
    <w:rsid w:val="003C5F6F"/>
    <w:rsid w:val="003C61E5"/>
    <w:rsid w:val="003C68BE"/>
    <w:rsid w:val="003C7906"/>
    <w:rsid w:val="003C7964"/>
    <w:rsid w:val="003C7EDA"/>
    <w:rsid w:val="003D02F6"/>
    <w:rsid w:val="003D04F7"/>
    <w:rsid w:val="003D06B6"/>
    <w:rsid w:val="003D0BD2"/>
    <w:rsid w:val="003D17E7"/>
    <w:rsid w:val="003D1EC6"/>
    <w:rsid w:val="003D2061"/>
    <w:rsid w:val="003D2109"/>
    <w:rsid w:val="003D2325"/>
    <w:rsid w:val="003D546F"/>
    <w:rsid w:val="003D76D3"/>
    <w:rsid w:val="003E02AA"/>
    <w:rsid w:val="003E0425"/>
    <w:rsid w:val="003E0ED9"/>
    <w:rsid w:val="003E108A"/>
    <w:rsid w:val="003E1842"/>
    <w:rsid w:val="003E1AE5"/>
    <w:rsid w:val="003E22DA"/>
    <w:rsid w:val="003E35DA"/>
    <w:rsid w:val="003E3699"/>
    <w:rsid w:val="003E3B86"/>
    <w:rsid w:val="003E3B88"/>
    <w:rsid w:val="003E3C8E"/>
    <w:rsid w:val="003E45E7"/>
    <w:rsid w:val="003E4CE1"/>
    <w:rsid w:val="003E500D"/>
    <w:rsid w:val="003E59E8"/>
    <w:rsid w:val="003E7FBE"/>
    <w:rsid w:val="003F0113"/>
    <w:rsid w:val="003F02B1"/>
    <w:rsid w:val="003F2A79"/>
    <w:rsid w:val="003F38A1"/>
    <w:rsid w:val="003F3A54"/>
    <w:rsid w:val="003F4763"/>
    <w:rsid w:val="003F480E"/>
    <w:rsid w:val="003F614C"/>
    <w:rsid w:val="003F61B6"/>
    <w:rsid w:val="003F6DF6"/>
    <w:rsid w:val="003F797D"/>
    <w:rsid w:val="00400075"/>
    <w:rsid w:val="004017C2"/>
    <w:rsid w:val="00401B28"/>
    <w:rsid w:val="00401D4D"/>
    <w:rsid w:val="004027B7"/>
    <w:rsid w:val="004028F2"/>
    <w:rsid w:val="004032F7"/>
    <w:rsid w:val="00403929"/>
    <w:rsid w:val="00404180"/>
    <w:rsid w:val="00404977"/>
    <w:rsid w:val="00404C31"/>
    <w:rsid w:val="00405888"/>
    <w:rsid w:val="00406396"/>
    <w:rsid w:val="0040645F"/>
    <w:rsid w:val="00406675"/>
    <w:rsid w:val="00406C5F"/>
    <w:rsid w:val="004070EE"/>
    <w:rsid w:val="0041098C"/>
    <w:rsid w:val="00410D95"/>
    <w:rsid w:val="004112E5"/>
    <w:rsid w:val="00411625"/>
    <w:rsid w:val="00411F46"/>
    <w:rsid w:val="004130AF"/>
    <w:rsid w:val="00413AD8"/>
    <w:rsid w:val="00413C05"/>
    <w:rsid w:val="004146E4"/>
    <w:rsid w:val="00414BC5"/>
    <w:rsid w:val="00414E16"/>
    <w:rsid w:val="0041706F"/>
    <w:rsid w:val="00417802"/>
    <w:rsid w:val="004203F4"/>
    <w:rsid w:val="00421232"/>
    <w:rsid w:val="004212ED"/>
    <w:rsid w:val="004218E7"/>
    <w:rsid w:val="00421A1F"/>
    <w:rsid w:val="004223AC"/>
    <w:rsid w:val="004224FF"/>
    <w:rsid w:val="004228CC"/>
    <w:rsid w:val="00423405"/>
    <w:rsid w:val="00424369"/>
    <w:rsid w:val="00424548"/>
    <w:rsid w:val="004247B1"/>
    <w:rsid w:val="00424ACA"/>
    <w:rsid w:val="00425592"/>
    <w:rsid w:val="00425747"/>
    <w:rsid w:val="00426284"/>
    <w:rsid w:val="0042636E"/>
    <w:rsid w:val="00426969"/>
    <w:rsid w:val="00426FBC"/>
    <w:rsid w:val="004271F8"/>
    <w:rsid w:val="00427878"/>
    <w:rsid w:val="00427E63"/>
    <w:rsid w:val="00430033"/>
    <w:rsid w:val="004306DE"/>
    <w:rsid w:val="00430A95"/>
    <w:rsid w:val="00430DCA"/>
    <w:rsid w:val="00430EEE"/>
    <w:rsid w:val="004310D0"/>
    <w:rsid w:val="004310D1"/>
    <w:rsid w:val="004313B6"/>
    <w:rsid w:val="00432537"/>
    <w:rsid w:val="00432CB9"/>
    <w:rsid w:val="00432EC8"/>
    <w:rsid w:val="004330AB"/>
    <w:rsid w:val="00434175"/>
    <w:rsid w:val="004341E1"/>
    <w:rsid w:val="00434369"/>
    <w:rsid w:val="00434CD5"/>
    <w:rsid w:val="00435293"/>
    <w:rsid w:val="004353DD"/>
    <w:rsid w:val="00435405"/>
    <w:rsid w:val="004359DF"/>
    <w:rsid w:val="00435F05"/>
    <w:rsid w:val="00436427"/>
    <w:rsid w:val="00436D61"/>
    <w:rsid w:val="00437261"/>
    <w:rsid w:val="0043737F"/>
    <w:rsid w:val="004379F3"/>
    <w:rsid w:val="00437D5D"/>
    <w:rsid w:val="00437EDF"/>
    <w:rsid w:val="00440010"/>
    <w:rsid w:val="00441686"/>
    <w:rsid w:val="0044178F"/>
    <w:rsid w:val="00441AE9"/>
    <w:rsid w:val="00441BF7"/>
    <w:rsid w:val="00442C5C"/>
    <w:rsid w:val="00443B2D"/>
    <w:rsid w:val="00443BBF"/>
    <w:rsid w:val="0044421B"/>
    <w:rsid w:val="00444A27"/>
    <w:rsid w:val="00444D8A"/>
    <w:rsid w:val="00445509"/>
    <w:rsid w:val="004469F9"/>
    <w:rsid w:val="00447513"/>
    <w:rsid w:val="00450D9D"/>
    <w:rsid w:val="00450DBC"/>
    <w:rsid w:val="0045123D"/>
    <w:rsid w:val="004526BE"/>
    <w:rsid w:val="00452E02"/>
    <w:rsid w:val="004539B1"/>
    <w:rsid w:val="00453EA3"/>
    <w:rsid w:val="00454BD6"/>
    <w:rsid w:val="00454C01"/>
    <w:rsid w:val="004554CD"/>
    <w:rsid w:val="00455884"/>
    <w:rsid w:val="00456C0B"/>
    <w:rsid w:val="0045767C"/>
    <w:rsid w:val="0045777E"/>
    <w:rsid w:val="004579CE"/>
    <w:rsid w:val="00460CB8"/>
    <w:rsid w:val="00460F3B"/>
    <w:rsid w:val="00461198"/>
    <w:rsid w:val="00461964"/>
    <w:rsid w:val="0046268A"/>
    <w:rsid w:val="00462C9C"/>
    <w:rsid w:val="004650CE"/>
    <w:rsid w:val="004652D3"/>
    <w:rsid w:val="00466006"/>
    <w:rsid w:val="00466323"/>
    <w:rsid w:val="00466B0D"/>
    <w:rsid w:val="00467DBF"/>
    <w:rsid w:val="004707FD"/>
    <w:rsid w:val="00470FC8"/>
    <w:rsid w:val="00471458"/>
    <w:rsid w:val="00471C50"/>
    <w:rsid w:val="00472AC4"/>
    <w:rsid w:val="00473427"/>
    <w:rsid w:val="004739B1"/>
    <w:rsid w:val="00473A8E"/>
    <w:rsid w:val="00473DF2"/>
    <w:rsid w:val="004747F1"/>
    <w:rsid w:val="00474803"/>
    <w:rsid w:val="00474ACC"/>
    <w:rsid w:val="00474F61"/>
    <w:rsid w:val="004751C3"/>
    <w:rsid w:val="00475CC2"/>
    <w:rsid w:val="00476064"/>
    <w:rsid w:val="0047704A"/>
    <w:rsid w:val="00477465"/>
    <w:rsid w:val="004801A8"/>
    <w:rsid w:val="00481410"/>
    <w:rsid w:val="00481876"/>
    <w:rsid w:val="004819D2"/>
    <w:rsid w:val="00481B2C"/>
    <w:rsid w:val="00482A06"/>
    <w:rsid w:val="00482AF2"/>
    <w:rsid w:val="00482DE2"/>
    <w:rsid w:val="00482E70"/>
    <w:rsid w:val="00483550"/>
    <w:rsid w:val="00484435"/>
    <w:rsid w:val="004849B8"/>
    <w:rsid w:val="00485AA2"/>
    <w:rsid w:val="00485AA4"/>
    <w:rsid w:val="00485CBE"/>
    <w:rsid w:val="004860BE"/>
    <w:rsid w:val="004867BB"/>
    <w:rsid w:val="004867DB"/>
    <w:rsid w:val="004867F7"/>
    <w:rsid w:val="004869AC"/>
    <w:rsid w:val="00486C93"/>
    <w:rsid w:val="00490B4E"/>
    <w:rsid w:val="0049190A"/>
    <w:rsid w:val="00491D5A"/>
    <w:rsid w:val="00492841"/>
    <w:rsid w:val="0049295E"/>
    <w:rsid w:val="004930F6"/>
    <w:rsid w:val="00493693"/>
    <w:rsid w:val="004938FC"/>
    <w:rsid w:val="00493EB1"/>
    <w:rsid w:val="00494439"/>
    <w:rsid w:val="00494BD3"/>
    <w:rsid w:val="00494CC3"/>
    <w:rsid w:val="00495381"/>
    <w:rsid w:val="00495C86"/>
    <w:rsid w:val="00495EC8"/>
    <w:rsid w:val="004961D5"/>
    <w:rsid w:val="0049688C"/>
    <w:rsid w:val="00497E05"/>
    <w:rsid w:val="004A07A3"/>
    <w:rsid w:val="004A09A8"/>
    <w:rsid w:val="004A0D3C"/>
    <w:rsid w:val="004A157C"/>
    <w:rsid w:val="004A19B9"/>
    <w:rsid w:val="004A3C71"/>
    <w:rsid w:val="004A47BD"/>
    <w:rsid w:val="004A47C2"/>
    <w:rsid w:val="004A52FC"/>
    <w:rsid w:val="004A64FC"/>
    <w:rsid w:val="004A6E18"/>
    <w:rsid w:val="004A706F"/>
    <w:rsid w:val="004A74E4"/>
    <w:rsid w:val="004B077D"/>
    <w:rsid w:val="004B0BA7"/>
    <w:rsid w:val="004B0FDA"/>
    <w:rsid w:val="004B1405"/>
    <w:rsid w:val="004B149F"/>
    <w:rsid w:val="004B15CD"/>
    <w:rsid w:val="004B18B8"/>
    <w:rsid w:val="004B2A0A"/>
    <w:rsid w:val="004B2A85"/>
    <w:rsid w:val="004B3E6F"/>
    <w:rsid w:val="004B3F5E"/>
    <w:rsid w:val="004B4017"/>
    <w:rsid w:val="004B4042"/>
    <w:rsid w:val="004B4266"/>
    <w:rsid w:val="004B5CBA"/>
    <w:rsid w:val="004B684D"/>
    <w:rsid w:val="004B6EA1"/>
    <w:rsid w:val="004B70C1"/>
    <w:rsid w:val="004B7294"/>
    <w:rsid w:val="004B739E"/>
    <w:rsid w:val="004B782A"/>
    <w:rsid w:val="004B7CDC"/>
    <w:rsid w:val="004B7DB6"/>
    <w:rsid w:val="004B7DFC"/>
    <w:rsid w:val="004C0F8A"/>
    <w:rsid w:val="004C1942"/>
    <w:rsid w:val="004C2432"/>
    <w:rsid w:val="004C4680"/>
    <w:rsid w:val="004C4898"/>
    <w:rsid w:val="004C6E24"/>
    <w:rsid w:val="004C7030"/>
    <w:rsid w:val="004C73CC"/>
    <w:rsid w:val="004C767B"/>
    <w:rsid w:val="004C7C47"/>
    <w:rsid w:val="004C7FEE"/>
    <w:rsid w:val="004D02CD"/>
    <w:rsid w:val="004D072E"/>
    <w:rsid w:val="004D08E4"/>
    <w:rsid w:val="004D0A63"/>
    <w:rsid w:val="004D0E31"/>
    <w:rsid w:val="004D116E"/>
    <w:rsid w:val="004D169B"/>
    <w:rsid w:val="004D264E"/>
    <w:rsid w:val="004D33B0"/>
    <w:rsid w:val="004D3620"/>
    <w:rsid w:val="004D45A7"/>
    <w:rsid w:val="004D485E"/>
    <w:rsid w:val="004D4E20"/>
    <w:rsid w:val="004D5580"/>
    <w:rsid w:val="004D6BFB"/>
    <w:rsid w:val="004D7066"/>
    <w:rsid w:val="004D7113"/>
    <w:rsid w:val="004D7671"/>
    <w:rsid w:val="004D7ED2"/>
    <w:rsid w:val="004E048D"/>
    <w:rsid w:val="004E0B7D"/>
    <w:rsid w:val="004E0BE5"/>
    <w:rsid w:val="004E1489"/>
    <w:rsid w:val="004E276C"/>
    <w:rsid w:val="004E2F5C"/>
    <w:rsid w:val="004E30C7"/>
    <w:rsid w:val="004E31C6"/>
    <w:rsid w:val="004E333F"/>
    <w:rsid w:val="004E349D"/>
    <w:rsid w:val="004E36D7"/>
    <w:rsid w:val="004E3797"/>
    <w:rsid w:val="004E3A71"/>
    <w:rsid w:val="004E3F5D"/>
    <w:rsid w:val="004E4072"/>
    <w:rsid w:val="004E46FF"/>
    <w:rsid w:val="004E54A9"/>
    <w:rsid w:val="004E5864"/>
    <w:rsid w:val="004E5C13"/>
    <w:rsid w:val="004E5E9D"/>
    <w:rsid w:val="004E60F5"/>
    <w:rsid w:val="004E6A28"/>
    <w:rsid w:val="004E6F35"/>
    <w:rsid w:val="004E704B"/>
    <w:rsid w:val="004E72BC"/>
    <w:rsid w:val="004E7417"/>
    <w:rsid w:val="004E7D25"/>
    <w:rsid w:val="004F1210"/>
    <w:rsid w:val="004F1C64"/>
    <w:rsid w:val="004F36BE"/>
    <w:rsid w:val="004F383A"/>
    <w:rsid w:val="004F384D"/>
    <w:rsid w:val="004F386F"/>
    <w:rsid w:val="004F3D41"/>
    <w:rsid w:val="004F4AE8"/>
    <w:rsid w:val="004F4C35"/>
    <w:rsid w:val="004F5907"/>
    <w:rsid w:val="004F5A6E"/>
    <w:rsid w:val="004F618D"/>
    <w:rsid w:val="00500609"/>
    <w:rsid w:val="00500B1D"/>
    <w:rsid w:val="00500ED6"/>
    <w:rsid w:val="00500F13"/>
    <w:rsid w:val="0050156A"/>
    <w:rsid w:val="0050185A"/>
    <w:rsid w:val="00501D25"/>
    <w:rsid w:val="005026CC"/>
    <w:rsid w:val="0050277A"/>
    <w:rsid w:val="00502CF6"/>
    <w:rsid w:val="00502F86"/>
    <w:rsid w:val="005030D9"/>
    <w:rsid w:val="00504ACD"/>
    <w:rsid w:val="00504AF8"/>
    <w:rsid w:val="00504D39"/>
    <w:rsid w:val="00505843"/>
    <w:rsid w:val="00506299"/>
    <w:rsid w:val="00507B91"/>
    <w:rsid w:val="00510B42"/>
    <w:rsid w:val="00510F2B"/>
    <w:rsid w:val="00511F4E"/>
    <w:rsid w:val="005124C8"/>
    <w:rsid w:val="00512522"/>
    <w:rsid w:val="005130CC"/>
    <w:rsid w:val="00513F29"/>
    <w:rsid w:val="00516590"/>
    <w:rsid w:val="00516958"/>
    <w:rsid w:val="00516D65"/>
    <w:rsid w:val="00516D73"/>
    <w:rsid w:val="005172D6"/>
    <w:rsid w:val="00517334"/>
    <w:rsid w:val="00517EC9"/>
    <w:rsid w:val="00520403"/>
    <w:rsid w:val="0052106E"/>
    <w:rsid w:val="00522CC4"/>
    <w:rsid w:val="00522E96"/>
    <w:rsid w:val="005233A2"/>
    <w:rsid w:val="005235FC"/>
    <w:rsid w:val="00523B22"/>
    <w:rsid w:val="00524807"/>
    <w:rsid w:val="00524F61"/>
    <w:rsid w:val="0052536F"/>
    <w:rsid w:val="005258C9"/>
    <w:rsid w:val="00525DA2"/>
    <w:rsid w:val="00526039"/>
    <w:rsid w:val="00526A15"/>
    <w:rsid w:val="00527494"/>
    <w:rsid w:val="00527634"/>
    <w:rsid w:val="005304D1"/>
    <w:rsid w:val="005316AC"/>
    <w:rsid w:val="00532A7D"/>
    <w:rsid w:val="00532AD2"/>
    <w:rsid w:val="00532DE8"/>
    <w:rsid w:val="00533816"/>
    <w:rsid w:val="00533B42"/>
    <w:rsid w:val="00533BDE"/>
    <w:rsid w:val="00533C99"/>
    <w:rsid w:val="00534A75"/>
    <w:rsid w:val="00534ABD"/>
    <w:rsid w:val="00535028"/>
    <w:rsid w:val="00535319"/>
    <w:rsid w:val="00535A4C"/>
    <w:rsid w:val="00535E56"/>
    <w:rsid w:val="00536029"/>
    <w:rsid w:val="005368B6"/>
    <w:rsid w:val="00537DA3"/>
    <w:rsid w:val="00537E56"/>
    <w:rsid w:val="00541DD0"/>
    <w:rsid w:val="00542568"/>
    <w:rsid w:val="005435EA"/>
    <w:rsid w:val="00543E2E"/>
    <w:rsid w:val="00544F73"/>
    <w:rsid w:val="0054518D"/>
    <w:rsid w:val="00545D63"/>
    <w:rsid w:val="005464B0"/>
    <w:rsid w:val="00546936"/>
    <w:rsid w:val="00546CD1"/>
    <w:rsid w:val="0054747E"/>
    <w:rsid w:val="005515AB"/>
    <w:rsid w:val="00551E7F"/>
    <w:rsid w:val="00552531"/>
    <w:rsid w:val="005529EB"/>
    <w:rsid w:val="00552A60"/>
    <w:rsid w:val="005536C7"/>
    <w:rsid w:val="005539DE"/>
    <w:rsid w:val="00553ABB"/>
    <w:rsid w:val="00553C0C"/>
    <w:rsid w:val="00553E65"/>
    <w:rsid w:val="00553EED"/>
    <w:rsid w:val="0055479D"/>
    <w:rsid w:val="00554891"/>
    <w:rsid w:val="005554C0"/>
    <w:rsid w:val="00555D15"/>
    <w:rsid w:val="0055651F"/>
    <w:rsid w:val="00556E7B"/>
    <w:rsid w:val="005572AB"/>
    <w:rsid w:val="00557D9B"/>
    <w:rsid w:val="00560814"/>
    <w:rsid w:val="00560C0A"/>
    <w:rsid w:val="00560D7A"/>
    <w:rsid w:val="00562191"/>
    <w:rsid w:val="00562426"/>
    <w:rsid w:val="00562A0D"/>
    <w:rsid w:val="00562F53"/>
    <w:rsid w:val="00563390"/>
    <w:rsid w:val="00563587"/>
    <w:rsid w:val="00563799"/>
    <w:rsid w:val="005643C8"/>
    <w:rsid w:val="0056488A"/>
    <w:rsid w:val="00564C03"/>
    <w:rsid w:val="0056591E"/>
    <w:rsid w:val="005661C6"/>
    <w:rsid w:val="005664B2"/>
    <w:rsid w:val="00567515"/>
    <w:rsid w:val="0056764B"/>
    <w:rsid w:val="00570929"/>
    <w:rsid w:val="005714D0"/>
    <w:rsid w:val="00571921"/>
    <w:rsid w:val="005722E9"/>
    <w:rsid w:val="0057233F"/>
    <w:rsid w:val="00572C41"/>
    <w:rsid w:val="0057398A"/>
    <w:rsid w:val="00574D1E"/>
    <w:rsid w:val="00575F28"/>
    <w:rsid w:val="005761C9"/>
    <w:rsid w:val="0057648F"/>
    <w:rsid w:val="00576DBE"/>
    <w:rsid w:val="00577264"/>
    <w:rsid w:val="00577932"/>
    <w:rsid w:val="0058055B"/>
    <w:rsid w:val="00580906"/>
    <w:rsid w:val="00581DC9"/>
    <w:rsid w:val="00581F00"/>
    <w:rsid w:val="0058209C"/>
    <w:rsid w:val="00582A50"/>
    <w:rsid w:val="00582D20"/>
    <w:rsid w:val="00583188"/>
    <w:rsid w:val="00583426"/>
    <w:rsid w:val="0058373B"/>
    <w:rsid w:val="00583E4C"/>
    <w:rsid w:val="00583E4E"/>
    <w:rsid w:val="005840CF"/>
    <w:rsid w:val="00584A0E"/>
    <w:rsid w:val="00584B79"/>
    <w:rsid w:val="00584EE3"/>
    <w:rsid w:val="005856E5"/>
    <w:rsid w:val="00585A0E"/>
    <w:rsid w:val="00585E85"/>
    <w:rsid w:val="00586925"/>
    <w:rsid w:val="00586A29"/>
    <w:rsid w:val="00586F30"/>
    <w:rsid w:val="00587379"/>
    <w:rsid w:val="005900C2"/>
    <w:rsid w:val="005906B2"/>
    <w:rsid w:val="005908AC"/>
    <w:rsid w:val="00590BA4"/>
    <w:rsid w:val="0059241A"/>
    <w:rsid w:val="00593150"/>
    <w:rsid w:val="005936C4"/>
    <w:rsid w:val="00593E6B"/>
    <w:rsid w:val="00594059"/>
    <w:rsid w:val="005954CA"/>
    <w:rsid w:val="005956BE"/>
    <w:rsid w:val="00595DC6"/>
    <w:rsid w:val="00595F10"/>
    <w:rsid w:val="005962D6"/>
    <w:rsid w:val="005972BA"/>
    <w:rsid w:val="0059779E"/>
    <w:rsid w:val="005A0434"/>
    <w:rsid w:val="005A0DDA"/>
    <w:rsid w:val="005A1B48"/>
    <w:rsid w:val="005A1BBA"/>
    <w:rsid w:val="005A1C9B"/>
    <w:rsid w:val="005A2F8B"/>
    <w:rsid w:val="005A3BB8"/>
    <w:rsid w:val="005A3FC6"/>
    <w:rsid w:val="005A4777"/>
    <w:rsid w:val="005A5C59"/>
    <w:rsid w:val="005A5E3D"/>
    <w:rsid w:val="005A6355"/>
    <w:rsid w:val="005A6A51"/>
    <w:rsid w:val="005A6D52"/>
    <w:rsid w:val="005A6DD7"/>
    <w:rsid w:val="005A71CD"/>
    <w:rsid w:val="005A77BB"/>
    <w:rsid w:val="005A7812"/>
    <w:rsid w:val="005A7E3E"/>
    <w:rsid w:val="005B015E"/>
    <w:rsid w:val="005B1BBD"/>
    <w:rsid w:val="005B23B3"/>
    <w:rsid w:val="005B3499"/>
    <w:rsid w:val="005B3831"/>
    <w:rsid w:val="005B3AB8"/>
    <w:rsid w:val="005B4470"/>
    <w:rsid w:val="005B45C7"/>
    <w:rsid w:val="005B4BD8"/>
    <w:rsid w:val="005B4CCB"/>
    <w:rsid w:val="005B4D2A"/>
    <w:rsid w:val="005B521E"/>
    <w:rsid w:val="005B5285"/>
    <w:rsid w:val="005B58F1"/>
    <w:rsid w:val="005B7B2E"/>
    <w:rsid w:val="005B7D95"/>
    <w:rsid w:val="005C0518"/>
    <w:rsid w:val="005C1E0E"/>
    <w:rsid w:val="005C2C49"/>
    <w:rsid w:val="005C2EED"/>
    <w:rsid w:val="005C2FDF"/>
    <w:rsid w:val="005C3463"/>
    <w:rsid w:val="005C36FD"/>
    <w:rsid w:val="005C3D02"/>
    <w:rsid w:val="005C4DC9"/>
    <w:rsid w:val="005C4F06"/>
    <w:rsid w:val="005C512E"/>
    <w:rsid w:val="005C5837"/>
    <w:rsid w:val="005C5E69"/>
    <w:rsid w:val="005C70C8"/>
    <w:rsid w:val="005C7309"/>
    <w:rsid w:val="005C7336"/>
    <w:rsid w:val="005C7500"/>
    <w:rsid w:val="005C7A9E"/>
    <w:rsid w:val="005D1390"/>
    <w:rsid w:val="005D1935"/>
    <w:rsid w:val="005D1C31"/>
    <w:rsid w:val="005D1C37"/>
    <w:rsid w:val="005D28A2"/>
    <w:rsid w:val="005D2DAC"/>
    <w:rsid w:val="005D30F5"/>
    <w:rsid w:val="005D32CA"/>
    <w:rsid w:val="005D43D9"/>
    <w:rsid w:val="005D4980"/>
    <w:rsid w:val="005D5426"/>
    <w:rsid w:val="005D5555"/>
    <w:rsid w:val="005D5CCF"/>
    <w:rsid w:val="005D5D97"/>
    <w:rsid w:val="005D6A16"/>
    <w:rsid w:val="005E1063"/>
    <w:rsid w:val="005E14D1"/>
    <w:rsid w:val="005E1ABF"/>
    <w:rsid w:val="005E1BB5"/>
    <w:rsid w:val="005E1E49"/>
    <w:rsid w:val="005E211F"/>
    <w:rsid w:val="005E2916"/>
    <w:rsid w:val="005E30D8"/>
    <w:rsid w:val="005E38CB"/>
    <w:rsid w:val="005E4583"/>
    <w:rsid w:val="005E4644"/>
    <w:rsid w:val="005E499E"/>
    <w:rsid w:val="005E5089"/>
    <w:rsid w:val="005E5B81"/>
    <w:rsid w:val="005E6A1E"/>
    <w:rsid w:val="005F1537"/>
    <w:rsid w:val="005F1548"/>
    <w:rsid w:val="005F1884"/>
    <w:rsid w:val="005F1DA6"/>
    <w:rsid w:val="005F206F"/>
    <w:rsid w:val="005F2332"/>
    <w:rsid w:val="005F2603"/>
    <w:rsid w:val="005F3B56"/>
    <w:rsid w:val="005F4CAB"/>
    <w:rsid w:val="005F5854"/>
    <w:rsid w:val="005F620C"/>
    <w:rsid w:val="005F662F"/>
    <w:rsid w:val="005F72FB"/>
    <w:rsid w:val="005F779C"/>
    <w:rsid w:val="006004D0"/>
    <w:rsid w:val="006015BF"/>
    <w:rsid w:val="0060195C"/>
    <w:rsid w:val="006019FF"/>
    <w:rsid w:val="006032D9"/>
    <w:rsid w:val="00603752"/>
    <w:rsid w:val="00603A61"/>
    <w:rsid w:val="00604689"/>
    <w:rsid w:val="00605CA9"/>
    <w:rsid w:val="00606032"/>
    <w:rsid w:val="00607718"/>
    <w:rsid w:val="0060787D"/>
    <w:rsid w:val="00607905"/>
    <w:rsid w:val="00610D12"/>
    <w:rsid w:val="00610E91"/>
    <w:rsid w:val="00611686"/>
    <w:rsid w:val="00612DB2"/>
    <w:rsid w:val="00613353"/>
    <w:rsid w:val="006133D5"/>
    <w:rsid w:val="00613507"/>
    <w:rsid w:val="00613A37"/>
    <w:rsid w:val="006142EA"/>
    <w:rsid w:val="00614714"/>
    <w:rsid w:val="006147DE"/>
    <w:rsid w:val="006151FA"/>
    <w:rsid w:val="00615757"/>
    <w:rsid w:val="006210BA"/>
    <w:rsid w:val="006215F3"/>
    <w:rsid w:val="006216D2"/>
    <w:rsid w:val="00621DCD"/>
    <w:rsid w:val="00623A73"/>
    <w:rsid w:val="00623EAE"/>
    <w:rsid w:val="006242F6"/>
    <w:rsid w:val="00625667"/>
    <w:rsid w:val="00625D02"/>
    <w:rsid w:val="0062658A"/>
    <w:rsid w:val="006267E8"/>
    <w:rsid w:val="006274AB"/>
    <w:rsid w:val="0063070E"/>
    <w:rsid w:val="00630A25"/>
    <w:rsid w:val="00630CF4"/>
    <w:rsid w:val="00631599"/>
    <w:rsid w:val="006319CB"/>
    <w:rsid w:val="006324D4"/>
    <w:rsid w:val="006324E7"/>
    <w:rsid w:val="00632AB7"/>
    <w:rsid w:val="0063380A"/>
    <w:rsid w:val="006339D2"/>
    <w:rsid w:val="00633F49"/>
    <w:rsid w:val="0063406B"/>
    <w:rsid w:val="00634541"/>
    <w:rsid w:val="006347EE"/>
    <w:rsid w:val="006350AC"/>
    <w:rsid w:val="00635376"/>
    <w:rsid w:val="00635C8A"/>
    <w:rsid w:val="006364BA"/>
    <w:rsid w:val="00636857"/>
    <w:rsid w:val="00637AA4"/>
    <w:rsid w:val="00640289"/>
    <w:rsid w:val="00640369"/>
    <w:rsid w:val="006409C3"/>
    <w:rsid w:val="00640CC1"/>
    <w:rsid w:val="00640D4E"/>
    <w:rsid w:val="00640EA6"/>
    <w:rsid w:val="00640F17"/>
    <w:rsid w:val="00641716"/>
    <w:rsid w:val="0064203F"/>
    <w:rsid w:val="006422CE"/>
    <w:rsid w:val="00642371"/>
    <w:rsid w:val="00642583"/>
    <w:rsid w:val="00642B07"/>
    <w:rsid w:val="006433DD"/>
    <w:rsid w:val="00643E9B"/>
    <w:rsid w:val="0064402A"/>
    <w:rsid w:val="00644EB9"/>
    <w:rsid w:val="00645093"/>
    <w:rsid w:val="00645C48"/>
    <w:rsid w:val="00646B36"/>
    <w:rsid w:val="006474C0"/>
    <w:rsid w:val="00647524"/>
    <w:rsid w:val="00647E18"/>
    <w:rsid w:val="00647E87"/>
    <w:rsid w:val="00651655"/>
    <w:rsid w:val="006516C5"/>
    <w:rsid w:val="00652A40"/>
    <w:rsid w:val="00652E2B"/>
    <w:rsid w:val="00655836"/>
    <w:rsid w:val="00655CE2"/>
    <w:rsid w:val="006566D6"/>
    <w:rsid w:val="00656D3C"/>
    <w:rsid w:val="0065712A"/>
    <w:rsid w:val="00657D0F"/>
    <w:rsid w:val="006606BF"/>
    <w:rsid w:val="00660DF6"/>
    <w:rsid w:val="0066152A"/>
    <w:rsid w:val="006622A8"/>
    <w:rsid w:val="006622DF"/>
    <w:rsid w:val="00664F02"/>
    <w:rsid w:val="00664F46"/>
    <w:rsid w:val="006651E4"/>
    <w:rsid w:val="00665D5E"/>
    <w:rsid w:val="00667CF8"/>
    <w:rsid w:val="00667FA9"/>
    <w:rsid w:val="00671D21"/>
    <w:rsid w:val="00672445"/>
    <w:rsid w:val="006724FA"/>
    <w:rsid w:val="006727ED"/>
    <w:rsid w:val="00672903"/>
    <w:rsid w:val="0067357A"/>
    <w:rsid w:val="00673A72"/>
    <w:rsid w:val="006745C1"/>
    <w:rsid w:val="00674C1B"/>
    <w:rsid w:val="0067543A"/>
    <w:rsid w:val="00675950"/>
    <w:rsid w:val="006759E4"/>
    <w:rsid w:val="00675A14"/>
    <w:rsid w:val="00675D2A"/>
    <w:rsid w:val="00675DE8"/>
    <w:rsid w:val="00676746"/>
    <w:rsid w:val="006775AE"/>
    <w:rsid w:val="00677CFA"/>
    <w:rsid w:val="00680801"/>
    <w:rsid w:val="00680FE6"/>
    <w:rsid w:val="0068123F"/>
    <w:rsid w:val="0068353D"/>
    <w:rsid w:val="0068443E"/>
    <w:rsid w:val="0068535C"/>
    <w:rsid w:val="006853D4"/>
    <w:rsid w:val="00685CF5"/>
    <w:rsid w:val="00685D16"/>
    <w:rsid w:val="00686558"/>
    <w:rsid w:val="006868AB"/>
    <w:rsid w:val="006902B7"/>
    <w:rsid w:val="006915E0"/>
    <w:rsid w:val="006915FE"/>
    <w:rsid w:val="0069201B"/>
    <w:rsid w:val="00692116"/>
    <w:rsid w:val="0069213A"/>
    <w:rsid w:val="006926A3"/>
    <w:rsid w:val="00692A5E"/>
    <w:rsid w:val="00692DD1"/>
    <w:rsid w:val="00693103"/>
    <w:rsid w:val="0069480F"/>
    <w:rsid w:val="00694AC2"/>
    <w:rsid w:val="00694B0C"/>
    <w:rsid w:val="00695EEF"/>
    <w:rsid w:val="00697004"/>
    <w:rsid w:val="006978DF"/>
    <w:rsid w:val="00697AD2"/>
    <w:rsid w:val="006A2E56"/>
    <w:rsid w:val="006A30AD"/>
    <w:rsid w:val="006A3375"/>
    <w:rsid w:val="006A3EF1"/>
    <w:rsid w:val="006A5034"/>
    <w:rsid w:val="006A5123"/>
    <w:rsid w:val="006A5142"/>
    <w:rsid w:val="006A5192"/>
    <w:rsid w:val="006A5544"/>
    <w:rsid w:val="006A56A2"/>
    <w:rsid w:val="006A56C3"/>
    <w:rsid w:val="006A5962"/>
    <w:rsid w:val="006A5C30"/>
    <w:rsid w:val="006A64AF"/>
    <w:rsid w:val="006A665F"/>
    <w:rsid w:val="006A6B42"/>
    <w:rsid w:val="006A70E9"/>
    <w:rsid w:val="006A7B71"/>
    <w:rsid w:val="006B137E"/>
    <w:rsid w:val="006B1AA5"/>
    <w:rsid w:val="006B1AF3"/>
    <w:rsid w:val="006B1C8C"/>
    <w:rsid w:val="006B2445"/>
    <w:rsid w:val="006B3206"/>
    <w:rsid w:val="006B3217"/>
    <w:rsid w:val="006B332E"/>
    <w:rsid w:val="006B3458"/>
    <w:rsid w:val="006B39A3"/>
    <w:rsid w:val="006B428E"/>
    <w:rsid w:val="006B5AEE"/>
    <w:rsid w:val="006B702F"/>
    <w:rsid w:val="006B7A07"/>
    <w:rsid w:val="006B7C2E"/>
    <w:rsid w:val="006C03A8"/>
    <w:rsid w:val="006C204A"/>
    <w:rsid w:val="006C20B6"/>
    <w:rsid w:val="006C233D"/>
    <w:rsid w:val="006C2849"/>
    <w:rsid w:val="006C335E"/>
    <w:rsid w:val="006C3FEF"/>
    <w:rsid w:val="006C418A"/>
    <w:rsid w:val="006C4CAE"/>
    <w:rsid w:val="006C52DF"/>
    <w:rsid w:val="006C5B51"/>
    <w:rsid w:val="006C637A"/>
    <w:rsid w:val="006C672E"/>
    <w:rsid w:val="006C69BC"/>
    <w:rsid w:val="006C6C09"/>
    <w:rsid w:val="006C6D5F"/>
    <w:rsid w:val="006C7ABC"/>
    <w:rsid w:val="006D0195"/>
    <w:rsid w:val="006D0254"/>
    <w:rsid w:val="006D0513"/>
    <w:rsid w:val="006D1943"/>
    <w:rsid w:val="006D23C6"/>
    <w:rsid w:val="006D249A"/>
    <w:rsid w:val="006D28E1"/>
    <w:rsid w:val="006D29CE"/>
    <w:rsid w:val="006D2DF3"/>
    <w:rsid w:val="006D2FC4"/>
    <w:rsid w:val="006D31E1"/>
    <w:rsid w:val="006D36AB"/>
    <w:rsid w:val="006D457D"/>
    <w:rsid w:val="006D5592"/>
    <w:rsid w:val="006D57DC"/>
    <w:rsid w:val="006D583C"/>
    <w:rsid w:val="006D5CC3"/>
    <w:rsid w:val="006D5E9A"/>
    <w:rsid w:val="006D659F"/>
    <w:rsid w:val="006D68FF"/>
    <w:rsid w:val="006D6F1E"/>
    <w:rsid w:val="006D6FE9"/>
    <w:rsid w:val="006E1E9B"/>
    <w:rsid w:val="006E2887"/>
    <w:rsid w:val="006E33AC"/>
    <w:rsid w:val="006E33FA"/>
    <w:rsid w:val="006E3442"/>
    <w:rsid w:val="006E46F6"/>
    <w:rsid w:val="006E4F0B"/>
    <w:rsid w:val="006E50ED"/>
    <w:rsid w:val="006E54BA"/>
    <w:rsid w:val="006E5600"/>
    <w:rsid w:val="006E7C06"/>
    <w:rsid w:val="006F05C6"/>
    <w:rsid w:val="006F0645"/>
    <w:rsid w:val="006F108D"/>
    <w:rsid w:val="006F1D06"/>
    <w:rsid w:val="006F2F4E"/>
    <w:rsid w:val="006F4374"/>
    <w:rsid w:val="006F6CCF"/>
    <w:rsid w:val="006F70C0"/>
    <w:rsid w:val="006F7C0C"/>
    <w:rsid w:val="007008C4"/>
    <w:rsid w:val="00701314"/>
    <w:rsid w:val="007033BA"/>
    <w:rsid w:val="007037FD"/>
    <w:rsid w:val="00703CF5"/>
    <w:rsid w:val="007045FB"/>
    <w:rsid w:val="0070490B"/>
    <w:rsid w:val="00704D24"/>
    <w:rsid w:val="00704FBD"/>
    <w:rsid w:val="00704FF4"/>
    <w:rsid w:val="00705697"/>
    <w:rsid w:val="00705A46"/>
    <w:rsid w:val="00705AAA"/>
    <w:rsid w:val="00705E0B"/>
    <w:rsid w:val="00705E2D"/>
    <w:rsid w:val="0070677D"/>
    <w:rsid w:val="00706F1D"/>
    <w:rsid w:val="007077D5"/>
    <w:rsid w:val="00711445"/>
    <w:rsid w:val="007115FF"/>
    <w:rsid w:val="0071192E"/>
    <w:rsid w:val="007127BC"/>
    <w:rsid w:val="00712BA0"/>
    <w:rsid w:val="00712F45"/>
    <w:rsid w:val="007132BA"/>
    <w:rsid w:val="00715140"/>
    <w:rsid w:val="00715FD2"/>
    <w:rsid w:val="00717725"/>
    <w:rsid w:val="00717B30"/>
    <w:rsid w:val="00720670"/>
    <w:rsid w:val="0072077D"/>
    <w:rsid w:val="0072097A"/>
    <w:rsid w:val="00720A95"/>
    <w:rsid w:val="00721958"/>
    <w:rsid w:val="007222A3"/>
    <w:rsid w:val="007243AC"/>
    <w:rsid w:val="007259C3"/>
    <w:rsid w:val="00725E51"/>
    <w:rsid w:val="007261ED"/>
    <w:rsid w:val="007262E4"/>
    <w:rsid w:val="00726456"/>
    <w:rsid w:val="007264AD"/>
    <w:rsid w:val="0072779E"/>
    <w:rsid w:val="00727B2C"/>
    <w:rsid w:val="00730290"/>
    <w:rsid w:val="007303FA"/>
    <w:rsid w:val="00730543"/>
    <w:rsid w:val="007305D0"/>
    <w:rsid w:val="00730E8E"/>
    <w:rsid w:val="0073138F"/>
    <w:rsid w:val="00732168"/>
    <w:rsid w:val="007334C3"/>
    <w:rsid w:val="0073393F"/>
    <w:rsid w:val="00733BEF"/>
    <w:rsid w:val="0073503F"/>
    <w:rsid w:val="00735469"/>
    <w:rsid w:val="0073596F"/>
    <w:rsid w:val="00736397"/>
    <w:rsid w:val="00736E62"/>
    <w:rsid w:val="00737E8C"/>
    <w:rsid w:val="007404B5"/>
    <w:rsid w:val="007404DF"/>
    <w:rsid w:val="00740DD2"/>
    <w:rsid w:val="0074156C"/>
    <w:rsid w:val="00741D19"/>
    <w:rsid w:val="0074237D"/>
    <w:rsid w:val="00743879"/>
    <w:rsid w:val="007441A9"/>
    <w:rsid w:val="00744E8F"/>
    <w:rsid w:val="0074510E"/>
    <w:rsid w:val="00745636"/>
    <w:rsid w:val="00745904"/>
    <w:rsid w:val="00745A8E"/>
    <w:rsid w:val="00745CF3"/>
    <w:rsid w:val="00745F3C"/>
    <w:rsid w:val="00746666"/>
    <w:rsid w:val="00746B1A"/>
    <w:rsid w:val="0074782B"/>
    <w:rsid w:val="00747E1C"/>
    <w:rsid w:val="007506DC"/>
    <w:rsid w:val="00751277"/>
    <w:rsid w:val="0075161E"/>
    <w:rsid w:val="00751707"/>
    <w:rsid w:val="00752069"/>
    <w:rsid w:val="00752ACF"/>
    <w:rsid w:val="007530D6"/>
    <w:rsid w:val="00753984"/>
    <w:rsid w:val="00753C97"/>
    <w:rsid w:val="0075440C"/>
    <w:rsid w:val="00754DC3"/>
    <w:rsid w:val="007559FD"/>
    <w:rsid w:val="00755E3C"/>
    <w:rsid w:val="00755F33"/>
    <w:rsid w:val="007572B4"/>
    <w:rsid w:val="007574BE"/>
    <w:rsid w:val="007603D8"/>
    <w:rsid w:val="00760C3F"/>
    <w:rsid w:val="007617B0"/>
    <w:rsid w:val="007626F9"/>
    <w:rsid w:val="00762C9E"/>
    <w:rsid w:val="00762D25"/>
    <w:rsid w:val="00762E42"/>
    <w:rsid w:val="00762FD3"/>
    <w:rsid w:val="00763099"/>
    <w:rsid w:val="00763E21"/>
    <w:rsid w:val="00763E98"/>
    <w:rsid w:val="00763EEC"/>
    <w:rsid w:val="007646E0"/>
    <w:rsid w:val="00765531"/>
    <w:rsid w:val="00765875"/>
    <w:rsid w:val="007662AF"/>
    <w:rsid w:val="00766DDC"/>
    <w:rsid w:val="00766E84"/>
    <w:rsid w:val="00767CF0"/>
    <w:rsid w:val="00770768"/>
    <w:rsid w:val="00770A30"/>
    <w:rsid w:val="00770CD8"/>
    <w:rsid w:val="00772CEF"/>
    <w:rsid w:val="007732CE"/>
    <w:rsid w:val="0077418E"/>
    <w:rsid w:val="00774A56"/>
    <w:rsid w:val="00774B3F"/>
    <w:rsid w:val="007752FF"/>
    <w:rsid w:val="00775727"/>
    <w:rsid w:val="00776002"/>
    <w:rsid w:val="0077660C"/>
    <w:rsid w:val="00776B09"/>
    <w:rsid w:val="00776EC1"/>
    <w:rsid w:val="00780473"/>
    <w:rsid w:val="007805AF"/>
    <w:rsid w:val="00780659"/>
    <w:rsid w:val="0078095B"/>
    <w:rsid w:val="00782BA5"/>
    <w:rsid w:val="007848CA"/>
    <w:rsid w:val="0078495E"/>
    <w:rsid w:val="00784B03"/>
    <w:rsid w:val="00784F0E"/>
    <w:rsid w:val="0078648B"/>
    <w:rsid w:val="0078684B"/>
    <w:rsid w:val="00786A1C"/>
    <w:rsid w:val="00790543"/>
    <w:rsid w:val="00790D65"/>
    <w:rsid w:val="00790E95"/>
    <w:rsid w:val="007926C1"/>
    <w:rsid w:val="0079281F"/>
    <w:rsid w:val="00792DAF"/>
    <w:rsid w:val="00793061"/>
    <w:rsid w:val="00793F24"/>
    <w:rsid w:val="00794055"/>
    <w:rsid w:val="007952D6"/>
    <w:rsid w:val="00797894"/>
    <w:rsid w:val="007A005C"/>
    <w:rsid w:val="007A00AD"/>
    <w:rsid w:val="007A036E"/>
    <w:rsid w:val="007A0B38"/>
    <w:rsid w:val="007A11AB"/>
    <w:rsid w:val="007A1E98"/>
    <w:rsid w:val="007A2513"/>
    <w:rsid w:val="007A2726"/>
    <w:rsid w:val="007A2F88"/>
    <w:rsid w:val="007A31B4"/>
    <w:rsid w:val="007A4701"/>
    <w:rsid w:val="007A502A"/>
    <w:rsid w:val="007A64C1"/>
    <w:rsid w:val="007A6954"/>
    <w:rsid w:val="007A6AD5"/>
    <w:rsid w:val="007A6DBD"/>
    <w:rsid w:val="007A7B1C"/>
    <w:rsid w:val="007B0D19"/>
    <w:rsid w:val="007B1C72"/>
    <w:rsid w:val="007B21F1"/>
    <w:rsid w:val="007B32F5"/>
    <w:rsid w:val="007B4124"/>
    <w:rsid w:val="007B4DEB"/>
    <w:rsid w:val="007B69F6"/>
    <w:rsid w:val="007B739E"/>
    <w:rsid w:val="007B75E7"/>
    <w:rsid w:val="007B7697"/>
    <w:rsid w:val="007B7D1E"/>
    <w:rsid w:val="007C0C02"/>
    <w:rsid w:val="007C1042"/>
    <w:rsid w:val="007C19AF"/>
    <w:rsid w:val="007C1D82"/>
    <w:rsid w:val="007C252A"/>
    <w:rsid w:val="007C2B61"/>
    <w:rsid w:val="007C3666"/>
    <w:rsid w:val="007C3A4A"/>
    <w:rsid w:val="007C419A"/>
    <w:rsid w:val="007C694F"/>
    <w:rsid w:val="007D0338"/>
    <w:rsid w:val="007D03C6"/>
    <w:rsid w:val="007D07A9"/>
    <w:rsid w:val="007D0994"/>
    <w:rsid w:val="007D0CCE"/>
    <w:rsid w:val="007D0F74"/>
    <w:rsid w:val="007D0FE7"/>
    <w:rsid w:val="007D189F"/>
    <w:rsid w:val="007D1D59"/>
    <w:rsid w:val="007D2314"/>
    <w:rsid w:val="007D258D"/>
    <w:rsid w:val="007D2AB4"/>
    <w:rsid w:val="007D4C65"/>
    <w:rsid w:val="007D54E9"/>
    <w:rsid w:val="007D5525"/>
    <w:rsid w:val="007D5FBF"/>
    <w:rsid w:val="007D61F7"/>
    <w:rsid w:val="007D6DD7"/>
    <w:rsid w:val="007D705E"/>
    <w:rsid w:val="007D7B3F"/>
    <w:rsid w:val="007E156E"/>
    <w:rsid w:val="007E2199"/>
    <w:rsid w:val="007E40AC"/>
    <w:rsid w:val="007E41B5"/>
    <w:rsid w:val="007E46A9"/>
    <w:rsid w:val="007E4D9D"/>
    <w:rsid w:val="007E5037"/>
    <w:rsid w:val="007E510D"/>
    <w:rsid w:val="007E60C8"/>
    <w:rsid w:val="007E6674"/>
    <w:rsid w:val="007E6ED5"/>
    <w:rsid w:val="007E7271"/>
    <w:rsid w:val="007E78C3"/>
    <w:rsid w:val="007F040A"/>
    <w:rsid w:val="007F060C"/>
    <w:rsid w:val="007F0DCF"/>
    <w:rsid w:val="007F27D9"/>
    <w:rsid w:val="007F2F96"/>
    <w:rsid w:val="007F31E4"/>
    <w:rsid w:val="007F35E0"/>
    <w:rsid w:val="007F3BD7"/>
    <w:rsid w:val="007F5508"/>
    <w:rsid w:val="007F56F2"/>
    <w:rsid w:val="007F5A99"/>
    <w:rsid w:val="007F5B5C"/>
    <w:rsid w:val="007F6093"/>
    <w:rsid w:val="007F6270"/>
    <w:rsid w:val="007F6332"/>
    <w:rsid w:val="00800680"/>
    <w:rsid w:val="008011FC"/>
    <w:rsid w:val="00801BBC"/>
    <w:rsid w:val="00801D99"/>
    <w:rsid w:val="00802080"/>
    <w:rsid w:val="008020C0"/>
    <w:rsid w:val="00802380"/>
    <w:rsid w:val="00802773"/>
    <w:rsid w:val="00802D9E"/>
    <w:rsid w:val="00802EB4"/>
    <w:rsid w:val="008033AD"/>
    <w:rsid w:val="0080364F"/>
    <w:rsid w:val="00805164"/>
    <w:rsid w:val="008058B0"/>
    <w:rsid w:val="00806D9E"/>
    <w:rsid w:val="00811865"/>
    <w:rsid w:val="008120C4"/>
    <w:rsid w:val="00812750"/>
    <w:rsid w:val="0081326D"/>
    <w:rsid w:val="00814414"/>
    <w:rsid w:val="00814700"/>
    <w:rsid w:val="00814B64"/>
    <w:rsid w:val="0081536E"/>
    <w:rsid w:val="00815629"/>
    <w:rsid w:val="00815957"/>
    <w:rsid w:val="00816952"/>
    <w:rsid w:val="00817797"/>
    <w:rsid w:val="00817CAD"/>
    <w:rsid w:val="00820871"/>
    <w:rsid w:val="00821277"/>
    <w:rsid w:val="00822941"/>
    <w:rsid w:val="008233FF"/>
    <w:rsid w:val="008237BD"/>
    <w:rsid w:val="0082470C"/>
    <w:rsid w:val="00824D83"/>
    <w:rsid w:val="0082550B"/>
    <w:rsid w:val="0082585C"/>
    <w:rsid w:val="00826864"/>
    <w:rsid w:val="00826B76"/>
    <w:rsid w:val="00826B82"/>
    <w:rsid w:val="00826FDA"/>
    <w:rsid w:val="00827ACE"/>
    <w:rsid w:val="00827B7D"/>
    <w:rsid w:val="00827DDC"/>
    <w:rsid w:val="00827EE1"/>
    <w:rsid w:val="00830261"/>
    <w:rsid w:val="008303D5"/>
    <w:rsid w:val="0083055D"/>
    <w:rsid w:val="00830A2D"/>
    <w:rsid w:val="0083165F"/>
    <w:rsid w:val="008332D8"/>
    <w:rsid w:val="0083455C"/>
    <w:rsid w:val="00834C04"/>
    <w:rsid w:val="00835605"/>
    <w:rsid w:val="008359E7"/>
    <w:rsid w:val="00835A98"/>
    <w:rsid w:val="008368A4"/>
    <w:rsid w:val="008371C7"/>
    <w:rsid w:val="00840BCA"/>
    <w:rsid w:val="00841624"/>
    <w:rsid w:val="008423B8"/>
    <w:rsid w:val="008429EC"/>
    <w:rsid w:val="00842FCB"/>
    <w:rsid w:val="0084369D"/>
    <w:rsid w:val="00844223"/>
    <w:rsid w:val="0084467D"/>
    <w:rsid w:val="008447BA"/>
    <w:rsid w:val="00844C58"/>
    <w:rsid w:val="00846110"/>
    <w:rsid w:val="00846282"/>
    <w:rsid w:val="00847BBB"/>
    <w:rsid w:val="00847E9B"/>
    <w:rsid w:val="0085011F"/>
    <w:rsid w:val="008501A0"/>
    <w:rsid w:val="008504E1"/>
    <w:rsid w:val="00851959"/>
    <w:rsid w:val="0085200B"/>
    <w:rsid w:val="008557E6"/>
    <w:rsid w:val="0085651B"/>
    <w:rsid w:val="008567AE"/>
    <w:rsid w:val="00856C6C"/>
    <w:rsid w:val="00856E19"/>
    <w:rsid w:val="008574C5"/>
    <w:rsid w:val="00857BB2"/>
    <w:rsid w:val="00860359"/>
    <w:rsid w:val="00860D43"/>
    <w:rsid w:val="008610C3"/>
    <w:rsid w:val="0086113C"/>
    <w:rsid w:val="00861491"/>
    <w:rsid w:val="008617F7"/>
    <w:rsid w:val="008618C8"/>
    <w:rsid w:val="00863342"/>
    <w:rsid w:val="0086405C"/>
    <w:rsid w:val="00864154"/>
    <w:rsid w:val="00864E19"/>
    <w:rsid w:val="00866822"/>
    <w:rsid w:val="008702A0"/>
    <w:rsid w:val="0087045F"/>
    <w:rsid w:val="00872947"/>
    <w:rsid w:val="008730B0"/>
    <w:rsid w:val="00873248"/>
    <w:rsid w:val="00873827"/>
    <w:rsid w:val="008742FF"/>
    <w:rsid w:val="008746CE"/>
    <w:rsid w:val="00874A76"/>
    <w:rsid w:val="00875031"/>
    <w:rsid w:val="00875DD4"/>
    <w:rsid w:val="00876035"/>
    <w:rsid w:val="008762A9"/>
    <w:rsid w:val="008763D1"/>
    <w:rsid w:val="00876607"/>
    <w:rsid w:val="00876798"/>
    <w:rsid w:val="00877815"/>
    <w:rsid w:val="00877B1E"/>
    <w:rsid w:val="008819B4"/>
    <w:rsid w:val="00881B55"/>
    <w:rsid w:val="00881C58"/>
    <w:rsid w:val="00882247"/>
    <w:rsid w:val="0088255D"/>
    <w:rsid w:val="00882576"/>
    <w:rsid w:val="00883676"/>
    <w:rsid w:val="00885B15"/>
    <w:rsid w:val="008862D9"/>
    <w:rsid w:val="00886678"/>
    <w:rsid w:val="0088742B"/>
    <w:rsid w:val="008876A7"/>
    <w:rsid w:val="00890CF3"/>
    <w:rsid w:val="008915B0"/>
    <w:rsid w:val="00891992"/>
    <w:rsid w:val="00892D34"/>
    <w:rsid w:val="00892F03"/>
    <w:rsid w:val="008935B1"/>
    <w:rsid w:val="008938D8"/>
    <w:rsid w:val="00893BA4"/>
    <w:rsid w:val="0089406B"/>
    <w:rsid w:val="00894F43"/>
    <w:rsid w:val="008951C8"/>
    <w:rsid w:val="0089576C"/>
    <w:rsid w:val="008A03E8"/>
    <w:rsid w:val="008A04F5"/>
    <w:rsid w:val="008A0512"/>
    <w:rsid w:val="008A1D71"/>
    <w:rsid w:val="008A2C08"/>
    <w:rsid w:val="008A2C14"/>
    <w:rsid w:val="008A304C"/>
    <w:rsid w:val="008A4341"/>
    <w:rsid w:val="008A45EB"/>
    <w:rsid w:val="008A46EF"/>
    <w:rsid w:val="008A4E24"/>
    <w:rsid w:val="008A5AD6"/>
    <w:rsid w:val="008A6B19"/>
    <w:rsid w:val="008A716E"/>
    <w:rsid w:val="008A74EC"/>
    <w:rsid w:val="008A7835"/>
    <w:rsid w:val="008B1A98"/>
    <w:rsid w:val="008B1CC6"/>
    <w:rsid w:val="008B1E78"/>
    <w:rsid w:val="008B2231"/>
    <w:rsid w:val="008B24D4"/>
    <w:rsid w:val="008B28F5"/>
    <w:rsid w:val="008B30B8"/>
    <w:rsid w:val="008B3270"/>
    <w:rsid w:val="008B38F0"/>
    <w:rsid w:val="008B3DBB"/>
    <w:rsid w:val="008B50EE"/>
    <w:rsid w:val="008C0948"/>
    <w:rsid w:val="008C0E5B"/>
    <w:rsid w:val="008C1AC1"/>
    <w:rsid w:val="008C22DD"/>
    <w:rsid w:val="008C461F"/>
    <w:rsid w:val="008C4854"/>
    <w:rsid w:val="008C6026"/>
    <w:rsid w:val="008C6452"/>
    <w:rsid w:val="008C6693"/>
    <w:rsid w:val="008C7301"/>
    <w:rsid w:val="008C736E"/>
    <w:rsid w:val="008C7615"/>
    <w:rsid w:val="008D099A"/>
    <w:rsid w:val="008D1EEE"/>
    <w:rsid w:val="008D288A"/>
    <w:rsid w:val="008D2985"/>
    <w:rsid w:val="008D2C22"/>
    <w:rsid w:val="008D2CD4"/>
    <w:rsid w:val="008D38A0"/>
    <w:rsid w:val="008D471A"/>
    <w:rsid w:val="008D4F01"/>
    <w:rsid w:val="008D6C9B"/>
    <w:rsid w:val="008D74A1"/>
    <w:rsid w:val="008D7926"/>
    <w:rsid w:val="008D7DD4"/>
    <w:rsid w:val="008E02AB"/>
    <w:rsid w:val="008E092C"/>
    <w:rsid w:val="008E15CF"/>
    <w:rsid w:val="008E191A"/>
    <w:rsid w:val="008E2430"/>
    <w:rsid w:val="008E2B87"/>
    <w:rsid w:val="008E32D2"/>
    <w:rsid w:val="008E33C5"/>
    <w:rsid w:val="008E4330"/>
    <w:rsid w:val="008E4576"/>
    <w:rsid w:val="008E47FB"/>
    <w:rsid w:val="008E4834"/>
    <w:rsid w:val="008E4C9E"/>
    <w:rsid w:val="008E5052"/>
    <w:rsid w:val="008E5DDE"/>
    <w:rsid w:val="008E6E2D"/>
    <w:rsid w:val="008E727C"/>
    <w:rsid w:val="008E77DE"/>
    <w:rsid w:val="008F0C0B"/>
    <w:rsid w:val="008F0CF5"/>
    <w:rsid w:val="008F22D4"/>
    <w:rsid w:val="008F2882"/>
    <w:rsid w:val="008F28D1"/>
    <w:rsid w:val="008F2A61"/>
    <w:rsid w:val="008F3634"/>
    <w:rsid w:val="008F3863"/>
    <w:rsid w:val="008F3D4A"/>
    <w:rsid w:val="008F435A"/>
    <w:rsid w:val="008F48FA"/>
    <w:rsid w:val="008F4997"/>
    <w:rsid w:val="008F5248"/>
    <w:rsid w:val="008F5515"/>
    <w:rsid w:val="008F5783"/>
    <w:rsid w:val="008F59A8"/>
    <w:rsid w:val="008F5EC8"/>
    <w:rsid w:val="008F7302"/>
    <w:rsid w:val="008F7418"/>
    <w:rsid w:val="008F76A1"/>
    <w:rsid w:val="00901127"/>
    <w:rsid w:val="00901C32"/>
    <w:rsid w:val="00902853"/>
    <w:rsid w:val="00903383"/>
    <w:rsid w:val="0090357D"/>
    <w:rsid w:val="00903DDF"/>
    <w:rsid w:val="0090478B"/>
    <w:rsid w:val="009055C3"/>
    <w:rsid w:val="00905CA8"/>
    <w:rsid w:val="009061F5"/>
    <w:rsid w:val="0090660B"/>
    <w:rsid w:val="009073BF"/>
    <w:rsid w:val="00907B50"/>
    <w:rsid w:val="00907D7A"/>
    <w:rsid w:val="009104B2"/>
    <w:rsid w:val="00910DEC"/>
    <w:rsid w:val="0091130F"/>
    <w:rsid w:val="0091133D"/>
    <w:rsid w:val="00911484"/>
    <w:rsid w:val="00914258"/>
    <w:rsid w:val="00914DD8"/>
    <w:rsid w:val="00915752"/>
    <w:rsid w:val="00915CFF"/>
    <w:rsid w:val="00916A64"/>
    <w:rsid w:val="00916C2F"/>
    <w:rsid w:val="00917B03"/>
    <w:rsid w:val="00920533"/>
    <w:rsid w:val="009209D5"/>
    <w:rsid w:val="0092131F"/>
    <w:rsid w:val="00921565"/>
    <w:rsid w:val="00922241"/>
    <w:rsid w:val="00922286"/>
    <w:rsid w:val="00922B72"/>
    <w:rsid w:val="00922DF0"/>
    <w:rsid w:val="009232D7"/>
    <w:rsid w:val="009236CB"/>
    <w:rsid w:val="00923960"/>
    <w:rsid w:val="00924095"/>
    <w:rsid w:val="00924A14"/>
    <w:rsid w:val="00924AF1"/>
    <w:rsid w:val="00924F16"/>
    <w:rsid w:val="00925501"/>
    <w:rsid w:val="00925F5F"/>
    <w:rsid w:val="00926348"/>
    <w:rsid w:val="00926673"/>
    <w:rsid w:val="00926C4C"/>
    <w:rsid w:val="00926D43"/>
    <w:rsid w:val="00927259"/>
    <w:rsid w:val="0092742C"/>
    <w:rsid w:val="0092778B"/>
    <w:rsid w:val="00927F27"/>
    <w:rsid w:val="00927FCF"/>
    <w:rsid w:val="00931773"/>
    <w:rsid w:val="00931F77"/>
    <w:rsid w:val="0093261F"/>
    <w:rsid w:val="009326D4"/>
    <w:rsid w:val="009329F1"/>
    <w:rsid w:val="00933F8D"/>
    <w:rsid w:val="00934E87"/>
    <w:rsid w:val="009356F8"/>
    <w:rsid w:val="00937074"/>
    <w:rsid w:val="00937143"/>
    <w:rsid w:val="00937485"/>
    <w:rsid w:val="00942A4F"/>
    <w:rsid w:val="009442EC"/>
    <w:rsid w:val="00944A2F"/>
    <w:rsid w:val="0094593D"/>
    <w:rsid w:val="009461F3"/>
    <w:rsid w:val="00946EE5"/>
    <w:rsid w:val="00947316"/>
    <w:rsid w:val="0094761E"/>
    <w:rsid w:val="00950781"/>
    <w:rsid w:val="00950FBA"/>
    <w:rsid w:val="00951FCA"/>
    <w:rsid w:val="00952085"/>
    <w:rsid w:val="0095274E"/>
    <w:rsid w:val="00952B0D"/>
    <w:rsid w:val="00953A13"/>
    <w:rsid w:val="00954CD8"/>
    <w:rsid w:val="0095557E"/>
    <w:rsid w:val="00955B44"/>
    <w:rsid w:val="0095628D"/>
    <w:rsid w:val="009564D4"/>
    <w:rsid w:val="0096069A"/>
    <w:rsid w:val="00960DDC"/>
    <w:rsid w:val="009618A4"/>
    <w:rsid w:val="00961975"/>
    <w:rsid w:val="00961AB5"/>
    <w:rsid w:val="00961B24"/>
    <w:rsid w:val="00963083"/>
    <w:rsid w:val="0096309F"/>
    <w:rsid w:val="00963ACB"/>
    <w:rsid w:val="00963BF7"/>
    <w:rsid w:val="00963C0F"/>
    <w:rsid w:val="009640C4"/>
    <w:rsid w:val="009644DC"/>
    <w:rsid w:val="00964BFC"/>
    <w:rsid w:val="0096617F"/>
    <w:rsid w:val="009662D2"/>
    <w:rsid w:val="00966E78"/>
    <w:rsid w:val="0096775D"/>
    <w:rsid w:val="00967BD9"/>
    <w:rsid w:val="00970028"/>
    <w:rsid w:val="0097008E"/>
    <w:rsid w:val="00970321"/>
    <w:rsid w:val="00970594"/>
    <w:rsid w:val="009716D9"/>
    <w:rsid w:val="0097181D"/>
    <w:rsid w:val="009722A1"/>
    <w:rsid w:val="0097307F"/>
    <w:rsid w:val="00973EC6"/>
    <w:rsid w:val="00973F9F"/>
    <w:rsid w:val="0097401A"/>
    <w:rsid w:val="00974F85"/>
    <w:rsid w:val="00975728"/>
    <w:rsid w:val="00975A05"/>
    <w:rsid w:val="0097616C"/>
    <w:rsid w:val="00976542"/>
    <w:rsid w:val="0097654D"/>
    <w:rsid w:val="00980314"/>
    <w:rsid w:val="00980A29"/>
    <w:rsid w:val="00980A34"/>
    <w:rsid w:val="00980B14"/>
    <w:rsid w:val="00980C04"/>
    <w:rsid w:val="00980C86"/>
    <w:rsid w:val="0098151D"/>
    <w:rsid w:val="00981524"/>
    <w:rsid w:val="009818B0"/>
    <w:rsid w:val="00981989"/>
    <w:rsid w:val="00981CA8"/>
    <w:rsid w:val="00981F3B"/>
    <w:rsid w:val="0098207E"/>
    <w:rsid w:val="00982520"/>
    <w:rsid w:val="00982CF3"/>
    <w:rsid w:val="00982DD2"/>
    <w:rsid w:val="009832C1"/>
    <w:rsid w:val="00983FE3"/>
    <w:rsid w:val="0098445E"/>
    <w:rsid w:val="00984AA2"/>
    <w:rsid w:val="00985021"/>
    <w:rsid w:val="009850FF"/>
    <w:rsid w:val="009851B2"/>
    <w:rsid w:val="00985538"/>
    <w:rsid w:val="0098634F"/>
    <w:rsid w:val="0098670B"/>
    <w:rsid w:val="009872CB"/>
    <w:rsid w:val="00987E94"/>
    <w:rsid w:val="009907F4"/>
    <w:rsid w:val="00991512"/>
    <w:rsid w:val="0099191B"/>
    <w:rsid w:val="00991C0A"/>
    <w:rsid w:val="00991CC0"/>
    <w:rsid w:val="00992771"/>
    <w:rsid w:val="00992A9A"/>
    <w:rsid w:val="00993AF8"/>
    <w:rsid w:val="00994EF0"/>
    <w:rsid w:val="00995075"/>
    <w:rsid w:val="00996DBB"/>
    <w:rsid w:val="0099730B"/>
    <w:rsid w:val="00997F3F"/>
    <w:rsid w:val="009A05E4"/>
    <w:rsid w:val="009A05E5"/>
    <w:rsid w:val="009A063E"/>
    <w:rsid w:val="009A08CB"/>
    <w:rsid w:val="009A121E"/>
    <w:rsid w:val="009A1221"/>
    <w:rsid w:val="009A12D3"/>
    <w:rsid w:val="009A169D"/>
    <w:rsid w:val="009A1A07"/>
    <w:rsid w:val="009A23FE"/>
    <w:rsid w:val="009A2D15"/>
    <w:rsid w:val="009A3C80"/>
    <w:rsid w:val="009A3D97"/>
    <w:rsid w:val="009A410F"/>
    <w:rsid w:val="009A5708"/>
    <w:rsid w:val="009A5790"/>
    <w:rsid w:val="009A5B4F"/>
    <w:rsid w:val="009A67AC"/>
    <w:rsid w:val="009A6B6C"/>
    <w:rsid w:val="009A6BA3"/>
    <w:rsid w:val="009A7272"/>
    <w:rsid w:val="009A73C0"/>
    <w:rsid w:val="009A7892"/>
    <w:rsid w:val="009A7ADB"/>
    <w:rsid w:val="009A7C6E"/>
    <w:rsid w:val="009A7E03"/>
    <w:rsid w:val="009B0947"/>
    <w:rsid w:val="009B2DAA"/>
    <w:rsid w:val="009B4147"/>
    <w:rsid w:val="009B41BE"/>
    <w:rsid w:val="009B4C1D"/>
    <w:rsid w:val="009B5EA5"/>
    <w:rsid w:val="009B6227"/>
    <w:rsid w:val="009B704F"/>
    <w:rsid w:val="009C0819"/>
    <w:rsid w:val="009C1067"/>
    <w:rsid w:val="009C12B7"/>
    <w:rsid w:val="009C1369"/>
    <w:rsid w:val="009C1578"/>
    <w:rsid w:val="009C2210"/>
    <w:rsid w:val="009C22D0"/>
    <w:rsid w:val="009C2C55"/>
    <w:rsid w:val="009C325E"/>
    <w:rsid w:val="009C3613"/>
    <w:rsid w:val="009C389E"/>
    <w:rsid w:val="009C3F20"/>
    <w:rsid w:val="009C4E55"/>
    <w:rsid w:val="009C5195"/>
    <w:rsid w:val="009C5A81"/>
    <w:rsid w:val="009C621D"/>
    <w:rsid w:val="009C6648"/>
    <w:rsid w:val="009C68DB"/>
    <w:rsid w:val="009C737A"/>
    <w:rsid w:val="009C7C5F"/>
    <w:rsid w:val="009D031D"/>
    <w:rsid w:val="009D1160"/>
    <w:rsid w:val="009D1F75"/>
    <w:rsid w:val="009D2B18"/>
    <w:rsid w:val="009D4798"/>
    <w:rsid w:val="009D5F67"/>
    <w:rsid w:val="009D6C3F"/>
    <w:rsid w:val="009D7ADF"/>
    <w:rsid w:val="009D7EA1"/>
    <w:rsid w:val="009E01B4"/>
    <w:rsid w:val="009E0D9D"/>
    <w:rsid w:val="009E1DEF"/>
    <w:rsid w:val="009E1E05"/>
    <w:rsid w:val="009E1E9C"/>
    <w:rsid w:val="009E2982"/>
    <w:rsid w:val="009E31B1"/>
    <w:rsid w:val="009E36DC"/>
    <w:rsid w:val="009E48C7"/>
    <w:rsid w:val="009E4D97"/>
    <w:rsid w:val="009E4E66"/>
    <w:rsid w:val="009E5A22"/>
    <w:rsid w:val="009E5F6A"/>
    <w:rsid w:val="009E60C6"/>
    <w:rsid w:val="009E60DC"/>
    <w:rsid w:val="009E6396"/>
    <w:rsid w:val="009E6945"/>
    <w:rsid w:val="009E6EA8"/>
    <w:rsid w:val="009F09AA"/>
    <w:rsid w:val="009F1560"/>
    <w:rsid w:val="009F1F67"/>
    <w:rsid w:val="009F33C9"/>
    <w:rsid w:val="009F3974"/>
    <w:rsid w:val="009F5310"/>
    <w:rsid w:val="009F5D4A"/>
    <w:rsid w:val="009F5E0B"/>
    <w:rsid w:val="009F6612"/>
    <w:rsid w:val="009F697C"/>
    <w:rsid w:val="009F77B4"/>
    <w:rsid w:val="009F7B98"/>
    <w:rsid w:val="00A0114D"/>
    <w:rsid w:val="00A01A85"/>
    <w:rsid w:val="00A01B1A"/>
    <w:rsid w:val="00A02C14"/>
    <w:rsid w:val="00A04224"/>
    <w:rsid w:val="00A04465"/>
    <w:rsid w:val="00A045F2"/>
    <w:rsid w:val="00A046ED"/>
    <w:rsid w:val="00A04BA1"/>
    <w:rsid w:val="00A04E3E"/>
    <w:rsid w:val="00A053D4"/>
    <w:rsid w:val="00A054D6"/>
    <w:rsid w:val="00A05819"/>
    <w:rsid w:val="00A05CA0"/>
    <w:rsid w:val="00A05CD1"/>
    <w:rsid w:val="00A0609D"/>
    <w:rsid w:val="00A104A6"/>
    <w:rsid w:val="00A10970"/>
    <w:rsid w:val="00A10C61"/>
    <w:rsid w:val="00A11055"/>
    <w:rsid w:val="00A1142C"/>
    <w:rsid w:val="00A11E6B"/>
    <w:rsid w:val="00A12076"/>
    <w:rsid w:val="00A12171"/>
    <w:rsid w:val="00A12312"/>
    <w:rsid w:val="00A12E85"/>
    <w:rsid w:val="00A12F8D"/>
    <w:rsid w:val="00A13CDF"/>
    <w:rsid w:val="00A14C05"/>
    <w:rsid w:val="00A1505E"/>
    <w:rsid w:val="00A150F5"/>
    <w:rsid w:val="00A16F8B"/>
    <w:rsid w:val="00A21078"/>
    <w:rsid w:val="00A2109E"/>
    <w:rsid w:val="00A22518"/>
    <w:rsid w:val="00A22CDD"/>
    <w:rsid w:val="00A22D7C"/>
    <w:rsid w:val="00A241ED"/>
    <w:rsid w:val="00A242BE"/>
    <w:rsid w:val="00A24381"/>
    <w:rsid w:val="00A24FA5"/>
    <w:rsid w:val="00A25EE7"/>
    <w:rsid w:val="00A275DD"/>
    <w:rsid w:val="00A27D25"/>
    <w:rsid w:val="00A30204"/>
    <w:rsid w:val="00A3021B"/>
    <w:rsid w:val="00A30227"/>
    <w:rsid w:val="00A302F3"/>
    <w:rsid w:val="00A30396"/>
    <w:rsid w:val="00A3125F"/>
    <w:rsid w:val="00A31627"/>
    <w:rsid w:val="00A319FE"/>
    <w:rsid w:val="00A31C49"/>
    <w:rsid w:val="00A31EE9"/>
    <w:rsid w:val="00A32419"/>
    <w:rsid w:val="00A327BF"/>
    <w:rsid w:val="00A32C87"/>
    <w:rsid w:val="00A3408F"/>
    <w:rsid w:val="00A34C16"/>
    <w:rsid w:val="00A34DB6"/>
    <w:rsid w:val="00A36BDA"/>
    <w:rsid w:val="00A36C81"/>
    <w:rsid w:val="00A3763C"/>
    <w:rsid w:val="00A37E86"/>
    <w:rsid w:val="00A41707"/>
    <w:rsid w:val="00A425F8"/>
    <w:rsid w:val="00A4287E"/>
    <w:rsid w:val="00A436FA"/>
    <w:rsid w:val="00A43BE7"/>
    <w:rsid w:val="00A44AF3"/>
    <w:rsid w:val="00A45E6B"/>
    <w:rsid w:val="00A4632E"/>
    <w:rsid w:val="00A46594"/>
    <w:rsid w:val="00A46C8B"/>
    <w:rsid w:val="00A46D38"/>
    <w:rsid w:val="00A473B8"/>
    <w:rsid w:val="00A477AF"/>
    <w:rsid w:val="00A47A62"/>
    <w:rsid w:val="00A5105E"/>
    <w:rsid w:val="00A51D05"/>
    <w:rsid w:val="00A52D6C"/>
    <w:rsid w:val="00A53055"/>
    <w:rsid w:val="00A539A7"/>
    <w:rsid w:val="00A53C16"/>
    <w:rsid w:val="00A5456E"/>
    <w:rsid w:val="00A5532C"/>
    <w:rsid w:val="00A5562D"/>
    <w:rsid w:val="00A56E22"/>
    <w:rsid w:val="00A57CEF"/>
    <w:rsid w:val="00A57EB9"/>
    <w:rsid w:val="00A6069C"/>
    <w:rsid w:val="00A60739"/>
    <w:rsid w:val="00A60FC9"/>
    <w:rsid w:val="00A618B7"/>
    <w:rsid w:val="00A61BE7"/>
    <w:rsid w:val="00A62269"/>
    <w:rsid w:val="00A62DE8"/>
    <w:rsid w:val="00A62E2A"/>
    <w:rsid w:val="00A63260"/>
    <w:rsid w:val="00A63C7F"/>
    <w:rsid w:val="00A64D79"/>
    <w:rsid w:val="00A6503D"/>
    <w:rsid w:val="00A65567"/>
    <w:rsid w:val="00A66520"/>
    <w:rsid w:val="00A66C90"/>
    <w:rsid w:val="00A67DF5"/>
    <w:rsid w:val="00A70289"/>
    <w:rsid w:val="00A70D39"/>
    <w:rsid w:val="00A70EC3"/>
    <w:rsid w:val="00A718F6"/>
    <w:rsid w:val="00A72F06"/>
    <w:rsid w:val="00A74D72"/>
    <w:rsid w:val="00A754D3"/>
    <w:rsid w:val="00A75B3D"/>
    <w:rsid w:val="00A764BC"/>
    <w:rsid w:val="00A76861"/>
    <w:rsid w:val="00A774A6"/>
    <w:rsid w:val="00A77F94"/>
    <w:rsid w:val="00A8044A"/>
    <w:rsid w:val="00A81B90"/>
    <w:rsid w:val="00A830BC"/>
    <w:rsid w:val="00A8352A"/>
    <w:rsid w:val="00A839FF"/>
    <w:rsid w:val="00A83EFD"/>
    <w:rsid w:val="00A84769"/>
    <w:rsid w:val="00A84776"/>
    <w:rsid w:val="00A84B32"/>
    <w:rsid w:val="00A84FCA"/>
    <w:rsid w:val="00A85467"/>
    <w:rsid w:val="00A863A3"/>
    <w:rsid w:val="00A8670B"/>
    <w:rsid w:val="00A86DA1"/>
    <w:rsid w:val="00A87C3C"/>
    <w:rsid w:val="00A90226"/>
    <w:rsid w:val="00A90295"/>
    <w:rsid w:val="00A90951"/>
    <w:rsid w:val="00A90991"/>
    <w:rsid w:val="00A909F3"/>
    <w:rsid w:val="00A90E1E"/>
    <w:rsid w:val="00A912AC"/>
    <w:rsid w:val="00A91C59"/>
    <w:rsid w:val="00A924DD"/>
    <w:rsid w:val="00A92CF6"/>
    <w:rsid w:val="00A93166"/>
    <w:rsid w:val="00A93DFE"/>
    <w:rsid w:val="00A942ED"/>
    <w:rsid w:val="00A94ACC"/>
    <w:rsid w:val="00A95993"/>
    <w:rsid w:val="00A959EE"/>
    <w:rsid w:val="00A96288"/>
    <w:rsid w:val="00A963F9"/>
    <w:rsid w:val="00A96ABD"/>
    <w:rsid w:val="00A978A7"/>
    <w:rsid w:val="00AA02A2"/>
    <w:rsid w:val="00AA217C"/>
    <w:rsid w:val="00AA2DC6"/>
    <w:rsid w:val="00AA2F47"/>
    <w:rsid w:val="00AA3F6A"/>
    <w:rsid w:val="00AA40F5"/>
    <w:rsid w:val="00AA50D7"/>
    <w:rsid w:val="00AA56FB"/>
    <w:rsid w:val="00AA6B66"/>
    <w:rsid w:val="00AA707A"/>
    <w:rsid w:val="00AA7A63"/>
    <w:rsid w:val="00AA7F6E"/>
    <w:rsid w:val="00AB0065"/>
    <w:rsid w:val="00AB027F"/>
    <w:rsid w:val="00AB0754"/>
    <w:rsid w:val="00AB0858"/>
    <w:rsid w:val="00AB1CD5"/>
    <w:rsid w:val="00AB250A"/>
    <w:rsid w:val="00AB293E"/>
    <w:rsid w:val="00AB48EF"/>
    <w:rsid w:val="00AB49CE"/>
    <w:rsid w:val="00AB4C7B"/>
    <w:rsid w:val="00AB4D57"/>
    <w:rsid w:val="00AB4D91"/>
    <w:rsid w:val="00AB5290"/>
    <w:rsid w:val="00AB665C"/>
    <w:rsid w:val="00AB6978"/>
    <w:rsid w:val="00AB71ED"/>
    <w:rsid w:val="00AC007B"/>
    <w:rsid w:val="00AC09C3"/>
    <w:rsid w:val="00AC0A05"/>
    <w:rsid w:val="00AC0ACA"/>
    <w:rsid w:val="00AC0CFE"/>
    <w:rsid w:val="00AC125E"/>
    <w:rsid w:val="00AC1570"/>
    <w:rsid w:val="00AC2757"/>
    <w:rsid w:val="00AC28DF"/>
    <w:rsid w:val="00AC368F"/>
    <w:rsid w:val="00AC4558"/>
    <w:rsid w:val="00AC4710"/>
    <w:rsid w:val="00AC491F"/>
    <w:rsid w:val="00AC4CF3"/>
    <w:rsid w:val="00AC5096"/>
    <w:rsid w:val="00AC512D"/>
    <w:rsid w:val="00AC5329"/>
    <w:rsid w:val="00AC547D"/>
    <w:rsid w:val="00AC5D93"/>
    <w:rsid w:val="00AC62D7"/>
    <w:rsid w:val="00AC6FF8"/>
    <w:rsid w:val="00AC7C87"/>
    <w:rsid w:val="00AD020D"/>
    <w:rsid w:val="00AD03EF"/>
    <w:rsid w:val="00AD08A2"/>
    <w:rsid w:val="00AD09F6"/>
    <w:rsid w:val="00AD11D7"/>
    <w:rsid w:val="00AD1590"/>
    <w:rsid w:val="00AD3284"/>
    <w:rsid w:val="00AD32FD"/>
    <w:rsid w:val="00AD3D74"/>
    <w:rsid w:val="00AD3F33"/>
    <w:rsid w:val="00AD4EFF"/>
    <w:rsid w:val="00AD4F6E"/>
    <w:rsid w:val="00AD5601"/>
    <w:rsid w:val="00AD6058"/>
    <w:rsid w:val="00AD6E3C"/>
    <w:rsid w:val="00AD6F2C"/>
    <w:rsid w:val="00AE0DC5"/>
    <w:rsid w:val="00AE1F27"/>
    <w:rsid w:val="00AE34CF"/>
    <w:rsid w:val="00AE3A0E"/>
    <w:rsid w:val="00AE3D33"/>
    <w:rsid w:val="00AE402C"/>
    <w:rsid w:val="00AE41A3"/>
    <w:rsid w:val="00AE426A"/>
    <w:rsid w:val="00AE4305"/>
    <w:rsid w:val="00AE488F"/>
    <w:rsid w:val="00AE495C"/>
    <w:rsid w:val="00AE4A60"/>
    <w:rsid w:val="00AE4DF7"/>
    <w:rsid w:val="00AE521D"/>
    <w:rsid w:val="00AE569A"/>
    <w:rsid w:val="00AE5B14"/>
    <w:rsid w:val="00AE6138"/>
    <w:rsid w:val="00AE7C37"/>
    <w:rsid w:val="00AE7EF1"/>
    <w:rsid w:val="00AF0322"/>
    <w:rsid w:val="00AF05F6"/>
    <w:rsid w:val="00AF0E3E"/>
    <w:rsid w:val="00AF16A3"/>
    <w:rsid w:val="00AF1AFD"/>
    <w:rsid w:val="00AF212C"/>
    <w:rsid w:val="00AF42E4"/>
    <w:rsid w:val="00AF42FC"/>
    <w:rsid w:val="00AF436F"/>
    <w:rsid w:val="00AF43D2"/>
    <w:rsid w:val="00AF4966"/>
    <w:rsid w:val="00AF5277"/>
    <w:rsid w:val="00AF5478"/>
    <w:rsid w:val="00AF682E"/>
    <w:rsid w:val="00AF699B"/>
    <w:rsid w:val="00AF7681"/>
    <w:rsid w:val="00AF77A9"/>
    <w:rsid w:val="00B0002F"/>
    <w:rsid w:val="00B012B1"/>
    <w:rsid w:val="00B01A35"/>
    <w:rsid w:val="00B02FD8"/>
    <w:rsid w:val="00B040B6"/>
    <w:rsid w:val="00B0463E"/>
    <w:rsid w:val="00B04972"/>
    <w:rsid w:val="00B04E09"/>
    <w:rsid w:val="00B05823"/>
    <w:rsid w:val="00B058EA"/>
    <w:rsid w:val="00B0598B"/>
    <w:rsid w:val="00B06378"/>
    <w:rsid w:val="00B06538"/>
    <w:rsid w:val="00B06561"/>
    <w:rsid w:val="00B07A51"/>
    <w:rsid w:val="00B07C7B"/>
    <w:rsid w:val="00B07DA5"/>
    <w:rsid w:val="00B1009A"/>
    <w:rsid w:val="00B122DC"/>
    <w:rsid w:val="00B12830"/>
    <w:rsid w:val="00B13284"/>
    <w:rsid w:val="00B136BA"/>
    <w:rsid w:val="00B141D9"/>
    <w:rsid w:val="00B15BBA"/>
    <w:rsid w:val="00B1655A"/>
    <w:rsid w:val="00B16974"/>
    <w:rsid w:val="00B169A0"/>
    <w:rsid w:val="00B178AB"/>
    <w:rsid w:val="00B17B45"/>
    <w:rsid w:val="00B20E4F"/>
    <w:rsid w:val="00B21F70"/>
    <w:rsid w:val="00B222DC"/>
    <w:rsid w:val="00B227C6"/>
    <w:rsid w:val="00B2280A"/>
    <w:rsid w:val="00B22B84"/>
    <w:rsid w:val="00B23328"/>
    <w:rsid w:val="00B23619"/>
    <w:rsid w:val="00B237C7"/>
    <w:rsid w:val="00B24023"/>
    <w:rsid w:val="00B2509B"/>
    <w:rsid w:val="00B25333"/>
    <w:rsid w:val="00B27084"/>
    <w:rsid w:val="00B27873"/>
    <w:rsid w:val="00B3047D"/>
    <w:rsid w:val="00B318B5"/>
    <w:rsid w:val="00B31DE9"/>
    <w:rsid w:val="00B31E0B"/>
    <w:rsid w:val="00B31E8A"/>
    <w:rsid w:val="00B3215A"/>
    <w:rsid w:val="00B32260"/>
    <w:rsid w:val="00B3349D"/>
    <w:rsid w:val="00B33AEE"/>
    <w:rsid w:val="00B347AA"/>
    <w:rsid w:val="00B36938"/>
    <w:rsid w:val="00B4115F"/>
    <w:rsid w:val="00B412CD"/>
    <w:rsid w:val="00B4133F"/>
    <w:rsid w:val="00B42FBD"/>
    <w:rsid w:val="00B4361E"/>
    <w:rsid w:val="00B4418A"/>
    <w:rsid w:val="00B44786"/>
    <w:rsid w:val="00B448A6"/>
    <w:rsid w:val="00B44BBF"/>
    <w:rsid w:val="00B45C49"/>
    <w:rsid w:val="00B45CCB"/>
    <w:rsid w:val="00B46802"/>
    <w:rsid w:val="00B46B51"/>
    <w:rsid w:val="00B46C46"/>
    <w:rsid w:val="00B46FBF"/>
    <w:rsid w:val="00B4736F"/>
    <w:rsid w:val="00B47577"/>
    <w:rsid w:val="00B47C78"/>
    <w:rsid w:val="00B507D3"/>
    <w:rsid w:val="00B508C5"/>
    <w:rsid w:val="00B50CFA"/>
    <w:rsid w:val="00B51AD4"/>
    <w:rsid w:val="00B523CB"/>
    <w:rsid w:val="00B54864"/>
    <w:rsid w:val="00B54A9A"/>
    <w:rsid w:val="00B54E0B"/>
    <w:rsid w:val="00B550DE"/>
    <w:rsid w:val="00B552FB"/>
    <w:rsid w:val="00B55DB1"/>
    <w:rsid w:val="00B55DED"/>
    <w:rsid w:val="00B560AA"/>
    <w:rsid w:val="00B576A3"/>
    <w:rsid w:val="00B623B1"/>
    <w:rsid w:val="00B625DA"/>
    <w:rsid w:val="00B63177"/>
    <w:rsid w:val="00B63505"/>
    <w:rsid w:val="00B6359C"/>
    <w:rsid w:val="00B63691"/>
    <w:rsid w:val="00B640CC"/>
    <w:rsid w:val="00B6457D"/>
    <w:rsid w:val="00B648E1"/>
    <w:rsid w:val="00B65712"/>
    <w:rsid w:val="00B661C8"/>
    <w:rsid w:val="00B6632B"/>
    <w:rsid w:val="00B666FC"/>
    <w:rsid w:val="00B668A5"/>
    <w:rsid w:val="00B66A92"/>
    <w:rsid w:val="00B6719C"/>
    <w:rsid w:val="00B67D24"/>
    <w:rsid w:val="00B70005"/>
    <w:rsid w:val="00B705BB"/>
    <w:rsid w:val="00B70716"/>
    <w:rsid w:val="00B716C7"/>
    <w:rsid w:val="00B7192B"/>
    <w:rsid w:val="00B71D88"/>
    <w:rsid w:val="00B71E96"/>
    <w:rsid w:val="00B71FAA"/>
    <w:rsid w:val="00B725C4"/>
    <w:rsid w:val="00B72979"/>
    <w:rsid w:val="00B72FFF"/>
    <w:rsid w:val="00B74723"/>
    <w:rsid w:val="00B7555C"/>
    <w:rsid w:val="00B7663D"/>
    <w:rsid w:val="00B7712E"/>
    <w:rsid w:val="00B7761E"/>
    <w:rsid w:val="00B77B11"/>
    <w:rsid w:val="00B77B49"/>
    <w:rsid w:val="00B77CCF"/>
    <w:rsid w:val="00B77D5E"/>
    <w:rsid w:val="00B80549"/>
    <w:rsid w:val="00B80F72"/>
    <w:rsid w:val="00B8111F"/>
    <w:rsid w:val="00B814AF"/>
    <w:rsid w:val="00B81FD7"/>
    <w:rsid w:val="00B82423"/>
    <w:rsid w:val="00B83AC1"/>
    <w:rsid w:val="00B8401A"/>
    <w:rsid w:val="00B8434E"/>
    <w:rsid w:val="00B84AA1"/>
    <w:rsid w:val="00B84C34"/>
    <w:rsid w:val="00B861F0"/>
    <w:rsid w:val="00B866A0"/>
    <w:rsid w:val="00B86877"/>
    <w:rsid w:val="00B87312"/>
    <w:rsid w:val="00B901C0"/>
    <w:rsid w:val="00B90938"/>
    <w:rsid w:val="00B91C3C"/>
    <w:rsid w:val="00B91E46"/>
    <w:rsid w:val="00B92438"/>
    <w:rsid w:val="00B92CC1"/>
    <w:rsid w:val="00B9428A"/>
    <w:rsid w:val="00B94B17"/>
    <w:rsid w:val="00B94DA6"/>
    <w:rsid w:val="00B9502D"/>
    <w:rsid w:val="00B96857"/>
    <w:rsid w:val="00B96A7E"/>
    <w:rsid w:val="00B96FBB"/>
    <w:rsid w:val="00B977A7"/>
    <w:rsid w:val="00B97864"/>
    <w:rsid w:val="00B97D69"/>
    <w:rsid w:val="00BA043F"/>
    <w:rsid w:val="00BA04D5"/>
    <w:rsid w:val="00BA0632"/>
    <w:rsid w:val="00BA1612"/>
    <w:rsid w:val="00BA1FE3"/>
    <w:rsid w:val="00BA2186"/>
    <w:rsid w:val="00BA25E9"/>
    <w:rsid w:val="00BA2A55"/>
    <w:rsid w:val="00BA2D55"/>
    <w:rsid w:val="00BA3E6B"/>
    <w:rsid w:val="00BA4BA1"/>
    <w:rsid w:val="00BA5660"/>
    <w:rsid w:val="00BA64A4"/>
    <w:rsid w:val="00BA69E0"/>
    <w:rsid w:val="00BA6E3C"/>
    <w:rsid w:val="00BA7536"/>
    <w:rsid w:val="00BA772A"/>
    <w:rsid w:val="00BA7E6F"/>
    <w:rsid w:val="00BB04C4"/>
    <w:rsid w:val="00BB112D"/>
    <w:rsid w:val="00BB128E"/>
    <w:rsid w:val="00BB131B"/>
    <w:rsid w:val="00BB2092"/>
    <w:rsid w:val="00BB223D"/>
    <w:rsid w:val="00BB3066"/>
    <w:rsid w:val="00BB39C2"/>
    <w:rsid w:val="00BB52EB"/>
    <w:rsid w:val="00BB553F"/>
    <w:rsid w:val="00BB5AE0"/>
    <w:rsid w:val="00BB68FD"/>
    <w:rsid w:val="00BB6A92"/>
    <w:rsid w:val="00BB6F5A"/>
    <w:rsid w:val="00BB72A0"/>
    <w:rsid w:val="00BB7D01"/>
    <w:rsid w:val="00BC012A"/>
    <w:rsid w:val="00BC095F"/>
    <w:rsid w:val="00BC0FCC"/>
    <w:rsid w:val="00BC133B"/>
    <w:rsid w:val="00BC174C"/>
    <w:rsid w:val="00BC1C45"/>
    <w:rsid w:val="00BC1C95"/>
    <w:rsid w:val="00BC2545"/>
    <w:rsid w:val="00BC2768"/>
    <w:rsid w:val="00BC3D62"/>
    <w:rsid w:val="00BC4D55"/>
    <w:rsid w:val="00BC64AD"/>
    <w:rsid w:val="00BC7400"/>
    <w:rsid w:val="00BC75EC"/>
    <w:rsid w:val="00BC7C09"/>
    <w:rsid w:val="00BD06A4"/>
    <w:rsid w:val="00BD0F00"/>
    <w:rsid w:val="00BD12D8"/>
    <w:rsid w:val="00BD162F"/>
    <w:rsid w:val="00BD181F"/>
    <w:rsid w:val="00BD2014"/>
    <w:rsid w:val="00BD2604"/>
    <w:rsid w:val="00BD2CF7"/>
    <w:rsid w:val="00BD32EF"/>
    <w:rsid w:val="00BD3433"/>
    <w:rsid w:val="00BD579E"/>
    <w:rsid w:val="00BD5961"/>
    <w:rsid w:val="00BD5B1E"/>
    <w:rsid w:val="00BD6634"/>
    <w:rsid w:val="00BD6A4A"/>
    <w:rsid w:val="00BD76E5"/>
    <w:rsid w:val="00BD7935"/>
    <w:rsid w:val="00BE09B3"/>
    <w:rsid w:val="00BE0B8D"/>
    <w:rsid w:val="00BE0BA0"/>
    <w:rsid w:val="00BE0DF2"/>
    <w:rsid w:val="00BE1343"/>
    <w:rsid w:val="00BE146E"/>
    <w:rsid w:val="00BE1D38"/>
    <w:rsid w:val="00BE31EF"/>
    <w:rsid w:val="00BE3747"/>
    <w:rsid w:val="00BE3916"/>
    <w:rsid w:val="00BE3E9F"/>
    <w:rsid w:val="00BE5D28"/>
    <w:rsid w:val="00BE695F"/>
    <w:rsid w:val="00BE6F8B"/>
    <w:rsid w:val="00BE702F"/>
    <w:rsid w:val="00BE7B25"/>
    <w:rsid w:val="00BF14A3"/>
    <w:rsid w:val="00BF1CBB"/>
    <w:rsid w:val="00BF1DB6"/>
    <w:rsid w:val="00BF256F"/>
    <w:rsid w:val="00BF2D47"/>
    <w:rsid w:val="00BF33C5"/>
    <w:rsid w:val="00BF377E"/>
    <w:rsid w:val="00BF41E4"/>
    <w:rsid w:val="00BF44D1"/>
    <w:rsid w:val="00BF4593"/>
    <w:rsid w:val="00BF65D4"/>
    <w:rsid w:val="00BF6738"/>
    <w:rsid w:val="00BF6BCF"/>
    <w:rsid w:val="00BF70F7"/>
    <w:rsid w:val="00BF779B"/>
    <w:rsid w:val="00BF7B80"/>
    <w:rsid w:val="00BF7EB6"/>
    <w:rsid w:val="00C00698"/>
    <w:rsid w:val="00C00722"/>
    <w:rsid w:val="00C00B4F"/>
    <w:rsid w:val="00C01FC3"/>
    <w:rsid w:val="00C041B7"/>
    <w:rsid w:val="00C04E49"/>
    <w:rsid w:val="00C050DE"/>
    <w:rsid w:val="00C05E9A"/>
    <w:rsid w:val="00C069BF"/>
    <w:rsid w:val="00C079BE"/>
    <w:rsid w:val="00C1052A"/>
    <w:rsid w:val="00C10F77"/>
    <w:rsid w:val="00C11726"/>
    <w:rsid w:val="00C119A1"/>
    <w:rsid w:val="00C11A6D"/>
    <w:rsid w:val="00C12825"/>
    <w:rsid w:val="00C12FBD"/>
    <w:rsid w:val="00C1362A"/>
    <w:rsid w:val="00C14040"/>
    <w:rsid w:val="00C15563"/>
    <w:rsid w:val="00C15F88"/>
    <w:rsid w:val="00C173A7"/>
    <w:rsid w:val="00C17497"/>
    <w:rsid w:val="00C1774F"/>
    <w:rsid w:val="00C17EFB"/>
    <w:rsid w:val="00C205FC"/>
    <w:rsid w:val="00C220F1"/>
    <w:rsid w:val="00C22E67"/>
    <w:rsid w:val="00C22F53"/>
    <w:rsid w:val="00C24729"/>
    <w:rsid w:val="00C2532B"/>
    <w:rsid w:val="00C26115"/>
    <w:rsid w:val="00C269DB"/>
    <w:rsid w:val="00C26C13"/>
    <w:rsid w:val="00C276E1"/>
    <w:rsid w:val="00C27A02"/>
    <w:rsid w:val="00C3013B"/>
    <w:rsid w:val="00C30327"/>
    <w:rsid w:val="00C3092C"/>
    <w:rsid w:val="00C316F4"/>
    <w:rsid w:val="00C31771"/>
    <w:rsid w:val="00C31BB4"/>
    <w:rsid w:val="00C33C2F"/>
    <w:rsid w:val="00C33EF7"/>
    <w:rsid w:val="00C33FD3"/>
    <w:rsid w:val="00C34173"/>
    <w:rsid w:val="00C3444B"/>
    <w:rsid w:val="00C34829"/>
    <w:rsid w:val="00C34D42"/>
    <w:rsid w:val="00C35654"/>
    <w:rsid w:val="00C358E5"/>
    <w:rsid w:val="00C35CC9"/>
    <w:rsid w:val="00C35F2A"/>
    <w:rsid w:val="00C36697"/>
    <w:rsid w:val="00C3675C"/>
    <w:rsid w:val="00C36AFE"/>
    <w:rsid w:val="00C372E2"/>
    <w:rsid w:val="00C3747C"/>
    <w:rsid w:val="00C37C3B"/>
    <w:rsid w:val="00C40703"/>
    <w:rsid w:val="00C4095D"/>
    <w:rsid w:val="00C40DF1"/>
    <w:rsid w:val="00C422E4"/>
    <w:rsid w:val="00C4394F"/>
    <w:rsid w:val="00C44049"/>
    <w:rsid w:val="00C445EC"/>
    <w:rsid w:val="00C446DC"/>
    <w:rsid w:val="00C4498C"/>
    <w:rsid w:val="00C449A3"/>
    <w:rsid w:val="00C44FAE"/>
    <w:rsid w:val="00C4519D"/>
    <w:rsid w:val="00C45B47"/>
    <w:rsid w:val="00C464CE"/>
    <w:rsid w:val="00C4699F"/>
    <w:rsid w:val="00C46ECC"/>
    <w:rsid w:val="00C46F34"/>
    <w:rsid w:val="00C47420"/>
    <w:rsid w:val="00C47B40"/>
    <w:rsid w:val="00C50516"/>
    <w:rsid w:val="00C506A6"/>
    <w:rsid w:val="00C50B90"/>
    <w:rsid w:val="00C5274A"/>
    <w:rsid w:val="00C52C8E"/>
    <w:rsid w:val="00C52ECD"/>
    <w:rsid w:val="00C53368"/>
    <w:rsid w:val="00C54EC7"/>
    <w:rsid w:val="00C54EF1"/>
    <w:rsid w:val="00C54FE6"/>
    <w:rsid w:val="00C5547B"/>
    <w:rsid w:val="00C564A2"/>
    <w:rsid w:val="00C56F3C"/>
    <w:rsid w:val="00C57C27"/>
    <w:rsid w:val="00C57CCD"/>
    <w:rsid w:val="00C60558"/>
    <w:rsid w:val="00C616D1"/>
    <w:rsid w:val="00C618C5"/>
    <w:rsid w:val="00C63C98"/>
    <w:rsid w:val="00C63CDE"/>
    <w:rsid w:val="00C63D64"/>
    <w:rsid w:val="00C641B8"/>
    <w:rsid w:val="00C654E6"/>
    <w:rsid w:val="00C65613"/>
    <w:rsid w:val="00C66291"/>
    <w:rsid w:val="00C67F7F"/>
    <w:rsid w:val="00C67FD5"/>
    <w:rsid w:val="00C70AB2"/>
    <w:rsid w:val="00C71C6E"/>
    <w:rsid w:val="00C72BAB"/>
    <w:rsid w:val="00C73CED"/>
    <w:rsid w:val="00C748BA"/>
    <w:rsid w:val="00C74A68"/>
    <w:rsid w:val="00C74DE9"/>
    <w:rsid w:val="00C74EE8"/>
    <w:rsid w:val="00C754CA"/>
    <w:rsid w:val="00C75DE3"/>
    <w:rsid w:val="00C7609A"/>
    <w:rsid w:val="00C76317"/>
    <w:rsid w:val="00C77207"/>
    <w:rsid w:val="00C777E1"/>
    <w:rsid w:val="00C77CA3"/>
    <w:rsid w:val="00C802DB"/>
    <w:rsid w:val="00C805C2"/>
    <w:rsid w:val="00C818B1"/>
    <w:rsid w:val="00C81E33"/>
    <w:rsid w:val="00C82075"/>
    <w:rsid w:val="00C83B82"/>
    <w:rsid w:val="00C84133"/>
    <w:rsid w:val="00C8496A"/>
    <w:rsid w:val="00C85370"/>
    <w:rsid w:val="00C8599A"/>
    <w:rsid w:val="00C8630F"/>
    <w:rsid w:val="00C865AB"/>
    <w:rsid w:val="00C86E20"/>
    <w:rsid w:val="00C871AC"/>
    <w:rsid w:val="00C9071C"/>
    <w:rsid w:val="00C90B47"/>
    <w:rsid w:val="00C9117A"/>
    <w:rsid w:val="00C91A80"/>
    <w:rsid w:val="00C920D1"/>
    <w:rsid w:val="00C939B9"/>
    <w:rsid w:val="00C93BCB"/>
    <w:rsid w:val="00C94589"/>
    <w:rsid w:val="00C94EA8"/>
    <w:rsid w:val="00C95178"/>
    <w:rsid w:val="00C95337"/>
    <w:rsid w:val="00C95380"/>
    <w:rsid w:val="00C95C03"/>
    <w:rsid w:val="00C96495"/>
    <w:rsid w:val="00C968AC"/>
    <w:rsid w:val="00C96FA8"/>
    <w:rsid w:val="00C971A6"/>
    <w:rsid w:val="00C9745A"/>
    <w:rsid w:val="00C97660"/>
    <w:rsid w:val="00C97789"/>
    <w:rsid w:val="00C977AA"/>
    <w:rsid w:val="00CA00A3"/>
    <w:rsid w:val="00CA06AA"/>
    <w:rsid w:val="00CA0A20"/>
    <w:rsid w:val="00CA0C9A"/>
    <w:rsid w:val="00CA1153"/>
    <w:rsid w:val="00CA1177"/>
    <w:rsid w:val="00CA1598"/>
    <w:rsid w:val="00CA17B3"/>
    <w:rsid w:val="00CA195B"/>
    <w:rsid w:val="00CA2624"/>
    <w:rsid w:val="00CA2B7F"/>
    <w:rsid w:val="00CA3C40"/>
    <w:rsid w:val="00CA4AC3"/>
    <w:rsid w:val="00CA4CAC"/>
    <w:rsid w:val="00CA59EE"/>
    <w:rsid w:val="00CA6C78"/>
    <w:rsid w:val="00CA6CCB"/>
    <w:rsid w:val="00CA743D"/>
    <w:rsid w:val="00CB0677"/>
    <w:rsid w:val="00CB07D3"/>
    <w:rsid w:val="00CB0D60"/>
    <w:rsid w:val="00CB1411"/>
    <w:rsid w:val="00CB1EB7"/>
    <w:rsid w:val="00CB2704"/>
    <w:rsid w:val="00CB2D83"/>
    <w:rsid w:val="00CB2F0E"/>
    <w:rsid w:val="00CB34EF"/>
    <w:rsid w:val="00CB3674"/>
    <w:rsid w:val="00CB3AEA"/>
    <w:rsid w:val="00CB42D6"/>
    <w:rsid w:val="00CB439A"/>
    <w:rsid w:val="00CB4585"/>
    <w:rsid w:val="00CB55B3"/>
    <w:rsid w:val="00CB5F9D"/>
    <w:rsid w:val="00CB65DF"/>
    <w:rsid w:val="00CB6952"/>
    <w:rsid w:val="00CB72AC"/>
    <w:rsid w:val="00CB7797"/>
    <w:rsid w:val="00CB7B65"/>
    <w:rsid w:val="00CB7F50"/>
    <w:rsid w:val="00CC1893"/>
    <w:rsid w:val="00CC1FDF"/>
    <w:rsid w:val="00CC3736"/>
    <w:rsid w:val="00CC3D51"/>
    <w:rsid w:val="00CC593D"/>
    <w:rsid w:val="00CC5F24"/>
    <w:rsid w:val="00CC65EE"/>
    <w:rsid w:val="00CC66B2"/>
    <w:rsid w:val="00CC69C0"/>
    <w:rsid w:val="00CC69E5"/>
    <w:rsid w:val="00CC723F"/>
    <w:rsid w:val="00CC7F97"/>
    <w:rsid w:val="00CD019D"/>
    <w:rsid w:val="00CD064E"/>
    <w:rsid w:val="00CD0744"/>
    <w:rsid w:val="00CD0BDA"/>
    <w:rsid w:val="00CD1593"/>
    <w:rsid w:val="00CD1E01"/>
    <w:rsid w:val="00CD1FFC"/>
    <w:rsid w:val="00CD26B0"/>
    <w:rsid w:val="00CD3DEB"/>
    <w:rsid w:val="00CD4ABC"/>
    <w:rsid w:val="00CD4EFC"/>
    <w:rsid w:val="00CD58FF"/>
    <w:rsid w:val="00CD755D"/>
    <w:rsid w:val="00CD77A7"/>
    <w:rsid w:val="00CD7B22"/>
    <w:rsid w:val="00CD7CDA"/>
    <w:rsid w:val="00CE1A7D"/>
    <w:rsid w:val="00CE201E"/>
    <w:rsid w:val="00CE2783"/>
    <w:rsid w:val="00CE2A5F"/>
    <w:rsid w:val="00CE31EA"/>
    <w:rsid w:val="00CE3866"/>
    <w:rsid w:val="00CE3C11"/>
    <w:rsid w:val="00CE46BB"/>
    <w:rsid w:val="00CE46FF"/>
    <w:rsid w:val="00CE4B81"/>
    <w:rsid w:val="00CE4CED"/>
    <w:rsid w:val="00CE4FCF"/>
    <w:rsid w:val="00CE5F62"/>
    <w:rsid w:val="00CE61D0"/>
    <w:rsid w:val="00CE6D5F"/>
    <w:rsid w:val="00CE7799"/>
    <w:rsid w:val="00CF0881"/>
    <w:rsid w:val="00CF09E1"/>
    <w:rsid w:val="00CF208B"/>
    <w:rsid w:val="00CF2641"/>
    <w:rsid w:val="00CF2EA9"/>
    <w:rsid w:val="00CF3DD6"/>
    <w:rsid w:val="00CF5082"/>
    <w:rsid w:val="00CF647F"/>
    <w:rsid w:val="00CF6E21"/>
    <w:rsid w:val="00CF7F81"/>
    <w:rsid w:val="00D00447"/>
    <w:rsid w:val="00D01099"/>
    <w:rsid w:val="00D0116D"/>
    <w:rsid w:val="00D0153C"/>
    <w:rsid w:val="00D018DE"/>
    <w:rsid w:val="00D019A4"/>
    <w:rsid w:val="00D01E0C"/>
    <w:rsid w:val="00D027A8"/>
    <w:rsid w:val="00D03075"/>
    <w:rsid w:val="00D034A0"/>
    <w:rsid w:val="00D034E1"/>
    <w:rsid w:val="00D034E5"/>
    <w:rsid w:val="00D0376A"/>
    <w:rsid w:val="00D03DC9"/>
    <w:rsid w:val="00D03DD0"/>
    <w:rsid w:val="00D03EC1"/>
    <w:rsid w:val="00D04CB6"/>
    <w:rsid w:val="00D05246"/>
    <w:rsid w:val="00D05495"/>
    <w:rsid w:val="00D05DFF"/>
    <w:rsid w:val="00D05FD4"/>
    <w:rsid w:val="00D062AD"/>
    <w:rsid w:val="00D067E1"/>
    <w:rsid w:val="00D10583"/>
    <w:rsid w:val="00D10705"/>
    <w:rsid w:val="00D1072C"/>
    <w:rsid w:val="00D111EC"/>
    <w:rsid w:val="00D111FC"/>
    <w:rsid w:val="00D122A4"/>
    <w:rsid w:val="00D1266A"/>
    <w:rsid w:val="00D12B78"/>
    <w:rsid w:val="00D12D76"/>
    <w:rsid w:val="00D13F34"/>
    <w:rsid w:val="00D14FDF"/>
    <w:rsid w:val="00D1559E"/>
    <w:rsid w:val="00D158FC"/>
    <w:rsid w:val="00D15D82"/>
    <w:rsid w:val="00D16AD3"/>
    <w:rsid w:val="00D16DE6"/>
    <w:rsid w:val="00D203FB"/>
    <w:rsid w:val="00D2068F"/>
    <w:rsid w:val="00D214E6"/>
    <w:rsid w:val="00D22468"/>
    <w:rsid w:val="00D22FE9"/>
    <w:rsid w:val="00D2343E"/>
    <w:rsid w:val="00D238F2"/>
    <w:rsid w:val="00D23FCC"/>
    <w:rsid w:val="00D247C5"/>
    <w:rsid w:val="00D255B6"/>
    <w:rsid w:val="00D25B9C"/>
    <w:rsid w:val="00D26175"/>
    <w:rsid w:val="00D273DF"/>
    <w:rsid w:val="00D27DCC"/>
    <w:rsid w:val="00D30974"/>
    <w:rsid w:val="00D30FB5"/>
    <w:rsid w:val="00D30FEE"/>
    <w:rsid w:val="00D3154B"/>
    <w:rsid w:val="00D31B6D"/>
    <w:rsid w:val="00D31BDB"/>
    <w:rsid w:val="00D31E62"/>
    <w:rsid w:val="00D335D4"/>
    <w:rsid w:val="00D340B8"/>
    <w:rsid w:val="00D3438F"/>
    <w:rsid w:val="00D3472C"/>
    <w:rsid w:val="00D34B04"/>
    <w:rsid w:val="00D34C13"/>
    <w:rsid w:val="00D35073"/>
    <w:rsid w:val="00D350D5"/>
    <w:rsid w:val="00D36650"/>
    <w:rsid w:val="00D37413"/>
    <w:rsid w:val="00D37C96"/>
    <w:rsid w:val="00D41229"/>
    <w:rsid w:val="00D41A55"/>
    <w:rsid w:val="00D4217B"/>
    <w:rsid w:val="00D4386C"/>
    <w:rsid w:val="00D4393D"/>
    <w:rsid w:val="00D44DCF"/>
    <w:rsid w:val="00D46C56"/>
    <w:rsid w:val="00D46DA4"/>
    <w:rsid w:val="00D4743F"/>
    <w:rsid w:val="00D47967"/>
    <w:rsid w:val="00D50190"/>
    <w:rsid w:val="00D501C9"/>
    <w:rsid w:val="00D509FC"/>
    <w:rsid w:val="00D51440"/>
    <w:rsid w:val="00D51A3C"/>
    <w:rsid w:val="00D51DE7"/>
    <w:rsid w:val="00D5359A"/>
    <w:rsid w:val="00D53860"/>
    <w:rsid w:val="00D540E3"/>
    <w:rsid w:val="00D541F5"/>
    <w:rsid w:val="00D5468C"/>
    <w:rsid w:val="00D54A50"/>
    <w:rsid w:val="00D54DF7"/>
    <w:rsid w:val="00D5589F"/>
    <w:rsid w:val="00D55A61"/>
    <w:rsid w:val="00D55B19"/>
    <w:rsid w:val="00D5680F"/>
    <w:rsid w:val="00D56906"/>
    <w:rsid w:val="00D56B9E"/>
    <w:rsid w:val="00D574C3"/>
    <w:rsid w:val="00D57F5E"/>
    <w:rsid w:val="00D608DB"/>
    <w:rsid w:val="00D6114C"/>
    <w:rsid w:val="00D62136"/>
    <w:rsid w:val="00D626AF"/>
    <w:rsid w:val="00D6299E"/>
    <w:rsid w:val="00D63ACB"/>
    <w:rsid w:val="00D63BA2"/>
    <w:rsid w:val="00D63C31"/>
    <w:rsid w:val="00D63C6B"/>
    <w:rsid w:val="00D63FD9"/>
    <w:rsid w:val="00D64744"/>
    <w:rsid w:val="00D64AD1"/>
    <w:rsid w:val="00D65322"/>
    <w:rsid w:val="00D65475"/>
    <w:rsid w:val="00D65838"/>
    <w:rsid w:val="00D65C2C"/>
    <w:rsid w:val="00D65FC2"/>
    <w:rsid w:val="00D670BD"/>
    <w:rsid w:val="00D67242"/>
    <w:rsid w:val="00D67330"/>
    <w:rsid w:val="00D676E3"/>
    <w:rsid w:val="00D67760"/>
    <w:rsid w:val="00D67807"/>
    <w:rsid w:val="00D67F82"/>
    <w:rsid w:val="00D704A9"/>
    <w:rsid w:val="00D71680"/>
    <w:rsid w:val="00D724EB"/>
    <w:rsid w:val="00D7252F"/>
    <w:rsid w:val="00D7277E"/>
    <w:rsid w:val="00D73035"/>
    <w:rsid w:val="00D73160"/>
    <w:rsid w:val="00D74DD6"/>
    <w:rsid w:val="00D77984"/>
    <w:rsid w:val="00D804E6"/>
    <w:rsid w:val="00D80A78"/>
    <w:rsid w:val="00D80DEE"/>
    <w:rsid w:val="00D81013"/>
    <w:rsid w:val="00D811E9"/>
    <w:rsid w:val="00D8150E"/>
    <w:rsid w:val="00D82028"/>
    <w:rsid w:val="00D82101"/>
    <w:rsid w:val="00D823F8"/>
    <w:rsid w:val="00D83459"/>
    <w:rsid w:val="00D83711"/>
    <w:rsid w:val="00D8392B"/>
    <w:rsid w:val="00D844EF"/>
    <w:rsid w:val="00D8478B"/>
    <w:rsid w:val="00D84AD8"/>
    <w:rsid w:val="00D85404"/>
    <w:rsid w:val="00D85B7D"/>
    <w:rsid w:val="00D86539"/>
    <w:rsid w:val="00D86691"/>
    <w:rsid w:val="00D87207"/>
    <w:rsid w:val="00D875F1"/>
    <w:rsid w:val="00D87888"/>
    <w:rsid w:val="00D87964"/>
    <w:rsid w:val="00D879DF"/>
    <w:rsid w:val="00D903B5"/>
    <w:rsid w:val="00D91CA6"/>
    <w:rsid w:val="00D92977"/>
    <w:rsid w:val="00D929C7"/>
    <w:rsid w:val="00D92A1F"/>
    <w:rsid w:val="00D92B36"/>
    <w:rsid w:val="00D935FB"/>
    <w:rsid w:val="00D94D73"/>
    <w:rsid w:val="00D95C86"/>
    <w:rsid w:val="00D95D7A"/>
    <w:rsid w:val="00D95EEC"/>
    <w:rsid w:val="00D95F32"/>
    <w:rsid w:val="00D968E2"/>
    <w:rsid w:val="00D9703C"/>
    <w:rsid w:val="00D9716F"/>
    <w:rsid w:val="00D975DA"/>
    <w:rsid w:val="00D97EF7"/>
    <w:rsid w:val="00DA0814"/>
    <w:rsid w:val="00DA0F58"/>
    <w:rsid w:val="00DA2890"/>
    <w:rsid w:val="00DA3001"/>
    <w:rsid w:val="00DA31CB"/>
    <w:rsid w:val="00DA43DB"/>
    <w:rsid w:val="00DA4FA0"/>
    <w:rsid w:val="00DA6BF3"/>
    <w:rsid w:val="00DA6EF4"/>
    <w:rsid w:val="00DA7988"/>
    <w:rsid w:val="00DB0997"/>
    <w:rsid w:val="00DB1731"/>
    <w:rsid w:val="00DB2715"/>
    <w:rsid w:val="00DB2A24"/>
    <w:rsid w:val="00DB3798"/>
    <w:rsid w:val="00DB3AE8"/>
    <w:rsid w:val="00DB3ED8"/>
    <w:rsid w:val="00DB4177"/>
    <w:rsid w:val="00DB43B4"/>
    <w:rsid w:val="00DB46E8"/>
    <w:rsid w:val="00DB4C00"/>
    <w:rsid w:val="00DB5FC7"/>
    <w:rsid w:val="00DB6727"/>
    <w:rsid w:val="00DB687C"/>
    <w:rsid w:val="00DB79D4"/>
    <w:rsid w:val="00DC1F96"/>
    <w:rsid w:val="00DC217E"/>
    <w:rsid w:val="00DC2D38"/>
    <w:rsid w:val="00DC3E9D"/>
    <w:rsid w:val="00DC3F34"/>
    <w:rsid w:val="00DC4602"/>
    <w:rsid w:val="00DC4CCB"/>
    <w:rsid w:val="00DC4ED3"/>
    <w:rsid w:val="00DC59C8"/>
    <w:rsid w:val="00DC5EBF"/>
    <w:rsid w:val="00DC6110"/>
    <w:rsid w:val="00DC6218"/>
    <w:rsid w:val="00DC639A"/>
    <w:rsid w:val="00DC6762"/>
    <w:rsid w:val="00DC6F97"/>
    <w:rsid w:val="00DC7658"/>
    <w:rsid w:val="00DD09A0"/>
    <w:rsid w:val="00DD09B5"/>
    <w:rsid w:val="00DD27FB"/>
    <w:rsid w:val="00DD3494"/>
    <w:rsid w:val="00DD439C"/>
    <w:rsid w:val="00DD4575"/>
    <w:rsid w:val="00DD4B46"/>
    <w:rsid w:val="00DD520E"/>
    <w:rsid w:val="00DD65CD"/>
    <w:rsid w:val="00DD6711"/>
    <w:rsid w:val="00DD6B9F"/>
    <w:rsid w:val="00DD6BF4"/>
    <w:rsid w:val="00DD6CF3"/>
    <w:rsid w:val="00DE0067"/>
    <w:rsid w:val="00DE020E"/>
    <w:rsid w:val="00DE07C2"/>
    <w:rsid w:val="00DE23D2"/>
    <w:rsid w:val="00DE26E2"/>
    <w:rsid w:val="00DE28A8"/>
    <w:rsid w:val="00DE2FDF"/>
    <w:rsid w:val="00DE324A"/>
    <w:rsid w:val="00DE3357"/>
    <w:rsid w:val="00DE349C"/>
    <w:rsid w:val="00DE3C0D"/>
    <w:rsid w:val="00DE3DED"/>
    <w:rsid w:val="00DE40DB"/>
    <w:rsid w:val="00DE5138"/>
    <w:rsid w:val="00DE5267"/>
    <w:rsid w:val="00DE57E9"/>
    <w:rsid w:val="00DE594C"/>
    <w:rsid w:val="00DE59D6"/>
    <w:rsid w:val="00DE5AA5"/>
    <w:rsid w:val="00DE5B9C"/>
    <w:rsid w:val="00DF01CA"/>
    <w:rsid w:val="00DF05D8"/>
    <w:rsid w:val="00DF0D8E"/>
    <w:rsid w:val="00DF0DC8"/>
    <w:rsid w:val="00DF1231"/>
    <w:rsid w:val="00DF1511"/>
    <w:rsid w:val="00DF1ACB"/>
    <w:rsid w:val="00DF1F98"/>
    <w:rsid w:val="00DF32B3"/>
    <w:rsid w:val="00DF35B4"/>
    <w:rsid w:val="00DF3EA9"/>
    <w:rsid w:val="00DF4C03"/>
    <w:rsid w:val="00DF55E9"/>
    <w:rsid w:val="00DF594B"/>
    <w:rsid w:val="00DF61CD"/>
    <w:rsid w:val="00DF634F"/>
    <w:rsid w:val="00DF6AB1"/>
    <w:rsid w:val="00DF6FC5"/>
    <w:rsid w:val="00DF7751"/>
    <w:rsid w:val="00E002EE"/>
    <w:rsid w:val="00E00BA4"/>
    <w:rsid w:val="00E00F31"/>
    <w:rsid w:val="00E01032"/>
    <w:rsid w:val="00E012DD"/>
    <w:rsid w:val="00E01497"/>
    <w:rsid w:val="00E01A61"/>
    <w:rsid w:val="00E01B83"/>
    <w:rsid w:val="00E01FE6"/>
    <w:rsid w:val="00E02A84"/>
    <w:rsid w:val="00E037D5"/>
    <w:rsid w:val="00E0381B"/>
    <w:rsid w:val="00E038A0"/>
    <w:rsid w:val="00E03B1B"/>
    <w:rsid w:val="00E03F4F"/>
    <w:rsid w:val="00E04355"/>
    <w:rsid w:val="00E04CFB"/>
    <w:rsid w:val="00E04DE3"/>
    <w:rsid w:val="00E04E0F"/>
    <w:rsid w:val="00E04E2A"/>
    <w:rsid w:val="00E05016"/>
    <w:rsid w:val="00E05A9B"/>
    <w:rsid w:val="00E05CF5"/>
    <w:rsid w:val="00E05F19"/>
    <w:rsid w:val="00E05F6B"/>
    <w:rsid w:val="00E068EC"/>
    <w:rsid w:val="00E06B89"/>
    <w:rsid w:val="00E07414"/>
    <w:rsid w:val="00E07725"/>
    <w:rsid w:val="00E100FC"/>
    <w:rsid w:val="00E1015A"/>
    <w:rsid w:val="00E104E2"/>
    <w:rsid w:val="00E109EA"/>
    <w:rsid w:val="00E11C53"/>
    <w:rsid w:val="00E11D30"/>
    <w:rsid w:val="00E12EFD"/>
    <w:rsid w:val="00E1437C"/>
    <w:rsid w:val="00E1453D"/>
    <w:rsid w:val="00E14703"/>
    <w:rsid w:val="00E1508B"/>
    <w:rsid w:val="00E15CE3"/>
    <w:rsid w:val="00E16E7E"/>
    <w:rsid w:val="00E1715D"/>
    <w:rsid w:val="00E17309"/>
    <w:rsid w:val="00E17316"/>
    <w:rsid w:val="00E17410"/>
    <w:rsid w:val="00E1779A"/>
    <w:rsid w:val="00E20320"/>
    <w:rsid w:val="00E20DC1"/>
    <w:rsid w:val="00E21099"/>
    <w:rsid w:val="00E21284"/>
    <w:rsid w:val="00E21440"/>
    <w:rsid w:val="00E221F8"/>
    <w:rsid w:val="00E223BC"/>
    <w:rsid w:val="00E22A14"/>
    <w:rsid w:val="00E22ED3"/>
    <w:rsid w:val="00E23FB5"/>
    <w:rsid w:val="00E26857"/>
    <w:rsid w:val="00E27587"/>
    <w:rsid w:val="00E2776A"/>
    <w:rsid w:val="00E3004D"/>
    <w:rsid w:val="00E30D08"/>
    <w:rsid w:val="00E33EBA"/>
    <w:rsid w:val="00E34343"/>
    <w:rsid w:val="00E343AB"/>
    <w:rsid w:val="00E34DD2"/>
    <w:rsid w:val="00E356D7"/>
    <w:rsid w:val="00E35F60"/>
    <w:rsid w:val="00E363C2"/>
    <w:rsid w:val="00E3753B"/>
    <w:rsid w:val="00E3767D"/>
    <w:rsid w:val="00E4025B"/>
    <w:rsid w:val="00E40750"/>
    <w:rsid w:val="00E40786"/>
    <w:rsid w:val="00E41855"/>
    <w:rsid w:val="00E41D6E"/>
    <w:rsid w:val="00E41E61"/>
    <w:rsid w:val="00E41F18"/>
    <w:rsid w:val="00E423CE"/>
    <w:rsid w:val="00E42522"/>
    <w:rsid w:val="00E431FC"/>
    <w:rsid w:val="00E437C6"/>
    <w:rsid w:val="00E44446"/>
    <w:rsid w:val="00E45262"/>
    <w:rsid w:val="00E46FE0"/>
    <w:rsid w:val="00E471F4"/>
    <w:rsid w:val="00E472D1"/>
    <w:rsid w:val="00E473A4"/>
    <w:rsid w:val="00E479A5"/>
    <w:rsid w:val="00E5041B"/>
    <w:rsid w:val="00E50F1C"/>
    <w:rsid w:val="00E5111E"/>
    <w:rsid w:val="00E520DE"/>
    <w:rsid w:val="00E532A1"/>
    <w:rsid w:val="00E5347F"/>
    <w:rsid w:val="00E5418D"/>
    <w:rsid w:val="00E55C3C"/>
    <w:rsid w:val="00E55EF1"/>
    <w:rsid w:val="00E564FC"/>
    <w:rsid w:val="00E5658E"/>
    <w:rsid w:val="00E566F5"/>
    <w:rsid w:val="00E60035"/>
    <w:rsid w:val="00E600FF"/>
    <w:rsid w:val="00E60917"/>
    <w:rsid w:val="00E60B3A"/>
    <w:rsid w:val="00E60D3F"/>
    <w:rsid w:val="00E61327"/>
    <w:rsid w:val="00E6147B"/>
    <w:rsid w:val="00E618D6"/>
    <w:rsid w:val="00E61B38"/>
    <w:rsid w:val="00E61B42"/>
    <w:rsid w:val="00E61F2D"/>
    <w:rsid w:val="00E6285A"/>
    <w:rsid w:val="00E62A9F"/>
    <w:rsid w:val="00E62ABF"/>
    <w:rsid w:val="00E6332D"/>
    <w:rsid w:val="00E635A9"/>
    <w:rsid w:val="00E63AF8"/>
    <w:rsid w:val="00E63DD2"/>
    <w:rsid w:val="00E6553B"/>
    <w:rsid w:val="00E66223"/>
    <w:rsid w:val="00E66264"/>
    <w:rsid w:val="00E66D66"/>
    <w:rsid w:val="00E672AE"/>
    <w:rsid w:val="00E67672"/>
    <w:rsid w:val="00E7183A"/>
    <w:rsid w:val="00E71E99"/>
    <w:rsid w:val="00E726DE"/>
    <w:rsid w:val="00E72716"/>
    <w:rsid w:val="00E72D12"/>
    <w:rsid w:val="00E73B44"/>
    <w:rsid w:val="00E7523C"/>
    <w:rsid w:val="00E75318"/>
    <w:rsid w:val="00E75622"/>
    <w:rsid w:val="00E757A7"/>
    <w:rsid w:val="00E76A6B"/>
    <w:rsid w:val="00E76AF5"/>
    <w:rsid w:val="00E77980"/>
    <w:rsid w:val="00E77C43"/>
    <w:rsid w:val="00E77E0E"/>
    <w:rsid w:val="00E80051"/>
    <w:rsid w:val="00E802AF"/>
    <w:rsid w:val="00E80339"/>
    <w:rsid w:val="00E805CA"/>
    <w:rsid w:val="00E80880"/>
    <w:rsid w:val="00E80B12"/>
    <w:rsid w:val="00E821A4"/>
    <w:rsid w:val="00E83E9C"/>
    <w:rsid w:val="00E83EFB"/>
    <w:rsid w:val="00E845B5"/>
    <w:rsid w:val="00E846B1"/>
    <w:rsid w:val="00E8509D"/>
    <w:rsid w:val="00E85B21"/>
    <w:rsid w:val="00E863AC"/>
    <w:rsid w:val="00E87047"/>
    <w:rsid w:val="00E87336"/>
    <w:rsid w:val="00E87AD7"/>
    <w:rsid w:val="00E87D27"/>
    <w:rsid w:val="00E909ED"/>
    <w:rsid w:val="00E91035"/>
    <w:rsid w:val="00E910AD"/>
    <w:rsid w:val="00E912BA"/>
    <w:rsid w:val="00E9195D"/>
    <w:rsid w:val="00E91C97"/>
    <w:rsid w:val="00E92FC3"/>
    <w:rsid w:val="00E93444"/>
    <w:rsid w:val="00E93CB4"/>
    <w:rsid w:val="00E947AE"/>
    <w:rsid w:val="00E94E78"/>
    <w:rsid w:val="00E958E1"/>
    <w:rsid w:val="00E96B69"/>
    <w:rsid w:val="00E973C4"/>
    <w:rsid w:val="00E97457"/>
    <w:rsid w:val="00E97E0F"/>
    <w:rsid w:val="00EA020A"/>
    <w:rsid w:val="00EA0C71"/>
    <w:rsid w:val="00EA1EC3"/>
    <w:rsid w:val="00EA22E4"/>
    <w:rsid w:val="00EA2993"/>
    <w:rsid w:val="00EA2F07"/>
    <w:rsid w:val="00EA3209"/>
    <w:rsid w:val="00EA395C"/>
    <w:rsid w:val="00EA404A"/>
    <w:rsid w:val="00EA45C1"/>
    <w:rsid w:val="00EA496B"/>
    <w:rsid w:val="00EA4A5B"/>
    <w:rsid w:val="00EA53E8"/>
    <w:rsid w:val="00EA5540"/>
    <w:rsid w:val="00EA55B9"/>
    <w:rsid w:val="00EA568D"/>
    <w:rsid w:val="00EA57DA"/>
    <w:rsid w:val="00EA607B"/>
    <w:rsid w:val="00EA60B7"/>
    <w:rsid w:val="00EA72CD"/>
    <w:rsid w:val="00EB00D6"/>
    <w:rsid w:val="00EB0332"/>
    <w:rsid w:val="00EB071F"/>
    <w:rsid w:val="00EB0D3B"/>
    <w:rsid w:val="00EB2211"/>
    <w:rsid w:val="00EB36CF"/>
    <w:rsid w:val="00EB3769"/>
    <w:rsid w:val="00EB3958"/>
    <w:rsid w:val="00EB3CD9"/>
    <w:rsid w:val="00EB4E9C"/>
    <w:rsid w:val="00EB5073"/>
    <w:rsid w:val="00EB50CF"/>
    <w:rsid w:val="00EB51B0"/>
    <w:rsid w:val="00EB5C4C"/>
    <w:rsid w:val="00EB75C7"/>
    <w:rsid w:val="00EB7AB8"/>
    <w:rsid w:val="00EC02B7"/>
    <w:rsid w:val="00EC076A"/>
    <w:rsid w:val="00EC0C48"/>
    <w:rsid w:val="00EC0CC7"/>
    <w:rsid w:val="00EC1236"/>
    <w:rsid w:val="00EC1BE0"/>
    <w:rsid w:val="00EC2379"/>
    <w:rsid w:val="00EC296A"/>
    <w:rsid w:val="00EC34A0"/>
    <w:rsid w:val="00EC3B33"/>
    <w:rsid w:val="00EC41AB"/>
    <w:rsid w:val="00EC51E0"/>
    <w:rsid w:val="00EC5613"/>
    <w:rsid w:val="00EC5959"/>
    <w:rsid w:val="00EC6869"/>
    <w:rsid w:val="00EC762B"/>
    <w:rsid w:val="00EC77FF"/>
    <w:rsid w:val="00EC7A8C"/>
    <w:rsid w:val="00EC7C27"/>
    <w:rsid w:val="00ED0523"/>
    <w:rsid w:val="00ED126A"/>
    <w:rsid w:val="00ED1C10"/>
    <w:rsid w:val="00ED2816"/>
    <w:rsid w:val="00ED382B"/>
    <w:rsid w:val="00ED3B76"/>
    <w:rsid w:val="00ED41A5"/>
    <w:rsid w:val="00ED4878"/>
    <w:rsid w:val="00ED526E"/>
    <w:rsid w:val="00ED5BD7"/>
    <w:rsid w:val="00ED694A"/>
    <w:rsid w:val="00EE099E"/>
    <w:rsid w:val="00EE140F"/>
    <w:rsid w:val="00EE195E"/>
    <w:rsid w:val="00EE2680"/>
    <w:rsid w:val="00EE3A45"/>
    <w:rsid w:val="00EE3B37"/>
    <w:rsid w:val="00EE488E"/>
    <w:rsid w:val="00EE4F01"/>
    <w:rsid w:val="00EE55CD"/>
    <w:rsid w:val="00EE5730"/>
    <w:rsid w:val="00EE5772"/>
    <w:rsid w:val="00EE58FC"/>
    <w:rsid w:val="00EE6556"/>
    <w:rsid w:val="00EE76D0"/>
    <w:rsid w:val="00EF0DE5"/>
    <w:rsid w:val="00EF10B9"/>
    <w:rsid w:val="00EF1902"/>
    <w:rsid w:val="00EF213F"/>
    <w:rsid w:val="00EF24D7"/>
    <w:rsid w:val="00EF2C47"/>
    <w:rsid w:val="00EF34F4"/>
    <w:rsid w:val="00EF441E"/>
    <w:rsid w:val="00EF471F"/>
    <w:rsid w:val="00EF473B"/>
    <w:rsid w:val="00EF52E8"/>
    <w:rsid w:val="00EF55C6"/>
    <w:rsid w:val="00EF55C9"/>
    <w:rsid w:val="00EF5C94"/>
    <w:rsid w:val="00EF5E80"/>
    <w:rsid w:val="00EF60F7"/>
    <w:rsid w:val="00EF7762"/>
    <w:rsid w:val="00EF7AC5"/>
    <w:rsid w:val="00EF7CF9"/>
    <w:rsid w:val="00F00844"/>
    <w:rsid w:val="00F00EA2"/>
    <w:rsid w:val="00F01592"/>
    <w:rsid w:val="00F0171F"/>
    <w:rsid w:val="00F0195B"/>
    <w:rsid w:val="00F01A9B"/>
    <w:rsid w:val="00F03459"/>
    <w:rsid w:val="00F034F2"/>
    <w:rsid w:val="00F04056"/>
    <w:rsid w:val="00F05038"/>
    <w:rsid w:val="00F0582C"/>
    <w:rsid w:val="00F05F24"/>
    <w:rsid w:val="00F05F3D"/>
    <w:rsid w:val="00F06EF2"/>
    <w:rsid w:val="00F10AA3"/>
    <w:rsid w:val="00F10D07"/>
    <w:rsid w:val="00F10DE6"/>
    <w:rsid w:val="00F11100"/>
    <w:rsid w:val="00F11E19"/>
    <w:rsid w:val="00F12BCE"/>
    <w:rsid w:val="00F12F67"/>
    <w:rsid w:val="00F138F4"/>
    <w:rsid w:val="00F13976"/>
    <w:rsid w:val="00F13B16"/>
    <w:rsid w:val="00F13EBA"/>
    <w:rsid w:val="00F1418A"/>
    <w:rsid w:val="00F14DF2"/>
    <w:rsid w:val="00F16DF5"/>
    <w:rsid w:val="00F201CD"/>
    <w:rsid w:val="00F20604"/>
    <w:rsid w:val="00F2145A"/>
    <w:rsid w:val="00F21670"/>
    <w:rsid w:val="00F2182F"/>
    <w:rsid w:val="00F21E1E"/>
    <w:rsid w:val="00F21F79"/>
    <w:rsid w:val="00F222F9"/>
    <w:rsid w:val="00F239D5"/>
    <w:rsid w:val="00F241BA"/>
    <w:rsid w:val="00F2478B"/>
    <w:rsid w:val="00F2498C"/>
    <w:rsid w:val="00F25532"/>
    <w:rsid w:val="00F25820"/>
    <w:rsid w:val="00F25938"/>
    <w:rsid w:val="00F266AA"/>
    <w:rsid w:val="00F27064"/>
    <w:rsid w:val="00F27912"/>
    <w:rsid w:val="00F27BF1"/>
    <w:rsid w:val="00F27D03"/>
    <w:rsid w:val="00F30128"/>
    <w:rsid w:val="00F30793"/>
    <w:rsid w:val="00F309C9"/>
    <w:rsid w:val="00F31FED"/>
    <w:rsid w:val="00F31FF9"/>
    <w:rsid w:val="00F32406"/>
    <w:rsid w:val="00F32C03"/>
    <w:rsid w:val="00F32F95"/>
    <w:rsid w:val="00F3357A"/>
    <w:rsid w:val="00F33E42"/>
    <w:rsid w:val="00F34B72"/>
    <w:rsid w:val="00F34F33"/>
    <w:rsid w:val="00F357AE"/>
    <w:rsid w:val="00F35E99"/>
    <w:rsid w:val="00F36262"/>
    <w:rsid w:val="00F366EB"/>
    <w:rsid w:val="00F367B5"/>
    <w:rsid w:val="00F36A76"/>
    <w:rsid w:val="00F36CF9"/>
    <w:rsid w:val="00F372FC"/>
    <w:rsid w:val="00F37382"/>
    <w:rsid w:val="00F375F2"/>
    <w:rsid w:val="00F409B7"/>
    <w:rsid w:val="00F40C27"/>
    <w:rsid w:val="00F41A86"/>
    <w:rsid w:val="00F42487"/>
    <w:rsid w:val="00F42EF2"/>
    <w:rsid w:val="00F4333B"/>
    <w:rsid w:val="00F43712"/>
    <w:rsid w:val="00F43BB8"/>
    <w:rsid w:val="00F445DD"/>
    <w:rsid w:val="00F4671B"/>
    <w:rsid w:val="00F469D9"/>
    <w:rsid w:val="00F46CD2"/>
    <w:rsid w:val="00F46DDE"/>
    <w:rsid w:val="00F4716F"/>
    <w:rsid w:val="00F47304"/>
    <w:rsid w:val="00F47E3F"/>
    <w:rsid w:val="00F47ECE"/>
    <w:rsid w:val="00F50364"/>
    <w:rsid w:val="00F50A06"/>
    <w:rsid w:val="00F50AC8"/>
    <w:rsid w:val="00F50BB8"/>
    <w:rsid w:val="00F514BD"/>
    <w:rsid w:val="00F5189E"/>
    <w:rsid w:val="00F51DB2"/>
    <w:rsid w:val="00F51DBC"/>
    <w:rsid w:val="00F51E72"/>
    <w:rsid w:val="00F52208"/>
    <w:rsid w:val="00F52262"/>
    <w:rsid w:val="00F5240C"/>
    <w:rsid w:val="00F52430"/>
    <w:rsid w:val="00F54266"/>
    <w:rsid w:val="00F54529"/>
    <w:rsid w:val="00F55268"/>
    <w:rsid w:val="00F55566"/>
    <w:rsid w:val="00F56024"/>
    <w:rsid w:val="00F56508"/>
    <w:rsid w:val="00F57409"/>
    <w:rsid w:val="00F574B4"/>
    <w:rsid w:val="00F57512"/>
    <w:rsid w:val="00F60475"/>
    <w:rsid w:val="00F60919"/>
    <w:rsid w:val="00F6199C"/>
    <w:rsid w:val="00F634F2"/>
    <w:rsid w:val="00F63A08"/>
    <w:rsid w:val="00F640F9"/>
    <w:rsid w:val="00F64AA3"/>
    <w:rsid w:val="00F64DF5"/>
    <w:rsid w:val="00F65251"/>
    <w:rsid w:val="00F662F7"/>
    <w:rsid w:val="00F6678E"/>
    <w:rsid w:val="00F6699B"/>
    <w:rsid w:val="00F673D8"/>
    <w:rsid w:val="00F6767F"/>
    <w:rsid w:val="00F70389"/>
    <w:rsid w:val="00F7200B"/>
    <w:rsid w:val="00F7228A"/>
    <w:rsid w:val="00F7278C"/>
    <w:rsid w:val="00F72C8A"/>
    <w:rsid w:val="00F73974"/>
    <w:rsid w:val="00F73CDF"/>
    <w:rsid w:val="00F73F25"/>
    <w:rsid w:val="00F746D4"/>
    <w:rsid w:val="00F748C8"/>
    <w:rsid w:val="00F74E92"/>
    <w:rsid w:val="00F77515"/>
    <w:rsid w:val="00F77F87"/>
    <w:rsid w:val="00F81996"/>
    <w:rsid w:val="00F824F7"/>
    <w:rsid w:val="00F83480"/>
    <w:rsid w:val="00F83958"/>
    <w:rsid w:val="00F839BE"/>
    <w:rsid w:val="00F83DCF"/>
    <w:rsid w:val="00F840F7"/>
    <w:rsid w:val="00F841BD"/>
    <w:rsid w:val="00F8426E"/>
    <w:rsid w:val="00F84695"/>
    <w:rsid w:val="00F848E6"/>
    <w:rsid w:val="00F84D3B"/>
    <w:rsid w:val="00F85034"/>
    <w:rsid w:val="00F85425"/>
    <w:rsid w:val="00F85784"/>
    <w:rsid w:val="00F86238"/>
    <w:rsid w:val="00F86577"/>
    <w:rsid w:val="00F86E3C"/>
    <w:rsid w:val="00F87550"/>
    <w:rsid w:val="00F9046C"/>
    <w:rsid w:val="00F90F5B"/>
    <w:rsid w:val="00F913D4"/>
    <w:rsid w:val="00F91DC0"/>
    <w:rsid w:val="00F92018"/>
    <w:rsid w:val="00F92EE4"/>
    <w:rsid w:val="00F93824"/>
    <w:rsid w:val="00F93C66"/>
    <w:rsid w:val="00F93D8C"/>
    <w:rsid w:val="00F940F9"/>
    <w:rsid w:val="00F945AD"/>
    <w:rsid w:val="00F945B3"/>
    <w:rsid w:val="00F949DC"/>
    <w:rsid w:val="00F94BB4"/>
    <w:rsid w:val="00F94F4C"/>
    <w:rsid w:val="00F9564B"/>
    <w:rsid w:val="00F95DF1"/>
    <w:rsid w:val="00F95F83"/>
    <w:rsid w:val="00F963D4"/>
    <w:rsid w:val="00F97981"/>
    <w:rsid w:val="00F97E7D"/>
    <w:rsid w:val="00FA0327"/>
    <w:rsid w:val="00FA0381"/>
    <w:rsid w:val="00FA0717"/>
    <w:rsid w:val="00FA1032"/>
    <w:rsid w:val="00FA1076"/>
    <w:rsid w:val="00FA136F"/>
    <w:rsid w:val="00FA1588"/>
    <w:rsid w:val="00FA2F68"/>
    <w:rsid w:val="00FA32D7"/>
    <w:rsid w:val="00FA415A"/>
    <w:rsid w:val="00FA43E4"/>
    <w:rsid w:val="00FA4EF6"/>
    <w:rsid w:val="00FA5BE8"/>
    <w:rsid w:val="00FA61E0"/>
    <w:rsid w:val="00FA719C"/>
    <w:rsid w:val="00FA73A7"/>
    <w:rsid w:val="00FA7959"/>
    <w:rsid w:val="00FB064B"/>
    <w:rsid w:val="00FB201C"/>
    <w:rsid w:val="00FB27F5"/>
    <w:rsid w:val="00FB2B1E"/>
    <w:rsid w:val="00FB39C9"/>
    <w:rsid w:val="00FB3F37"/>
    <w:rsid w:val="00FB41F7"/>
    <w:rsid w:val="00FB494C"/>
    <w:rsid w:val="00FB4E0C"/>
    <w:rsid w:val="00FB6D82"/>
    <w:rsid w:val="00FB6DAD"/>
    <w:rsid w:val="00FB7C4B"/>
    <w:rsid w:val="00FC0302"/>
    <w:rsid w:val="00FC1760"/>
    <w:rsid w:val="00FC414A"/>
    <w:rsid w:val="00FC435F"/>
    <w:rsid w:val="00FC5301"/>
    <w:rsid w:val="00FC5B0C"/>
    <w:rsid w:val="00FC6380"/>
    <w:rsid w:val="00FC6E67"/>
    <w:rsid w:val="00FC7590"/>
    <w:rsid w:val="00FC7A53"/>
    <w:rsid w:val="00FC7A92"/>
    <w:rsid w:val="00FD0C2F"/>
    <w:rsid w:val="00FD178A"/>
    <w:rsid w:val="00FD1865"/>
    <w:rsid w:val="00FD1A25"/>
    <w:rsid w:val="00FD1D71"/>
    <w:rsid w:val="00FD2392"/>
    <w:rsid w:val="00FD275B"/>
    <w:rsid w:val="00FD3180"/>
    <w:rsid w:val="00FD37AD"/>
    <w:rsid w:val="00FD41E0"/>
    <w:rsid w:val="00FD4748"/>
    <w:rsid w:val="00FD4B61"/>
    <w:rsid w:val="00FD4BD1"/>
    <w:rsid w:val="00FD4C7D"/>
    <w:rsid w:val="00FD4F1B"/>
    <w:rsid w:val="00FD5717"/>
    <w:rsid w:val="00FD5A8D"/>
    <w:rsid w:val="00FD6843"/>
    <w:rsid w:val="00FD7721"/>
    <w:rsid w:val="00FD7EEC"/>
    <w:rsid w:val="00FE0482"/>
    <w:rsid w:val="00FE05DE"/>
    <w:rsid w:val="00FE18A0"/>
    <w:rsid w:val="00FE2068"/>
    <w:rsid w:val="00FE22E9"/>
    <w:rsid w:val="00FE2C6C"/>
    <w:rsid w:val="00FE3A12"/>
    <w:rsid w:val="00FE3AD9"/>
    <w:rsid w:val="00FE4355"/>
    <w:rsid w:val="00FE43A5"/>
    <w:rsid w:val="00FE4467"/>
    <w:rsid w:val="00FE48FE"/>
    <w:rsid w:val="00FE4AA6"/>
    <w:rsid w:val="00FE5ED2"/>
    <w:rsid w:val="00FE6280"/>
    <w:rsid w:val="00FE6341"/>
    <w:rsid w:val="00FE6C44"/>
    <w:rsid w:val="00FE7A45"/>
    <w:rsid w:val="00FE7CEC"/>
    <w:rsid w:val="00FF04FF"/>
    <w:rsid w:val="00FF12D2"/>
    <w:rsid w:val="00FF1404"/>
    <w:rsid w:val="00FF150E"/>
    <w:rsid w:val="00FF16FF"/>
    <w:rsid w:val="00FF1FBD"/>
    <w:rsid w:val="00FF2542"/>
    <w:rsid w:val="00FF28B7"/>
    <w:rsid w:val="00FF2FC4"/>
    <w:rsid w:val="00FF3214"/>
    <w:rsid w:val="00FF38F2"/>
    <w:rsid w:val="00FF3D60"/>
    <w:rsid w:val="00FF43D6"/>
    <w:rsid w:val="00FF4640"/>
    <w:rsid w:val="00FF4783"/>
    <w:rsid w:val="00FF4992"/>
    <w:rsid w:val="00FF4DD4"/>
    <w:rsid w:val="00FF57C3"/>
    <w:rsid w:val="00FF5BA7"/>
    <w:rsid w:val="00FF620E"/>
    <w:rsid w:val="00FF643D"/>
    <w:rsid w:val="00FF6451"/>
    <w:rsid w:val="00FF750E"/>
    <w:rsid w:val="00FF7CD4"/>
    <w:rsid w:val="017354D6"/>
    <w:rsid w:val="018B107D"/>
    <w:rsid w:val="029D579F"/>
    <w:rsid w:val="02B32C00"/>
    <w:rsid w:val="02C57B18"/>
    <w:rsid w:val="02DB5792"/>
    <w:rsid w:val="02E653FC"/>
    <w:rsid w:val="02E903CF"/>
    <w:rsid w:val="033C2BF5"/>
    <w:rsid w:val="035769AC"/>
    <w:rsid w:val="03643106"/>
    <w:rsid w:val="03B0049B"/>
    <w:rsid w:val="04331D71"/>
    <w:rsid w:val="044D01DD"/>
    <w:rsid w:val="053963BF"/>
    <w:rsid w:val="05523493"/>
    <w:rsid w:val="055E6E2A"/>
    <w:rsid w:val="06017B61"/>
    <w:rsid w:val="06361B7E"/>
    <w:rsid w:val="063808BB"/>
    <w:rsid w:val="066F0A20"/>
    <w:rsid w:val="06826BED"/>
    <w:rsid w:val="068E0638"/>
    <w:rsid w:val="07981056"/>
    <w:rsid w:val="08390F71"/>
    <w:rsid w:val="090B72F2"/>
    <w:rsid w:val="09456412"/>
    <w:rsid w:val="097906FF"/>
    <w:rsid w:val="09797CDD"/>
    <w:rsid w:val="09A81073"/>
    <w:rsid w:val="09D85051"/>
    <w:rsid w:val="0A2423B7"/>
    <w:rsid w:val="0A690774"/>
    <w:rsid w:val="0A7277B9"/>
    <w:rsid w:val="0B325830"/>
    <w:rsid w:val="0B6866BF"/>
    <w:rsid w:val="0B9B302F"/>
    <w:rsid w:val="0BD17C14"/>
    <w:rsid w:val="0C1976F4"/>
    <w:rsid w:val="0D271601"/>
    <w:rsid w:val="0D3606B5"/>
    <w:rsid w:val="0D4E3502"/>
    <w:rsid w:val="0D662D48"/>
    <w:rsid w:val="0D7D46A2"/>
    <w:rsid w:val="0DDB38B8"/>
    <w:rsid w:val="0DE01C47"/>
    <w:rsid w:val="0E083D8E"/>
    <w:rsid w:val="0E784715"/>
    <w:rsid w:val="0EB6385C"/>
    <w:rsid w:val="0EBF0CF5"/>
    <w:rsid w:val="0EF56A7A"/>
    <w:rsid w:val="0F360E40"/>
    <w:rsid w:val="0F670766"/>
    <w:rsid w:val="0FD1165E"/>
    <w:rsid w:val="0FDD2F99"/>
    <w:rsid w:val="109149A3"/>
    <w:rsid w:val="11184EAD"/>
    <w:rsid w:val="115C628C"/>
    <w:rsid w:val="11B10C4D"/>
    <w:rsid w:val="11F823DD"/>
    <w:rsid w:val="12213FC7"/>
    <w:rsid w:val="12615ED1"/>
    <w:rsid w:val="12CA5D9D"/>
    <w:rsid w:val="12DE155E"/>
    <w:rsid w:val="134E40FF"/>
    <w:rsid w:val="14B4713E"/>
    <w:rsid w:val="15D36184"/>
    <w:rsid w:val="16917320"/>
    <w:rsid w:val="16AC61EB"/>
    <w:rsid w:val="17235180"/>
    <w:rsid w:val="176C14F6"/>
    <w:rsid w:val="17846092"/>
    <w:rsid w:val="17DD511D"/>
    <w:rsid w:val="18290993"/>
    <w:rsid w:val="18E43E1E"/>
    <w:rsid w:val="18EA5389"/>
    <w:rsid w:val="191C13A0"/>
    <w:rsid w:val="19632832"/>
    <w:rsid w:val="19805192"/>
    <w:rsid w:val="19821030"/>
    <w:rsid w:val="1A2312EA"/>
    <w:rsid w:val="1A2F0966"/>
    <w:rsid w:val="1A5318C3"/>
    <w:rsid w:val="1A6A56E2"/>
    <w:rsid w:val="1AED66E3"/>
    <w:rsid w:val="1B0956FB"/>
    <w:rsid w:val="1B661DFC"/>
    <w:rsid w:val="1B6C19C1"/>
    <w:rsid w:val="1BD64A80"/>
    <w:rsid w:val="1BDE7DB6"/>
    <w:rsid w:val="1CA40910"/>
    <w:rsid w:val="1CDA2E0B"/>
    <w:rsid w:val="1CDF21C3"/>
    <w:rsid w:val="1D347D9D"/>
    <w:rsid w:val="1E6E69BD"/>
    <w:rsid w:val="1EFA59E6"/>
    <w:rsid w:val="1F5844BB"/>
    <w:rsid w:val="1F9D4AA4"/>
    <w:rsid w:val="1FA21868"/>
    <w:rsid w:val="202B55FC"/>
    <w:rsid w:val="217C7933"/>
    <w:rsid w:val="21A9480A"/>
    <w:rsid w:val="21E227E6"/>
    <w:rsid w:val="22411A9C"/>
    <w:rsid w:val="226825F8"/>
    <w:rsid w:val="22723AE6"/>
    <w:rsid w:val="238B3FAA"/>
    <w:rsid w:val="23B461C1"/>
    <w:rsid w:val="23DD32F6"/>
    <w:rsid w:val="23DE312F"/>
    <w:rsid w:val="241B7A2B"/>
    <w:rsid w:val="245014D8"/>
    <w:rsid w:val="25094E83"/>
    <w:rsid w:val="26235823"/>
    <w:rsid w:val="26241B76"/>
    <w:rsid w:val="267560FB"/>
    <w:rsid w:val="28116AC3"/>
    <w:rsid w:val="2850418A"/>
    <w:rsid w:val="286C07C1"/>
    <w:rsid w:val="28E01322"/>
    <w:rsid w:val="290318DF"/>
    <w:rsid w:val="2936057C"/>
    <w:rsid w:val="29602DA4"/>
    <w:rsid w:val="29C50FFF"/>
    <w:rsid w:val="29D6507A"/>
    <w:rsid w:val="2A570191"/>
    <w:rsid w:val="2A666490"/>
    <w:rsid w:val="2B692F44"/>
    <w:rsid w:val="2C4C4800"/>
    <w:rsid w:val="2C661CC8"/>
    <w:rsid w:val="2D0B7C88"/>
    <w:rsid w:val="2DEC2C62"/>
    <w:rsid w:val="2E0320A1"/>
    <w:rsid w:val="2E2377C2"/>
    <w:rsid w:val="2E3803D8"/>
    <w:rsid w:val="2E4C19E3"/>
    <w:rsid w:val="2E505511"/>
    <w:rsid w:val="2E575575"/>
    <w:rsid w:val="3010717A"/>
    <w:rsid w:val="30565D89"/>
    <w:rsid w:val="308F559C"/>
    <w:rsid w:val="30DC65F4"/>
    <w:rsid w:val="31204423"/>
    <w:rsid w:val="31F442FC"/>
    <w:rsid w:val="31FC5191"/>
    <w:rsid w:val="32046744"/>
    <w:rsid w:val="33291F9F"/>
    <w:rsid w:val="33841D11"/>
    <w:rsid w:val="33A5382A"/>
    <w:rsid w:val="33A8693C"/>
    <w:rsid w:val="33D230BA"/>
    <w:rsid w:val="34072D17"/>
    <w:rsid w:val="34557477"/>
    <w:rsid w:val="35527ED3"/>
    <w:rsid w:val="35B927CF"/>
    <w:rsid w:val="36056B3A"/>
    <w:rsid w:val="360A7520"/>
    <w:rsid w:val="36130C40"/>
    <w:rsid w:val="36924391"/>
    <w:rsid w:val="36950618"/>
    <w:rsid w:val="36B33B51"/>
    <w:rsid w:val="37296585"/>
    <w:rsid w:val="372B4957"/>
    <w:rsid w:val="37C37FDE"/>
    <w:rsid w:val="37D11FEC"/>
    <w:rsid w:val="37FB3DFC"/>
    <w:rsid w:val="38C74734"/>
    <w:rsid w:val="391A189B"/>
    <w:rsid w:val="395F655C"/>
    <w:rsid w:val="39A22AAB"/>
    <w:rsid w:val="39CC0465"/>
    <w:rsid w:val="3A5378C4"/>
    <w:rsid w:val="3A8F1328"/>
    <w:rsid w:val="3AA03CA2"/>
    <w:rsid w:val="3AFF47DE"/>
    <w:rsid w:val="3B2E639D"/>
    <w:rsid w:val="3B6169A2"/>
    <w:rsid w:val="3BD704C0"/>
    <w:rsid w:val="3C8B1B79"/>
    <w:rsid w:val="3CB469A7"/>
    <w:rsid w:val="3CC0657C"/>
    <w:rsid w:val="3D895899"/>
    <w:rsid w:val="3D8C5F4C"/>
    <w:rsid w:val="3DA14CF3"/>
    <w:rsid w:val="3EA43BF0"/>
    <w:rsid w:val="3EC95366"/>
    <w:rsid w:val="3ECA0847"/>
    <w:rsid w:val="3F3211BD"/>
    <w:rsid w:val="3FE867A0"/>
    <w:rsid w:val="40340B4E"/>
    <w:rsid w:val="4090365D"/>
    <w:rsid w:val="412227A8"/>
    <w:rsid w:val="412F0648"/>
    <w:rsid w:val="414A7C46"/>
    <w:rsid w:val="41634231"/>
    <w:rsid w:val="423902B6"/>
    <w:rsid w:val="4287688D"/>
    <w:rsid w:val="42BB541F"/>
    <w:rsid w:val="42ED1C04"/>
    <w:rsid w:val="42EF4FB3"/>
    <w:rsid w:val="440B334A"/>
    <w:rsid w:val="443127E2"/>
    <w:rsid w:val="445615AB"/>
    <w:rsid w:val="446545F1"/>
    <w:rsid w:val="448F0FCD"/>
    <w:rsid w:val="44F13636"/>
    <w:rsid w:val="45825E44"/>
    <w:rsid w:val="46462D05"/>
    <w:rsid w:val="46607F75"/>
    <w:rsid w:val="46653471"/>
    <w:rsid w:val="470E5ADA"/>
    <w:rsid w:val="472D60AA"/>
    <w:rsid w:val="475D2BF8"/>
    <w:rsid w:val="47C10354"/>
    <w:rsid w:val="48166805"/>
    <w:rsid w:val="49117933"/>
    <w:rsid w:val="49511EAC"/>
    <w:rsid w:val="49524F71"/>
    <w:rsid w:val="49C61030"/>
    <w:rsid w:val="49DB5C65"/>
    <w:rsid w:val="49E54986"/>
    <w:rsid w:val="49E66481"/>
    <w:rsid w:val="49EF7609"/>
    <w:rsid w:val="4A9645FC"/>
    <w:rsid w:val="4ABF5BE0"/>
    <w:rsid w:val="4ADE2161"/>
    <w:rsid w:val="4AE31D46"/>
    <w:rsid w:val="4B412124"/>
    <w:rsid w:val="4C2B5BAF"/>
    <w:rsid w:val="4C3B63FC"/>
    <w:rsid w:val="4C823D12"/>
    <w:rsid w:val="4CA96F15"/>
    <w:rsid w:val="4CBB4C94"/>
    <w:rsid w:val="4D2E68EB"/>
    <w:rsid w:val="4D8D59ED"/>
    <w:rsid w:val="4E2A0B6E"/>
    <w:rsid w:val="4EE24AB3"/>
    <w:rsid w:val="4FE90420"/>
    <w:rsid w:val="4FF42EAC"/>
    <w:rsid w:val="50C33F72"/>
    <w:rsid w:val="514F78FF"/>
    <w:rsid w:val="51776D26"/>
    <w:rsid w:val="52B909B2"/>
    <w:rsid w:val="52DC3411"/>
    <w:rsid w:val="53105DEA"/>
    <w:rsid w:val="531E783B"/>
    <w:rsid w:val="53864205"/>
    <w:rsid w:val="53914750"/>
    <w:rsid w:val="53A72D40"/>
    <w:rsid w:val="545B0D10"/>
    <w:rsid w:val="54C13C01"/>
    <w:rsid w:val="54E84B67"/>
    <w:rsid w:val="54F069B5"/>
    <w:rsid w:val="54F840DE"/>
    <w:rsid w:val="563828E8"/>
    <w:rsid w:val="56614179"/>
    <w:rsid w:val="56851CCB"/>
    <w:rsid w:val="56CD3BE2"/>
    <w:rsid w:val="579B705F"/>
    <w:rsid w:val="58095D77"/>
    <w:rsid w:val="58C47EF0"/>
    <w:rsid w:val="590D7736"/>
    <w:rsid w:val="592B61C1"/>
    <w:rsid w:val="59421107"/>
    <w:rsid w:val="59470F77"/>
    <w:rsid w:val="5AC55F78"/>
    <w:rsid w:val="5AE7497E"/>
    <w:rsid w:val="5C563555"/>
    <w:rsid w:val="5CEC5C67"/>
    <w:rsid w:val="5CF27D7B"/>
    <w:rsid w:val="5CFD3704"/>
    <w:rsid w:val="5D535CE6"/>
    <w:rsid w:val="5D604DC6"/>
    <w:rsid w:val="5DAB5D0D"/>
    <w:rsid w:val="5DBC183A"/>
    <w:rsid w:val="5DC2335D"/>
    <w:rsid w:val="5DD26C71"/>
    <w:rsid w:val="5E570140"/>
    <w:rsid w:val="5EBC1FBF"/>
    <w:rsid w:val="5ED510A9"/>
    <w:rsid w:val="5EE55225"/>
    <w:rsid w:val="5F0E0117"/>
    <w:rsid w:val="5F623BD3"/>
    <w:rsid w:val="5F824661"/>
    <w:rsid w:val="5FCF60CF"/>
    <w:rsid w:val="5FDC7501"/>
    <w:rsid w:val="60CD2D1D"/>
    <w:rsid w:val="61302DEF"/>
    <w:rsid w:val="61D31F56"/>
    <w:rsid w:val="61EB0E17"/>
    <w:rsid w:val="62116784"/>
    <w:rsid w:val="62CC631F"/>
    <w:rsid w:val="630A2701"/>
    <w:rsid w:val="63AF639E"/>
    <w:rsid w:val="63EF60B0"/>
    <w:rsid w:val="63F016FA"/>
    <w:rsid w:val="641827E5"/>
    <w:rsid w:val="652833B2"/>
    <w:rsid w:val="65542951"/>
    <w:rsid w:val="65981D5A"/>
    <w:rsid w:val="65D85DAA"/>
    <w:rsid w:val="660C4437"/>
    <w:rsid w:val="660C6AAB"/>
    <w:rsid w:val="66176BD9"/>
    <w:rsid w:val="663A7B12"/>
    <w:rsid w:val="674A2952"/>
    <w:rsid w:val="679C213E"/>
    <w:rsid w:val="679F491B"/>
    <w:rsid w:val="67BE44FF"/>
    <w:rsid w:val="67D0240D"/>
    <w:rsid w:val="68602143"/>
    <w:rsid w:val="68B858B0"/>
    <w:rsid w:val="68DB3760"/>
    <w:rsid w:val="691325D1"/>
    <w:rsid w:val="69C77840"/>
    <w:rsid w:val="69DC0241"/>
    <w:rsid w:val="6AD143F4"/>
    <w:rsid w:val="6AEF52A0"/>
    <w:rsid w:val="6B331D1B"/>
    <w:rsid w:val="6BC21980"/>
    <w:rsid w:val="6C09172C"/>
    <w:rsid w:val="6C8D6DD7"/>
    <w:rsid w:val="6D7B2329"/>
    <w:rsid w:val="6D877A12"/>
    <w:rsid w:val="6DCC5C05"/>
    <w:rsid w:val="6E546E10"/>
    <w:rsid w:val="6E556B67"/>
    <w:rsid w:val="6E86796C"/>
    <w:rsid w:val="6EB65956"/>
    <w:rsid w:val="6EB85AB2"/>
    <w:rsid w:val="6EF94E1F"/>
    <w:rsid w:val="6F647801"/>
    <w:rsid w:val="6F9A1EC4"/>
    <w:rsid w:val="6FE55698"/>
    <w:rsid w:val="6FF12A18"/>
    <w:rsid w:val="701658F3"/>
    <w:rsid w:val="71954707"/>
    <w:rsid w:val="719D0197"/>
    <w:rsid w:val="71CC00E9"/>
    <w:rsid w:val="71F47FC5"/>
    <w:rsid w:val="7327021B"/>
    <w:rsid w:val="734C0749"/>
    <w:rsid w:val="743D3466"/>
    <w:rsid w:val="744F5409"/>
    <w:rsid w:val="74C017F3"/>
    <w:rsid w:val="755177AC"/>
    <w:rsid w:val="75802AD7"/>
    <w:rsid w:val="75B7108D"/>
    <w:rsid w:val="76291BD2"/>
    <w:rsid w:val="762A6076"/>
    <w:rsid w:val="762B40C4"/>
    <w:rsid w:val="76534C90"/>
    <w:rsid w:val="77077CCC"/>
    <w:rsid w:val="774073CF"/>
    <w:rsid w:val="77600663"/>
    <w:rsid w:val="7772312C"/>
    <w:rsid w:val="77AF3E41"/>
    <w:rsid w:val="77D01FB6"/>
    <w:rsid w:val="78CA2EA9"/>
    <w:rsid w:val="78E21FA1"/>
    <w:rsid w:val="79312116"/>
    <w:rsid w:val="794744F9"/>
    <w:rsid w:val="79B22DB6"/>
    <w:rsid w:val="7A1017B1"/>
    <w:rsid w:val="7B482F45"/>
    <w:rsid w:val="7B4E44E9"/>
    <w:rsid w:val="7BBC133A"/>
    <w:rsid w:val="7C596A1E"/>
    <w:rsid w:val="7C814B7C"/>
    <w:rsid w:val="7C8613AC"/>
    <w:rsid w:val="7C90595E"/>
    <w:rsid w:val="7D0A7CA3"/>
    <w:rsid w:val="7D32526E"/>
    <w:rsid w:val="7D39569B"/>
    <w:rsid w:val="7D6866F7"/>
    <w:rsid w:val="7D93675C"/>
    <w:rsid w:val="7DB67A68"/>
    <w:rsid w:val="7DF1206F"/>
    <w:rsid w:val="7E651EF6"/>
    <w:rsid w:val="7ED13417"/>
    <w:rsid w:val="7EE64663"/>
    <w:rsid w:val="7F1C2ACA"/>
    <w:rsid w:val="7FBA3C7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3"/>
    <w:qFormat/>
    <w:uiPriority w:val="9"/>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44"/>
    <w:qFormat/>
    <w:uiPriority w:val="0"/>
    <w:pPr>
      <w:keepNext/>
      <w:numPr>
        <w:ilvl w:val="1"/>
        <w:numId w:val="1"/>
      </w:numPr>
      <w:tabs>
        <w:tab w:val="left" w:pos="1021"/>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qFormat/>
    <w:uiPriority w:val="0"/>
    <w:pPr>
      <w:numPr>
        <w:ilvl w:val="2"/>
        <w:numId w:val="1"/>
      </w:numPr>
      <w:tabs>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character" w:default="1" w:styleId="37">
    <w:name w:val="Default Paragraph Font"/>
    <w:unhideWhenUsed/>
    <w:qFormat/>
    <w:uiPriority w:val="1"/>
  </w:style>
  <w:style w:type="table" w:default="1" w:styleId="35">
    <w:name w:val="Normal Table"/>
    <w:unhideWhenUsed/>
    <w:qFormat/>
    <w:uiPriority w:val="99"/>
    <w:tblPr>
      <w:tblCellMar>
        <w:top w:w="0" w:type="dxa"/>
        <w:left w:w="108" w:type="dxa"/>
        <w:bottom w:w="0" w:type="dxa"/>
        <w:right w:w="108" w:type="dxa"/>
      </w:tblCellMar>
    </w:tblPr>
  </w:style>
  <w:style w:type="paragraph" w:styleId="6">
    <w:name w:val="toc 7"/>
    <w:basedOn w:val="1"/>
    <w:next w:val="1"/>
    <w:qFormat/>
    <w:uiPriority w:val="39"/>
    <w:pPr>
      <w:ind w:left="1260"/>
      <w:jc w:val="left"/>
    </w:pPr>
    <w:rPr>
      <w:rFonts w:ascii="等线" w:eastAsia="等线"/>
      <w:sz w:val="18"/>
      <w:szCs w:val="18"/>
    </w:rPr>
  </w:style>
  <w:style w:type="paragraph" w:styleId="7">
    <w:name w:val="Normal Indent"/>
    <w:basedOn w:val="1"/>
    <w:link w:val="46"/>
    <w:qFormat/>
    <w:uiPriority w:val="0"/>
    <w:pPr>
      <w:ind w:firstLine="420"/>
    </w:pPr>
    <w:rPr>
      <w:szCs w:val="20"/>
    </w:rPr>
  </w:style>
  <w:style w:type="paragraph" w:styleId="8">
    <w:name w:val="Document Map"/>
    <w:basedOn w:val="1"/>
    <w:qFormat/>
    <w:uiPriority w:val="0"/>
    <w:pPr>
      <w:shd w:val="clear" w:color="auto" w:fill="000080"/>
    </w:pPr>
  </w:style>
  <w:style w:type="paragraph" w:styleId="9">
    <w:name w:val="annotation text"/>
    <w:basedOn w:val="1"/>
    <w:semiHidden/>
    <w:qFormat/>
    <w:uiPriority w:val="0"/>
    <w:pPr>
      <w:jc w:val="left"/>
    </w:pPr>
  </w:style>
  <w:style w:type="paragraph" w:styleId="10">
    <w:name w:val="Body Text 3"/>
    <w:basedOn w:val="1"/>
    <w:qFormat/>
    <w:uiPriority w:val="0"/>
    <w:rPr>
      <w:sz w:val="24"/>
    </w:rPr>
  </w:style>
  <w:style w:type="paragraph" w:styleId="11">
    <w:name w:val="Body Text"/>
    <w:basedOn w:val="1"/>
    <w:next w:val="12"/>
    <w:link w:val="47"/>
    <w:qFormat/>
    <w:uiPriority w:val="99"/>
    <w:rPr>
      <w:rFonts w:ascii="金山简黑体" w:hAnsi="金山简黑体" w:eastAsia="金山简黑体"/>
      <w:b/>
      <w:spacing w:val="-8"/>
      <w:sz w:val="44"/>
      <w:szCs w:val="20"/>
    </w:rPr>
  </w:style>
  <w:style w:type="paragraph" w:customStyle="1" w:styleId="12">
    <w:name w:val="Normal_2"/>
    <w:next w:val="11"/>
    <w:qFormat/>
    <w:uiPriority w:val="0"/>
    <w:pPr>
      <w:widowControl w:val="0"/>
      <w:jc w:val="both"/>
    </w:pPr>
    <w:rPr>
      <w:rFonts w:ascii="Calibri" w:hAnsi="Calibri" w:eastAsia="宋体" w:cs="Times New Roman"/>
      <w:lang w:val="en-US" w:eastAsia="zh-CN" w:bidi="ar-SA"/>
    </w:rPr>
  </w:style>
  <w:style w:type="paragraph" w:styleId="13">
    <w:name w:val="Body Text Indent"/>
    <w:basedOn w:val="1"/>
    <w:link w:val="48"/>
    <w:qFormat/>
    <w:uiPriority w:val="0"/>
    <w:pPr>
      <w:spacing w:line="200" w:lineRule="exact"/>
      <w:ind w:firstLine="301"/>
    </w:pPr>
    <w:rPr>
      <w:rFonts w:ascii="宋体"/>
      <w:spacing w:val="-4"/>
      <w:sz w:val="18"/>
      <w:szCs w:val="20"/>
    </w:rPr>
  </w:style>
  <w:style w:type="paragraph" w:styleId="14">
    <w:name w:val="toc 5"/>
    <w:basedOn w:val="1"/>
    <w:next w:val="1"/>
    <w:qFormat/>
    <w:uiPriority w:val="39"/>
    <w:pPr>
      <w:ind w:left="840"/>
      <w:jc w:val="left"/>
    </w:pPr>
    <w:rPr>
      <w:rFonts w:ascii="等线" w:eastAsia="等线"/>
      <w:sz w:val="18"/>
      <w:szCs w:val="18"/>
    </w:rPr>
  </w:style>
  <w:style w:type="paragraph" w:styleId="15">
    <w:name w:val="toc 3"/>
    <w:basedOn w:val="1"/>
    <w:next w:val="1"/>
    <w:qFormat/>
    <w:uiPriority w:val="39"/>
    <w:pPr>
      <w:ind w:left="420"/>
      <w:jc w:val="left"/>
    </w:pPr>
    <w:rPr>
      <w:rFonts w:ascii="等线" w:eastAsia="等线"/>
      <w:i/>
      <w:iCs/>
      <w:sz w:val="20"/>
      <w:szCs w:val="20"/>
    </w:rPr>
  </w:style>
  <w:style w:type="paragraph" w:styleId="16">
    <w:name w:val="Plain Text"/>
    <w:basedOn w:val="1"/>
    <w:next w:val="1"/>
    <w:link w:val="49"/>
    <w:qFormat/>
    <w:uiPriority w:val="0"/>
    <w:rPr>
      <w:rFonts w:ascii="宋体"/>
      <w:szCs w:val="20"/>
    </w:rPr>
  </w:style>
  <w:style w:type="paragraph" w:styleId="17">
    <w:name w:val="toc 8"/>
    <w:basedOn w:val="1"/>
    <w:next w:val="1"/>
    <w:qFormat/>
    <w:uiPriority w:val="39"/>
    <w:pPr>
      <w:ind w:left="1470"/>
      <w:jc w:val="left"/>
    </w:pPr>
    <w:rPr>
      <w:rFonts w:ascii="等线" w:eastAsia="等线"/>
      <w:sz w:val="18"/>
      <w:szCs w:val="18"/>
    </w:rPr>
  </w:style>
  <w:style w:type="paragraph" w:styleId="18">
    <w:name w:val="Date"/>
    <w:basedOn w:val="1"/>
    <w:next w:val="1"/>
    <w:qFormat/>
    <w:uiPriority w:val="0"/>
    <w:pPr>
      <w:ind w:left="100" w:leftChars="2500"/>
    </w:pPr>
  </w:style>
  <w:style w:type="paragraph" w:styleId="19">
    <w:name w:val="Body Text Indent 2"/>
    <w:basedOn w:val="1"/>
    <w:qFormat/>
    <w:uiPriority w:val="0"/>
    <w:pPr>
      <w:spacing w:after="120" w:line="480" w:lineRule="auto"/>
      <w:ind w:left="200" w:leftChars="200"/>
    </w:pPr>
  </w:style>
  <w:style w:type="paragraph" w:styleId="20">
    <w:name w:val="Balloon Text"/>
    <w:basedOn w:val="1"/>
    <w:link w:val="50"/>
    <w:qFormat/>
    <w:uiPriority w:val="0"/>
    <w:rPr>
      <w:sz w:val="18"/>
      <w:szCs w:val="18"/>
    </w:rPr>
  </w:style>
  <w:style w:type="paragraph" w:styleId="21">
    <w:name w:val="footer"/>
    <w:basedOn w:val="1"/>
    <w:link w:val="51"/>
    <w:qFormat/>
    <w:uiPriority w:val="99"/>
    <w:pPr>
      <w:tabs>
        <w:tab w:val="center" w:pos="4153"/>
        <w:tab w:val="right" w:pos="8306"/>
      </w:tabs>
      <w:snapToGrid w:val="0"/>
      <w:jc w:val="left"/>
    </w:pPr>
    <w:rPr>
      <w:rFonts w:ascii="宋体"/>
      <w:sz w:val="18"/>
      <w:szCs w:val="20"/>
    </w:rPr>
  </w:style>
  <w:style w:type="paragraph" w:styleId="22">
    <w:name w:val="header"/>
    <w:basedOn w:val="1"/>
    <w:link w:val="52"/>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spacing w:before="120" w:after="120"/>
      <w:jc w:val="left"/>
    </w:pPr>
    <w:rPr>
      <w:rFonts w:ascii="等线" w:eastAsia="等线"/>
      <w:b/>
      <w:bCs/>
      <w:caps/>
      <w:sz w:val="20"/>
      <w:szCs w:val="20"/>
    </w:rPr>
  </w:style>
  <w:style w:type="paragraph" w:styleId="24">
    <w:name w:val="toc 4"/>
    <w:basedOn w:val="1"/>
    <w:next w:val="1"/>
    <w:qFormat/>
    <w:uiPriority w:val="39"/>
    <w:pPr>
      <w:ind w:left="630"/>
      <w:jc w:val="left"/>
    </w:pPr>
    <w:rPr>
      <w:rFonts w:ascii="等线" w:eastAsia="等线"/>
      <w:sz w:val="18"/>
      <w:szCs w:val="18"/>
    </w:rPr>
  </w:style>
  <w:style w:type="paragraph" w:styleId="25">
    <w:name w:val="toc 6"/>
    <w:basedOn w:val="1"/>
    <w:next w:val="1"/>
    <w:qFormat/>
    <w:uiPriority w:val="39"/>
    <w:pPr>
      <w:ind w:left="1050"/>
      <w:jc w:val="left"/>
    </w:pPr>
    <w:rPr>
      <w:rFonts w:ascii="等线" w:eastAsia="等线"/>
      <w:sz w:val="18"/>
      <w:szCs w:val="18"/>
    </w:rPr>
  </w:style>
  <w:style w:type="paragraph" w:styleId="26">
    <w:name w:val="Body Text Indent 3"/>
    <w:basedOn w:val="1"/>
    <w:qFormat/>
    <w:uiPriority w:val="0"/>
    <w:pPr>
      <w:spacing w:line="400" w:lineRule="exact"/>
      <w:ind w:left="360"/>
    </w:pPr>
    <w:rPr>
      <w:sz w:val="24"/>
    </w:rPr>
  </w:style>
  <w:style w:type="paragraph" w:styleId="27">
    <w:name w:val="toc 2"/>
    <w:basedOn w:val="1"/>
    <w:next w:val="1"/>
    <w:qFormat/>
    <w:uiPriority w:val="39"/>
    <w:pPr>
      <w:ind w:left="210"/>
      <w:jc w:val="left"/>
    </w:pPr>
    <w:rPr>
      <w:rFonts w:ascii="等线" w:eastAsia="等线"/>
      <w:smallCaps/>
      <w:sz w:val="20"/>
      <w:szCs w:val="20"/>
    </w:rPr>
  </w:style>
  <w:style w:type="paragraph" w:styleId="28">
    <w:name w:val="toc 9"/>
    <w:basedOn w:val="1"/>
    <w:next w:val="1"/>
    <w:qFormat/>
    <w:uiPriority w:val="39"/>
    <w:pPr>
      <w:ind w:left="1680"/>
      <w:jc w:val="left"/>
    </w:pPr>
    <w:rPr>
      <w:rFonts w:ascii="等线" w:eastAsia="等线"/>
      <w:sz w:val="18"/>
      <w:szCs w:val="18"/>
    </w:rPr>
  </w:style>
  <w:style w:type="paragraph" w:styleId="29">
    <w:name w:val="Body Text 2"/>
    <w:basedOn w:val="1"/>
    <w:qFormat/>
    <w:uiPriority w:val="0"/>
    <w:rPr>
      <w:rFonts w:ascii="宋体"/>
      <w:sz w:val="13"/>
      <w:szCs w:val="20"/>
    </w:rPr>
  </w:style>
  <w:style w:type="paragraph" w:styleId="3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1">
    <w:name w:val="index 1"/>
    <w:basedOn w:val="1"/>
    <w:next w:val="1"/>
    <w:semiHidden/>
    <w:qFormat/>
    <w:uiPriority w:val="0"/>
  </w:style>
  <w:style w:type="paragraph" w:styleId="32">
    <w:name w:val="annotation subject"/>
    <w:basedOn w:val="9"/>
    <w:next w:val="9"/>
    <w:semiHidden/>
    <w:qFormat/>
    <w:uiPriority w:val="0"/>
    <w:rPr>
      <w:b/>
      <w:bCs/>
    </w:rPr>
  </w:style>
  <w:style w:type="paragraph" w:styleId="33">
    <w:name w:val="Body Text First Indent"/>
    <w:basedOn w:val="11"/>
    <w:qFormat/>
    <w:uiPriority w:val="0"/>
    <w:pPr>
      <w:spacing w:after="120"/>
      <w:ind w:firstLine="420" w:firstLineChars="100"/>
    </w:pPr>
  </w:style>
  <w:style w:type="paragraph" w:styleId="34">
    <w:name w:val="Body Text First Indent 2"/>
    <w:basedOn w:val="13"/>
    <w:next w:val="1"/>
    <w:link w:val="53"/>
    <w:unhideWhenUsed/>
    <w:qFormat/>
    <w:uiPriority w:val="0"/>
    <w:pPr>
      <w:spacing w:after="120" w:line="240" w:lineRule="auto"/>
      <w:ind w:left="420" w:leftChars="200" w:firstLine="420" w:firstLineChars="200"/>
    </w:pPr>
    <w:rPr>
      <w:sz w:val="21"/>
      <w:szCs w:val="24"/>
    </w:rPr>
  </w:style>
  <w:style w:type="table" w:styleId="36">
    <w:name w:val="Table Grid"/>
    <w:basedOn w:val="3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22"/>
    <w:rPr>
      <w:b/>
      <w:bCs/>
    </w:rPr>
  </w:style>
  <w:style w:type="character" w:styleId="39">
    <w:name w:val="page number"/>
    <w:qFormat/>
    <w:uiPriority w:val="0"/>
  </w:style>
  <w:style w:type="character" w:styleId="40">
    <w:name w:val="FollowedHyperlink"/>
    <w:qFormat/>
    <w:uiPriority w:val="99"/>
    <w:rPr>
      <w:color w:val="555555"/>
      <w:u w:val="none"/>
    </w:rPr>
  </w:style>
  <w:style w:type="character" w:styleId="41">
    <w:name w:val="Hyperlink"/>
    <w:qFormat/>
    <w:uiPriority w:val="99"/>
    <w:rPr>
      <w:color w:val="555555"/>
      <w:u w:val="none"/>
    </w:rPr>
  </w:style>
  <w:style w:type="character" w:styleId="42">
    <w:name w:val="annotation reference"/>
    <w:semiHidden/>
    <w:qFormat/>
    <w:uiPriority w:val="0"/>
    <w:rPr>
      <w:sz w:val="21"/>
      <w:szCs w:val="21"/>
    </w:rPr>
  </w:style>
  <w:style w:type="character" w:customStyle="1" w:styleId="43">
    <w:name w:val="标题 1 Char"/>
    <w:link w:val="2"/>
    <w:qFormat/>
    <w:uiPriority w:val="9"/>
    <w:rPr>
      <w:rFonts w:eastAsia="黑体"/>
      <w:b/>
      <w:kern w:val="44"/>
      <w:sz w:val="28"/>
    </w:rPr>
  </w:style>
  <w:style w:type="character" w:customStyle="1" w:styleId="44">
    <w:name w:val="标题 2 Char"/>
    <w:link w:val="3"/>
    <w:qFormat/>
    <w:uiPriority w:val="0"/>
    <w:rPr>
      <w:rFonts w:eastAsia="黑体"/>
      <w:b/>
      <w:sz w:val="28"/>
    </w:rPr>
  </w:style>
  <w:style w:type="paragraph" w:customStyle="1" w:styleId="4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6">
    <w:name w:val="正文缩进 Char"/>
    <w:link w:val="7"/>
    <w:qFormat/>
    <w:uiPriority w:val="0"/>
    <w:rPr>
      <w:rFonts w:eastAsia="宋体"/>
      <w:kern w:val="2"/>
      <w:sz w:val="21"/>
      <w:lang w:val="en-US" w:eastAsia="zh-CN" w:bidi="ar-SA"/>
    </w:rPr>
  </w:style>
  <w:style w:type="character" w:customStyle="1" w:styleId="47">
    <w:name w:val="正文文本 Char"/>
    <w:link w:val="11"/>
    <w:qFormat/>
    <w:uiPriority w:val="99"/>
    <w:rPr>
      <w:rFonts w:ascii="金山简黑体" w:hAnsi="金山简黑体" w:eastAsia="金山简黑体"/>
      <w:b/>
      <w:spacing w:val="-8"/>
      <w:kern w:val="2"/>
      <w:sz w:val="44"/>
    </w:rPr>
  </w:style>
  <w:style w:type="character" w:customStyle="1" w:styleId="48">
    <w:name w:val="正文文本缩进 Char"/>
    <w:link w:val="13"/>
    <w:qFormat/>
    <w:uiPriority w:val="0"/>
    <w:rPr>
      <w:rFonts w:ascii="宋体"/>
      <w:spacing w:val="-4"/>
      <w:kern w:val="2"/>
      <w:sz w:val="18"/>
    </w:rPr>
  </w:style>
  <w:style w:type="character" w:customStyle="1" w:styleId="49">
    <w:name w:val="纯文本 Char2"/>
    <w:link w:val="16"/>
    <w:qFormat/>
    <w:uiPriority w:val="0"/>
    <w:rPr>
      <w:rFonts w:ascii="宋体" w:eastAsia="宋体"/>
      <w:kern w:val="2"/>
      <w:sz w:val="21"/>
      <w:lang w:val="en-US" w:eastAsia="zh-CN" w:bidi="ar-SA"/>
    </w:rPr>
  </w:style>
  <w:style w:type="character" w:customStyle="1" w:styleId="50">
    <w:name w:val="批注框文本 Char"/>
    <w:link w:val="20"/>
    <w:qFormat/>
    <w:uiPriority w:val="0"/>
    <w:rPr>
      <w:kern w:val="2"/>
      <w:sz w:val="18"/>
      <w:szCs w:val="18"/>
    </w:rPr>
  </w:style>
  <w:style w:type="character" w:customStyle="1" w:styleId="51">
    <w:name w:val="页脚 Char"/>
    <w:link w:val="21"/>
    <w:qFormat/>
    <w:uiPriority w:val="99"/>
    <w:rPr>
      <w:rFonts w:ascii="宋体"/>
      <w:kern w:val="2"/>
      <w:sz w:val="18"/>
    </w:rPr>
  </w:style>
  <w:style w:type="character" w:customStyle="1" w:styleId="52">
    <w:name w:val="页眉 Char"/>
    <w:link w:val="22"/>
    <w:qFormat/>
    <w:uiPriority w:val="99"/>
    <w:rPr>
      <w:kern w:val="2"/>
      <w:sz w:val="18"/>
      <w:szCs w:val="18"/>
    </w:rPr>
  </w:style>
  <w:style w:type="character" w:customStyle="1" w:styleId="53">
    <w:name w:val="正文首行缩进 2 Char"/>
    <w:link w:val="34"/>
    <w:semiHidden/>
    <w:qFormat/>
    <w:uiPriority w:val="0"/>
    <w:rPr>
      <w:rFonts w:ascii="宋体"/>
      <w:spacing w:val="-4"/>
      <w:kern w:val="2"/>
      <w:sz w:val="21"/>
      <w:szCs w:val="24"/>
    </w:rPr>
  </w:style>
  <w:style w:type="paragraph" w:customStyle="1" w:styleId="5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55">
    <w:name w:val="标题 2 字符"/>
    <w:qFormat/>
    <w:uiPriority w:val="0"/>
    <w:rPr>
      <w:rFonts w:eastAsia="黑体"/>
      <w:b/>
      <w:sz w:val="28"/>
    </w:rPr>
  </w:style>
  <w:style w:type="character" w:customStyle="1" w:styleId="56">
    <w:name w:val="纯文本 Char1"/>
    <w:qFormat/>
    <w:uiPriority w:val="0"/>
    <w:rPr>
      <w:rFonts w:ascii="宋体" w:eastAsia="宋体"/>
      <w:kern w:val="2"/>
      <w:sz w:val="21"/>
      <w:lang w:val="en-US" w:eastAsia="zh-CN" w:bidi="ar-SA"/>
    </w:rPr>
  </w:style>
  <w:style w:type="character" w:customStyle="1" w:styleId="57">
    <w:name w:val="@他1"/>
    <w:unhideWhenUsed/>
    <w:qFormat/>
    <w:uiPriority w:val="99"/>
    <w:rPr>
      <w:color w:val="2B579A"/>
      <w:shd w:val="clear" w:color="auto" w:fill="E6E6E6"/>
    </w:rPr>
  </w:style>
  <w:style w:type="character" w:customStyle="1" w:styleId="58">
    <w:name w:val="纯文本 Char"/>
    <w:qFormat/>
    <w:uiPriority w:val="0"/>
    <w:rPr>
      <w:rFonts w:ascii="宋体" w:eastAsia="宋体"/>
      <w:kern w:val="2"/>
      <w:sz w:val="21"/>
      <w:lang w:val="en-US" w:eastAsia="zh-CN" w:bidi="ar-SA"/>
    </w:rPr>
  </w:style>
  <w:style w:type="character" w:customStyle="1" w:styleId="59">
    <w:name w:val="grame"/>
    <w:qFormat/>
    <w:uiPriority w:val="0"/>
  </w:style>
  <w:style w:type="character" w:customStyle="1" w:styleId="60">
    <w:name w:val="Unresolved Mention"/>
    <w:unhideWhenUsed/>
    <w:qFormat/>
    <w:uiPriority w:val="99"/>
    <w:rPr>
      <w:color w:val="605E5C"/>
      <w:shd w:val="clear" w:color="auto" w:fill="E1DFDD"/>
    </w:rPr>
  </w:style>
  <w:style w:type="character" w:customStyle="1" w:styleId="61">
    <w:name w:val="未处理的提及"/>
    <w:unhideWhenUsed/>
    <w:qFormat/>
    <w:uiPriority w:val="99"/>
    <w:rPr>
      <w:color w:val="605E5C"/>
      <w:shd w:val="clear" w:color="auto" w:fill="E1DFDD"/>
    </w:rPr>
  </w:style>
  <w:style w:type="character" w:customStyle="1" w:styleId="62">
    <w:name w:val="明显引用 字符1"/>
    <w:qFormat/>
    <w:uiPriority w:val="99"/>
    <w:rPr>
      <w:i/>
      <w:iCs/>
      <w:color w:val="4472C4"/>
      <w:kern w:val="2"/>
      <w:sz w:val="21"/>
      <w:szCs w:val="24"/>
    </w:rPr>
  </w:style>
  <w:style w:type="character" w:customStyle="1" w:styleId="63">
    <w:name w:val="标题 3 Char"/>
    <w:qFormat/>
    <w:uiPriority w:val="0"/>
    <w:rPr>
      <w:rFonts w:ascii="Arial" w:hAnsi="Arial" w:eastAsia="黑体"/>
      <w:b/>
      <w:sz w:val="28"/>
      <w:lang w:val="en-US" w:eastAsia="zh-CN" w:bidi="ar-SA"/>
    </w:rPr>
  </w:style>
  <w:style w:type="character" w:customStyle="1" w:styleId="64">
    <w:name w:val="正文缩进 字符"/>
    <w:qFormat/>
    <w:uiPriority w:val="0"/>
    <w:rPr>
      <w:rFonts w:eastAsia="宋体"/>
      <w:kern w:val="2"/>
      <w:sz w:val="21"/>
      <w:lang w:val="en-US" w:eastAsia="zh-CN" w:bidi="ar-SA"/>
    </w:rPr>
  </w:style>
  <w:style w:type="character" w:customStyle="1" w:styleId="65">
    <w:name w:val="列出段落 Char"/>
    <w:link w:val="66"/>
    <w:qFormat/>
    <w:uiPriority w:val="0"/>
    <w:rPr>
      <w:rFonts w:ascii="Calibri" w:hAnsi="Calibri"/>
      <w:kern w:val="2"/>
      <w:sz w:val="21"/>
      <w:szCs w:val="22"/>
    </w:rPr>
  </w:style>
  <w:style w:type="paragraph" w:customStyle="1" w:styleId="66">
    <w:name w:val="1"/>
    <w:basedOn w:val="1"/>
    <w:next w:val="67"/>
    <w:link w:val="65"/>
    <w:unhideWhenUsed/>
    <w:qFormat/>
    <w:uiPriority w:val="0"/>
    <w:pPr>
      <w:ind w:firstLine="420" w:firstLineChars="200"/>
    </w:pPr>
    <w:rPr>
      <w:rFonts w:ascii="Calibri" w:hAnsi="Calibri"/>
      <w:szCs w:val="22"/>
    </w:rPr>
  </w:style>
  <w:style w:type="paragraph" w:styleId="67">
    <w:name w:val="List Paragraph"/>
    <w:basedOn w:val="1"/>
    <w:qFormat/>
    <w:uiPriority w:val="0"/>
    <w:pPr>
      <w:ind w:firstLine="420" w:firstLineChars="200"/>
    </w:pPr>
  </w:style>
  <w:style w:type="character" w:customStyle="1" w:styleId="68">
    <w:name w:val="普通文字1 Char2"/>
    <w:qFormat/>
    <w:uiPriority w:val="0"/>
    <w:rPr>
      <w:rFonts w:ascii="宋体" w:eastAsia="宋体"/>
      <w:kern w:val="2"/>
      <w:sz w:val="21"/>
      <w:lang w:val="en-US" w:eastAsia="zh-CN" w:bidi="ar-SA"/>
    </w:rPr>
  </w:style>
  <w:style w:type="character" w:customStyle="1" w:styleId="69">
    <w:name w:val="明显引用 Char"/>
    <w:link w:val="70"/>
    <w:qFormat/>
    <w:uiPriority w:val="0"/>
    <w:rPr>
      <w:b/>
      <w:bCs/>
      <w:i/>
      <w:iCs/>
      <w:color w:val="4F81BD"/>
    </w:rPr>
  </w:style>
  <w:style w:type="paragraph" w:styleId="70">
    <w:name w:val="Intense Quote"/>
    <w:basedOn w:val="1"/>
    <w:next w:val="1"/>
    <w:link w:val="69"/>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71">
    <w:name w:val="fontstyle01"/>
    <w:qFormat/>
    <w:uiPriority w:val="0"/>
    <w:rPr>
      <w:rFonts w:hint="eastAsia" w:ascii="宋体" w:hAnsi="宋体" w:eastAsia="宋体"/>
      <w:color w:val="000000"/>
      <w:sz w:val="24"/>
      <w:szCs w:val="24"/>
    </w:rPr>
  </w:style>
  <w:style w:type="paragraph" w:customStyle="1" w:styleId="72">
    <w:name w:val="xl23"/>
    <w:basedOn w:val="1"/>
    <w:next w:val="28"/>
    <w:qFormat/>
    <w:uiPriority w:val="0"/>
    <w:pPr>
      <w:widowControl/>
      <w:spacing w:before="100" w:beforeAutospacing="1" w:after="100" w:afterAutospacing="1"/>
      <w:jc w:val="center"/>
    </w:pPr>
    <w:rPr>
      <w:rFonts w:ascii="Arial Unicode MS" w:hAnsi="Arial Unicode MS" w:eastAsia="Arial Unicode MS"/>
      <w:kern w:val="0"/>
      <w:sz w:val="24"/>
      <w:szCs w:val="20"/>
    </w:rPr>
  </w:style>
  <w:style w:type="paragraph" w:customStyle="1" w:styleId="73">
    <w:name w:val="Char Char Char Char Char Char Char Char Char Char Char Char Char Char Char Char"/>
    <w:basedOn w:val="1"/>
    <w:qFormat/>
    <w:uiPriority w:val="0"/>
    <w:pPr>
      <w:widowControl/>
      <w:spacing w:after="160" w:line="240" w:lineRule="exact"/>
      <w:jc w:val="left"/>
    </w:pPr>
    <w:rPr>
      <w:rFonts w:ascii="Verdana" w:hAnsi="Verdana" w:eastAsia="方正仿宋_GB2312"/>
      <w:kern w:val="0"/>
      <w:sz w:val="24"/>
      <w:szCs w:val="20"/>
      <w:lang w:eastAsia="en-US"/>
    </w:rPr>
  </w:style>
  <w:style w:type="paragraph" w:customStyle="1" w:styleId="74">
    <w:name w:val="项目书正文"/>
    <w:basedOn w:val="1"/>
    <w:qFormat/>
    <w:uiPriority w:val="0"/>
    <w:pPr>
      <w:widowControl/>
      <w:spacing w:beforeLines="50" w:afterLines="50" w:line="420" w:lineRule="auto"/>
      <w:ind w:firstLine="200" w:firstLineChars="200"/>
      <w:jc w:val="left"/>
    </w:pPr>
    <w:rPr>
      <w:rFonts w:ascii="Calibri" w:hAnsi="Calibri" w:cs="宋体"/>
      <w:kern w:val="0"/>
      <w:sz w:val="24"/>
      <w:szCs w:val="20"/>
    </w:rPr>
  </w:style>
  <w:style w:type="paragraph" w:customStyle="1" w:styleId="7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12"/>
      <w:szCs w:val="12"/>
    </w:rPr>
  </w:style>
  <w:style w:type="paragraph" w:customStyle="1" w:styleId="7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FF0000"/>
      <w:kern w:val="0"/>
      <w:sz w:val="12"/>
      <w:szCs w:val="12"/>
    </w:rPr>
  </w:style>
  <w:style w:type="paragraph" w:customStyle="1" w:styleId="77">
    <w:name w:val="Char"/>
    <w:basedOn w:val="1"/>
    <w:qFormat/>
    <w:uiPriority w:val="0"/>
  </w:style>
  <w:style w:type="paragraph" w:customStyle="1" w:styleId="78">
    <w:name w:val="样式2"/>
    <w:basedOn w:val="3"/>
    <w:qFormat/>
    <w:uiPriority w:val="0"/>
    <w:pPr>
      <w:tabs>
        <w:tab w:val="left" w:pos="360"/>
      </w:tabs>
      <w:spacing w:line="440" w:lineRule="exact"/>
      <w:jc w:val="center"/>
    </w:pPr>
    <w:rPr>
      <w:rFonts w:ascii="宋体" w:hAnsi="宋体"/>
      <w:b w:val="0"/>
      <w:sz w:val="32"/>
    </w:rPr>
  </w:style>
  <w:style w:type="paragraph" w:customStyle="1" w:styleId="79">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80">
    <w:name w:val="纯文本 New New New New"/>
    <w:basedOn w:val="1"/>
    <w:next w:val="1"/>
    <w:qFormat/>
    <w:uiPriority w:val="0"/>
    <w:pPr>
      <w:autoSpaceDE w:val="0"/>
      <w:autoSpaceDN w:val="0"/>
      <w:adjustRightInd w:val="0"/>
      <w:jc w:val="left"/>
    </w:pPr>
    <w:rPr>
      <w:rFonts w:ascii="宋体"/>
    </w:rPr>
  </w:style>
  <w:style w:type="paragraph" w:customStyle="1" w:styleId="81">
    <w:name w:val="_Style 5"/>
    <w:basedOn w:val="1"/>
    <w:qFormat/>
    <w:uiPriority w:val="0"/>
    <w:pPr>
      <w:keepNext/>
      <w:keepLines/>
      <w:pageBreakBefore/>
      <w:tabs>
        <w:tab w:val="left" w:pos="390"/>
      </w:tabs>
      <w:ind w:left="390" w:hanging="390"/>
    </w:pPr>
    <w:rPr>
      <w:rFonts w:ascii="Tahoma" w:hAnsi="Tahoma"/>
      <w:sz w:val="24"/>
      <w:szCs w:val="20"/>
    </w:rPr>
  </w:style>
  <w:style w:type="paragraph" w:customStyle="1" w:styleId="82">
    <w:name w:val="p2"/>
    <w:basedOn w:val="1"/>
    <w:qFormat/>
    <w:uiPriority w:val="0"/>
    <w:pPr>
      <w:widowControl/>
      <w:spacing w:line="480" w:lineRule="auto"/>
      <w:ind w:firstLine="420"/>
      <w:jc w:val="left"/>
    </w:pPr>
    <w:rPr>
      <w:rFonts w:ascii="宋体" w:hAnsi="宋体" w:cs="宋体"/>
      <w:kern w:val="0"/>
      <w:szCs w:val="21"/>
    </w:rPr>
  </w:style>
  <w:style w:type="paragraph" w:customStyle="1" w:styleId="8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84">
    <w:name w:val="纯文本 New New"/>
    <w:basedOn w:val="1"/>
    <w:next w:val="1"/>
    <w:qFormat/>
    <w:uiPriority w:val="0"/>
    <w:pPr>
      <w:autoSpaceDE w:val="0"/>
      <w:autoSpaceDN w:val="0"/>
      <w:adjustRightInd w:val="0"/>
      <w:jc w:val="left"/>
    </w:pPr>
    <w:rPr>
      <w:rFonts w:ascii="宋体"/>
    </w:rPr>
  </w:style>
  <w:style w:type="paragraph" w:customStyle="1" w:styleId="8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2"/>
      <w:szCs w:val="12"/>
    </w:rPr>
  </w:style>
  <w:style w:type="paragraph" w:customStyle="1" w:styleId="86">
    <w:name w:val="Content"/>
    <w:basedOn w:val="11"/>
    <w:qFormat/>
    <w:uiPriority w:val="0"/>
    <w:pPr>
      <w:spacing w:line="360" w:lineRule="auto"/>
      <w:ind w:firstLine="480"/>
    </w:pPr>
    <w:rPr>
      <w:rFonts w:ascii="Times New Roman" w:hAnsi="Times New Roman" w:eastAsia="全真簡粗明"/>
      <w:b w:val="0"/>
      <w:snapToGrid w:val="0"/>
      <w:spacing w:val="0"/>
      <w:kern w:val="0"/>
      <w:sz w:val="24"/>
      <w:lang w:eastAsia="zh-TW"/>
    </w:rPr>
  </w:style>
  <w:style w:type="paragraph" w:customStyle="1" w:styleId="87">
    <w:name w:val="表格"/>
    <w:basedOn w:val="1"/>
    <w:qFormat/>
    <w:uiPriority w:val="0"/>
    <w:pPr>
      <w:tabs>
        <w:tab w:val="left" w:pos="1200"/>
      </w:tabs>
      <w:spacing w:line="500" w:lineRule="exact"/>
      <w:jc w:val="center"/>
    </w:pPr>
    <w:rPr>
      <w:rFonts w:ascii="宋体"/>
      <w:sz w:val="24"/>
      <w:szCs w:val="18"/>
    </w:rPr>
  </w:style>
  <w:style w:type="paragraph" w:customStyle="1" w:styleId="88">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89">
    <w:name w:val="para"/>
    <w:basedOn w:val="1"/>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90">
    <w:name w:val="列出段落1"/>
    <w:basedOn w:val="1"/>
    <w:qFormat/>
    <w:uiPriority w:val="0"/>
    <w:pPr>
      <w:ind w:firstLine="420" w:firstLineChars="200"/>
    </w:pPr>
    <w:rPr>
      <w:rFonts w:ascii="Calibri" w:hAnsi="Calibri"/>
      <w:szCs w:val="22"/>
    </w:rPr>
  </w:style>
  <w:style w:type="paragraph" w:customStyle="1" w:styleId="91">
    <w:name w:val="Char Char1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92">
    <w:name w:val="样式3"/>
    <w:basedOn w:val="4"/>
    <w:qFormat/>
    <w:uiPriority w:val="0"/>
    <w:pPr>
      <w:tabs>
        <w:tab w:val="left" w:pos="360"/>
      </w:tabs>
      <w:ind w:left="101" w:hanging="101" w:hangingChars="101"/>
      <w:jc w:val="left"/>
    </w:pPr>
    <w:rPr>
      <w:b w:val="0"/>
      <w:bCs/>
      <w:sz w:val="24"/>
      <w:szCs w:val="24"/>
    </w:rPr>
  </w:style>
  <w:style w:type="paragraph" w:customStyle="1" w:styleId="93">
    <w:name w:val="纯文本 New New New"/>
    <w:basedOn w:val="1"/>
    <w:next w:val="1"/>
    <w:qFormat/>
    <w:uiPriority w:val="0"/>
    <w:pPr>
      <w:autoSpaceDE w:val="0"/>
      <w:autoSpaceDN w:val="0"/>
      <w:adjustRightInd w:val="0"/>
      <w:jc w:val="left"/>
    </w:pPr>
    <w:rPr>
      <w:rFonts w:ascii="宋体"/>
    </w:rPr>
  </w:style>
  <w:style w:type="paragraph" w:customStyle="1" w:styleId="9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9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12"/>
      <w:szCs w:val="12"/>
    </w:rPr>
  </w:style>
  <w:style w:type="paragraph" w:customStyle="1" w:styleId="96">
    <w:name w:val="font5"/>
    <w:basedOn w:val="1"/>
    <w:qFormat/>
    <w:uiPriority w:val="0"/>
    <w:pPr>
      <w:widowControl/>
      <w:spacing w:before="100" w:beforeAutospacing="1" w:after="100" w:afterAutospacing="1"/>
      <w:jc w:val="left"/>
    </w:pPr>
    <w:rPr>
      <w:rFonts w:ascii="宋体" w:hAnsi="宋体" w:cs="宋体"/>
      <w:kern w:val="0"/>
      <w:sz w:val="12"/>
      <w:szCs w:val="12"/>
    </w:rPr>
  </w:style>
  <w:style w:type="paragraph" w:customStyle="1" w:styleId="97">
    <w:name w:val="Char11"/>
    <w:basedOn w:val="1"/>
    <w:qFormat/>
    <w:uiPriority w:val="0"/>
  </w:style>
  <w:style w:type="paragraph" w:customStyle="1" w:styleId="98">
    <w:name w:val="p0"/>
    <w:basedOn w:val="1"/>
    <w:qFormat/>
    <w:uiPriority w:val="0"/>
    <w:pPr>
      <w:widowControl/>
    </w:pPr>
    <w:rPr>
      <w:rFonts w:ascii="仿宋" w:eastAsia="仿宋"/>
      <w:kern w:val="0"/>
      <w:sz w:val="32"/>
      <w:szCs w:val="21"/>
    </w:rPr>
  </w:style>
  <w:style w:type="paragraph" w:customStyle="1" w:styleId="9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100">
    <w:name w:val="样式 首行缩进:  2 字符"/>
    <w:basedOn w:val="1"/>
    <w:qFormat/>
    <w:uiPriority w:val="0"/>
    <w:pPr>
      <w:spacing w:line="400" w:lineRule="exact"/>
      <w:ind w:firstLine="200" w:firstLineChars="200"/>
    </w:pPr>
    <w:rPr>
      <w:rFonts w:cs="宋体"/>
      <w:sz w:val="24"/>
    </w:rPr>
  </w:style>
  <w:style w:type="paragraph" w:customStyle="1" w:styleId="101">
    <w:name w:val="Char Char Char"/>
    <w:basedOn w:val="1"/>
    <w:qFormat/>
    <w:uiPriority w:val="0"/>
    <w:pPr>
      <w:ind w:firstLine="200" w:firstLineChars="200"/>
    </w:pPr>
    <w:rPr>
      <w:sz w:val="24"/>
    </w:rPr>
  </w:style>
  <w:style w:type="paragraph" w:customStyle="1" w:styleId="102">
    <w:name w:val="Char1"/>
    <w:basedOn w:val="1"/>
    <w:qFormat/>
    <w:uiPriority w:val="0"/>
    <w:pPr>
      <w:widowControl/>
      <w:spacing w:after="160" w:line="240" w:lineRule="exact"/>
      <w:jc w:val="left"/>
    </w:pPr>
  </w:style>
  <w:style w:type="paragraph" w:customStyle="1" w:styleId="103">
    <w:name w:val="样式1"/>
    <w:basedOn w:val="3"/>
    <w:qFormat/>
    <w:uiPriority w:val="0"/>
    <w:pPr>
      <w:tabs>
        <w:tab w:val="left" w:pos="360"/>
      </w:tabs>
    </w:pPr>
  </w:style>
  <w:style w:type="paragraph" w:customStyle="1" w:styleId="104">
    <w:name w:val="Table Paragraph"/>
    <w:basedOn w:val="1"/>
    <w:qFormat/>
    <w:uiPriority w:val="0"/>
    <w:pPr>
      <w:autoSpaceDE w:val="0"/>
      <w:autoSpaceDN w:val="0"/>
      <w:jc w:val="left"/>
    </w:pPr>
    <w:rPr>
      <w:rFonts w:ascii="仿宋" w:hAnsi="仿宋" w:eastAsia="仿宋" w:cs="仿宋"/>
      <w:kern w:val="0"/>
      <w:sz w:val="22"/>
      <w:szCs w:val="22"/>
      <w:lang w:eastAsia="en-US"/>
    </w:rPr>
  </w:style>
  <w:style w:type="paragraph" w:customStyle="1" w:styleId="10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2"/>
      <w:szCs w:val="12"/>
    </w:rPr>
  </w:style>
  <w:style w:type="paragraph" w:customStyle="1" w:styleId="106">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7">
    <w:name w:val="_Style 2"/>
    <w:basedOn w:val="1"/>
    <w:qFormat/>
    <w:uiPriority w:val="0"/>
    <w:pPr>
      <w:ind w:firstLine="420" w:firstLineChars="200"/>
    </w:pPr>
  </w:style>
  <w:style w:type="paragraph" w:customStyle="1" w:styleId="108">
    <w:name w:val="_Style 105"/>
    <w:unhideWhenUsed/>
    <w:qFormat/>
    <w:uiPriority w:val="99"/>
    <w:rPr>
      <w:rFonts w:ascii="Times New Roman" w:hAnsi="Times New Roman" w:eastAsia="宋体" w:cs="Times New Roman"/>
      <w:kern w:val="2"/>
      <w:sz w:val="21"/>
      <w:szCs w:val="24"/>
      <w:lang w:val="en-US" w:eastAsia="zh-CN" w:bidi="ar-SA"/>
    </w:rPr>
  </w:style>
  <w:style w:type="paragraph" w:customStyle="1" w:styleId="109">
    <w:name w:val="6'"/>
    <w:basedOn w:val="1"/>
    <w:qFormat/>
    <w:uiPriority w:val="0"/>
    <w:pPr>
      <w:spacing w:line="320" w:lineRule="exact"/>
      <w:jc w:val="center"/>
    </w:pPr>
    <w:rPr>
      <w:color w:val="000000"/>
      <w:spacing w:val="20"/>
      <w:kern w:val="0"/>
      <w:szCs w:val="20"/>
    </w:rPr>
  </w:style>
  <w:style w:type="paragraph" w:customStyle="1" w:styleId="110">
    <w:name w:val="第四行"/>
    <w:basedOn w:val="1"/>
    <w:qFormat/>
    <w:uiPriority w:val="0"/>
    <w:pPr>
      <w:tabs>
        <w:tab w:val="left" w:pos="1200"/>
      </w:tabs>
      <w:spacing w:line="360" w:lineRule="auto"/>
      <w:jc w:val="center"/>
    </w:pPr>
    <w:rPr>
      <w:rFonts w:ascii="宋体"/>
      <w:b/>
      <w:bCs/>
      <w:spacing w:val="40"/>
      <w:sz w:val="28"/>
      <w:szCs w:val="28"/>
    </w:rPr>
  </w:style>
  <w:style w:type="paragraph" w:customStyle="1" w:styleId="111">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2">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13">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114">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5">
    <w:name w:val="列出段落11"/>
    <w:basedOn w:val="1"/>
    <w:unhideWhenUsed/>
    <w:qFormat/>
    <w:uiPriority w:val="99"/>
    <w:pPr>
      <w:ind w:firstLine="420" w:firstLineChars="200"/>
    </w:pPr>
  </w:style>
  <w:style w:type="paragraph" w:customStyle="1" w:styleId="116">
    <w:name w:val="采购申报表正文"/>
    <w:basedOn w:val="1"/>
    <w:qFormat/>
    <w:uiPriority w:val="0"/>
    <w:rPr>
      <w:rFonts w:ascii="方正仿宋_GB2312" w:eastAsia="方正仿宋_GB2312"/>
      <w:szCs w:val="28"/>
    </w:rPr>
  </w:style>
  <w:style w:type="paragraph" w:customStyle="1" w:styleId="11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FF0000"/>
      <w:kern w:val="0"/>
      <w:sz w:val="12"/>
      <w:szCs w:val="12"/>
    </w:rPr>
  </w:style>
  <w:style w:type="paragraph" w:customStyle="1" w:styleId="118">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119">
    <w:name w:val="p1"/>
    <w:basedOn w:val="1"/>
    <w:qFormat/>
    <w:uiPriority w:val="0"/>
    <w:pPr>
      <w:widowControl/>
      <w:jc w:val="left"/>
    </w:pPr>
    <w:rPr>
      <w:rFonts w:ascii="宋体" w:hAnsi="宋体" w:cs="宋体"/>
      <w:kern w:val="0"/>
      <w:szCs w:val="21"/>
    </w:rPr>
  </w:style>
  <w:style w:type="table" w:customStyle="1" w:styleId="120">
    <w:name w:val="Table Normal"/>
    <w:unhideWhenUsed/>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 w:type="character" w:customStyle="1" w:styleId="121">
    <w:name w:val="纯文本 字符1"/>
    <w:qFormat/>
    <w:uiPriority w:val="0"/>
    <w:rPr>
      <w:rFonts w:ascii="宋体" w:hAnsi="Times New Roman" w:eastAsia="宋体" w:cs="Times New Roman"/>
      <w:kern w:val="2"/>
      <w:sz w:val="21"/>
      <w:lang w:val="en-US" w:eastAsia="zh-CN" w:bidi="ar-SA"/>
    </w:rPr>
  </w:style>
  <w:style w:type="character" w:customStyle="1" w:styleId="122">
    <w:name w:val="正文文本 (2)_"/>
    <w:link w:val="123"/>
    <w:qFormat/>
    <w:locked/>
    <w:uiPriority w:val="0"/>
    <w:rPr>
      <w:rFonts w:ascii="MingLiU" w:eastAsia="MingLiU"/>
      <w:sz w:val="28"/>
      <w:szCs w:val="28"/>
      <w:shd w:val="clear" w:color="auto" w:fill="FFFFFF"/>
    </w:rPr>
  </w:style>
  <w:style w:type="paragraph" w:customStyle="1" w:styleId="123">
    <w:name w:val="正文文本 (2)1"/>
    <w:basedOn w:val="1"/>
    <w:link w:val="122"/>
    <w:qFormat/>
    <w:uiPriority w:val="0"/>
    <w:pPr>
      <w:shd w:val="clear" w:color="auto" w:fill="FFFFFF"/>
      <w:spacing w:line="883" w:lineRule="exact"/>
      <w:jc w:val="left"/>
    </w:pPr>
    <w:rPr>
      <w:rFonts w:ascii="MingLiU" w:eastAsia="MingLiU"/>
      <w:kern w:val="0"/>
      <w:sz w:val="28"/>
      <w:szCs w:val="28"/>
    </w:rPr>
  </w:style>
  <w:style w:type="paragraph" w:customStyle="1" w:styleId="124">
    <w:name w:val="正文_3"/>
    <w:qFormat/>
    <w:uiPriority w:val="0"/>
    <w:pPr>
      <w:widowControl w:val="0"/>
      <w:jc w:val="both"/>
    </w:pPr>
    <w:rPr>
      <w:rFonts w:ascii="Calibri" w:hAnsi="Calibri" w:eastAsia="宋体" w:cs="Times New Roman"/>
      <w:kern w:val="2"/>
      <w:sz w:val="21"/>
      <w:szCs w:val="22"/>
      <w:lang w:val="en-US" w:eastAsia="zh-CN" w:bidi="ar-SA"/>
    </w:rPr>
  </w:style>
  <w:style w:type="character" w:customStyle="1" w:styleId="125">
    <w:name w:val="页脚 字符1"/>
    <w:qFormat/>
    <w:uiPriority w:val="99"/>
    <w:rPr>
      <w:kern w:val="2"/>
      <w:sz w:val="18"/>
      <w:szCs w:val="18"/>
    </w:rPr>
  </w:style>
  <w:style w:type="paragraph" w:customStyle="1" w:styleId="126">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7">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128">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129">
    <w:name w:val="正文_4"/>
    <w:qFormat/>
    <w:uiPriority w:val="0"/>
    <w:pPr>
      <w:wordWrap w:val="0"/>
      <w:topLinePunct/>
      <w:adjustRightInd w:val="0"/>
      <w:snapToGrid w:val="0"/>
      <w:spacing w:after="120" w:afterLines="50" w:line="360" w:lineRule="auto"/>
      <w:ind w:firstLine="480" w:firstLineChars="200"/>
      <w:jc w:val="both"/>
    </w:pPr>
    <w:rPr>
      <w:rFonts w:ascii="宋体" w:hAnsi="宋体" w:eastAsia="宋体" w:cs="Times New Roman"/>
      <w:sz w:val="24"/>
      <w:lang w:val="en-US" w:eastAsia="zh-CN" w:bidi="ar-SA"/>
    </w:rPr>
  </w:style>
  <w:style w:type="paragraph" w:customStyle="1" w:styleId="130">
    <w:name w:val="页脚_0"/>
    <w:unhideWhenUsed/>
    <w:qFormat/>
    <w:uiPriority w:val="99"/>
    <w:pPr>
      <w:tabs>
        <w:tab w:val="center" w:pos="4153"/>
        <w:tab w:val="right" w:pos="8306"/>
      </w:tabs>
      <w:jc w:val="center"/>
    </w:pPr>
    <w:rPr>
      <w:rFonts w:ascii="宋体" w:hAnsi="宋体" w:eastAsia="宋体" w:cs="Times New Roman"/>
      <w:kern w:val="2"/>
      <w:sz w:val="18"/>
      <w:szCs w:val="18"/>
      <w:lang w:val="en-US" w:eastAsia="zh-CN" w:bidi="ar-SA"/>
    </w:rPr>
  </w:style>
  <w:style w:type="paragraph" w:customStyle="1" w:styleId="131">
    <w:name w:val="Main Title"/>
    <w:next w:val="129"/>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132">
    <w:name w:val="TOC 标题1"/>
    <w:basedOn w:val="2"/>
    <w:next w:val="129"/>
    <w:unhideWhenUsed/>
    <w:qFormat/>
    <w:uiPriority w:val="39"/>
    <w:pPr>
      <w:keepNext w:val="0"/>
      <w:keepLines w:val="0"/>
      <w:widowControl/>
      <w:numPr>
        <w:ilvl w:val="0"/>
        <w:numId w:val="0"/>
      </w:numPr>
      <w:tabs>
        <w:tab w:val="clear" w:pos="360"/>
      </w:tabs>
      <w:snapToGrid w:val="0"/>
      <w:spacing w:before="240" w:line="259" w:lineRule="auto"/>
      <w:jc w:val="left"/>
      <w:textAlignment w:val="auto"/>
      <w:outlineLvl w:val="9"/>
    </w:pPr>
    <w:rPr>
      <w:rFonts w:ascii="Calibri Light" w:hAnsi="Calibri Light" w:eastAsia="宋体"/>
      <w:b w:val="0"/>
      <w:color w:val="2E75B5"/>
      <w:kern w:val="0"/>
      <w:sz w:val="32"/>
      <w:szCs w:val="32"/>
    </w:rPr>
  </w:style>
  <w:style w:type="paragraph" w:customStyle="1" w:styleId="133">
    <w:name w:val="TOC 标题2"/>
    <w:basedOn w:val="2"/>
    <w:next w:val="129"/>
    <w:qFormat/>
    <w:uiPriority w:val="0"/>
    <w:pPr>
      <w:numPr>
        <w:ilvl w:val="0"/>
        <w:numId w:val="0"/>
      </w:numPr>
      <w:tabs>
        <w:tab w:val="clear" w:pos="360"/>
      </w:tabs>
      <w:adjustRightInd/>
      <w:spacing w:before="260" w:after="260" w:line="413" w:lineRule="auto"/>
      <w:jc w:val="center"/>
      <w:textAlignment w:val="auto"/>
    </w:pPr>
    <w:rPr>
      <w:rFonts w:ascii="宋体" w:hAnsi="宋体" w:eastAsia="宋体"/>
      <w:bCs/>
      <w:sz w:val="36"/>
      <w:szCs w:val="44"/>
      <w:lang w:val="zh-CN"/>
    </w:rPr>
  </w:style>
  <w:style w:type="paragraph" w:customStyle="1" w:styleId="134">
    <w:name w:val="协议书标题2"/>
    <w:basedOn w:val="3"/>
    <w:next w:val="129"/>
    <w:qFormat/>
    <w:uiPriority w:val="0"/>
    <w:pPr>
      <w:keepNext w:val="0"/>
      <w:widowControl/>
      <w:numPr>
        <w:ilvl w:val="0"/>
        <w:numId w:val="2"/>
      </w:numPr>
      <w:tabs>
        <w:tab w:val="left" w:pos="567"/>
        <w:tab w:val="clear" w:pos="1021"/>
        <w:tab w:val="clear" w:pos="1304"/>
      </w:tabs>
      <w:wordWrap w:val="0"/>
      <w:topLinePunct/>
      <w:snapToGrid w:val="0"/>
      <w:spacing w:before="0" w:after="120" w:afterLines="50"/>
      <w:ind w:firstLine="0"/>
      <w:jc w:val="left"/>
      <w:textAlignment w:val="auto"/>
    </w:pPr>
    <w:rPr>
      <w:rFonts w:ascii="宋体" w:hAnsi="宋体" w:eastAsia="宋体"/>
      <w:sz w:val="24"/>
    </w:rPr>
  </w:style>
  <w:style w:type="paragraph" w:customStyle="1" w:styleId="135">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136">
    <w:name w:val="专用标题2"/>
    <w:basedOn w:val="3"/>
    <w:next w:val="129"/>
    <w:qFormat/>
    <w:uiPriority w:val="0"/>
    <w:pPr>
      <w:keepNext w:val="0"/>
      <w:widowControl/>
      <w:numPr>
        <w:ilvl w:val="0"/>
        <w:numId w:val="0"/>
      </w:numPr>
      <w:tabs>
        <w:tab w:val="left" w:pos="993"/>
        <w:tab w:val="clear" w:pos="1021"/>
        <w:tab w:val="clear" w:pos="1304"/>
      </w:tabs>
      <w:snapToGrid w:val="0"/>
      <w:spacing w:before="0" w:after="120" w:afterLines="50"/>
      <w:textAlignment w:val="auto"/>
    </w:pPr>
    <w:rPr>
      <w:rFonts w:ascii="宋体" w:hAnsi="宋体" w:eastAsia="宋体" w:cs="Times"/>
    </w:rPr>
  </w:style>
  <w:style w:type="paragraph" w:customStyle="1" w:styleId="137">
    <w:name w:val="附件标题"/>
    <w:basedOn w:val="3"/>
    <w:next w:val="129"/>
    <w:qFormat/>
    <w:uiPriority w:val="0"/>
    <w:pPr>
      <w:keepLines/>
      <w:widowControl/>
      <w:numPr>
        <w:ilvl w:val="0"/>
        <w:numId w:val="3"/>
      </w:numPr>
      <w:tabs>
        <w:tab w:val="left" w:pos="1134"/>
        <w:tab w:val="clear" w:pos="1021"/>
        <w:tab w:val="clear" w:pos="1304"/>
      </w:tabs>
      <w:wordWrap w:val="0"/>
      <w:topLinePunct/>
      <w:snapToGrid w:val="0"/>
      <w:spacing w:before="0" w:after="120" w:afterLines="50"/>
      <w:ind w:firstLine="0"/>
      <w:jc w:val="center"/>
      <w:textAlignment w:val="auto"/>
    </w:pPr>
    <w:rPr>
      <w:rFonts w:ascii="黑体" w:hAnsi="黑体"/>
      <w:sz w:val="30"/>
      <w:szCs w:val="30"/>
    </w:rPr>
  </w:style>
  <w:style w:type="paragraph" w:customStyle="1" w:styleId="138">
    <w:name w:val="Normal_1_0"/>
    <w:qFormat/>
    <w:uiPriority w:val="0"/>
    <w:pPr>
      <w:widowControl w:val="0"/>
      <w:jc w:val="both"/>
    </w:pPr>
    <w:rPr>
      <w:rFonts w:ascii="Calibri" w:hAnsi="Calibri" w:eastAsia="宋体" w:cs="Times New Roman"/>
      <w:lang w:val="en-US" w:eastAsia="zh-CN" w:bidi="ar-SA"/>
    </w:rPr>
  </w:style>
  <w:style w:type="paragraph" w:customStyle="1" w:styleId="139">
    <w:name w:val="Normal_0"/>
    <w:qFormat/>
    <w:uiPriority w:val="0"/>
    <w:pPr>
      <w:widowControl w:val="0"/>
      <w:jc w:val="both"/>
    </w:pPr>
    <w:rPr>
      <w:rFonts w:ascii="Calibri" w:hAnsi="Calibri" w:eastAsia="宋体" w:cs="Times New Roman"/>
      <w:lang w:val="en-US" w:eastAsia="zh-CN" w:bidi="ar-SA"/>
    </w:rPr>
  </w:style>
  <w:style w:type="character" w:customStyle="1" w:styleId="140">
    <w:name w:val="title"/>
    <w:qFormat/>
    <w:uiPriority w:val="0"/>
  </w:style>
  <w:style w:type="paragraph" w:customStyle="1" w:styleId="141">
    <w:name w:val="文档正文"/>
    <w:basedOn w:val="1"/>
    <w:qFormat/>
    <w:uiPriority w:val="0"/>
    <w:pPr>
      <w:ind w:firstLine="482"/>
    </w:pPr>
  </w:style>
  <w:style w:type="paragraph" w:customStyle="1" w:styleId="142">
    <w:name w:val="Table Text"/>
    <w:basedOn w:val="1"/>
    <w:semiHidden/>
    <w:qFormat/>
    <w:uiPriority w:val="0"/>
    <w:pPr>
      <w:spacing w:line="240" w:lineRule="auto"/>
      <w:ind w:firstLine="0" w:firstLineChars="0"/>
    </w:pPr>
    <w:rPr>
      <w:rFonts w:ascii="Arial" w:hAnsi="Arial" w:eastAsia="Arial" w:cs="Arial"/>
      <w:sz w:val="21"/>
      <w:szCs w:val="21"/>
      <w:lang w:eastAsia="en-US"/>
    </w:rPr>
  </w:style>
  <w:style w:type="character" w:customStyle="1" w:styleId="143">
    <w:name w:val="NormalCharacter"/>
    <w:qFormat/>
    <w:uiPriority w:val="0"/>
  </w:style>
  <w:style w:type="paragraph" w:customStyle="1" w:styleId="144">
    <w:name w:val="无间隔1"/>
    <w:next w:val="1"/>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ZYQ</Company>
  <Pages>64</Pages>
  <Words>20796</Words>
  <Characters>22516</Characters>
  <Lines>228</Lines>
  <Paragraphs>64</Paragraphs>
  <TotalTime>18</TotalTime>
  <ScaleCrop>false</ScaleCrop>
  <LinksUpToDate>false</LinksUpToDate>
  <CharactersWithSpaces>23953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2023-11-03T02:22:00Z</dcterms:created>
  <dc:creator>kaka</dc:creator>
  <cp:lastModifiedBy>WPS_1640595002</cp:lastModifiedBy>
  <cp:lastPrinted>2022-05-27T07:25:00Z</cp:lastPrinted>
  <dcterms:modified xsi:type="dcterms:W3CDTF">2025-09-01T09:18:06Z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560CEE6A3BE142B09F74612A92454193_13</vt:lpwstr>
  </property>
  <property fmtid="{D5CDD505-2E9C-101B-9397-08002B2CF9AE}" pid="4" name="KSOTemplateDocerSaveRecord">
    <vt:lpwstr>eyJoZGlkIjoiNmQwYmQ3ZjYwYTM1ZWRiZmYwYTU4OWYyYWMyM2Q2MDYiLCJ1c2VySWQiOiIxMzA1NDI3NTI5In0=</vt:lpwstr>
  </property>
</Properties>
</file>