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F5F31">
      <w:pPr>
        <w:spacing w:line="360" w:lineRule="auto"/>
        <w:jc w:val="center"/>
        <w:rPr>
          <w:rFonts w:hint="eastAsia" w:ascii="黑体" w:hAnsi="黑体" w:eastAsia="黑体" w:cs="黑体"/>
          <w:b/>
          <w:bCs/>
          <w:color w:val="auto"/>
          <w:sz w:val="52"/>
          <w:szCs w:val="52"/>
          <w:highlight w:val="none"/>
          <w:lang w:val="en-US" w:eastAsia="zh-CN"/>
        </w:rPr>
      </w:pPr>
      <w:bookmarkStart w:id="0" w:name="OLE_LINK20"/>
      <w:bookmarkStart w:id="1" w:name="OLE_LINK3"/>
      <w:bookmarkStart w:id="2" w:name="OLE_LINK2"/>
      <w:r>
        <w:rPr>
          <w:rFonts w:hint="eastAsia" w:ascii="黑体" w:hAnsi="黑体" w:eastAsia="黑体" w:cs="黑体"/>
          <w:b/>
          <w:bCs/>
          <w:color w:val="auto"/>
          <w:sz w:val="52"/>
          <w:szCs w:val="52"/>
          <w:highlight w:val="none"/>
          <w:lang w:val="en-US" w:eastAsia="zh-CN"/>
        </w:rPr>
        <w:t>新街镇闪桥村及桥边易迁安置点基础设施及公共服务设施提升项目</w:t>
      </w:r>
    </w:p>
    <w:p w14:paraId="4DB0F899">
      <w:pPr>
        <w:pStyle w:val="12"/>
        <w:rPr>
          <w:rFonts w:hint="eastAsia"/>
          <w:color w:val="auto"/>
          <w:highlight w:val="none"/>
        </w:rPr>
      </w:pPr>
    </w:p>
    <w:bookmarkEnd w:id="0"/>
    <w:p w14:paraId="4584CC1B">
      <w:pPr>
        <w:spacing w:line="360" w:lineRule="auto"/>
        <w:rPr>
          <w:rFonts w:hint="eastAsia" w:ascii="宋体" w:hAnsi="宋体" w:eastAsia="宋体" w:cs="宋体"/>
          <w:color w:val="auto"/>
          <w:szCs w:val="21"/>
          <w:highlight w:val="none"/>
        </w:rPr>
      </w:pPr>
    </w:p>
    <w:p w14:paraId="439140F4">
      <w:pPr>
        <w:pStyle w:val="9"/>
        <w:spacing w:line="360" w:lineRule="auto"/>
        <w:rPr>
          <w:rFonts w:hint="eastAsia" w:ascii="宋体" w:hAnsi="宋体" w:eastAsia="宋体" w:cs="宋体"/>
          <w:color w:val="auto"/>
          <w:szCs w:val="21"/>
          <w:highlight w:val="none"/>
        </w:rPr>
      </w:pPr>
    </w:p>
    <w:p w14:paraId="4691E009">
      <w:pPr>
        <w:pStyle w:val="10"/>
        <w:spacing w:line="360" w:lineRule="auto"/>
        <w:rPr>
          <w:rFonts w:hint="eastAsia" w:ascii="宋体" w:hAnsi="宋体" w:eastAsia="宋体" w:cs="宋体"/>
          <w:color w:val="auto"/>
          <w:szCs w:val="21"/>
          <w:highlight w:val="none"/>
        </w:rPr>
      </w:pPr>
    </w:p>
    <w:p w14:paraId="37D5B9A3">
      <w:pPr>
        <w:spacing w:line="360" w:lineRule="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eastAsia="zh-CN"/>
        </w:rPr>
        <w:drawing>
          <wp:anchor distT="0" distB="0" distL="114935" distR="114935" simplePos="0" relativeHeight="251662336" behindDoc="1" locked="0" layoutInCell="1" allowOverlap="1">
            <wp:simplePos x="0" y="0"/>
            <wp:positionH relativeFrom="column">
              <wp:posOffset>741045</wp:posOffset>
            </wp:positionH>
            <wp:positionV relativeFrom="paragraph">
              <wp:posOffset>179070</wp:posOffset>
            </wp:positionV>
            <wp:extent cx="4457700" cy="2592705"/>
            <wp:effectExtent l="0" t="0" r="7620" b="0"/>
            <wp:wrapNone/>
            <wp:docPr id="4" name="图片 4" descr="1669691593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69691593377(1)"/>
                    <pic:cNvPicPr>
                      <a:picLocks noChangeAspect="1"/>
                    </pic:cNvPicPr>
                  </pic:nvPicPr>
                  <pic:blipFill>
                    <a:blip r:embed="rId10"/>
                    <a:stretch>
                      <a:fillRect/>
                    </a:stretch>
                  </pic:blipFill>
                  <pic:spPr>
                    <a:xfrm>
                      <a:off x="0" y="0"/>
                      <a:ext cx="4457700" cy="2592705"/>
                    </a:xfrm>
                    <a:prstGeom prst="rect">
                      <a:avLst/>
                    </a:prstGeom>
                  </pic:spPr>
                </pic:pic>
              </a:graphicData>
            </a:graphic>
          </wp:anchor>
        </w:drawing>
      </w:r>
    </w:p>
    <w:p w14:paraId="07C11EF7">
      <w:pPr>
        <w:spacing w:line="360" w:lineRule="auto"/>
        <w:rPr>
          <w:rFonts w:hint="eastAsia" w:ascii="宋体" w:hAnsi="宋体" w:eastAsia="宋体" w:cs="宋体"/>
          <w:color w:val="auto"/>
          <w:szCs w:val="21"/>
          <w:highlight w:val="none"/>
        </w:rPr>
      </w:pPr>
    </w:p>
    <w:p w14:paraId="49434A24">
      <w:pPr>
        <w:spacing w:line="360" w:lineRule="auto"/>
        <w:rPr>
          <w:rFonts w:hint="eastAsia" w:ascii="宋体" w:hAnsi="宋体" w:eastAsia="宋体" w:cs="宋体"/>
          <w:color w:val="auto"/>
          <w:szCs w:val="21"/>
          <w:highlight w:val="none"/>
        </w:rPr>
      </w:pPr>
    </w:p>
    <w:p w14:paraId="53710097">
      <w:pPr>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15A2C713">
      <w:pPr>
        <w:spacing w:line="360" w:lineRule="auto"/>
        <w:jc w:val="center"/>
        <w:rPr>
          <w:rFonts w:hint="eastAsia" w:ascii="宋体" w:hAnsi="宋体" w:eastAsia="宋体" w:cs="宋体"/>
          <w:b/>
          <w:color w:val="auto"/>
          <w:sz w:val="72"/>
          <w:szCs w:val="72"/>
          <w:highlight w:val="none"/>
        </w:rPr>
      </w:pPr>
    </w:p>
    <w:bookmarkEnd w:id="1"/>
    <w:bookmarkEnd w:id="2"/>
    <w:p w14:paraId="6F75C6DC">
      <w:pPr>
        <w:spacing w:line="360" w:lineRule="auto"/>
        <w:ind w:firstLine="437"/>
        <w:rPr>
          <w:rFonts w:hint="eastAsia" w:ascii="宋体" w:hAnsi="宋体" w:eastAsia="宋体" w:cs="宋体"/>
          <w:color w:val="auto"/>
          <w:szCs w:val="21"/>
          <w:highlight w:val="none"/>
        </w:rPr>
      </w:pPr>
    </w:p>
    <w:p w14:paraId="4B41C738">
      <w:pPr>
        <w:spacing w:line="360" w:lineRule="auto"/>
        <w:ind w:firstLine="437"/>
        <w:rPr>
          <w:rFonts w:hint="eastAsia" w:ascii="宋体" w:hAnsi="宋体" w:eastAsia="宋体" w:cs="宋体"/>
          <w:color w:val="auto"/>
          <w:szCs w:val="21"/>
          <w:highlight w:val="none"/>
        </w:rPr>
      </w:pPr>
    </w:p>
    <w:p w14:paraId="4B925859">
      <w:pPr>
        <w:spacing w:line="360" w:lineRule="auto"/>
        <w:ind w:firstLine="437"/>
        <w:rPr>
          <w:rFonts w:hint="eastAsia" w:ascii="宋体" w:hAnsi="宋体" w:eastAsia="宋体" w:cs="宋体"/>
          <w:color w:val="auto"/>
          <w:szCs w:val="21"/>
          <w:highlight w:val="none"/>
        </w:rPr>
      </w:pPr>
    </w:p>
    <w:p w14:paraId="1BE36D17">
      <w:pPr>
        <w:spacing w:line="360" w:lineRule="auto"/>
        <w:ind w:firstLine="1400"/>
        <w:rPr>
          <w:rFonts w:hint="eastAsia" w:ascii="宋体" w:hAnsi="宋体" w:eastAsia="宋体" w:cs="宋体"/>
          <w:color w:val="auto"/>
          <w:sz w:val="30"/>
          <w:szCs w:val="30"/>
          <w:highlight w:val="none"/>
        </w:rPr>
      </w:pPr>
    </w:p>
    <w:p w14:paraId="5BB9C6B1">
      <w:pPr>
        <w:spacing w:line="360" w:lineRule="auto"/>
        <w:ind w:firstLine="1400"/>
        <w:rPr>
          <w:rFonts w:hint="eastAsia" w:ascii="宋体" w:hAnsi="宋体" w:eastAsia="宋体" w:cs="宋体"/>
          <w:color w:val="auto"/>
          <w:sz w:val="30"/>
          <w:szCs w:val="30"/>
          <w:highlight w:val="none"/>
        </w:rPr>
      </w:pPr>
    </w:p>
    <w:p w14:paraId="233AC174">
      <w:pPr>
        <w:widowControl/>
        <w:spacing w:line="360" w:lineRule="auto"/>
        <w:jc w:val="both"/>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val="en-US" w:eastAsia="zh-CN"/>
        </w:rPr>
        <w:t>项目名称：</w:t>
      </w:r>
      <w:r>
        <w:rPr>
          <w:rFonts w:hint="eastAsia" w:ascii="宋体" w:hAnsi="宋体" w:cs="宋体"/>
          <w:b/>
          <w:bCs/>
          <w:color w:val="auto"/>
          <w:kern w:val="0"/>
          <w:sz w:val="28"/>
          <w:szCs w:val="28"/>
          <w:highlight w:val="none"/>
          <w:u w:val="single"/>
          <w:lang w:eastAsia="zh-CN"/>
        </w:rPr>
        <w:t>新街镇闪桥村及桥边易迁安置点基础设施及公共服务设施提升项目</w:t>
      </w:r>
    </w:p>
    <w:p w14:paraId="69038BAC">
      <w:pPr>
        <w:widowControl/>
        <w:spacing w:line="360" w:lineRule="auto"/>
        <w:jc w:val="both"/>
        <w:rPr>
          <w:rFonts w:hint="default"/>
          <w:b/>
          <w:bCs/>
          <w:color w:val="auto"/>
          <w:highlight w:val="none"/>
          <w:lang w:val="en-US"/>
        </w:rPr>
      </w:pPr>
      <w:r>
        <w:rPr>
          <w:rFonts w:hint="eastAsia" w:ascii="宋体" w:hAnsi="宋体" w:eastAsia="宋体" w:cs="宋体"/>
          <w:b/>
          <w:bCs/>
          <w:color w:val="auto"/>
          <w:kern w:val="0"/>
          <w:sz w:val="28"/>
          <w:szCs w:val="28"/>
          <w:highlight w:val="none"/>
          <w:lang w:eastAsia="zh-CN"/>
        </w:rPr>
        <w:t>项目编号：</w:t>
      </w:r>
      <w:r>
        <w:rPr>
          <w:rFonts w:hint="eastAsia" w:ascii="宋体" w:hAnsi="宋体" w:cs="宋体"/>
          <w:b/>
          <w:bCs/>
          <w:color w:val="auto"/>
          <w:kern w:val="0"/>
          <w:sz w:val="28"/>
          <w:szCs w:val="28"/>
          <w:highlight w:val="none"/>
          <w:u w:val="single"/>
          <w:lang w:eastAsia="zh-CN"/>
        </w:rPr>
        <w:t>FY（招标）ZT2026-025</w:t>
      </w:r>
    </w:p>
    <w:p w14:paraId="7A6BB70B">
      <w:pPr>
        <w:widowControl/>
        <w:spacing w:line="360" w:lineRule="auto"/>
        <w:jc w:val="both"/>
        <w:rPr>
          <w:rFonts w:hint="eastAsia" w:ascii="宋体" w:hAnsi="宋体" w:eastAsia="宋体" w:cs="宋体"/>
          <w:b/>
          <w:bCs/>
          <w:color w:val="auto"/>
          <w:kern w:val="0"/>
          <w:sz w:val="28"/>
          <w:szCs w:val="28"/>
          <w:highlight w:val="none"/>
          <w:lang w:eastAsia="zh-CN"/>
        </w:rPr>
      </w:pPr>
      <w:r>
        <w:rPr>
          <w:rFonts w:hint="eastAsia" w:ascii="宋体" w:hAnsi="宋体" w:cs="宋体"/>
          <w:b/>
          <w:bCs/>
          <w:color w:val="auto"/>
          <w:kern w:val="0"/>
          <w:sz w:val="28"/>
          <w:szCs w:val="28"/>
          <w:highlight w:val="none"/>
          <w:lang w:val="en-US" w:eastAsia="zh-CN"/>
        </w:rPr>
        <w:t>采购</w:t>
      </w:r>
      <w:r>
        <w:rPr>
          <w:rFonts w:hint="eastAsia" w:ascii="宋体" w:hAnsi="宋体" w:eastAsia="宋体" w:cs="宋体"/>
          <w:b/>
          <w:bCs/>
          <w:color w:val="auto"/>
          <w:kern w:val="0"/>
          <w:sz w:val="28"/>
          <w:szCs w:val="28"/>
          <w:highlight w:val="none"/>
        </w:rPr>
        <w:t>人：</w:t>
      </w:r>
      <w:r>
        <w:rPr>
          <w:rFonts w:hint="eastAsia" w:ascii="宋体" w:hAnsi="宋体" w:cs="宋体"/>
          <w:b/>
          <w:bCs/>
          <w:color w:val="auto"/>
          <w:kern w:val="0"/>
          <w:sz w:val="28"/>
          <w:szCs w:val="28"/>
          <w:highlight w:val="none"/>
          <w:u w:val="single"/>
          <w:lang w:eastAsia="zh-CN"/>
        </w:rPr>
        <w:t>鲁甸县新街镇人民政府</w:t>
      </w:r>
    </w:p>
    <w:p w14:paraId="571D7195">
      <w:pPr>
        <w:widowControl/>
        <w:spacing w:line="360" w:lineRule="auto"/>
        <w:jc w:val="both"/>
        <w:rPr>
          <w:rFonts w:hint="eastAsia" w:ascii="宋体" w:hAnsi="宋体" w:eastAsia="宋体" w:cs="宋体"/>
          <w:b/>
          <w:bCs/>
          <w:color w:val="auto"/>
          <w:kern w:val="0"/>
          <w:sz w:val="28"/>
          <w:szCs w:val="28"/>
          <w:highlight w:val="none"/>
          <w:u w:val="single"/>
        </w:rPr>
      </w:pPr>
      <w:r>
        <w:rPr>
          <w:rFonts w:hint="eastAsia" w:ascii="宋体" w:hAnsi="宋体" w:cs="宋体"/>
          <w:b/>
          <w:bCs/>
          <w:color w:val="auto"/>
          <w:kern w:val="0"/>
          <w:sz w:val="28"/>
          <w:szCs w:val="28"/>
          <w:highlight w:val="none"/>
          <w:lang w:val="en-US" w:eastAsia="zh-CN"/>
        </w:rPr>
        <w:t>采购</w:t>
      </w:r>
      <w:r>
        <w:rPr>
          <w:rFonts w:hint="eastAsia" w:ascii="宋体" w:hAnsi="宋体" w:eastAsia="宋体" w:cs="宋体"/>
          <w:b/>
          <w:bCs/>
          <w:color w:val="auto"/>
          <w:kern w:val="0"/>
          <w:sz w:val="28"/>
          <w:szCs w:val="28"/>
          <w:highlight w:val="none"/>
        </w:rPr>
        <w:t>代理机构：</w:t>
      </w:r>
      <w:r>
        <w:rPr>
          <w:rFonts w:hint="eastAsia" w:ascii="宋体" w:hAnsi="宋体" w:eastAsia="宋体" w:cs="宋体"/>
          <w:b/>
          <w:bCs/>
          <w:color w:val="auto"/>
          <w:kern w:val="0"/>
          <w:sz w:val="28"/>
          <w:szCs w:val="28"/>
          <w:highlight w:val="none"/>
          <w:u w:val="single"/>
        </w:rPr>
        <w:t>云南烽越项目管理咨询有限公司</w:t>
      </w:r>
    </w:p>
    <w:p w14:paraId="413E6DA9">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b/>
          <w:bCs/>
          <w:color w:val="auto"/>
          <w:sz w:val="28"/>
          <w:szCs w:val="28"/>
          <w:highlight w:val="none"/>
          <w:lang w:val="en-US" w:eastAsia="zh-CN"/>
        </w:rPr>
        <w:t>日期：</w:t>
      </w:r>
      <w:r>
        <w:rPr>
          <w:rFonts w:hint="eastAsia" w:ascii="宋体" w:hAnsi="宋体" w:eastAsia="宋体" w:cs="宋体"/>
          <w:b/>
          <w:bCs/>
          <w:color w:val="auto"/>
          <w:sz w:val="28"/>
          <w:szCs w:val="28"/>
          <w:highlight w:val="none"/>
          <w:u w:val="single"/>
          <w:lang w:val="en-US" w:eastAsia="zh-CN"/>
        </w:rPr>
        <w:t>2026年0</w:t>
      </w:r>
      <w:r>
        <w:rPr>
          <w:rFonts w:hint="eastAsia" w:ascii="宋体" w:hAnsi="宋体" w:cs="宋体"/>
          <w:b/>
          <w:bCs/>
          <w:color w:val="auto"/>
          <w:sz w:val="28"/>
          <w:szCs w:val="28"/>
          <w:highlight w:val="none"/>
          <w:u w:val="single"/>
          <w:lang w:val="en-US" w:eastAsia="zh-CN"/>
        </w:rPr>
        <w:t>5</w:t>
      </w:r>
      <w:r>
        <w:rPr>
          <w:rFonts w:hint="eastAsia" w:ascii="宋体" w:hAnsi="宋体" w:eastAsia="宋体" w:cs="宋体"/>
          <w:b/>
          <w:bCs/>
          <w:color w:val="auto"/>
          <w:sz w:val="28"/>
          <w:szCs w:val="28"/>
          <w:highlight w:val="none"/>
          <w:u w:val="single"/>
          <w:lang w:val="en-US" w:eastAsia="zh-CN"/>
        </w:rPr>
        <w:t>月</w:t>
      </w:r>
    </w:p>
    <w:p w14:paraId="33FCAA4C">
      <w:pPr>
        <w:spacing w:after="360" w:afterLines="150" w:line="360" w:lineRule="auto"/>
        <w:jc w:val="center"/>
        <w:rPr>
          <w:rFonts w:hint="eastAsia" w:ascii="宋体" w:hAnsi="宋体" w:eastAsia="宋体" w:cs="宋体"/>
          <w:b/>
          <w:color w:val="auto"/>
          <w:kern w:val="11"/>
          <w:sz w:val="32"/>
          <w:szCs w:val="32"/>
          <w:highlight w:val="none"/>
        </w:rPr>
        <w:sectPr>
          <w:footerReference r:id="rId3" w:type="default"/>
          <w:pgSz w:w="11906" w:h="16838"/>
          <w:pgMar w:top="1418" w:right="1247" w:bottom="1418" w:left="1247" w:header="851" w:footer="992" w:gutter="0"/>
          <w:pgNumType w:start="1"/>
          <w:cols w:space="720" w:num="1"/>
          <w:docGrid w:linePitch="312" w:charSpace="0"/>
        </w:sectPr>
      </w:pPr>
    </w:p>
    <w:p w14:paraId="39169D3E">
      <w:pPr>
        <w:spacing w:after="360" w:afterLines="150" w:line="360" w:lineRule="auto"/>
        <w:jc w:val="center"/>
        <w:rPr>
          <w:rFonts w:hint="eastAsia" w:ascii="宋体" w:hAnsi="宋体" w:eastAsia="宋体" w:cs="宋体"/>
          <w:b/>
          <w:color w:val="auto"/>
          <w:kern w:val="11"/>
          <w:sz w:val="32"/>
          <w:szCs w:val="32"/>
          <w:highlight w:val="none"/>
        </w:rPr>
      </w:pPr>
      <w:r>
        <w:rPr>
          <w:rFonts w:hint="eastAsia" w:ascii="宋体" w:hAnsi="宋体" w:eastAsia="宋体" w:cs="宋体"/>
          <w:b/>
          <w:color w:val="auto"/>
          <w:kern w:val="11"/>
          <w:sz w:val="32"/>
          <w:szCs w:val="32"/>
          <w:highlight w:val="none"/>
        </w:rPr>
        <w:t>目  录</w:t>
      </w:r>
    </w:p>
    <w:p w14:paraId="60D21ADF">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Style w:val="31"/>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_Toc10663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rPr>
        <w:t xml:space="preserve">第一章 </w:t>
      </w:r>
      <w:r>
        <w:rPr>
          <w:rFonts w:hint="eastAsia" w:ascii="宋体" w:hAnsi="宋体" w:eastAsia="宋体" w:cs="宋体"/>
          <w:b w:val="0"/>
          <w:bCs w:val="0"/>
          <w:sz w:val="24"/>
          <w:szCs w:val="24"/>
          <w:highlight w:val="none"/>
        </w:rPr>
        <w:t>竞争性磋商公告</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_Toc10663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1</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7E13317A">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_Toc20097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lang w:val="en-US" w:eastAsia="zh-CN"/>
        </w:rPr>
        <w:t xml:space="preserve">第二章  </w:t>
      </w:r>
      <w:r>
        <w:rPr>
          <w:rFonts w:hint="eastAsia" w:ascii="宋体" w:hAnsi="宋体" w:eastAsia="宋体" w:cs="宋体"/>
          <w:b w:val="0"/>
          <w:bCs w:val="0"/>
          <w:sz w:val="24"/>
          <w:szCs w:val="24"/>
          <w:highlight w:val="none"/>
        </w:rPr>
        <w:t>供应商须知</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_Toc20097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6</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4A23DEAD">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_Toc19888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rPr>
        <w:t xml:space="preserve">第三章 </w:t>
      </w:r>
      <w:r>
        <w:rPr>
          <w:rFonts w:hint="eastAsia" w:ascii="宋体" w:hAnsi="宋体" w:eastAsia="宋体" w:cs="宋体"/>
          <w:b w:val="0"/>
          <w:bCs w:val="0"/>
          <w:sz w:val="24"/>
          <w:szCs w:val="24"/>
          <w:highlight w:val="none"/>
        </w:rPr>
        <w:t>评审办法</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_Toc19888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25</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6927EFCB">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_Toc642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第四章 合同主要条款及格式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_Toc642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36</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7511A1D5">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_Toc17755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第五章 采购需求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_Toc17755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138</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0A1482E5">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_Toc12567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iCs/>
          <w:sz w:val="24"/>
          <w:szCs w:val="24"/>
        </w:rPr>
        <w:t xml:space="preserve">第六章 </w:t>
      </w:r>
      <w:r>
        <w:rPr>
          <w:rFonts w:hint="eastAsia" w:ascii="宋体" w:hAnsi="宋体" w:eastAsia="宋体" w:cs="宋体"/>
          <w:b w:val="0"/>
          <w:bCs w:val="0"/>
          <w:iCs/>
          <w:sz w:val="24"/>
          <w:szCs w:val="24"/>
          <w:highlight w:val="none"/>
        </w:rPr>
        <w:t>响应文件格式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_Toc12567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207</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p>
    <w:p w14:paraId="07D1EAB8">
      <w:pPr>
        <w:pStyle w:val="19"/>
        <w:tabs>
          <w:tab w:val="right" w:leader="dot" w:pos="9412"/>
          <w:tab w:val="clear" w:pos="9402"/>
        </w:tabs>
        <w:spacing w:line="480" w:lineRule="auto"/>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sz w:val="24"/>
          <w:szCs w:val="24"/>
          <w:highlight w:val="none"/>
        </w:rPr>
        <w:instrText xml:space="preserve"> HYPERLINK \l _Toc24564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lang w:val="en-US" w:eastAsia="zh-CN"/>
        </w:rPr>
        <w:t>第七章 图纸</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_Toc24564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24</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fldChar w:fldCharType="end"/>
      </w:r>
      <w:r>
        <w:rPr>
          <w:rFonts w:hint="eastAsia" w:ascii="宋体" w:hAnsi="宋体" w:eastAsia="宋体" w:cs="宋体"/>
          <w:b w:val="0"/>
          <w:bCs w:val="0"/>
          <w:color w:val="auto"/>
          <w:sz w:val="24"/>
          <w:szCs w:val="24"/>
          <w:highlight w:val="none"/>
        </w:rPr>
        <w:fldChar w:fldCharType="end"/>
      </w:r>
      <w:bookmarkStart w:id="4813" w:name="_GoBack"/>
      <w:bookmarkEnd w:id="4813"/>
    </w:p>
    <w:p w14:paraId="5C9518BE">
      <w:pPr>
        <w:spacing w:line="480" w:lineRule="auto"/>
        <w:rPr>
          <w:rFonts w:hint="eastAsia" w:ascii="宋体" w:hAnsi="宋体" w:eastAsia="宋体" w:cs="宋体"/>
          <w:color w:val="auto"/>
          <w:sz w:val="21"/>
          <w:szCs w:val="21"/>
          <w:highlight w:val="none"/>
        </w:rPr>
        <w:sectPr>
          <w:headerReference r:id="rId4" w:type="default"/>
          <w:footerReference r:id="rId5" w:type="default"/>
          <w:pgSz w:w="11906" w:h="16838"/>
          <w:pgMar w:top="1418" w:right="1247" w:bottom="1418" w:left="1247" w:header="851" w:footer="992" w:gutter="0"/>
          <w:pgNumType w:fmt="decimal" w:start="1"/>
          <w:cols w:space="720" w:num="1"/>
          <w:docGrid w:linePitch="312" w:charSpace="0"/>
        </w:sectPr>
      </w:pPr>
      <w:r>
        <w:rPr>
          <w:rFonts w:hint="eastAsia" w:ascii="宋体" w:hAnsi="宋体" w:eastAsia="宋体" w:cs="宋体"/>
          <w:b w:val="0"/>
          <w:bCs w:val="0"/>
          <w:color w:val="auto"/>
          <w:sz w:val="24"/>
          <w:szCs w:val="24"/>
          <w:highlight w:val="none"/>
        </w:rPr>
        <w:fldChar w:fldCharType="end"/>
      </w:r>
    </w:p>
    <w:p w14:paraId="69604C7E">
      <w:pPr>
        <w:tabs>
          <w:tab w:val="left" w:pos="8231"/>
          <w:tab w:val="left" w:pos="8640"/>
        </w:tabs>
        <w:spacing w:line="360" w:lineRule="auto"/>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注意事项</w:t>
      </w:r>
    </w:p>
    <w:p w14:paraId="3858F248">
      <w:pPr>
        <w:tabs>
          <w:tab w:val="left" w:pos="8231"/>
          <w:tab w:val="left" w:pos="864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各供应商：</w:t>
      </w:r>
    </w:p>
    <w:p w14:paraId="4D16BE1F">
      <w:pPr>
        <w:tabs>
          <w:tab w:val="left" w:pos="8231"/>
          <w:tab w:val="left" w:pos="86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一、本项目采用网上开标，最后报价为线上填报，供应商需在政采云电子投标客户端 (政采云电子投标客户端下载路径：</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"https://customer.zcygov.cn/CA-driver-download?utm=web-cafront.3ddc8fbb.0.0.87133ef03d"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https://customer.zcygov.cn/CA-driver-download?utm=web-cafront.3ddc8fbb.0.0.87133ef03d</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5611eca03abdd942cbc4e6)上传响应文件后，在系统上等待代理机构通知最后报价，无需到现场参加开标会。请各供应商仔细阅读“供应商政府采购电子交易平台操作指南”，因供应商操作带来的损失由供应商自行承担。</w:t>
      </w:r>
    </w:p>
    <w:p w14:paraId="59C15E6F">
      <w:pPr>
        <w:tabs>
          <w:tab w:val="left" w:pos="8231"/>
          <w:tab w:val="left" w:pos="8640"/>
        </w:tabs>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因本项目采用全电子化采购，采购人或代理机构无法主动联系潜在供应商，供应商应时常关注云南省政府采购网(http://www.yngp.com/)或政府采购云平台(https://www.zcygov.cn/)，查看本项目是否发有补遗、答疑文件、延期组织磋商通知或发布终止公告等情形。</w:t>
      </w:r>
    </w:p>
    <w:p w14:paraId="288F2B91">
      <w:pPr>
        <w:pStyle w:val="2"/>
        <w:spacing w:line="360" w:lineRule="auto"/>
        <w:jc w:val="both"/>
        <w:rPr>
          <w:rFonts w:hint="eastAsia" w:ascii="宋体" w:hAnsi="宋体" w:eastAsia="宋体" w:cs="宋体"/>
          <w:color w:val="auto"/>
          <w:sz w:val="36"/>
          <w:szCs w:val="36"/>
          <w:highlight w:val="none"/>
        </w:rPr>
        <w:sectPr>
          <w:pgSz w:w="11906" w:h="16838"/>
          <w:pgMar w:top="1418" w:right="1247" w:bottom="1418" w:left="1247" w:header="851" w:footer="992" w:gutter="0"/>
          <w:pgNumType w:fmt="decimal"/>
          <w:cols w:space="720" w:num="1"/>
          <w:docGrid w:linePitch="312" w:charSpace="0"/>
        </w:sectPr>
      </w:pPr>
      <w:bookmarkStart w:id="3" w:name="_Toc305846479"/>
    </w:p>
    <w:bookmarkEnd w:id="3"/>
    <w:p w14:paraId="136137C7">
      <w:pPr>
        <w:keepNext w:val="0"/>
        <w:keepLines w:val="0"/>
        <w:pageBreakBefore w:val="0"/>
        <w:widowControl/>
        <w:numPr>
          <w:ilvl w:val="0"/>
          <w:numId w:val="2"/>
        </w:num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  </w:t>
      </w:r>
      <w:bookmarkStart w:id="4" w:name="_Toc10663"/>
      <w:r>
        <w:rPr>
          <w:rFonts w:hint="eastAsia" w:ascii="宋体" w:hAnsi="宋体" w:eastAsia="宋体" w:cs="宋体"/>
          <w:b/>
          <w:bCs/>
          <w:color w:val="auto"/>
          <w:sz w:val="32"/>
          <w:szCs w:val="32"/>
          <w:highlight w:val="none"/>
        </w:rPr>
        <w:t>竞争性磋商公告</w:t>
      </w:r>
      <w:bookmarkEnd w:id="4"/>
    </w:p>
    <w:p w14:paraId="456D8E9E">
      <w:pPr>
        <w:pStyle w:val="12"/>
        <w:numPr>
          <w:ilvl w:val="0"/>
          <w:numId w:val="0"/>
        </w:numPr>
        <w:rPr>
          <w:rFonts w:hint="eastAsia"/>
          <w:color w:val="auto"/>
          <w:highlight w:val="none"/>
        </w:rPr>
      </w:pPr>
    </w:p>
    <w:p w14:paraId="1D11722A">
      <w:pPr>
        <w:adjustRightInd w:val="0"/>
        <w:snapToGrid w:val="0"/>
        <w:spacing w:line="360" w:lineRule="auto"/>
        <w:ind w:firstLine="357"/>
        <w:jc w:val="center"/>
        <w:rPr>
          <w:rFonts w:hint="eastAsia" w:ascii="宋体" w:hAnsi="宋体" w:eastAsia="宋体" w:cs="宋体"/>
          <w:b/>
          <w:color w:val="auto"/>
          <w:sz w:val="28"/>
          <w:szCs w:val="28"/>
          <w:highlight w:val="none"/>
        </w:rPr>
      </w:pPr>
      <w:bookmarkStart w:id="5" w:name="OLE_LINK23"/>
      <w:r>
        <w:rPr>
          <w:rFonts w:hint="eastAsia" w:ascii="宋体" w:hAnsi="宋体" w:cs="宋体"/>
          <w:b/>
          <w:color w:val="auto"/>
          <w:sz w:val="28"/>
          <w:szCs w:val="28"/>
          <w:highlight w:val="none"/>
          <w:lang w:val="en-US" w:eastAsia="zh-CN"/>
        </w:rPr>
        <w:t>新街镇闪桥村及桥边易迁安置点基础设施及公共服务设施提升项目</w:t>
      </w:r>
      <w:r>
        <w:rPr>
          <w:rFonts w:hint="eastAsia" w:ascii="宋体" w:hAnsi="宋体" w:eastAsia="宋体" w:cs="宋体"/>
          <w:b/>
          <w:color w:val="auto"/>
          <w:sz w:val="28"/>
          <w:szCs w:val="28"/>
          <w:highlight w:val="none"/>
        </w:rPr>
        <w:t>竞争性磋商公告</w:t>
      </w:r>
    </w:p>
    <w:bookmarkEnd w:id="5"/>
    <w:p w14:paraId="2DBA26FE">
      <w:pPr>
        <w:pStyle w:val="7"/>
        <w:adjustRightInd w:val="0"/>
        <w:snapToGrid w:val="0"/>
        <w:spacing w:line="360" w:lineRule="auto"/>
        <w:rPr>
          <w:rFonts w:hint="eastAsia" w:ascii="宋体" w:hAnsi="宋体" w:eastAsia="宋体" w:cs="宋体"/>
          <w:color w:val="auto"/>
          <w:highlight w:val="none"/>
        </w:rPr>
      </w:pPr>
    </w:p>
    <w:p w14:paraId="30088AB9">
      <w:pPr>
        <w:pBdr>
          <w:top w:val="single" w:color="auto" w:sz="4" w:space="1"/>
          <w:left w:val="single" w:color="auto" w:sz="4" w:space="4"/>
          <w:bottom w:val="single" w:color="auto" w:sz="4" w:space="1"/>
          <w:right w:val="single" w:color="auto" w:sz="4" w:space="4"/>
        </w:pBd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46A0033">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新街镇闪桥村及桥边易迁安置点基础设施及公共服务设施提升项目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highlight w:val="none"/>
          <w:u w:val="single"/>
        </w:rPr>
        <w:t>政采云平台（https://www.zcygov.cn/）</w:t>
      </w:r>
      <w:r>
        <w:rPr>
          <w:rFonts w:hint="eastAsia" w:ascii="宋体" w:hAnsi="宋体" w:eastAsia="宋体" w:cs="宋体"/>
          <w:color w:val="auto"/>
          <w:sz w:val="24"/>
          <w:highlight w:val="none"/>
        </w:rPr>
        <w:t>报名获取竞争性磋商文件，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11</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点30分（</w:t>
      </w:r>
      <w:r>
        <w:rPr>
          <w:rFonts w:hint="eastAsia" w:ascii="宋体" w:hAnsi="宋体" w:eastAsia="宋体" w:cs="宋体"/>
          <w:bCs/>
          <w:color w:val="auto"/>
          <w:sz w:val="24"/>
          <w:szCs w:val="24"/>
          <w:highlight w:val="none"/>
        </w:rPr>
        <w:t>北京时间）前递交</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color w:val="auto"/>
          <w:sz w:val="24"/>
          <w:szCs w:val="24"/>
          <w:highlight w:val="none"/>
        </w:rPr>
        <w:t>。</w:t>
      </w:r>
    </w:p>
    <w:p w14:paraId="4EFA697C">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color w:val="auto"/>
          <w:sz w:val="24"/>
          <w:szCs w:val="24"/>
          <w:highlight w:val="none"/>
        </w:rPr>
      </w:pPr>
      <w:bookmarkStart w:id="6" w:name="_Toc8120"/>
      <w:bookmarkStart w:id="7" w:name="_Toc9061"/>
      <w:bookmarkStart w:id="8" w:name="_Toc24803"/>
      <w:bookmarkStart w:id="9" w:name="_Toc31652"/>
      <w:r>
        <w:rPr>
          <w:rFonts w:hint="eastAsia" w:ascii="宋体" w:hAnsi="宋体" w:eastAsia="宋体" w:cs="宋体"/>
          <w:b/>
          <w:bCs/>
          <w:color w:val="auto"/>
          <w:sz w:val="24"/>
          <w:szCs w:val="24"/>
          <w:highlight w:val="none"/>
        </w:rPr>
        <w:t>一、项目概况与采购范围</w:t>
      </w:r>
      <w:bookmarkEnd w:id="6"/>
      <w:bookmarkEnd w:id="7"/>
      <w:bookmarkEnd w:id="8"/>
      <w:bookmarkEnd w:id="9"/>
    </w:p>
    <w:p w14:paraId="1CEE1964">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bidi="zh-CN"/>
        </w:rPr>
      </w:pPr>
      <w:bookmarkStart w:id="10" w:name="OLE_LINK33"/>
      <w:bookmarkStart w:id="11" w:name="OLE_LINK28"/>
      <w:r>
        <w:rPr>
          <w:rFonts w:hint="eastAsia" w:ascii="宋体" w:hAnsi="宋体" w:cs="宋体"/>
          <w:color w:val="auto"/>
          <w:kern w:val="2"/>
          <w:sz w:val="24"/>
          <w:szCs w:val="21"/>
          <w:highlight w:val="none"/>
          <w:lang w:val="en-US" w:bidi="zh-CN"/>
        </w:rPr>
        <w:t>1.</w:t>
      </w:r>
      <w:r>
        <w:rPr>
          <w:rFonts w:hint="eastAsia" w:ascii="宋体" w:hAnsi="宋体" w:eastAsia="宋体" w:cs="宋体"/>
          <w:color w:val="auto"/>
          <w:kern w:val="2"/>
          <w:sz w:val="24"/>
          <w:szCs w:val="21"/>
          <w:highlight w:val="none"/>
          <w:lang w:bidi="zh-CN"/>
        </w:rPr>
        <w:t>1项目名称：</w:t>
      </w:r>
      <w:r>
        <w:rPr>
          <w:rFonts w:hint="eastAsia" w:ascii="宋体" w:hAnsi="宋体" w:cs="宋体"/>
          <w:color w:val="auto"/>
          <w:kern w:val="2"/>
          <w:sz w:val="24"/>
          <w:szCs w:val="21"/>
          <w:highlight w:val="none"/>
          <w:lang w:val="en-US" w:eastAsia="zh-CN" w:bidi="zh-CN"/>
        </w:rPr>
        <w:t>新街镇闪桥村及桥边易迁安置点基础设施及公共服务设施提升项目</w:t>
      </w:r>
    </w:p>
    <w:p w14:paraId="4E4A53F4">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val="en-US" w:bidi="zh-CN"/>
        </w:rPr>
      </w:pPr>
      <w:r>
        <w:rPr>
          <w:rFonts w:hint="eastAsia" w:ascii="宋体" w:hAnsi="宋体" w:cs="宋体"/>
          <w:color w:val="auto"/>
          <w:kern w:val="2"/>
          <w:sz w:val="24"/>
          <w:szCs w:val="21"/>
          <w:highlight w:val="none"/>
          <w:lang w:val="en-US" w:bidi="zh-CN"/>
        </w:rPr>
        <w:t>1.2</w:t>
      </w:r>
      <w:bookmarkStart w:id="12" w:name="OLE_LINK25"/>
      <w:r>
        <w:rPr>
          <w:rFonts w:hint="eastAsia" w:ascii="宋体" w:hAnsi="宋体" w:eastAsia="宋体" w:cs="宋体"/>
          <w:color w:val="auto"/>
          <w:kern w:val="2"/>
          <w:sz w:val="24"/>
          <w:szCs w:val="21"/>
          <w:highlight w:val="none"/>
          <w:lang w:bidi="zh-CN"/>
        </w:rPr>
        <w:t>预算资金</w:t>
      </w:r>
      <w:bookmarkEnd w:id="12"/>
      <w:r>
        <w:rPr>
          <w:rFonts w:hint="eastAsia" w:ascii="宋体" w:hAnsi="宋体" w:eastAsia="宋体" w:cs="宋体"/>
          <w:color w:val="auto"/>
          <w:kern w:val="2"/>
          <w:sz w:val="24"/>
          <w:szCs w:val="21"/>
          <w:highlight w:val="none"/>
          <w:lang w:bidi="zh-CN"/>
        </w:rPr>
        <w:t>：</w:t>
      </w:r>
      <w:r>
        <w:rPr>
          <w:rFonts w:hint="eastAsia" w:ascii="宋体" w:hAnsi="宋体" w:cs="宋体"/>
          <w:color w:val="auto"/>
          <w:kern w:val="2"/>
          <w:sz w:val="24"/>
          <w:szCs w:val="21"/>
          <w:highlight w:val="none"/>
          <w:lang w:val="en-US" w:bidi="zh-CN"/>
        </w:rPr>
        <w:t>126.1</w:t>
      </w:r>
      <w:r>
        <w:rPr>
          <w:rFonts w:hint="eastAsia" w:ascii="宋体" w:hAnsi="宋体" w:eastAsia="宋体" w:cs="宋体"/>
          <w:color w:val="auto"/>
          <w:kern w:val="2"/>
          <w:sz w:val="24"/>
          <w:szCs w:val="21"/>
          <w:highlight w:val="none"/>
          <w:lang w:val="en-US" w:bidi="zh-CN"/>
        </w:rPr>
        <w:t>万元</w:t>
      </w:r>
    </w:p>
    <w:p w14:paraId="72190097">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val="en-US" w:eastAsia="zh-CN" w:bidi="zh-CN"/>
        </w:rPr>
      </w:pPr>
      <w:r>
        <w:rPr>
          <w:rFonts w:hint="eastAsia" w:ascii="宋体" w:hAnsi="宋体" w:cs="宋体"/>
          <w:color w:val="auto"/>
          <w:kern w:val="2"/>
          <w:sz w:val="24"/>
          <w:szCs w:val="21"/>
          <w:highlight w:val="none"/>
          <w:lang w:val="en-US" w:bidi="zh-CN"/>
        </w:rPr>
        <w:t>1.3</w:t>
      </w:r>
      <w:r>
        <w:rPr>
          <w:rFonts w:hint="eastAsia" w:cs="仿宋"/>
          <w:color w:val="auto"/>
          <w:sz w:val="24"/>
          <w:highlight w:val="none"/>
        </w:rPr>
        <w:t>最高限</w:t>
      </w:r>
      <w:r>
        <w:rPr>
          <w:rFonts w:hint="eastAsia" w:ascii="宋体" w:hAnsi="宋体" w:eastAsia="宋体" w:cs="宋体"/>
          <w:color w:val="auto"/>
          <w:kern w:val="2"/>
          <w:sz w:val="24"/>
          <w:szCs w:val="21"/>
          <w:highlight w:val="none"/>
          <w:lang w:bidi="zh-CN"/>
        </w:rPr>
        <w:t>价</w:t>
      </w:r>
      <w:r>
        <w:rPr>
          <w:rFonts w:hint="eastAsia" w:ascii="宋体" w:hAnsi="宋体" w:eastAsia="宋体" w:cs="宋体"/>
          <w:color w:val="auto"/>
          <w:kern w:val="2"/>
          <w:sz w:val="24"/>
          <w:szCs w:val="21"/>
          <w:highlight w:val="none"/>
          <w:lang w:eastAsia="zh-CN" w:bidi="zh-CN"/>
        </w:rPr>
        <w:t>：</w:t>
      </w:r>
      <w:r>
        <w:rPr>
          <w:rFonts w:hint="eastAsia" w:ascii="宋体" w:hAnsi="宋体" w:eastAsia="宋体" w:cs="宋体"/>
          <w:color w:val="auto"/>
          <w:kern w:val="2"/>
          <w:sz w:val="24"/>
          <w:szCs w:val="21"/>
          <w:highlight w:val="none"/>
          <w:lang w:val="en-US" w:eastAsia="zh-CN" w:bidi="zh-CN"/>
        </w:rPr>
        <w:t>1258444.04元</w:t>
      </w:r>
    </w:p>
    <w:p w14:paraId="5EBEEA01">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bookmarkStart w:id="13" w:name="OLE_LINK24"/>
      <w:r>
        <w:rPr>
          <w:rFonts w:hint="eastAsia" w:ascii="宋体" w:hAnsi="宋体" w:cs="宋体"/>
          <w:color w:val="auto"/>
          <w:kern w:val="2"/>
          <w:sz w:val="24"/>
          <w:szCs w:val="21"/>
          <w:highlight w:val="none"/>
          <w:lang w:val="en-US" w:bidi="zh-CN"/>
        </w:rPr>
        <w:t>1.</w:t>
      </w:r>
      <w:bookmarkStart w:id="14" w:name="OLE_LINK41"/>
      <w:bookmarkStart w:id="15" w:name="OLE_LINK17"/>
      <w:r>
        <w:rPr>
          <w:rFonts w:hint="eastAsia" w:ascii="宋体" w:hAnsi="宋体" w:cs="宋体"/>
          <w:color w:val="auto"/>
          <w:kern w:val="2"/>
          <w:sz w:val="24"/>
          <w:szCs w:val="21"/>
          <w:highlight w:val="none"/>
          <w:lang w:val="en-US" w:bidi="zh-CN"/>
        </w:rPr>
        <w:t>4</w:t>
      </w:r>
      <w:r>
        <w:rPr>
          <w:rFonts w:hint="eastAsia" w:ascii="宋体" w:hAnsi="宋体" w:eastAsia="宋体" w:cs="宋体"/>
          <w:color w:val="auto"/>
          <w:kern w:val="2"/>
          <w:sz w:val="24"/>
          <w:szCs w:val="21"/>
          <w:highlight w:val="none"/>
          <w:lang w:bidi="zh-CN"/>
        </w:rPr>
        <w:t>建设</w:t>
      </w:r>
      <w:r>
        <w:rPr>
          <w:rFonts w:hint="eastAsia" w:ascii="宋体" w:hAnsi="宋体" w:eastAsia="宋体" w:cs="宋体"/>
          <w:color w:val="auto"/>
          <w:kern w:val="2"/>
          <w:sz w:val="24"/>
          <w:szCs w:val="21"/>
          <w:highlight w:val="none"/>
          <w:lang w:eastAsia="zh-CN" w:bidi="zh-CN"/>
        </w:rPr>
        <w:t>内容</w:t>
      </w:r>
      <w:r>
        <w:rPr>
          <w:rFonts w:hint="eastAsia" w:ascii="宋体" w:hAnsi="宋体" w:eastAsia="宋体" w:cs="宋体"/>
          <w:color w:val="auto"/>
          <w:kern w:val="2"/>
          <w:sz w:val="24"/>
          <w:szCs w:val="21"/>
          <w:highlight w:val="none"/>
          <w:lang w:bidi="zh-CN"/>
        </w:rPr>
        <w:t>：</w:t>
      </w:r>
      <w:r>
        <w:rPr>
          <w:rFonts w:hint="eastAsia" w:ascii="宋体" w:hAnsi="宋体" w:cs="宋体"/>
          <w:b w:val="0"/>
          <w:bCs w:val="0"/>
          <w:color w:val="auto"/>
          <w:sz w:val="24"/>
          <w:szCs w:val="24"/>
          <w:highlight w:val="none"/>
          <w:lang w:val="en-US" w:eastAsia="zh-CN"/>
        </w:rPr>
        <w:t xml:space="preserve">（一）闪桥村易地扶贫搬迁安置点 1.供水设施工程：修缮现有 5 立方米砖砌取水池 1 座； 2.晾晒场地工程：在安置户前院硬化晾晒场地，面积合计 1000 </w:t>
      </w:r>
    </w:p>
    <w:p w14:paraId="41FC0A98">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平方米； 3.道路硬化工程：硬化连接安置点和农业种植区的 100 平方米 </w:t>
      </w:r>
    </w:p>
    <w:p w14:paraId="0C6CFC0D">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土石路硬化； 4.排污工程：新建 20 米污水管（直径 30 公分波纹管），提 </w:t>
      </w:r>
    </w:p>
    <w:p w14:paraId="47E78420">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升污水排放能力； 5.安全防护工程：安装 30 米道路安全防护设施； 6.照明工程：新建 10 盏 6 米高照明路灯，维修更换 10 盏现有照明路灯。 </w:t>
      </w:r>
    </w:p>
    <w:p w14:paraId="4D2EBFB2">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（二）桥边易地扶贫搬迁安置点 1.供水工程：修缮现有 5 立方米砖砌取水池 1 座，新增埋设PE50 给水管 400 米； 2.农机场地工程：结合安置户农业生产需求在安置户山墙两侧新建农机摆放场地，兼顾停车需求，面积合计 3675.9 平方米； 3.道路硬化工程：硬化安置点入口处破损严重路面，面积 167.9 平方米；4.晾晒场地工程：在安置户前院新建晾晒场地，面积合计 1100 平方米；配套安装 100 米路沿石； 5.安全防护工程：维修桥两侧安全防护设施 75.5 米；新安装镀锌钢管防护设施 90 米；河边、护堤处完成 75 立方米零星砖砌体防护设施施工； 6.排污工程：更换 60 个破损污水井盖；新建 20 立方米污水池 1 座；安装 380 米 DN100 镀锌管；配备 1 套污水自动抽水系统（含两套水泵，一备一用）； </w:t>
      </w:r>
    </w:p>
    <w:p w14:paraId="4933FDBE">
      <w:pPr>
        <w:widowControl w:val="0"/>
        <w:adjustRightInd w:val="0"/>
        <w:snapToGrid w:val="0"/>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cs="宋体"/>
          <w:b w:val="0"/>
          <w:bCs w:val="0"/>
          <w:color w:val="auto"/>
          <w:sz w:val="24"/>
          <w:szCs w:val="24"/>
          <w:highlight w:val="none"/>
          <w:lang w:val="en-US" w:eastAsia="zh-CN"/>
        </w:rPr>
        <w:t>7.照明工程：新建 20 盏 6 米高照明路灯； 8.土方工程：上述各项工程产生的废弃土方外运 750 立方米</w:t>
      </w:r>
      <w:r>
        <w:rPr>
          <w:rFonts w:hint="eastAsia" w:ascii="宋体" w:hAnsi="宋体" w:cs="宋体"/>
          <w:color w:val="auto"/>
          <w:kern w:val="2"/>
          <w:sz w:val="24"/>
          <w:szCs w:val="21"/>
          <w:highlight w:val="none"/>
          <w:lang w:bidi="zh-CN"/>
        </w:rPr>
        <w:t>（</w:t>
      </w:r>
      <w:r>
        <w:rPr>
          <w:rFonts w:hint="eastAsia" w:ascii="宋体" w:hAnsi="宋体" w:cs="宋体"/>
          <w:color w:val="auto"/>
          <w:kern w:val="2"/>
          <w:sz w:val="24"/>
          <w:szCs w:val="21"/>
          <w:highlight w:val="none"/>
          <w:lang w:val="en-US" w:bidi="zh-CN"/>
        </w:rPr>
        <w:t>具体内容详见工程量清单以及图纸要求</w:t>
      </w:r>
      <w:r>
        <w:rPr>
          <w:rFonts w:hint="eastAsia" w:ascii="宋体" w:hAnsi="宋体" w:cs="宋体"/>
          <w:color w:val="auto"/>
          <w:kern w:val="2"/>
          <w:sz w:val="24"/>
          <w:szCs w:val="21"/>
          <w:highlight w:val="none"/>
          <w:lang w:bidi="zh-CN"/>
        </w:rPr>
        <w:t>）</w:t>
      </w:r>
    </w:p>
    <w:bookmarkEnd w:id="14"/>
    <w:p w14:paraId="604DE219">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val="en-US" w:eastAsia="zh-CN" w:bidi="zh-CN"/>
        </w:rPr>
      </w:pPr>
      <w:r>
        <w:rPr>
          <w:rFonts w:hint="eastAsia" w:ascii="宋体" w:hAnsi="宋体" w:cs="宋体"/>
          <w:color w:val="auto"/>
          <w:kern w:val="2"/>
          <w:sz w:val="24"/>
          <w:szCs w:val="21"/>
          <w:highlight w:val="none"/>
          <w:lang w:val="en-US" w:bidi="zh-CN"/>
        </w:rPr>
        <w:t>1.5</w:t>
      </w:r>
      <w:r>
        <w:rPr>
          <w:rFonts w:hint="eastAsia" w:ascii="宋体" w:hAnsi="宋体" w:eastAsia="宋体" w:cs="宋体"/>
          <w:color w:val="auto"/>
          <w:kern w:val="2"/>
          <w:sz w:val="24"/>
          <w:szCs w:val="21"/>
          <w:highlight w:val="none"/>
          <w:lang w:val="en-US" w:bidi="zh-CN"/>
        </w:rPr>
        <w:t>质量</w:t>
      </w:r>
      <w:r>
        <w:rPr>
          <w:rFonts w:hint="eastAsia" w:ascii="宋体" w:hAnsi="宋体" w:eastAsia="宋体" w:cs="宋体"/>
          <w:color w:val="auto"/>
          <w:sz w:val="24"/>
          <w:szCs w:val="24"/>
          <w:highlight w:val="none"/>
        </w:rPr>
        <w:t>要求：</w:t>
      </w:r>
      <w:bookmarkStart w:id="16" w:name="OLE_LINK36"/>
      <w:r>
        <w:rPr>
          <w:rFonts w:hint="eastAsia" w:ascii="宋体" w:hAnsi="宋体" w:eastAsia="宋体" w:cs="宋体"/>
          <w:color w:val="auto"/>
          <w:sz w:val="24"/>
          <w:szCs w:val="24"/>
          <w:highlight w:val="none"/>
        </w:rPr>
        <w:t>符合国家、行业及地方现行的相关标准及规范，并</w:t>
      </w:r>
      <w:r>
        <w:rPr>
          <w:rFonts w:hint="eastAsia" w:ascii="宋体" w:hAnsi="宋体" w:eastAsia="宋体" w:cs="宋体"/>
          <w:color w:val="auto"/>
          <w:sz w:val="24"/>
          <w:szCs w:val="24"/>
          <w:highlight w:val="none"/>
          <w:lang w:val="en-US" w:eastAsia="zh-CN"/>
        </w:rPr>
        <w:t>一次性验收合格。</w:t>
      </w:r>
      <w:bookmarkEnd w:id="16"/>
    </w:p>
    <w:bookmarkEnd w:id="15"/>
    <w:p w14:paraId="617CC3CF">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bidi="zh-CN"/>
        </w:rPr>
      </w:pPr>
      <w:r>
        <w:rPr>
          <w:rFonts w:hint="eastAsia" w:ascii="宋体" w:hAnsi="宋体" w:cs="宋体"/>
          <w:color w:val="auto"/>
          <w:kern w:val="2"/>
          <w:sz w:val="24"/>
          <w:szCs w:val="21"/>
          <w:highlight w:val="none"/>
          <w:lang w:val="en-US" w:bidi="zh-CN"/>
        </w:rPr>
        <w:t>1.6</w:t>
      </w:r>
      <w:r>
        <w:rPr>
          <w:rFonts w:hint="eastAsia" w:ascii="宋体" w:hAnsi="宋体" w:eastAsia="宋体" w:cs="宋体"/>
          <w:color w:val="auto"/>
          <w:kern w:val="2"/>
          <w:sz w:val="24"/>
          <w:szCs w:val="21"/>
          <w:highlight w:val="none"/>
          <w:lang w:val="en-US" w:bidi="zh-CN"/>
        </w:rPr>
        <w:t>计划工期</w:t>
      </w:r>
      <w:r>
        <w:rPr>
          <w:rFonts w:hint="eastAsia" w:ascii="宋体" w:hAnsi="宋体" w:eastAsia="宋体" w:cs="宋体"/>
          <w:color w:val="auto"/>
          <w:kern w:val="2"/>
          <w:sz w:val="24"/>
          <w:szCs w:val="21"/>
          <w:highlight w:val="none"/>
          <w:lang w:bidi="zh-CN"/>
        </w:rPr>
        <w:t>：</w:t>
      </w:r>
      <w:bookmarkStart w:id="17" w:name="OLE_LINK10"/>
      <w:bookmarkStart w:id="18" w:name="OLE_LINK18"/>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rPr>
        <w:t>日历天</w:t>
      </w:r>
      <w:r>
        <w:rPr>
          <w:rFonts w:hint="eastAsia" w:ascii="宋体" w:hAnsi="宋体" w:eastAsia="宋体" w:cs="宋体"/>
          <w:color w:val="auto"/>
          <w:kern w:val="2"/>
          <w:sz w:val="24"/>
          <w:szCs w:val="21"/>
          <w:highlight w:val="none"/>
          <w:lang w:bidi="zh-CN"/>
        </w:rPr>
        <w:t>。</w:t>
      </w:r>
      <w:bookmarkEnd w:id="17"/>
    </w:p>
    <w:bookmarkEnd w:id="18"/>
    <w:p w14:paraId="14A9B995">
      <w:pPr>
        <w:widowControl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项目实施</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鲁甸县新街镇闪桥村委会。</w:t>
      </w:r>
    </w:p>
    <w:bookmarkEnd w:id="10"/>
    <w:p w14:paraId="70FA5418">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bidi="zh-CN"/>
        </w:rPr>
      </w:pPr>
      <w:r>
        <w:rPr>
          <w:rFonts w:hint="eastAsia" w:ascii="宋体" w:hAnsi="宋体" w:cs="宋体"/>
          <w:color w:val="auto"/>
          <w:kern w:val="2"/>
          <w:sz w:val="24"/>
          <w:szCs w:val="21"/>
          <w:highlight w:val="none"/>
          <w:lang w:val="en-US" w:bidi="zh-CN"/>
        </w:rPr>
        <w:t>1.8</w:t>
      </w:r>
      <w:r>
        <w:rPr>
          <w:rFonts w:hint="eastAsia" w:ascii="宋体" w:hAnsi="宋体" w:eastAsia="宋体" w:cs="宋体"/>
          <w:color w:val="auto"/>
          <w:kern w:val="2"/>
          <w:sz w:val="24"/>
          <w:szCs w:val="21"/>
          <w:highlight w:val="none"/>
          <w:lang w:bidi="zh-CN"/>
        </w:rPr>
        <w:t>招标方式</w:t>
      </w:r>
      <w:r>
        <w:rPr>
          <w:rFonts w:hint="eastAsia" w:ascii="宋体" w:hAnsi="宋体" w:cs="宋体"/>
          <w:color w:val="auto"/>
          <w:kern w:val="2"/>
          <w:sz w:val="24"/>
          <w:szCs w:val="21"/>
          <w:highlight w:val="none"/>
          <w:lang w:bidi="zh-CN"/>
        </w:rPr>
        <w:t>：</w:t>
      </w:r>
      <w:r>
        <w:rPr>
          <w:rFonts w:hint="eastAsia" w:ascii="宋体" w:hAnsi="宋体" w:eastAsia="宋体" w:cs="宋体"/>
          <w:color w:val="auto"/>
          <w:kern w:val="2"/>
          <w:sz w:val="24"/>
          <w:szCs w:val="21"/>
          <w:highlight w:val="none"/>
          <w:lang w:bidi="zh-CN"/>
        </w:rPr>
        <w:t xml:space="preserve"> 竞争性磋商；</w:t>
      </w:r>
    </w:p>
    <w:bookmarkEnd w:id="11"/>
    <w:bookmarkEnd w:id="13"/>
    <w:p w14:paraId="0E00F68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outlineLvl w:val="1"/>
        <w:rPr>
          <w:rFonts w:hint="eastAsia" w:ascii="宋体" w:hAnsi="宋体" w:eastAsia="宋体" w:cs="宋体"/>
          <w:b/>
          <w:bCs/>
          <w:color w:val="auto"/>
          <w:spacing w:val="12"/>
          <w:sz w:val="24"/>
          <w:szCs w:val="24"/>
          <w:highlight w:val="none"/>
        </w:rPr>
      </w:pPr>
      <w:bookmarkStart w:id="19" w:name="_Toc6243"/>
      <w:bookmarkStart w:id="20" w:name="_Toc30723"/>
      <w:bookmarkStart w:id="21" w:name="_Toc27653"/>
      <w:bookmarkStart w:id="22" w:name="_Toc703"/>
      <w:bookmarkStart w:id="23" w:name="_Toc8704"/>
      <w:r>
        <w:rPr>
          <w:rFonts w:hint="eastAsia" w:ascii="宋体" w:hAnsi="宋体" w:eastAsia="宋体" w:cs="宋体"/>
          <w:b/>
          <w:bCs/>
          <w:color w:val="auto"/>
          <w:spacing w:val="12"/>
          <w:sz w:val="24"/>
          <w:szCs w:val="24"/>
          <w:highlight w:val="none"/>
        </w:rPr>
        <w:t>二</w:t>
      </w:r>
      <w:r>
        <w:rPr>
          <w:rFonts w:hint="eastAsia" w:ascii="宋体" w:hAnsi="宋体" w:eastAsia="宋体" w:cs="宋体"/>
          <w:b/>
          <w:bCs/>
          <w:color w:val="auto"/>
          <w:spacing w:val="12"/>
          <w:sz w:val="24"/>
          <w:szCs w:val="24"/>
          <w:highlight w:val="none"/>
          <w:lang w:eastAsia="zh-CN"/>
        </w:rPr>
        <w:t>、</w:t>
      </w:r>
      <w:r>
        <w:rPr>
          <w:rFonts w:hint="eastAsia" w:ascii="宋体" w:hAnsi="宋体" w:eastAsia="宋体" w:cs="宋体"/>
          <w:b/>
          <w:bCs/>
          <w:color w:val="auto"/>
          <w:spacing w:val="12"/>
          <w:sz w:val="24"/>
          <w:szCs w:val="24"/>
          <w:highlight w:val="none"/>
        </w:rPr>
        <w:t>供应商应具备的资格要求</w:t>
      </w:r>
      <w:bookmarkEnd w:id="19"/>
      <w:bookmarkEnd w:id="20"/>
      <w:bookmarkEnd w:id="21"/>
      <w:bookmarkEnd w:id="22"/>
      <w:bookmarkEnd w:id="23"/>
    </w:p>
    <w:p w14:paraId="7F5D58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2.1满足《中华人民共和国政府采购法》第二十二条规定： </w:t>
      </w:r>
    </w:p>
    <w:p w14:paraId="5A5FFC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r>
        <w:rPr>
          <w:rFonts w:hint="eastAsia" w:ascii="宋体" w:hAnsi="宋体" w:eastAsia="宋体" w:cs="宋体"/>
          <w:color w:val="auto"/>
          <w:sz w:val="24"/>
          <w:szCs w:val="24"/>
          <w:highlight w:val="none"/>
          <w:lang w:eastAsia="zh-CN"/>
        </w:rPr>
        <w:t>；</w:t>
      </w:r>
    </w:p>
    <w:p w14:paraId="3A85073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r>
        <w:rPr>
          <w:rFonts w:hint="eastAsia" w:ascii="宋体" w:hAnsi="宋体" w:eastAsia="宋体" w:cs="宋体"/>
          <w:color w:val="auto"/>
          <w:sz w:val="24"/>
          <w:szCs w:val="24"/>
          <w:highlight w:val="none"/>
          <w:lang w:eastAsia="zh-CN"/>
        </w:rPr>
        <w:t>；</w:t>
      </w:r>
    </w:p>
    <w:p w14:paraId="1AA8D6C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r>
        <w:rPr>
          <w:rFonts w:hint="eastAsia" w:ascii="宋体" w:hAnsi="宋体" w:eastAsia="宋体" w:cs="宋体"/>
          <w:color w:val="auto"/>
          <w:sz w:val="24"/>
          <w:szCs w:val="24"/>
          <w:highlight w:val="none"/>
          <w:lang w:eastAsia="zh-CN"/>
        </w:rPr>
        <w:t>；</w:t>
      </w:r>
    </w:p>
    <w:p w14:paraId="388387E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r>
        <w:rPr>
          <w:rFonts w:hint="eastAsia" w:ascii="宋体" w:hAnsi="宋体" w:eastAsia="宋体" w:cs="宋体"/>
          <w:color w:val="auto"/>
          <w:sz w:val="24"/>
          <w:szCs w:val="24"/>
          <w:highlight w:val="none"/>
          <w:lang w:eastAsia="zh-CN"/>
        </w:rPr>
        <w:t>；</w:t>
      </w:r>
    </w:p>
    <w:p w14:paraId="34FF77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参加政府采购活动前三年内，在经营活动中没有重大违法记录</w:t>
      </w:r>
      <w:r>
        <w:rPr>
          <w:rFonts w:hint="eastAsia" w:ascii="宋体" w:hAnsi="宋体" w:eastAsia="宋体" w:cs="宋体"/>
          <w:color w:val="auto"/>
          <w:sz w:val="24"/>
          <w:szCs w:val="24"/>
          <w:highlight w:val="none"/>
          <w:lang w:eastAsia="zh-CN"/>
        </w:rPr>
        <w:t>；</w:t>
      </w:r>
    </w:p>
    <w:p w14:paraId="231483F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585F5E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2.2落实政府采购政策需满足的资格要求：</w:t>
      </w:r>
    </w:p>
    <w:p w14:paraId="73CAF47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1 中小企业政策</w:t>
      </w:r>
    </w:p>
    <w:p w14:paraId="6DAB0B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本项目不专门面向中小企业预留采购份额。</w:t>
      </w:r>
    </w:p>
    <w:p w14:paraId="47B9CF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 xml:space="preserve">本项目专门面向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中小 □小微企业采购。即：工程由符合政策要求的中小/小微企业承建。</w:t>
      </w:r>
      <w:r>
        <w:rPr>
          <w:rFonts w:hint="eastAsia" w:cs="仿宋"/>
          <w:b/>
          <w:bCs/>
          <w:color w:val="auto"/>
          <w:sz w:val="24"/>
          <w:highlight w:val="none"/>
        </w:rPr>
        <w:t>本项目专门面向中小微企业采购</w:t>
      </w:r>
      <w:r>
        <w:rPr>
          <w:rFonts w:hint="eastAsia" w:cs="仿宋"/>
          <w:b/>
          <w:bCs/>
          <w:color w:val="auto"/>
          <w:sz w:val="24"/>
          <w:highlight w:val="none"/>
          <w:lang w:eastAsia="zh-CN"/>
        </w:rPr>
        <w:t>，</w:t>
      </w:r>
      <w:r>
        <w:rPr>
          <w:rFonts w:hint="eastAsia"/>
          <w:b/>
          <w:bCs/>
          <w:color w:val="auto"/>
          <w:sz w:val="24"/>
          <w:highlight w:val="none"/>
        </w:rPr>
        <w:t>不再执行价格扣除政策</w:t>
      </w:r>
      <w:r>
        <w:rPr>
          <w:rFonts w:hint="eastAsia" w:cs="仿宋"/>
          <w:b/>
          <w:bCs/>
          <w:color w:val="auto"/>
          <w:sz w:val="24"/>
          <w:highlight w:val="none"/>
        </w:rPr>
        <w:t>。</w:t>
      </w:r>
      <w:r>
        <w:rPr>
          <w:rFonts w:hint="eastAsia" w:cs="仿宋"/>
          <w:color w:val="auto"/>
          <w:sz w:val="24"/>
          <w:highlight w:val="none"/>
        </w:rPr>
        <w:t>根据《政府采购促进中小企业发展管理办法》的通知财库〔2020〕46号；《关于政府采购支持监狱企业发展有关问题的通知》（财库[2014]68号）；《关于促进残疾人就业政府采购政策的通知》（财库[2017]141号），供应商为中小企业、监狱企业、残疾人福利性单位的享受上述政策参与本项目磋商</w:t>
      </w:r>
      <w:r>
        <w:rPr>
          <w:rFonts w:hint="eastAsia" w:ascii="宋体" w:hAnsi="宋体" w:eastAsia="宋体" w:cs="宋体"/>
          <w:color w:val="auto"/>
          <w:kern w:val="2"/>
          <w:sz w:val="24"/>
          <w:szCs w:val="21"/>
          <w:highlight w:val="none"/>
          <w:lang w:bidi="zh-CN"/>
        </w:rPr>
        <w:t>。</w:t>
      </w:r>
    </w:p>
    <w:p w14:paraId="1677F48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4" w:firstLineChars="200"/>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pacing w:val="6"/>
          <w:sz w:val="24"/>
          <w:szCs w:val="24"/>
          <w:highlight w:val="none"/>
          <w:lang w:val="en-US" w:eastAsia="zh-CN"/>
        </w:rPr>
        <w:t>2.3</w:t>
      </w:r>
      <w:r>
        <w:rPr>
          <w:rFonts w:hint="eastAsia" w:ascii="宋体" w:hAnsi="宋体" w:eastAsia="宋体" w:cs="宋体"/>
          <w:color w:val="auto"/>
          <w:spacing w:val="6"/>
          <w:sz w:val="24"/>
          <w:szCs w:val="24"/>
          <w:highlight w:val="none"/>
        </w:rPr>
        <w:t>供应商应具备经国家工商行政管理部门登记注册的独立企业</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事业</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法人资</w:t>
      </w:r>
      <w:r>
        <w:rPr>
          <w:rFonts w:hint="eastAsia" w:ascii="宋体" w:hAnsi="宋体" w:eastAsia="宋体" w:cs="宋体"/>
          <w:color w:val="auto"/>
          <w:spacing w:val="5"/>
          <w:sz w:val="24"/>
          <w:szCs w:val="24"/>
          <w:highlight w:val="none"/>
        </w:rPr>
        <w:t>格</w:t>
      </w:r>
      <w:r>
        <w:rPr>
          <w:rFonts w:hint="eastAsia" w:ascii="宋体" w:hAnsi="宋体" w:eastAsia="宋体" w:cs="宋体"/>
          <w:color w:val="auto"/>
          <w:sz w:val="24"/>
          <w:szCs w:val="24"/>
          <w:highlight w:val="none"/>
        </w:rPr>
        <w:t>，</w:t>
      </w:r>
      <w:r>
        <w:rPr>
          <w:rFonts w:hint="eastAsia" w:ascii="宋体" w:hAnsi="宋体" w:eastAsia="宋体" w:cs="宋体"/>
          <w:color w:val="auto"/>
          <w:spacing w:val="17"/>
          <w:sz w:val="24"/>
          <w:szCs w:val="24"/>
          <w:highlight w:val="none"/>
        </w:rPr>
        <w:t>具</w:t>
      </w:r>
      <w:r>
        <w:rPr>
          <w:rFonts w:hint="eastAsia" w:ascii="宋体" w:hAnsi="宋体" w:eastAsia="宋体" w:cs="宋体"/>
          <w:color w:val="auto"/>
          <w:spacing w:val="9"/>
          <w:sz w:val="24"/>
          <w:szCs w:val="24"/>
          <w:highlight w:val="none"/>
        </w:rPr>
        <w:t>备有效的营业执照或事业单位法人证书</w:t>
      </w:r>
      <w:r>
        <w:rPr>
          <w:rFonts w:hint="eastAsia" w:ascii="宋体" w:hAnsi="宋体" w:eastAsia="宋体" w:cs="宋体"/>
          <w:color w:val="auto"/>
          <w:spacing w:val="9"/>
          <w:sz w:val="24"/>
          <w:szCs w:val="24"/>
          <w:highlight w:val="none"/>
          <w:lang w:val="en-US" w:eastAsia="zh-CN"/>
        </w:rPr>
        <w:t>或其他组织证明材料</w:t>
      </w:r>
      <w:r>
        <w:rPr>
          <w:rFonts w:hint="eastAsia" w:ascii="宋体" w:hAnsi="宋体" w:eastAsia="宋体" w:cs="宋体"/>
          <w:color w:val="auto"/>
          <w:spacing w:val="9"/>
          <w:sz w:val="24"/>
          <w:szCs w:val="24"/>
          <w:highlight w:val="none"/>
        </w:rPr>
        <w:t>。</w:t>
      </w:r>
    </w:p>
    <w:p w14:paraId="1E55473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cs="宋体"/>
          <w:color w:val="auto"/>
          <w:spacing w:val="9"/>
          <w:sz w:val="24"/>
          <w:szCs w:val="24"/>
          <w:highlight w:val="none"/>
          <w:lang w:eastAsia="zh-CN"/>
        </w:rPr>
      </w:pPr>
      <w:r>
        <w:rPr>
          <w:rFonts w:hint="eastAsia" w:ascii="宋体" w:hAnsi="宋体" w:cs="宋体"/>
          <w:color w:val="auto"/>
          <w:spacing w:val="9"/>
          <w:sz w:val="24"/>
          <w:szCs w:val="24"/>
          <w:highlight w:val="none"/>
          <w:lang w:val="en-US" w:eastAsia="zh-CN"/>
        </w:rPr>
        <w:t>2.4</w:t>
      </w:r>
      <w:r>
        <w:rPr>
          <w:rFonts w:hint="eastAsia" w:ascii="宋体" w:hAnsi="宋体" w:eastAsia="宋体" w:cs="宋体"/>
          <w:color w:val="auto"/>
          <w:spacing w:val="9"/>
          <w:sz w:val="24"/>
          <w:szCs w:val="24"/>
          <w:highlight w:val="none"/>
        </w:rPr>
        <w:t>本项目的特定资格要求</w:t>
      </w:r>
      <w:r>
        <w:rPr>
          <w:rFonts w:hint="eastAsia" w:ascii="宋体" w:hAnsi="宋体" w:cs="宋体"/>
          <w:color w:val="auto"/>
          <w:spacing w:val="9"/>
          <w:sz w:val="24"/>
          <w:szCs w:val="24"/>
          <w:highlight w:val="none"/>
          <w:lang w:eastAsia="zh-CN"/>
        </w:rPr>
        <w:t>：</w:t>
      </w:r>
    </w:p>
    <w:p w14:paraId="47E01533">
      <w:pPr>
        <w:kinsoku w:val="0"/>
        <w:autoSpaceDE w:val="0"/>
        <w:autoSpaceDN w:val="0"/>
        <w:adjustRightInd w:val="0"/>
        <w:snapToGrid w:val="0"/>
        <w:spacing w:line="360" w:lineRule="auto"/>
        <w:ind w:firstLine="480" w:firstLineChars="200"/>
        <w:textAlignment w:val="baseline"/>
        <w:rPr>
          <w:rFonts w:hint="eastAsia" w:ascii="宋体" w:hAnsi="宋体" w:cs="宋体"/>
          <w:color w:val="auto"/>
          <w:spacing w:val="6"/>
          <w:sz w:val="24"/>
          <w:szCs w:val="24"/>
          <w:highlight w:val="none"/>
        </w:rPr>
      </w:pPr>
      <w:r>
        <w:rPr>
          <w:rFonts w:hint="eastAsia" w:ascii="宋体" w:hAnsi="宋体" w:cs="宋体"/>
          <w:color w:val="auto"/>
          <w:kern w:val="2"/>
          <w:sz w:val="24"/>
          <w:szCs w:val="21"/>
          <w:highlight w:val="none"/>
          <w:lang w:val="en-US" w:bidi="zh-CN"/>
        </w:rPr>
        <w:t>2.4.1供应商</w:t>
      </w:r>
      <w:r>
        <w:rPr>
          <w:rFonts w:hint="eastAsia" w:ascii="宋体" w:hAnsi="宋体" w:cs="宋体"/>
          <w:color w:val="auto"/>
          <w:kern w:val="2"/>
          <w:sz w:val="24"/>
          <w:szCs w:val="21"/>
          <w:highlight w:val="none"/>
          <w:lang w:bidi="zh-CN"/>
        </w:rPr>
        <w:t>须具有建设行政主管部门颁发的</w:t>
      </w:r>
      <w:r>
        <w:rPr>
          <w:rFonts w:hint="eastAsia" w:ascii="宋体" w:hAnsi="宋体" w:cs="宋体"/>
          <w:color w:val="auto"/>
          <w:kern w:val="2"/>
          <w:sz w:val="24"/>
          <w:szCs w:val="21"/>
          <w:highlight w:val="none"/>
          <w:lang w:val="en-US" w:bidi="zh-CN"/>
        </w:rPr>
        <w:t>公路工程或水利水电工程或市政公用工程</w:t>
      </w:r>
      <w:r>
        <w:rPr>
          <w:rFonts w:hint="eastAsia" w:ascii="宋体" w:hAnsi="宋体" w:cs="宋体"/>
          <w:color w:val="auto"/>
          <w:kern w:val="2"/>
          <w:sz w:val="24"/>
          <w:szCs w:val="21"/>
          <w:highlight w:val="none"/>
          <w:lang w:bidi="zh-CN"/>
        </w:rPr>
        <w:t>施工总承包</w:t>
      </w:r>
      <w:r>
        <w:rPr>
          <w:rFonts w:hint="eastAsia" w:ascii="宋体" w:hAnsi="宋体" w:cs="宋体"/>
          <w:color w:val="auto"/>
          <w:kern w:val="2"/>
          <w:sz w:val="24"/>
          <w:szCs w:val="21"/>
          <w:highlight w:val="none"/>
          <w:lang w:val="en-US" w:bidi="zh-CN"/>
        </w:rPr>
        <w:t>叁</w:t>
      </w:r>
      <w:r>
        <w:rPr>
          <w:rFonts w:hint="eastAsia" w:ascii="宋体" w:hAnsi="宋体" w:cs="宋体"/>
          <w:color w:val="auto"/>
          <w:kern w:val="2"/>
          <w:sz w:val="24"/>
          <w:szCs w:val="21"/>
          <w:highlight w:val="none"/>
          <w:lang w:bidi="zh-CN"/>
        </w:rPr>
        <w:t>级</w:t>
      </w:r>
      <w:r>
        <w:rPr>
          <w:rFonts w:hint="eastAsia" w:ascii="宋体" w:hAnsi="宋体" w:cs="宋体"/>
          <w:color w:val="auto"/>
          <w:kern w:val="2"/>
          <w:sz w:val="24"/>
          <w:szCs w:val="21"/>
          <w:highlight w:val="none"/>
          <w:lang w:val="en-US" w:bidi="zh-CN"/>
        </w:rPr>
        <w:t>总承包叁级</w:t>
      </w:r>
      <w:r>
        <w:rPr>
          <w:rFonts w:hint="eastAsia" w:ascii="宋体" w:hAnsi="宋体" w:cs="宋体"/>
          <w:color w:val="auto"/>
          <w:kern w:val="2"/>
          <w:sz w:val="24"/>
          <w:szCs w:val="21"/>
          <w:highlight w:val="none"/>
          <w:lang w:bidi="zh-CN"/>
        </w:rPr>
        <w:t>及以上（</w:t>
      </w:r>
      <w:r>
        <w:rPr>
          <w:rFonts w:hint="eastAsia" w:ascii="宋体" w:hAnsi="宋体" w:cs="宋体"/>
          <w:color w:val="auto"/>
          <w:kern w:val="2"/>
          <w:sz w:val="24"/>
          <w:szCs w:val="21"/>
          <w:highlight w:val="none"/>
          <w:lang w:val="en-US" w:bidi="zh-CN"/>
        </w:rPr>
        <w:t>含叁级</w:t>
      </w:r>
      <w:r>
        <w:rPr>
          <w:rFonts w:hint="eastAsia" w:ascii="宋体" w:hAnsi="宋体" w:cs="宋体"/>
          <w:color w:val="auto"/>
          <w:kern w:val="2"/>
          <w:sz w:val="24"/>
          <w:szCs w:val="21"/>
          <w:highlight w:val="none"/>
          <w:lang w:bidi="zh-CN"/>
        </w:rPr>
        <w:t>）资质，具有有效的企业安全生产许可证；</w:t>
      </w:r>
    </w:p>
    <w:p w14:paraId="0BFAA95B">
      <w:pPr>
        <w:kinsoku w:val="0"/>
        <w:autoSpaceDE w:val="0"/>
        <w:autoSpaceDN w:val="0"/>
        <w:adjustRightInd w:val="0"/>
        <w:snapToGrid w:val="0"/>
        <w:spacing w:line="360" w:lineRule="auto"/>
        <w:ind w:firstLine="504" w:firstLineChars="200"/>
        <w:textAlignment w:val="baseline"/>
        <w:rPr>
          <w:rFonts w:hint="eastAsia" w:ascii="宋体" w:hAnsi="宋体" w:cs="宋体"/>
          <w:color w:val="auto"/>
          <w:spacing w:val="9"/>
          <w:sz w:val="24"/>
          <w:szCs w:val="24"/>
          <w:highlight w:val="none"/>
          <w:lang w:eastAsia="zh-CN"/>
        </w:rPr>
      </w:pPr>
      <w:r>
        <w:rPr>
          <w:rFonts w:hint="eastAsia" w:ascii="宋体" w:hAnsi="宋体" w:cs="宋体"/>
          <w:color w:val="auto"/>
          <w:spacing w:val="6"/>
          <w:sz w:val="24"/>
          <w:szCs w:val="24"/>
          <w:highlight w:val="none"/>
          <w:lang w:val="en-US" w:eastAsia="zh-CN"/>
        </w:rPr>
        <w:t>2.4.2项目负责人</w:t>
      </w:r>
      <w:r>
        <w:rPr>
          <w:rFonts w:hint="eastAsia" w:ascii="宋体" w:hAnsi="宋体" w:eastAsia="宋体" w:cs="宋体"/>
          <w:color w:val="auto"/>
          <w:sz w:val="24"/>
          <w:highlight w:val="none"/>
        </w:rPr>
        <w:t>须具有</w:t>
      </w:r>
      <w:r>
        <w:rPr>
          <w:rFonts w:hint="eastAsia" w:ascii="宋体" w:hAnsi="宋体" w:cs="宋体"/>
          <w:color w:val="auto"/>
          <w:sz w:val="24"/>
          <w:highlight w:val="none"/>
          <w:lang w:val="en-US" w:eastAsia="zh-CN"/>
        </w:rPr>
        <w:t>公路</w:t>
      </w:r>
      <w:r>
        <w:rPr>
          <w:rFonts w:hint="eastAsia" w:ascii="宋体" w:hAnsi="宋体" w:eastAsia="宋体" w:cs="宋体"/>
          <w:color w:val="auto"/>
          <w:sz w:val="24"/>
          <w:highlight w:val="none"/>
        </w:rPr>
        <w:t>工程</w:t>
      </w:r>
      <w:r>
        <w:rPr>
          <w:rFonts w:hint="eastAsia" w:ascii="宋体" w:hAnsi="宋体" w:cs="宋体"/>
          <w:color w:val="auto"/>
          <w:sz w:val="24"/>
          <w:highlight w:val="none"/>
          <w:lang w:val="en-US" w:eastAsia="zh-CN"/>
        </w:rPr>
        <w:t>或水利水电工程或市政公用工程</w:t>
      </w:r>
      <w:r>
        <w:rPr>
          <w:rFonts w:hint="eastAsia" w:ascii="宋体" w:hAnsi="宋体" w:eastAsia="宋体" w:cs="宋体"/>
          <w:color w:val="auto"/>
          <w:sz w:val="24"/>
          <w:highlight w:val="none"/>
        </w:rPr>
        <w:t>专业二级注册建造师证书和有效的安全生产考核合格证书；并在本企业注册，且未担任其他在建工程项目的项目负责人</w:t>
      </w:r>
      <w:r>
        <w:rPr>
          <w:rFonts w:hint="eastAsia" w:ascii="宋体" w:hAnsi="宋体" w:cs="宋体"/>
          <w:color w:val="auto"/>
          <w:spacing w:val="6"/>
          <w:sz w:val="24"/>
          <w:szCs w:val="24"/>
          <w:highlight w:val="none"/>
        </w:rPr>
        <w:t>。</w:t>
      </w:r>
    </w:p>
    <w:p w14:paraId="482ABF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36" w:firstLineChars="200"/>
        <w:textAlignment w:val="baseline"/>
        <w:rPr>
          <w:rFonts w:hint="eastAsia" w:ascii="宋体" w:hAnsi="宋体" w:eastAsia="宋体" w:cs="宋体"/>
          <w:color w:val="auto"/>
          <w:spacing w:val="8"/>
          <w:sz w:val="24"/>
          <w:szCs w:val="24"/>
          <w:highlight w:val="none"/>
        </w:rPr>
      </w:pPr>
      <w:bookmarkStart w:id="24" w:name="_Toc16870"/>
      <w:r>
        <w:rPr>
          <w:rFonts w:hint="eastAsia" w:ascii="宋体" w:hAnsi="宋体" w:eastAsia="宋体" w:cs="宋体"/>
          <w:color w:val="auto"/>
          <w:spacing w:val="14"/>
          <w:sz w:val="24"/>
          <w:szCs w:val="24"/>
          <w:highlight w:val="none"/>
        </w:rPr>
        <w:t>2</w:t>
      </w:r>
      <w:r>
        <w:rPr>
          <w:rFonts w:hint="eastAsia" w:ascii="宋体" w:hAnsi="宋体" w:eastAsia="宋体" w:cs="宋体"/>
          <w:color w:val="auto"/>
          <w:spacing w:val="9"/>
          <w:sz w:val="24"/>
          <w:szCs w:val="24"/>
          <w:highlight w:val="none"/>
        </w:rPr>
        <w:t>.</w:t>
      </w:r>
      <w:bookmarkEnd w:id="24"/>
      <w:r>
        <w:rPr>
          <w:rFonts w:hint="eastAsia" w:ascii="宋体" w:hAnsi="宋体" w:cs="宋体"/>
          <w:color w:val="auto"/>
          <w:spacing w:val="9"/>
          <w:sz w:val="24"/>
          <w:szCs w:val="24"/>
          <w:highlight w:val="none"/>
          <w:lang w:val="en-US" w:eastAsia="zh-CN"/>
        </w:rPr>
        <w:t>5</w:t>
      </w:r>
      <w:r>
        <w:rPr>
          <w:rFonts w:hint="eastAsia" w:ascii="宋体" w:hAnsi="宋体" w:eastAsia="宋体" w:cs="宋体"/>
          <w:color w:val="auto"/>
          <w:sz w:val="24"/>
          <w:szCs w:val="24"/>
          <w:highlight w:val="none"/>
        </w:rPr>
        <w:t>信誉要求：</w:t>
      </w:r>
      <w:r>
        <w:rPr>
          <w:rFonts w:hint="eastAsia" w:ascii="宋体" w:hAnsi="宋体" w:eastAsia="宋体" w:cs="宋体"/>
          <w:color w:val="auto"/>
          <w:sz w:val="24"/>
          <w:szCs w:val="24"/>
          <w:highlight w:val="none"/>
          <w:lang w:val="zh-CN"/>
        </w:rPr>
        <w:t>供应商信用良好，未被列入失信被执行人、重大税收违法失信主体、经营异常名录、严重失信主体名单，政府采购严重违法失信行为记录名单，供应商须提供承诺函，最终以采购人及采购代理机构在开标时查询《信用中国》网站的结果为准</w:t>
      </w:r>
      <w:r>
        <w:rPr>
          <w:rFonts w:hint="eastAsia" w:ascii="宋体" w:hAnsi="宋体" w:eastAsia="宋体" w:cs="宋体"/>
          <w:color w:val="auto"/>
          <w:spacing w:val="8"/>
          <w:sz w:val="24"/>
          <w:szCs w:val="24"/>
          <w:highlight w:val="none"/>
        </w:rPr>
        <w:t>。</w:t>
      </w:r>
    </w:p>
    <w:p w14:paraId="43D83031">
      <w:pPr>
        <w:keepNext w:val="0"/>
        <w:keepLines w:val="0"/>
        <w:pageBreakBefore w:val="0"/>
        <w:kinsoku/>
        <w:wordWrap/>
        <w:overflowPunct/>
        <w:topLinePunct w:val="0"/>
        <w:bidi w:val="0"/>
        <w:adjustRightInd/>
        <w:snapToGrid/>
        <w:spacing w:line="360" w:lineRule="auto"/>
        <w:ind w:left="0" w:right="0" w:rightChars="0" w:firstLine="480" w:firstLineChars="200"/>
        <w:rPr>
          <w:rFonts w:hint="eastAsia" w:ascii="宋体" w:hAnsi="宋体" w:eastAsia="宋体" w:cs="宋体"/>
          <w:color w:val="auto"/>
          <w:sz w:val="24"/>
          <w:highlight w:val="none"/>
        </w:rPr>
      </w:pPr>
      <w:bookmarkStart w:id="25" w:name="_Toc18124"/>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供应商参加政府采购活动前三年内，在经营活动中没有重大违法记录（重大违法记录，是指供应商因违法经营受到刑事处罚或者责令停产停业、吊销许可证或者执照、较大数额罚款等行政处罚）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b/>
          <w:bCs/>
          <w:color w:val="auto"/>
          <w:kern w:val="2"/>
          <w:sz w:val="24"/>
          <w:szCs w:val="24"/>
          <w:highlight w:val="none"/>
          <w:lang w:val="en-US" w:eastAsia="zh-CN" w:bidi="ar-SA"/>
        </w:rPr>
        <w:t>（提供书面声明，原件加盖公章）</w:t>
      </w:r>
      <w:r>
        <w:rPr>
          <w:rFonts w:hint="eastAsia" w:ascii="宋体" w:hAnsi="宋体" w:eastAsia="宋体" w:cs="宋体"/>
          <w:color w:val="auto"/>
          <w:kern w:val="2"/>
          <w:sz w:val="24"/>
          <w:szCs w:val="24"/>
          <w:highlight w:val="none"/>
          <w:lang w:val="en-US" w:eastAsia="zh-CN" w:bidi="ar-SA"/>
        </w:rPr>
        <w:t>。</w:t>
      </w:r>
    </w:p>
    <w:p w14:paraId="764AF3E7">
      <w:p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本次招标</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不接受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联合体投标。</w:t>
      </w:r>
    </w:p>
    <w:p w14:paraId="2D363BAC">
      <w:pPr>
        <w:pStyle w:val="12"/>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，不得参加同一项目的政府采购活动。</w:t>
      </w:r>
    </w:p>
    <w:p w14:paraId="67DE18FE">
      <w:pPr>
        <w:pStyle w:val="13"/>
        <w:ind w:firstLine="480" w:firstLineChars="200"/>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2.9供应商应对所提交的企业证照、人员证书等证明材料的真实性、完整性、合法性负责（提供承诺函加盖公章）。</w:t>
      </w:r>
    </w:p>
    <w:p w14:paraId="7C18A40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1"/>
        <w:rPr>
          <w:rFonts w:hint="eastAsia" w:ascii="宋体" w:hAnsi="宋体" w:eastAsia="宋体" w:cs="宋体"/>
          <w:color w:val="auto"/>
          <w:highlight w:val="none"/>
        </w:rPr>
      </w:pPr>
      <w:bookmarkStart w:id="26" w:name="_Toc7734"/>
      <w:bookmarkStart w:id="27" w:name="_Toc22017"/>
      <w:bookmarkStart w:id="28" w:name="_Toc18237"/>
      <w:bookmarkStart w:id="29" w:name="_Toc20766"/>
      <w:bookmarkStart w:id="30" w:name="_Toc1376"/>
      <w:r>
        <w:rPr>
          <w:rFonts w:hint="eastAsia" w:ascii="宋体" w:hAnsi="宋体" w:eastAsia="宋体" w:cs="宋体"/>
          <w:b/>
          <w:bCs/>
          <w:color w:val="auto"/>
          <w:sz w:val="24"/>
          <w:szCs w:val="24"/>
          <w:highlight w:val="none"/>
        </w:rPr>
        <w:t>三、获取</w:t>
      </w:r>
      <w:r>
        <w:rPr>
          <w:rFonts w:hint="eastAsia" w:ascii="宋体" w:hAnsi="宋体" w:eastAsia="宋体" w:cs="宋体"/>
          <w:b/>
          <w:bCs/>
          <w:color w:val="auto"/>
          <w:sz w:val="24"/>
          <w:szCs w:val="24"/>
          <w:highlight w:val="none"/>
          <w:lang w:val="en-US" w:eastAsia="zh-CN"/>
        </w:rPr>
        <w:t>竞争性磋商</w:t>
      </w:r>
      <w:r>
        <w:rPr>
          <w:rFonts w:hint="eastAsia" w:ascii="宋体" w:hAnsi="宋体" w:eastAsia="宋体" w:cs="宋体"/>
          <w:b/>
          <w:bCs/>
          <w:color w:val="auto"/>
          <w:sz w:val="24"/>
          <w:szCs w:val="24"/>
          <w:highlight w:val="none"/>
        </w:rPr>
        <w:t>文件</w:t>
      </w:r>
      <w:bookmarkEnd w:id="26"/>
      <w:bookmarkEnd w:id="27"/>
      <w:bookmarkEnd w:id="28"/>
      <w:bookmarkEnd w:id="29"/>
      <w:bookmarkEnd w:id="30"/>
    </w:p>
    <w:bookmarkEnd w:id="25"/>
    <w:p w14:paraId="09CD4692">
      <w:pPr>
        <w:adjustRightInd w:val="0"/>
        <w:snapToGrid w:val="0"/>
        <w:spacing w:after="0" w:line="360" w:lineRule="auto"/>
        <w:ind w:firstLine="480" w:firstLineChars="200"/>
        <w:rPr>
          <w:rFonts w:hint="eastAsia" w:asciiTheme="majorEastAsia" w:hAnsiTheme="majorEastAsia" w:eastAsiaTheme="majorEastAsia" w:cstheme="majorEastAsia"/>
          <w:color w:val="auto"/>
          <w:sz w:val="24"/>
          <w:szCs w:val="24"/>
          <w:highlight w:val="none"/>
          <w:lang w:val="zh-CN"/>
        </w:rPr>
      </w:pPr>
      <w:bookmarkStart w:id="31" w:name="_Toc10863"/>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时间：</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zh-CN"/>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zh-CN"/>
        </w:rPr>
        <w:t>月</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lang w:val="zh-CN"/>
        </w:rPr>
        <w:t>日至</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zh-CN"/>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日</w:t>
      </w:r>
      <w:r>
        <w:rPr>
          <w:rFonts w:hint="eastAsia" w:ascii="宋体" w:hAnsi="宋体" w:eastAsia="宋体" w:cs="宋体"/>
          <w:color w:val="auto"/>
          <w:sz w:val="24"/>
          <w:szCs w:val="24"/>
          <w:highlight w:val="none"/>
          <w:lang w:val="zh-CN"/>
        </w:rPr>
        <w:t>，</w:t>
      </w:r>
      <w:r>
        <w:rPr>
          <w:rFonts w:hint="eastAsia" w:ascii="宋体" w:hAnsi="宋体" w:cs="宋体"/>
          <w:bCs/>
          <w:color w:val="auto"/>
          <w:kern w:val="2"/>
          <w:sz w:val="24"/>
          <w:szCs w:val="24"/>
          <w:highlight w:val="none"/>
        </w:rPr>
        <w:t>每天 00:00 至 23:59（北京时间</w:t>
      </w:r>
      <w:r>
        <w:rPr>
          <w:rFonts w:hint="eastAsia" w:ascii="宋体" w:hAnsi="宋体" w:cs="宋体"/>
          <w:bCs/>
          <w:color w:val="auto"/>
          <w:kern w:val="2"/>
          <w:sz w:val="24"/>
          <w:szCs w:val="24"/>
          <w:highlight w:val="none"/>
          <w:lang w:eastAsia="zh-CN"/>
        </w:rPr>
        <w:t>，法定节假日除外</w:t>
      </w:r>
      <w:r>
        <w:rPr>
          <w:rFonts w:hint="eastAsia" w:ascii="宋体" w:hAnsi="宋体" w:cs="宋体"/>
          <w:bCs/>
          <w:color w:val="auto"/>
          <w:kern w:val="2"/>
          <w:sz w:val="24"/>
          <w:szCs w:val="24"/>
          <w:highlight w:val="none"/>
        </w:rPr>
        <w:t>）</w:t>
      </w:r>
      <w:r>
        <w:rPr>
          <w:rFonts w:hint="eastAsia" w:ascii="宋体" w:hAnsi="宋体" w:eastAsia="宋体" w:cs="宋体"/>
          <w:color w:val="auto"/>
          <w:sz w:val="24"/>
          <w:szCs w:val="24"/>
          <w:highlight w:val="none"/>
          <w:lang w:val="zh-CN"/>
        </w:rPr>
        <w:t xml:space="preserve">。 </w:t>
      </w:r>
    </w:p>
    <w:p w14:paraId="1690C573">
      <w:pPr>
        <w:adjustRightInd w:val="0"/>
        <w:snapToGrid w:val="0"/>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 xml:space="preserve">2地点：政采云平台（https://www.zcygov.cn）线上获取。 </w:t>
      </w:r>
    </w:p>
    <w:p w14:paraId="23107586">
      <w:pPr>
        <w:adjustRightInd w:val="0"/>
        <w:snapToGrid w:val="0"/>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3方式：</w:t>
      </w:r>
    </w:p>
    <w:p w14:paraId="12233435">
      <w:pPr>
        <w:adjustRightInd w:val="0"/>
        <w:snapToGrid w:val="0"/>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凡有意参加投标者，须在政采云平台办理数字证书（CA），并在政采云绑定数字证书（CA）后线上获取竞争性磋商文件及其他采购资料。CA申领链接：https://middle.zcygov.cn/ca/apply/list?_app_=zcy.sys，CA申领后需登陆政采云平台完成数字证书（CA）绑定才可以使用，数字证书（CA）详见其办理流程。</w:t>
      </w:r>
    </w:p>
    <w:p w14:paraId="50781FF5">
      <w:pPr>
        <w:adjustRightInd w:val="0"/>
        <w:snapToGrid w:val="0"/>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）按上述要求获取文件的供应商视为合法获取了本项目竞争性磋商文件，具备本项目的投标资格。</w:t>
      </w:r>
    </w:p>
    <w:p w14:paraId="2896D4F9">
      <w:pPr>
        <w:adjustRightInd w:val="0"/>
        <w:snapToGrid w:val="0"/>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3.4</w:t>
      </w:r>
      <w:r>
        <w:rPr>
          <w:rFonts w:hint="eastAsia" w:ascii="宋体" w:hAnsi="宋体" w:eastAsia="宋体" w:cs="宋体"/>
          <w:color w:val="auto"/>
          <w:sz w:val="24"/>
          <w:szCs w:val="24"/>
          <w:highlight w:val="none"/>
          <w:lang w:val="zh-CN"/>
        </w:rPr>
        <w:t>售价：0元。</w:t>
      </w:r>
    </w:p>
    <w:p w14:paraId="5BA91EC0">
      <w:pPr>
        <w:adjustRightInd w:val="0"/>
        <w:snapToGrid w:val="0"/>
        <w:spacing w:after="0" w:line="360" w:lineRule="auto"/>
        <w:ind w:firstLine="482" w:firstLineChars="200"/>
        <w:rPr>
          <w:rFonts w:hint="eastAsia" w:ascii="宋体" w:hAnsi="宋体" w:eastAsia="宋体" w:cs="宋体"/>
          <w:iCs/>
          <w:color w:val="auto"/>
          <w:sz w:val="24"/>
          <w:szCs w:val="24"/>
          <w:highlight w:val="none"/>
        </w:rPr>
      </w:pPr>
      <w:r>
        <w:rPr>
          <w:rFonts w:hint="eastAsia" w:ascii="宋体" w:hAnsi="宋体" w:eastAsia="宋体" w:cs="宋体"/>
          <w:b/>
          <w:bCs/>
          <w:iCs/>
          <w:color w:val="auto"/>
          <w:sz w:val="24"/>
          <w:szCs w:val="24"/>
          <w:highlight w:val="none"/>
        </w:rPr>
        <w:t>注：云南本地</w:t>
      </w:r>
      <w:r>
        <w:rPr>
          <w:rFonts w:hint="eastAsia" w:ascii="宋体" w:hAnsi="宋体" w:eastAsia="宋体" w:cs="宋体"/>
          <w:b/>
          <w:bCs/>
          <w:iCs/>
          <w:color w:val="auto"/>
          <w:sz w:val="24"/>
          <w:szCs w:val="24"/>
          <w:highlight w:val="none"/>
          <w:lang w:eastAsia="zh-CN"/>
        </w:rPr>
        <w:t>供应商</w:t>
      </w:r>
      <w:r>
        <w:rPr>
          <w:rFonts w:hint="eastAsia" w:ascii="宋体" w:hAnsi="宋体" w:eastAsia="宋体" w:cs="宋体"/>
          <w:b/>
          <w:bCs/>
          <w:iCs/>
          <w:color w:val="auto"/>
          <w:sz w:val="24"/>
          <w:szCs w:val="24"/>
          <w:highlight w:val="none"/>
        </w:rPr>
        <w:t>如之前已在云南CA在线数字证书办理网进行过注册并办理过企业数字证书（CA），直接绑定即可，无需重复办理（2022年1月1日前办理的云南CA需到云南CA办理处进行升级）。外省投标在政采云平台办理的其他CA可直接使用，无需重复办理。按上述要求获取</w:t>
      </w:r>
      <w:r>
        <w:rPr>
          <w:rFonts w:hint="eastAsia" w:ascii="宋体" w:hAnsi="宋体" w:eastAsia="宋体" w:cs="宋体"/>
          <w:b/>
          <w:bCs/>
          <w:iCs/>
          <w:color w:val="auto"/>
          <w:sz w:val="24"/>
          <w:szCs w:val="24"/>
          <w:highlight w:val="none"/>
          <w:lang w:val="en-US" w:eastAsia="zh-CN"/>
        </w:rPr>
        <w:t>竞争性磋商文件</w:t>
      </w:r>
      <w:r>
        <w:rPr>
          <w:rFonts w:hint="eastAsia" w:ascii="宋体" w:hAnsi="宋体" w:eastAsia="宋体" w:cs="宋体"/>
          <w:b/>
          <w:bCs/>
          <w:iCs/>
          <w:color w:val="auto"/>
          <w:sz w:val="24"/>
          <w:szCs w:val="24"/>
          <w:highlight w:val="none"/>
        </w:rPr>
        <w:t>的</w:t>
      </w:r>
      <w:r>
        <w:rPr>
          <w:rFonts w:hint="eastAsia" w:ascii="宋体" w:hAnsi="宋体" w:eastAsia="宋体" w:cs="宋体"/>
          <w:b/>
          <w:bCs/>
          <w:iCs/>
          <w:color w:val="auto"/>
          <w:sz w:val="24"/>
          <w:szCs w:val="24"/>
          <w:highlight w:val="none"/>
          <w:lang w:val="en-US" w:eastAsia="zh-CN"/>
        </w:rPr>
        <w:t>供应商，</w:t>
      </w:r>
      <w:r>
        <w:rPr>
          <w:rFonts w:hint="eastAsia" w:ascii="宋体" w:hAnsi="宋体" w:eastAsia="宋体" w:cs="宋体"/>
          <w:b/>
          <w:bCs/>
          <w:iCs/>
          <w:color w:val="auto"/>
          <w:sz w:val="24"/>
          <w:szCs w:val="24"/>
          <w:highlight w:val="none"/>
        </w:rPr>
        <w:t>视为合法获取了本项目</w:t>
      </w:r>
      <w:r>
        <w:rPr>
          <w:rFonts w:hint="eastAsia" w:ascii="宋体" w:hAnsi="宋体" w:eastAsia="宋体" w:cs="宋体"/>
          <w:b/>
          <w:bCs/>
          <w:iCs/>
          <w:color w:val="auto"/>
          <w:sz w:val="24"/>
          <w:szCs w:val="24"/>
          <w:highlight w:val="none"/>
          <w:lang w:val="en-US" w:eastAsia="zh-CN"/>
        </w:rPr>
        <w:t>竞争性磋商文件</w:t>
      </w:r>
      <w:r>
        <w:rPr>
          <w:rFonts w:hint="eastAsia" w:ascii="宋体" w:hAnsi="宋体" w:eastAsia="宋体" w:cs="宋体"/>
          <w:b/>
          <w:bCs/>
          <w:iCs/>
          <w:color w:val="auto"/>
          <w:sz w:val="24"/>
          <w:szCs w:val="24"/>
          <w:highlight w:val="none"/>
        </w:rPr>
        <w:t>，具备本项目的投标资格</w:t>
      </w:r>
      <w:r>
        <w:rPr>
          <w:rFonts w:hint="eastAsia" w:ascii="宋体" w:hAnsi="宋体" w:eastAsia="宋体" w:cs="宋体"/>
          <w:iCs/>
          <w:color w:val="auto"/>
          <w:sz w:val="24"/>
          <w:szCs w:val="24"/>
          <w:highlight w:val="none"/>
        </w:rPr>
        <w:t>。</w:t>
      </w:r>
    </w:p>
    <w:p w14:paraId="02D80D8A">
      <w:pPr>
        <w:pStyle w:val="3"/>
        <w:keepNext/>
        <w:keepLines/>
        <w:pageBreakBefore w:val="0"/>
        <w:widowControl/>
        <w:kinsoku/>
        <w:wordWrap/>
        <w:overflowPunct/>
        <w:topLinePunct w:val="0"/>
        <w:autoSpaceDE/>
        <w:autoSpaceDN/>
        <w:bidi w:val="0"/>
        <w:adjustRightInd w:val="0"/>
        <w:snapToGrid w:val="0"/>
        <w:spacing w:before="0" w:after="0" w:line="360" w:lineRule="auto"/>
        <w:jc w:val="left"/>
        <w:textAlignment w:val="auto"/>
        <w:rPr>
          <w:rFonts w:hint="eastAsia" w:ascii="宋体" w:hAnsi="宋体" w:eastAsia="宋体" w:cs="宋体"/>
          <w:bCs w:val="0"/>
          <w:color w:val="auto"/>
          <w:sz w:val="24"/>
          <w:szCs w:val="24"/>
          <w:highlight w:val="none"/>
        </w:rPr>
      </w:pPr>
      <w:bookmarkStart w:id="32" w:name="_Toc1339"/>
      <w:bookmarkStart w:id="33" w:name="_Toc6864"/>
      <w:bookmarkStart w:id="34" w:name="_Toc2450"/>
      <w:bookmarkStart w:id="35" w:name="_Toc4210"/>
      <w:bookmarkStart w:id="36" w:name="_Toc22306"/>
      <w:bookmarkStart w:id="37" w:name="_Toc23166"/>
      <w:bookmarkStart w:id="38" w:name="_Toc5525"/>
      <w:r>
        <w:rPr>
          <w:rFonts w:hint="eastAsia" w:ascii="宋体" w:hAnsi="宋体" w:eastAsia="宋体" w:cs="宋体"/>
          <w:bCs w:val="0"/>
          <w:color w:val="auto"/>
          <w:sz w:val="24"/>
          <w:szCs w:val="24"/>
          <w:highlight w:val="none"/>
        </w:rPr>
        <w:t>四、</w:t>
      </w:r>
      <w:r>
        <w:rPr>
          <w:rFonts w:hint="eastAsia" w:ascii="宋体" w:hAnsi="宋体" w:eastAsia="宋体" w:cs="宋体"/>
          <w:b/>
          <w:bCs/>
          <w:color w:val="auto"/>
          <w:sz w:val="24"/>
          <w:szCs w:val="24"/>
          <w:highlight w:val="none"/>
        </w:rPr>
        <w:t>响应文件提交</w:t>
      </w:r>
      <w:bookmarkEnd w:id="32"/>
      <w:bookmarkEnd w:id="33"/>
      <w:bookmarkEnd w:id="34"/>
      <w:bookmarkEnd w:id="35"/>
      <w:bookmarkEnd w:id="36"/>
      <w:bookmarkEnd w:id="37"/>
      <w:bookmarkEnd w:id="38"/>
    </w:p>
    <w:p w14:paraId="000340C9">
      <w:pPr>
        <w:adjustRightInd w:val="0"/>
        <w:snapToGrid w:val="0"/>
        <w:spacing w:after="0" w:line="360" w:lineRule="auto"/>
        <w:ind w:firstLine="480" w:firstLineChars="20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1）</w:t>
      </w:r>
      <w:r>
        <w:rPr>
          <w:rFonts w:hint="eastAsia" w:ascii="宋体" w:hAnsi="宋体" w:eastAsia="宋体" w:cs="宋体"/>
          <w:iCs/>
          <w:color w:val="auto"/>
          <w:sz w:val="24"/>
          <w:szCs w:val="24"/>
          <w:highlight w:val="none"/>
        </w:rPr>
        <w:t>递交</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截止时间：</w:t>
      </w:r>
      <w:r>
        <w:rPr>
          <w:rFonts w:hint="eastAsia" w:ascii="宋体" w:hAnsi="宋体" w:eastAsia="宋体" w:cs="宋体"/>
          <w:iCs/>
          <w:color w:val="auto"/>
          <w:sz w:val="24"/>
          <w:szCs w:val="24"/>
          <w:highlight w:val="none"/>
          <w:u w:val="single"/>
          <w:lang w:eastAsia="zh-CN"/>
        </w:rPr>
        <w:t>202</w:t>
      </w:r>
      <w:r>
        <w:rPr>
          <w:rFonts w:hint="eastAsia" w:ascii="宋体" w:hAnsi="宋体" w:cs="宋体"/>
          <w:iCs/>
          <w:color w:val="auto"/>
          <w:sz w:val="24"/>
          <w:szCs w:val="24"/>
          <w:highlight w:val="none"/>
          <w:u w:val="single"/>
          <w:lang w:val="en-US" w:eastAsia="zh-CN"/>
        </w:rPr>
        <w:t>6</w:t>
      </w:r>
      <w:r>
        <w:rPr>
          <w:rFonts w:hint="eastAsia" w:ascii="宋体" w:hAnsi="宋体" w:eastAsia="宋体" w:cs="宋体"/>
          <w:iCs/>
          <w:color w:val="auto"/>
          <w:sz w:val="24"/>
          <w:szCs w:val="24"/>
          <w:highlight w:val="none"/>
          <w:u w:val="single"/>
          <w:lang w:eastAsia="zh-CN"/>
        </w:rPr>
        <w:t>年</w:t>
      </w:r>
      <w:r>
        <w:rPr>
          <w:rFonts w:hint="eastAsia" w:ascii="宋体" w:hAnsi="宋体" w:cs="宋体"/>
          <w:iCs/>
          <w:color w:val="auto"/>
          <w:sz w:val="24"/>
          <w:szCs w:val="24"/>
          <w:highlight w:val="none"/>
          <w:u w:val="single"/>
          <w:lang w:val="en-US" w:eastAsia="zh-CN"/>
        </w:rPr>
        <w:t>6</w:t>
      </w:r>
      <w:r>
        <w:rPr>
          <w:rFonts w:hint="eastAsia" w:ascii="宋体" w:hAnsi="宋体" w:eastAsia="宋体" w:cs="宋体"/>
          <w:iCs/>
          <w:color w:val="auto"/>
          <w:sz w:val="24"/>
          <w:szCs w:val="24"/>
          <w:highlight w:val="none"/>
          <w:u w:val="single"/>
          <w:lang w:eastAsia="zh-CN"/>
        </w:rPr>
        <w:t>月</w:t>
      </w:r>
      <w:r>
        <w:rPr>
          <w:rFonts w:hint="eastAsia" w:ascii="宋体" w:hAnsi="宋体" w:cs="宋体"/>
          <w:iCs/>
          <w:color w:val="auto"/>
          <w:sz w:val="24"/>
          <w:szCs w:val="24"/>
          <w:highlight w:val="none"/>
          <w:u w:val="single"/>
          <w:lang w:val="en-US" w:eastAsia="zh-CN"/>
        </w:rPr>
        <w:t>11</w:t>
      </w:r>
      <w:r>
        <w:rPr>
          <w:rFonts w:hint="eastAsia" w:ascii="宋体" w:hAnsi="宋体" w:eastAsia="宋体" w:cs="宋体"/>
          <w:iCs/>
          <w:color w:val="auto"/>
          <w:sz w:val="24"/>
          <w:szCs w:val="24"/>
          <w:highlight w:val="none"/>
          <w:u w:val="single"/>
          <w:lang w:eastAsia="zh-CN"/>
        </w:rPr>
        <w:t>日</w:t>
      </w:r>
      <w:r>
        <w:rPr>
          <w:rFonts w:hint="eastAsia" w:ascii="宋体" w:hAnsi="宋体" w:cs="宋体"/>
          <w:iCs/>
          <w:color w:val="auto"/>
          <w:sz w:val="24"/>
          <w:szCs w:val="24"/>
          <w:highlight w:val="none"/>
          <w:u w:val="single"/>
          <w:lang w:val="en-US" w:eastAsia="zh-CN"/>
        </w:rPr>
        <w:t>14</w:t>
      </w:r>
      <w:r>
        <w:rPr>
          <w:rFonts w:hint="eastAsia" w:ascii="宋体" w:hAnsi="宋体" w:eastAsia="宋体" w:cs="宋体"/>
          <w:iCs/>
          <w:color w:val="auto"/>
          <w:sz w:val="24"/>
          <w:szCs w:val="24"/>
          <w:highlight w:val="none"/>
          <w:u w:val="single"/>
          <w:lang w:val="en-US" w:eastAsia="zh-CN"/>
        </w:rPr>
        <w:t>时</w:t>
      </w:r>
      <w:r>
        <w:rPr>
          <w:rFonts w:hint="eastAsia" w:ascii="宋体" w:hAnsi="宋体" w:eastAsia="宋体" w:cs="宋体"/>
          <w:iCs/>
          <w:color w:val="auto"/>
          <w:sz w:val="24"/>
          <w:szCs w:val="24"/>
          <w:highlight w:val="none"/>
          <w:u w:val="single"/>
          <w:lang w:eastAsia="zh-CN"/>
        </w:rPr>
        <w:t>30分</w:t>
      </w:r>
      <w:r>
        <w:rPr>
          <w:rFonts w:hint="eastAsia" w:ascii="宋体" w:hAnsi="宋体" w:eastAsia="宋体" w:cs="宋体"/>
          <w:iCs/>
          <w:color w:val="auto"/>
          <w:sz w:val="24"/>
          <w:szCs w:val="24"/>
          <w:highlight w:val="none"/>
        </w:rPr>
        <w:t>（北京时间）（自</w:t>
      </w:r>
      <w:r>
        <w:rPr>
          <w:rFonts w:hint="eastAsia" w:ascii="宋体" w:hAnsi="宋体" w:eastAsia="宋体" w:cs="宋体"/>
          <w:iCs/>
          <w:color w:val="auto"/>
          <w:sz w:val="24"/>
          <w:szCs w:val="24"/>
          <w:highlight w:val="none"/>
          <w:lang w:eastAsia="zh-CN"/>
        </w:rPr>
        <w:t>竞争性磋商文件</w:t>
      </w:r>
      <w:r>
        <w:rPr>
          <w:rFonts w:hint="eastAsia" w:ascii="宋体" w:hAnsi="宋体" w:eastAsia="宋体" w:cs="宋体"/>
          <w:iCs/>
          <w:color w:val="auto"/>
          <w:sz w:val="24"/>
          <w:szCs w:val="24"/>
          <w:highlight w:val="none"/>
        </w:rPr>
        <w:t>开始发出之日起至</w:t>
      </w:r>
      <w:r>
        <w:rPr>
          <w:rFonts w:hint="eastAsia" w:ascii="宋体" w:hAnsi="宋体" w:eastAsia="宋体" w:cs="宋体"/>
          <w:iCs/>
          <w:color w:val="auto"/>
          <w:sz w:val="24"/>
          <w:szCs w:val="24"/>
          <w:highlight w:val="none"/>
          <w:lang w:eastAsia="zh-CN"/>
        </w:rPr>
        <w:t>供应商</w:t>
      </w:r>
      <w:r>
        <w:rPr>
          <w:rFonts w:hint="eastAsia" w:ascii="宋体" w:hAnsi="宋体" w:eastAsia="宋体" w:cs="宋体"/>
          <w:iCs/>
          <w:color w:val="auto"/>
          <w:sz w:val="24"/>
          <w:szCs w:val="24"/>
          <w:highlight w:val="none"/>
        </w:rPr>
        <w:t>提交</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截止之日止，不得少于</w:t>
      </w:r>
      <w:r>
        <w:rPr>
          <w:rFonts w:hint="eastAsia" w:ascii="宋体" w:hAnsi="宋体" w:eastAsia="宋体" w:cs="宋体"/>
          <w:iCs/>
          <w:color w:val="auto"/>
          <w:sz w:val="24"/>
          <w:szCs w:val="24"/>
          <w:highlight w:val="none"/>
          <w:lang w:val="en-US" w:eastAsia="zh-CN"/>
        </w:rPr>
        <w:t>10</w:t>
      </w:r>
      <w:r>
        <w:rPr>
          <w:rFonts w:hint="eastAsia" w:ascii="宋体" w:hAnsi="宋体" w:eastAsia="宋体" w:cs="宋体"/>
          <w:iCs/>
          <w:color w:val="auto"/>
          <w:sz w:val="24"/>
          <w:szCs w:val="24"/>
          <w:highlight w:val="none"/>
        </w:rPr>
        <w:t>日）。</w:t>
      </w:r>
    </w:p>
    <w:p w14:paraId="6BC14151">
      <w:pPr>
        <w:adjustRightInd w:val="0"/>
        <w:snapToGrid w:val="0"/>
        <w:spacing w:after="0" w:line="360" w:lineRule="auto"/>
        <w:ind w:firstLine="480" w:firstLineChars="20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2</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地点</w:t>
      </w:r>
      <w:r>
        <w:rPr>
          <w:rFonts w:hint="eastAsia" w:ascii="宋体" w:hAnsi="宋体" w:eastAsia="宋体" w:cs="宋体"/>
          <w:iCs/>
          <w:color w:val="auto"/>
          <w:sz w:val="24"/>
          <w:szCs w:val="24"/>
          <w:highlight w:val="none"/>
        </w:rPr>
        <w:t>：</w:t>
      </w:r>
      <w:bookmarkStart w:id="39" w:name="_Toc28359084"/>
      <w:bookmarkStart w:id="40" w:name="_Toc28359007"/>
      <w:bookmarkStart w:id="41" w:name="_Toc35393794"/>
      <w:bookmarkStart w:id="42" w:name="_Toc35393625"/>
      <w:r>
        <w:rPr>
          <w:rFonts w:hint="eastAsia" w:ascii="宋体" w:hAnsi="宋体" w:eastAsia="宋体" w:cs="宋体"/>
          <w:iCs/>
          <w:color w:val="auto"/>
          <w:sz w:val="24"/>
          <w:szCs w:val="24"/>
          <w:highlight w:val="none"/>
          <w:lang w:eastAsia="zh-CN"/>
        </w:rPr>
        <w:t>供应商</w:t>
      </w:r>
      <w:r>
        <w:rPr>
          <w:rFonts w:hint="eastAsia" w:ascii="宋体" w:hAnsi="宋体" w:eastAsia="宋体" w:cs="宋体"/>
          <w:iCs/>
          <w:color w:val="auto"/>
          <w:sz w:val="24"/>
          <w:szCs w:val="24"/>
          <w:highlight w:val="none"/>
        </w:rPr>
        <w:t>应按照本项目</w:t>
      </w:r>
      <w:r>
        <w:rPr>
          <w:rFonts w:hint="eastAsia" w:ascii="宋体" w:hAnsi="宋体" w:eastAsia="宋体" w:cs="宋体"/>
          <w:iCs/>
          <w:color w:val="auto"/>
          <w:sz w:val="24"/>
          <w:szCs w:val="24"/>
          <w:highlight w:val="none"/>
          <w:lang w:eastAsia="zh-CN"/>
        </w:rPr>
        <w:t>竞争性磋商文件</w:t>
      </w:r>
      <w:r>
        <w:rPr>
          <w:rFonts w:hint="eastAsia" w:ascii="宋体" w:hAnsi="宋体" w:eastAsia="宋体" w:cs="宋体"/>
          <w:iCs/>
          <w:color w:val="auto"/>
          <w:sz w:val="24"/>
          <w:szCs w:val="24"/>
          <w:highlight w:val="none"/>
        </w:rPr>
        <w:t>和“政府采购云平台”的要求编制、加密后在</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提交截止时间前上传至“政府采购云平台”，</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提交截止时间前未完成</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上传的，视为撤回</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w:t>
      </w:r>
      <w:r>
        <w:rPr>
          <w:rFonts w:hint="eastAsia" w:ascii="宋体" w:hAnsi="宋体" w:eastAsia="宋体" w:cs="宋体"/>
          <w:iCs/>
          <w:color w:val="auto"/>
          <w:sz w:val="24"/>
          <w:szCs w:val="24"/>
          <w:highlight w:val="none"/>
          <w:lang w:eastAsia="zh-CN"/>
        </w:rPr>
        <w:t>供应商</w:t>
      </w:r>
      <w:r>
        <w:rPr>
          <w:rFonts w:hint="eastAsia" w:ascii="宋体" w:hAnsi="宋体" w:eastAsia="宋体" w:cs="宋体"/>
          <w:iCs/>
          <w:color w:val="auto"/>
          <w:sz w:val="24"/>
          <w:szCs w:val="24"/>
          <w:highlight w:val="none"/>
        </w:rPr>
        <w:t>在“政府采购云平台”提交电子版</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时，请填写参加远程采购活动经办人联系方式。</w:t>
      </w:r>
    </w:p>
    <w:p w14:paraId="2CC620F8">
      <w:pPr>
        <w:adjustRightInd w:val="0"/>
        <w:snapToGrid w:val="0"/>
        <w:spacing w:after="0" w:line="360" w:lineRule="auto"/>
        <w:ind w:firstLine="480" w:firstLineChars="20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（3）</w:t>
      </w:r>
      <w:r>
        <w:rPr>
          <w:rFonts w:hint="eastAsia" w:ascii="宋体" w:hAnsi="宋体" w:eastAsia="宋体" w:cs="宋体"/>
          <w:iCs/>
          <w:color w:val="auto"/>
          <w:sz w:val="24"/>
          <w:szCs w:val="24"/>
          <w:highlight w:val="none"/>
        </w:rPr>
        <w:t>其他：</w:t>
      </w:r>
      <w:r>
        <w:rPr>
          <w:rFonts w:hint="eastAsia" w:ascii="宋体" w:hAnsi="宋体" w:eastAsia="宋体" w:cs="宋体"/>
          <w:iCs/>
          <w:color w:val="auto"/>
          <w:sz w:val="24"/>
          <w:szCs w:val="24"/>
          <w:highlight w:val="none"/>
          <w:lang w:eastAsia="zh-CN"/>
        </w:rPr>
        <w:t>供应商</w:t>
      </w:r>
      <w:r>
        <w:rPr>
          <w:rFonts w:hint="eastAsia" w:ascii="宋体" w:hAnsi="宋体" w:eastAsia="宋体" w:cs="宋体"/>
          <w:iCs/>
          <w:color w:val="auto"/>
          <w:sz w:val="24"/>
          <w:szCs w:val="24"/>
          <w:highlight w:val="none"/>
        </w:rPr>
        <w:t>应当在首次</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提交截止时间前完成电子</w:t>
      </w:r>
      <w:r>
        <w:rPr>
          <w:rFonts w:hint="eastAsia" w:ascii="宋体" w:hAnsi="宋体" w:eastAsia="宋体" w:cs="宋体"/>
          <w:iCs/>
          <w:color w:val="auto"/>
          <w:sz w:val="24"/>
          <w:szCs w:val="24"/>
          <w:highlight w:val="none"/>
          <w:lang w:val="en-US" w:eastAsia="zh-CN"/>
        </w:rPr>
        <w:t>响应文件</w:t>
      </w:r>
      <w:r>
        <w:rPr>
          <w:rFonts w:hint="eastAsia" w:ascii="宋体" w:hAnsi="宋体" w:eastAsia="宋体" w:cs="宋体"/>
          <w:iCs/>
          <w:color w:val="auto"/>
          <w:sz w:val="24"/>
          <w:szCs w:val="24"/>
          <w:highlight w:val="none"/>
        </w:rPr>
        <w:t>的上传、递交，</w:t>
      </w:r>
      <w:r>
        <w:rPr>
          <w:rFonts w:hint="eastAsia" w:ascii="宋体" w:hAnsi="宋体" w:eastAsia="宋体" w:cs="宋体"/>
          <w:iCs/>
          <w:color w:val="auto"/>
          <w:sz w:val="24"/>
          <w:szCs w:val="24"/>
          <w:highlight w:val="none"/>
          <w:lang w:val="en-US" w:eastAsia="zh-CN"/>
        </w:rPr>
        <w:t>响应文件</w:t>
      </w:r>
      <w:r>
        <w:rPr>
          <w:rFonts w:hint="eastAsia" w:ascii="宋体" w:hAnsi="宋体" w:eastAsia="宋体" w:cs="宋体"/>
          <w:iCs/>
          <w:color w:val="auto"/>
          <w:sz w:val="24"/>
          <w:szCs w:val="24"/>
          <w:highlight w:val="none"/>
        </w:rPr>
        <w:t>提交截止时间前可以补充、修改或者撤回</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。补充或者修改</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的，应当先行撤回原文件，补充、修改后重新上传、递交。</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截止时间前未完成上传、递交的，视为撤回</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提交截止时间以后上传递交的</w:t>
      </w:r>
      <w:r>
        <w:rPr>
          <w:rFonts w:hint="eastAsia" w:ascii="宋体" w:hAnsi="宋体" w:eastAsia="宋体" w:cs="宋体"/>
          <w:iCs/>
          <w:color w:val="auto"/>
          <w:sz w:val="24"/>
          <w:szCs w:val="24"/>
          <w:highlight w:val="none"/>
          <w:lang w:eastAsia="zh-CN"/>
        </w:rPr>
        <w:t>响应文件</w:t>
      </w:r>
      <w:r>
        <w:rPr>
          <w:rFonts w:hint="eastAsia" w:ascii="宋体" w:hAnsi="宋体" w:eastAsia="宋体" w:cs="宋体"/>
          <w:iCs/>
          <w:color w:val="auto"/>
          <w:sz w:val="24"/>
          <w:szCs w:val="24"/>
          <w:highlight w:val="none"/>
        </w:rPr>
        <w:t>的，“政采云”平台将予以拒收。</w:t>
      </w:r>
    </w:p>
    <w:p w14:paraId="4D6153C7">
      <w:pPr>
        <w:pStyle w:val="3"/>
        <w:adjustRightInd w:val="0"/>
        <w:snapToGrid w:val="0"/>
        <w:spacing w:before="0" w:after="0" w:line="360" w:lineRule="auto"/>
        <w:jc w:val="left"/>
        <w:rPr>
          <w:rFonts w:hint="eastAsia" w:ascii="宋体" w:hAnsi="宋体" w:eastAsia="宋体" w:cs="宋体"/>
          <w:bCs w:val="0"/>
          <w:color w:val="auto"/>
          <w:sz w:val="24"/>
          <w:szCs w:val="24"/>
          <w:highlight w:val="none"/>
        </w:rPr>
      </w:pPr>
      <w:bookmarkStart w:id="43" w:name="_Toc22298"/>
      <w:bookmarkStart w:id="44" w:name="_Toc7084"/>
      <w:bookmarkStart w:id="45" w:name="_Toc7971"/>
      <w:bookmarkStart w:id="46" w:name="_Toc28214"/>
      <w:bookmarkStart w:id="47" w:name="_Toc312"/>
      <w:bookmarkStart w:id="48" w:name="_Toc15593"/>
      <w:r>
        <w:rPr>
          <w:rFonts w:hint="eastAsia" w:ascii="宋体" w:hAnsi="宋体" w:eastAsia="宋体" w:cs="宋体"/>
          <w:bCs w:val="0"/>
          <w:color w:val="auto"/>
          <w:sz w:val="24"/>
          <w:szCs w:val="24"/>
          <w:highlight w:val="none"/>
        </w:rPr>
        <w:t>五、公告期限</w:t>
      </w:r>
      <w:bookmarkEnd w:id="39"/>
      <w:bookmarkEnd w:id="40"/>
      <w:bookmarkEnd w:id="41"/>
      <w:bookmarkEnd w:id="42"/>
      <w:bookmarkEnd w:id="43"/>
      <w:bookmarkEnd w:id="44"/>
      <w:bookmarkEnd w:id="45"/>
      <w:bookmarkEnd w:id="46"/>
      <w:bookmarkEnd w:id="47"/>
      <w:bookmarkEnd w:id="48"/>
    </w:p>
    <w:p w14:paraId="40D93E0D">
      <w:pPr>
        <w:adjustRightInd w:val="0"/>
        <w:snapToGrid w:val="0"/>
        <w:spacing w:after="0"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77544907">
      <w:pPr>
        <w:keepNext w:val="0"/>
        <w:keepLines w:val="0"/>
        <w:pageBreakBefore w:val="0"/>
        <w:widowControl/>
        <w:numPr>
          <w:ilvl w:val="0"/>
          <w:numId w:val="3"/>
        </w:numPr>
        <w:kinsoku/>
        <w:wordWrap/>
        <w:overflowPunct/>
        <w:topLinePunct w:val="0"/>
        <w:autoSpaceDE/>
        <w:autoSpaceDN/>
        <w:bidi w:val="0"/>
        <w:adjustRightInd w:val="0"/>
        <w:snapToGrid w:val="0"/>
        <w:spacing w:after="0" w:line="360" w:lineRule="auto"/>
        <w:textAlignment w:val="auto"/>
        <w:outlineLvl w:val="1"/>
        <w:rPr>
          <w:rFonts w:hint="eastAsia" w:ascii="宋体" w:hAnsi="宋体" w:eastAsia="宋体" w:cs="宋体"/>
          <w:b/>
          <w:color w:val="auto"/>
          <w:sz w:val="24"/>
          <w:szCs w:val="24"/>
          <w:highlight w:val="none"/>
        </w:rPr>
      </w:pPr>
      <w:bookmarkStart w:id="49" w:name="_Toc30387"/>
      <w:bookmarkStart w:id="50" w:name="_Toc20451"/>
      <w:bookmarkStart w:id="51" w:name="_Toc22147"/>
      <w:bookmarkStart w:id="52" w:name="_Toc28578"/>
      <w:bookmarkStart w:id="53" w:name="_Toc27209"/>
      <w:r>
        <w:rPr>
          <w:rFonts w:hint="eastAsia" w:ascii="宋体" w:hAnsi="宋体" w:eastAsia="宋体" w:cs="宋体"/>
          <w:b/>
          <w:color w:val="auto"/>
          <w:sz w:val="24"/>
          <w:szCs w:val="24"/>
          <w:highlight w:val="none"/>
        </w:rPr>
        <w:t>其他补充事宜</w:t>
      </w:r>
      <w:bookmarkEnd w:id="49"/>
      <w:bookmarkEnd w:id="50"/>
      <w:bookmarkEnd w:id="51"/>
      <w:bookmarkEnd w:id="52"/>
      <w:bookmarkEnd w:id="53"/>
    </w:p>
    <w:p w14:paraId="4F0414E3">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宋体" w:hAnsi="宋体" w:eastAsia="宋体" w:cs="宋体"/>
          <w:b w:val="0"/>
          <w:bCs/>
          <w:color w:val="auto"/>
          <w:sz w:val="24"/>
          <w:szCs w:val="24"/>
          <w:highlight w:val="none"/>
          <w:lang w:eastAsia="zh-CN"/>
        </w:rPr>
      </w:pPr>
      <w:bookmarkStart w:id="54" w:name="_Toc24811"/>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投标保证金缴纳信息：</w:t>
      </w:r>
      <w:r>
        <w:rPr>
          <w:rFonts w:hint="eastAsia" w:ascii="宋体" w:hAnsi="宋体" w:eastAsia="宋体" w:cs="宋体"/>
          <w:b w:val="0"/>
          <w:bCs/>
          <w:color w:val="auto"/>
          <w:sz w:val="24"/>
          <w:szCs w:val="24"/>
          <w:highlight w:val="none"/>
          <w:lang w:val="en-US" w:eastAsia="zh-CN"/>
        </w:rPr>
        <w:t>具体</w:t>
      </w:r>
      <w:r>
        <w:rPr>
          <w:rFonts w:hint="eastAsia" w:ascii="宋体" w:hAnsi="宋体" w:eastAsia="宋体" w:cs="宋体"/>
          <w:b w:val="0"/>
          <w:bCs/>
          <w:color w:val="auto"/>
          <w:sz w:val="24"/>
          <w:szCs w:val="24"/>
          <w:highlight w:val="none"/>
        </w:rPr>
        <w:t>详见</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竞争性磋商文件</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须知前附表</w:t>
      </w:r>
      <w:r>
        <w:rPr>
          <w:rFonts w:hint="eastAsia" w:ascii="宋体" w:hAnsi="宋体" w:eastAsia="宋体" w:cs="宋体"/>
          <w:b w:val="0"/>
          <w:bCs/>
          <w:color w:val="auto"/>
          <w:sz w:val="24"/>
          <w:szCs w:val="24"/>
          <w:highlight w:val="none"/>
          <w:lang w:eastAsia="zh-CN"/>
        </w:rPr>
        <w:t>。</w:t>
      </w:r>
      <w:bookmarkEnd w:id="54"/>
    </w:p>
    <w:p w14:paraId="6AFB6EB0">
      <w:pPr>
        <w:adjustRightInd w:val="0"/>
        <w:snapToGrid w:val="0"/>
        <w:spacing w:after="0" w:line="360" w:lineRule="auto"/>
        <w:ind w:firstLine="480" w:firstLineChars="200"/>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2</w:t>
      </w:r>
      <w:r>
        <w:rPr>
          <w:rFonts w:hint="eastAsia" w:ascii="宋体" w:hAnsi="宋体" w:eastAsia="宋体" w:cs="宋体"/>
          <w:iCs/>
          <w:color w:val="auto"/>
          <w:sz w:val="24"/>
          <w:szCs w:val="24"/>
          <w:highlight w:val="none"/>
          <w:lang w:eastAsia="zh-CN"/>
        </w:rPr>
        <w:t>）开标方式：网上开标。</w:t>
      </w:r>
    </w:p>
    <w:p w14:paraId="16EA8F32">
      <w:pPr>
        <w:adjustRightInd w:val="0"/>
        <w:snapToGrid w:val="0"/>
        <w:spacing w:after="0" w:line="360" w:lineRule="auto"/>
        <w:ind w:firstLine="480" w:firstLineChars="200"/>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3</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开标</w:t>
      </w:r>
      <w:r>
        <w:rPr>
          <w:rFonts w:hint="eastAsia" w:ascii="宋体" w:hAnsi="宋体" w:eastAsia="宋体" w:cs="宋体"/>
          <w:iCs/>
          <w:color w:val="auto"/>
          <w:sz w:val="24"/>
          <w:szCs w:val="24"/>
          <w:highlight w:val="none"/>
          <w:lang w:eastAsia="zh-CN"/>
        </w:rPr>
        <w:t>时间：详见云南省政府采购网（http://www.yngp.com/）、“政采云”平台 （http://www.zcygov.cn）有关时间安排。</w:t>
      </w:r>
    </w:p>
    <w:p w14:paraId="058BD6F1">
      <w:pPr>
        <w:adjustRightInd w:val="0"/>
        <w:snapToGrid w:val="0"/>
        <w:spacing w:after="0" w:line="360" w:lineRule="auto"/>
        <w:ind w:left="720" w:leftChars="240" w:hanging="240" w:hangingChars="10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4</w:t>
      </w: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开标</w:t>
      </w:r>
      <w:r>
        <w:rPr>
          <w:rFonts w:hint="eastAsia" w:ascii="宋体" w:hAnsi="宋体" w:eastAsia="宋体" w:cs="宋体"/>
          <w:iCs/>
          <w:color w:val="auto"/>
          <w:sz w:val="24"/>
          <w:szCs w:val="24"/>
          <w:highlight w:val="none"/>
          <w:lang w:eastAsia="zh-CN"/>
        </w:rPr>
        <w:t>地点：“政采云”平台开标大厅。</w:t>
      </w:r>
      <w:r>
        <w:rPr>
          <w:rFonts w:hint="eastAsia" w:ascii="宋体" w:hAnsi="宋体" w:eastAsia="宋体" w:cs="宋体"/>
          <w:iCs/>
          <w:color w:val="auto"/>
          <w:sz w:val="24"/>
          <w:szCs w:val="24"/>
          <w:highlight w:val="none"/>
          <w:lang w:val="en-US" w:eastAsia="zh-CN"/>
        </w:rPr>
        <w:t xml:space="preserve">                                      </w:t>
      </w:r>
    </w:p>
    <w:p w14:paraId="44BB3E8B">
      <w:pPr>
        <w:adjustRightInd w:val="0"/>
        <w:snapToGrid w:val="0"/>
        <w:spacing w:after="0" w:line="360" w:lineRule="auto"/>
        <w:ind w:left="720" w:leftChars="240" w:hanging="240" w:hangingChars="100"/>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eastAsia="zh-CN"/>
        </w:rPr>
        <w:t>（</w:t>
      </w:r>
      <w:r>
        <w:rPr>
          <w:rFonts w:hint="eastAsia" w:ascii="宋体" w:hAnsi="宋体" w:eastAsia="宋体" w:cs="宋体"/>
          <w:iCs/>
          <w:color w:val="auto"/>
          <w:sz w:val="24"/>
          <w:szCs w:val="24"/>
          <w:highlight w:val="none"/>
          <w:lang w:val="en-US" w:eastAsia="zh-CN"/>
        </w:rPr>
        <w:t>5</w:t>
      </w:r>
      <w:r>
        <w:rPr>
          <w:rFonts w:hint="eastAsia" w:ascii="宋体" w:hAnsi="宋体" w:eastAsia="宋体" w:cs="宋体"/>
          <w:iCs/>
          <w:color w:val="auto"/>
          <w:sz w:val="24"/>
          <w:szCs w:val="24"/>
          <w:highlight w:val="none"/>
          <w:lang w:eastAsia="zh-CN"/>
        </w:rPr>
        <w:t>）其他：CA证书在线解密，响应文件解密时长</w:t>
      </w:r>
      <w:r>
        <w:rPr>
          <w:rFonts w:hint="eastAsia" w:ascii="宋体" w:hAnsi="宋体" w:eastAsia="宋体" w:cs="宋体"/>
          <w:iCs/>
          <w:color w:val="auto"/>
          <w:sz w:val="24"/>
          <w:szCs w:val="24"/>
          <w:highlight w:val="none"/>
          <w:lang w:val="en-US" w:eastAsia="zh-CN"/>
        </w:rPr>
        <w:t>30</w:t>
      </w:r>
      <w:r>
        <w:rPr>
          <w:rFonts w:hint="eastAsia" w:ascii="宋体" w:hAnsi="宋体" w:eastAsia="宋体" w:cs="宋体"/>
          <w:iCs/>
          <w:color w:val="auto"/>
          <w:sz w:val="24"/>
          <w:szCs w:val="24"/>
          <w:highlight w:val="none"/>
          <w:lang w:eastAsia="zh-CN"/>
        </w:rPr>
        <w:t>分钟，首次响应文件开启时，需</w:t>
      </w:r>
    </w:p>
    <w:p w14:paraId="71331ABB">
      <w:pPr>
        <w:adjustRightInd w:val="0"/>
        <w:snapToGrid w:val="0"/>
        <w:spacing w:after="0" w:line="360" w:lineRule="auto"/>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lang w:eastAsia="zh-CN"/>
        </w:rPr>
        <w:t>要供应商携带制作响应文件时用来加密的有效数字证书（CA 认证）登录“政采云”平台电子开标大厅现场按规定时间对加密的响应文件进行解密，否则后果自负。</w:t>
      </w:r>
    </w:p>
    <w:p w14:paraId="35DB7FC8">
      <w:pPr>
        <w:adjustRightInd w:val="0"/>
        <w:snapToGrid w:val="0"/>
        <w:spacing w:after="0" w:line="360" w:lineRule="auto"/>
        <w:ind w:firstLine="482" w:firstLineChars="200"/>
        <w:rPr>
          <w:rFonts w:hint="eastAsia" w:ascii="宋体" w:hAnsi="宋体" w:eastAsia="宋体" w:cs="宋体"/>
          <w:b/>
          <w:bCs/>
          <w:iCs/>
          <w:color w:val="auto"/>
          <w:sz w:val="24"/>
          <w:szCs w:val="24"/>
          <w:highlight w:val="none"/>
          <w:lang w:eastAsia="zh-CN"/>
        </w:rPr>
      </w:pPr>
      <w:r>
        <w:rPr>
          <w:rFonts w:hint="eastAsia" w:ascii="宋体" w:hAnsi="宋体" w:eastAsia="宋体" w:cs="宋体"/>
          <w:b/>
          <w:bCs/>
          <w:iCs/>
          <w:color w:val="auto"/>
          <w:sz w:val="24"/>
          <w:szCs w:val="24"/>
          <w:highlight w:val="none"/>
          <w:lang w:eastAsia="zh-CN"/>
        </w:rPr>
        <w:t>注：本项目为全流程电子化的政府采购项目，供应商应提前熟悉“政采云”相关投标程序，在自有场地配置可音视频通话（带摄像头及话筒的计算机）的稳定网络环境，并按“政采云”开标大厅中的提示完成采购活动。</w:t>
      </w:r>
    </w:p>
    <w:p w14:paraId="63D866E3">
      <w:pPr>
        <w:adjustRightInd w:val="0"/>
        <w:snapToGrid w:val="0"/>
        <w:spacing w:after="0" w:line="360" w:lineRule="auto"/>
        <w:ind w:firstLine="480" w:firstLineChars="200"/>
        <w:rPr>
          <w:rFonts w:hint="eastAsia" w:ascii="宋体" w:hAnsi="宋体" w:eastAsia="宋体" w:cs="宋体"/>
          <w:b w:val="0"/>
          <w:bCs w:val="0"/>
          <w:iCs/>
          <w:color w:val="auto"/>
          <w:sz w:val="24"/>
          <w:szCs w:val="24"/>
          <w:highlight w:val="none"/>
          <w:lang w:eastAsia="zh-CN"/>
        </w:rPr>
      </w:pPr>
      <w:r>
        <w:rPr>
          <w:rFonts w:hint="eastAsia" w:ascii="宋体" w:hAnsi="宋体" w:eastAsia="宋体" w:cs="宋体"/>
          <w:b w:val="0"/>
          <w:bCs w:val="0"/>
          <w:iCs/>
          <w:color w:val="auto"/>
          <w:sz w:val="24"/>
          <w:szCs w:val="24"/>
          <w:highlight w:val="none"/>
          <w:lang w:eastAsia="zh-CN"/>
        </w:rPr>
        <w:t>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 CA 紧急联系方式：15288315056。如因供应商自身原因导致在规定时间内无法正常解密的（如：浏览器故障、未安装相关驱动、网络故障、加密CA与解密CA不一致等），采购人/代理机构不予异常处理，视为</w:t>
      </w:r>
      <w:r>
        <w:rPr>
          <w:rFonts w:hint="eastAsia" w:ascii="宋体" w:hAnsi="宋体" w:eastAsia="宋体" w:cs="宋体"/>
          <w:b w:val="0"/>
          <w:bCs w:val="0"/>
          <w:iCs/>
          <w:color w:val="auto"/>
          <w:sz w:val="24"/>
          <w:szCs w:val="24"/>
          <w:highlight w:val="none"/>
          <w:lang w:val="en-US" w:eastAsia="zh-CN"/>
        </w:rPr>
        <w:t>供应商</w:t>
      </w:r>
      <w:r>
        <w:rPr>
          <w:rFonts w:hint="eastAsia" w:ascii="宋体" w:hAnsi="宋体" w:eastAsia="宋体" w:cs="宋体"/>
          <w:b w:val="0"/>
          <w:bCs w:val="0"/>
          <w:iCs/>
          <w:color w:val="auto"/>
          <w:sz w:val="24"/>
          <w:szCs w:val="24"/>
          <w:highlight w:val="none"/>
          <w:lang w:eastAsia="zh-CN"/>
        </w:rPr>
        <w:t>自动</w:t>
      </w:r>
      <w:r>
        <w:rPr>
          <w:rFonts w:hint="eastAsia" w:ascii="宋体" w:hAnsi="宋体" w:eastAsia="宋体" w:cs="宋体"/>
          <w:b w:val="0"/>
          <w:bCs w:val="0"/>
          <w:iCs/>
          <w:color w:val="auto"/>
          <w:sz w:val="24"/>
          <w:szCs w:val="24"/>
          <w:highlight w:val="none"/>
          <w:lang w:val="en-US" w:eastAsia="zh-CN"/>
        </w:rPr>
        <w:t>弃标。</w:t>
      </w:r>
    </w:p>
    <w:p w14:paraId="56A7DDDD">
      <w:pPr>
        <w:pStyle w:val="25"/>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1"/>
        <w:rPr>
          <w:rFonts w:hint="eastAsia" w:ascii="宋体" w:hAnsi="宋体" w:eastAsia="宋体" w:cs="宋体"/>
          <w:b/>
          <w:bCs/>
          <w:color w:val="auto"/>
          <w:kern w:val="2"/>
          <w:highlight w:val="none"/>
        </w:rPr>
      </w:pPr>
      <w:bookmarkStart w:id="55" w:name="_Toc9720"/>
      <w:bookmarkStart w:id="56" w:name="_Toc23893"/>
      <w:bookmarkStart w:id="57" w:name="_Toc23712"/>
      <w:bookmarkStart w:id="58" w:name="_Toc13953"/>
      <w:r>
        <w:rPr>
          <w:rFonts w:hint="eastAsia" w:ascii="宋体" w:hAnsi="宋体" w:eastAsia="宋体" w:cs="宋体"/>
          <w:b/>
          <w:bCs/>
          <w:color w:val="auto"/>
          <w:kern w:val="2"/>
          <w:highlight w:val="none"/>
          <w:lang w:val="en-US" w:eastAsia="zh-CN"/>
        </w:rPr>
        <w:t>七、</w:t>
      </w:r>
      <w:r>
        <w:rPr>
          <w:rFonts w:hint="eastAsia" w:ascii="宋体" w:hAnsi="宋体" w:eastAsia="宋体" w:cs="宋体"/>
          <w:b/>
          <w:bCs/>
          <w:color w:val="auto"/>
          <w:kern w:val="2"/>
          <w:highlight w:val="none"/>
        </w:rPr>
        <w:t>本项目招标公告在以下网站同步发布：</w:t>
      </w:r>
      <w:bookmarkEnd w:id="55"/>
      <w:bookmarkEnd w:id="56"/>
      <w:bookmarkEnd w:id="57"/>
      <w:bookmarkEnd w:id="58"/>
    </w:p>
    <w:p w14:paraId="5D7AC6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kern w:val="2"/>
          <w:sz w:val="24"/>
          <w:szCs w:val="24"/>
          <w:highlight w:val="none"/>
        </w:rPr>
      </w:pPr>
      <w:r>
        <w:rPr>
          <w:rFonts w:hint="eastAsia" w:ascii="宋体" w:hAnsi="宋体" w:eastAsia="宋体" w:cs="宋体"/>
          <w:iCs/>
          <w:color w:val="auto"/>
          <w:sz w:val="24"/>
          <w:szCs w:val="24"/>
          <w:highlight w:val="none"/>
          <w:lang w:eastAsia="zh-CN"/>
        </w:rPr>
        <w:t>云南省政府采购网（http://www.yngp.com）、“政采云”平台 （http://www.zcygov.cn）</w:t>
      </w:r>
      <w:r>
        <w:rPr>
          <w:rFonts w:hint="eastAsia" w:ascii="宋体" w:hAnsi="宋体" w:eastAsia="宋体" w:cs="宋体"/>
          <w:iCs/>
          <w:color w:val="auto"/>
          <w:sz w:val="24"/>
          <w:szCs w:val="24"/>
          <w:highlight w:val="none"/>
          <w:lang w:val="en-US" w:eastAsia="zh-CN"/>
        </w:rPr>
        <w:t>上同时发布，</w:t>
      </w:r>
      <w:r>
        <w:rPr>
          <w:rFonts w:hint="eastAsia" w:ascii="宋体" w:hAnsi="宋体" w:eastAsia="宋体" w:cs="宋体"/>
          <w:color w:val="auto"/>
          <w:kern w:val="2"/>
          <w:sz w:val="24"/>
          <w:szCs w:val="24"/>
          <w:highlight w:val="none"/>
        </w:rPr>
        <w:t>其它网站转发无效，采购人及采购代理机构均不承担</w:t>
      </w:r>
      <w:r>
        <w:rPr>
          <w:rFonts w:hint="eastAsia" w:ascii="宋体" w:hAnsi="宋体" w:eastAsia="宋体" w:cs="宋体"/>
          <w:color w:val="auto"/>
          <w:kern w:val="2"/>
          <w:sz w:val="24"/>
          <w:szCs w:val="24"/>
          <w:highlight w:val="none"/>
          <w:lang w:val="en-US" w:eastAsia="zh-CN"/>
        </w:rPr>
        <w:t>任何法律</w:t>
      </w:r>
      <w:r>
        <w:rPr>
          <w:rFonts w:hint="eastAsia" w:ascii="宋体" w:hAnsi="宋体" w:eastAsia="宋体" w:cs="宋体"/>
          <w:color w:val="auto"/>
          <w:kern w:val="2"/>
          <w:sz w:val="24"/>
          <w:szCs w:val="24"/>
          <w:highlight w:val="none"/>
        </w:rPr>
        <w:t>责任。</w:t>
      </w:r>
    </w:p>
    <w:p w14:paraId="3C7778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textAlignment w:val="baseline"/>
        <w:outlineLvl w:val="1"/>
        <w:rPr>
          <w:rFonts w:hint="eastAsia" w:ascii="宋体" w:hAnsi="宋体" w:eastAsia="宋体" w:cs="宋体"/>
          <w:b/>
          <w:bCs/>
          <w:color w:val="auto"/>
          <w:spacing w:val="12"/>
          <w:sz w:val="24"/>
          <w:szCs w:val="24"/>
          <w:highlight w:val="none"/>
        </w:rPr>
      </w:pPr>
      <w:bookmarkStart w:id="59" w:name="_Toc10986"/>
      <w:bookmarkStart w:id="60" w:name="_Toc20650"/>
      <w:bookmarkStart w:id="61" w:name="_Toc15777"/>
      <w:bookmarkStart w:id="62" w:name="_Toc2957"/>
      <w:r>
        <w:rPr>
          <w:rFonts w:hint="eastAsia" w:ascii="宋体" w:hAnsi="宋体" w:cs="宋体"/>
          <w:b/>
          <w:bCs/>
          <w:color w:val="auto"/>
          <w:spacing w:val="12"/>
          <w:sz w:val="24"/>
          <w:szCs w:val="24"/>
          <w:highlight w:val="none"/>
          <w:lang w:val="en-US" w:eastAsia="zh-CN"/>
        </w:rPr>
        <w:t xml:space="preserve">八、 </w:t>
      </w:r>
      <w:r>
        <w:rPr>
          <w:rFonts w:hint="eastAsia" w:ascii="宋体" w:hAnsi="宋体" w:eastAsia="宋体" w:cs="宋体"/>
          <w:b/>
          <w:bCs/>
          <w:color w:val="auto"/>
          <w:spacing w:val="12"/>
          <w:sz w:val="24"/>
          <w:szCs w:val="24"/>
          <w:highlight w:val="none"/>
        </w:rPr>
        <w:t>联系方式</w:t>
      </w:r>
      <w:bookmarkEnd w:id="31"/>
      <w:bookmarkEnd w:id="59"/>
      <w:bookmarkEnd w:id="60"/>
      <w:bookmarkEnd w:id="61"/>
      <w:bookmarkEnd w:id="62"/>
    </w:p>
    <w:p w14:paraId="484790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right="0" w:rightChars="0" w:firstLine="272" w:firstLineChars="100"/>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lang w:val="en-US" w:eastAsia="zh-CN"/>
        </w:rPr>
        <w:t>1.</w:t>
      </w:r>
      <w:r>
        <w:rPr>
          <w:rFonts w:hint="eastAsia" w:ascii="宋体" w:hAnsi="宋体" w:eastAsia="宋体" w:cs="宋体"/>
          <w:color w:val="auto"/>
          <w:spacing w:val="16"/>
          <w:sz w:val="24"/>
          <w:szCs w:val="24"/>
          <w:highlight w:val="none"/>
        </w:rPr>
        <w:t>采</w:t>
      </w:r>
      <w:r>
        <w:rPr>
          <w:rFonts w:hint="eastAsia" w:ascii="宋体" w:hAnsi="宋体" w:eastAsia="宋体" w:cs="宋体"/>
          <w:color w:val="auto"/>
          <w:spacing w:val="8"/>
          <w:sz w:val="24"/>
          <w:szCs w:val="24"/>
          <w:highlight w:val="none"/>
        </w:rPr>
        <w:t>购人：</w:t>
      </w:r>
      <w:r>
        <w:rPr>
          <w:rFonts w:hint="eastAsia" w:ascii="宋体" w:hAnsi="宋体" w:cs="宋体"/>
          <w:color w:val="auto"/>
          <w:spacing w:val="8"/>
          <w:sz w:val="24"/>
          <w:szCs w:val="24"/>
          <w:highlight w:val="none"/>
          <w:lang w:eastAsia="zh-CN"/>
        </w:rPr>
        <w:t>鲁甸县新街镇人民政府</w:t>
      </w:r>
    </w:p>
    <w:p w14:paraId="5A75546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9" w:firstLineChars="172"/>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地址：</w:t>
      </w:r>
      <w:r>
        <w:rPr>
          <w:rFonts w:hint="eastAsia" w:ascii="宋体" w:hAnsi="宋体" w:eastAsia="宋体" w:cs="宋体"/>
          <w:color w:val="auto"/>
          <w:spacing w:val="2"/>
          <w:sz w:val="24"/>
          <w:szCs w:val="24"/>
          <w:highlight w:val="none"/>
          <w:lang w:val="en-US" w:eastAsia="zh-CN"/>
        </w:rPr>
        <w:t>鲁甸县新街镇新街社区居民委员会第10村民小组</w:t>
      </w:r>
    </w:p>
    <w:p w14:paraId="1D5614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9" w:firstLineChars="16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1"/>
          <w:sz w:val="24"/>
          <w:szCs w:val="24"/>
          <w:highlight w:val="none"/>
        </w:rPr>
        <w:t>联</w:t>
      </w:r>
      <w:r>
        <w:rPr>
          <w:rFonts w:hint="eastAsia" w:ascii="宋体" w:hAnsi="宋体" w:eastAsia="宋体" w:cs="宋体"/>
          <w:color w:val="auto"/>
          <w:spacing w:val="8"/>
          <w:sz w:val="24"/>
          <w:szCs w:val="24"/>
          <w:highlight w:val="none"/>
        </w:rPr>
        <w:t>系人：李泽瑞</w:t>
      </w:r>
    </w:p>
    <w:p w14:paraId="581F51D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66"/>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联系电话：19995909184</w:t>
      </w:r>
    </w:p>
    <w:p w14:paraId="2CDDEE4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66"/>
        <w:textAlignment w:val="baseline"/>
        <w:rPr>
          <w:rFonts w:hint="eastAsia" w:ascii="宋体" w:hAnsi="宋体" w:eastAsia="宋体" w:cs="宋体"/>
          <w:color w:val="auto"/>
          <w:spacing w:val="6"/>
          <w:sz w:val="24"/>
          <w:szCs w:val="24"/>
          <w:highlight w:val="none"/>
          <w:lang w:val="en-US" w:eastAsia="zh-CN"/>
        </w:rPr>
      </w:pPr>
    </w:p>
    <w:p w14:paraId="694EB1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9" w:firstLineChars="152"/>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8"/>
          <w:sz w:val="24"/>
          <w:szCs w:val="24"/>
          <w:highlight w:val="none"/>
          <w:lang w:val="en-US" w:eastAsia="zh-CN"/>
        </w:rPr>
        <w:t>2.</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4"/>
          <w:sz w:val="24"/>
          <w:szCs w:val="24"/>
          <w:highlight w:val="none"/>
        </w:rPr>
        <w:t>购</w:t>
      </w:r>
      <w:r>
        <w:rPr>
          <w:rFonts w:hint="eastAsia" w:ascii="宋体" w:hAnsi="宋体" w:eastAsia="宋体" w:cs="宋体"/>
          <w:color w:val="auto"/>
          <w:spacing w:val="9"/>
          <w:sz w:val="24"/>
          <w:szCs w:val="24"/>
          <w:highlight w:val="none"/>
        </w:rPr>
        <w:t>代理机构：</w:t>
      </w:r>
      <w:r>
        <w:rPr>
          <w:rFonts w:hint="eastAsia" w:ascii="宋体" w:hAnsi="宋体" w:eastAsia="宋体" w:cs="宋体"/>
          <w:color w:val="auto"/>
          <w:spacing w:val="9"/>
          <w:sz w:val="24"/>
          <w:szCs w:val="24"/>
          <w:highlight w:val="none"/>
          <w:lang w:eastAsia="zh-CN"/>
        </w:rPr>
        <w:t>云南烽越项目管理咨询有限公司</w:t>
      </w:r>
    </w:p>
    <w:p w14:paraId="043D6D3A">
      <w:pPr>
        <w:keepNext w:val="0"/>
        <w:keepLines w:val="0"/>
        <w:pageBreakBefore w:val="0"/>
        <w:widowControl/>
        <w:kinsoku w:val="0"/>
        <w:wordWrap/>
        <w:overflowPunct/>
        <w:topLinePunct w:val="0"/>
        <w:autoSpaceDE w:val="0"/>
        <w:autoSpaceDN w:val="0"/>
        <w:bidi w:val="0"/>
        <w:adjustRightInd w:val="0"/>
        <w:snapToGrid w:val="0"/>
        <w:spacing w:line="360" w:lineRule="auto"/>
        <w:ind w:firstLine="44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地</w:t>
      </w:r>
      <w:r>
        <w:rPr>
          <w:rFonts w:hint="eastAsia" w:ascii="宋体" w:hAnsi="宋体" w:eastAsia="宋体" w:cs="宋体"/>
          <w:color w:val="auto"/>
          <w:spacing w:val="-4"/>
          <w:sz w:val="24"/>
          <w:szCs w:val="24"/>
          <w:highlight w:val="none"/>
        </w:rPr>
        <w:t>址：</w:t>
      </w:r>
      <w:r>
        <w:rPr>
          <w:rFonts w:hint="eastAsia" w:ascii="宋体" w:hAnsi="宋体" w:eastAsia="宋体" w:cs="宋体"/>
          <w:color w:val="auto"/>
          <w:spacing w:val="-4"/>
          <w:sz w:val="24"/>
          <w:szCs w:val="24"/>
          <w:highlight w:val="none"/>
          <w:lang w:eastAsia="zh-CN"/>
        </w:rPr>
        <w:t>云南省昭通市昭阳区凤凰街道远大广场12幢804室</w:t>
      </w:r>
    </w:p>
    <w:p w14:paraId="5FA28DE2">
      <w:pPr>
        <w:keepNext w:val="0"/>
        <w:keepLines w:val="0"/>
        <w:pageBreakBefore w:val="0"/>
        <w:widowControl/>
        <w:kinsoku w:val="0"/>
        <w:wordWrap/>
        <w:overflowPunct/>
        <w:topLinePunct w:val="0"/>
        <w:autoSpaceDE w:val="0"/>
        <w:autoSpaceDN w:val="0"/>
        <w:bidi w:val="0"/>
        <w:adjustRightInd w:val="0"/>
        <w:snapToGrid w:val="0"/>
        <w:spacing w:line="360" w:lineRule="auto"/>
        <w:ind w:firstLine="444"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联</w:t>
      </w:r>
      <w:r>
        <w:rPr>
          <w:rFonts w:hint="eastAsia" w:ascii="宋体" w:hAnsi="宋体" w:eastAsia="宋体" w:cs="宋体"/>
          <w:color w:val="auto"/>
          <w:spacing w:val="-7"/>
          <w:sz w:val="24"/>
          <w:szCs w:val="24"/>
          <w:highlight w:val="none"/>
        </w:rPr>
        <w:t>系人：</w:t>
      </w:r>
      <w:r>
        <w:rPr>
          <w:rFonts w:hint="eastAsia" w:ascii="宋体" w:hAnsi="宋体" w:cs="宋体"/>
          <w:color w:val="auto"/>
          <w:spacing w:val="-7"/>
          <w:sz w:val="24"/>
          <w:szCs w:val="24"/>
          <w:highlight w:val="none"/>
          <w:lang w:val="en-US" w:eastAsia="zh-CN"/>
        </w:rPr>
        <w:t>李丹、孙黎叶</w:t>
      </w:r>
    </w:p>
    <w:p w14:paraId="61F2BF7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66"/>
        <w:textAlignment w:val="baseline"/>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联系电话：</w:t>
      </w:r>
      <w:r>
        <w:rPr>
          <w:rFonts w:hint="eastAsia" w:ascii="宋体" w:hAnsi="宋体" w:eastAsia="宋体" w:cs="宋体"/>
          <w:color w:val="auto"/>
          <w:spacing w:val="6"/>
          <w:sz w:val="24"/>
          <w:szCs w:val="24"/>
          <w:highlight w:val="none"/>
          <w:lang w:eastAsia="zh-CN"/>
        </w:rPr>
        <w:t>0870-2834168</w:t>
      </w:r>
    </w:p>
    <w:p w14:paraId="4DDB6B7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34" w:firstLineChars="166"/>
        <w:textAlignment w:val="baseline"/>
        <w:rPr>
          <w:rFonts w:hint="eastAsia" w:ascii="宋体" w:hAnsi="宋体" w:eastAsia="宋体" w:cs="宋体"/>
          <w:color w:val="auto"/>
          <w:position w:val="6"/>
          <w:sz w:val="24"/>
          <w:szCs w:val="24"/>
          <w:highlight w:val="none"/>
          <w:lang w:eastAsia="zh-CN"/>
        </w:rPr>
      </w:pPr>
      <w:r>
        <w:rPr>
          <w:rFonts w:hint="eastAsia" w:ascii="宋体" w:hAnsi="宋体" w:eastAsia="宋体" w:cs="宋体"/>
          <w:color w:val="auto"/>
          <w:spacing w:val="11"/>
          <w:position w:val="6"/>
          <w:sz w:val="24"/>
          <w:szCs w:val="24"/>
          <w:highlight w:val="none"/>
        </w:rPr>
        <w:t>电</w:t>
      </w:r>
      <w:r>
        <w:rPr>
          <w:rFonts w:hint="eastAsia" w:ascii="宋体" w:hAnsi="宋体" w:eastAsia="宋体" w:cs="宋体"/>
          <w:color w:val="auto"/>
          <w:spacing w:val="9"/>
          <w:position w:val="6"/>
          <w:sz w:val="24"/>
          <w:szCs w:val="24"/>
          <w:highlight w:val="none"/>
        </w:rPr>
        <w:t>子邮箱：</w:t>
      </w:r>
      <w:r>
        <w:rPr>
          <w:rFonts w:hint="eastAsia" w:ascii="宋体" w:hAnsi="宋体" w:eastAsia="宋体" w:cs="宋体"/>
          <w:color w:val="auto"/>
          <w:position w:val="6"/>
          <w:sz w:val="24"/>
          <w:szCs w:val="24"/>
          <w:highlight w:val="none"/>
          <w:lang w:eastAsia="zh-CN"/>
        </w:rPr>
        <w:fldChar w:fldCharType="begin"/>
      </w:r>
      <w:r>
        <w:rPr>
          <w:rFonts w:hint="eastAsia" w:ascii="宋体" w:hAnsi="宋体" w:eastAsia="宋体" w:cs="宋体"/>
          <w:color w:val="auto"/>
          <w:position w:val="6"/>
          <w:sz w:val="24"/>
          <w:szCs w:val="24"/>
          <w:highlight w:val="none"/>
          <w:lang w:eastAsia="zh-CN"/>
        </w:rPr>
        <w:instrText xml:space="preserve"> HYPERLINK "mailto:ynfyxmgl@163.com" </w:instrText>
      </w:r>
      <w:r>
        <w:rPr>
          <w:rFonts w:hint="eastAsia" w:ascii="宋体" w:hAnsi="宋体" w:eastAsia="宋体" w:cs="宋体"/>
          <w:color w:val="auto"/>
          <w:position w:val="6"/>
          <w:sz w:val="24"/>
          <w:szCs w:val="24"/>
          <w:highlight w:val="none"/>
          <w:lang w:eastAsia="zh-CN"/>
        </w:rPr>
        <w:fldChar w:fldCharType="separate"/>
      </w:r>
      <w:r>
        <w:rPr>
          <w:rStyle w:val="31"/>
          <w:rFonts w:hint="eastAsia" w:ascii="宋体" w:hAnsi="宋体" w:eastAsia="宋体" w:cs="宋体"/>
          <w:color w:val="auto"/>
          <w:position w:val="6"/>
          <w:sz w:val="24"/>
          <w:szCs w:val="24"/>
          <w:highlight w:val="none"/>
          <w:lang w:eastAsia="zh-CN"/>
        </w:rPr>
        <w:t>ynfyxmgl@163.com</w:t>
      </w:r>
      <w:r>
        <w:rPr>
          <w:rFonts w:hint="eastAsia" w:ascii="宋体" w:hAnsi="宋体" w:eastAsia="宋体" w:cs="宋体"/>
          <w:color w:val="auto"/>
          <w:position w:val="6"/>
          <w:sz w:val="24"/>
          <w:szCs w:val="24"/>
          <w:highlight w:val="none"/>
          <w:lang w:eastAsia="zh-CN"/>
        </w:rPr>
        <w:fldChar w:fldCharType="end"/>
      </w:r>
    </w:p>
    <w:p w14:paraId="2F5536F2">
      <w:pPr>
        <w:numPr>
          <w:ilvl w:val="0"/>
          <w:numId w:val="0"/>
        </w:numPr>
        <w:spacing w:line="360" w:lineRule="auto"/>
        <w:ind w:left="456" w:leftChars="0"/>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3.项目联系人</w:t>
      </w:r>
    </w:p>
    <w:p w14:paraId="14E3B6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9" w:firstLineChars="16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1"/>
          <w:sz w:val="24"/>
          <w:szCs w:val="24"/>
          <w:highlight w:val="none"/>
        </w:rPr>
        <w:t>联</w:t>
      </w:r>
      <w:r>
        <w:rPr>
          <w:rFonts w:hint="eastAsia" w:ascii="宋体" w:hAnsi="宋体" w:eastAsia="宋体" w:cs="宋体"/>
          <w:color w:val="auto"/>
          <w:spacing w:val="8"/>
          <w:sz w:val="24"/>
          <w:szCs w:val="24"/>
          <w:highlight w:val="none"/>
        </w:rPr>
        <w:t>系人：李泽瑞</w:t>
      </w:r>
    </w:p>
    <w:p w14:paraId="564DB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18" w:firstLineChars="166"/>
        <w:textAlignment w:val="baseline"/>
        <w:rPr>
          <w:rFonts w:hint="eastAsia" w:ascii="宋体" w:hAnsi="宋体" w:eastAsia="宋体" w:cs="宋体"/>
          <w:color w:val="auto"/>
          <w:sz w:val="36"/>
          <w:szCs w:val="36"/>
          <w:highlight w:val="none"/>
        </w:rPr>
      </w:pPr>
      <w:r>
        <w:rPr>
          <w:rFonts w:hint="eastAsia" w:ascii="宋体" w:hAnsi="宋体" w:eastAsia="宋体" w:cs="宋体"/>
          <w:color w:val="auto"/>
          <w:spacing w:val="6"/>
          <w:sz w:val="24"/>
          <w:szCs w:val="24"/>
          <w:highlight w:val="none"/>
        </w:rPr>
        <w:t>联系电话：19995909184</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br w:type="page"/>
      </w:r>
    </w:p>
    <w:p w14:paraId="5223C586">
      <w:pPr>
        <w:pStyle w:val="2"/>
        <w:numPr>
          <w:ilvl w:val="0"/>
          <w:numId w:val="0"/>
        </w:numPr>
        <w:adjustRightInd w:val="0"/>
        <w:snapToGrid w:val="0"/>
        <w:spacing w:line="360" w:lineRule="auto"/>
        <w:jc w:val="center"/>
        <w:rPr>
          <w:rFonts w:hint="eastAsia" w:ascii="宋体" w:hAnsi="宋体" w:eastAsia="宋体" w:cs="宋体"/>
          <w:color w:val="auto"/>
          <w:sz w:val="36"/>
          <w:szCs w:val="36"/>
          <w:highlight w:val="none"/>
        </w:rPr>
      </w:pPr>
      <w:bookmarkStart w:id="63" w:name="_Toc20097"/>
      <w:r>
        <w:rPr>
          <w:rFonts w:hint="eastAsia" w:ascii="宋体" w:hAnsi="宋体" w:eastAsia="宋体" w:cs="宋体"/>
          <w:color w:val="auto"/>
          <w:sz w:val="36"/>
          <w:szCs w:val="36"/>
          <w:highlight w:val="none"/>
          <w:lang w:val="en-US" w:eastAsia="zh-CN"/>
        </w:rPr>
        <w:t xml:space="preserve">第二章    </w:t>
      </w:r>
      <w:r>
        <w:rPr>
          <w:rFonts w:hint="eastAsia" w:ascii="宋体" w:hAnsi="宋体" w:eastAsia="宋体" w:cs="宋体"/>
          <w:color w:val="auto"/>
          <w:sz w:val="36"/>
          <w:szCs w:val="36"/>
          <w:highlight w:val="none"/>
        </w:rPr>
        <w:t>供应商须知</w:t>
      </w:r>
      <w:bookmarkEnd w:id="63"/>
    </w:p>
    <w:p w14:paraId="0CB12635">
      <w:pPr>
        <w:numPr>
          <w:ilvl w:val="0"/>
          <w:numId w:val="0"/>
        </w:num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供应商须知前附表</w:t>
      </w:r>
    </w:p>
    <w:tbl>
      <w:tblPr>
        <w:tblStyle w:val="47"/>
        <w:tblW w:w="9533"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9"/>
        <w:gridCol w:w="1572"/>
        <w:gridCol w:w="7062"/>
      </w:tblGrid>
      <w:tr w14:paraId="16828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899" w:type="dxa"/>
            <w:vAlign w:val="center"/>
          </w:tcPr>
          <w:p w14:paraId="396715C8">
            <w:pPr>
              <w:adjustRightInd w:val="0"/>
              <w:snapToGrid w:val="0"/>
              <w:spacing w:line="360" w:lineRule="auto"/>
              <w:jc w:val="center"/>
              <w:rPr>
                <w:rFonts w:hint="eastAsia" w:ascii="宋体" w:hAnsi="宋体" w:eastAsia="宋体" w:cs="宋体"/>
                <w:color w:val="auto"/>
                <w:sz w:val="24"/>
                <w:szCs w:val="24"/>
                <w:highlight w:val="none"/>
              </w:rPr>
            </w:pPr>
            <w:bookmarkStart w:id="64" w:name="_Toc229583199"/>
            <w:bookmarkStart w:id="65" w:name="_Toc303168487"/>
            <w:bookmarkStart w:id="66" w:name="_Toc305846481"/>
            <w:bookmarkStart w:id="67" w:name="_Toc152047200"/>
            <w:bookmarkStart w:id="68" w:name="_Toc144974404"/>
            <w:bookmarkStart w:id="69" w:name="_Toc179715693"/>
            <w:r>
              <w:rPr>
                <w:rFonts w:hint="eastAsia" w:ascii="宋体" w:hAnsi="宋体" w:eastAsia="宋体" w:cs="宋体"/>
                <w:color w:val="auto"/>
                <w:sz w:val="24"/>
                <w:szCs w:val="24"/>
                <w:highlight w:val="none"/>
              </w:rPr>
              <w:t>条款号</w:t>
            </w:r>
          </w:p>
        </w:tc>
        <w:tc>
          <w:tcPr>
            <w:tcW w:w="1572" w:type="dxa"/>
            <w:vAlign w:val="center"/>
          </w:tcPr>
          <w:p w14:paraId="746E98C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条目</w:t>
            </w:r>
          </w:p>
        </w:tc>
        <w:tc>
          <w:tcPr>
            <w:tcW w:w="7062" w:type="dxa"/>
            <w:vAlign w:val="center"/>
          </w:tcPr>
          <w:p w14:paraId="45284A2D">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5A47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99" w:type="dxa"/>
            <w:vAlign w:val="center"/>
          </w:tcPr>
          <w:p w14:paraId="4B7C1F93">
            <w:pPr>
              <w:adjustRightInd w:val="0"/>
              <w:snapToGrid w:val="0"/>
              <w:spacing w:line="360" w:lineRule="auto"/>
              <w:jc w:val="center"/>
              <w:rPr>
                <w:rFonts w:hint="eastAsia" w:ascii="宋体" w:hAnsi="宋体" w:eastAsia="宋体" w:cs="宋体"/>
                <w:color w:val="auto"/>
                <w:sz w:val="24"/>
                <w:szCs w:val="24"/>
                <w:highlight w:val="none"/>
                <w:lang w:val="en-US" w:eastAsia="zh-CN"/>
              </w:rPr>
            </w:pPr>
            <w:bookmarkStart w:id="70" w:name="OLE_LINK34" w:colFirst="0" w:colLast="2"/>
            <w:r>
              <w:rPr>
                <w:rFonts w:hint="eastAsia" w:ascii="宋体" w:hAnsi="宋体" w:eastAsia="宋体" w:cs="宋体"/>
                <w:color w:val="auto"/>
                <w:sz w:val="24"/>
                <w:szCs w:val="24"/>
                <w:highlight w:val="none"/>
                <w:lang w:val="en-US" w:eastAsia="zh-CN"/>
              </w:rPr>
              <w:t>1</w:t>
            </w:r>
          </w:p>
        </w:tc>
        <w:tc>
          <w:tcPr>
            <w:tcW w:w="1572" w:type="dxa"/>
            <w:vAlign w:val="center"/>
          </w:tcPr>
          <w:p w14:paraId="1CC40B5C">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w:t>
            </w:r>
          </w:p>
        </w:tc>
        <w:tc>
          <w:tcPr>
            <w:tcW w:w="7062" w:type="dxa"/>
            <w:vAlign w:val="center"/>
          </w:tcPr>
          <w:p w14:paraId="1E5733DF">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鲁甸县新街镇人民政府</w:t>
            </w:r>
          </w:p>
          <w:p w14:paraId="6EE7A76A">
            <w:pPr>
              <w:adjustRightInd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鲁甸县新街镇新街社区居民委员会第10村民小组</w:t>
            </w:r>
          </w:p>
          <w:p w14:paraId="4C9371BC">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8"/>
                <w:sz w:val="24"/>
                <w:szCs w:val="24"/>
                <w:highlight w:val="none"/>
              </w:rPr>
              <w:t>李泽瑞</w:t>
            </w:r>
          </w:p>
          <w:p w14:paraId="532663FC">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pacing w:val="6"/>
                <w:sz w:val="24"/>
                <w:szCs w:val="24"/>
                <w:highlight w:val="none"/>
              </w:rPr>
              <w:t>19995909184</w:t>
            </w:r>
          </w:p>
        </w:tc>
      </w:tr>
      <w:bookmarkEnd w:id="70"/>
      <w:tr w14:paraId="7A603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99" w:type="dxa"/>
            <w:vAlign w:val="center"/>
          </w:tcPr>
          <w:p w14:paraId="3CAB2C0E">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572" w:type="dxa"/>
            <w:vAlign w:val="center"/>
          </w:tcPr>
          <w:p w14:paraId="6B3109EF">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采购代理机构</w:t>
            </w:r>
          </w:p>
        </w:tc>
        <w:tc>
          <w:tcPr>
            <w:tcW w:w="7062" w:type="dxa"/>
            <w:vAlign w:val="center"/>
          </w:tcPr>
          <w:p w14:paraId="010936F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云南烽越项目管理咨询有限公司</w:t>
            </w:r>
          </w:p>
          <w:p w14:paraId="6E57DCBC">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云南省昭通市昭阳区凤凰街道远大广</w:t>
            </w:r>
            <w:r>
              <w:rPr>
                <w:rFonts w:hint="eastAsia" w:ascii="宋体" w:hAnsi="宋体" w:eastAsia="宋体" w:cs="宋体"/>
                <w:b w:val="0"/>
                <w:bCs w:val="0"/>
                <w:color w:val="auto"/>
                <w:sz w:val="24"/>
                <w:szCs w:val="24"/>
                <w:highlight w:val="none"/>
                <w:lang w:eastAsia="zh-CN"/>
              </w:rPr>
              <w:t>场12 幢804室</w:t>
            </w:r>
          </w:p>
          <w:p w14:paraId="0EBFCE7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 系 人：</w:t>
            </w:r>
            <w:r>
              <w:rPr>
                <w:rFonts w:hint="eastAsia" w:ascii="宋体" w:hAnsi="宋体" w:cs="宋体"/>
                <w:color w:val="auto"/>
                <w:spacing w:val="-7"/>
                <w:sz w:val="24"/>
                <w:szCs w:val="24"/>
                <w:highlight w:val="none"/>
                <w:lang w:val="en-US" w:eastAsia="zh-CN"/>
              </w:rPr>
              <w:t>李丹、孙黎叶</w:t>
            </w:r>
          </w:p>
          <w:p w14:paraId="62687D53">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0870-2834168</w:t>
            </w:r>
          </w:p>
          <w:p w14:paraId="7EC963B0">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电子邮箱：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"mailto:ynjczbzt@163.com"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ynfyxmgl@163.com</w:t>
            </w:r>
            <w:r>
              <w:rPr>
                <w:rFonts w:hint="eastAsia" w:ascii="宋体" w:hAnsi="宋体" w:eastAsia="宋体" w:cs="宋体"/>
                <w:color w:val="auto"/>
                <w:sz w:val="24"/>
                <w:szCs w:val="24"/>
                <w:highlight w:val="none"/>
              </w:rPr>
              <w:fldChar w:fldCharType="end"/>
            </w:r>
          </w:p>
        </w:tc>
      </w:tr>
      <w:tr w14:paraId="7936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899" w:type="dxa"/>
            <w:vAlign w:val="center"/>
          </w:tcPr>
          <w:p w14:paraId="0A804A64">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572" w:type="dxa"/>
            <w:vAlign w:val="center"/>
          </w:tcPr>
          <w:p w14:paraId="1311BF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建设内容</w:t>
            </w:r>
          </w:p>
        </w:tc>
        <w:tc>
          <w:tcPr>
            <w:tcW w:w="7062" w:type="dxa"/>
            <w:vAlign w:val="center"/>
          </w:tcPr>
          <w:p w14:paraId="38BD1031">
            <w:pPr>
              <w:widowControl w:val="0"/>
              <w:adjustRightInd w:val="0"/>
              <w:snapToGrid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（一）闪桥村易地扶贫搬迁安置点 1.供水设施工程：修缮现有 5 立方米砖砌取水池 1 座； 2.晾晒场地工程：在安置户前院硬化晾晒场地，面积合计 1000 平方米； 3.道路硬化工程：硬化连接安置点和农业种植区的 100 平方米 土石路硬化； 4.排污工程：新建 20 米污水管（直径 30 公分波纹管），提升污水排放能力； 5.安全防护工程：安装 30 米道路安全防护设施； 6.照明工程：新建 10 盏 6 米高照明路灯，维修更换 10 盏现有照明路灯。 </w:t>
            </w:r>
          </w:p>
          <w:p w14:paraId="069BB469">
            <w:pPr>
              <w:widowControl w:val="0"/>
              <w:adjustRightInd w:val="0"/>
              <w:snapToGrid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（二）桥边易地扶贫搬迁安置点 1.供水工程：修缮现有 5 立方米砖砌取水池 1 座，新增埋设PE50 给水管 400 米； 2.农机场地工程：结合安置户农业生产需求在安置户山墙两侧新建农机摆放场地，兼顾停车需求，面积合计 3675.9 平方米； 3.道路硬化工程：硬化安置点入口处破损严重路面，面积 167.9 平方米；4.晾晒场地工程：在安置户前院新建晾晒场地，面积合计 1100 平方米；配套安装 100 米路沿石； 5.安全防护工程：维修桥两侧安全防护设施 75.5 米；新安装镀锌钢管防护设施 90 米；河边、护堤处完成 75 立方米零星砖砌体防护设施施工； 6.排污工程：更换 60 个破损污水井盖；新建 20 立方米污水池 1 座；安装 380 米 DN100 镀锌管；配备 1 套污水自动抽水系统（含两套水泵，一备一用）； </w:t>
            </w:r>
          </w:p>
          <w:p w14:paraId="4DA64048">
            <w:pPr>
              <w:widowControl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7.照明工程：新建 20 盏 6 米高照明路灯； 8.土方工程：上述各项工程产生的废弃土方外运 750 立方米</w:t>
            </w:r>
            <w:r>
              <w:rPr>
                <w:rFonts w:hint="eastAsia" w:ascii="宋体" w:hAnsi="宋体" w:cs="宋体"/>
                <w:color w:val="auto"/>
                <w:kern w:val="2"/>
                <w:sz w:val="24"/>
                <w:szCs w:val="21"/>
                <w:highlight w:val="none"/>
                <w:lang w:val="en-US" w:eastAsia="zh-CN" w:bidi="zh-CN"/>
              </w:rPr>
              <w:t>（具体内容详见工程量清单以及图纸要求）</w:t>
            </w:r>
          </w:p>
        </w:tc>
      </w:tr>
      <w:tr w14:paraId="72FBF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99" w:type="dxa"/>
            <w:vAlign w:val="center"/>
          </w:tcPr>
          <w:p w14:paraId="15652297">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572" w:type="dxa"/>
            <w:vAlign w:val="center"/>
          </w:tcPr>
          <w:p w14:paraId="1647247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7062" w:type="dxa"/>
            <w:vAlign w:val="center"/>
          </w:tcPr>
          <w:p w14:paraId="5AC4AC97">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2026年常态化帮扶资金</w:t>
            </w:r>
          </w:p>
        </w:tc>
      </w:tr>
      <w:tr w14:paraId="76252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99" w:type="dxa"/>
            <w:vAlign w:val="center"/>
          </w:tcPr>
          <w:p w14:paraId="4D71F33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572" w:type="dxa"/>
            <w:vAlign w:val="center"/>
          </w:tcPr>
          <w:p w14:paraId="3AC20AE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出资比例</w:t>
            </w:r>
          </w:p>
        </w:tc>
        <w:tc>
          <w:tcPr>
            <w:tcW w:w="7062" w:type="dxa"/>
            <w:vAlign w:val="center"/>
          </w:tcPr>
          <w:p w14:paraId="1C4FF7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14:paraId="61DB9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899" w:type="dxa"/>
            <w:vAlign w:val="center"/>
          </w:tcPr>
          <w:p w14:paraId="449F987B">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572" w:type="dxa"/>
            <w:vAlign w:val="center"/>
          </w:tcPr>
          <w:p w14:paraId="6E7C56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7062" w:type="dxa"/>
            <w:vAlign w:val="center"/>
          </w:tcPr>
          <w:p w14:paraId="7B10C40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已落实</w:t>
            </w:r>
          </w:p>
        </w:tc>
      </w:tr>
      <w:tr w14:paraId="268CC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99" w:type="dxa"/>
            <w:vAlign w:val="center"/>
          </w:tcPr>
          <w:p w14:paraId="386D56A2">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572" w:type="dxa"/>
            <w:vAlign w:val="center"/>
          </w:tcPr>
          <w:p w14:paraId="2FAD92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计划工期</w:t>
            </w:r>
          </w:p>
        </w:tc>
        <w:tc>
          <w:tcPr>
            <w:tcW w:w="7062" w:type="dxa"/>
            <w:vAlign w:val="center"/>
          </w:tcPr>
          <w:p w14:paraId="3C53E795">
            <w:pPr>
              <w:widowControl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120日历天</w:t>
            </w:r>
            <w:r>
              <w:rPr>
                <w:rFonts w:hint="eastAsia" w:ascii="宋体" w:hAnsi="宋体" w:eastAsia="宋体" w:cs="宋体"/>
                <w:color w:val="auto"/>
                <w:kern w:val="2"/>
                <w:sz w:val="24"/>
                <w:szCs w:val="21"/>
                <w:highlight w:val="none"/>
                <w:lang w:bidi="zh-CN"/>
              </w:rPr>
              <w:t>。</w:t>
            </w:r>
          </w:p>
        </w:tc>
      </w:tr>
      <w:tr w14:paraId="0B847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899" w:type="dxa"/>
            <w:vAlign w:val="center"/>
          </w:tcPr>
          <w:p w14:paraId="26D07DBD">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572" w:type="dxa"/>
            <w:vAlign w:val="center"/>
          </w:tcPr>
          <w:p w14:paraId="19CAC4E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项目实施地点</w:t>
            </w:r>
          </w:p>
        </w:tc>
        <w:tc>
          <w:tcPr>
            <w:tcW w:w="7062" w:type="dxa"/>
            <w:vAlign w:val="center"/>
          </w:tcPr>
          <w:p w14:paraId="2AEF68D0">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鲁甸县新街镇闪桥村委会</w:t>
            </w:r>
          </w:p>
        </w:tc>
      </w:tr>
      <w:tr w14:paraId="35869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99" w:type="dxa"/>
            <w:vAlign w:val="center"/>
          </w:tcPr>
          <w:p w14:paraId="5E8B746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572" w:type="dxa"/>
            <w:vAlign w:val="center"/>
          </w:tcPr>
          <w:p w14:paraId="512FB3A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质量标准</w:t>
            </w:r>
          </w:p>
        </w:tc>
        <w:tc>
          <w:tcPr>
            <w:tcW w:w="7062" w:type="dxa"/>
            <w:vAlign w:val="center"/>
          </w:tcPr>
          <w:p w14:paraId="7CDB841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、行业及地方现行的相关标准及规范，并</w:t>
            </w:r>
            <w:r>
              <w:rPr>
                <w:rFonts w:hint="eastAsia" w:ascii="宋体" w:hAnsi="宋体" w:eastAsia="宋体" w:cs="宋体"/>
                <w:color w:val="auto"/>
                <w:sz w:val="24"/>
                <w:szCs w:val="24"/>
                <w:highlight w:val="none"/>
                <w:lang w:val="en-US" w:eastAsia="zh-CN"/>
              </w:rPr>
              <w:t>一次性验收合格。</w:t>
            </w:r>
          </w:p>
        </w:tc>
      </w:tr>
      <w:tr w14:paraId="3ADE4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99" w:type="dxa"/>
            <w:vAlign w:val="center"/>
          </w:tcPr>
          <w:p w14:paraId="1E62841F">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572" w:type="dxa"/>
            <w:vAlign w:val="center"/>
          </w:tcPr>
          <w:p w14:paraId="3471F894">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供应商资格要求</w:t>
            </w:r>
          </w:p>
        </w:tc>
        <w:tc>
          <w:tcPr>
            <w:tcW w:w="7062" w:type="dxa"/>
            <w:vAlign w:val="center"/>
          </w:tcPr>
          <w:p w14:paraId="41FD2B94">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详见“竞争性磋商公告</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供应商应具备的资格要求”</w:t>
            </w:r>
          </w:p>
        </w:tc>
      </w:tr>
      <w:tr w14:paraId="4763A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899" w:type="dxa"/>
            <w:vAlign w:val="center"/>
          </w:tcPr>
          <w:p w14:paraId="4286901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572" w:type="dxa"/>
            <w:vAlign w:val="center"/>
          </w:tcPr>
          <w:p w14:paraId="3048C5C5">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构成竞争性磋商文件的其他材料</w:t>
            </w:r>
          </w:p>
        </w:tc>
        <w:tc>
          <w:tcPr>
            <w:tcW w:w="7062" w:type="dxa"/>
            <w:vAlign w:val="center"/>
          </w:tcPr>
          <w:p w14:paraId="7990841A">
            <w:pPr>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采购人以书面形式发出的答疑书、补遗书或通知等</w:t>
            </w:r>
          </w:p>
        </w:tc>
      </w:tr>
      <w:tr w14:paraId="78720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899" w:type="dxa"/>
            <w:vAlign w:val="center"/>
          </w:tcPr>
          <w:p w14:paraId="5AFE2991">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572" w:type="dxa"/>
            <w:vAlign w:val="center"/>
          </w:tcPr>
          <w:p w14:paraId="59795BB6">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062" w:type="dxa"/>
            <w:vAlign w:val="center"/>
          </w:tcPr>
          <w:p w14:paraId="4795F6C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6A47CE2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w:t>
            </w:r>
          </w:p>
          <w:p w14:paraId="7AD74A2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□货物：单一产品或核心产品为：/，核心产品相关内容参照财政部87号令有关规定执行。</w:t>
            </w:r>
          </w:p>
          <w:p w14:paraId="3698A59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w:t>
            </w:r>
          </w:p>
        </w:tc>
      </w:tr>
      <w:tr w14:paraId="32F19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99" w:type="dxa"/>
            <w:vMerge w:val="restart"/>
            <w:vAlign w:val="center"/>
          </w:tcPr>
          <w:p w14:paraId="430CF2B1">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572" w:type="dxa"/>
            <w:vAlign w:val="center"/>
          </w:tcPr>
          <w:p w14:paraId="5567C27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062" w:type="dxa"/>
            <w:vAlign w:val="center"/>
          </w:tcPr>
          <w:p w14:paraId="376B4D2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112F108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分</w:t>
            </w:r>
          </w:p>
          <w:p w14:paraId="58A61812">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tc>
      </w:tr>
      <w:tr w14:paraId="27C96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99" w:type="dxa"/>
            <w:vMerge w:val="continue"/>
            <w:tcBorders>
              <w:top w:val="nil"/>
            </w:tcBorders>
            <w:vAlign w:val="center"/>
          </w:tcPr>
          <w:p w14:paraId="3BD4D00F">
            <w:pPr>
              <w:adjustRightInd w:val="0"/>
              <w:snapToGrid w:val="0"/>
              <w:spacing w:line="360" w:lineRule="auto"/>
              <w:jc w:val="center"/>
              <w:rPr>
                <w:rFonts w:hint="eastAsia" w:ascii="宋体" w:hAnsi="宋体" w:eastAsia="宋体" w:cs="宋体"/>
                <w:color w:val="auto"/>
                <w:sz w:val="24"/>
                <w:szCs w:val="24"/>
                <w:highlight w:val="none"/>
              </w:rPr>
            </w:pPr>
          </w:p>
        </w:tc>
        <w:tc>
          <w:tcPr>
            <w:tcW w:w="1572" w:type="dxa"/>
            <w:vAlign w:val="center"/>
          </w:tcPr>
          <w:p w14:paraId="2906848B">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062" w:type="dxa"/>
            <w:vAlign w:val="center"/>
          </w:tcPr>
          <w:p w14:paraId="64CBA52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4A5FA47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分</w:t>
            </w:r>
          </w:p>
          <w:p w14:paraId="7CC0A04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tc>
      </w:tr>
      <w:tr w14:paraId="6A782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899" w:type="dxa"/>
            <w:tcBorders>
              <w:top w:val="nil"/>
            </w:tcBorders>
            <w:vAlign w:val="center"/>
          </w:tcPr>
          <w:p w14:paraId="33DE8FEE">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572" w:type="dxa"/>
            <w:vAlign w:val="center"/>
          </w:tcPr>
          <w:p w14:paraId="7F02246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电子签章要求</w:t>
            </w:r>
          </w:p>
        </w:tc>
        <w:tc>
          <w:tcPr>
            <w:tcW w:w="7062" w:type="dxa"/>
            <w:vAlign w:val="center"/>
          </w:tcPr>
          <w:p w14:paraId="2E685052">
            <w:pPr>
              <w:adjustRightInd w:val="0"/>
              <w:snapToGrid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文件应按</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rPr>
              <w:t>文件格式部分要求，应加盖</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电子签章或法定代表人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或</w:t>
            </w:r>
            <w:r>
              <w:rPr>
                <w:rFonts w:hint="eastAsia" w:ascii="宋体" w:hAnsi="宋体" w:eastAsia="宋体" w:cs="宋体"/>
                <w:bCs/>
                <w:color w:val="auto"/>
                <w:sz w:val="24"/>
                <w:szCs w:val="24"/>
                <w:highlight w:val="none"/>
              </w:rPr>
              <w:t>负责人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电子签章。由委托代理人</w:t>
            </w:r>
            <w:r>
              <w:rPr>
                <w:rFonts w:hint="eastAsia" w:ascii="宋体" w:hAnsi="宋体" w:eastAsia="宋体" w:cs="宋体"/>
                <w:bCs/>
                <w:color w:val="auto"/>
                <w:sz w:val="24"/>
                <w:szCs w:val="24"/>
                <w:highlight w:val="none"/>
                <w:lang w:eastAsia="zh-CN"/>
              </w:rPr>
              <w:t>签字</w:t>
            </w:r>
            <w:r>
              <w:rPr>
                <w:rFonts w:hint="eastAsia" w:ascii="宋体" w:hAnsi="宋体" w:eastAsia="宋体" w:cs="宋体"/>
                <w:bCs/>
                <w:color w:val="auto"/>
                <w:sz w:val="24"/>
                <w:szCs w:val="24"/>
                <w:highlight w:val="none"/>
                <w:lang w:val="en-US" w:eastAsia="zh-CN"/>
              </w:rPr>
              <w:t xml:space="preserve">的 </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在投标文件中须同时提交授权委托书。授权委托书格式、签字、电子签章及内容均应符合</w:t>
            </w:r>
            <w:r>
              <w:rPr>
                <w:rFonts w:hint="eastAsia" w:ascii="宋体" w:hAnsi="宋体" w:eastAsia="宋体" w:cs="宋体"/>
                <w:bCs/>
                <w:color w:val="auto"/>
                <w:sz w:val="24"/>
                <w:szCs w:val="24"/>
                <w:highlight w:val="none"/>
                <w:lang w:val="en-US" w:eastAsia="zh-CN"/>
              </w:rPr>
              <w:t>竞争性磋商文件要求</w:t>
            </w:r>
            <w:r>
              <w:rPr>
                <w:rFonts w:hint="eastAsia" w:ascii="宋体" w:hAnsi="宋体" w:eastAsia="宋体" w:cs="宋体"/>
                <w:bCs/>
                <w:color w:val="auto"/>
                <w:sz w:val="24"/>
                <w:szCs w:val="24"/>
                <w:highlight w:val="none"/>
              </w:rPr>
              <w:t>，否则授权委托书无效。</w:t>
            </w:r>
          </w:p>
          <w:p w14:paraId="613B436D">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注：在需要电子签章的地方进行电子签章，无需逐页电子签章。</w:t>
            </w:r>
          </w:p>
        </w:tc>
      </w:tr>
      <w:tr w14:paraId="33407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8" w:hRule="atLeast"/>
        </w:trPr>
        <w:tc>
          <w:tcPr>
            <w:tcW w:w="899" w:type="dxa"/>
            <w:vAlign w:val="center"/>
          </w:tcPr>
          <w:p w14:paraId="07894FDD">
            <w:pPr>
              <w:adjustRightInd w:val="0"/>
              <w:snapToGrid w:val="0"/>
              <w:spacing w:line="360" w:lineRule="auto"/>
              <w:jc w:val="center"/>
              <w:rPr>
                <w:rFonts w:hint="eastAsia" w:ascii="宋体" w:hAnsi="宋体" w:eastAsia="宋体" w:cs="宋体"/>
                <w:color w:val="auto"/>
                <w:sz w:val="24"/>
                <w:szCs w:val="24"/>
                <w:highlight w:val="none"/>
                <w:lang w:val="en-US" w:eastAsia="zh-CN"/>
              </w:rPr>
            </w:pPr>
            <w:bookmarkStart w:id="71" w:name="OLE_LINK37" w:colFirst="0" w:colLast="2"/>
            <w:r>
              <w:rPr>
                <w:rFonts w:hint="eastAsia" w:ascii="宋体" w:hAnsi="宋体" w:eastAsia="宋体" w:cs="宋体"/>
                <w:color w:val="auto"/>
                <w:sz w:val="24"/>
                <w:szCs w:val="24"/>
                <w:highlight w:val="none"/>
                <w:lang w:val="en-US" w:eastAsia="zh-CN"/>
              </w:rPr>
              <w:t>15</w:t>
            </w:r>
          </w:p>
        </w:tc>
        <w:tc>
          <w:tcPr>
            <w:tcW w:w="1572" w:type="dxa"/>
            <w:vAlign w:val="center"/>
          </w:tcPr>
          <w:p w14:paraId="4AE9984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标的名称及所属行业</w:t>
            </w:r>
          </w:p>
        </w:tc>
        <w:tc>
          <w:tcPr>
            <w:tcW w:w="7062" w:type="dxa"/>
            <w:vAlign w:val="center"/>
          </w:tcPr>
          <w:p w14:paraId="515557CA">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3442"/>
              <w:gridCol w:w="1702"/>
            </w:tblGrid>
            <w:tr w14:paraId="42F3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5" w:hRule="atLeast"/>
                <w:jc w:val="center"/>
              </w:trPr>
              <w:tc>
                <w:tcPr>
                  <w:tcW w:w="655" w:type="dxa"/>
                  <w:vAlign w:val="center"/>
                </w:tcPr>
                <w:p w14:paraId="28F682FA">
                  <w:pPr>
                    <w:adjustRightInd w:val="0"/>
                    <w:snapToGrid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3442" w:type="dxa"/>
                  <w:vAlign w:val="center"/>
                </w:tcPr>
                <w:p w14:paraId="7E558B49">
                  <w:pPr>
                    <w:adjustRightInd w:val="0"/>
                    <w:snapToGrid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标的名称</w:t>
                  </w:r>
                </w:p>
              </w:tc>
              <w:tc>
                <w:tcPr>
                  <w:tcW w:w="1702" w:type="dxa"/>
                  <w:vAlign w:val="center"/>
                </w:tcPr>
                <w:p w14:paraId="48C60F9B">
                  <w:pPr>
                    <w:adjustRightInd w:val="0"/>
                    <w:snapToGrid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所属行业</w:t>
                  </w:r>
                </w:p>
              </w:tc>
            </w:tr>
            <w:tr w14:paraId="1767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55" w:type="dxa"/>
                  <w:vAlign w:val="center"/>
                </w:tcPr>
                <w:p w14:paraId="17D1250D">
                  <w:pPr>
                    <w:adjustRightInd w:val="0"/>
                    <w:snapToGrid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3442" w:type="dxa"/>
                  <w:vAlign w:val="center"/>
                </w:tcPr>
                <w:p w14:paraId="6FE62FFE">
                  <w:pPr>
                    <w:adjustRightInd w:val="0"/>
                    <w:snapToGrid w:val="0"/>
                    <w:spacing w:line="360" w:lineRule="auto"/>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新街镇闪桥村及桥边易迁安置点基础设施及公共服务设施提升项目</w:t>
                  </w:r>
                </w:p>
              </w:tc>
              <w:tc>
                <w:tcPr>
                  <w:tcW w:w="1702" w:type="dxa"/>
                  <w:vAlign w:val="center"/>
                </w:tcPr>
                <w:p w14:paraId="41208C7A">
                  <w:pPr>
                    <w:adjustRightInd w:val="0"/>
                    <w:snapToGrid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建筑业</w:t>
                  </w:r>
                </w:p>
              </w:tc>
            </w:tr>
          </w:tbl>
          <w:p w14:paraId="302F3727">
            <w:pPr>
              <w:adjustRightInd w:val="0"/>
              <w:snapToGrid w:val="0"/>
              <w:spacing w:line="360" w:lineRule="auto"/>
              <w:rPr>
                <w:rFonts w:hint="eastAsia" w:ascii="宋体" w:hAnsi="宋体" w:eastAsia="宋体" w:cs="宋体"/>
                <w:color w:val="auto"/>
                <w:sz w:val="24"/>
                <w:szCs w:val="24"/>
                <w:highlight w:val="none"/>
              </w:rPr>
            </w:pPr>
          </w:p>
        </w:tc>
      </w:tr>
      <w:tr w14:paraId="0E962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899" w:type="dxa"/>
            <w:vAlign w:val="center"/>
          </w:tcPr>
          <w:p w14:paraId="58D6D5BC">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1572" w:type="dxa"/>
            <w:vAlign w:val="center"/>
          </w:tcPr>
          <w:p w14:paraId="70146849">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062" w:type="dxa"/>
            <w:vAlign w:val="center"/>
          </w:tcPr>
          <w:p w14:paraId="0C506A7A">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本项目为工程量清单的方式进行报价，采用全费用总价报价，最终填报暂定总价(总价仅作为评标价，不作为最终结算价，结算以已标价工程量清单中单价进行据实结算)。</w:t>
            </w:r>
          </w:p>
        </w:tc>
      </w:tr>
      <w:tr w14:paraId="4E05B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899" w:type="dxa"/>
            <w:vAlign w:val="center"/>
          </w:tcPr>
          <w:p w14:paraId="2B750CF1">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1572" w:type="dxa"/>
            <w:vAlign w:val="center"/>
          </w:tcPr>
          <w:p w14:paraId="6F6029BB">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项目预算</w:t>
            </w:r>
          </w:p>
          <w:p w14:paraId="571B7AB0">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(控制价)</w:t>
            </w:r>
          </w:p>
        </w:tc>
        <w:tc>
          <w:tcPr>
            <w:tcW w:w="7062" w:type="dxa"/>
            <w:vAlign w:val="center"/>
          </w:tcPr>
          <w:p w14:paraId="406420BA">
            <w:pPr>
              <w:spacing w:line="360" w:lineRule="auto"/>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控制价：</w:t>
            </w:r>
            <w:r>
              <w:rPr>
                <w:rFonts w:hint="eastAsia" w:ascii="宋体" w:hAnsi="宋体" w:eastAsia="宋体" w:cs="宋体"/>
                <w:color w:val="auto"/>
                <w:kern w:val="2"/>
                <w:sz w:val="24"/>
                <w:szCs w:val="21"/>
                <w:highlight w:val="none"/>
                <w:lang w:val="en-US" w:eastAsia="zh-CN" w:bidi="zh-CN"/>
              </w:rPr>
              <w:t>1258444.04</w:t>
            </w:r>
            <w:r>
              <w:rPr>
                <w:rFonts w:hint="eastAsia" w:ascii="宋体" w:hAnsi="宋体" w:cs="宋体"/>
                <w:color w:val="auto"/>
                <w:sz w:val="24"/>
                <w:szCs w:val="24"/>
                <w:highlight w:val="none"/>
                <w:lang w:val="en-US" w:eastAsia="zh-CN"/>
              </w:rPr>
              <w:t>元</w:t>
            </w:r>
          </w:p>
          <w:p w14:paraId="2A30ADAA">
            <w:pPr>
              <w:spacing w:line="360" w:lineRule="auto"/>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：磋商报</w:t>
            </w:r>
            <w:r>
              <w:rPr>
                <w:rFonts w:hint="default" w:ascii="宋体" w:hAnsi="宋体" w:cs="宋体"/>
                <w:color w:val="auto"/>
                <w:sz w:val="24"/>
                <w:szCs w:val="24"/>
                <w:highlight w:val="none"/>
                <w:lang w:val="en-US" w:eastAsia="zh-CN"/>
              </w:rPr>
              <w:t>价不得高于招标控制价，否则投标无效)</w:t>
            </w:r>
          </w:p>
        </w:tc>
      </w:tr>
      <w:bookmarkEnd w:id="71"/>
      <w:tr w14:paraId="1DDDE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99" w:type="dxa"/>
            <w:vAlign w:val="center"/>
          </w:tcPr>
          <w:p w14:paraId="6CC1B286">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1572" w:type="dxa"/>
            <w:vMerge w:val="restart"/>
            <w:vAlign w:val="center"/>
          </w:tcPr>
          <w:p w14:paraId="467B6B49">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062" w:type="dxa"/>
            <w:tcBorders>
              <w:bottom w:val="single" w:color="auto" w:sz="4" w:space="0"/>
            </w:tcBorders>
            <w:vAlign w:val="center"/>
          </w:tcPr>
          <w:p w14:paraId="5425D15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zh-TW" w:eastAsia="zh-TW"/>
              </w:rPr>
              <w:t>保证金的提交方式：支票、汇票、本票、</w:t>
            </w:r>
            <w:r>
              <w:rPr>
                <w:rFonts w:hint="eastAsia" w:ascii="宋体" w:hAnsi="宋体" w:eastAsia="宋体" w:cs="宋体"/>
                <w:color w:val="auto"/>
                <w:sz w:val="24"/>
                <w:szCs w:val="24"/>
                <w:highlight w:val="none"/>
              </w:rPr>
              <w:t>银行</w:t>
            </w:r>
            <w:r>
              <w:rPr>
                <w:rFonts w:hint="eastAsia" w:ascii="宋体" w:hAnsi="宋体" w:eastAsia="宋体" w:cs="宋体"/>
                <w:color w:val="auto"/>
                <w:sz w:val="24"/>
                <w:szCs w:val="24"/>
                <w:highlight w:val="none"/>
                <w:lang w:val="zh-TW" w:eastAsia="zh-TW"/>
              </w:rPr>
              <w:t>保函、</w:t>
            </w:r>
            <w:r>
              <w:rPr>
                <w:rFonts w:hint="eastAsia" w:ascii="宋体" w:hAnsi="宋体" w:eastAsia="宋体" w:cs="宋体"/>
                <w:color w:val="auto"/>
                <w:sz w:val="24"/>
                <w:szCs w:val="24"/>
                <w:highlight w:val="none"/>
              </w:rPr>
              <w:t>保证保险、</w:t>
            </w:r>
            <w:r>
              <w:rPr>
                <w:rFonts w:hint="eastAsia" w:ascii="宋体" w:hAnsi="宋体" w:eastAsia="宋体" w:cs="宋体"/>
                <w:color w:val="auto"/>
                <w:sz w:val="24"/>
                <w:szCs w:val="24"/>
                <w:highlight w:val="none"/>
                <w:lang w:val="zh-TW" w:eastAsia="zh-TW"/>
              </w:rPr>
              <w:t>银行转账</w:t>
            </w:r>
            <w:r>
              <w:rPr>
                <w:rFonts w:hint="eastAsia" w:ascii="宋体" w:hAnsi="宋体" w:eastAsia="宋体" w:cs="宋体"/>
                <w:color w:val="auto"/>
                <w:sz w:val="24"/>
                <w:szCs w:val="24"/>
                <w:highlight w:val="none"/>
              </w:rPr>
              <w:t>等非现金形式，银行转账必须从本单位基本账户转出。</w:t>
            </w:r>
          </w:p>
          <w:p w14:paraId="4DE8EBB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二、各供应商磋商保证金采用银行转账的必须从其公司基本账户以转账的方式缴存，必须在</w:t>
            </w:r>
            <w:r>
              <w:rPr>
                <w:rFonts w:hint="eastAsia" w:ascii="宋体" w:hAnsi="宋体" w:eastAsia="宋体" w:cs="宋体"/>
                <w:color w:val="auto"/>
                <w:sz w:val="24"/>
                <w:szCs w:val="24"/>
                <w:highlight w:val="none"/>
                <w:lang w:eastAsia="zh-CN"/>
              </w:rPr>
              <w:t>缴</w:t>
            </w:r>
            <w:r>
              <w:rPr>
                <w:rFonts w:hint="eastAsia" w:ascii="宋体" w:hAnsi="宋体" w:eastAsia="宋体" w:cs="宋体"/>
                <w:color w:val="auto"/>
                <w:sz w:val="24"/>
                <w:szCs w:val="24"/>
                <w:highlight w:val="none"/>
              </w:rPr>
              <w:t>纳截止时间前到账，</w:t>
            </w:r>
            <w:r>
              <w:rPr>
                <w:rFonts w:hint="eastAsia" w:ascii="宋体" w:hAnsi="宋体" w:eastAsia="宋体" w:cs="宋体"/>
                <w:color w:val="auto"/>
                <w:sz w:val="24"/>
                <w:szCs w:val="24"/>
                <w:highlight w:val="none"/>
                <w:lang w:eastAsia="zh-CN"/>
              </w:rPr>
              <w:t>缴</w:t>
            </w:r>
            <w:r>
              <w:rPr>
                <w:rFonts w:hint="eastAsia" w:ascii="宋体" w:hAnsi="宋体" w:eastAsia="宋体" w:cs="宋体"/>
                <w:color w:val="auto"/>
                <w:sz w:val="24"/>
                <w:szCs w:val="24"/>
                <w:highlight w:val="none"/>
              </w:rPr>
              <w:t>纳截止时间为</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:30</w:t>
            </w:r>
            <w:r>
              <w:rPr>
                <w:rFonts w:hint="eastAsia" w:ascii="宋体" w:hAnsi="宋体" w:eastAsia="宋体" w:cs="宋体"/>
                <w:color w:val="auto"/>
                <w:sz w:val="24"/>
                <w:szCs w:val="24"/>
                <w:highlight w:val="none"/>
              </w:rPr>
              <w:t>时。磋商保证金交纳信息如下：</w:t>
            </w:r>
          </w:p>
          <w:p w14:paraId="24BB2735">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账户：</w:t>
            </w:r>
            <w:r>
              <w:rPr>
                <w:rFonts w:hint="eastAsia" w:ascii="宋体" w:hAnsi="宋体" w:eastAsia="宋体" w:cs="宋体"/>
                <w:color w:val="auto"/>
                <w:sz w:val="24"/>
                <w:szCs w:val="24"/>
                <w:highlight w:val="none"/>
                <w:lang w:eastAsia="zh-CN"/>
              </w:rPr>
              <w:t>云南烽越项目管理咨询有限公司</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账号：536899991013000077542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开户行：交通银行昭通昭阳支行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磋商保证金金额：</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000.00元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大写：</w:t>
            </w:r>
            <w:r>
              <w:rPr>
                <w:rFonts w:hint="eastAsia" w:ascii="宋体" w:hAnsi="宋体" w:cs="宋体"/>
                <w:color w:val="auto"/>
                <w:sz w:val="24"/>
                <w:szCs w:val="24"/>
                <w:highlight w:val="none"/>
                <w:lang w:val="en-US" w:eastAsia="zh-CN"/>
              </w:rPr>
              <w:t>贰仟元整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F76223A">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备注：各供应商缴存保证金，备注需填写</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名称或</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编号并严格按规定</w:t>
            </w:r>
            <w:r>
              <w:rPr>
                <w:rFonts w:hint="eastAsia" w:ascii="宋体" w:hAnsi="宋体" w:eastAsia="宋体" w:cs="宋体"/>
                <w:color w:val="auto"/>
                <w:sz w:val="24"/>
                <w:szCs w:val="24"/>
                <w:highlight w:val="none"/>
                <w:lang w:val="en-US" w:eastAsia="zh-CN"/>
              </w:rPr>
              <w:t>缴纳</w:t>
            </w:r>
            <w:r>
              <w:rPr>
                <w:rFonts w:hint="eastAsia" w:ascii="宋体" w:hAnsi="宋体" w:eastAsia="宋体" w:cs="宋体"/>
                <w:color w:val="auto"/>
                <w:sz w:val="24"/>
                <w:szCs w:val="24"/>
                <w:highlight w:val="none"/>
              </w:rPr>
              <w:t>磋商保证金，响应文件中装订各供应商转账回执（如因供应商原因未按规定交</w:t>
            </w:r>
            <w:r>
              <w:rPr>
                <w:rFonts w:hint="eastAsia" w:ascii="宋体" w:hAnsi="宋体" w:eastAsia="宋体" w:cs="宋体"/>
                <w:color w:val="auto"/>
                <w:sz w:val="24"/>
                <w:szCs w:val="24"/>
                <w:highlight w:val="none"/>
                <w:lang w:val="en-US" w:eastAsia="zh-CN"/>
              </w:rPr>
              <w:t>缴</w:t>
            </w:r>
            <w:r>
              <w:rPr>
                <w:rFonts w:hint="eastAsia" w:ascii="宋体" w:hAnsi="宋体" w:eastAsia="宋体" w:cs="宋体"/>
                <w:color w:val="auto"/>
                <w:sz w:val="24"/>
                <w:szCs w:val="24"/>
                <w:highlight w:val="none"/>
              </w:rPr>
              <w:t>纳磋商保证金导致磋商无效，责任自负）。</w:t>
            </w:r>
          </w:p>
          <w:p w14:paraId="7F37FB4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三、磋商保证金退还：</w:t>
            </w:r>
          </w:p>
          <w:p w14:paraId="2FA7BD2C">
            <w:pPr>
              <w:adjustRightInd w:val="0"/>
              <w:snapToGrid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成交供应商的保证金:应当在采购合同签订后五个工作日内退还</w:t>
            </w:r>
            <w:r>
              <w:rPr>
                <w:rFonts w:hint="eastAsia" w:ascii="宋体" w:hAnsi="宋体" w:cs="宋体"/>
                <w:color w:val="auto"/>
                <w:sz w:val="24"/>
                <w:szCs w:val="24"/>
                <w:highlight w:val="none"/>
                <w:lang w:eastAsia="zh-CN"/>
              </w:rPr>
              <w:t>。</w:t>
            </w:r>
          </w:p>
          <w:p w14:paraId="4E59B88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未成交供应商的保证金:在成交通知书发放后五个工作日内退还。</w:t>
            </w:r>
          </w:p>
          <w:p w14:paraId="357C0F9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招标失败或取消招标的:在流标公示结束后五个工作日内退还。</w:t>
            </w:r>
          </w:p>
        </w:tc>
      </w:tr>
      <w:tr w14:paraId="00164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899" w:type="dxa"/>
            <w:vAlign w:val="center"/>
          </w:tcPr>
          <w:p w14:paraId="58402C00">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w:t>
            </w:r>
          </w:p>
        </w:tc>
        <w:tc>
          <w:tcPr>
            <w:tcW w:w="1572" w:type="dxa"/>
            <w:vMerge w:val="continue"/>
            <w:tcBorders>
              <w:top w:val="nil"/>
              <w:right w:val="single" w:color="auto" w:sz="4" w:space="0"/>
            </w:tcBorders>
            <w:vAlign w:val="center"/>
          </w:tcPr>
          <w:p w14:paraId="30EA43E5">
            <w:pPr>
              <w:adjustRightInd w:val="0"/>
              <w:snapToGrid w:val="0"/>
              <w:spacing w:line="360" w:lineRule="auto"/>
              <w:jc w:val="center"/>
              <w:rPr>
                <w:rFonts w:hint="eastAsia" w:ascii="宋体" w:hAnsi="宋体" w:eastAsia="宋体" w:cs="宋体"/>
                <w:color w:val="auto"/>
                <w:sz w:val="24"/>
                <w:szCs w:val="24"/>
                <w:highlight w:val="none"/>
              </w:rPr>
            </w:pPr>
          </w:p>
        </w:tc>
        <w:tc>
          <w:tcPr>
            <w:tcW w:w="7062" w:type="dxa"/>
            <w:tcBorders>
              <w:top w:val="single" w:color="auto" w:sz="4" w:space="0"/>
              <w:left w:val="single" w:color="auto" w:sz="4" w:space="0"/>
              <w:bottom w:val="single" w:color="auto" w:sz="4" w:space="0"/>
              <w:right w:val="single" w:color="auto" w:sz="4" w:space="0"/>
            </w:tcBorders>
            <w:vAlign w:val="center"/>
          </w:tcPr>
          <w:p w14:paraId="4AB984A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磋商保证金不予退还的其他情形：</w:t>
            </w:r>
          </w:p>
          <w:p w14:paraId="6A576B5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64A463F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☑有，具体情形：供应商出现下列响应保证金不予退还情形的，采购人或者采购代理机构将向本级财政部门报告有关情况，并建议将其列入政府采购不良行为记录名单：</w:t>
            </w:r>
          </w:p>
          <w:p w14:paraId="180D35E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（1）供应商在响应文件提交截止时间后撤回响应文件的；</w:t>
            </w:r>
          </w:p>
          <w:p w14:paraId="6635CB5A">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（2）供应商在响应文件中提供虚假材料的；</w:t>
            </w:r>
          </w:p>
          <w:p w14:paraId="57555E6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（3）除因不可抗力或采购文件认可的情形以外，</w:t>
            </w:r>
            <w:r>
              <w:rPr>
                <w:rFonts w:hint="eastAsia" w:ascii="宋体" w:hAnsi="宋体" w:cs="宋体"/>
                <w:color w:val="auto"/>
                <w:sz w:val="24"/>
                <w:szCs w:val="24"/>
                <w:highlight w:val="none"/>
                <w:lang w:val="en-US" w:eastAsia="zh-CN"/>
              </w:rPr>
              <w:t>成交人</w:t>
            </w:r>
            <w:r>
              <w:rPr>
                <w:rFonts w:hint="eastAsia" w:ascii="宋体" w:hAnsi="宋体" w:eastAsia="宋体" w:cs="宋体"/>
                <w:color w:val="auto"/>
                <w:sz w:val="24"/>
                <w:szCs w:val="24"/>
                <w:highlight w:val="none"/>
              </w:rPr>
              <w:t>不与采购人签订合同的；</w:t>
            </w:r>
          </w:p>
          <w:p w14:paraId="2C7094BD">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（4）供应商与采购人、其他供应商或者采购代理机构恶意串通的；</w:t>
            </w:r>
          </w:p>
          <w:p w14:paraId="1A22A45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（5）采购文件规定的其他情形。</w:t>
            </w:r>
          </w:p>
        </w:tc>
      </w:tr>
      <w:tr w14:paraId="78F43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99" w:type="dxa"/>
            <w:vAlign w:val="center"/>
          </w:tcPr>
          <w:p w14:paraId="1DE4B895">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1572" w:type="dxa"/>
            <w:vAlign w:val="center"/>
          </w:tcPr>
          <w:p w14:paraId="746C35F4">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062" w:type="dxa"/>
            <w:tcBorders>
              <w:top w:val="single" w:color="auto" w:sz="4" w:space="0"/>
            </w:tcBorders>
            <w:vAlign w:val="center"/>
          </w:tcPr>
          <w:p w14:paraId="33C4DD15">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自响应文件提交截止之日起</w:t>
            </w:r>
            <w:r>
              <w:rPr>
                <w:rFonts w:hint="eastAsia" w:ascii="宋体" w:hAnsi="宋体" w:eastAsia="宋体" w:cs="宋体"/>
                <w:color w:val="auto"/>
                <w:sz w:val="24"/>
                <w:szCs w:val="24"/>
                <w:highlight w:val="none"/>
                <w:lang w:val="en-US" w:eastAsia="zh-CN"/>
              </w:rPr>
              <w:t>算90</w:t>
            </w:r>
            <w:r>
              <w:rPr>
                <w:rFonts w:hint="eastAsia" w:ascii="宋体" w:hAnsi="宋体" w:eastAsia="宋体" w:cs="宋体"/>
                <w:color w:val="auto"/>
                <w:sz w:val="24"/>
                <w:szCs w:val="24"/>
                <w:highlight w:val="none"/>
              </w:rPr>
              <w:t>日历天。</w:t>
            </w:r>
          </w:p>
        </w:tc>
      </w:tr>
      <w:tr w14:paraId="2CE2E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99" w:type="dxa"/>
            <w:vAlign w:val="center"/>
          </w:tcPr>
          <w:p w14:paraId="6506BD1E">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1572" w:type="dxa"/>
            <w:vAlign w:val="center"/>
          </w:tcPr>
          <w:p w14:paraId="6B06F4B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响应文件的签署、盖章</w:t>
            </w:r>
          </w:p>
        </w:tc>
        <w:tc>
          <w:tcPr>
            <w:tcW w:w="7062" w:type="dxa"/>
            <w:vAlign w:val="center"/>
          </w:tcPr>
          <w:p w14:paraId="2040742D">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响应文件的签盖章的其他要求：</w:t>
            </w:r>
          </w:p>
          <w:p w14:paraId="6509F27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CBB214F">
            <w:pPr>
              <w:adjustRightInd w:val="0"/>
              <w:snapToGrid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☑有，具体要求：</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文件应按</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rPr>
              <w:t>文件格式部分要求，应加盖</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电子签章或法定代表人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或</w:t>
            </w:r>
            <w:r>
              <w:rPr>
                <w:rFonts w:hint="eastAsia" w:ascii="宋体" w:hAnsi="宋体" w:eastAsia="宋体" w:cs="宋体"/>
                <w:bCs/>
                <w:color w:val="auto"/>
                <w:sz w:val="24"/>
                <w:szCs w:val="24"/>
                <w:highlight w:val="none"/>
              </w:rPr>
              <w:t>负责人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电子签章。由委托代理人电子签</w:t>
            </w:r>
            <w:r>
              <w:rPr>
                <w:rFonts w:hint="eastAsia" w:ascii="宋体" w:hAnsi="宋体" w:eastAsia="宋体" w:cs="宋体"/>
                <w:bCs/>
                <w:color w:val="auto"/>
                <w:sz w:val="24"/>
                <w:szCs w:val="24"/>
                <w:highlight w:val="none"/>
                <w:lang w:eastAsia="zh-CN"/>
              </w:rPr>
              <w:t>字</w:t>
            </w:r>
            <w:r>
              <w:rPr>
                <w:rFonts w:hint="eastAsia" w:ascii="宋体" w:hAnsi="宋体" w:eastAsia="宋体" w:cs="宋体"/>
                <w:bCs/>
                <w:color w:val="auto"/>
                <w:sz w:val="24"/>
                <w:szCs w:val="24"/>
                <w:highlight w:val="none"/>
              </w:rPr>
              <w:t>的在</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文件中须同时提交授权委托书。授权委托书格式、签字、电子签章及内容均应符合要求，否则授权委托书无效。</w:t>
            </w:r>
          </w:p>
          <w:p w14:paraId="5D6AA6D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注：在需要电子签章的地方进行电子签章，无需逐页电子签章。</w:t>
            </w:r>
          </w:p>
        </w:tc>
      </w:tr>
      <w:tr w14:paraId="16D47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99" w:type="dxa"/>
            <w:vAlign w:val="center"/>
          </w:tcPr>
          <w:p w14:paraId="1E1CED5F">
            <w:pPr>
              <w:adjustRightInd w:val="0"/>
              <w:snapToGrid w:val="0"/>
              <w:spacing w:line="360" w:lineRule="auto"/>
              <w:jc w:val="center"/>
              <w:rPr>
                <w:rFonts w:hint="eastAsia" w:ascii="宋体" w:hAnsi="宋体" w:eastAsia="宋体" w:cs="宋体"/>
                <w:color w:val="auto"/>
                <w:sz w:val="24"/>
                <w:szCs w:val="24"/>
                <w:highlight w:val="none"/>
              </w:rPr>
            </w:pPr>
          </w:p>
          <w:p w14:paraId="17B09FD7">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572" w:type="dxa"/>
            <w:vAlign w:val="center"/>
          </w:tcPr>
          <w:p w14:paraId="6ECEC92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供</w:t>
            </w:r>
          </w:p>
          <w:p w14:paraId="7DBAF400">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应商</w:t>
            </w:r>
          </w:p>
        </w:tc>
        <w:tc>
          <w:tcPr>
            <w:tcW w:w="7062" w:type="dxa"/>
            <w:vAlign w:val="center"/>
          </w:tcPr>
          <w:p w14:paraId="01F14375">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采购人是否授权磋商小组直接确定</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w:t>
            </w:r>
          </w:p>
          <w:p w14:paraId="1DB7A1C6">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46EDCAC2">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11739125">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候选人并列的，</w:t>
            </w:r>
            <w:r>
              <w:rPr>
                <w:rFonts w:hint="eastAsia" w:ascii="宋体" w:hAnsi="宋体" w:eastAsia="宋体" w:cs="宋体"/>
                <w:color w:val="auto"/>
                <w:sz w:val="24"/>
                <w:szCs w:val="24"/>
                <w:highlight w:val="none"/>
                <w:u w:val="single"/>
              </w:rPr>
              <w:t>按照以下方式确定</w:t>
            </w:r>
            <w:r>
              <w:rPr>
                <w:rFonts w:hint="eastAsia" w:ascii="宋体" w:hAnsi="宋体" w:cs="宋体"/>
                <w:color w:val="auto"/>
                <w:sz w:val="24"/>
                <w:szCs w:val="24"/>
                <w:highlight w:val="none"/>
                <w:u w:val="single"/>
                <w:lang w:val="en-US" w:eastAsia="zh-CN"/>
              </w:rPr>
              <w:t>成交供应商</w:t>
            </w:r>
            <w:r>
              <w:rPr>
                <w:rFonts w:hint="eastAsia" w:ascii="宋体" w:hAnsi="宋体" w:eastAsia="宋体" w:cs="宋体"/>
                <w:color w:val="auto"/>
                <w:sz w:val="24"/>
                <w:szCs w:val="24"/>
                <w:highlight w:val="none"/>
                <w:u w:val="single"/>
              </w:rPr>
              <w:t>：评审得分相同的，按照最后报价由低到高的顺序推荐。评审得分且最后报价相同的，按照评审因素的量化指标技术评审得分最高的供应商为排名第一的</w:t>
            </w:r>
            <w:r>
              <w:rPr>
                <w:rFonts w:hint="eastAsia" w:ascii="宋体" w:hAnsi="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候选人</w:t>
            </w:r>
            <w:r>
              <w:rPr>
                <w:rFonts w:hint="eastAsia" w:ascii="宋体" w:hAnsi="宋体" w:eastAsia="宋体" w:cs="宋体"/>
                <w:color w:val="auto"/>
                <w:sz w:val="24"/>
                <w:szCs w:val="24"/>
                <w:highlight w:val="none"/>
              </w:rPr>
              <w:t>。</w:t>
            </w:r>
          </w:p>
        </w:tc>
      </w:tr>
      <w:tr w14:paraId="03A90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99" w:type="dxa"/>
            <w:vAlign w:val="center"/>
          </w:tcPr>
          <w:p w14:paraId="264B9A2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572" w:type="dxa"/>
            <w:vAlign w:val="center"/>
          </w:tcPr>
          <w:p w14:paraId="2BA21EF4">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062" w:type="dxa"/>
            <w:vAlign w:val="center"/>
          </w:tcPr>
          <w:p w14:paraId="0573501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本项目是否允许分包：</w:t>
            </w:r>
          </w:p>
          <w:p w14:paraId="65D6B87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5019994B">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□允许，具体要求：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p w14:paraId="7160851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可以分包履行的具体内容：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p w14:paraId="41E344B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允许分包的金额或者比例：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p w14:paraId="05F09A3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（3）其他要求：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p>
        </w:tc>
      </w:tr>
      <w:tr w14:paraId="61970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899" w:type="dxa"/>
            <w:vAlign w:val="center"/>
          </w:tcPr>
          <w:p w14:paraId="341ADCB1">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572" w:type="dxa"/>
            <w:vAlign w:val="center"/>
          </w:tcPr>
          <w:p w14:paraId="359AA428">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062" w:type="dxa"/>
          </w:tcPr>
          <w:p w14:paraId="09463251">
            <w:pPr>
              <w:adjustRightInd w:val="0"/>
              <w:snapToGrid w:val="0"/>
              <w:spacing w:line="360" w:lineRule="auto"/>
              <w:rPr>
                <w:rFonts w:hint="eastAsia" w:ascii="宋体" w:hAnsi="宋体" w:eastAsia="宋体" w:cs="宋体"/>
                <w:color w:val="auto"/>
                <w:sz w:val="24"/>
                <w:szCs w:val="24"/>
                <w:highlight w:val="none"/>
              </w:rPr>
            </w:pPr>
            <w:bookmarkStart w:id="72" w:name="OLE_LINK8"/>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rPr>
              <w:t xml:space="preserve"> 邮件或纸质版送达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w:t>
            </w:r>
            <w:bookmarkEnd w:id="72"/>
          </w:p>
        </w:tc>
      </w:tr>
      <w:tr w14:paraId="7EB1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99" w:type="dxa"/>
            <w:vAlign w:val="center"/>
          </w:tcPr>
          <w:p w14:paraId="7C856165">
            <w:pPr>
              <w:adjustRightInd w:val="0"/>
              <w:snapToGrid w:val="0"/>
              <w:spacing w:line="360" w:lineRule="auto"/>
              <w:jc w:val="center"/>
              <w:rPr>
                <w:rFonts w:hint="eastAsia" w:ascii="宋体" w:hAnsi="宋体" w:eastAsia="宋体" w:cs="宋体"/>
                <w:color w:val="auto"/>
                <w:sz w:val="24"/>
                <w:szCs w:val="24"/>
                <w:highlight w:val="none"/>
              </w:rPr>
            </w:pPr>
          </w:p>
          <w:p w14:paraId="10D87002">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572" w:type="dxa"/>
            <w:vAlign w:val="center"/>
          </w:tcPr>
          <w:p w14:paraId="7571545A">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062" w:type="dxa"/>
          </w:tcPr>
          <w:p w14:paraId="45E7D67D">
            <w:pPr>
              <w:adjustRightInd w:val="0"/>
              <w:snapToGrid w:val="0"/>
              <w:spacing w:line="360" w:lineRule="auto"/>
              <w:rPr>
                <w:rFonts w:hint="eastAsia" w:ascii="宋体" w:hAnsi="宋体" w:eastAsia="宋体" w:cs="宋体"/>
                <w:color w:val="auto"/>
                <w:sz w:val="24"/>
                <w:szCs w:val="24"/>
                <w:highlight w:val="none"/>
              </w:rPr>
            </w:pPr>
            <w:bookmarkStart w:id="73" w:name="OLE_LINK9"/>
            <w:r>
              <w:rPr>
                <w:rFonts w:hint="eastAsia" w:ascii="宋体" w:hAnsi="宋体" w:eastAsia="宋体" w:cs="宋体"/>
                <w:color w:val="auto"/>
                <w:sz w:val="24"/>
                <w:szCs w:val="24"/>
                <w:highlight w:val="none"/>
              </w:rPr>
              <w:t>接收询问和质疑的联系方式</w:t>
            </w:r>
          </w:p>
          <w:p w14:paraId="5DAC6F1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lang w:eastAsia="zh-CN"/>
              </w:rPr>
              <w:t>云南烽越项目管理咨询有限公司</w:t>
            </w:r>
            <w:r>
              <w:rPr>
                <w:rFonts w:hint="eastAsia" w:ascii="宋体" w:hAnsi="宋体" w:eastAsia="宋体" w:cs="宋体"/>
                <w:color w:val="auto"/>
                <w:sz w:val="24"/>
                <w:szCs w:val="24"/>
                <w:highlight w:val="none"/>
                <w:u w:val="single"/>
              </w:rPr>
              <w:t>-招标部</w:t>
            </w:r>
            <w:r>
              <w:rPr>
                <w:rFonts w:hint="eastAsia" w:ascii="宋体" w:hAnsi="宋体" w:eastAsia="宋体" w:cs="宋体"/>
                <w:color w:val="auto"/>
                <w:sz w:val="24"/>
                <w:szCs w:val="24"/>
                <w:highlight w:val="none"/>
              </w:rPr>
              <w:t>；</w:t>
            </w:r>
          </w:p>
          <w:p w14:paraId="3BE500A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eastAsia="zh-CN"/>
              </w:rPr>
              <w:t>0870-2834168</w:t>
            </w:r>
            <w:r>
              <w:rPr>
                <w:rFonts w:hint="eastAsia" w:ascii="宋体" w:hAnsi="宋体" w:eastAsia="宋体" w:cs="宋体"/>
                <w:color w:val="auto"/>
                <w:sz w:val="24"/>
                <w:szCs w:val="24"/>
                <w:highlight w:val="none"/>
              </w:rPr>
              <w:t>；</w:t>
            </w:r>
          </w:p>
          <w:p w14:paraId="372BF3C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昭通市</w:t>
            </w:r>
            <w:r>
              <w:rPr>
                <w:rFonts w:hint="eastAsia" w:ascii="宋体" w:hAnsi="宋体" w:eastAsia="宋体" w:cs="宋体"/>
                <w:color w:val="auto"/>
                <w:sz w:val="24"/>
                <w:szCs w:val="24"/>
                <w:highlight w:val="none"/>
                <w:u w:val="single"/>
                <w:lang w:eastAsia="zh-CN"/>
              </w:rPr>
              <w:t>云南省昭通市昭阳区凤凰街道远大广场12 幢804室</w:t>
            </w:r>
            <w:r>
              <w:rPr>
                <w:rFonts w:hint="eastAsia" w:ascii="宋体" w:hAnsi="宋体" w:eastAsia="宋体" w:cs="宋体"/>
                <w:color w:val="auto"/>
                <w:sz w:val="24"/>
                <w:szCs w:val="24"/>
                <w:highlight w:val="none"/>
              </w:rPr>
              <w:t>。</w:t>
            </w:r>
            <w:bookmarkEnd w:id="73"/>
          </w:p>
        </w:tc>
      </w:tr>
      <w:tr w14:paraId="59EE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899" w:type="dxa"/>
            <w:vAlign w:val="center"/>
          </w:tcPr>
          <w:p w14:paraId="1CBC8C29">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572" w:type="dxa"/>
            <w:vAlign w:val="center"/>
          </w:tcPr>
          <w:p w14:paraId="6AD3319D">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062" w:type="dxa"/>
          </w:tcPr>
          <w:p w14:paraId="41FFBC3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6CB66D4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0998D5D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成交供应商</w:t>
            </w:r>
          </w:p>
          <w:p w14:paraId="17DB4271">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收费标准和金额：</w:t>
            </w:r>
            <w:bookmarkStart w:id="74" w:name="OLE_LINK29"/>
            <w:r>
              <w:rPr>
                <w:rFonts w:hint="eastAsia" w:ascii="宋体" w:hAnsi="宋体" w:cs="宋体"/>
                <w:color w:val="auto"/>
                <w:sz w:val="24"/>
                <w:highlight w:val="none"/>
                <w:u w:val="single"/>
                <w:lang w:val="en-US" w:eastAsia="zh-CN"/>
              </w:rPr>
              <w:t>招标</w:t>
            </w:r>
            <w:r>
              <w:rPr>
                <w:rFonts w:hint="eastAsia" w:ascii="宋体" w:hAnsi="宋体" w:eastAsia="宋体" w:cs="宋体"/>
                <w:bCs/>
                <w:color w:val="auto"/>
                <w:sz w:val="24"/>
                <w:highlight w:val="none"/>
                <w:u w:val="single"/>
              </w:rPr>
              <w:t>代理服务费按</w:t>
            </w:r>
            <w:r>
              <w:rPr>
                <w:rFonts w:hint="eastAsia" w:ascii="宋体" w:hAnsi="宋体" w:cs="宋体"/>
                <w:bCs/>
                <w:color w:val="auto"/>
                <w:sz w:val="24"/>
                <w:highlight w:val="none"/>
                <w:u w:val="single"/>
                <w:lang w:val="en-US" w:eastAsia="zh-CN"/>
              </w:rPr>
              <w:t>采购人</w:t>
            </w:r>
            <w:r>
              <w:rPr>
                <w:rFonts w:hint="eastAsia" w:ascii="宋体" w:hAnsi="宋体" w:eastAsia="宋体" w:cs="宋体"/>
                <w:bCs/>
                <w:color w:val="auto"/>
                <w:sz w:val="24"/>
                <w:highlight w:val="none"/>
                <w:u w:val="single"/>
              </w:rPr>
              <w:t>与代理机构签订的合同约定，</w:t>
            </w:r>
            <w:r>
              <w:rPr>
                <w:rFonts w:hint="eastAsia" w:ascii="宋体" w:hAnsi="宋体" w:cs="宋体"/>
                <w:bCs/>
                <w:color w:val="auto"/>
                <w:sz w:val="24"/>
                <w:highlight w:val="none"/>
                <w:u w:val="single"/>
                <w:lang w:val="en-US" w:eastAsia="zh-CN"/>
              </w:rPr>
              <w:t>参照</w:t>
            </w:r>
            <w:r>
              <w:rPr>
                <w:rFonts w:hint="eastAsia" w:ascii="宋体" w:hAnsi="宋体" w:eastAsia="宋体" w:cs="宋体"/>
                <w:bCs/>
                <w:color w:val="auto"/>
                <w:sz w:val="24"/>
                <w:highlight w:val="none"/>
                <w:u w:val="single"/>
              </w:rPr>
              <w:t>云南省建设工程招标投标行业协会关于印发《云南省建设工程招标代理服务收费</w:t>
            </w:r>
            <w:r>
              <w:rPr>
                <w:rFonts w:hint="eastAsia" w:ascii="宋体" w:hAnsi="宋体" w:eastAsia="宋体" w:cs="宋体"/>
                <w:bCs/>
                <w:color w:val="auto"/>
                <w:sz w:val="24"/>
                <w:highlight w:val="none"/>
                <w:u w:val="single"/>
                <w:lang w:val="en-US" w:eastAsia="zh-CN"/>
              </w:rPr>
              <w:t>参考</w:t>
            </w:r>
            <w:r>
              <w:rPr>
                <w:rFonts w:hint="eastAsia" w:ascii="宋体" w:hAnsi="宋体" w:eastAsia="宋体" w:cs="宋体"/>
                <w:bCs/>
                <w:color w:val="auto"/>
                <w:sz w:val="24"/>
                <w:highlight w:val="none"/>
                <w:u w:val="single"/>
              </w:rPr>
              <w:t>意见》的通知（云建招协</w:t>
            </w:r>
            <w:r>
              <w:rPr>
                <w:rFonts w:hint="eastAsia" w:ascii="宋体" w:hAnsi="宋体" w:cs="宋体"/>
                <w:bCs/>
                <w:color w:val="auto"/>
                <w:sz w:val="24"/>
                <w:highlight w:val="none"/>
                <w:u w:val="single"/>
                <w:lang w:eastAsia="zh-CN"/>
              </w:rPr>
              <w:t>〔2024〕58号</w:t>
            </w:r>
            <w:r>
              <w:rPr>
                <w:rFonts w:hint="eastAsia" w:ascii="宋体" w:hAnsi="宋体" w:eastAsia="宋体" w:cs="宋体"/>
                <w:bCs/>
                <w:color w:val="auto"/>
                <w:sz w:val="24"/>
                <w:highlight w:val="none"/>
                <w:u w:val="single"/>
              </w:rPr>
              <w:t>文</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lang w:val="en-US" w:eastAsia="zh-CN"/>
              </w:rPr>
              <w:t>向</w:t>
            </w:r>
            <w:r>
              <w:rPr>
                <w:rFonts w:hint="eastAsia" w:ascii="宋体" w:hAnsi="宋体" w:cs="宋体"/>
                <w:bCs/>
                <w:color w:val="auto"/>
                <w:sz w:val="24"/>
                <w:highlight w:val="none"/>
                <w:u w:val="single"/>
                <w:lang w:val="en-US" w:eastAsia="zh-CN"/>
              </w:rPr>
              <w:t>成交人</w:t>
            </w:r>
            <w:r>
              <w:rPr>
                <w:rFonts w:hint="eastAsia" w:ascii="宋体" w:hAnsi="宋体" w:eastAsia="宋体" w:cs="宋体"/>
                <w:bCs/>
                <w:color w:val="auto"/>
                <w:sz w:val="24"/>
                <w:highlight w:val="none"/>
                <w:u w:val="single"/>
              </w:rPr>
              <w:t>计费</w:t>
            </w:r>
            <w:bookmarkEnd w:id="74"/>
            <w:r>
              <w:rPr>
                <w:rFonts w:hint="eastAsia" w:ascii="宋体" w:hAnsi="宋体" w:eastAsia="宋体" w:cs="宋体"/>
                <w:bCs/>
                <w:color w:val="auto"/>
                <w:sz w:val="24"/>
                <w:highlight w:val="none"/>
                <w:u w:val="single"/>
                <w:lang w:val="en-US" w:eastAsia="zh-CN"/>
              </w:rPr>
              <w:t>收取</w:t>
            </w:r>
            <w:r>
              <w:rPr>
                <w:rFonts w:hint="eastAsia" w:ascii="宋体" w:hAnsi="宋体" w:eastAsia="宋体" w:cs="宋体"/>
                <w:color w:val="auto"/>
                <w:sz w:val="24"/>
                <w:szCs w:val="24"/>
                <w:highlight w:val="none"/>
              </w:rPr>
              <w:t>。</w:t>
            </w:r>
          </w:p>
        </w:tc>
      </w:tr>
      <w:tr w14:paraId="482F2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5460EC5C">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572" w:type="dxa"/>
            <w:vAlign w:val="center"/>
          </w:tcPr>
          <w:p w14:paraId="33C7FCA2">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信用信息查询</w:t>
            </w:r>
          </w:p>
        </w:tc>
        <w:tc>
          <w:tcPr>
            <w:tcW w:w="7062" w:type="dxa"/>
            <w:vAlign w:val="center"/>
          </w:tcPr>
          <w:p w14:paraId="4A7CB2C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（1）信用信息查询渠道及截止时间：采购代理机构将在开标时通过“信用中国”网站(www.creditchina.gov.cn)、中国政府采购网(www.ccgp.gov.cn)渠道查询供应商接受资格审查时的信用记录。</w:t>
            </w:r>
          </w:p>
          <w:p w14:paraId="58BAF996">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706D86B2">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（3）信用信息的使用规则：经查询列入失信被执行人名单或者重大税收违法案件当事人名单或者政府采购严重违法失信行为记录名单的供应商将被拒绝参与政府采购活动。</w:t>
            </w:r>
          </w:p>
        </w:tc>
      </w:tr>
      <w:tr w14:paraId="36028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99" w:type="dxa"/>
            <w:vAlign w:val="center"/>
          </w:tcPr>
          <w:p w14:paraId="3C2A60F6">
            <w:pPr>
              <w:adjustRightInd w:val="0"/>
              <w:snapToGrid w:val="0"/>
              <w:spacing w:line="360" w:lineRule="auto"/>
              <w:ind w:left="241" w:hanging="240" w:hangingChars="100"/>
              <w:jc w:val="center"/>
              <w:rPr>
                <w:rFonts w:hint="eastAsia" w:ascii="宋体" w:hAnsi="宋体" w:eastAsia="宋体" w:cs="宋体"/>
                <w:color w:val="auto"/>
                <w:sz w:val="28"/>
                <w:szCs w:val="28"/>
                <w:highlight w:val="none"/>
                <w:lang w:val="en-US" w:eastAsia="zh-CN"/>
              </w:rPr>
            </w:pPr>
            <w:bookmarkStart w:id="75" w:name="OLE_LINK30" w:colFirst="1" w:colLast="1"/>
            <w:r>
              <w:rPr>
                <w:rFonts w:hint="eastAsia" w:ascii="宋体" w:hAnsi="宋体" w:eastAsia="宋体" w:cs="宋体"/>
                <w:b w:val="0"/>
                <w:bCs w:val="0"/>
                <w:color w:val="auto"/>
                <w:sz w:val="24"/>
                <w:highlight w:val="none"/>
                <w:lang w:val="en-US" w:eastAsia="zh-CN"/>
              </w:rPr>
              <w:t>27</w:t>
            </w:r>
          </w:p>
        </w:tc>
        <w:tc>
          <w:tcPr>
            <w:tcW w:w="1572" w:type="dxa"/>
            <w:vAlign w:val="center"/>
          </w:tcPr>
          <w:p w14:paraId="69C41D5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磋商小组的组建</w:t>
            </w:r>
          </w:p>
        </w:tc>
        <w:tc>
          <w:tcPr>
            <w:tcW w:w="7062" w:type="dxa"/>
            <w:vAlign w:val="center"/>
          </w:tcPr>
          <w:p w14:paraId="7072D2AD">
            <w:pPr>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en-US" w:eastAsia="zh-CN"/>
              </w:rPr>
              <w:t>的构成：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47FC5CC">
            <w:pPr>
              <w:widowControl w:val="0"/>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评标专家确定方式：</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val="en-US" w:eastAsia="zh-CN"/>
              </w:rPr>
              <w:t>云南省</w:t>
            </w:r>
            <w:r>
              <w:rPr>
                <w:rFonts w:hint="eastAsia" w:ascii="宋体" w:hAnsi="宋体" w:cs="宋体"/>
                <w:color w:val="auto"/>
                <w:sz w:val="24"/>
                <w:szCs w:val="24"/>
                <w:highlight w:val="none"/>
              </w:rPr>
              <w:t>政府采购评标专家库中随机抽取</w:t>
            </w:r>
            <w:r>
              <w:rPr>
                <w:rFonts w:hint="eastAsia" w:ascii="宋体" w:hAnsi="宋体" w:cs="宋体"/>
                <w:color w:val="auto"/>
                <w:sz w:val="24"/>
                <w:szCs w:val="24"/>
                <w:highlight w:val="none"/>
                <w:lang w:eastAsia="zh-CN"/>
              </w:rPr>
              <w:t>。</w:t>
            </w:r>
          </w:p>
        </w:tc>
      </w:tr>
      <w:tr w14:paraId="7B38E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55A6989A">
            <w:pPr>
              <w:adjustRightInd w:val="0"/>
              <w:snapToGrid w:val="0"/>
              <w:spacing w:line="360" w:lineRule="auto"/>
              <w:ind w:left="241" w:hanging="240" w:hangingChars="100"/>
              <w:jc w:val="center"/>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28</w:t>
            </w:r>
          </w:p>
        </w:tc>
        <w:tc>
          <w:tcPr>
            <w:tcW w:w="1572" w:type="dxa"/>
            <w:vAlign w:val="center"/>
          </w:tcPr>
          <w:p w14:paraId="089982CD">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磋商时间和地点</w:t>
            </w:r>
          </w:p>
        </w:tc>
        <w:tc>
          <w:tcPr>
            <w:tcW w:w="7062" w:type="dxa"/>
            <w:vAlign w:val="center"/>
          </w:tcPr>
          <w:p w14:paraId="2080542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磋商时间：</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u w:val="single"/>
                <w:lang w:val="en-US" w:eastAsia="zh-CN"/>
              </w:rPr>
              <w:t>11</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u w:val="single"/>
                <w:lang w:val="en-US" w:eastAsia="zh-CN"/>
              </w:rPr>
              <w:t>14</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rPr>
              <w:t>分（同递交截止时间）</w:t>
            </w:r>
          </w:p>
          <w:p w14:paraId="690BE45C">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磋商地点：</w:t>
            </w:r>
            <w:r>
              <w:rPr>
                <w:rFonts w:hint="eastAsia" w:ascii="宋体" w:hAnsi="宋体" w:eastAsia="宋体" w:cs="宋体"/>
                <w:bCs/>
                <w:color w:val="auto"/>
                <w:sz w:val="24"/>
                <w:highlight w:val="none"/>
              </w:rPr>
              <w:t>政府采购云平台（https://www.zcygov.cn/）</w:t>
            </w:r>
            <w:r>
              <w:rPr>
                <w:rFonts w:hint="eastAsia" w:ascii="宋体" w:hAnsi="宋体" w:eastAsia="宋体" w:cs="宋体"/>
                <w:bCs/>
                <w:color w:val="auto"/>
                <w:sz w:val="24"/>
                <w:highlight w:val="none"/>
                <w:lang w:val="en-US" w:eastAsia="zh-CN"/>
              </w:rPr>
              <w:t>投标客户端</w:t>
            </w:r>
            <w:r>
              <w:rPr>
                <w:rFonts w:hint="eastAsia" w:ascii="宋体" w:hAnsi="宋体" w:eastAsia="宋体" w:cs="宋体"/>
                <w:bCs/>
                <w:color w:val="auto"/>
                <w:sz w:val="24"/>
                <w:szCs w:val="24"/>
                <w:highlight w:val="none"/>
              </w:rPr>
              <w:t>。</w:t>
            </w:r>
          </w:p>
        </w:tc>
      </w:tr>
      <w:bookmarkEnd w:id="75"/>
      <w:tr w14:paraId="20BBE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76D3339E">
            <w:pPr>
              <w:adjustRightInd w:val="0"/>
              <w:snapToGrid w:val="0"/>
              <w:spacing w:line="360" w:lineRule="auto"/>
              <w:ind w:left="241" w:hanging="240" w:hangingChars="100"/>
              <w:jc w:val="center"/>
              <w:rPr>
                <w:rFonts w:hint="eastAsia" w:ascii="宋体" w:hAnsi="宋体" w:eastAsia="宋体" w:cs="宋体"/>
                <w:b/>
                <w:bCs/>
                <w:color w:val="auto"/>
                <w:sz w:val="24"/>
                <w:highlight w:val="none"/>
                <w:lang w:val="en-US" w:eastAsia="zh-CN"/>
              </w:rPr>
            </w:pPr>
            <w:bookmarkStart w:id="76" w:name="OLE_LINK38" w:colFirst="1" w:colLast="2"/>
            <w:r>
              <w:rPr>
                <w:rFonts w:hint="eastAsia" w:ascii="宋体" w:hAnsi="宋体" w:eastAsia="宋体" w:cs="宋体"/>
                <w:b w:val="0"/>
                <w:bCs w:val="0"/>
                <w:color w:val="auto"/>
                <w:sz w:val="24"/>
                <w:highlight w:val="none"/>
                <w:lang w:val="en-US" w:eastAsia="zh-CN"/>
              </w:rPr>
              <w:t>29</w:t>
            </w:r>
          </w:p>
        </w:tc>
        <w:tc>
          <w:tcPr>
            <w:tcW w:w="1572" w:type="dxa"/>
            <w:vAlign w:val="center"/>
          </w:tcPr>
          <w:p w14:paraId="065622E1">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是否授权磋商小组确定</w:t>
            </w:r>
            <w:r>
              <w:rPr>
                <w:rFonts w:hint="eastAsia" w:ascii="宋体" w:hAnsi="宋体" w:cs="宋体"/>
                <w:color w:val="auto"/>
                <w:sz w:val="24"/>
                <w:szCs w:val="24"/>
                <w:highlight w:val="none"/>
                <w:lang w:val="en-US" w:eastAsia="zh-CN"/>
              </w:rPr>
              <w:t>成交供应商</w:t>
            </w:r>
          </w:p>
        </w:tc>
        <w:tc>
          <w:tcPr>
            <w:tcW w:w="7062" w:type="dxa"/>
            <w:vAlign w:val="center"/>
          </w:tcPr>
          <w:p w14:paraId="7EFBAFE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7136A1F0">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由磋商小组根据“第三章 磋商程序和方法”的相关规定推荐1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3名成交候选</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p>
        </w:tc>
      </w:tr>
      <w:bookmarkEnd w:id="76"/>
      <w:tr w14:paraId="6CC5D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16BF349D">
            <w:pPr>
              <w:adjustRightInd w:val="0"/>
              <w:snapToGrid w:val="0"/>
              <w:spacing w:line="360" w:lineRule="auto"/>
              <w:ind w:left="241" w:hanging="240" w:hangingChars="100"/>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30</w:t>
            </w:r>
          </w:p>
        </w:tc>
        <w:tc>
          <w:tcPr>
            <w:tcW w:w="1572" w:type="dxa"/>
            <w:vAlign w:val="center"/>
          </w:tcPr>
          <w:p w14:paraId="6CEA66CD">
            <w:pPr>
              <w:adjustRightInd w:val="0"/>
              <w:snapToGrid w:val="0"/>
              <w:spacing w:line="360" w:lineRule="auto"/>
              <w:jc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成交结果公告</w:t>
            </w:r>
          </w:p>
        </w:tc>
        <w:tc>
          <w:tcPr>
            <w:tcW w:w="7062" w:type="dxa"/>
            <w:vAlign w:val="center"/>
          </w:tcPr>
          <w:p w14:paraId="1EECBC18">
            <w:pPr>
              <w:adjustRightInd w:val="0"/>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在本项目公告发布的同一媒介予以公示，公示期不少于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个工作日。</w:t>
            </w:r>
          </w:p>
        </w:tc>
      </w:tr>
      <w:tr w14:paraId="51072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4E5A632D">
            <w:pPr>
              <w:adjustRightInd w:val="0"/>
              <w:snapToGrid w:val="0"/>
              <w:spacing w:line="360" w:lineRule="auto"/>
              <w:ind w:left="241" w:hanging="240" w:hangingChars="100"/>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31</w:t>
            </w:r>
          </w:p>
        </w:tc>
        <w:tc>
          <w:tcPr>
            <w:tcW w:w="1572" w:type="dxa"/>
            <w:vAlign w:val="center"/>
          </w:tcPr>
          <w:p w14:paraId="1DC59679">
            <w:pPr>
              <w:adjustRightInd w:val="0"/>
              <w:snapToGrid w:val="0"/>
              <w:spacing w:line="360" w:lineRule="auto"/>
              <w:jc w:val="center"/>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成交</w:t>
            </w:r>
            <w:r>
              <w:rPr>
                <w:rFonts w:hint="eastAsia" w:ascii="宋体" w:hAnsi="宋体" w:eastAsia="宋体" w:cs="宋体"/>
                <w:b w:val="0"/>
                <w:bCs w:val="0"/>
                <w:color w:val="auto"/>
                <w:sz w:val="24"/>
                <w:highlight w:val="none"/>
              </w:rPr>
              <w:t>单位纸质版文件数量</w:t>
            </w:r>
          </w:p>
        </w:tc>
        <w:tc>
          <w:tcPr>
            <w:tcW w:w="7062" w:type="dxa"/>
            <w:vAlign w:val="center"/>
          </w:tcPr>
          <w:p w14:paraId="11B67692">
            <w:pPr>
              <w:spacing w:line="360" w:lineRule="auto"/>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为了开展工作需要</w:t>
            </w:r>
            <w:r>
              <w:rPr>
                <w:rFonts w:hint="eastAsia" w:ascii="宋体" w:hAnsi="宋体" w:cs="宋体"/>
                <w:color w:val="auto"/>
                <w:sz w:val="24"/>
                <w:highlight w:val="none"/>
                <w:lang w:val="en-US" w:eastAsia="zh-CN"/>
              </w:rPr>
              <w:t>成交</w:t>
            </w:r>
            <w:r>
              <w:rPr>
                <w:rFonts w:hint="eastAsia" w:ascii="宋体" w:hAnsi="宋体" w:eastAsia="宋体" w:cs="宋体"/>
                <w:color w:val="auto"/>
                <w:sz w:val="24"/>
                <w:highlight w:val="none"/>
              </w:rPr>
              <w:t>单位领取</w:t>
            </w:r>
            <w:r>
              <w:rPr>
                <w:rFonts w:hint="eastAsia" w:ascii="宋体" w:hAnsi="宋体" w:cs="宋体"/>
                <w:color w:val="auto"/>
                <w:sz w:val="24"/>
                <w:highlight w:val="none"/>
                <w:lang w:val="en-US" w:eastAsia="zh-CN"/>
              </w:rPr>
              <w:t>成交通知书</w:t>
            </w:r>
            <w:r>
              <w:rPr>
                <w:rFonts w:hint="eastAsia" w:ascii="宋体" w:hAnsi="宋体" w:eastAsia="宋体" w:cs="宋体"/>
                <w:color w:val="auto"/>
                <w:sz w:val="24"/>
                <w:highlight w:val="none"/>
              </w:rPr>
              <w:t>时须提交</w:t>
            </w:r>
            <w:r>
              <w:rPr>
                <w:rFonts w:hint="eastAsia" w:ascii="宋体" w:hAnsi="宋体" w:eastAsia="宋体" w:cs="宋体"/>
                <w:color w:val="auto"/>
                <w:sz w:val="24"/>
                <w:highlight w:val="none"/>
                <w:lang w:val="en-US" w:eastAsia="zh-CN"/>
              </w:rPr>
              <w:t xml:space="preserve">与上传到政采  </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3107DFE6">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云平台一致纸质版</w:t>
            </w:r>
            <w:r>
              <w:rPr>
                <w:rFonts w:hint="eastAsia" w:ascii="宋体" w:hAnsi="宋体" w:eastAsia="宋体" w:cs="宋体"/>
                <w:color w:val="auto"/>
                <w:sz w:val="24"/>
                <w:szCs w:val="24"/>
                <w:highlight w:val="none"/>
              </w:rPr>
              <w:t>文档响应文件：</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份正本，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份副本。</w:t>
            </w:r>
          </w:p>
        </w:tc>
      </w:tr>
      <w:tr w14:paraId="01499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899" w:type="dxa"/>
            <w:vAlign w:val="center"/>
          </w:tcPr>
          <w:p w14:paraId="3C490A88">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1572" w:type="dxa"/>
            <w:vAlign w:val="center"/>
          </w:tcPr>
          <w:p w14:paraId="2A340F5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tc>
        <w:tc>
          <w:tcPr>
            <w:tcW w:w="7062" w:type="dxa"/>
            <w:vAlign w:val="center"/>
          </w:tcPr>
          <w:p w14:paraId="1D57AF7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供应商提供的质疑书应符合中华人民共和国财政部令第 94 号--政府采购质疑和投诉办法的规定。 </w:t>
            </w:r>
          </w:p>
          <w:p w14:paraId="54F55A2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认为磋商文件、磋商过程和中标（成交）结果使自己的权益受到损害的，应当在知道或者应知其权益受到损害之日起七个工作日内，以书面形式向采购人、采购代理机构提出质疑。质疑内容不得含有虚假、恶意成分。当事人对自己提出的主张，有责任提供证据， 提出质疑时应同时提交相关证据材料和注明事实的确切来源。</w:t>
            </w:r>
          </w:p>
          <w:p w14:paraId="3AF412BD">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（2）质疑的提出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供应商在法定质疑期内一次性提出针对同一采购程序环节的质疑。供应商对同一采购程序环节的质疑必须一次性提出，采购代理机构、采购人不多次接受同一采购程序环节的质疑。</w:t>
            </w:r>
          </w:p>
          <w:p w14:paraId="7D0E314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质疑送达方式：以书面形式的原件送达代理机构接收质疑联系人处。</w:t>
            </w:r>
          </w:p>
          <w:p w14:paraId="45374115">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（3）质疑供应商：提出质疑的供应商（以下简称质疑供应商） 应当是参与所质疑项目采购活动的供应商。</w:t>
            </w:r>
          </w:p>
          <w:p w14:paraId="5D76213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潜在供应商已依法获取其可质疑的磋商文件的，可以对该文件提出质疑。</w:t>
            </w:r>
          </w:p>
        </w:tc>
      </w:tr>
    </w:tbl>
    <w:p w14:paraId="1048427C">
      <w:pPr>
        <w:adjustRightInd w:val="0"/>
        <w:snapToGrid w:val="0"/>
        <w:spacing w:line="360" w:lineRule="auto"/>
        <w:jc w:val="center"/>
        <w:rPr>
          <w:rFonts w:hint="eastAsia" w:ascii="宋体" w:hAnsi="宋体" w:eastAsia="宋体" w:cs="宋体"/>
          <w:color w:val="auto"/>
          <w:sz w:val="30"/>
          <w:szCs w:val="30"/>
          <w:highlight w:val="none"/>
        </w:rPr>
      </w:pPr>
    </w:p>
    <w:bookmarkEnd w:id="64"/>
    <w:bookmarkEnd w:id="65"/>
    <w:bookmarkEnd w:id="66"/>
    <w:p w14:paraId="49B86D5B">
      <w:pPr>
        <w:spacing w:line="360" w:lineRule="auto"/>
        <w:rPr>
          <w:rFonts w:hint="eastAsia" w:ascii="宋体" w:hAnsi="宋体" w:eastAsia="宋体" w:cs="宋体"/>
          <w:color w:val="auto"/>
          <w:highlight w:val="none"/>
        </w:rPr>
      </w:pPr>
    </w:p>
    <w:p w14:paraId="3125FD5D">
      <w:pPr>
        <w:pStyle w:val="3"/>
        <w:spacing w:line="360" w:lineRule="auto"/>
        <w:rPr>
          <w:rFonts w:hint="eastAsia" w:ascii="宋体" w:hAnsi="宋体" w:eastAsia="宋体" w:cs="宋体"/>
          <w:color w:val="auto"/>
          <w:highlight w:val="none"/>
        </w:rPr>
        <w:sectPr>
          <w:footerReference r:id="rId6" w:type="default"/>
          <w:pgSz w:w="11906" w:h="16838"/>
          <w:pgMar w:top="1418" w:right="1059" w:bottom="1418" w:left="1247" w:header="851" w:footer="992" w:gutter="0"/>
          <w:pgNumType w:fmt="decimal" w:start="1"/>
          <w:cols w:space="720" w:num="1"/>
          <w:docGrid w:linePitch="312" w:charSpace="0"/>
        </w:sectPr>
      </w:pPr>
      <w:bookmarkStart w:id="77" w:name="_Toc16853"/>
      <w:bookmarkStart w:id="78" w:name="_Toc14353"/>
    </w:p>
    <w:bookmarkEnd w:id="67"/>
    <w:bookmarkEnd w:id="68"/>
    <w:bookmarkEnd w:id="69"/>
    <w:bookmarkEnd w:id="77"/>
    <w:bookmarkEnd w:id="78"/>
    <w:p w14:paraId="71C627CD">
      <w:pPr>
        <w:adjustRightInd w:val="0"/>
        <w:snapToGrid w:val="0"/>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 说明</w:t>
      </w:r>
    </w:p>
    <w:p w14:paraId="5403221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1采购人、采购代理机构、供应商、负责人、联合体、电子签名、电子交易平台</w:t>
      </w:r>
    </w:p>
    <w:p w14:paraId="734F73F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1.1采购人、采购代理机构：指依法进行政府采购的国家机关、事业单位、团体组织，及其委托的采购代理机构。本项目采购人、采购代理机构见第一章《</w:t>
      </w:r>
      <w:r>
        <w:rPr>
          <w:rFonts w:hint="eastAsia" w:ascii="宋体" w:hAnsi="宋体" w:eastAsia="宋体" w:cs="宋体"/>
          <w:color w:val="auto"/>
          <w:sz w:val="24"/>
          <w:szCs w:val="24"/>
          <w:highlight w:val="none"/>
          <w:lang w:val="en-US" w:eastAsia="zh-CN"/>
        </w:rPr>
        <w:t>竞争性磋商公告</w:t>
      </w:r>
      <w:r>
        <w:rPr>
          <w:rFonts w:hint="eastAsia" w:ascii="宋体" w:hAnsi="宋体" w:eastAsia="宋体" w:cs="宋体"/>
          <w:color w:val="auto"/>
          <w:sz w:val="24"/>
          <w:szCs w:val="24"/>
          <w:highlight w:val="none"/>
        </w:rPr>
        <w:t>》。</w:t>
      </w:r>
    </w:p>
    <w:p w14:paraId="649DC463">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1.2供应商（也称“申请人”）：指向采购人提供货物、工程或者服务的法人、其他组织或者自然人。</w:t>
      </w:r>
      <w:r>
        <w:rPr>
          <w:rFonts w:hint="eastAsia" w:ascii="宋体" w:hAnsi="宋体" w:eastAsia="宋体" w:cs="宋体"/>
          <w:color w:val="auto"/>
          <w:sz w:val="24"/>
          <w:szCs w:val="24"/>
          <w:highlight w:val="none"/>
          <w:lang w:val="en-US" w:eastAsia="zh-CN"/>
        </w:rPr>
        <w:t xml:space="preserve"> </w:t>
      </w:r>
    </w:p>
    <w:p w14:paraId="60BFD6F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1.3负责人：指法人企业的法定负责人，或其他组织为法律、行政法规规定代表单位行使职权的主要负责人，或自然人本人。</w:t>
      </w:r>
    </w:p>
    <w:p w14:paraId="4C30DCF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1.4联合体：指两个以上的自然人、法人或者其他组织组成一个联合体，以一个供应商的身份共同参加政府采购。</w:t>
      </w:r>
    </w:p>
    <w:p w14:paraId="1184A46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1.5电子签章：指数据电文中以电子形式所含、所附用于识别签名人身份并表明签名人认可其中内容的数据；“公章”系指单位法定名称章。</w:t>
      </w:r>
    </w:p>
    <w:p w14:paraId="57494B1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1.6电子交易平台：指本项目政府采购活动所依托的政府采购云平台（https://www.zcygov.cn/）（简称“政采云平台”）。</w:t>
      </w:r>
    </w:p>
    <w:p w14:paraId="24C3644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2资金来源、项目属性</w:t>
      </w:r>
    </w:p>
    <w:p w14:paraId="1530FE2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2.1资金来源为</w:t>
      </w:r>
      <w:r>
        <w:rPr>
          <w:rFonts w:hint="eastAsia" w:ascii="宋体" w:hAnsi="宋体" w:cs="宋体"/>
          <w:color w:val="auto"/>
          <w:sz w:val="24"/>
          <w:szCs w:val="24"/>
          <w:highlight w:val="none"/>
          <w:lang w:val="en-US" w:eastAsia="zh-CN"/>
        </w:rPr>
        <w:t>2026年常态化帮扶资金</w:t>
      </w:r>
      <w:r>
        <w:rPr>
          <w:rFonts w:hint="eastAsia" w:ascii="宋体" w:hAnsi="宋体" w:eastAsia="宋体" w:cs="宋体"/>
          <w:color w:val="auto"/>
          <w:sz w:val="24"/>
          <w:szCs w:val="24"/>
          <w:highlight w:val="none"/>
        </w:rPr>
        <w:t>。</w:t>
      </w:r>
    </w:p>
    <w:p w14:paraId="0286721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2.2项目属性见《供应商须知》。</w:t>
      </w:r>
    </w:p>
    <w:p w14:paraId="29FD229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3现场考察、磋商前答疑会</w:t>
      </w:r>
    </w:p>
    <w:p w14:paraId="76ABB60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3.1若《供应商须知》中规定了组织现场考察、召开磋商前答疑会，则供应商应按要求在规定的时间和地点参加。</w:t>
      </w:r>
    </w:p>
    <w:p w14:paraId="156BC78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3.2由于未参加现场考察或磋商前答疑会而导致对项目实际情况不了解，影响响应文件编制、报价准确性、综合因素响应不全面等问题的，由供应商自行承担不利评审后果。</w:t>
      </w:r>
    </w:p>
    <w:p w14:paraId="78B5D64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4政府采购政策（包括但不限于下列具体政策要求）</w:t>
      </w:r>
    </w:p>
    <w:p w14:paraId="5BD3162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4.1采购本国货物、工程和服务</w:t>
      </w:r>
    </w:p>
    <w:p w14:paraId="62C74A4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4.1.1政府采购应当采购本国货物、工程和服务。但有《中华人民共和国政府采购法》第十条规定情形的除外。</w:t>
      </w:r>
    </w:p>
    <w:p w14:paraId="1AD2E3F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4.1.2本项目如接受非本国货物、工程、服务参与磋商，则具体要求见第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3904A6C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4.2中小企业、监狱企业及残疾人福利性单位</w:t>
      </w:r>
    </w:p>
    <w:p w14:paraId="152690F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4.2.1中小企业定义：</w:t>
      </w:r>
    </w:p>
    <w:p w14:paraId="67849CF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04768CF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4.2.1.2供应商提供的货物、工程或者服务符合下列情形的，享受中小企业扶持政策：</w:t>
      </w:r>
    </w:p>
    <w:p w14:paraId="50AF8DA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09DC8AD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34041AA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18AEE13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4.2.1.3在货物采购项目中，供应商提供的货物既有中小企业制造货物，也有大型企业制造货物的，不享受中小企业扶持政策。</w:t>
      </w:r>
    </w:p>
    <w:p w14:paraId="2F9D77D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4.2.1.4以联合体形式参加政府采购活动，联合体各方均为中小企业的，联合体视同中小企业。其中，联合体各方均为小微企业的，联合体视同小微企业。</w:t>
      </w:r>
    </w:p>
    <w:p w14:paraId="00537EF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E981C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DDB0AB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4.2.3.1安置的残疾人占本单位在职职工人数的比例不低于 25%（含 25%），并且安置的残疾人人数不少于 10人（含10人）；</w:t>
      </w:r>
    </w:p>
    <w:p w14:paraId="21E2ED1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4.2.3.2依法与安置的每位残疾人签订了一年以上（含一年）的劳动合同或服务协议；</w:t>
      </w:r>
    </w:p>
    <w:p w14:paraId="338A218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4.2.3.3为安置的每位残疾人按月足额缴纳了基本养老保险、基本医疗保险、失业保险、工伤保险和生育保险等社会保险费；</w:t>
      </w:r>
    </w:p>
    <w:p w14:paraId="449E1AA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4.2.3.4通过银行等金融机构向安置的每位残疾人，按月支付了不低于单位所在区县适用的经省级人民政府批准的月最低工资标准的工资；</w:t>
      </w:r>
    </w:p>
    <w:p w14:paraId="2B61BDB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4.2.3.5提供本单位制造的货物、承担的工程或者服务（以下简称产品），或者提供其他残疾人福利性单位制造的货物（不包括使用非残疾人福利性单位注册商标的货物）；</w:t>
      </w:r>
    </w:p>
    <w:p w14:paraId="60A8007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4.2.3.6前款所称残疾人是指法定劳动年龄内，持有《中华人民共和国残疾人证》或者《中华人民共和国残疾军人证（1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3190CD7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4.2.4本项目是否专门面向中小企业预留采购份额见第一章《</w:t>
      </w:r>
      <w:r>
        <w:rPr>
          <w:rFonts w:hint="eastAsia" w:ascii="宋体" w:hAnsi="宋体" w:eastAsia="宋体" w:cs="宋体"/>
          <w:color w:val="auto"/>
          <w:sz w:val="24"/>
          <w:szCs w:val="24"/>
          <w:highlight w:val="none"/>
          <w:lang w:val="en-US" w:eastAsia="zh-CN"/>
        </w:rPr>
        <w:t>竞争性磋商公告</w:t>
      </w:r>
      <w:r>
        <w:rPr>
          <w:rFonts w:hint="eastAsia" w:ascii="宋体" w:hAnsi="宋体" w:eastAsia="宋体" w:cs="宋体"/>
          <w:color w:val="auto"/>
          <w:sz w:val="24"/>
          <w:szCs w:val="24"/>
          <w:highlight w:val="none"/>
        </w:rPr>
        <w:t>》。</w:t>
      </w:r>
    </w:p>
    <w:p w14:paraId="46958C6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4.2.5采购标的对应的中小企业划分标准所属行业见《供应商须知》。</w:t>
      </w:r>
    </w:p>
    <w:p w14:paraId="3669E2C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4.2.6小微企业价格评审优惠的政策调整：见第三章《评审方法和评审标准》。</w:t>
      </w:r>
    </w:p>
    <w:p w14:paraId="0241CA8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4.3政府采购节能产品、环境标志产品</w:t>
      </w:r>
    </w:p>
    <w:p w14:paraId="6ADE8A8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C4AD53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p>
    <w:p w14:paraId="14303638">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〔2019〕9 号）。</w:t>
      </w:r>
    </w:p>
    <w:p w14:paraId="7A58575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4.3.3如本项目采购产品属于实施政府强制采购品目清单范围的节能产品， 则供应商所报产品必须获得国家确定的认证机构出具的、处于有效期之内的节能产品认证证书，否则响应无效；</w:t>
      </w:r>
    </w:p>
    <w:p w14:paraId="043D802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4.3.4非政府强制采购的节能产品或环境标志产品，依据品目清单和认证证书实施政府优先采购。优先采购的具体规定见第三章《评审方法和评审标准》（如涉及）。</w:t>
      </w:r>
    </w:p>
    <w:p w14:paraId="3A32CDF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4.4正版软件</w:t>
      </w:r>
    </w:p>
    <w:p w14:paraId="0330BEE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16AEAD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w:t>
      </w:r>
    </w:p>
    <w:p w14:paraId="6E23AEF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（国办发〔2010〕47 号）、《财政部关于进一步做好政府机关使用正版软件工作的通知》（财预〔2010〕536 号）。</w:t>
      </w:r>
    </w:p>
    <w:p w14:paraId="5D9A334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4.5网络安全专用产品</w:t>
      </w:r>
    </w:p>
    <w:p w14:paraId="33241F1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A0AD9F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4.6采购需求标准</w:t>
      </w:r>
    </w:p>
    <w:p w14:paraId="2E49286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4.6.1商品包装、快递包装政府采购需求标准（试行）</w:t>
      </w:r>
    </w:p>
    <w:p w14:paraId="1C276F0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5AE7F8F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4.6.2绿色数据中心政府采购需求标准（试行）</w:t>
      </w:r>
    </w:p>
    <w:p w14:paraId="66D51A2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为加快数据中心绿色转型，根据财政部、生态环境部 工业和信息化部关于印发《绿色数据中心政府采购需求标准（试行）》的通知（财库〔2023〕7 号），本项目如涉及绿色数据中心，则具体要求见第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73EA346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4.6.3 工作站政府采购需求标准（2023版）</w:t>
      </w:r>
    </w:p>
    <w:p w14:paraId="15328AC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为提高工作站政府采购需求管理的科学化、规范化水平，财政部、工业和信息化部关于印发《工作站政府采购需求标准（2023年版）》的通知（财库〔2023〕32号），本项目如涉及工作站，则具体要求见第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6314465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4.6.4  通用服务器政府采购需求标准（2023版）</w:t>
      </w:r>
    </w:p>
    <w:p w14:paraId="0FDEAA3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提高通用服务器政府采购需求管理的科学化、规范化水平，财政部、工业和信息化部关于印发《通用服务器政府采购需求标准（2023年版）》的通知（财库〔2023〕33号），本项目如涉及通用服务器，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214D31A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4.6.5  操作系统政府采购需求标准（2023版）</w:t>
      </w:r>
    </w:p>
    <w:p w14:paraId="2CE1386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为提高操作系统的科学化、规范化水平，财政部、工业和信息化部关于印发《操作系统政府采购需求标准（2023年版）》的通知（财库〔2023〕34号），本项目如涉及操作系统，则具体要求见第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6A2B439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4.6.6  数据库政府采购需求标准（2023版）</w:t>
      </w:r>
    </w:p>
    <w:p w14:paraId="43BA181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为提高数据库政府采购需求管理的科学化、规范化水平，财政部、工业和信息化部关于印发《数据库政府采购需求标准（2023年版）》的通知（财库〔2023〕35号），本项目如涉及数据库，则具体要求见第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w:t>
      </w:r>
    </w:p>
    <w:p w14:paraId="7DF85EA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5响应费用</w:t>
      </w:r>
    </w:p>
    <w:p w14:paraId="5F15F32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5.1供应商应自行承担所有与准备和参加磋商有关的费用，无论磋商的结果如何， 采购人或采购代理机构在任何情况下均无承担这些费用的义务和责任。</w:t>
      </w:r>
    </w:p>
    <w:p w14:paraId="42D9AC81">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竞争性磋商文件</w:t>
      </w:r>
    </w:p>
    <w:p w14:paraId="7983FC0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6竞争性磋商文件构成</w:t>
      </w:r>
    </w:p>
    <w:p w14:paraId="0B4A868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6.1竞争性磋商文件包括以下部分： </w:t>
      </w:r>
    </w:p>
    <w:p w14:paraId="7300361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磋商公告</w:t>
      </w:r>
    </w:p>
    <w:p w14:paraId="7827D34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供应商须知</w:t>
      </w:r>
    </w:p>
    <w:p w14:paraId="539BC55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评审方法和评审标准</w:t>
      </w:r>
    </w:p>
    <w:p w14:paraId="43266F3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合同草案条款</w:t>
      </w:r>
    </w:p>
    <w:p w14:paraId="12E9EC6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采购需求</w:t>
      </w:r>
    </w:p>
    <w:p w14:paraId="050B5F6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响应文件格式</w:t>
      </w:r>
    </w:p>
    <w:p w14:paraId="49732C4B">
      <w:p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第七章   图纸</w:t>
      </w:r>
    </w:p>
    <w:p w14:paraId="31A7B91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6.2与本项目有关的澄清或者修改的内容为磋商文件的组成部分</w:t>
      </w:r>
    </w:p>
    <w:p w14:paraId="53F32A5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6.3供应商应认真阅读竞争性磋商文件的全部内容。供应商应按照竞争性磋商文件要求提交响应文件并保证所提供的全部资料的真实性，并对竞争性磋商文件做出实质性响应，否则响应无效。</w:t>
      </w:r>
    </w:p>
    <w:p w14:paraId="37C842B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7对竞争性磋商文件的澄清或修改</w:t>
      </w:r>
    </w:p>
    <w:p w14:paraId="340986B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4DCEAC6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7.2澄清或者修改的内容为竞争性磋商文件的组成部分，并对所有获取竞争性磋商文件的潜在供应商具有约束力。澄清或者修改的内容可能影响响应文件编制的，将在提交首次响应文件截止之日 5日前，通过电子交易平台通知所有获取磋商文件的供应商；不足上述时间的，将顺延提交响应文件截止时间。</w:t>
      </w:r>
    </w:p>
    <w:p w14:paraId="6E6AB6E2">
      <w:pPr>
        <w:adjustRightInd w:val="0"/>
        <w:snapToGrid w:val="0"/>
        <w:spacing w:line="360" w:lineRule="auto"/>
        <w:ind w:firstLine="482" w:firstLineChars="20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响应文件的编制</w:t>
      </w:r>
    </w:p>
    <w:p w14:paraId="741F3F5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8响应范围、竞争性磋商文件中计量单位的使用及磋商语言</w:t>
      </w:r>
    </w:p>
    <w:p w14:paraId="075AF95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8.1本项目如划分采购包，供应商可以对本项目的其中一个采购包进行响应，也可同时对多个采购包进行响应。供应商应当对所参与采购包对应第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14:paraId="5BA4A56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8.2除竞争性磋商文件有特殊要求外，本项目磋商所使用的计量单位，应采用中华人民共和国法定计量单位。</w:t>
      </w:r>
    </w:p>
    <w:p w14:paraId="7D6FD04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9F0E5A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9响应文件构成</w:t>
      </w:r>
    </w:p>
    <w:p w14:paraId="3192598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9.1供应商应当按照竞争性磋商文件的要求编制响应文件，并对其提交的响应文件的真实性、合法性承担法律责任。响应文件的部分格式要求，见第六章《响应文件格式》。</w:t>
      </w:r>
    </w:p>
    <w:p w14:paraId="62593F3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591AE71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9.3第三章《评审方法和评审标准》中涉及的证明文件。</w:t>
      </w:r>
    </w:p>
    <w:p w14:paraId="39CCEAF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9.4对照第五章《采购需求》，说明所提供货物</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或工程</w:t>
      </w:r>
      <w:r>
        <w:rPr>
          <w:rFonts w:hint="eastAsia" w:ascii="宋体" w:hAnsi="宋体" w:eastAsia="宋体" w:cs="宋体"/>
          <w:color w:val="auto"/>
          <w:sz w:val="24"/>
          <w:szCs w:val="24"/>
          <w:highlight w:val="none"/>
        </w:rPr>
        <w:t>已对第五章《采购需求》做出了响应，或申明与第五章《采购需求》的偏差和例外。如第五章《采购需求》中要求提供证明文件的，供应商应当按具体要求提供证明文件。</w:t>
      </w:r>
    </w:p>
    <w:p w14:paraId="0FC05CD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9.5供应商认为应附的其他材料。</w:t>
      </w:r>
    </w:p>
    <w:p w14:paraId="40B456B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10报价</w:t>
      </w:r>
    </w:p>
    <w:p w14:paraId="7C9DFEF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10.1所有响应均以人民币报价。</w:t>
      </w:r>
    </w:p>
    <w:p w14:paraId="5B4FCC6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供应商的报价为竞争性磋商文件要求完成本项目的全部相关费用，应包括为完成本项目所发生的一切费用和税费，采购人将不再支付报价以外的任何费用。供应商的报价应包括但不限于下列内容，《供应商须知》中有特殊规定的，从其规定。</w:t>
      </w:r>
    </w:p>
    <w:p w14:paraId="3288C91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10.3采购人不得向供应商索要或者接受其给予的赠品、回扣或者与采购无关的其他商品、服务。</w:t>
      </w:r>
    </w:p>
    <w:p w14:paraId="792AD9F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10.4供应商不能提供任何有选择性或可调整的最后报价（竞争性磋商文件另有规定的除外），否则其响应无效。</w:t>
      </w:r>
    </w:p>
    <w:p w14:paraId="499DCDA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11磋商保证金</w:t>
      </w:r>
    </w:p>
    <w:p w14:paraId="05FA2ED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11.1供应商应按《供应商须知》中规定的金额及要求交纳磋商保证金。</w:t>
      </w:r>
    </w:p>
    <w:p w14:paraId="03993A2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11.2交纳磋商保证金可采用的形式：政府采购法律法规接受的支票、汇票、本票、网上银行支付或者金融机构、担保机构出具的保函、保证保险等非现金形式。</w:t>
      </w:r>
    </w:p>
    <w:p w14:paraId="612849D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到账； 由于到账时间晚于首次响应文件提交截止时间的，或者票据错误、印鉴不清等原因导致不能到账的，其响应无效。</w:t>
      </w:r>
    </w:p>
    <w:p w14:paraId="3CFB1BF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11.4磋商保证金有效期同响应有效期。</w:t>
      </w:r>
    </w:p>
    <w:p w14:paraId="4670F5D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11.5供应商为联合体的，可以由联合体中的一方或者多方共同交纳磋商保证金， 其交纳的保证金对联合体各方均具有约束力。</w:t>
      </w:r>
    </w:p>
    <w:p w14:paraId="4183795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采购人、采购代理机构将及时退还供应商的保证金，采用支票、汇票、本票、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612FD0A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r>
        <w:rPr>
          <w:rFonts w:hint="eastAsia" w:ascii="宋体" w:hAnsi="宋体" w:eastAsia="宋体" w:cs="宋体"/>
          <w:color w:val="auto"/>
          <w:sz w:val="24"/>
          <w:szCs w:val="24"/>
          <w:highlight w:val="none"/>
          <w:lang w:eastAsia="zh-CN"/>
        </w:rPr>
        <w:t>1</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的磋商保证金，在采购合同签订后 5 个工作日内退还</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w:t>
      </w:r>
    </w:p>
    <w:p w14:paraId="56C1CED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未</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的磋商保证金，在结果公示（</w:t>
      </w:r>
      <w:r>
        <w:rPr>
          <w:rFonts w:hint="eastAsia" w:ascii="宋体" w:hAnsi="宋体" w:cs="宋体"/>
          <w:color w:val="auto"/>
          <w:sz w:val="24"/>
          <w:szCs w:val="24"/>
          <w:highlight w:val="none"/>
          <w:lang w:eastAsia="zh-CN"/>
        </w:rPr>
        <w:t>成交结果公告</w:t>
      </w:r>
      <w:r>
        <w:rPr>
          <w:rFonts w:hint="eastAsia" w:ascii="宋体" w:hAnsi="宋体" w:eastAsia="宋体" w:cs="宋体"/>
          <w:color w:val="auto"/>
          <w:sz w:val="24"/>
          <w:szCs w:val="24"/>
          <w:highlight w:val="none"/>
        </w:rPr>
        <w:t>）结束无异议后五个工作日内退还。</w:t>
      </w:r>
    </w:p>
    <w:p w14:paraId="7CC83CB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11.7有下列情形之一的，采购人或采购代理机构不予退还磋商保证金：</w:t>
      </w:r>
    </w:p>
    <w:p w14:paraId="474B225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11.7.1供应商在提交响应文件截止时间后撤回响应文件的；</w:t>
      </w:r>
    </w:p>
    <w:p w14:paraId="371E847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11.7.2供应商在响应文件中提供虚假材料的；</w:t>
      </w:r>
    </w:p>
    <w:p w14:paraId="1735086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11.7.3除因不可抗力或磋商文件认可的情形以外，</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不与采购人签订合同的；</w:t>
      </w:r>
    </w:p>
    <w:p w14:paraId="438250A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11.7.4供应商与采购人、其他供应商或者采购代理机构恶意串通的；</w:t>
      </w:r>
    </w:p>
    <w:p w14:paraId="7AB4116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11.7.5《供应商须知》规定的其他情形。</w:t>
      </w:r>
    </w:p>
    <w:p w14:paraId="679616F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12响应有效期</w:t>
      </w:r>
    </w:p>
    <w:p w14:paraId="2270038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12.1响应文件应在本竞争性磋商文件《供应商须知》中规定的响应有效期内保持有效，响应有效期少于竞争性磋商文件规定期限的，其响应无效。</w:t>
      </w:r>
    </w:p>
    <w:p w14:paraId="045990E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13响应文件的签署、盖章</w:t>
      </w:r>
    </w:p>
    <w:p w14:paraId="34420B7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13.1竞争性磋商文件要求签字的内容（如授权委托书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竞争性磋商文件要求的签字内容</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eastAsia="zh-CN"/>
        </w:rPr>
        <w:t>须按照文件</w:t>
      </w:r>
      <w:r>
        <w:rPr>
          <w:rFonts w:hint="eastAsia" w:ascii="宋体" w:hAnsi="宋体" w:eastAsia="宋体" w:cs="宋体"/>
          <w:color w:val="auto"/>
          <w:sz w:val="24"/>
          <w:szCs w:val="24"/>
          <w:highlight w:val="none"/>
          <w:lang w:val="en-US" w:eastAsia="zh-CN"/>
        </w:rPr>
        <w:t>要求签字</w:t>
      </w:r>
      <w:r>
        <w:rPr>
          <w:rFonts w:hint="eastAsia" w:ascii="宋体" w:hAnsi="宋体" w:eastAsia="宋体" w:cs="宋体"/>
          <w:color w:val="auto"/>
          <w:sz w:val="24"/>
          <w:szCs w:val="24"/>
          <w:highlight w:val="none"/>
        </w:rPr>
        <w:t>；</w:t>
      </w:r>
    </w:p>
    <w:p w14:paraId="3CD6FE2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13.2竞争性磋商文件要求盖章的内容，可以通过文件编制工具加盖电子签章。</w:t>
      </w:r>
    </w:p>
    <w:p w14:paraId="79B07CF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13.3《供应商须知》规定的其他情形</w:t>
      </w:r>
    </w:p>
    <w:p w14:paraId="11C95380">
      <w:pPr>
        <w:adjustRightInd w:val="0"/>
        <w:snapToGrid w:val="0"/>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响应文件的提交</w:t>
      </w:r>
    </w:p>
    <w:p w14:paraId="29B3B37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14响应文件的提交</w:t>
      </w:r>
    </w:p>
    <w:p w14:paraId="197FF90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6356164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14.2为确保网上操作合法、有效和安全，供应商应当在响应文件提交截止时间前完成在“政采云平台”的身份认证，确保在电子交易过程中能够对相关数据电文进行加密和使用电子签名。</w:t>
      </w:r>
    </w:p>
    <w:p w14:paraId="25490F8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14.3采购人及采购代理机构拒绝接受通过电子交易平台以外任何形式提交的响应文件，磋商保证金除外。</w:t>
      </w:r>
    </w:p>
    <w:p w14:paraId="7CE406F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15响应文件提交截止时间</w:t>
      </w:r>
    </w:p>
    <w:p w14:paraId="029A440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15.1供应商应在竞争性磋商文件要求响应文件提交截止时间前，将电子响应文件提交至电子交易平台。</w:t>
      </w:r>
    </w:p>
    <w:p w14:paraId="3569308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16响应文件的修改与撤回</w:t>
      </w:r>
    </w:p>
    <w:p w14:paraId="51FA913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4A100A8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16.2供应商对响应文件的补充、修改的内容应当按照竞争性磋商文件要求签署、盖章，作为响应文件的组成部分。补充、修改的内容与响应文件不一致的， 以补充、修改的内容为准。</w:t>
      </w:r>
    </w:p>
    <w:p w14:paraId="7AA31AC2">
      <w:pPr>
        <w:adjustRightInd w:val="0"/>
        <w:snapToGrid w:val="0"/>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评审</w:t>
      </w:r>
    </w:p>
    <w:p w14:paraId="53C4363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17响应文件的解密与开启</w:t>
      </w:r>
    </w:p>
    <w:p w14:paraId="3AF7BF5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17.1采购人或采购代理机构将按竞争性磋商文件的规定，在响应文件提交截止时间的同一时间和竞争性磋商文件预先确定的地点开启响应文件。</w:t>
      </w:r>
    </w:p>
    <w:p w14:paraId="205D253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17.2本项目解密使用政采云平台。采购代理机构依托该电子交易平台发起开始解密指令，供应商须使用加密时所用的CA锁按平台提示和采购文件的规定登录到政采云平台电子开标大厅签到，并在发起解密指令之时起</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分钟内完成对电子响应文件在线解密。</w:t>
      </w:r>
    </w:p>
    <w:p w14:paraId="4A6E196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17.3发起解密指令之时起5分钟内供应商还未进行解密的，代理机构可通知供应商，供应商未预留联系方式或预留联系方式无效，导致代理机构无法联系到供应商进行解密的，视为撤回响应文件。</w:t>
      </w:r>
    </w:p>
    <w:p w14:paraId="128D8F8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17.4供应商应在规定的时间内对响应文件进行解密，因非系统原因导致的解密失败，视为无效响应。</w:t>
      </w:r>
    </w:p>
    <w:p w14:paraId="71A2B4F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17.5电子交易活动的中止</w:t>
      </w:r>
    </w:p>
    <w:p w14:paraId="7B778C8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采购过程中出现以下情形，导致电子交易平台无法正常运行，或者无法保证电子交易的公平、公正和安全时，采购代理机构可中止电子交易活动：</w:t>
      </w:r>
    </w:p>
    <w:p w14:paraId="7548C32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（1）电子交易平台发生故障而无法登录访问的；</w:t>
      </w:r>
    </w:p>
    <w:p w14:paraId="4C4DF5A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（2）电子交易平台应用或数据库出现错误，不能进行正常操作的；</w:t>
      </w:r>
    </w:p>
    <w:p w14:paraId="5241F37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（3）电子交易平台发现严重安全漏洞，有潜在泄密危险的；</w:t>
      </w:r>
    </w:p>
    <w:p w14:paraId="2444B69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（4）病毒发作导致不能进行正常操作的；</w:t>
      </w:r>
    </w:p>
    <w:p w14:paraId="7AC05D1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（5）其他无法保证电子交易的公平、公正和安全的情况。</w:t>
      </w:r>
    </w:p>
    <w:p w14:paraId="134B3A8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17.6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A59F6B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17.7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3FCDE2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17.8供应商不足</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家的，不予解密。</w:t>
      </w:r>
    </w:p>
    <w:p w14:paraId="64BE5D1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17.9本项目不公开报价。</w:t>
      </w:r>
    </w:p>
    <w:p w14:paraId="6B10081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18磋商小组</w:t>
      </w:r>
    </w:p>
    <w:p w14:paraId="6603A02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18.1磋商小组根据政府采购有关规定和本次采购项目的特点进行组建，并负责具体评审与磋商事务，独立履行职责。</w:t>
      </w:r>
    </w:p>
    <w:p w14:paraId="4746438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1C85BEB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19评审方法和评审标准</w:t>
      </w:r>
    </w:p>
    <w:p w14:paraId="16125E6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19.1见第三章《评审方法和评审标准》。</w:t>
      </w:r>
    </w:p>
    <w:p w14:paraId="0AF0E04E">
      <w:pPr>
        <w:adjustRightInd w:val="0"/>
        <w:snapToGrid w:val="0"/>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确定成交</w:t>
      </w:r>
    </w:p>
    <w:p w14:paraId="1FBEC4D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20确定</w:t>
      </w:r>
      <w:r>
        <w:rPr>
          <w:rFonts w:hint="eastAsia" w:ascii="宋体" w:hAnsi="宋体" w:cs="宋体"/>
          <w:color w:val="auto"/>
          <w:sz w:val="24"/>
          <w:szCs w:val="24"/>
          <w:highlight w:val="none"/>
          <w:lang w:val="en-US" w:eastAsia="zh-CN"/>
        </w:rPr>
        <w:t>成交供应商</w:t>
      </w:r>
    </w:p>
    <w:p w14:paraId="3A3F94F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20.1采购人将在收到评审报告后，从评审报告提出的</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候选供应商中，按照排序由高到低的原则确定</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。采购人是否授权磋商小组直接确定成交供应商，见《供应商须知》。</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候选人并列的，按照《供应商须知》要求确定成交供应商。</w:t>
      </w:r>
    </w:p>
    <w:p w14:paraId="6D1B6F0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公告与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5DCB267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21.1采购人或采购代理机构将在</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 xml:space="preserve">确定后 </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rPr>
        <w:t>工作日内，在云南省政府采购网公告</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结果，同时向</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发出</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公告期限为</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个工作日。</w:t>
      </w:r>
    </w:p>
    <w:p w14:paraId="536DC41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对采购人和</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均具有法律效力。</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发出后，采购人改变</w:t>
      </w:r>
      <w:r>
        <w:rPr>
          <w:rFonts w:hint="eastAsia" w:ascii="宋体" w:hAnsi="宋体" w:cs="宋体"/>
          <w:color w:val="auto"/>
          <w:sz w:val="24"/>
          <w:szCs w:val="24"/>
          <w:highlight w:val="none"/>
          <w:lang w:val="en-US" w:eastAsia="zh-CN"/>
        </w:rPr>
        <w:t>成交结果</w:t>
      </w:r>
      <w:r>
        <w:rPr>
          <w:rFonts w:hint="eastAsia" w:ascii="宋体" w:hAnsi="宋体" w:eastAsia="宋体" w:cs="宋体"/>
          <w:color w:val="auto"/>
          <w:sz w:val="24"/>
          <w:szCs w:val="24"/>
          <w:highlight w:val="none"/>
        </w:rPr>
        <w:t>的，或者</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放弃</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项目的，应当依法承担法律责任。</w:t>
      </w:r>
    </w:p>
    <w:p w14:paraId="3925A83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22终止</w:t>
      </w:r>
    </w:p>
    <w:p w14:paraId="695ED4B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22.1出现下列情形之一的，采购人或采购代理机构将终止竞争性磋商采购活动， 发布项目终止公告并说明原因，重新开展采购活动：</w:t>
      </w:r>
    </w:p>
    <w:p w14:paraId="58FBE71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22.1.1因情况变化，不再符合规定的竞争性磋商采购方式适用情形的；</w:t>
      </w:r>
    </w:p>
    <w:p w14:paraId="0038EDD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22.1.2出现影响采购公正的违法、违规行为的；</w:t>
      </w:r>
    </w:p>
    <w:p w14:paraId="1D00F34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22.1.3除了“市场竞争不充分的科研项目，以及需要扶持的科技成果转化项目，提交最后报价的供应商可以为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家的。</w:t>
      </w:r>
    </w:p>
    <w:p w14:paraId="2AC4F1A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23签订合同</w:t>
      </w:r>
    </w:p>
    <w:p w14:paraId="7DA5828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23.1采购人与</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应当在</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日内，按照磋商文件确定的合同文本以及采购标的、规格型号、采购金额、采购数量、技术和服务要求（或工程项目的工程范围、工期、质量标准、技术标准和要求）等事项签订政府采购合同。</w:t>
      </w:r>
    </w:p>
    <w:p w14:paraId="3AB1768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拒绝签订政府采购合同的，采购人可以按照评审报告推荐的</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候选人名单排序，确定下一候选人为</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，也可以重新开展采购活动。拒绝签订政府采购合同的成交供应商不得参加对该项目重新开展的采购活动。</w:t>
      </w:r>
    </w:p>
    <w:p w14:paraId="3B0EE22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23.3联合体</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的，联合体各方应当共同与采购人签订合同，就采购合同约定的事项向采购人承担连带责任。</w:t>
      </w:r>
    </w:p>
    <w:p w14:paraId="73CC0E6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23.4政府采购合同不能转包。</w:t>
      </w:r>
    </w:p>
    <w:p w14:paraId="02842DC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23.5采购人允许采用分包方式履行合同的，</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可以依法采取分包方式履行合同。本项目是否允许分包，见《供应商须知》。政府采购合同分包履行的，应当在响应文件中载明分包承担主体，分包承担主体应当具备相应资质条件且不得再次分包，否则响应无效。</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就采购项目和分包项目向采购人负责，分包供应商就分包项目承担责任。</w:t>
      </w:r>
    </w:p>
    <w:p w14:paraId="7CF1B7C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24询问与质疑</w:t>
      </w:r>
    </w:p>
    <w:p w14:paraId="3E6381C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24.1询问</w:t>
      </w:r>
    </w:p>
    <w:p w14:paraId="5E38AED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24.1.1供应商对政府采购活动事项有疑问的，可依法提出询问，并按《供应商须知》载明的形式送达采购人或采购代理机构。</w:t>
      </w:r>
    </w:p>
    <w:p w14:paraId="4F85CA8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24.1.2采购人或采购代理机构对供应商依法提出的询问，在</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个工作日内作出答复，但答复的内容不得涉及商业秘密。</w:t>
      </w:r>
    </w:p>
    <w:p w14:paraId="16C8085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24.2质疑</w:t>
      </w:r>
    </w:p>
    <w:p w14:paraId="4BB07A4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24.2.1供应商认为竞争性磋商文件、采购过程、</w:t>
      </w:r>
      <w:r>
        <w:rPr>
          <w:rFonts w:hint="eastAsia" w:ascii="宋体" w:hAnsi="宋体" w:cs="宋体"/>
          <w:color w:val="auto"/>
          <w:sz w:val="24"/>
          <w:szCs w:val="24"/>
          <w:highlight w:val="none"/>
          <w:lang w:val="en-US" w:eastAsia="zh-CN"/>
        </w:rPr>
        <w:t>成交结果</w:t>
      </w:r>
      <w:r>
        <w:rPr>
          <w:rFonts w:hint="eastAsia" w:ascii="宋体" w:hAnsi="宋体" w:eastAsia="宋体" w:cs="宋体"/>
          <w:color w:val="auto"/>
          <w:sz w:val="24"/>
          <w:szCs w:val="24"/>
          <w:highlight w:val="none"/>
        </w:rPr>
        <w:t>使自己的权益受到损害的，可以在知道或者应知其权益受到损害之日起</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个工作日内作出答复。</w:t>
      </w:r>
    </w:p>
    <w:p w14:paraId="0210269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24.2.2供应商应知其权益受到损害之日，是指：</w:t>
      </w:r>
    </w:p>
    <w:p w14:paraId="3B10F25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（1）对可以质疑的采购文件提出质疑的，质疑时效期间的起算日期为公告期限届满之日；</w:t>
      </w:r>
    </w:p>
    <w:p w14:paraId="02F6732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14:paraId="392FF19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w:t>
      </w:r>
      <w:r>
        <w:rPr>
          <w:rFonts w:hint="eastAsia" w:ascii="宋体" w:hAnsi="宋体" w:cs="宋体"/>
          <w:color w:val="auto"/>
          <w:sz w:val="24"/>
          <w:szCs w:val="24"/>
          <w:highlight w:val="none"/>
          <w:lang w:val="en-US" w:eastAsia="zh-CN"/>
        </w:rPr>
        <w:t>成交结果</w:t>
      </w:r>
      <w:r>
        <w:rPr>
          <w:rFonts w:hint="eastAsia" w:ascii="宋体" w:hAnsi="宋体" w:eastAsia="宋体" w:cs="宋体"/>
          <w:color w:val="auto"/>
          <w:sz w:val="24"/>
          <w:szCs w:val="24"/>
          <w:highlight w:val="none"/>
        </w:rPr>
        <w:t>提出质疑的，为</w:t>
      </w:r>
      <w:r>
        <w:rPr>
          <w:rFonts w:hint="eastAsia" w:ascii="宋体" w:hAnsi="宋体" w:cs="宋体"/>
          <w:color w:val="auto"/>
          <w:sz w:val="24"/>
          <w:szCs w:val="24"/>
          <w:highlight w:val="none"/>
          <w:lang w:val="en-US" w:eastAsia="zh-CN"/>
        </w:rPr>
        <w:t>成交结果</w:t>
      </w:r>
      <w:r>
        <w:rPr>
          <w:rFonts w:hint="eastAsia" w:ascii="宋体" w:hAnsi="宋体" w:eastAsia="宋体" w:cs="宋体"/>
          <w:color w:val="auto"/>
          <w:sz w:val="24"/>
          <w:szCs w:val="24"/>
          <w:highlight w:val="none"/>
        </w:rPr>
        <w:t>公告期限届满之日。</w:t>
      </w:r>
    </w:p>
    <w:p w14:paraId="3104252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24.2.3质疑函须使用财政部制定的范本文件。供应商为自然人的，质疑函应当由本人签字；供应商为法人或者其他组织的，质疑函应当由法定代表人、主要负责人，或者其授权代表签字或者盖章，并加盖公章。</w:t>
      </w:r>
    </w:p>
    <w:p w14:paraId="5642435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24.2.4供应商委托代理人进行质疑的，应当随质疑函同时提交供应商签署的授权委托书。授权委托书应当载明代理人的姓名或者名称、代理事项、具体权限、期限和相关事项。供应商为自然人的，应当由本人签字；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1DF641F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24.2.5供应商应在法定质疑期内一次性提出针对同一采购程序环节的质疑，法定质疑期内针对同一采购程序环节再次提出的质疑，采购人、采购代理机构有权不予答复。</w:t>
      </w:r>
    </w:p>
    <w:p w14:paraId="67E7AD1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24.3接收询问和质疑的联系部门、联系电话和通讯地址见《供应商须知》。</w:t>
      </w:r>
    </w:p>
    <w:p w14:paraId="6EB57D1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25代理费</w:t>
      </w:r>
    </w:p>
    <w:p w14:paraId="7A2563A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25.1收费对象、收费标准及缴纳时间见《供应商须知》。由</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支付的，</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须一次性向采购代理机构缴纳代理费，报价应包含代理费及其他相关费用。</w:t>
      </w:r>
    </w:p>
    <w:p w14:paraId="0308B2F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26其他：见《供应商须知》</w:t>
      </w:r>
      <w:r>
        <w:rPr>
          <w:rFonts w:hint="eastAsia" w:ascii="宋体" w:hAnsi="宋体" w:eastAsia="宋体" w:cs="宋体"/>
          <w:color w:val="auto"/>
          <w:spacing w:val="-10"/>
          <w:sz w:val="24"/>
          <w:highlight w:val="none"/>
        </w:rPr>
        <w:t>。</w:t>
      </w:r>
    </w:p>
    <w:p w14:paraId="00B8BF42">
      <w:pPr>
        <w:spacing w:line="360" w:lineRule="auto"/>
        <w:ind w:firstLine="472" w:firstLineChars="225"/>
        <w:rPr>
          <w:rFonts w:hint="eastAsia" w:ascii="宋体" w:hAnsi="宋体" w:eastAsia="宋体" w:cs="宋体"/>
          <w:color w:val="auto"/>
          <w:sz w:val="21"/>
          <w:szCs w:val="21"/>
          <w:highlight w:val="none"/>
        </w:rPr>
      </w:pPr>
    </w:p>
    <w:p w14:paraId="5CE3F373">
      <w:pPr>
        <w:pStyle w:val="2"/>
        <w:spacing w:line="360" w:lineRule="auto"/>
        <w:rPr>
          <w:rFonts w:hint="eastAsia" w:ascii="宋体" w:hAnsi="宋体" w:eastAsia="宋体" w:cs="宋体"/>
          <w:color w:val="auto"/>
          <w:sz w:val="36"/>
          <w:szCs w:val="36"/>
          <w:highlight w:val="none"/>
        </w:rPr>
        <w:sectPr>
          <w:pgSz w:w="11906" w:h="16838"/>
          <w:pgMar w:top="1418" w:right="1247" w:bottom="1418" w:left="1247" w:header="851" w:footer="992" w:gutter="0"/>
          <w:pgNumType w:fmt="decimal"/>
          <w:cols w:space="720" w:num="1"/>
          <w:docGrid w:linePitch="312" w:charSpace="0"/>
        </w:sectPr>
      </w:pPr>
      <w:bookmarkStart w:id="79" w:name="_Toc302769230"/>
    </w:p>
    <w:p w14:paraId="2013EB67">
      <w:pPr>
        <w:pStyle w:val="2"/>
        <w:numPr>
          <w:ilvl w:val="0"/>
          <w:numId w:val="4"/>
        </w:num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    </w:t>
      </w:r>
      <w:bookmarkStart w:id="80" w:name="_Toc19888"/>
      <w:r>
        <w:rPr>
          <w:rFonts w:hint="eastAsia" w:ascii="宋体" w:hAnsi="宋体" w:eastAsia="宋体" w:cs="宋体"/>
          <w:color w:val="auto"/>
          <w:sz w:val="36"/>
          <w:szCs w:val="36"/>
          <w:highlight w:val="none"/>
        </w:rPr>
        <w:t>评审办法</w:t>
      </w:r>
      <w:bookmarkEnd w:id="79"/>
      <w:bookmarkEnd w:id="80"/>
    </w:p>
    <w:p w14:paraId="1A58D080">
      <w:pPr>
        <w:numPr>
          <w:ilvl w:val="0"/>
          <w:numId w:val="0"/>
        </w:numPr>
        <w:spacing w:line="360" w:lineRule="auto"/>
        <w:rPr>
          <w:rFonts w:hint="eastAsia" w:ascii="宋体" w:hAnsi="宋体" w:eastAsia="宋体" w:cs="宋体"/>
          <w:color w:val="auto"/>
          <w:highlight w:val="none"/>
        </w:rPr>
      </w:pPr>
    </w:p>
    <w:p w14:paraId="7F54FAA4">
      <w:pPr>
        <w:pStyle w:val="3"/>
        <w:keepNext/>
        <w:keepLines/>
        <w:pageBreakBefore w:val="0"/>
        <w:widowControl/>
        <w:kinsoku/>
        <w:wordWrap/>
        <w:overflowPunct/>
        <w:topLinePunct w:val="0"/>
        <w:autoSpaceDE/>
        <w:autoSpaceDN/>
        <w:bidi w:val="0"/>
        <w:adjustRightInd w:val="0"/>
        <w:snapToGrid/>
        <w:spacing w:line="360" w:lineRule="auto"/>
        <w:jc w:val="left"/>
        <w:textAlignment w:val="baseline"/>
        <w:rPr>
          <w:rFonts w:hint="eastAsia" w:ascii="宋体" w:hAnsi="宋体" w:eastAsia="宋体" w:cs="宋体"/>
          <w:color w:val="auto"/>
          <w:highlight w:val="none"/>
        </w:rPr>
      </w:pPr>
      <w:bookmarkStart w:id="81" w:name="_Toc15111"/>
      <w:bookmarkStart w:id="82" w:name="_Toc13590"/>
      <w:bookmarkStart w:id="83" w:name="_Toc24324"/>
      <w:bookmarkStart w:id="84" w:name="_Toc18424"/>
      <w:bookmarkStart w:id="85" w:name="_Toc302769231"/>
      <w:bookmarkStart w:id="86" w:name="_Toc3546"/>
      <w:bookmarkStart w:id="87" w:name="_Toc22518"/>
      <w:r>
        <w:rPr>
          <w:rFonts w:hint="eastAsia" w:ascii="宋体" w:hAnsi="宋体" w:eastAsia="宋体" w:cs="宋体"/>
          <w:color w:val="auto"/>
          <w:highlight w:val="none"/>
        </w:rPr>
        <w:t>一、评审办法前附表</w:t>
      </w:r>
      <w:bookmarkEnd w:id="81"/>
      <w:bookmarkEnd w:id="82"/>
      <w:bookmarkEnd w:id="83"/>
      <w:bookmarkEnd w:id="84"/>
      <w:bookmarkEnd w:id="85"/>
      <w:bookmarkEnd w:id="86"/>
      <w:bookmarkEnd w:id="87"/>
    </w:p>
    <w:tbl>
      <w:tblPr>
        <w:tblStyle w:val="27"/>
        <w:tblW w:w="55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2921"/>
        <w:gridCol w:w="5274"/>
      </w:tblGrid>
      <w:tr w14:paraId="6724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42" w:type="pct"/>
            <w:vAlign w:val="center"/>
          </w:tcPr>
          <w:p w14:paraId="5B2DB4C2">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评审程序</w:t>
            </w:r>
          </w:p>
        </w:tc>
        <w:tc>
          <w:tcPr>
            <w:tcW w:w="1553" w:type="pct"/>
            <w:vAlign w:val="center"/>
          </w:tcPr>
          <w:p w14:paraId="20791C93">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2804" w:type="pct"/>
            <w:vAlign w:val="center"/>
          </w:tcPr>
          <w:p w14:paraId="023ADED0">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45B72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restart"/>
            <w:vAlign w:val="center"/>
          </w:tcPr>
          <w:p w14:paraId="6D3CF514">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资格审查要求</w:t>
            </w:r>
          </w:p>
        </w:tc>
        <w:tc>
          <w:tcPr>
            <w:tcW w:w="1553" w:type="pct"/>
            <w:vAlign w:val="center"/>
          </w:tcPr>
          <w:p w14:paraId="667BF260">
            <w:pPr>
              <w:autoSpaceDE w:val="0"/>
              <w:autoSpaceDN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营业执照</w:t>
            </w:r>
          </w:p>
        </w:tc>
        <w:tc>
          <w:tcPr>
            <w:tcW w:w="2804" w:type="pct"/>
            <w:vAlign w:val="center"/>
          </w:tcPr>
          <w:p w14:paraId="56C7D994">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具有有效的营业执照</w:t>
            </w:r>
          </w:p>
        </w:tc>
      </w:tr>
      <w:tr w14:paraId="2675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top"/>
          </w:tcPr>
          <w:p w14:paraId="6D437750">
            <w:pPr>
              <w:autoSpaceDE w:val="0"/>
              <w:autoSpaceDN w:val="0"/>
              <w:adjustRightInd w:val="0"/>
              <w:spacing w:line="360" w:lineRule="auto"/>
              <w:jc w:val="left"/>
              <w:rPr>
                <w:rFonts w:hint="eastAsia" w:ascii="宋体" w:hAnsi="宋体" w:eastAsia="宋体" w:cs="宋体"/>
                <w:color w:val="auto"/>
                <w:sz w:val="24"/>
                <w:szCs w:val="24"/>
                <w:highlight w:val="none"/>
              </w:rPr>
            </w:pPr>
          </w:p>
        </w:tc>
        <w:tc>
          <w:tcPr>
            <w:tcW w:w="1553" w:type="pct"/>
            <w:vAlign w:val="center"/>
          </w:tcPr>
          <w:p w14:paraId="4B8D69CF">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财务要求</w:t>
            </w:r>
          </w:p>
        </w:tc>
        <w:tc>
          <w:tcPr>
            <w:tcW w:w="2804" w:type="pct"/>
            <w:vAlign w:val="center"/>
          </w:tcPr>
          <w:p w14:paraId="4927A8D8">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满足竞争性磋商文件要求</w:t>
            </w:r>
          </w:p>
        </w:tc>
      </w:tr>
      <w:tr w14:paraId="794F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top"/>
          </w:tcPr>
          <w:p w14:paraId="37F97F34">
            <w:pPr>
              <w:autoSpaceDE w:val="0"/>
              <w:autoSpaceDN w:val="0"/>
              <w:adjustRightInd w:val="0"/>
              <w:spacing w:line="360" w:lineRule="auto"/>
              <w:jc w:val="left"/>
              <w:rPr>
                <w:rFonts w:hint="eastAsia" w:ascii="宋体" w:hAnsi="宋体" w:eastAsia="宋体" w:cs="宋体"/>
                <w:color w:val="auto"/>
                <w:sz w:val="24"/>
                <w:szCs w:val="24"/>
                <w:highlight w:val="none"/>
              </w:rPr>
            </w:pPr>
          </w:p>
        </w:tc>
        <w:tc>
          <w:tcPr>
            <w:tcW w:w="1553" w:type="pct"/>
            <w:vAlign w:val="center"/>
          </w:tcPr>
          <w:p w14:paraId="28474B48">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信誉要求</w:t>
            </w:r>
          </w:p>
        </w:tc>
        <w:tc>
          <w:tcPr>
            <w:tcW w:w="2804" w:type="pct"/>
            <w:vAlign w:val="center"/>
          </w:tcPr>
          <w:p w14:paraId="633AB6F5">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满足竞争性磋商文件要求</w:t>
            </w:r>
          </w:p>
        </w:tc>
      </w:tr>
      <w:tr w14:paraId="14273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top"/>
          </w:tcPr>
          <w:p w14:paraId="6B0F51DF">
            <w:pPr>
              <w:autoSpaceDE w:val="0"/>
              <w:autoSpaceDN w:val="0"/>
              <w:adjustRightInd w:val="0"/>
              <w:spacing w:line="360" w:lineRule="auto"/>
              <w:jc w:val="left"/>
              <w:rPr>
                <w:rFonts w:hint="eastAsia" w:ascii="宋体" w:hAnsi="宋体" w:eastAsia="宋体" w:cs="宋体"/>
                <w:color w:val="auto"/>
                <w:sz w:val="24"/>
                <w:szCs w:val="24"/>
                <w:highlight w:val="none"/>
              </w:rPr>
            </w:pPr>
          </w:p>
        </w:tc>
        <w:tc>
          <w:tcPr>
            <w:tcW w:w="1553" w:type="pct"/>
            <w:vAlign w:val="center"/>
          </w:tcPr>
          <w:p w14:paraId="4B70C9F2">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税收社保证明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p>
        </w:tc>
        <w:tc>
          <w:tcPr>
            <w:tcW w:w="2804" w:type="pct"/>
            <w:vAlign w:val="center"/>
          </w:tcPr>
          <w:p w14:paraId="74ACDCA4">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满足竞争性磋商文件要求</w:t>
            </w:r>
          </w:p>
        </w:tc>
      </w:tr>
      <w:tr w14:paraId="34A5B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top"/>
          </w:tcPr>
          <w:p w14:paraId="7A008D84">
            <w:pPr>
              <w:autoSpaceDE w:val="0"/>
              <w:autoSpaceDN w:val="0"/>
              <w:adjustRightInd w:val="0"/>
              <w:spacing w:line="360" w:lineRule="auto"/>
              <w:jc w:val="left"/>
              <w:rPr>
                <w:rFonts w:hint="eastAsia" w:ascii="宋体" w:hAnsi="宋体" w:eastAsia="宋体" w:cs="宋体"/>
                <w:color w:val="auto"/>
                <w:sz w:val="24"/>
                <w:szCs w:val="24"/>
                <w:highlight w:val="none"/>
              </w:rPr>
            </w:pPr>
          </w:p>
        </w:tc>
        <w:tc>
          <w:tcPr>
            <w:tcW w:w="1553" w:type="pct"/>
            <w:vAlign w:val="center"/>
          </w:tcPr>
          <w:p w14:paraId="4DFF8776">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2804" w:type="pct"/>
            <w:vAlign w:val="center"/>
          </w:tcPr>
          <w:p w14:paraId="33713D65">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auto"/>
                <w:sz w:val="24"/>
                <w:szCs w:val="24"/>
                <w:highlight w:val="none"/>
              </w:rPr>
            </w:pPr>
            <w:bookmarkStart w:id="88" w:name="OLE_LINK12"/>
            <w:r>
              <w:rPr>
                <w:rFonts w:hint="eastAsia" w:ascii="宋体" w:hAnsi="宋体" w:cs="宋体"/>
                <w:color w:val="auto"/>
                <w:sz w:val="24"/>
                <w:szCs w:val="24"/>
                <w:highlight w:val="none"/>
                <w:lang w:val="en-US" w:eastAsia="zh-CN"/>
              </w:rPr>
              <w:t xml:space="preserve">供应商应具备的资格要求的其他内容，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满足竞争性磋商文件要求</w:t>
            </w:r>
            <w:bookmarkEnd w:id="88"/>
          </w:p>
        </w:tc>
      </w:tr>
      <w:tr w14:paraId="7194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top"/>
          </w:tcPr>
          <w:p w14:paraId="2D197755">
            <w:pPr>
              <w:autoSpaceDE w:val="0"/>
              <w:autoSpaceDN w:val="0"/>
              <w:adjustRightInd w:val="0"/>
              <w:spacing w:line="360" w:lineRule="auto"/>
              <w:jc w:val="left"/>
              <w:rPr>
                <w:rFonts w:hint="eastAsia" w:ascii="宋体" w:hAnsi="宋体" w:eastAsia="宋体" w:cs="宋体"/>
                <w:color w:val="auto"/>
                <w:sz w:val="24"/>
                <w:szCs w:val="24"/>
                <w:highlight w:val="none"/>
              </w:rPr>
            </w:pPr>
          </w:p>
        </w:tc>
        <w:tc>
          <w:tcPr>
            <w:tcW w:w="1553" w:type="pct"/>
            <w:vAlign w:val="center"/>
          </w:tcPr>
          <w:p w14:paraId="50B25DCC">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资质要求</w:t>
            </w:r>
          </w:p>
        </w:tc>
        <w:tc>
          <w:tcPr>
            <w:tcW w:w="2804" w:type="pct"/>
            <w:vAlign w:val="center"/>
          </w:tcPr>
          <w:p w14:paraId="65010BA1">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满足竞争性磋商文件要求</w:t>
            </w:r>
          </w:p>
        </w:tc>
      </w:tr>
      <w:tr w14:paraId="7FFA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restart"/>
            <w:vAlign w:val="center"/>
          </w:tcPr>
          <w:p w14:paraId="5F1D5F37">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符合性审查要求</w:t>
            </w:r>
          </w:p>
        </w:tc>
        <w:tc>
          <w:tcPr>
            <w:tcW w:w="1553" w:type="pct"/>
            <w:vAlign w:val="center"/>
          </w:tcPr>
          <w:p w14:paraId="2E81841D">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2804" w:type="pct"/>
            <w:vAlign w:val="center"/>
          </w:tcPr>
          <w:p w14:paraId="486CECBB">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与营业执照一致</w:t>
            </w:r>
          </w:p>
        </w:tc>
      </w:tr>
      <w:tr w14:paraId="214A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center"/>
          </w:tcPr>
          <w:p w14:paraId="10CABBE0">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417A1DA5">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p>
        </w:tc>
        <w:tc>
          <w:tcPr>
            <w:tcW w:w="2804" w:type="pct"/>
            <w:vAlign w:val="center"/>
          </w:tcPr>
          <w:p w14:paraId="41CEC738">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满足竞争性磋商文件要求</w:t>
            </w:r>
          </w:p>
        </w:tc>
      </w:tr>
      <w:tr w14:paraId="36DB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42" w:type="pct"/>
            <w:vMerge w:val="continue"/>
            <w:vAlign w:val="center"/>
          </w:tcPr>
          <w:p w14:paraId="4D88CA31">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37949378">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tc>
        <w:tc>
          <w:tcPr>
            <w:tcW w:w="2804" w:type="pct"/>
            <w:vAlign w:val="center"/>
          </w:tcPr>
          <w:p w14:paraId="623DDC2E">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符合第六章“响应文件格式”的要求</w:t>
            </w:r>
          </w:p>
        </w:tc>
      </w:tr>
      <w:tr w14:paraId="6FF0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642" w:type="pct"/>
            <w:vMerge w:val="continue"/>
            <w:vAlign w:val="center"/>
          </w:tcPr>
          <w:p w14:paraId="28238299">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30C6CE31">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法定代表人（负责人）身份证明</w:t>
            </w:r>
            <w:r>
              <w:rPr>
                <w:rFonts w:hint="eastAsia" w:ascii="宋体" w:hAnsi="宋体" w:cs="宋体"/>
                <w:bCs/>
                <w:color w:val="auto"/>
                <w:sz w:val="24"/>
                <w:highlight w:val="none"/>
                <w:lang w:eastAsia="zh-CN"/>
              </w:rPr>
              <w:t>、</w:t>
            </w:r>
            <w:r>
              <w:rPr>
                <w:rFonts w:hint="eastAsia" w:ascii="宋体" w:hAnsi="宋体" w:eastAsia="宋体" w:cs="宋体"/>
                <w:color w:val="auto"/>
                <w:sz w:val="24"/>
                <w:szCs w:val="24"/>
                <w:highlight w:val="none"/>
              </w:rPr>
              <w:t>授权委托书</w:t>
            </w:r>
          </w:p>
        </w:tc>
        <w:tc>
          <w:tcPr>
            <w:tcW w:w="2804" w:type="pct"/>
            <w:vAlign w:val="center"/>
          </w:tcPr>
          <w:p w14:paraId="2EF340CF">
            <w:pPr>
              <w:spacing w:before="100" w:beforeAutospacing="1" w:after="100" w:afterAutospacing="1" w:line="360" w:lineRule="auto"/>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若为代理人参与的，</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文件要求提供授权委托书</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highlight w:val="none"/>
              </w:rPr>
              <w:t>法定代表人（负责人）身份证明</w:t>
            </w:r>
          </w:p>
        </w:tc>
      </w:tr>
      <w:tr w14:paraId="31B7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642" w:type="pct"/>
            <w:vMerge w:val="continue"/>
            <w:vAlign w:val="center"/>
          </w:tcPr>
          <w:p w14:paraId="7BF986E0">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5BDCCA92">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响应完整性</w:t>
            </w:r>
          </w:p>
        </w:tc>
        <w:tc>
          <w:tcPr>
            <w:tcW w:w="2804" w:type="pct"/>
            <w:vAlign w:val="center"/>
          </w:tcPr>
          <w:p w14:paraId="27AEC874">
            <w:pPr>
              <w:spacing w:before="100" w:beforeAutospacing="1" w:after="100" w:afterAutospacing="1"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未将一个采购包中的内容拆分响应</w:t>
            </w:r>
          </w:p>
        </w:tc>
      </w:tr>
      <w:tr w14:paraId="7006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642" w:type="pct"/>
            <w:vMerge w:val="continue"/>
            <w:vAlign w:val="center"/>
          </w:tcPr>
          <w:p w14:paraId="38A329D2">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184AF2B8">
            <w:pPr>
              <w:spacing w:before="100" w:beforeAutospacing="1" w:after="100" w:afterAutospacing="1"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2804" w:type="pct"/>
            <w:vAlign w:val="center"/>
          </w:tcPr>
          <w:p w14:paraId="42D85D89">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cs="仿宋"/>
                <w:color w:val="auto"/>
                <w:sz w:val="24"/>
                <w:highlight w:val="none"/>
              </w:rPr>
              <w:t>磋商报价符合竞争性磋商文件的要求，不得超过最高限价</w:t>
            </w:r>
          </w:p>
        </w:tc>
      </w:tr>
      <w:tr w14:paraId="7A0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642" w:type="pct"/>
            <w:vMerge w:val="continue"/>
            <w:vAlign w:val="center"/>
          </w:tcPr>
          <w:p w14:paraId="25AEB985">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56DFA971">
            <w:pPr>
              <w:spacing w:before="100" w:beforeAutospacing="1" w:after="100" w:afterAutospacing="1"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报价唯一性</w:t>
            </w:r>
          </w:p>
        </w:tc>
        <w:tc>
          <w:tcPr>
            <w:tcW w:w="2804" w:type="pct"/>
            <w:vAlign w:val="center"/>
          </w:tcPr>
          <w:p w14:paraId="6C0707E3">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响应文件中未出现可选择性或可调整的报价（</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文件另有规定的除外）</w:t>
            </w:r>
          </w:p>
        </w:tc>
      </w:tr>
      <w:tr w14:paraId="221D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42" w:type="pct"/>
            <w:vMerge w:val="continue"/>
            <w:vAlign w:val="center"/>
          </w:tcPr>
          <w:p w14:paraId="5132EC31">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26E8AC86">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2804" w:type="pct"/>
            <w:vAlign w:val="center"/>
          </w:tcPr>
          <w:p w14:paraId="6EB3930E">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项规定</w:t>
            </w:r>
          </w:p>
        </w:tc>
      </w:tr>
      <w:tr w14:paraId="0D5E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42" w:type="pct"/>
            <w:vMerge w:val="continue"/>
            <w:vAlign w:val="center"/>
          </w:tcPr>
          <w:p w14:paraId="72079D3A">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30E46EAA">
            <w:pPr>
              <w:spacing w:before="100" w:beforeAutospacing="1" w:after="100" w:afterAutospacing="1"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磋商保证金</w:t>
            </w:r>
          </w:p>
        </w:tc>
        <w:tc>
          <w:tcPr>
            <w:tcW w:w="2804" w:type="pct"/>
            <w:vAlign w:val="center"/>
          </w:tcPr>
          <w:p w14:paraId="51158879">
            <w:pPr>
              <w:spacing w:before="100" w:beforeAutospacing="1" w:after="100" w:afterAutospacing="1"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按照竞争性磋商文件的要求提交磋商保证金</w:t>
            </w:r>
          </w:p>
        </w:tc>
      </w:tr>
      <w:tr w14:paraId="5958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642" w:type="pct"/>
            <w:vMerge w:val="continue"/>
            <w:vAlign w:val="center"/>
          </w:tcPr>
          <w:p w14:paraId="50681009">
            <w:pPr>
              <w:autoSpaceDE w:val="0"/>
              <w:autoSpaceDN w:val="0"/>
              <w:adjustRightInd w:val="0"/>
              <w:spacing w:line="360" w:lineRule="auto"/>
              <w:jc w:val="center"/>
              <w:rPr>
                <w:rFonts w:hint="eastAsia" w:ascii="宋体" w:hAnsi="宋体" w:eastAsia="宋体" w:cs="宋体"/>
                <w:color w:val="auto"/>
                <w:sz w:val="24"/>
                <w:szCs w:val="24"/>
                <w:highlight w:val="none"/>
              </w:rPr>
            </w:pPr>
            <w:bookmarkStart w:id="89" w:name="_Toc5437"/>
            <w:bookmarkStart w:id="90" w:name="_Toc19424"/>
            <w:bookmarkStart w:id="91" w:name="_Toc302769233"/>
            <w:bookmarkStart w:id="92" w:name="_Toc186513209"/>
          </w:p>
        </w:tc>
        <w:tc>
          <w:tcPr>
            <w:tcW w:w="1553" w:type="pct"/>
            <w:vAlign w:val="center"/>
          </w:tcPr>
          <w:p w14:paraId="00885105">
            <w:pPr>
              <w:spacing w:before="100" w:beforeAutospacing="1" w:after="100" w:afterAutospacing="1"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附加条件</w:t>
            </w:r>
          </w:p>
        </w:tc>
        <w:tc>
          <w:tcPr>
            <w:tcW w:w="2804" w:type="pct"/>
            <w:vAlign w:val="center"/>
          </w:tcPr>
          <w:p w14:paraId="7B441C0C">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响应文件未含有采购人不能接受的附加条件</w:t>
            </w:r>
          </w:p>
        </w:tc>
      </w:tr>
      <w:tr w14:paraId="0825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642" w:type="pct"/>
            <w:vMerge w:val="continue"/>
            <w:vAlign w:val="center"/>
          </w:tcPr>
          <w:p w14:paraId="421FC56B">
            <w:pPr>
              <w:autoSpaceDE w:val="0"/>
              <w:autoSpaceDN w:val="0"/>
              <w:adjustRightInd w:val="0"/>
              <w:spacing w:line="360" w:lineRule="auto"/>
              <w:jc w:val="center"/>
              <w:rPr>
                <w:rFonts w:hint="eastAsia" w:ascii="宋体" w:hAnsi="宋体" w:eastAsia="宋体" w:cs="宋体"/>
                <w:color w:val="auto"/>
                <w:sz w:val="24"/>
                <w:szCs w:val="24"/>
                <w:highlight w:val="none"/>
              </w:rPr>
            </w:pPr>
          </w:p>
        </w:tc>
        <w:tc>
          <w:tcPr>
            <w:tcW w:w="1553" w:type="pct"/>
            <w:vAlign w:val="center"/>
          </w:tcPr>
          <w:p w14:paraId="4741CE7A">
            <w:pPr>
              <w:spacing w:before="100" w:beforeAutospacing="1" w:after="100" w:afterAutospacing="1"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其他无效情形</w:t>
            </w:r>
          </w:p>
        </w:tc>
        <w:tc>
          <w:tcPr>
            <w:tcW w:w="2804" w:type="pct"/>
            <w:vAlign w:val="center"/>
          </w:tcPr>
          <w:p w14:paraId="132CF800">
            <w:pPr>
              <w:spacing w:before="100" w:beforeAutospacing="1" w:after="100" w:afterAutospacing="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供应商、响应文件不存在不符合法律、法规和采购文件规定的其它无效情形</w:t>
            </w:r>
          </w:p>
        </w:tc>
      </w:tr>
    </w:tbl>
    <w:p w14:paraId="7A196DF8">
      <w:pPr>
        <w:pStyle w:val="3"/>
        <w:spacing w:line="360" w:lineRule="auto"/>
        <w:jc w:val="center"/>
        <w:rPr>
          <w:rFonts w:hint="eastAsia" w:ascii="宋体" w:hAnsi="宋体" w:eastAsia="宋体" w:cs="宋体"/>
          <w:color w:val="auto"/>
          <w:highlight w:val="none"/>
        </w:rPr>
        <w:sectPr>
          <w:pgSz w:w="11910" w:h="16850"/>
          <w:pgMar w:top="1440" w:right="1800" w:bottom="1440" w:left="1800" w:header="850" w:footer="1167" w:gutter="0"/>
          <w:pgNumType w:fmt="decimal"/>
          <w:cols w:space="720" w:num="1"/>
        </w:sectPr>
      </w:pPr>
    </w:p>
    <w:bookmarkEnd w:id="89"/>
    <w:bookmarkEnd w:id="90"/>
    <w:bookmarkEnd w:id="91"/>
    <w:bookmarkEnd w:id="92"/>
    <w:p w14:paraId="138D98A2">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1"/>
        <w:rPr>
          <w:rFonts w:hint="eastAsia" w:ascii="宋体" w:hAnsi="宋体" w:eastAsia="宋体" w:cs="宋体"/>
          <w:b/>
          <w:bCs/>
          <w:color w:val="auto"/>
          <w:sz w:val="24"/>
          <w:szCs w:val="24"/>
          <w:highlight w:val="none"/>
        </w:rPr>
      </w:pPr>
      <w:bookmarkStart w:id="93" w:name="_Toc32521"/>
      <w:bookmarkStart w:id="94" w:name="_Toc21136"/>
      <w:bookmarkStart w:id="95" w:name="_Toc20869"/>
      <w:bookmarkStart w:id="96" w:name="_Toc186513213"/>
      <w:r>
        <w:rPr>
          <w:rFonts w:hint="eastAsia" w:ascii="宋体" w:hAnsi="宋体" w:eastAsia="宋体" w:cs="宋体"/>
          <w:b/>
          <w:bCs/>
          <w:color w:val="auto"/>
          <w:sz w:val="24"/>
          <w:szCs w:val="24"/>
          <w:highlight w:val="none"/>
        </w:rPr>
        <w:t>二、评审方法正文</w:t>
      </w:r>
      <w:bookmarkEnd w:id="93"/>
      <w:bookmarkEnd w:id="94"/>
      <w:bookmarkEnd w:id="95"/>
    </w:p>
    <w:p w14:paraId="575E13F1">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响应文件的资格审查和符合性审查</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实质性要求）</w:t>
      </w:r>
    </w:p>
    <w:p w14:paraId="2AE366F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磋商小组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765140E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小组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69FCA90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1.3磋商小组将根据《评审方法前附表》中的要求对供应商进行资格审查和符合性审查，只有通过资格审查的供应商才能进入下一步符合性审查；只有通过符合性审查的供应商才能进行磋商。</w:t>
      </w:r>
    </w:p>
    <w:p w14:paraId="5D29E4C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1.4资格审查要求和符合性审查要求中的评审内容及标准要求不能进行任何形式的澄清、说明或者更正。</w:t>
      </w:r>
    </w:p>
    <w:p w14:paraId="579B28A3">
      <w:pPr>
        <w:adjustRightInd w:val="0"/>
        <w:snapToGrid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2磋商、响应文件有关事项的澄清、说明或者更正和最后报价</w:t>
      </w:r>
    </w:p>
    <w:p w14:paraId="18F03AA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2.1磋商小组所有成员将集中与单一供应商分别进行磋商，并给予所有参加磋商的供应商平等的磋商机会；逐家磋商一次为一个轮次，本次磋商轮次为两次，最后一轮磋商后要求供应商进行的报价为最后报价。</w:t>
      </w:r>
    </w:p>
    <w:p w14:paraId="1C0C5FA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3F900A8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2.3对磋商文件作出本章2.2条的实质性变动是磋商文件的有效组成部分，磋商小组应当及时以书面形式同时通知所有参加磋商的供应商。</w:t>
      </w:r>
    </w:p>
    <w:p w14:paraId="3E2A934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应当由本人签字并附身份证明。</w:t>
      </w:r>
    </w:p>
    <w:p w14:paraId="5E79144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2.5响应文件的澄清、说明或者更正：</w:t>
      </w:r>
    </w:p>
    <w:p w14:paraId="5D6531F0">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14:paraId="75E5BDC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磋商小组对响应文件进行审查时，可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p>
    <w:p w14:paraId="30CAB5A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 或其授权代表签字或者加盖公章。由授权代表签字的，应当附授权委托书。供应商为自然人的，应当由本人签字并附身份证明。澄清、说明或者更正文件将作为响应文件内容的一部分。</w:t>
      </w:r>
    </w:p>
    <w:p w14:paraId="41762EF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2.6磋商结束后，磋商小组将要求所有实质性响应的供应商在规定时间内提交最后报价。最后报价时间为磋商小组指定的时间，具体时间根据磋商进度另行通知。</w:t>
      </w:r>
    </w:p>
    <w:p w14:paraId="1F86CC2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2.7磋商文件能够详细列明采购标的的技术、服务要求的，磋商结束后，磋商小组应当要求所有实质性响应的供应商在规定时间内提交最后报价，提交最后报价的供应商不得少于 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w:t>
      </w:r>
    </w:p>
    <w:p w14:paraId="3EEB9F3F">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2.8最后报价是供应商响应文件的有效组成部分。</w:t>
      </w:r>
    </w:p>
    <w:p w14:paraId="16314DF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2.9已提交响应文件的供应商，在提交最后报价之前，可以根据磋商情况退出磋商。</w:t>
      </w:r>
    </w:p>
    <w:p w14:paraId="78C80A0A">
      <w:pPr>
        <w:adjustRightInd w:val="0"/>
        <w:snapToGri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3最后报价的算术修正及政策调整</w:t>
      </w:r>
    </w:p>
    <w:p w14:paraId="701F6E5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0F13D0F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3.2最后报价出现前后不一致的，按照下列规定修正：</w:t>
      </w:r>
    </w:p>
    <w:p w14:paraId="7829267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3.2.1竞争性磋商文件对于报价修正是否另有规定：</w:t>
      </w:r>
    </w:p>
    <w:p w14:paraId="2C6FCD9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□有，具体规定为：</w:t>
      </w:r>
    </w:p>
    <w:p w14:paraId="12CFA66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☑无，按下述 3.2.2-3.2.5 项规定修正。</w:t>
      </w:r>
    </w:p>
    <w:p w14:paraId="746A312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3.2.2大写金额和小写金额不一致的，以大写金额为准；</w:t>
      </w:r>
    </w:p>
    <w:p w14:paraId="217390D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3.2.3单价金额小数点或者百分比有明显错位的，以总价为准，并修改单价；</w:t>
      </w:r>
    </w:p>
    <w:p w14:paraId="086BF3B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3.2.4总价金额与按单价汇总金额不一致的，以单价金额计算结果为准。</w:t>
      </w:r>
    </w:p>
    <w:p w14:paraId="13B082B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3.2.5同时出现两种以上不一致的，按照前款规定的顺序修正。修正后的报价经供应商书面确认后产生约束力，供应商不确认的，其响应无效。</w:t>
      </w:r>
    </w:p>
    <w:p w14:paraId="3D17A70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3.3落实政府采购政策的价格调整：只有符合第</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竞争性磋商公告</w:t>
      </w:r>
      <w:r>
        <w:rPr>
          <w:rFonts w:hint="eastAsia" w:ascii="宋体" w:hAnsi="宋体" w:eastAsia="宋体" w:cs="宋体"/>
          <w:color w:val="auto"/>
          <w:sz w:val="24"/>
          <w:szCs w:val="24"/>
          <w:highlight w:val="none"/>
        </w:rPr>
        <w:t>》规定情形的，可以享受中小企业扶持政策，用扣除后的价格参加评审；否则，评审时价格不予扣除。</w:t>
      </w:r>
    </w:p>
    <w:p w14:paraId="6CD4DE37">
      <w:pPr>
        <w:adjustRightInd w:val="0"/>
        <w:snapToGrid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磋商环节及提交最后报价后如出现以下情况的，供应商的响应文件无效</w:t>
      </w:r>
      <w:r>
        <w:rPr>
          <w:rFonts w:hint="eastAsia" w:ascii="宋体" w:hAnsi="宋体" w:eastAsia="宋体" w:cs="宋体"/>
          <w:color w:val="auto"/>
          <w:sz w:val="24"/>
          <w:szCs w:val="24"/>
          <w:highlight w:val="none"/>
        </w:rPr>
        <w:t>：</w:t>
      </w:r>
    </w:p>
    <w:p w14:paraId="50C010D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4.1供应商未对采购需求实质性变动的技术、服务要求以及合同草案条款内容进行响应的；</w:t>
      </w:r>
    </w:p>
    <w:p w14:paraId="62E7F90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4.2不满足磋商文件★号条款或磋商文件技术指标超出磋商文件《采购需求》中主要技术参数允许偏差的最大范围的（如有）；</w:t>
      </w:r>
    </w:p>
    <w:p w14:paraId="538A253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4.3未按照磋商小组规定的时间、逾期提交最后报价的</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非系统原因或其他不可抗力因素，供应商须在15分钟内提交最后报价</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1DBEB3B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4.4如供应商的最后报价超过竞争性磋商文件中规定的项目/采购包预算金额或者项目/采购包最高限价的；</w:t>
      </w:r>
    </w:p>
    <w:p w14:paraId="176C3E2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4.5响应文件中出现可选择性或可调整的报价的（竞争性磋商文件另有规定的除外）；</w:t>
      </w:r>
    </w:p>
    <w:p w14:paraId="40C196C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4.6最后报价出现前后不一致，供应商对修正后的报价不予确认的；</w:t>
      </w:r>
    </w:p>
    <w:p w14:paraId="39F414FD">
      <w:pPr>
        <w:adjustRightInd w:val="0"/>
        <w:snapToGrid w:val="0"/>
        <w:spacing w:line="36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4.7其他：</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val="en-US"/>
        </w:rPr>
        <w:t>。</w:t>
      </w:r>
    </w:p>
    <w:p w14:paraId="0805F1CC">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4.8异常低价处理程序</w:t>
      </w:r>
    </w:p>
    <w:p w14:paraId="2CECB67E">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4.8.1评审小组在评审中出现下列情形之一的，评审小组应当启动异常低价投标（响应）审查程序： </w:t>
      </w:r>
    </w:p>
    <w:p w14:paraId="4FD40ADA">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（1）响应报价低于全部通过符合性审查供应商投标（响应）报价平均值50%的，即投标（响应）报价&lt;全部通过符合性审查供应商投标（响应）报价平均值×50%； </w:t>
      </w:r>
    </w:p>
    <w:p w14:paraId="57CBE0AD">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5D79CCD9">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（3）投标（响应）报价低于采购项目最高限价45%的，即投标（响应）报价&lt;采购项目最高限价×45%；</w:t>
      </w:r>
    </w:p>
    <w:p w14:paraId="0BE6FA1B">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（4）评审小组基于专业判断，认为供应商报价过低，有可能影响产品质量或者不能诚信履约的其他情形。 采购人可以结合具体项目实际情况，提高上述第1项至第3项中启动异常低价投标（响应）审查的数值标准，但是最高不得超过65%。 相关法律法规对供应商报价有规定的，从其规定。 </w:t>
      </w:r>
    </w:p>
    <w:p w14:paraId="38E76241">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4.8.2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AE187AA">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p>
    <w:p w14:paraId="13ED0064">
      <w:p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4.8.4在投诉处理、监督检查中发现评审小组未按规定对异常低价开展审查的，依法予以纠正并追究评审专家的法律责任。</w:t>
      </w:r>
    </w:p>
    <w:p w14:paraId="14A08CCB">
      <w:pPr>
        <w:adjustRightInd w:val="0"/>
        <w:snapToGrid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5评审方法和评审标准</w:t>
      </w:r>
    </w:p>
    <w:p w14:paraId="762E063E">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5.1本项目采用的评审方法为：本项目的评审采用综合评分法。综合评分法，是指响应文件满足磋商文件全部实质性要求且按评审因素的量化指标评审得分最高的供应商为</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候选供应商的评审方法。</w:t>
      </w:r>
    </w:p>
    <w:p w14:paraId="2F61892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5.2竞争性磋商文件中没有规定的评审标准不得作为评审依据。</w:t>
      </w:r>
    </w:p>
    <w:p w14:paraId="007F25E7">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5.3非政府强制采购的节能产品或环境标志产品，依据品目清单和认证证书实施政府优先采购。优先采购的具体规定（如涉及）。</w:t>
      </w:r>
    </w:p>
    <w:p w14:paraId="0988895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5.4关于无线局域网认证产品政府采购清单中的产品，优先采购的具体规定（如涉及） 。</w:t>
      </w:r>
    </w:p>
    <w:p w14:paraId="57AB4CCC">
      <w:pPr>
        <w:adjustRightInd w:val="0"/>
        <w:snapToGri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6确定</w:t>
      </w:r>
      <w:r>
        <w:rPr>
          <w:rFonts w:hint="eastAsia" w:ascii="宋体" w:hAnsi="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候选人名单</w:t>
      </w:r>
    </w:p>
    <w:p w14:paraId="400499E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6.1磋商小组将根据各供应商的评审排序以及磋商文件中关于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候选人的相关规定，确定本项目</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候选人名单，按照评审得分由高到低顺序推荐</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候选人的排名顺序。评审得分相同的，按照最后报价由低到高的顺序推荐。评审得分且最后报价相同的，按照评审因素的量化指标技术评审得分最高的供应商为排名第一的</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候选人。评分分值计算保留小数点后两位，第三位四舍五入。</w:t>
      </w:r>
    </w:p>
    <w:p w14:paraId="39851514">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6.2磋商小组根据上述供应商排序，依次推荐排序前</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名的供应商为</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候选供应商（若在磋商文件允许的情形下提交最后报价的供应商为</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家，则依次推荐二名供应商为</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候选供应商），并编写评审报告。</w:t>
      </w:r>
    </w:p>
    <w:p w14:paraId="5DDDF505">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6.3磋商小组要对评分汇总情况进行复核，特别是对排名第一的、报价最低的、响应文件被认定为无效的情形进行重点复核。</w:t>
      </w:r>
    </w:p>
    <w:p w14:paraId="42A31A2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6.4评审报告应当由磋商小组全体人员签字认可。磋商小组成员对评审报告有异议的，磋商小组按照少数服从多数的原则推荐</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FB60B91">
      <w:pPr>
        <w:adjustRightInd w:val="0"/>
        <w:snapToGri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7报告违法行为</w:t>
      </w:r>
    </w:p>
    <w:p w14:paraId="69F1D3D6">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磋商小组在评审过程中发现供应商有行贿、提供虚假材料或者串通等违法行为时，有向采购人、采购代理机构或者有关部门报告的职责。</w:t>
      </w:r>
    </w:p>
    <w:p w14:paraId="46A33B6E">
      <w:pPr>
        <w:pStyle w:val="3"/>
        <w:keepNext/>
        <w:keepLines/>
        <w:pageBreakBefore w:val="0"/>
        <w:widowControl/>
        <w:numPr>
          <w:ilvl w:val="3"/>
          <w:numId w:val="0"/>
        </w:numPr>
        <w:tabs>
          <w:tab w:val="left" w:pos="864"/>
          <w:tab w:val="clear" w:pos="575"/>
        </w:tabs>
        <w:kinsoku/>
        <w:wordWrap/>
        <w:overflowPunct/>
        <w:topLinePunct w:val="0"/>
        <w:autoSpaceDE/>
        <w:autoSpaceDN/>
        <w:bidi w:val="0"/>
        <w:adjustRightInd w:val="0"/>
        <w:snapToGrid w:val="0"/>
        <w:spacing w:before="0" w:after="0" w:line="360" w:lineRule="auto"/>
        <w:jc w:val="left"/>
        <w:textAlignment w:val="auto"/>
        <w:outlineLvl w:val="1"/>
        <w:rPr>
          <w:rFonts w:hint="eastAsia" w:ascii="宋体" w:hAnsi="宋体" w:eastAsia="宋体" w:cs="宋体"/>
          <w:color w:val="auto"/>
          <w:sz w:val="24"/>
          <w:szCs w:val="24"/>
          <w:highlight w:val="none"/>
        </w:rPr>
      </w:pPr>
      <w:bookmarkStart w:id="97" w:name="_Toc31425"/>
      <w:bookmarkStart w:id="98" w:name="_Toc26021"/>
      <w:bookmarkStart w:id="99" w:name="_Toc20514"/>
      <w:r>
        <w:rPr>
          <w:rFonts w:hint="eastAsia" w:ascii="宋体" w:hAnsi="宋体" w:eastAsia="宋体" w:cs="宋体"/>
          <w:color w:val="auto"/>
          <w:sz w:val="24"/>
          <w:szCs w:val="24"/>
          <w:highlight w:val="none"/>
        </w:rPr>
        <w:t>三、技术部分评审评分</w:t>
      </w:r>
      <w:bookmarkEnd w:id="97"/>
      <w:bookmarkEnd w:id="98"/>
      <w:bookmarkEnd w:id="99"/>
    </w:p>
    <w:bookmarkEnd w:id="96"/>
    <w:tbl>
      <w:tblPr>
        <w:tblStyle w:val="27"/>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996"/>
        <w:gridCol w:w="2475"/>
        <w:gridCol w:w="5128"/>
      </w:tblGrid>
      <w:tr w14:paraId="1292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blHeader/>
          <w:jc w:val="center"/>
        </w:trPr>
        <w:tc>
          <w:tcPr>
            <w:tcW w:w="1841" w:type="dxa"/>
            <w:gridSpan w:val="2"/>
            <w:vAlign w:val="center"/>
          </w:tcPr>
          <w:p w14:paraId="3873FE69">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2475" w:type="dxa"/>
            <w:vAlign w:val="center"/>
          </w:tcPr>
          <w:p w14:paraId="1C7D5695">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审查因素</w:t>
            </w:r>
          </w:p>
        </w:tc>
        <w:tc>
          <w:tcPr>
            <w:tcW w:w="5128" w:type="dxa"/>
            <w:vAlign w:val="center"/>
          </w:tcPr>
          <w:p w14:paraId="16E8432B">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 查 标 准</w:t>
            </w:r>
          </w:p>
        </w:tc>
      </w:tr>
      <w:tr w14:paraId="57B1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841" w:type="dxa"/>
            <w:gridSpan w:val="2"/>
            <w:vAlign w:val="center"/>
          </w:tcPr>
          <w:p w14:paraId="44AE3F35">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详细评审（满分100分）</w:t>
            </w:r>
          </w:p>
        </w:tc>
        <w:tc>
          <w:tcPr>
            <w:tcW w:w="7603" w:type="dxa"/>
            <w:gridSpan w:val="2"/>
            <w:vAlign w:val="center"/>
          </w:tcPr>
          <w:p w14:paraId="3B35B279">
            <w:pPr>
              <w:adjustRightInd w:val="0"/>
              <w:snapToGrid w:val="0"/>
              <w:spacing w:line="360" w:lineRule="auto"/>
              <w:jc w:val="both"/>
              <w:rPr>
                <w:rFonts w:hint="eastAsia" w:cs="仿宋"/>
                <w:color w:val="auto"/>
                <w:sz w:val="24"/>
                <w:highlight w:val="none"/>
              </w:rPr>
            </w:pPr>
            <w:r>
              <w:rPr>
                <w:rFonts w:hint="eastAsia" w:cs="仿宋"/>
                <w:color w:val="auto"/>
                <w:sz w:val="24"/>
                <w:highlight w:val="none"/>
              </w:rPr>
              <w:t>分值构成</w:t>
            </w:r>
          </w:p>
          <w:p w14:paraId="66ABA77E">
            <w:pPr>
              <w:adjustRightInd w:val="0"/>
              <w:snapToGrid w:val="0"/>
              <w:spacing w:line="360" w:lineRule="auto"/>
              <w:jc w:val="both"/>
              <w:rPr>
                <w:rFonts w:hint="eastAsia" w:ascii="宋体" w:hAnsi="宋体" w:eastAsia="宋体" w:cs="宋体"/>
                <w:color w:val="auto"/>
                <w:sz w:val="24"/>
                <w:szCs w:val="24"/>
                <w:highlight w:val="none"/>
              </w:rPr>
            </w:pPr>
            <w:r>
              <w:rPr>
                <w:rFonts w:hint="eastAsia" w:cs="仿宋"/>
                <w:color w:val="auto"/>
                <w:sz w:val="24"/>
                <w:highlight w:val="none"/>
              </w:rPr>
              <w:t>（满分100分）</w:t>
            </w:r>
            <w:r>
              <w:rPr>
                <w:rFonts w:hint="eastAsia" w:ascii="宋体" w:hAnsi="宋体" w:eastAsia="宋体" w:cs="宋体"/>
                <w:color w:val="auto"/>
                <w:sz w:val="24"/>
                <w:szCs w:val="24"/>
                <w:highlight w:val="none"/>
              </w:rPr>
              <w:t>：</w:t>
            </w:r>
          </w:p>
          <w:p w14:paraId="44C38FB0">
            <w:pPr>
              <w:adjustRightInd w:val="0"/>
              <w:snapToGri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供应商的评标总得分＝F1＋F2+F3</w:t>
            </w:r>
          </w:p>
          <w:p w14:paraId="619A6219">
            <w:pPr>
              <w:adjustRightInd w:val="0"/>
              <w:snapToGri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其中：F1、F2、F3分别为报价部分、技术部分及商务部分3项评分因素的得分；</w:t>
            </w:r>
          </w:p>
          <w:p w14:paraId="0F5F0B27">
            <w:pPr>
              <w:adjustRightInd w:val="0"/>
              <w:snapToGrid w:val="0"/>
              <w:spacing w:line="360" w:lineRule="auto"/>
              <w:jc w:val="left"/>
              <w:rPr>
                <w:rFonts w:hint="eastAsia" w:cs="仿宋"/>
                <w:b/>
                <w:bCs/>
                <w:color w:val="auto"/>
                <w:sz w:val="24"/>
                <w:highlight w:val="none"/>
              </w:rPr>
            </w:pPr>
            <w:r>
              <w:rPr>
                <w:rFonts w:hint="eastAsia" w:cs="仿宋"/>
                <w:b/>
                <w:bCs/>
                <w:color w:val="auto"/>
                <w:sz w:val="24"/>
                <w:highlight w:val="none"/>
              </w:rPr>
              <w:t>报价部分得分F1：</w:t>
            </w:r>
            <w:r>
              <w:rPr>
                <w:rFonts w:hint="eastAsia" w:cs="仿宋"/>
                <w:b/>
                <w:bCs/>
                <w:color w:val="auto"/>
                <w:sz w:val="24"/>
                <w:highlight w:val="none"/>
                <w:lang w:val="en-US" w:eastAsia="zh-CN"/>
              </w:rPr>
              <w:t>20</w:t>
            </w:r>
            <w:r>
              <w:rPr>
                <w:rFonts w:hint="eastAsia" w:cs="仿宋"/>
                <w:b/>
                <w:bCs/>
                <w:color w:val="auto"/>
                <w:sz w:val="24"/>
                <w:highlight w:val="none"/>
              </w:rPr>
              <w:t>分。</w:t>
            </w:r>
          </w:p>
          <w:p w14:paraId="1BD949FF">
            <w:pPr>
              <w:adjustRightInd w:val="0"/>
              <w:snapToGrid w:val="0"/>
              <w:spacing w:line="360" w:lineRule="auto"/>
              <w:jc w:val="left"/>
              <w:rPr>
                <w:rFonts w:hint="eastAsia" w:cs="仿宋"/>
                <w:b/>
                <w:bCs/>
                <w:color w:val="auto"/>
                <w:sz w:val="24"/>
                <w:highlight w:val="none"/>
              </w:rPr>
            </w:pPr>
            <w:r>
              <w:rPr>
                <w:rFonts w:hint="eastAsia" w:cs="仿宋"/>
                <w:b/>
                <w:bCs/>
                <w:color w:val="auto"/>
                <w:sz w:val="24"/>
                <w:highlight w:val="none"/>
              </w:rPr>
              <w:t>技术部分得分F2：</w:t>
            </w:r>
            <w:r>
              <w:rPr>
                <w:rFonts w:hint="eastAsia" w:cs="仿宋"/>
                <w:b/>
                <w:bCs/>
                <w:color w:val="auto"/>
                <w:sz w:val="24"/>
                <w:highlight w:val="none"/>
                <w:lang w:val="en-US" w:eastAsia="zh-CN"/>
              </w:rPr>
              <w:t>70</w:t>
            </w:r>
            <w:r>
              <w:rPr>
                <w:rFonts w:hint="eastAsia" w:cs="仿宋"/>
                <w:b/>
                <w:bCs/>
                <w:color w:val="auto"/>
                <w:sz w:val="24"/>
                <w:highlight w:val="none"/>
              </w:rPr>
              <w:t>分。</w:t>
            </w:r>
          </w:p>
          <w:p w14:paraId="731C5D9E">
            <w:pPr>
              <w:spacing w:line="320" w:lineRule="exact"/>
              <w:rPr>
                <w:rFonts w:hint="eastAsia" w:ascii="宋体" w:hAnsi="宋体" w:cs="宋体"/>
                <w:color w:val="auto"/>
                <w:sz w:val="24"/>
                <w:szCs w:val="24"/>
                <w:highlight w:val="none"/>
              </w:rPr>
            </w:pPr>
            <w:r>
              <w:rPr>
                <w:rFonts w:hint="eastAsia" w:cs="仿宋"/>
                <w:b/>
                <w:bCs/>
                <w:color w:val="auto"/>
                <w:sz w:val="24"/>
                <w:highlight w:val="none"/>
              </w:rPr>
              <w:t>商务部分得分F</w:t>
            </w:r>
            <w:r>
              <w:rPr>
                <w:rFonts w:cs="仿宋"/>
                <w:b/>
                <w:bCs/>
                <w:color w:val="auto"/>
                <w:sz w:val="24"/>
                <w:highlight w:val="none"/>
              </w:rPr>
              <w:t>3</w:t>
            </w:r>
            <w:r>
              <w:rPr>
                <w:rFonts w:hint="eastAsia" w:cs="仿宋"/>
                <w:b/>
                <w:bCs/>
                <w:color w:val="auto"/>
                <w:sz w:val="24"/>
                <w:highlight w:val="none"/>
              </w:rPr>
              <w:t>:</w:t>
            </w:r>
            <w:r>
              <w:rPr>
                <w:rFonts w:hint="eastAsia" w:cs="仿宋"/>
                <w:b/>
                <w:bCs/>
                <w:color w:val="auto"/>
                <w:sz w:val="24"/>
                <w:highlight w:val="none"/>
                <w:lang w:val="en-US" w:eastAsia="zh-CN"/>
              </w:rPr>
              <w:t>10</w:t>
            </w:r>
            <w:r>
              <w:rPr>
                <w:rFonts w:hint="eastAsia" w:cs="仿宋"/>
                <w:b/>
                <w:bCs/>
                <w:color w:val="auto"/>
                <w:sz w:val="24"/>
                <w:highlight w:val="none"/>
              </w:rPr>
              <w:t>分。</w:t>
            </w:r>
          </w:p>
        </w:tc>
      </w:tr>
      <w:tr w14:paraId="1214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45" w:type="dxa"/>
            <w:vMerge w:val="restart"/>
            <w:vAlign w:val="center"/>
          </w:tcPr>
          <w:p w14:paraId="19183ED8">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p>
        </w:tc>
        <w:tc>
          <w:tcPr>
            <w:tcW w:w="996" w:type="dxa"/>
            <w:vMerge w:val="restart"/>
            <w:vAlign w:val="center"/>
          </w:tcPr>
          <w:p w14:paraId="64BB5010">
            <w:pPr>
              <w:spacing w:line="3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技术部分（满分</w:t>
            </w:r>
            <w:r>
              <w:rPr>
                <w:rFonts w:hint="eastAsia" w:ascii="宋体" w:hAnsi="宋体" w:cs="宋体"/>
                <w:b/>
                <w:bCs/>
                <w:color w:val="auto"/>
                <w:sz w:val="24"/>
                <w:szCs w:val="24"/>
                <w:highlight w:val="none"/>
                <w:lang w:val="en-US" w:eastAsia="zh-CN"/>
              </w:rPr>
              <w:t>70</w:t>
            </w:r>
            <w:r>
              <w:rPr>
                <w:rFonts w:hint="eastAsia" w:ascii="宋体" w:hAnsi="宋体" w:cs="宋体"/>
                <w:b/>
                <w:bCs/>
                <w:color w:val="auto"/>
                <w:sz w:val="24"/>
                <w:szCs w:val="24"/>
                <w:highlight w:val="none"/>
              </w:rPr>
              <w:t>分）</w:t>
            </w:r>
          </w:p>
        </w:tc>
        <w:tc>
          <w:tcPr>
            <w:tcW w:w="2475" w:type="dxa"/>
            <w:vAlign w:val="center"/>
          </w:tcPr>
          <w:p w14:paraId="0CBA7B3E">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施工技术方案评审评分（满分</w:t>
            </w:r>
            <w:r>
              <w:rPr>
                <w:rFonts w:hint="eastAsia" w:cs="仿宋"/>
                <w:b/>
                <w:color w:val="auto"/>
                <w:sz w:val="24"/>
                <w:highlight w:val="none"/>
                <w:lang w:val="en-US" w:eastAsia="zh-CN"/>
              </w:rPr>
              <w:t>30</w:t>
            </w:r>
            <w:r>
              <w:rPr>
                <w:rFonts w:hint="eastAsia" w:cs="仿宋"/>
                <w:b/>
                <w:color w:val="auto"/>
                <w:sz w:val="24"/>
                <w:highlight w:val="none"/>
              </w:rPr>
              <w:t>分）</w:t>
            </w:r>
          </w:p>
        </w:tc>
        <w:tc>
          <w:tcPr>
            <w:tcW w:w="5128" w:type="dxa"/>
            <w:vAlign w:val="center"/>
          </w:tcPr>
          <w:p w14:paraId="3CBCF018">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内容包括：①施工部署；②施工技术准备；③施工技术方案；④施工总进度计划；⑤施工主要工序；⑥项目施工重点难点分析及处理措施。</w:t>
            </w:r>
          </w:p>
          <w:p w14:paraId="7361A2E6">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以上6项内容，经评定内容具体且有针对性、合理性、与项目服务需求吻合、层次细化，有具体详细的阐述；阐述从实际出发，切合项目背景、项目需求以及市场供应情况发现问题并提出合理化专业技术建议或者解决方案；内容符合国家、地方、行业标准、行业惯例以及项目特点、能有效落地执行和操作，保障项目高质量履约，实现采购目标，满足采购人需求，施工主要工序搭配逻辑关系和关键线路清晰、合理，并能指导施工，对本项目施工的重点难点分析具体符合项目实际的得</w:t>
            </w:r>
            <w:r>
              <w:rPr>
                <w:rFonts w:hint="eastAsia" w:ascii="宋体" w:hAnsi="宋体" w:cs="宋体"/>
                <w:color w:val="auto"/>
                <w:kern w:val="2"/>
                <w:sz w:val="24"/>
                <w:szCs w:val="24"/>
                <w:highlight w:val="none"/>
                <w:lang w:val="en-US" w:eastAsia="zh-CN"/>
              </w:rPr>
              <w:t>30</w:t>
            </w:r>
            <w:r>
              <w:rPr>
                <w:rFonts w:hint="eastAsia" w:ascii="宋体" w:hAnsi="宋体" w:eastAsia="宋体" w:cs="宋体"/>
                <w:color w:val="auto"/>
                <w:kern w:val="2"/>
                <w:sz w:val="24"/>
                <w:szCs w:val="24"/>
                <w:highlight w:val="none"/>
                <w:lang w:val="en-US" w:eastAsia="zh-CN"/>
              </w:rPr>
              <w:t>分；每缺少一项内容的扣</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en-US" w:eastAsia="zh-CN"/>
              </w:rPr>
              <w:t>分，每有一处内容存在不足的扣2.5分。</w:t>
            </w:r>
          </w:p>
          <w:p w14:paraId="54ECA197">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注：①以磋商小组结合项目实际情况和响应文件的响应情况独立评审为准；</w:t>
            </w:r>
          </w:p>
          <w:p w14:paraId="22135FE2">
            <w:pPr>
              <w:spacing w:line="360" w:lineRule="auto"/>
              <w:rPr>
                <w:rFonts w:hint="eastAsia"/>
                <w:color w:val="auto"/>
                <w:highlight w:val="none"/>
                <w:lang w:val="en-US" w:eastAsia="zh-CN"/>
              </w:rPr>
            </w:pPr>
            <w:r>
              <w:rPr>
                <w:rFonts w:hint="eastAsia" w:ascii="宋体" w:hAnsi="宋体" w:eastAsia="宋体" w:cs="宋体"/>
                <w:color w:val="auto"/>
                <w:kern w:val="2"/>
                <w:sz w:val="24"/>
                <w:szCs w:val="24"/>
                <w:highlight w:val="none"/>
                <w:lang w:val="en-US" w:eastAsia="zh-CN"/>
              </w:rPr>
              <w:t>②不足是指：内容过于简略，内容措施不具体无针对性，与项目服务需求不吻合、施工主要工序搭配逻辑关系和关键线路混乱、不合理的，对本项目施工的重点难点分析与实际情况不符、不可行、不足以支撑项目实施等任意一项类似缺陷或瑕疵。</w:t>
            </w:r>
          </w:p>
        </w:tc>
      </w:tr>
      <w:tr w14:paraId="305CC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Merge w:val="continue"/>
            <w:vAlign w:val="center"/>
          </w:tcPr>
          <w:p w14:paraId="1FD154EA">
            <w:pPr>
              <w:spacing w:line="320" w:lineRule="exact"/>
              <w:rPr>
                <w:rFonts w:hint="eastAsia" w:ascii="宋体" w:hAnsi="宋体" w:cs="宋体"/>
                <w:color w:val="auto"/>
                <w:sz w:val="24"/>
                <w:szCs w:val="24"/>
                <w:highlight w:val="none"/>
              </w:rPr>
            </w:pPr>
          </w:p>
        </w:tc>
        <w:tc>
          <w:tcPr>
            <w:tcW w:w="996" w:type="dxa"/>
            <w:vMerge w:val="continue"/>
            <w:vAlign w:val="center"/>
          </w:tcPr>
          <w:p w14:paraId="2D921C09">
            <w:pPr>
              <w:spacing w:line="320" w:lineRule="exact"/>
              <w:rPr>
                <w:rFonts w:hint="eastAsia" w:ascii="宋体" w:hAnsi="宋体" w:cs="宋体"/>
                <w:color w:val="auto"/>
                <w:sz w:val="24"/>
                <w:szCs w:val="24"/>
                <w:highlight w:val="none"/>
              </w:rPr>
            </w:pPr>
          </w:p>
        </w:tc>
        <w:tc>
          <w:tcPr>
            <w:tcW w:w="2475" w:type="dxa"/>
            <w:vAlign w:val="center"/>
          </w:tcPr>
          <w:p w14:paraId="04DE6372">
            <w:pPr>
              <w:spacing w:line="320" w:lineRule="exact"/>
              <w:jc w:val="center"/>
              <w:rPr>
                <w:rFonts w:hint="eastAsia" w:ascii="宋体" w:hAnsi="宋体" w:cs="宋体"/>
                <w:color w:val="auto"/>
                <w:sz w:val="24"/>
                <w:szCs w:val="24"/>
                <w:highlight w:val="none"/>
              </w:rPr>
            </w:pPr>
            <w:r>
              <w:rPr>
                <w:rFonts w:hint="eastAsia" w:ascii="Times New Roman" w:hAnsi="Times New Roman" w:eastAsia="宋体" w:cs="仿宋"/>
                <w:b/>
                <w:color w:val="auto"/>
                <w:sz w:val="24"/>
                <w:highlight w:val="none"/>
              </w:rPr>
              <w:t>工期承诺和保障措施评审评分（满分1</w:t>
            </w:r>
            <w:r>
              <w:rPr>
                <w:rFonts w:hint="eastAsia" w:cs="仿宋"/>
                <w:b/>
                <w:color w:val="auto"/>
                <w:sz w:val="24"/>
                <w:highlight w:val="none"/>
                <w:lang w:val="en-US" w:eastAsia="zh-CN"/>
              </w:rPr>
              <w:t>2</w:t>
            </w:r>
            <w:r>
              <w:rPr>
                <w:rFonts w:hint="eastAsia" w:ascii="Times New Roman" w:hAnsi="Times New Roman" w:eastAsia="宋体" w:cs="仿宋"/>
                <w:b/>
                <w:color w:val="auto"/>
                <w:sz w:val="24"/>
                <w:highlight w:val="none"/>
              </w:rPr>
              <w:t>分）</w:t>
            </w:r>
          </w:p>
        </w:tc>
        <w:tc>
          <w:tcPr>
            <w:tcW w:w="5128" w:type="dxa"/>
            <w:vAlign w:val="center"/>
          </w:tcPr>
          <w:p w14:paraId="02849A71">
            <w:pPr>
              <w:spacing w:line="360" w:lineRule="auto"/>
              <w:rPr>
                <w:rFonts w:hint="eastAsia" w:ascii="宋体" w:hAnsi="宋体" w:eastAsia="宋体" w:cs="宋体"/>
                <w:color w:val="auto"/>
                <w:sz w:val="24"/>
                <w:szCs w:val="24"/>
                <w:highlight w:val="none"/>
              </w:rPr>
            </w:pPr>
            <w:r>
              <w:rPr>
                <w:rFonts w:hint="eastAsia" w:cs="仿宋"/>
                <w:b/>
                <w:bCs/>
                <w:color w:val="auto"/>
                <w:sz w:val="24"/>
                <w:highlight w:val="none"/>
              </w:rPr>
              <w:t>内容包括：①工期及违约责任承诺；②工期保障措施。</w:t>
            </w:r>
            <w:r>
              <w:rPr>
                <w:rFonts w:hint="eastAsia" w:ascii="宋体" w:hAnsi="宋体" w:eastAsia="宋体" w:cs="宋体"/>
                <w:color w:val="auto"/>
                <w:sz w:val="24"/>
                <w:szCs w:val="24"/>
                <w:highlight w:val="none"/>
              </w:rPr>
              <w:t>以上2项内容，经评定工期承诺满足竞争性磋商文件要求有具体的违约责任承诺，有明确的违约金额，工期保障措施合理且有针对性的得1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分；每缺少一项内容的扣</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分，每有一处内容存在不足的扣2.5分。</w:t>
            </w:r>
          </w:p>
          <w:p w14:paraId="3FD631F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73E27773">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②不足是指：内容过于简略，无针对性，工期承诺不满足竞争性磋商文件要求，无具体的违约责任承诺，工期保障措施不合理、不可行、不足以支撑项目实施等任意一项类似缺陷或瑕疵。</w:t>
            </w:r>
          </w:p>
        </w:tc>
      </w:tr>
      <w:tr w14:paraId="7CAB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Merge w:val="continue"/>
            <w:vAlign w:val="center"/>
          </w:tcPr>
          <w:p w14:paraId="7F47ACB8">
            <w:pPr>
              <w:spacing w:line="320" w:lineRule="exact"/>
              <w:rPr>
                <w:rFonts w:hint="eastAsia" w:ascii="宋体" w:hAnsi="宋体" w:cs="宋体"/>
                <w:color w:val="auto"/>
                <w:sz w:val="24"/>
                <w:szCs w:val="24"/>
                <w:highlight w:val="none"/>
              </w:rPr>
            </w:pPr>
          </w:p>
        </w:tc>
        <w:tc>
          <w:tcPr>
            <w:tcW w:w="996" w:type="dxa"/>
            <w:vMerge w:val="continue"/>
            <w:vAlign w:val="center"/>
          </w:tcPr>
          <w:p w14:paraId="6CDC1DB4">
            <w:pPr>
              <w:spacing w:line="320" w:lineRule="exact"/>
              <w:rPr>
                <w:rFonts w:hint="eastAsia" w:ascii="宋体" w:hAnsi="宋体" w:cs="宋体"/>
                <w:color w:val="auto"/>
                <w:sz w:val="24"/>
                <w:szCs w:val="24"/>
                <w:highlight w:val="none"/>
              </w:rPr>
            </w:pPr>
          </w:p>
        </w:tc>
        <w:tc>
          <w:tcPr>
            <w:tcW w:w="2475" w:type="dxa"/>
            <w:vAlign w:val="center"/>
          </w:tcPr>
          <w:p w14:paraId="613F8172">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质量承诺及保证措施评审评分（满分</w:t>
            </w:r>
            <w:r>
              <w:rPr>
                <w:rFonts w:cs="仿宋"/>
                <w:b/>
                <w:color w:val="auto"/>
                <w:sz w:val="24"/>
                <w:highlight w:val="none"/>
              </w:rPr>
              <w:t>1</w:t>
            </w:r>
            <w:r>
              <w:rPr>
                <w:rFonts w:hint="eastAsia" w:cs="仿宋"/>
                <w:b/>
                <w:color w:val="auto"/>
                <w:sz w:val="24"/>
                <w:highlight w:val="none"/>
                <w:lang w:val="en-US" w:eastAsia="zh-CN"/>
              </w:rPr>
              <w:t>2</w:t>
            </w:r>
            <w:r>
              <w:rPr>
                <w:rFonts w:hint="eastAsia" w:cs="仿宋"/>
                <w:b/>
                <w:color w:val="auto"/>
                <w:sz w:val="24"/>
                <w:highlight w:val="none"/>
              </w:rPr>
              <w:t>分）</w:t>
            </w:r>
          </w:p>
        </w:tc>
        <w:tc>
          <w:tcPr>
            <w:tcW w:w="5128" w:type="dxa"/>
            <w:vAlign w:val="center"/>
          </w:tcPr>
          <w:p w14:paraId="3C8D46FB">
            <w:pPr>
              <w:spacing w:line="360" w:lineRule="auto"/>
              <w:jc w:val="left"/>
              <w:rPr>
                <w:rFonts w:hint="eastAsia" w:cs="仿宋"/>
                <w:b/>
                <w:bCs/>
                <w:color w:val="auto"/>
                <w:sz w:val="24"/>
                <w:highlight w:val="none"/>
              </w:rPr>
            </w:pPr>
            <w:r>
              <w:rPr>
                <w:rFonts w:hint="eastAsia" w:cs="仿宋"/>
                <w:b/>
                <w:bCs/>
                <w:color w:val="auto"/>
                <w:sz w:val="24"/>
                <w:highlight w:val="none"/>
              </w:rPr>
              <w:t>内容包括：①质量管理目标；②质量保证措施；③质量违约责任承诺。</w:t>
            </w:r>
          </w:p>
          <w:p w14:paraId="34008E1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以上3项内容，经评定质量管理目标详细合理、质量保证措施体系流程内容详细完善、质量违约责任承诺内容具体详细，有明确的违约金额，且违约金额设定符合项目实际情况的得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分；每缺少一项内容的扣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分，每有一处内容存在不足的扣2.5分。</w:t>
            </w:r>
          </w:p>
          <w:p w14:paraId="3E2B646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注：①以磋商小组结合项目实际情况和响应文件的响应情况独立评审为准；</w:t>
            </w:r>
          </w:p>
          <w:p w14:paraId="6DEFD544">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②不足是指：内容过于简略，无针对性，质量管理目标不详细不合理，质量保证措施体系流程不具体，质量违约责任承诺内容不具体，无明确的违约金额，或违约金额设定与项目实际情况不符、不可行、不足以支撑项目实施等任意一项类似缺陷或瑕疵。</w:t>
            </w:r>
          </w:p>
        </w:tc>
      </w:tr>
      <w:tr w14:paraId="5C86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45" w:type="dxa"/>
            <w:vMerge w:val="continue"/>
            <w:vAlign w:val="center"/>
          </w:tcPr>
          <w:p w14:paraId="6A60668A">
            <w:pPr>
              <w:spacing w:line="320" w:lineRule="exact"/>
              <w:rPr>
                <w:rFonts w:hint="eastAsia" w:ascii="宋体" w:hAnsi="宋体" w:cs="宋体"/>
                <w:color w:val="auto"/>
                <w:sz w:val="24"/>
                <w:szCs w:val="24"/>
                <w:highlight w:val="none"/>
              </w:rPr>
            </w:pPr>
          </w:p>
        </w:tc>
        <w:tc>
          <w:tcPr>
            <w:tcW w:w="996" w:type="dxa"/>
            <w:vMerge w:val="continue"/>
            <w:vAlign w:val="center"/>
          </w:tcPr>
          <w:p w14:paraId="1FCC83B5">
            <w:pPr>
              <w:spacing w:line="320" w:lineRule="exact"/>
              <w:rPr>
                <w:rFonts w:hint="eastAsia" w:ascii="宋体" w:hAnsi="宋体" w:cs="宋体"/>
                <w:color w:val="auto"/>
                <w:sz w:val="24"/>
                <w:szCs w:val="24"/>
                <w:highlight w:val="none"/>
              </w:rPr>
            </w:pPr>
          </w:p>
        </w:tc>
        <w:tc>
          <w:tcPr>
            <w:tcW w:w="2475" w:type="dxa"/>
            <w:vAlign w:val="center"/>
          </w:tcPr>
          <w:p w14:paraId="34ACCF3C">
            <w:pPr>
              <w:jc w:val="left"/>
              <w:rPr>
                <w:rFonts w:hint="eastAsia" w:cs="仿宋"/>
                <w:b/>
                <w:color w:val="auto"/>
                <w:sz w:val="24"/>
                <w:highlight w:val="none"/>
              </w:rPr>
            </w:pPr>
            <w:r>
              <w:rPr>
                <w:rFonts w:hint="eastAsia" w:cs="仿宋"/>
                <w:b/>
                <w:color w:val="auto"/>
                <w:sz w:val="24"/>
                <w:highlight w:val="none"/>
              </w:rPr>
              <w:t>安全文明施工保证措施评审评分（满分</w:t>
            </w:r>
            <w:r>
              <w:rPr>
                <w:rFonts w:cs="仿宋"/>
                <w:b/>
                <w:color w:val="auto"/>
                <w:sz w:val="24"/>
                <w:highlight w:val="none"/>
              </w:rPr>
              <w:t>10</w:t>
            </w:r>
            <w:r>
              <w:rPr>
                <w:rFonts w:hint="eastAsia" w:cs="仿宋"/>
                <w:b/>
                <w:color w:val="auto"/>
                <w:sz w:val="24"/>
                <w:highlight w:val="none"/>
              </w:rPr>
              <w:t>分）</w:t>
            </w:r>
          </w:p>
          <w:p w14:paraId="36CF5D16">
            <w:pPr>
              <w:spacing w:line="320" w:lineRule="exact"/>
              <w:jc w:val="center"/>
              <w:rPr>
                <w:rFonts w:hint="eastAsia" w:ascii="宋体" w:hAnsi="宋体" w:cs="宋体"/>
                <w:b/>
                <w:color w:val="auto"/>
                <w:kern w:val="2"/>
                <w:sz w:val="24"/>
                <w:szCs w:val="24"/>
                <w:highlight w:val="none"/>
              </w:rPr>
            </w:pPr>
          </w:p>
        </w:tc>
        <w:tc>
          <w:tcPr>
            <w:tcW w:w="5128" w:type="dxa"/>
            <w:vAlign w:val="center"/>
          </w:tcPr>
          <w:p w14:paraId="7C65D234">
            <w:pPr>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b/>
                <w:bCs/>
                <w:color w:val="auto"/>
                <w:sz w:val="24"/>
                <w:szCs w:val="24"/>
                <w:highlight w:val="none"/>
              </w:rPr>
              <w:t>内容包括：①安全文明施工保证措施；②安全文明施工承诺及违约承诺。</w:t>
            </w:r>
          </w:p>
          <w:p w14:paraId="24FE22F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2项内容，经评定安全文明施工保证措施具体、完整、可行和有针对性，安全文明施工承诺及违约承诺内容具体详细，有明确的违约金额，且违约金额设定符合项目实际情况的得10分；每缺少一项内容的扣5分，每有一处内容存在不足的扣2.5分。</w:t>
            </w:r>
          </w:p>
          <w:p w14:paraId="175F82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45A0A99C">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安全文明施工保证措施不详细不合理，承诺内容不具体，无明确的违约金额，或违约金额设定与项目实际情况不符、不可行、不足以支撑项目实施等任意一项类似缺陷或瑕疵。</w:t>
            </w:r>
          </w:p>
        </w:tc>
      </w:tr>
      <w:tr w14:paraId="302D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45" w:type="dxa"/>
            <w:vMerge w:val="continue"/>
            <w:vAlign w:val="center"/>
          </w:tcPr>
          <w:p w14:paraId="08E83A46">
            <w:pPr>
              <w:spacing w:line="320" w:lineRule="exact"/>
              <w:rPr>
                <w:rFonts w:hint="eastAsia" w:ascii="宋体" w:hAnsi="宋体" w:cs="宋体"/>
                <w:color w:val="auto"/>
                <w:sz w:val="24"/>
                <w:szCs w:val="24"/>
                <w:highlight w:val="none"/>
              </w:rPr>
            </w:pPr>
          </w:p>
        </w:tc>
        <w:tc>
          <w:tcPr>
            <w:tcW w:w="996" w:type="dxa"/>
            <w:vMerge w:val="continue"/>
            <w:vAlign w:val="center"/>
          </w:tcPr>
          <w:p w14:paraId="67DD7EB7">
            <w:pPr>
              <w:spacing w:line="320" w:lineRule="exact"/>
              <w:rPr>
                <w:rFonts w:hint="eastAsia" w:ascii="宋体" w:hAnsi="宋体" w:cs="宋体"/>
                <w:color w:val="auto"/>
                <w:sz w:val="24"/>
                <w:szCs w:val="24"/>
                <w:highlight w:val="none"/>
              </w:rPr>
            </w:pPr>
          </w:p>
        </w:tc>
        <w:tc>
          <w:tcPr>
            <w:tcW w:w="2475" w:type="dxa"/>
            <w:vAlign w:val="center"/>
          </w:tcPr>
          <w:p w14:paraId="6CBD8CD6">
            <w:pPr>
              <w:spacing w:line="320" w:lineRule="exact"/>
              <w:jc w:val="center"/>
              <w:rPr>
                <w:rFonts w:hint="eastAsia" w:ascii="宋体" w:hAnsi="宋体" w:cs="宋体"/>
                <w:b/>
                <w:color w:val="auto"/>
                <w:kern w:val="2"/>
                <w:sz w:val="24"/>
                <w:szCs w:val="24"/>
                <w:highlight w:val="none"/>
              </w:rPr>
            </w:pPr>
            <w:r>
              <w:rPr>
                <w:rFonts w:hint="eastAsia" w:cs="仿宋"/>
                <w:b/>
                <w:color w:val="auto"/>
                <w:sz w:val="24"/>
                <w:highlight w:val="none"/>
              </w:rPr>
              <w:t>劳动力安排、施工机械和材料投入评审评分（满分</w:t>
            </w:r>
            <w:r>
              <w:rPr>
                <w:rFonts w:hint="eastAsia" w:cs="仿宋"/>
                <w:b/>
                <w:color w:val="auto"/>
                <w:sz w:val="24"/>
                <w:highlight w:val="none"/>
                <w:lang w:val="en-US" w:eastAsia="zh-CN"/>
              </w:rPr>
              <w:t>6</w:t>
            </w:r>
            <w:r>
              <w:rPr>
                <w:rFonts w:hint="eastAsia" w:cs="仿宋"/>
                <w:b/>
                <w:color w:val="auto"/>
                <w:sz w:val="24"/>
                <w:highlight w:val="none"/>
              </w:rPr>
              <w:t>分）</w:t>
            </w:r>
          </w:p>
        </w:tc>
        <w:tc>
          <w:tcPr>
            <w:tcW w:w="5128" w:type="dxa"/>
            <w:vAlign w:val="center"/>
          </w:tcPr>
          <w:p w14:paraId="2CEE3650">
            <w:pPr>
              <w:tabs>
                <w:tab w:val="left" w:pos="360"/>
                <w:tab w:val="left" w:pos="432"/>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内容包括：①劳动力安排；②施工机械和材料投入计划。</w:t>
            </w:r>
          </w:p>
          <w:p w14:paraId="030DB5FF">
            <w:pPr>
              <w:tabs>
                <w:tab w:val="left" w:pos="360"/>
                <w:tab w:val="left" w:pos="432"/>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以上2项内容，经评定劳动力安排、施工机械投入和材料投入与施工进度计划相呼应，与项目具有针对性和合理性，且能够保障工程进度顺利进行，满足施工需要的得</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分；每缺少一项内容的扣</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分，每有一处内容存在不足的扣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41E154BC">
            <w:pPr>
              <w:tabs>
                <w:tab w:val="left" w:pos="360"/>
                <w:tab w:val="left" w:pos="432"/>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注：①以磋商小组结合项目实际情况和响应文件的响应情况独立评审为准；</w:t>
            </w:r>
          </w:p>
          <w:p w14:paraId="354ED440">
            <w:pPr>
              <w:spacing w:line="360" w:lineRule="auto"/>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rPr>
              <w:t>②不足是指：内容过于简略，项目管理人员配置不合理，无针对性，不能满足本项目工程管理需要，具体的岗位职责内容描述不具体、不可行、不足以支撑项目实施等任意一项类似缺陷或瑕疵。</w:t>
            </w:r>
          </w:p>
        </w:tc>
      </w:tr>
      <w:tr w14:paraId="2744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19E44FC9">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p>
        </w:tc>
        <w:tc>
          <w:tcPr>
            <w:tcW w:w="996" w:type="dxa"/>
            <w:vAlign w:val="center"/>
          </w:tcPr>
          <w:p w14:paraId="5816BDB7">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商务部分评分标准</w:t>
            </w:r>
          </w:p>
          <w:p w14:paraId="59B47790">
            <w:pPr>
              <w:spacing w:line="3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（满分10分）</w:t>
            </w:r>
          </w:p>
        </w:tc>
        <w:tc>
          <w:tcPr>
            <w:tcW w:w="2475" w:type="dxa"/>
            <w:vAlign w:val="center"/>
          </w:tcPr>
          <w:p w14:paraId="7EF39E4D">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项目管理人员配置评审评分（满分</w:t>
            </w:r>
            <w:r>
              <w:rPr>
                <w:rFonts w:cs="仿宋"/>
                <w:b/>
                <w:color w:val="auto"/>
                <w:sz w:val="24"/>
                <w:highlight w:val="none"/>
              </w:rPr>
              <w:t>10</w:t>
            </w:r>
            <w:r>
              <w:rPr>
                <w:rFonts w:hint="eastAsia" w:cs="仿宋"/>
                <w:b/>
                <w:color w:val="auto"/>
                <w:sz w:val="24"/>
                <w:highlight w:val="none"/>
              </w:rPr>
              <w:t>分）</w:t>
            </w:r>
          </w:p>
        </w:tc>
        <w:tc>
          <w:tcPr>
            <w:tcW w:w="5128" w:type="dxa"/>
            <w:vAlign w:val="center"/>
          </w:tcPr>
          <w:p w14:paraId="5EC6D683">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内容包括：①项目管理人员配置；②项目管理人员分工。</w:t>
            </w:r>
          </w:p>
          <w:p w14:paraId="72C70D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2项内容，经评定项目管理人员对工程实际配置合理，能满足本项目工程管理需要，分工详细明确，有详细描述具体的岗位职责内容、符合项目实际情况的得10分；每缺少一项内容的扣5分，每有一处内容存在不足的扣2.5分。</w:t>
            </w:r>
          </w:p>
          <w:p w14:paraId="67E582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5B5C76AF">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项目管理人员配置不合理且无项目管理人员不更换承诺的，不能满足本项目工程管理需要，具体的岗位职责内容描述不具体、不可行、不足以支撑项目实施等任意一项类似缺陷或瑕疵。</w:t>
            </w:r>
          </w:p>
        </w:tc>
      </w:tr>
      <w:tr w14:paraId="14E8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2507AF8D">
            <w:pPr>
              <w:spacing w:line="320" w:lineRule="exact"/>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p>
        </w:tc>
        <w:tc>
          <w:tcPr>
            <w:tcW w:w="996" w:type="dxa"/>
            <w:vAlign w:val="center"/>
          </w:tcPr>
          <w:p w14:paraId="1675DC35">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rPr>
              <w:t>部分（满</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tc>
        <w:tc>
          <w:tcPr>
            <w:tcW w:w="2475" w:type="dxa"/>
            <w:vAlign w:val="center"/>
          </w:tcPr>
          <w:p w14:paraId="46D92076">
            <w:pPr>
              <w:spacing w:line="360" w:lineRule="auto"/>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磋商报价</w:t>
            </w:r>
          </w:p>
          <w:p w14:paraId="332EF2FD">
            <w:pPr>
              <w:spacing w:line="360" w:lineRule="auto"/>
              <w:jc w:val="center"/>
              <w:rPr>
                <w:rFonts w:hint="eastAsia" w:ascii="宋体" w:hAnsi="宋体" w:cs="宋体"/>
                <w:b/>
                <w:bCs/>
                <w:color w:val="auto"/>
                <w:kern w:val="2"/>
                <w:sz w:val="24"/>
                <w:szCs w:val="24"/>
                <w:highlight w:val="none"/>
              </w:rPr>
            </w:pPr>
            <w:r>
              <w:rPr>
                <w:rFonts w:hint="eastAsia" w:ascii="宋体" w:hAnsi="宋体" w:eastAsia="宋体" w:cs="宋体"/>
                <w:b/>
                <w:bCs/>
                <w:color w:val="auto"/>
                <w:kern w:val="2"/>
                <w:sz w:val="24"/>
                <w:szCs w:val="24"/>
                <w:highlight w:val="none"/>
              </w:rPr>
              <w:t>（满</w:t>
            </w:r>
            <w:r>
              <w:rPr>
                <w:rFonts w:hint="eastAsia" w:ascii="宋体" w:hAnsi="宋体" w:cs="宋体"/>
                <w:b/>
                <w:bCs/>
                <w:color w:val="auto"/>
                <w:kern w:val="2"/>
                <w:sz w:val="24"/>
                <w:szCs w:val="24"/>
                <w:highlight w:val="none"/>
                <w:lang w:val="en-US" w:eastAsia="zh-CN"/>
              </w:rPr>
              <w:t>20</w:t>
            </w:r>
            <w:r>
              <w:rPr>
                <w:rFonts w:hint="eastAsia" w:ascii="宋体" w:hAnsi="宋体" w:eastAsia="宋体" w:cs="宋体"/>
                <w:b/>
                <w:bCs/>
                <w:color w:val="auto"/>
                <w:kern w:val="2"/>
                <w:sz w:val="24"/>
                <w:szCs w:val="24"/>
                <w:highlight w:val="none"/>
              </w:rPr>
              <w:t>分）</w:t>
            </w:r>
          </w:p>
        </w:tc>
        <w:tc>
          <w:tcPr>
            <w:tcW w:w="5128" w:type="dxa"/>
            <w:vAlign w:val="center"/>
          </w:tcPr>
          <w:p w14:paraId="0A7C746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报价评分采用低价优先法计算，即满足磋商文件要求且最后报价最低的供应商的价格为磋商基准价，其报价分为满分。其他供应商的报价分统一按照下列公式计算：</w:t>
            </w:r>
          </w:p>
          <w:p w14:paraId="2EBA8D7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磋商报价得分=（磋商基准价/最后磋商报价）×分值</w:t>
            </w:r>
          </w:p>
          <w:p w14:paraId="6CC0C9D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注：1）此处最后报价指经过报价修正，及落实政府采购政策进行价格调整后的报价，详见第三章《评审方法和评审标准》；</w:t>
            </w:r>
          </w:p>
          <w:p w14:paraId="6BDDAF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2）残疾人福利性单位、监狱企业视同小型、微型企业。</w:t>
            </w:r>
          </w:p>
          <w:p w14:paraId="1A0B9C2B">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3）监狱企业或残疾人福利性单位属于小型、微型企业的，不重复计算，只进行一次价格扣除。</w:t>
            </w:r>
          </w:p>
        </w:tc>
      </w:tr>
      <w:tr w14:paraId="694F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5ED75050">
            <w:pPr>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3471" w:type="dxa"/>
            <w:gridSpan w:val="2"/>
            <w:vAlign w:val="center"/>
          </w:tcPr>
          <w:p w14:paraId="7EBE32D4">
            <w:pPr>
              <w:spacing w:line="310" w:lineRule="exact"/>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c>
          <w:tcPr>
            <w:tcW w:w="5128" w:type="dxa"/>
            <w:vAlign w:val="center"/>
          </w:tcPr>
          <w:p w14:paraId="3F6F5683">
            <w:pPr>
              <w:spacing w:line="31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无。</w:t>
            </w:r>
          </w:p>
        </w:tc>
      </w:tr>
    </w:tbl>
    <w:p w14:paraId="6FE0BFA9">
      <w:pPr>
        <w:tabs>
          <w:tab w:val="left" w:pos="360"/>
          <w:tab w:val="left" w:pos="1080"/>
        </w:tabs>
        <w:snapToGrid w:val="0"/>
        <w:spacing w:line="360" w:lineRule="auto"/>
        <w:ind w:left="1080"/>
        <w:rPr>
          <w:rFonts w:hint="eastAsia" w:ascii="宋体" w:hAnsi="宋体" w:eastAsia="宋体" w:cs="宋体"/>
          <w:color w:val="auto"/>
          <w:sz w:val="24"/>
          <w:highlight w:val="none"/>
        </w:rPr>
      </w:pPr>
    </w:p>
    <w:p w14:paraId="58B37732">
      <w:pPr>
        <w:pStyle w:val="3"/>
        <w:numPr>
          <w:ilvl w:val="1"/>
          <w:numId w:val="0"/>
        </w:numPr>
        <w:snapToGrid w:val="0"/>
        <w:spacing w:line="360" w:lineRule="auto"/>
        <w:ind w:firstLine="482" w:firstLineChars="200"/>
        <w:jc w:val="both"/>
        <w:textAlignment w:val="auto"/>
        <w:rPr>
          <w:rFonts w:hint="eastAsia" w:ascii="宋体" w:hAnsi="宋体" w:eastAsia="宋体" w:cs="宋体"/>
          <w:color w:val="auto"/>
          <w:sz w:val="24"/>
          <w:highlight w:val="none"/>
        </w:rPr>
      </w:pPr>
      <w:bookmarkStart w:id="100" w:name="_Toc17128"/>
      <w:bookmarkStart w:id="101" w:name="_Toc29160"/>
      <w:bookmarkStart w:id="102" w:name="_Toc14717"/>
      <w:bookmarkStart w:id="103" w:name="_Toc59809735"/>
      <w:bookmarkStart w:id="104" w:name="_Toc25734"/>
      <w:bookmarkStart w:id="105" w:name="_Toc103091637"/>
      <w:bookmarkStart w:id="106" w:name="_Toc13599"/>
      <w:r>
        <w:rPr>
          <w:rFonts w:hint="eastAsia" w:ascii="宋体" w:hAnsi="宋体" w:cs="宋体"/>
          <w:color w:val="auto"/>
          <w:sz w:val="24"/>
          <w:highlight w:val="none"/>
          <w:lang w:val="en-US" w:eastAsia="zh-CN"/>
        </w:rPr>
        <w:t xml:space="preserve">四 </w:t>
      </w:r>
      <w:r>
        <w:rPr>
          <w:rFonts w:hint="eastAsia" w:ascii="宋体" w:hAnsi="宋体" w:eastAsia="宋体" w:cs="宋体"/>
          <w:color w:val="auto"/>
          <w:sz w:val="24"/>
          <w:highlight w:val="none"/>
        </w:rPr>
        <w:t>、评标程序</w:t>
      </w:r>
      <w:bookmarkEnd w:id="100"/>
      <w:bookmarkEnd w:id="101"/>
      <w:bookmarkEnd w:id="102"/>
      <w:bookmarkEnd w:id="103"/>
      <w:bookmarkEnd w:id="104"/>
      <w:bookmarkEnd w:id="105"/>
      <w:bookmarkEnd w:id="106"/>
    </w:p>
    <w:p w14:paraId="7626691C">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资格审查→符合性审查→详细评审。</w:t>
      </w:r>
    </w:p>
    <w:p w14:paraId="1742E21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1.资格审查：由采购人或采购代理机构对供应商进行资格审查，有一项不符合审查标准的，视为资格审查不通过，不进入下一评审程序。</w:t>
      </w:r>
    </w:p>
    <w:p w14:paraId="006EDE3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2.符合性审查：由评标委员会对投标文件进行符合性审查，有一项不符合审查标准的，视为符合性审查不通过，不进入下一评标程序。</w:t>
      </w:r>
    </w:p>
    <w:p w14:paraId="064DA17A">
      <w:pPr>
        <w:pStyle w:val="25"/>
        <w:widowControl w:val="0"/>
        <w:tabs>
          <w:tab w:val="left" w:pos="2472"/>
        </w:tabs>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3.详细评审：由评标委员会按本章规定的评分因素进行综合评分。</w:t>
      </w:r>
    </w:p>
    <w:p w14:paraId="7ABDDC51">
      <w:pPr>
        <w:pStyle w:val="3"/>
        <w:numPr>
          <w:ilvl w:val="1"/>
          <w:numId w:val="0"/>
        </w:numPr>
        <w:snapToGrid w:val="0"/>
        <w:spacing w:line="360" w:lineRule="auto"/>
        <w:ind w:firstLine="482" w:firstLineChars="200"/>
        <w:jc w:val="both"/>
        <w:textAlignment w:val="auto"/>
        <w:rPr>
          <w:rFonts w:hint="eastAsia" w:ascii="宋体" w:hAnsi="宋体" w:eastAsia="宋体" w:cs="宋体"/>
          <w:color w:val="auto"/>
          <w:sz w:val="24"/>
          <w:highlight w:val="none"/>
        </w:rPr>
      </w:pPr>
      <w:bookmarkStart w:id="107" w:name="_Toc103091638"/>
      <w:bookmarkStart w:id="108" w:name="_Toc3290"/>
      <w:bookmarkStart w:id="109" w:name="_Toc59809736"/>
      <w:bookmarkStart w:id="110" w:name="_Toc18574"/>
      <w:bookmarkStart w:id="111" w:name="_Toc13615"/>
      <w:bookmarkStart w:id="112" w:name="_Toc12272"/>
      <w:bookmarkStart w:id="113" w:name="_Toc15256"/>
      <w:r>
        <w:rPr>
          <w:rFonts w:hint="eastAsia" w:ascii="宋体" w:hAnsi="宋体" w:cs="宋体"/>
          <w:color w:val="auto"/>
          <w:sz w:val="24"/>
          <w:highlight w:val="none"/>
          <w:lang w:val="en-US" w:eastAsia="zh-CN"/>
        </w:rPr>
        <w:t xml:space="preserve">五 </w:t>
      </w:r>
      <w:r>
        <w:rPr>
          <w:rFonts w:hint="eastAsia" w:ascii="宋体" w:hAnsi="宋体" w:eastAsia="宋体" w:cs="宋体"/>
          <w:color w:val="auto"/>
          <w:sz w:val="24"/>
          <w:highlight w:val="none"/>
        </w:rPr>
        <w:t>、</w:t>
      </w:r>
      <w:bookmarkEnd w:id="107"/>
      <w:bookmarkEnd w:id="108"/>
      <w:bookmarkEnd w:id="109"/>
      <w:bookmarkStart w:id="114" w:name="_Toc59809738"/>
      <w:bookmarkStart w:id="115" w:name="_Toc103091640"/>
      <w:bookmarkStart w:id="116" w:name="_Toc12052"/>
      <w:bookmarkStart w:id="117" w:name="_Toc489869425"/>
      <w:bookmarkStart w:id="118" w:name="_Toc489869497"/>
      <w:r>
        <w:rPr>
          <w:rFonts w:hint="eastAsia" w:ascii="宋体" w:hAnsi="宋体" w:eastAsia="宋体" w:cs="宋体"/>
          <w:color w:val="auto"/>
          <w:sz w:val="24"/>
          <w:highlight w:val="none"/>
        </w:rPr>
        <w:t>评分要求</w:t>
      </w:r>
      <w:bookmarkEnd w:id="110"/>
      <w:bookmarkEnd w:id="111"/>
      <w:bookmarkEnd w:id="112"/>
      <w:bookmarkEnd w:id="113"/>
      <w:bookmarkEnd w:id="114"/>
      <w:bookmarkEnd w:id="115"/>
      <w:bookmarkEnd w:id="116"/>
      <w:bookmarkEnd w:id="117"/>
      <w:bookmarkEnd w:id="118"/>
    </w:p>
    <w:p w14:paraId="5FC9D025">
      <w:pPr>
        <w:tabs>
          <w:tab w:val="left" w:pos="540"/>
        </w:tabs>
        <w:adjustRightInd w:val="0"/>
        <w:snapToGri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评标时，评标委员会各成员应当独立对每个供应商的投标文件进行评价，并汇总每个供应商的得分。</w:t>
      </w:r>
      <w:r>
        <w:rPr>
          <w:rFonts w:hint="eastAsia" w:ascii="宋体" w:hAnsi="宋体" w:eastAsia="宋体" w:cs="宋体"/>
          <w:bCs/>
          <w:color w:val="auto"/>
          <w:sz w:val="24"/>
          <w:szCs w:val="24"/>
          <w:highlight w:val="none"/>
        </w:rPr>
        <w:t>评标委员会成员对自己的评审意见承担法律责任。对评审报告有异议的，应当在评审报告上签署不同意见，并说明理由，否则视为同意评审报告。评标委员会成员对需要共同认定的事项存在争议的，按照少数服从多数的原则作出结论，持不同意见的评标委员会成员应当在评标报告上签署不同意见并说明理由，否则视为同意。</w:t>
      </w:r>
    </w:p>
    <w:p w14:paraId="255BCA4D">
      <w:pPr>
        <w:tabs>
          <w:tab w:val="left" w:pos="540"/>
        </w:tabs>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2.统计分数原则：评标委员会各成员评标打分汇总后，取平均值得出每个供应商的最后得分（保留小数点后两位）。</w:t>
      </w:r>
    </w:p>
    <w:p w14:paraId="358864D2">
      <w:pPr>
        <w:pStyle w:val="3"/>
        <w:numPr>
          <w:ilvl w:val="1"/>
          <w:numId w:val="0"/>
        </w:numPr>
        <w:snapToGrid w:val="0"/>
        <w:spacing w:line="360" w:lineRule="auto"/>
        <w:ind w:firstLine="482" w:firstLineChars="200"/>
        <w:jc w:val="both"/>
        <w:textAlignment w:val="auto"/>
        <w:rPr>
          <w:rFonts w:hint="eastAsia" w:ascii="宋体" w:hAnsi="宋体" w:eastAsia="宋体" w:cs="宋体"/>
          <w:color w:val="auto"/>
          <w:sz w:val="24"/>
          <w:highlight w:val="none"/>
        </w:rPr>
      </w:pPr>
      <w:bookmarkStart w:id="119" w:name="_Toc59809739"/>
      <w:bookmarkStart w:id="120" w:name="_Toc6469"/>
      <w:bookmarkStart w:id="121" w:name="_Toc103091641"/>
      <w:bookmarkStart w:id="122" w:name="_Toc22202"/>
      <w:bookmarkStart w:id="123" w:name="_Toc489869498"/>
      <w:bookmarkStart w:id="124" w:name="_Toc489869426"/>
      <w:bookmarkStart w:id="125" w:name="_Toc29621"/>
      <w:bookmarkStart w:id="126" w:name="_Toc25664"/>
      <w:bookmarkStart w:id="127" w:name="_Toc16397"/>
      <w:r>
        <w:rPr>
          <w:rFonts w:hint="eastAsia" w:ascii="宋体" w:hAnsi="宋体" w:cs="宋体"/>
          <w:color w:val="auto"/>
          <w:sz w:val="24"/>
          <w:highlight w:val="none"/>
          <w:lang w:val="en-US" w:eastAsia="zh-CN"/>
        </w:rPr>
        <w:t xml:space="preserve">六 </w:t>
      </w:r>
      <w:r>
        <w:rPr>
          <w:rFonts w:hint="default"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、评标结果</w:t>
      </w:r>
      <w:bookmarkEnd w:id="119"/>
      <w:bookmarkEnd w:id="120"/>
      <w:bookmarkEnd w:id="121"/>
      <w:bookmarkEnd w:id="122"/>
      <w:bookmarkEnd w:id="123"/>
      <w:bookmarkEnd w:id="124"/>
      <w:bookmarkEnd w:id="125"/>
      <w:bookmarkEnd w:id="126"/>
      <w:bookmarkEnd w:id="127"/>
    </w:p>
    <w:p w14:paraId="6E50F0DF">
      <w:pPr>
        <w:tabs>
          <w:tab w:val="left" w:pos="540"/>
        </w:tabs>
        <w:adjustRightInd w:val="0"/>
        <w:snapToGrid w:val="0"/>
        <w:spacing w:line="360" w:lineRule="auto"/>
        <w:ind w:firstLine="480" w:firstLineChars="200"/>
        <w:rPr>
          <w:rFonts w:hint="eastAsia" w:ascii="宋体" w:hAnsi="宋体" w:eastAsia="宋体" w:cs="宋体"/>
          <w:color w:val="auto"/>
          <w:sz w:val="24"/>
          <w:szCs w:val="24"/>
          <w:highlight w:val="none"/>
        </w:rPr>
      </w:pPr>
      <w:bookmarkStart w:id="128" w:name="OLE_LINK1"/>
      <w:r>
        <w:rPr>
          <w:rFonts w:hint="eastAsia" w:ascii="宋体" w:hAnsi="宋体" w:eastAsia="宋体" w:cs="宋体"/>
          <w:color w:val="auto"/>
          <w:sz w:val="24"/>
          <w:szCs w:val="24"/>
          <w:highlight w:val="none"/>
        </w:rPr>
        <w:t>1.采购人</w:t>
      </w:r>
      <w:bookmarkEnd w:id="128"/>
      <w:r>
        <w:rPr>
          <w:rFonts w:hint="eastAsia" w:ascii="宋体" w:hAnsi="宋体" w:eastAsia="宋体" w:cs="宋体"/>
          <w:color w:val="auto"/>
          <w:sz w:val="24"/>
          <w:szCs w:val="24"/>
          <w:highlight w:val="none"/>
        </w:rPr>
        <w:t>在确定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之前，对</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所提供资料、人员等的真实性进行确认。如有弄虚作假行为，采购人向财政监督部门申请并按相关程序处理。</w:t>
      </w:r>
    </w:p>
    <w:p w14:paraId="6B6106A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2.评标委员会将按评标总得分由高到低进行排序，并提出书面评标报告。</w:t>
      </w:r>
    </w:p>
    <w:p w14:paraId="335E71D2">
      <w:pPr>
        <w:pStyle w:val="2"/>
        <w:keepNext/>
        <w:keepLines/>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6"/>
          <w:szCs w:val="36"/>
          <w:highlight w:val="none"/>
        </w:rPr>
        <w:br w:type="page"/>
      </w:r>
      <w:bookmarkStart w:id="129" w:name="_Toc642"/>
      <w:bookmarkStart w:id="130" w:name="_Toc323920606"/>
      <w:bookmarkStart w:id="131" w:name="_Toc115429313"/>
      <w:bookmarkStart w:id="132" w:name="_Toc224831738"/>
      <w:bookmarkStart w:id="133" w:name="_Toc451722440"/>
      <w:r>
        <w:rPr>
          <w:rFonts w:hint="eastAsia" w:ascii="宋体" w:hAnsi="宋体" w:eastAsia="宋体" w:cs="宋体"/>
          <w:color w:val="auto"/>
          <w:sz w:val="32"/>
          <w:szCs w:val="32"/>
          <w:highlight w:val="none"/>
        </w:rPr>
        <w:t>第四章 合同主要条款及格式</w:t>
      </w:r>
      <w:bookmarkEnd w:id="129"/>
    </w:p>
    <w:p w14:paraId="04B562F4">
      <w:pPr>
        <w:spacing w:line="360" w:lineRule="auto"/>
        <w:rPr>
          <w:rFonts w:hint="eastAsia" w:ascii="宋体" w:hAnsi="宋体" w:eastAsia="宋体" w:cs="宋体"/>
          <w:color w:val="auto"/>
          <w:highlight w:val="none"/>
        </w:rPr>
      </w:pPr>
    </w:p>
    <w:p w14:paraId="427D44E6">
      <w:pPr>
        <w:spacing w:line="360" w:lineRule="auto"/>
        <w:rPr>
          <w:rFonts w:hint="eastAsia" w:ascii="宋体" w:hAnsi="宋体" w:eastAsia="宋体" w:cs="宋体"/>
          <w:color w:val="auto"/>
          <w:highlight w:val="none"/>
        </w:rPr>
      </w:pPr>
    </w:p>
    <w:p w14:paraId="57A83769">
      <w:pPr>
        <w:pStyle w:val="12"/>
        <w:spacing w:line="360" w:lineRule="auto"/>
        <w:ind w:firstLine="0" w:firstLineChars="0"/>
        <w:jc w:val="center"/>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本合同条款仅作参考，最终以双方共同商定的合同为准</w:t>
      </w:r>
    </w:p>
    <w:p w14:paraId="18C2C03E">
      <w:pPr>
        <w:pStyle w:val="9"/>
        <w:spacing w:line="360" w:lineRule="auto"/>
        <w:rPr>
          <w:rFonts w:hint="eastAsia" w:ascii="宋体" w:hAnsi="宋体" w:eastAsia="宋体" w:cs="宋体"/>
          <w:color w:val="auto"/>
          <w:highlight w:val="none"/>
        </w:rPr>
      </w:pPr>
    </w:p>
    <w:p w14:paraId="45140554">
      <w:pPr>
        <w:spacing w:line="360" w:lineRule="auto"/>
        <w:rPr>
          <w:rFonts w:hint="eastAsia" w:ascii="宋体" w:hAnsi="宋体" w:eastAsia="宋体" w:cs="宋体"/>
          <w:bCs/>
          <w:color w:val="auto"/>
          <w:sz w:val="24"/>
          <w:szCs w:val="24"/>
          <w:highlight w:val="none"/>
        </w:rPr>
      </w:pPr>
    </w:p>
    <w:p w14:paraId="0CBBE71E">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（GF—2017—0201）</w:t>
      </w:r>
    </w:p>
    <w:p w14:paraId="7D0D1B53">
      <w:pPr>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w:t>
      </w:r>
    </w:p>
    <w:p w14:paraId="7D4070A3">
      <w:pPr>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w:t>
      </w:r>
    </w:p>
    <w:p w14:paraId="67D84626">
      <w:pPr>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w:t>
      </w:r>
    </w:p>
    <w:p w14:paraId="64C6AD35">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72"/>
          <w:szCs w:val="72"/>
          <w:highlight w:val="none"/>
          <w:lang w:eastAsia="zh-CN"/>
        </w:rPr>
      </w:pPr>
      <w:bookmarkStart w:id="134" w:name="_Toc738"/>
      <w:bookmarkStart w:id="135" w:name="_Toc156"/>
      <w:bookmarkStart w:id="136" w:name="_Toc10846"/>
      <w:bookmarkStart w:id="137" w:name="_Toc27399"/>
      <w:bookmarkStart w:id="138" w:name="_Toc27245"/>
      <w:bookmarkStart w:id="139" w:name="_Toc5230"/>
      <w:bookmarkStart w:id="140" w:name="_Toc20262"/>
      <w:bookmarkStart w:id="141" w:name="_Toc19943"/>
      <w:bookmarkStart w:id="142" w:name="_Toc8176"/>
      <w:bookmarkStart w:id="143" w:name="_Toc8610"/>
      <w:bookmarkStart w:id="144" w:name="_Toc7527"/>
      <w:bookmarkStart w:id="145" w:name="_Toc3247"/>
      <w:bookmarkStart w:id="146" w:name="_Toc7711"/>
      <w:bookmarkStart w:id="147" w:name="_Toc17576"/>
      <w:bookmarkStart w:id="148" w:name="_Toc16732"/>
      <w:r>
        <w:rPr>
          <w:rFonts w:hint="eastAsia" w:ascii="宋体" w:hAnsi="宋体" w:eastAsia="宋体" w:cs="宋体"/>
          <w:b/>
          <w:bCs/>
          <w:color w:val="auto"/>
          <w:sz w:val="72"/>
          <w:szCs w:val="72"/>
          <w:highlight w:val="none"/>
        </w:rPr>
        <w:t>建设工程施工合同</w:t>
      </w:r>
      <w:bookmarkEnd w:id="134"/>
      <w:bookmarkEnd w:id="135"/>
      <w:bookmarkEnd w:id="136"/>
      <w:bookmarkEnd w:id="137"/>
      <w:bookmarkEnd w:id="138"/>
      <w:bookmarkEnd w:id="139"/>
      <w:bookmarkEnd w:id="140"/>
      <w:bookmarkEnd w:id="141"/>
      <w:bookmarkEnd w:id="142"/>
      <w:bookmarkEnd w:id="143"/>
      <w:bookmarkEnd w:id="144"/>
    </w:p>
    <w:p w14:paraId="1DB03BCC">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sz w:val="52"/>
          <w:szCs w:val="52"/>
          <w:highlight w:val="none"/>
        </w:rPr>
      </w:pPr>
      <w:bookmarkStart w:id="149" w:name="_Toc10305"/>
      <w:bookmarkStart w:id="150" w:name="_Toc27820"/>
      <w:bookmarkStart w:id="151" w:name="_Toc31416"/>
      <w:bookmarkStart w:id="152" w:name="_Toc15818"/>
      <w:bookmarkStart w:id="153" w:name="_Toc11501"/>
      <w:bookmarkStart w:id="154" w:name="_Toc22467"/>
      <w:bookmarkStart w:id="155" w:name="_Toc22955"/>
      <w:bookmarkStart w:id="156" w:name="_Toc22031"/>
      <w:bookmarkStart w:id="157" w:name="_Toc17382"/>
      <w:bookmarkStart w:id="158" w:name="_Toc27540"/>
      <w:bookmarkStart w:id="159" w:name="_Toc22942"/>
      <w:r>
        <w:rPr>
          <w:rFonts w:hint="eastAsia" w:ascii="宋体" w:hAnsi="宋体" w:eastAsia="宋体" w:cs="宋体"/>
          <w:b/>
          <w:bCs/>
          <w:color w:val="auto"/>
          <w:sz w:val="52"/>
          <w:szCs w:val="52"/>
          <w:highlight w:val="none"/>
        </w:rPr>
        <w:t>（示范文本）</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930FED8">
      <w:pPr>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w:t>
      </w:r>
    </w:p>
    <w:p w14:paraId="5F8316D2">
      <w:pPr>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 </w:t>
      </w:r>
    </w:p>
    <w:p w14:paraId="6D58AF41">
      <w:pPr>
        <w:spacing w:line="360" w:lineRule="auto"/>
        <w:jc w:val="both"/>
        <w:rPr>
          <w:rFonts w:hint="eastAsia" w:ascii="宋体" w:hAnsi="宋体" w:eastAsia="宋体" w:cs="宋体"/>
          <w:b/>
          <w:bCs/>
          <w:color w:val="auto"/>
          <w:sz w:val="28"/>
          <w:szCs w:val="28"/>
          <w:highlight w:val="none"/>
        </w:rPr>
      </w:pPr>
    </w:p>
    <w:p w14:paraId="35492092">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p>
    <w:p w14:paraId="64AA8ADF">
      <w:pPr>
        <w:spacing w:line="360" w:lineRule="auto"/>
        <w:ind w:firstLine="2600" w:firstLineChars="1300"/>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1" layoutInCell="0" allowOverlap="1">
                <wp:simplePos x="0" y="0"/>
                <wp:positionH relativeFrom="column">
                  <wp:posOffset>0</wp:posOffset>
                </wp:positionH>
                <wp:positionV relativeFrom="paragraph">
                  <wp:posOffset>0</wp:posOffset>
                </wp:positionV>
                <wp:extent cx="635" cy="0"/>
                <wp:effectExtent l="0" t="0" r="0" b="0"/>
                <wp:wrapNone/>
                <wp:docPr id="29" name="矩形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wrap="square" upright="1"/>
                    </wps:wsp>
                  </a:graphicData>
                </a:graphic>
              </wp:anchor>
            </w:drawing>
          </mc:Choice>
          <mc:Fallback>
            <w:pict>
              <v:rect id="_x0000_s1026" o:spid="_x0000_s1026" o:spt="1" style="position:absolute;left:0pt;margin-left:0pt;margin-top:0pt;height:0pt;width:0.05pt;z-index:251661312;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D4cJf3P&#10;AAAA/wAAAA8AAAAAAAAAAQAgAAAAIgAAAGRycy9kb3ducmV2LnhtbFBLAQIUABQAAAAIAIdO4kC/&#10;YBaVtwEAAHcDAAAOAAAAAAAAAAEAIAAAAB4BAABkcnMvZTJvRG9jLnhtbFBLBQYAAAAABgAGAFkB&#10;AABHBQAAAAA=&#10;">
                <v:fill on="f" focussize="0,0"/>
                <v:stroke on="f"/>
                <v:imagedata o:title=""/>
                <o:lock v:ext="edit" aspectratio="t"/>
                <w10:anchorlock/>
              </v:rect>
            </w:pict>
          </mc:Fallback>
        </mc:AlternateContent>
      </w:r>
      <w:r>
        <w:rPr>
          <w:rFonts w:hint="eastAsia" w:ascii="宋体" w:hAnsi="宋体" w:eastAsia="宋体" w:cs="宋体"/>
          <w:b/>
          <w:color w:val="auto"/>
          <w:sz w:val="32"/>
          <w:szCs w:val="28"/>
          <w:highlight w:val="none"/>
        </w:rPr>
        <w:t>住房和城乡建设部</w:t>
      </w:r>
    </w:p>
    <w:p w14:paraId="67C7838C">
      <w:pPr>
        <w:keepNext w:val="0"/>
        <w:keepLines w:val="0"/>
        <w:pageBreakBefore w:val="0"/>
        <w:widowControl/>
        <w:kinsoku/>
        <w:wordWrap/>
        <w:overflowPunct/>
        <w:topLinePunct w:val="0"/>
        <w:autoSpaceDE/>
        <w:autoSpaceDN/>
        <w:bidi w:val="0"/>
        <w:adjustRightInd/>
        <w:snapToGrid/>
        <w:spacing w:line="360" w:lineRule="auto"/>
        <w:ind w:right="2590" w:rightChars="1295" w:firstLine="2249" w:firstLineChars="700"/>
        <w:jc w:val="left"/>
        <w:textAlignment w:val="auto"/>
        <w:outlineLvl w:val="9"/>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lang w:eastAsia="zh-CN"/>
        </w:rPr>
        <w:t>国家市场监督管理</w:t>
      </w:r>
      <w:r>
        <w:rPr>
          <w:rFonts w:hint="eastAsia" w:ascii="宋体" w:hAnsi="宋体" w:eastAsia="宋体" w:cs="宋体"/>
          <w:b/>
          <w:color w:val="auto"/>
          <w:sz w:val="32"/>
          <w:szCs w:val="28"/>
          <w:highlight w:val="none"/>
          <w:lang w:val="en-US" w:eastAsia="zh-CN"/>
        </w:rPr>
        <w:t>总</w:t>
      </w:r>
      <w:r>
        <w:rPr>
          <w:rFonts w:hint="eastAsia" w:ascii="宋体" w:hAnsi="宋体" w:eastAsia="宋体" w:cs="宋体"/>
          <w:b/>
          <w:color w:val="auto"/>
          <w:sz w:val="32"/>
          <w:szCs w:val="28"/>
          <w:highlight w:val="none"/>
          <w:lang w:eastAsia="zh-CN"/>
        </w:rPr>
        <w:t>局</w:t>
      </w:r>
    </w:p>
    <w:p w14:paraId="1E511B66">
      <w:pPr>
        <w:spacing w:line="360" w:lineRule="auto"/>
        <w:rPr>
          <w:rFonts w:hint="eastAsia" w:ascii="宋体" w:hAnsi="宋体" w:eastAsia="宋体" w:cs="宋体"/>
          <w:b/>
          <w:color w:val="auto"/>
          <w:highlight w:val="none"/>
        </w:rPr>
      </w:pPr>
    </w:p>
    <w:p w14:paraId="066A8F98">
      <w:pPr>
        <w:pStyle w:val="13"/>
        <w:spacing w:line="360" w:lineRule="auto"/>
        <w:ind w:left="0" w:leftChars="0" w:firstLine="0" w:firstLineChars="0"/>
        <w:rPr>
          <w:rFonts w:hint="eastAsia" w:ascii="宋体" w:hAnsi="宋体" w:eastAsia="宋体" w:cs="宋体"/>
          <w:color w:val="auto"/>
          <w:highlight w:val="none"/>
        </w:rPr>
      </w:pPr>
    </w:p>
    <w:p w14:paraId="32EB0C5C">
      <w:pPr>
        <w:pageBreakBefore w:val="0"/>
        <w:widowControl/>
        <w:kinsoku/>
        <w:wordWrap/>
        <w:overflowPunct/>
        <w:topLinePunct w:val="0"/>
        <w:bidi w:val="0"/>
        <w:spacing w:line="360" w:lineRule="auto"/>
        <w:ind w:right="2590" w:rightChars="1295"/>
        <w:textAlignment w:val="auto"/>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注：本合同仅供参考</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以实际签订的合同为准</w:t>
      </w:r>
    </w:p>
    <w:p w14:paraId="6958E8F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p>
    <w:p w14:paraId="43E222B4">
      <w:pPr>
        <w:pStyle w:val="57"/>
        <w:keepNext/>
        <w:keepLines/>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bookmarkStart w:id="160" w:name="_Toc24309"/>
      <w:bookmarkStart w:id="161" w:name="_Toc22240"/>
      <w:bookmarkStart w:id="162" w:name="_Toc25386"/>
      <w:bookmarkStart w:id="163" w:name="_Toc9816"/>
      <w:bookmarkStart w:id="164" w:name="_Toc13573"/>
      <w:bookmarkStart w:id="165" w:name="_Toc296890982"/>
      <w:r>
        <w:rPr>
          <w:rFonts w:hint="eastAsia" w:ascii="宋体" w:hAnsi="宋体" w:eastAsia="宋体" w:cs="宋体"/>
          <w:color w:val="auto"/>
          <w:sz w:val="24"/>
          <w:szCs w:val="24"/>
          <w:highlight w:val="none"/>
        </w:rPr>
        <w:t>说  明</w:t>
      </w:r>
      <w:bookmarkEnd w:id="160"/>
      <w:bookmarkEnd w:id="161"/>
      <w:bookmarkEnd w:id="162"/>
      <w:bookmarkEnd w:id="163"/>
      <w:bookmarkEnd w:id="164"/>
      <w:bookmarkEnd w:id="165"/>
    </w:p>
    <w:p w14:paraId="7C359B4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为了指导建设工程施工合同当事人的签约行为，维护合同当事人的合法权益，依据</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中华人民共和国建筑法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0D0470B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66" w:name="_Toc12342"/>
      <w:bookmarkStart w:id="167" w:name="_Toc25745"/>
      <w:bookmarkStart w:id="168" w:name="_Toc9843"/>
      <w:bookmarkStart w:id="169" w:name="_Toc29657"/>
      <w:bookmarkStart w:id="170" w:name="_Toc17200"/>
      <w:bookmarkStart w:id="171" w:name="_Toc29678"/>
      <w:bookmarkStart w:id="172" w:name="_Toc24837"/>
      <w:bookmarkStart w:id="173" w:name="_Toc10413"/>
      <w:bookmarkStart w:id="174" w:name="_Toc13742"/>
      <w:bookmarkStart w:id="175" w:name="_Toc1457"/>
      <w:bookmarkStart w:id="176" w:name="_Toc30448"/>
      <w:bookmarkStart w:id="177" w:name="_Toc30034"/>
      <w:bookmarkStart w:id="178" w:name="_Toc26105"/>
      <w:bookmarkStart w:id="179" w:name="_Toc18656"/>
      <w:bookmarkStart w:id="180" w:name="_Toc4889"/>
      <w:bookmarkStart w:id="181" w:name="_Toc2977"/>
      <w:r>
        <w:rPr>
          <w:rFonts w:hint="eastAsia" w:ascii="宋体" w:hAnsi="宋体" w:eastAsia="宋体" w:cs="宋体"/>
          <w:color w:val="auto"/>
          <w:sz w:val="24"/>
          <w:szCs w:val="24"/>
          <w:highlight w:val="none"/>
        </w:rPr>
        <w:t>一、《示范文本》的组成</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73EF12C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《示范文本》由合同协议书、通用合同条款和专用合同条款三部分组成。</w:t>
      </w:r>
    </w:p>
    <w:p w14:paraId="0D53066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82" w:name="_Toc29488"/>
      <w:bookmarkStart w:id="183" w:name="_Toc25817"/>
      <w:bookmarkStart w:id="184" w:name="_Toc4969"/>
      <w:bookmarkStart w:id="185" w:name="_Toc545"/>
      <w:bookmarkStart w:id="186" w:name="_Toc16203"/>
      <w:bookmarkStart w:id="187" w:name="_Toc1935"/>
      <w:bookmarkStart w:id="188" w:name="_Toc12160"/>
      <w:bookmarkStart w:id="189" w:name="_Toc20726"/>
      <w:bookmarkStart w:id="190" w:name="_Toc18476"/>
      <w:bookmarkStart w:id="191" w:name="_Toc23460"/>
      <w:bookmarkStart w:id="192" w:name="_Toc29679"/>
      <w:bookmarkStart w:id="193" w:name="_Toc9207"/>
      <w:bookmarkStart w:id="194" w:name="_Toc20373"/>
      <w:bookmarkStart w:id="195" w:name="_Toc22101"/>
      <w:bookmarkStart w:id="196" w:name="_Toc27517"/>
      <w:bookmarkStart w:id="197" w:name="_Toc25481"/>
      <w:r>
        <w:rPr>
          <w:rFonts w:hint="eastAsia" w:ascii="宋体" w:hAnsi="宋体" w:eastAsia="宋体" w:cs="宋体"/>
          <w:color w:val="auto"/>
          <w:sz w:val="24"/>
          <w:szCs w:val="24"/>
          <w:highlight w:val="none"/>
        </w:rPr>
        <w:t>（一）合同协议书</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1F3F749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4FC662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98" w:name="_Toc11970"/>
      <w:bookmarkStart w:id="199" w:name="_Toc28506"/>
      <w:bookmarkStart w:id="200" w:name="_Toc7322"/>
      <w:bookmarkStart w:id="201" w:name="_Toc19247"/>
      <w:bookmarkStart w:id="202" w:name="_Toc17415"/>
      <w:bookmarkStart w:id="203" w:name="_Toc18586"/>
      <w:bookmarkStart w:id="204" w:name="_Toc10038"/>
      <w:bookmarkStart w:id="205" w:name="_Toc11912"/>
      <w:bookmarkStart w:id="206" w:name="_Toc16393"/>
      <w:bookmarkStart w:id="207" w:name="_Toc38"/>
      <w:bookmarkStart w:id="208" w:name="_Toc20923"/>
      <w:bookmarkStart w:id="209" w:name="_Toc21955"/>
      <w:bookmarkStart w:id="210" w:name="_Toc3684"/>
      <w:bookmarkStart w:id="211" w:name="_Toc5637"/>
      <w:bookmarkStart w:id="212" w:name="_Toc26060"/>
      <w:bookmarkStart w:id="213" w:name="_Toc16892"/>
      <w:r>
        <w:rPr>
          <w:rFonts w:hint="eastAsia" w:ascii="宋体" w:hAnsi="宋体" w:eastAsia="宋体" w:cs="宋体"/>
          <w:color w:val="auto"/>
          <w:sz w:val="24"/>
          <w:szCs w:val="24"/>
          <w:highlight w:val="none"/>
        </w:rPr>
        <w:t>（二）通用合同条款</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4E63657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通用合同条款是合同当事人根据《中华人民共和国建筑法</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等法律法规的规定，就工程建设的实施及相关事项，对合同当事人的权利义务作出的原则性约定。</w:t>
      </w:r>
    </w:p>
    <w:p w14:paraId="13D149B9">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55293A4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214" w:name="_Toc29346"/>
      <w:bookmarkStart w:id="215" w:name="_Toc12280"/>
      <w:bookmarkStart w:id="216" w:name="_Toc19624"/>
      <w:bookmarkStart w:id="217" w:name="_Toc5582"/>
      <w:bookmarkStart w:id="218" w:name="_Toc8719"/>
      <w:bookmarkStart w:id="219" w:name="_Toc31492"/>
      <w:bookmarkStart w:id="220" w:name="_Toc10215"/>
      <w:bookmarkStart w:id="221" w:name="_Toc3176"/>
      <w:bookmarkStart w:id="222" w:name="_Toc14193"/>
      <w:bookmarkStart w:id="223" w:name="_Toc25499"/>
      <w:bookmarkStart w:id="224" w:name="_Toc4219"/>
      <w:bookmarkStart w:id="225" w:name="_Toc9278"/>
      <w:bookmarkStart w:id="226" w:name="_Toc12218"/>
      <w:bookmarkStart w:id="227" w:name="_Toc24364"/>
      <w:bookmarkStart w:id="228" w:name="_Toc20219"/>
      <w:bookmarkStart w:id="229" w:name="_Toc10596"/>
      <w:r>
        <w:rPr>
          <w:rFonts w:hint="eastAsia" w:ascii="宋体" w:hAnsi="宋体" w:eastAsia="宋体" w:cs="宋体"/>
          <w:color w:val="auto"/>
          <w:sz w:val="24"/>
          <w:szCs w:val="24"/>
          <w:highlight w:val="none"/>
        </w:rPr>
        <w:t>（三）专用合同条款</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22F5329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0F175EB">
      <w:pPr>
        <w:pageBreakBefore w:val="0"/>
        <w:widowControl/>
        <w:kinsoku/>
        <w:wordWrap/>
        <w:overflowPunct/>
        <w:topLinePunct w:val="0"/>
        <w:bidi w:val="0"/>
        <w:spacing w:line="360" w:lineRule="auto"/>
        <w:ind w:right="24" w:rightChars="12"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1.专用合同条款的编号应与相应的通用合同条款的编号一致；</w:t>
      </w:r>
    </w:p>
    <w:p w14:paraId="2AC45C8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2.合同当事人可以通过对专用合同条款的修改，满足具体建设工程的特殊要求，避免直接修改通用合同条款；</w:t>
      </w:r>
    </w:p>
    <w:p w14:paraId="3947593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3.在专用合同条款中有横道线的地方，合同当事人可针对相应的通用合同条款进行细化、完善、补充、修改或另行约定；如无细化、完善、补充、修改或另行约定，则填写“无”或划“/”。</w:t>
      </w:r>
    </w:p>
    <w:p w14:paraId="6F0321B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bCs/>
          <w:color w:val="auto"/>
          <w:sz w:val="24"/>
          <w:szCs w:val="24"/>
          <w:highlight w:val="none"/>
        </w:rPr>
      </w:pPr>
      <w:bookmarkStart w:id="230" w:name="_Toc18383"/>
      <w:bookmarkStart w:id="231" w:name="_Toc27556"/>
      <w:bookmarkStart w:id="232" w:name="_Toc24297"/>
      <w:bookmarkStart w:id="233" w:name="_Toc7521"/>
      <w:bookmarkStart w:id="234" w:name="_Toc31284"/>
      <w:bookmarkStart w:id="235" w:name="_Toc4134"/>
      <w:bookmarkStart w:id="236" w:name="_Toc30623"/>
      <w:bookmarkStart w:id="237" w:name="_Toc30994"/>
      <w:bookmarkStart w:id="238" w:name="_Toc23921"/>
      <w:bookmarkStart w:id="239" w:name="_Toc13145"/>
      <w:bookmarkStart w:id="240" w:name="_Toc6862"/>
      <w:bookmarkStart w:id="241" w:name="_Toc32704"/>
      <w:bookmarkStart w:id="242" w:name="_Toc17535"/>
      <w:bookmarkStart w:id="243" w:name="_Toc10133"/>
      <w:bookmarkStart w:id="244" w:name="_Toc5796"/>
      <w:bookmarkStart w:id="245" w:name="_Toc9080"/>
      <w:r>
        <w:rPr>
          <w:rFonts w:hint="eastAsia" w:ascii="宋体" w:hAnsi="宋体" w:eastAsia="宋体" w:cs="宋体"/>
          <w:color w:val="auto"/>
          <w:sz w:val="24"/>
          <w:szCs w:val="24"/>
          <w:highlight w:val="none"/>
        </w:rPr>
        <w:t>二、《示范文本》的性质和适用范围</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49E79C9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《示范文本》为非强制性使用文本。《示范文本》适用于房屋建筑工程、土木工程、线路管道和设备安装工程、装修工程等建设工程的施工承发包活动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合同当事人可结合建设工程具体情况，根据《示范文本》订立合同，并按照法律法规规定和合同约定承担相应的法律责任及合同权利义务。</w:t>
      </w:r>
    </w:p>
    <w:p w14:paraId="685947BD">
      <w:pPr>
        <w:pageBreakBefore w:val="0"/>
        <w:widowControl/>
        <w:kinsoku/>
        <w:wordWrap/>
        <w:overflowPunct/>
        <w:topLinePunct w:val="0"/>
        <w:bidi w:val="0"/>
        <w:spacing w:line="360" w:lineRule="auto"/>
        <w:jc w:val="left"/>
        <w:textAlignment w:val="auto"/>
        <w:outlineLvl w:val="9"/>
        <w:rPr>
          <w:rFonts w:hint="eastAsia" w:ascii="宋体" w:hAnsi="宋体" w:eastAsia="宋体" w:cs="宋体"/>
          <w:b/>
          <w:bCs/>
          <w:color w:val="auto"/>
          <w:kern w:val="44"/>
          <w:sz w:val="24"/>
          <w:szCs w:val="24"/>
          <w:highlight w:val="none"/>
        </w:rPr>
        <w:sectPr>
          <w:pgSz w:w="11906" w:h="16838"/>
          <w:pgMar w:top="1418" w:right="1175" w:bottom="1418" w:left="1531" w:header="720" w:footer="720" w:gutter="0"/>
          <w:pgNumType w:fmt="decimal"/>
          <w:cols w:space="720" w:num="1"/>
          <w:docGrid w:type="lines" w:linePitch="312" w:charSpace="0"/>
        </w:sectPr>
      </w:pPr>
    </w:p>
    <w:p w14:paraId="1BAAEA11">
      <w:pPr>
        <w:pageBreakBefore w:val="0"/>
        <w:widowControl/>
        <w:kinsoku/>
        <w:wordWrap/>
        <w:overflowPunct/>
        <w:topLinePunct w:val="0"/>
        <w:bidi w:val="0"/>
        <w:snapToGrid/>
        <w:spacing w:before="0" w:after="0" w:line="360" w:lineRule="auto"/>
        <w:jc w:val="center"/>
        <w:textAlignment w:val="auto"/>
        <w:outlineLvl w:val="9"/>
        <w:rPr>
          <w:rFonts w:hint="eastAsia" w:ascii="宋体" w:hAnsi="宋体" w:eastAsia="宋体" w:cs="宋体"/>
          <w:b w:val="0"/>
          <w:bCs w:val="0"/>
          <w:color w:val="auto"/>
          <w:sz w:val="24"/>
          <w:szCs w:val="24"/>
          <w:highlight w:val="none"/>
        </w:rPr>
      </w:pPr>
      <w:bookmarkStart w:id="246" w:name="_Toc30318"/>
      <w:bookmarkStart w:id="247" w:name="_Toc14235"/>
      <w:bookmarkStart w:id="248" w:name="_Toc4313"/>
      <w:bookmarkStart w:id="249" w:name="_Toc28250"/>
      <w:bookmarkStart w:id="250" w:name="_Toc13564"/>
      <w:bookmarkStart w:id="251" w:name="_Toc20867"/>
      <w:bookmarkStart w:id="252" w:name="_Toc16871"/>
      <w:bookmarkStart w:id="253" w:name="_Toc1773"/>
      <w:bookmarkStart w:id="254" w:name="_Toc16294"/>
      <w:bookmarkStart w:id="255" w:name="_Toc32482"/>
      <w:bookmarkStart w:id="256" w:name="_Toc6124"/>
      <w:bookmarkStart w:id="257" w:name="_Toc228"/>
      <w:bookmarkStart w:id="258" w:name="_Toc20656"/>
      <w:bookmarkStart w:id="259" w:name="_Toc12612"/>
      <w:bookmarkStart w:id="260" w:name="_Toc8358"/>
      <w:bookmarkStart w:id="261" w:name="_Toc5650"/>
      <w:r>
        <w:rPr>
          <w:rFonts w:hint="eastAsia" w:ascii="宋体" w:hAnsi="宋体" w:eastAsia="宋体" w:cs="宋体"/>
          <w:color w:val="auto"/>
          <w:sz w:val="24"/>
          <w:szCs w:val="24"/>
          <w:highlight w:val="none"/>
        </w:rPr>
        <w:t>第一部分 合同协议书</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400336A7">
      <w:pPr>
        <w:pageBreakBefore w:val="0"/>
        <w:widowControl/>
        <w:kinsoku/>
        <w:wordWrap/>
        <w:overflowPunct/>
        <w:topLinePunct w:val="0"/>
        <w:bidi w:val="0"/>
        <w:snapToGrid/>
        <w:spacing w:line="360" w:lineRule="auto"/>
        <w:textAlignment w:val="auto"/>
        <w:outlineLvl w:val="9"/>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发包人（全称）：</w:t>
      </w:r>
      <w:r>
        <w:rPr>
          <w:rFonts w:hint="eastAsia" w:ascii="宋体" w:hAnsi="宋体" w:eastAsia="宋体" w:cs="宋体"/>
          <w:b/>
          <w:bCs/>
          <w:color w:val="auto"/>
          <w:sz w:val="24"/>
          <w:szCs w:val="24"/>
          <w:highlight w:val="none"/>
          <w:u w:val="single"/>
        </w:rPr>
        <w:t>                       </w:t>
      </w:r>
    </w:p>
    <w:p w14:paraId="4F1BEFEB">
      <w:pPr>
        <w:pageBreakBefore w:val="0"/>
        <w:widowControl/>
        <w:kinsoku/>
        <w:wordWrap/>
        <w:overflowPunct/>
        <w:topLinePunct w:val="0"/>
        <w:bidi w:val="0"/>
        <w:snapToGrid/>
        <w:spacing w:line="360" w:lineRule="auto"/>
        <w:textAlignment w:val="auto"/>
        <w:outlineLvl w:val="9"/>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承包人（全称）：</w:t>
      </w:r>
      <w:r>
        <w:rPr>
          <w:rFonts w:hint="eastAsia" w:ascii="宋体" w:hAnsi="宋体" w:eastAsia="宋体" w:cs="宋体"/>
          <w:b/>
          <w:bCs/>
          <w:color w:val="auto"/>
          <w:sz w:val="24"/>
          <w:szCs w:val="24"/>
          <w:highlight w:val="none"/>
          <w:u w:val="single"/>
        </w:rPr>
        <w:t xml:space="preserve">                    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p>
    <w:p w14:paraId="39E13163">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工程施工及有关事项协商一致，共同达成如下协议：</w:t>
      </w:r>
    </w:p>
    <w:p w14:paraId="1B6CC91D">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262" w:name="_Toc19842"/>
      <w:bookmarkStart w:id="263" w:name="_Toc26494"/>
      <w:bookmarkStart w:id="264" w:name="_Toc4562"/>
      <w:bookmarkStart w:id="265" w:name="_Toc25448"/>
      <w:bookmarkStart w:id="266" w:name="_Toc351203481"/>
      <w:bookmarkStart w:id="267" w:name="_Toc29825"/>
      <w:bookmarkStart w:id="268" w:name="_Toc7133"/>
      <w:bookmarkStart w:id="269" w:name="_Toc15018"/>
      <w:bookmarkStart w:id="270" w:name="_Toc7713"/>
      <w:bookmarkStart w:id="271" w:name="_Toc20525"/>
      <w:bookmarkStart w:id="272" w:name="_Toc22567"/>
      <w:bookmarkStart w:id="273" w:name="_Toc7892"/>
      <w:bookmarkStart w:id="274" w:name="_Toc14514"/>
      <w:bookmarkStart w:id="275" w:name="_Toc12521"/>
      <w:bookmarkStart w:id="276" w:name="_Toc2300"/>
      <w:bookmarkStart w:id="277" w:name="_Toc11917"/>
      <w:r>
        <w:rPr>
          <w:rFonts w:hint="eastAsia" w:ascii="宋体" w:hAnsi="宋体" w:eastAsia="宋体" w:cs="宋体"/>
          <w:b w:val="0"/>
          <w:bCs w:val="0"/>
          <w:color w:val="auto"/>
          <w:sz w:val="24"/>
          <w:szCs w:val="24"/>
          <w:highlight w:val="none"/>
        </w:rPr>
        <w:t>一、工程概况</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28D44293">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u w:val="single"/>
        </w:rPr>
      </w:pPr>
      <w:bookmarkStart w:id="278" w:name="_Toc4011"/>
      <w:bookmarkStart w:id="279" w:name="_Toc2910"/>
      <w:bookmarkStart w:id="280" w:name="_Toc6955"/>
      <w:bookmarkStart w:id="281" w:name="_Toc18022"/>
      <w:bookmarkStart w:id="282" w:name="_Toc24451"/>
      <w:bookmarkStart w:id="283" w:name="_Toc29276"/>
      <w:bookmarkStart w:id="284" w:name="_Toc9668"/>
      <w:bookmarkStart w:id="285" w:name="_Toc8711"/>
      <w:bookmarkStart w:id="286" w:name="_Toc12639"/>
      <w:bookmarkStart w:id="287" w:name="_Toc4857"/>
      <w:bookmarkStart w:id="288" w:name="_Toc7074"/>
      <w:bookmarkStart w:id="289" w:name="_Toc8450"/>
      <w:bookmarkStart w:id="290" w:name="_Toc6956"/>
      <w:r>
        <w:rPr>
          <w:rFonts w:hint="eastAsia" w:ascii="宋体" w:hAnsi="宋体" w:eastAsia="宋体" w:cs="宋体"/>
          <w:color w:val="auto"/>
          <w:sz w:val="24"/>
          <w:szCs w:val="24"/>
          <w:highlight w:val="none"/>
        </w:rPr>
        <w:t>1.工程名称：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78"/>
      <w:bookmarkEnd w:id="279"/>
      <w:bookmarkEnd w:id="280"/>
      <w:bookmarkEnd w:id="281"/>
      <w:bookmarkEnd w:id="282"/>
      <w:bookmarkEnd w:id="283"/>
      <w:bookmarkEnd w:id="284"/>
      <w:bookmarkEnd w:id="285"/>
      <w:bookmarkEnd w:id="286"/>
      <w:bookmarkEnd w:id="287"/>
      <w:bookmarkEnd w:id="288"/>
      <w:bookmarkEnd w:id="289"/>
      <w:bookmarkEnd w:id="290"/>
    </w:p>
    <w:p w14:paraId="22D80B6C">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bookmarkStart w:id="291" w:name="_Toc19255"/>
      <w:bookmarkStart w:id="292" w:name="_Toc19339"/>
      <w:bookmarkStart w:id="293" w:name="_Toc2713"/>
      <w:bookmarkStart w:id="294" w:name="_Toc9422"/>
      <w:bookmarkStart w:id="295" w:name="_Toc19083"/>
      <w:bookmarkStart w:id="296" w:name="_Toc707"/>
      <w:bookmarkStart w:id="297" w:name="_Toc12594"/>
      <w:bookmarkStart w:id="298" w:name="_Toc29529"/>
      <w:bookmarkStart w:id="299" w:name="_Toc7987"/>
      <w:bookmarkStart w:id="300" w:name="_Toc9799"/>
      <w:bookmarkStart w:id="301" w:name="_Toc18896"/>
      <w:bookmarkStart w:id="302" w:name="_Toc18864"/>
      <w:bookmarkStart w:id="303" w:name="_Toc19983"/>
      <w:r>
        <w:rPr>
          <w:rFonts w:hint="eastAsia" w:ascii="宋体" w:hAnsi="宋体" w:eastAsia="宋体" w:cs="宋体"/>
          <w:color w:val="auto"/>
          <w:sz w:val="24"/>
          <w:szCs w:val="24"/>
          <w:highlight w:val="none"/>
        </w:rPr>
        <w:t>2.工程地点：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91"/>
      <w:bookmarkEnd w:id="292"/>
      <w:bookmarkEnd w:id="293"/>
      <w:bookmarkEnd w:id="294"/>
      <w:bookmarkEnd w:id="295"/>
      <w:bookmarkEnd w:id="296"/>
      <w:bookmarkEnd w:id="297"/>
      <w:bookmarkEnd w:id="298"/>
      <w:bookmarkEnd w:id="299"/>
      <w:bookmarkEnd w:id="300"/>
      <w:bookmarkEnd w:id="301"/>
      <w:bookmarkEnd w:id="302"/>
      <w:bookmarkEnd w:id="303"/>
    </w:p>
    <w:p w14:paraId="321BB5C1">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bookmarkStart w:id="304" w:name="_Toc28084"/>
      <w:bookmarkStart w:id="305" w:name="_Toc20170"/>
      <w:bookmarkStart w:id="306" w:name="_Toc15379"/>
      <w:bookmarkStart w:id="307" w:name="_Toc29106"/>
      <w:bookmarkStart w:id="308" w:name="_Toc3054"/>
      <w:bookmarkStart w:id="309" w:name="_Toc5765"/>
      <w:bookmarkStart w:id="310" w:name="_Toc10814"/>
      <w:bookmarkStart w:id="311" w:name="_Toc8518"/>
      <w:bookmarkStart w:id="312" w:name="_Toc21053"/>
      <w:bookmarkStart w:id="313" w:name="_Toc21949"/>
      <w:bookmarkStart w:id="314" w:name="_Toc10950"/>
      <w:bookmarkStart w:id="315" w:name="_Toc15377"/>
      <w:bookmarkStart w:id="316" w:name="_Toc22737"/>
      <w:r>
        <w:rPr>
          <w:rFonts w:hint="eastAsia" w:ascii="宋体" w:hAnsi="宋体" w:eastAsia="宋体" w:cs="宋体"/>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304"/>
      <w:bookmarkEnd w:id="305"/>
      <w:bookmarkEnd w:id="306"/>
      <w:bookmarkEnd w:id="307"/>
      <w:bookmarkEnd w:id="308"/>
      <w:bookmarkEnd w:id="309"/>
      <w:bookmarkEnd w:id="310"/>
      <w:bookmarkEnd w:id="311"/>
      <w:bookmarkEnd w:id="312"/>
      <w:bookmarkEnd w:id="313"/>
      <w:bookmarkEnd w:id="314"/>
      <w:bookmarkEnd w:id="315"/>
      <w:bookmarkEnd w:id="316"/>
    </w:p>
    <w:p w14:paraId="7A0AB1F6">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bookmarkStart w:id="317" w:name="_Toc18953"/>
      <w:bookmarkStart w:id="318" w:name="_Toc27902"/>
      <w:bookmarkStart w:id="319" w:name="_Toc27035"/>
      <w:bookmarkStart w:id="320" w:name="_Toc10611"/>
      <w:bookmarkStart w:id="321" w:name="_Toc28207"/>
      <w:bookmarkStart w:id="322" w:name="_Toc6653"/>
      <w:bookmarkStart w:id="323" w:name="_Toc24337"/>
      <w:bookmarkStart w:id="324" w:name="_Toc752"/>
      <w:bookmarkStart w:id="325" w:name="_Toc15736"/>
      <w:bookmarkStart w:id="326" w:name="_Toc12189"/>
      <w:bookmarkStart w:id="327" w:name="_Toc24389"/>
      <w:bookmarkStart w:id="328" w:name="_Toc31022"/>
      <w:bookmarkStart w:id="329" w:name="_Toc30061"/>
      <w:r>
        <w:rPr>
          <w:rFonts w:hint="eastAsia" w:ascii="宋体" w:hAnsi="宋体" w:eastAsia="宋体" w:cs="宋体"/>
          <w:color w:val="auto"/>
          <w:sz w:val="24"/>
          <w:szCs w:val="24"/>
          <w:highlight w:val="none"/>
        </w:rPr>
        <w:t>4.资金来源：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317"/>
      <w:bookmarkEnd w:id="318"/>
      <w:bookmarkEnd w:id="319"/>
      <w:bookmarkEnd w:id="320"/>
      <w:bookmarkEnd w:id="321"/>
      <w:bookmarkEnd w:id="322"/>
      <w:bookmarkEnd w:id="323"/>
      <w:bookmarkEnd w:id="324"/>
      <w:bookmarkEnd w:id="325"/>
      <w:bookmarkEnd w:id="326"/>
      <w:bookmarkEnd w:id="327"/>
      <w:bookmarkEnd w:id="328"/>
      <w:bookmarkEnd w:id="329"/>
    </w:p>
    <w:p w14:paraId="1F842EEE">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bookmarkStart w:id="330" w:name="_Toc31769"/>
      <w:bookmarkStart w:id="331" w:name="_Toc2513"/>
      <w:bookmarkStart w:id="332" w:name="_Toc13591"/>
      <w:bookmarkStart w:id="333" w:name="_Toc23045"/>
      <w:bookmarkStart w:id="334" w:name="_Toc8444"/>
      <w:bookmarkStart w:id="335" w:name="_Toc1820"/>
      <w:bookmarkStart w:id="336" w:name="_Toc9584"/>
      <w:bookmarkStart w:id="337" w:name="_Toc3923"/>
      <w:bookmarkStart w:id="338" w:name="_Toc24625"/>
      <w:bookmarkStart w:id="339" w:name="_Toc24240"/>
      <w:bookmarkStart w:id="340" w:name="_Toc18937"/>
      <w:bookmarkStart w:id="341" w:name="_Toc16968"/>
      <w:bookmarkStart w:id="342" w:name="_Toc14914"/>
      <w:r>
        <w:rPr>
          <w:rFonts w:hint="eastAsia" w:ascii="宋体" w:hAnsi="宋体" w:eastAsia="宋体" w:cs="宋体"/>
          <w:color w:val="auto"/>
          <w:sz w:val="24"/>
          <w:szCs w:val="24"/>
          <w:highlight w:val="none"/>
        </w:rPr>
        <w:t>5.工程内容：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706869FD">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7500D607">
      <w:pPr>
        <w:pageBreakBefore w:val="0"/>
        <w:widowControl/>
        <w:kinsoku/>
        <w:wordWrap/>
        <w:overflowPunct/>
        <w:topLinePunct w:val="0"/>
        <w:bidi w:val="0"/>
        <w:snapToGrid/>
        <w:spacing w:line="360" w:lineRule="auto"/>
        <w:ind w:firstLine="470" w:firstLineChars="196"/>
        <w:textAlignment w:val="auto"/>
        <w:outlineLvl w:val="9"/>
        <w:rPr>
          <w:rFonts w:hint="eastAsia" w:ascii="宋体" w:hAnsi="宋体" w:eastAsia="宋体" w:cs="宋体"/>
          <w:color w:val="auto"/>
          <w:sz w:val="24"/>
          <w:szCs w:val="24"/>
          <w:highlight w:val="none"/>
        </w:rPr>
      </w:pPr>
      <w:bookmarkStart w:id="343" w:name="_Toc2152"/>
      <w:bookmarkStart w:id="344" w:name="_Toc28812"/>
      <w:bookmarkStart w:id="345" w:name="_Toc29539"/>
      <w:bookmarkStart w:id="346" w:name="_Toc13666"/>
      <w:bookmarkStart w:id="347" w:name="_Toc20735"/>
      <w:bookmarkStart w:id="348" w:name="_Toc28811"/>
      <w:bookmarkStart w:id="349" w:name="_Toc28006"/>
      <w:bookmarkStart w:id="350" w:name="_Toc16828"/>
      <w:bookmarkStart w:id="351" w:name="_Toc12568"/>
      <w:bookmarkStart w:id="352" w:name="_Toc10729"/>
      <w:bookmarkStart w:id="353" w:name="_Toc4653"/>
      <w:bookmarkStart w:id="354" w:name="_Toc22853"/>
      <w:bookmarkStart w:id="355" w:name="_Toc15906"/>
      <w:r>
        <w:rPr>
          <w:rFonts w:hint="eastAsia" w:ascii="宋体" w:hAnsi="宋体" w:eastAsia="宋体" w:cs="宋体"/>
          <w:color w:val="auto"/>
          <w:sz w:val="24"/>
          <w:szCs w:val="24"/>
          <w:highlight w:val="none"/>
        </w:rPr>
        <w:t>6.工程承包范围：</w:t>
      </w:r>
      <w:bookmarkEnd w:id="343"/>
      <w:bookmarkEnd w:id="344"/>
      <w:bookmarkEnd w:id="345"/>
      <w:bookmarkEnd w:id="346"/>
      <w:bookmarkEnd w:id="347"/>
      <w:bookmarkEnd w:id="348"/>
      <w:bookmarkEnd w:id="349"/>
      <w:bookmarkEnd w:id="350"/>
      <w:bookmarkEnd w:id="351"/>
      <w:bookmarkEnd w:id="352"/>
      <w:bookmarkEnd w:id="353"/>
      <w:bookmarkEnd w:id="354"/>
      <w:bookmarkEnd w:id="355"/>
    </w:p>
    <w:p w14:paraId="65A07B23">
      <w:pPr>
        <w:pageBreakBefore w:val="0"/>
        <w:widowControl/>
        <w:kinsoku/>
        <w:wordWrap/>
        <w:overflowPunct/>
        <w:topLinePunct w:val="0"/>
        <w:bidi w:val="0"/>
        <w:snapToGrid/>
        <w:spacing w:line="360" w:lineRule="auto"/>
        <w:ind w:firstLine="463" w:firstLineChars="19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7FE1166">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356" w:name="_Toc25899"/>
      <w:bookmarkStart w:id="357" w:name="_Toc10040"/>
      <w:bookmarkStart w:id="358" w:name="_Toc9353"/>
      <w:bookmarkStart w:id="359" w:name="_Toc8456"/>
      <w:bookmarkStart w:id="360" w:name="_Toc351203482"/>
      <w:bookmarkStart w:id="361" w:name="_Toc1528"/>
      <w:bookmarkStart w:id="362" w:name="_Toc14976"/>
      <w:bookmarkStart w:id="363" w:name="_Toc14767"/>
      <w:bookmarkStart w:id="364" w:name="_Toc30599"/>
      <w:bookmarkStart w:id="365" w:name="_Toc23231"/>
      <w:bookmarkStart w:id="366" w:name="_Toc31594"/>
      <w:bookmarkStart w:id="367" w:name="_Toc4624"/>
      <w:bookmarkStart w:id="368" w:name="_Toc24025"/>
      <w:bookmarkStart w:id="369" w:name="_Toc29911"/>
      <w:bookmarkStart w:id="370" w:name="_Toc23714"/>
      <w:bookmarkStart w:id="371" w:name="_Toc12475"/>
      <w:r>
        <w:rPr>
          <w:rFonts w:hint="eastAsia" w:ascii="宋体" w:hAnsi="宋体" w:eastAsia="宋体" w:cs="宋体"/>
          <w:b w:val="0"/>
          <w:bCs w:val="0"/>
          <w:color w:val="auto"/>
          <w:sz w:val="24"/>
          <w:szCs w:val="24"/>
          <w:highlight w:val="none"/>
        </w:rPr>
        <w:t>二、合同工期</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54E61648">
      <w:pPr>
        <w:pageBreakBefore w:val="0"/>
        <w:widowControl/>
        <w:kinsoku/>
        <w:wordWrap/>
        <w:overflowPunct/>
        <w:topLinePunct w:val="0"/>
        <w:bidi w:val="0"/>
        <w:snapToGrid/>
        <w:spacing w:line="360" w:lineRule="auto"/>
        <w:ind w:firstLine="459"/>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6BE86E0C">
      <w:pPr>
        <w:pageBreakBefore w:val="0"/>
        <w:widowControl/>
        <w:kinsoku/>
        <w:wordWrap/>
        <w:overflowPunct/>
        <w:topLinePunct w:val="0"/>
        <w:bidi w:val="0"/>
        <w:snapToGrid/>
        <w:spacing w:line="360" w:lineRule="auto"/>
        <w:ind w:firstLine="459"/>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375D8BBF">
      <w:pPr>
        <w:pageBreakBefore w:val="0"/>
        <w:widowControl/>
        <w:kinsoku/>
        <w:wordWrap/>
        <w:overflowPunct/>
        <w:topLinePunct w:val="0"/>
        <w:bidi w:val="0"/>
        <w:snapToGrid/>
        <w:spacing w:line="360" w:lineRule="auto"/>
        <w:ind w:firstLine="459"/>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14:paraId="12504BB0">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72" w:name="_Toc351203483"/>
      <w:bookmarkEnd w:id="372"/>
      <w:bookmarkStart w:id="373" w:name="_Toc28288"/>
      <w:bookmarkStart w:id="374" w:name="_Toc21892"/>
      <w:bookmarkStart w:id="375" w:name="_Toc12051"/>
      <w:bookmarkStart w:id="376" w:name="_Toc9926"/>
      <w:bookmarkStart w:id="377" w:name="_Toc23886"/>
      <w:bookmarkStart w:id="378" w:name="_Toc499"/>
      <w:bookmarkStart w:id="379" w:name="_Toc31826"/>
      <w:bookmarkStart w:id="380" w:name="_Toc16673"/>
      <w:bookmarkStart w:id="381" w:name="_Toc25757"/>
      <w:bookmarkStart w:id="382" w:name="_Toc27952"/>
      <w:bookmarkStart w:id="383" w:name="_Toc29130"/>
      <w:bookmarkStart w:id="384" w:name="_Toc27014"/>
      <w:bookmarkStart w:id="385" w:name="_Toc296"/>
      <w:bookmarkStart w:id="386" w:name="_Toc21084"/>
      <w:bookmarkStart w:id="387" w:name="_Toc28179"/>
      <w:r>
        <w:rPr>
          <w:rFonts w:hint="eastAsia" w:ascii="宋体" w:hAnsi="宋体" w:eastAsia="宋体" w:cs="宋体"/>
          <w:b w:val="0"/>
          <w:bCs w:val="0"/>
          <w:color w:val="auto"/>
          <w:sz w:val="24"/>
          <w:szCs w:val="24"/>
          <w:highlight w:val="none"/>
        </w:rPr>
        <w:t>三、质量标准</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0A2ED033">
      <w:pPr>
        <w:pageBreakBefore w:val="0"/>
        <w:widowControl/>
        <w:kinsoku/>
        <w:wordWrap/>
        <w:overflowPunct/>
        <w:topLinePunct w:val="0"/>
        <w:bidi w:val="0"/>
        <w:snapToGrid/>
        <w:spacing w:line="360" w:lineRule="auto"/>
        <w:ind w:firstLine="459"/>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标准。</w:t>
      </w:r>
    </w:p>
    <w:p w14:paraId="4E300F84">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388" w:name="_Toc13436"/>
      <w:bookmarkStart w:id="389" w:name="_Toc5900"/>
      <w:bookmarkStart w:id="390" w:name="_Toc11837"/>
      <w:bookmarkStart w:id="391" w:name="_Toc21763"/>
      <w:bookmarkStart w:id="392" w:name="_Toc30054"/>
      <w:bookmarkStart w:id="393" w:name="_Toc17129"/>
      <w:bookmarkStart w:id="394" w:name="_Toc24342"/>
      <w:bookmarkStart w:id="395" w:name="_Toc5342"/>
      <w:bookmarkStart w:id="396" w:name="_Toc8888"/>
      <w:bookmarkStart w:id="397" w:name="_Toc21959"/>
      <w:bookmarkStart w:id="398" w:name="_Toc24197"/>
      <w:bookmarkStart w:id="399" w:name="_Toc11651"/>
      <w:bookmarkStart w:id="400" w:name="_Toc30356"/>
      <w:bookmarkStart w:id="401" w:name="_Toc15280"/>
      <w:bookmarkStart w:id="402" w:name="_Toc351203484"/>
      <w:bookmarkStart w:id="403" w:name="_Toc29150"/>
      <w:r>
        <w:rPr>
          <w:rFonts w:hint="eastAsia" w:ascii="宋体" w:hAnsi="宋体" w:eastAsia="宋体" w:cs="宋体"/>
          <w:b w:val="0"/>
          <w:bCs w:val="0"/>
          <w:color w:val="auto"/>
          <w:sz w:val="24"/>
          <w:szCs w:val="24"/>
          <w:highlight w:val="none"/>
        </w:rPr>
        <w:t>四、签约合同价与合同价格形式</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rFonts w:hint="eastAsia" w:ascii="宋体" w:hAnsi="宋体" w:eastAsia="宋体" w:cs="宋体"/>
          <w:b w:val="0"/>
          <w:bCs w:val="0"/>
          <w:color w:val="auto"/>
          <w:sz w:val="24"/>
          <w:szCs w:val="24"/>
          <w:highlight w:val="none"/>
        </w:rPr>
        <w:tab/>
      </w:r>
    </w:p>
    <w:p w14:paraId="62713D29">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404" w:name="_Toc26159"/>
      <w:bookmarkStart w:id="405" w:name="_Toc4937"/>
      <w:bookmarkStart w:id="406" w:name="_Toc16057"/>
      <w:bookmarkStart w:id="407" w:name="_Toc25922"/>
      <w:bookmarkStart w:id="408" w:name="_Toc16297"/>
      <w:bookmarkStart w:id="409" w:name="_Toc9295"/>
      <w:bookmarkStart w:id="410" w:name="_Toc19905"/>
      <w:bookmarkStart w:id="411" w:name="_Toc5285"/>
      <w:bookmarkStart w:id="412" w:name="_Toc29518"/>
      <w:bookmarkStart w:id="413" w:name="_Toc2032"/>
      <w:bookmarkStart w:id="414" w:name="_Toc31142"/>
      <w:bookmarkStart w:id="415" w:name="_Toc2074"/>
      <w:bookmarkStart w:id="416" w:name="_Toc32038"/>
      <w:r>
        <w:rPr>
          <w:rFonts w:hint="eastAsia" w:ascii="宋体" w:hAnsi="宋体" w:eastAsia="宋体" w:cs="宋体"/>
          <w:color w:val="auto"/>
          <w:sz w:val="24"/>
          <w:szCs w:val="24"/>
          <w:highlight w:val="none"/>
        </w:rPr>
        <w:t>1.签约合同价为：</w:t>
      </w:r>
      <w:bookmarkEnd w:id="404"/>
      <w:bookmarkEnd w:id="405"/>
      <w:bookmarkEnd w:id="406"/>
      <w:bookmarkEnd w:id="407"/>
      <w:bookmarkEnd w:id="408"/>
      <w:bookmarkEnd w:id="409"/>
      <w:bookmarkEnd w:id="410"/>
      <w:bookmarkEnd w:id="411"/>
      <w:bookmarkEnd w:id="412"/>
      <w:bookmarkEnd w:id="413"/>
      <w:bookmarkEnd w:id="414"/>
      <w:bookmarkEnd w:id="415"/>
      <w:bookmarkEnd w:id="416"/>
    </w:p>
    <w:p w14:paraId="531118AE">
      <w:pPr>
        <w:pageBreakBefore w:val="0"/>
        <w:widowControl/>
        <w:kinsoku/>
        <w:wordWrap/>
        <w:overflowPunct/>
        <w:topLinePunct w:val="0"/>
        <w:bidi w:val="0"/>
        <w:snapToGrid/>
        <w:spacing w:line="360" w:lineRule="auto"/>
        <w:ind w:firstLine="600" w:firstLineChars="2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289B189">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0D71DDE9">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22ECE270">
      <w:pPr>
        <w:pageBreakBefore w:val="0"/>
        <w:widowControl/>
        <w:kinsoku/>
        <w:wordWrap/>
        <w:overflowPunct/>
        <w:topLinePunct w:val="0"/>
        <w:bidi w:val="0"/>
        <w:snapToGrid/>
        <w:spacing w:line="360" w:lineRule="auto"/>
        <w:ind w:firstLine="1080" w:firstLineChars="4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5F0854A1">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1C7AE854">
      <w:pPr>
        <w:pageBreakBefore w:val="0"/>
        <w:widowControl/>
        <w:kinsoku/>
        <w:wordWrap/>
        <w:overflowPunct/>
        <w:topLinePunct w:val="0"/>
        <w:bidi w:val="0"/>
        <w:snapToGrid/>
        <w:spacing w:line="360" w:lineRule="auto"/>
        <w:ind w:firstLine="1080" w:firstLineChars="4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67D9CC9">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6F845777">
      <w:pPr>
        <w:pageBreakBefore w:val="0"/>
        <w:widowControl/>
        <w:kinsoku/>
        <w:wordWrap/>
        <w:overflowPunct/>
        <w:topLinePunct w:val="0"/>
        <w:bidi w:val="0"/>
        <w:snapToGrid/>
        <w:spacing w:line="360" w:lineRule="auto"/>
        <w:ind w:firstLine="1080" w:firstLineChars="4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8C32A43">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3F820A6D">
      <w:pPr>
        <w:pageBreakBefore w:val="0"/>
        <w:widowControl/>
        <w:kinsoku/>
        <w:wordWrap/>
        <w:overflowPunct/>
        <w:topLinePunct w:val="0"/>
        <w:bidi w:val="0"/>
        <w:snapToGrid/>
        <w:spacing w:line="360" w:lineRule="auto"/>
        <w:ind w:firstLine="1080" w:firstLineChars="4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5C40632">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417" w:name="_Toc30101"/>
      <w:bookmarkStart w:id="418" w:name="_Toc12832"/>
      <w:bookmarkStart w:id="419" w:name="_Toc30354"/>
      <w:bookmarkStart w:id="420" w:name="_Toc32396"/>
      <w:bookmarkStart w:id="421" w:name="_Toc14754"/>
      <w:bookmarkStart w:id="422" w:name="_Toc27430"/>
      <w:bookmarkStart w:id="423" w:name="_Toc19163"/>
      <w:bookmarkStart w:id="424" w:name="_Toc8130"/>
      <w:bookmarkStart w:id="425" w:name="_Toc18233"/>
      <w:bookmarkStart w:id="426" w:name="_Toc29645"/>
      <w:bookmarkStart w:id="427" w:name="_Toc18958"/>
      <w:bookmarkStart w:id="428" w:name="_Toc7760"/>
      <w:bookmarkStart w:id="429" w:name="_Toc3857"/>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bookmarkEnd w:id="417"/>
      <w:bookmarkEnd w:id="418"/>
      <w:bookmarkEnd w:id="419"/>
      <w:bookmarkEnd w:id="420"/>
      <w:bookmarkEnd w:id="421"/>
      <w:bookmarkEnd w:id="422"/>
      <w:bookmarkEnd w:id="423"/>
      <w:bookmarkEnd w:id="424"/>
      <w:bookmarkEnd w:id="425"/>
      <w:bookmarkEnd w:id="426"/>
      <w:bookmarkEnd w:id="427"/>
      <w:bookmarkEnd w:id="428"/>
      <w:bookmarkEnd w:id="429"/>
    </w:p>
    <w:p w14:paraId="35C3C26B">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430" w:name="_Toc351203485"/>
      <w:bookmarkStart w:id="431" w:name="_Toc28738"/>
      <w:bookmarkStart w:id="432" w:name="_Toc26942"/>
      <w:bookmarkStart w:id="433" w:name="_Toc2961"/>
      <w:bookmarkStart w:id="434" w:name="_Toc23078"/>
      <w:bookmarkStart w:id="435" w:name="_Toc158"/>
      <w:bookmarkStart w:id="436" w:name="_Toc14582"/>
      <w:bookmarkStart w:id="437" w:name="_Toc16555"/>
      <w:bookmarkStart w:id="438" w:name="_Toc32677"/>
      <w:bookmarkStart w:id="439" w:name="_Toc30761"/>
      <w:bookmarkStart w:id="440" w:name="_Toc19451"/>
      <w:bookmarkStart w:id="441" w:name="_Toc23266"/>
      <w:bookmarkStart w:id="442" w:name="_Toc32389"/>
      <w:bookmarkStart w:id="443" w:name="_Toc31160"/>
      <w:bookmarkStart w:id="444" w:name="_Toc27871"/>
      <w:bookmarkStart w:id="445" w:name="_Toc2658"/>
      <w:r>
        <w:rPr>
          <w:rFonts w:hint="eastAsia" w:ascii="宋体" w:hAnsi="宋体" w:eastAsia="宋体" w:cs="宋体"/>
          <w:b w:val="0"/>
          <w:bCs w:val="0"/>
          <w:color w:val="auto"/>
          <w:sz w:val="24"/>
          <w:szCs w:val="24"/>
          <w:highlight w:val="none"/>
        </w:rPr>
        <w:t>五、</w:t>
      </w:r>
      <w:bookmarkEnd w:id="430"/>
      <w:r>
        <w:rPr>
          <w:rFonts w:hint="eastAsia" w:ascii="宋体" w:hAnsi="宋体" w:eastAsia="宋体" w:cs="宋体"/>
          <w:b w:val="0"/>
          <w:bCs w:val="0"/>
          <w:color w:val="auto"/>
          <w:sz w:val="24"/>
          <w:szCs w:val="24"/>
          <w:highlight w:val="none"/>
        </w:rPr>
        <w:t>项目经理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C570C6F">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BCB9917">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446" w:name="_Toc17890"/>
      <w:bookmarkStart w:id="447" w:name="_Toc8999"/>
      <w:bookmarkStart w:id="448" w:name="_Toc13459"/>
      <w:bookmarkStart w:id="449" w:name="_Toc7608"/>
      <w:bookmarkStart w:id="450" w:name="_Toc20126"/>
      <w:bookmarkStart w:id="451" w:name="_Toc13150"/>
      <w:bookmarkStart w:id="452" w:name="_Toc14938"/>
      <w:bookmarkStart w:id="453" w:name="_Toc18795"/>
      <w:bookmarkStart w:id="454" w:name="_Toc27324"/>
      <w:bookmarkStart w:id="455" w:name="_Toc13782"/>
      <w:bookmarkStart w:id="456" w:name="_Toc32567"/>
      <w:bookmarkStart w:id="457" w:name="_Toc32034"/>
      <w:bookmarkStart w:id="458" w:name="_Toc351203486"/>
      <w:bookmarkStart w:id="459" w:name="_Toc13632"/>
      <w:bookmarkStart w:id="460" w:name="_Toc26886"/>
      <w:bookmarkStart w:id="461" w:name="_Toc22116"/>
      <w:r>
        <w:rPr>
          <w:rFonts w:hint="eastAsia" w:ascii="宋体" w:hAnsi="宋体" w:eastAsia="宋体" w:cs="宋体"/>
          <w:b w:val="0"/>
          <w:bCs w:val="0"/>
          <w:color w:val="auto"/>
          <w:sz w:val="24"/>
          <w:szCs w:val="24"/>
          <w:highlight w:val="none"/>
        </w:rPr>
        <w:t>六、合同文件构成</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54712805">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w:t>
      </w:r>
    </w:p>
    <w:p w14:paraId="15C4106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成交通知书</w:t>
      </w:r>
      <w:r>
        <w:rPr>
          <w:rFonts w:hint="eastAsia" w:ascii="宋体" w:hAnsi="宋体" w:eastAsia="宋体" w:cs="宋体"/>
          <w:color w:val="auto"/>
          <w:sz w:val="24"/>
          <w:szCs w:val="24"/>
          <w:highlight w:val="none"/>
        </w:rPr>
        <w:t>（如果有）；</w:t>
      </w:r>
    </w:p>
    <w:p w14:paraId="7C13D80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48DD054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1229264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6E3F70E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7791F3A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743969D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64C0C26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62E4AE0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462DB99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1C2E2910">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462" w:name="_Toc25662"/>
      <w:bookmarkStart w:id="463" w:name="_Toc26410"/>
      <w:bookmarkStart w:id="464" w:name="_Toc15684"/>
      <w:bookmarkStart w:id="465" w:name="_Toc271"/>
      <w:bookmarkStart w:id="466" w:name="_Toc6788"/>
      <w:bookmarkStart w:id="467" w:name="_Toc351203487"/>
      <w:bookmarkStart w:id="468" w:name="_Toc19550"/>
      <w:bookmarkStart w:id="469" w:name="_Toc14807"/>
      <w:bookmarkStart w:id="470" w:name="_Toc608"/>
      <w:bookmarkStart w:id="471" w:name="_Toc3994"/>
      <w:bookmarkStart w:id="472" w:name="_Toc21465"/>
      <w:bookmarkStart w:id="473" w:name="_Toc22160"/>
      <w:bookmarkStart w:id="474" w:name="_Toc1995"/>
      <w:bookmarkStart w:id="475" w:name="_Toc9100"/>
      <w:bookmarkStart w:id="476" w:name="_Toc14639"/>
      <w:bookmarkStart w:id="477" w:name="_Toc5461"/>
      <w:r>
        <w:rPr>
          <w:rFonts w:hint="eastAsia" w:ascii="宋体" w:hAnsi="宋体" w:eastAsia="宋体" w:cs="宋体"/>
          <w:b w:val="0"/>
          <w:bCs w:val="0"/>
          <w:color w:val="auto"/>
          <w:sz w:val="24"/>
          <w:szCs w:val="24"/>
          <w:highlight w:val="none"/>
        </w:rPr>
        <w:t>七、承诺</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6C19E07E">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5B3C806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2FBEB48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71904BD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bookmarkStart w:id="478" w:name="_Toc351203488"/>
      <w:bookmarkEnd w:id="478"/>
      <w:r>
        <w:rPr>
          <w:rFonts w:hint="eastAsia" w:ascii="宋体" w:hAnsi="宋体" w:eastAsia="宋体" w:cs="宋体"/>
          <w:b/>
          <w:bCs/>
          <w:color w:val="auto"/>
          <w:sz w:val="24"/>
          <w:szCs w:val="24"/>
          <w:highlight w:val="none"/>
        </w:rPr>
        <w:t xml:space="preserve">    </w:t>
      </w:r>
      <w:bookmarkStart w:id="479" w:name="_Toc31330"/>
      <w:bookmarkStart w:id="480" w:name="_Toc20052"/>
      <w:bookmarkStart w:id="481" w:name="_Toc28566"/>
      <w:bookmarkStart w:id="482" w:name="_Toc9186"/>
      <w:bookmarkStart w:id="483" w:name="_Toc7766"/>
      <w:bookmarkStart w:id="484" w:name="_Toc5940"/>
      <w:bookmarkStart w:id="485" w:name="_Toc4329"/>
      <w:bookmarkStart w:id="486" w:name="_Toc3099"/>
      <w:bookmarkStart w:id="487" w:name="_Toc12155"/>
      <w:bookmarkStart w:id="488" w:name="_Toc24698"/>
      <w:bookmarkStart w:id="489" w:name="_Toc16803"/>
      <w:bookmarkStart w:id="490" w:name="_Toc22269"/>
      <w:bookmarkStart w:id="491" w:name="_Toc23099"/>
      <w:bookmarkStart w:id="492" w:name="_Toc18828"/>
      <w:bookmarkStart w:id="493" w:name="_Toc2679"/>
      <w:r>
        <w:rPr>
          <w:rFonts w:hint="eastAsia" w:ascii="宋体" w:hAnsi="宋体" w:eastAsia="宋体" w:cs="宋体"/>
          <w:b/>
          <w:bCs/>
          <w:color w:val="auto"/>
          <w:sz w:val="24"/>
          <w:szCs w:val="24"/>
          <w:highlight w:val="none"/>
        </w:rPr>
        <w:t>八、词语含义</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544EBD6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本协议书中词语含义与第二部分通用合同条款中赋予的含义相同。</w:t>
      </w:r>
    </w:p>
    <w:p w14:paraId="4934CBC9">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494" w:name="_Toc17700"/>
      <w:bookmarkStart w:id="495" w:name="_Toc26146"/>
      <w:bookmarkStart w:id="496" w:name="_Toc13941"/>
      <w:bookmarkStart w:id="497" w:name="_Toc28553"/>
      <w:bookmarkStart w:id="498" w:name="_Toc351203489"/>
      <w:bookmarkStart w:id="499" w:name="_Toc1011"/>
      <w:bookmarkStart w:id="500" w:name="_Toc1101"/>
      <w:bookmarkStart w:id="501" w:name="_Toc22729"/>
      <w:bookmarkStart w:id="502" w:name="_Toc16107"/>
      <w:bookmarkStart w:id="503" w:name="_Toc24040"/>
      <w:bookmarkStart w:id="504" w:name="_Toc22770"/>
      <w:bookmarkStart w:id="505" w:name="_Toc12926"/>
      <w:bookmarkStart w:id="506" w:name="_Toc2007"/>
      <w:bookmarkStart w:id="507" w:name="_Toc21653"/>
      <w:bookmarkStart w:id="508" w:name="_Toc10375"/>
      <w:bookmarkStart w:id="509" w:name="_Toc30983"/>
      <w:r>
        <w:rPr>
          <w:rFonts w:hint="eastAsia" w:ascii="宋体" w:hAnsi="宋体" w:eastAsia="宋体" w:cs="宋体"/>
          <w:b w:val="0"/>
          <w:bCs w:val="0"/>
          <w:color w:val="auto"/>
          <w:sz w:val="24"/>
          <w:szCs w:val="24"/>
          <w:highlight w:val="none"/>
        </w:rPr>
        <w:t>九、签订时间</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A86101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w:t>
      </w:r>
    </w:p>
    <w:p w14:paraId="52EFC3E3">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510" w:name="_Toc351203490"/>
      <w:bookmarkEnd w:id="510"/>
      <w:bookmarkStart w:id="511" w:name="_Toc10684"/>
      <w:bookmarkStart w:id="512" w:name="_Toc27232"/>
      <w:bookmarkStart w:id="513" w:name="_Toc2208"/>
      <w:bookmarkStart w:id="514" w:name="_Toc30559"/>
      <w:bookmarkStart w:id="515" w:name="_Toc31442"/>
      <w:bookmarkStart w:id="516" w:name="_Toc4598"/>
      <w:bookmarkStart w:id="517" w:name="_Toc29087"/>
      <w:bookmarkStart w:id="518" w:name="_Toc24488"/>
      <w:bookmarkStart w:id="519" w:name="_Toc25339"/>
      <w:bookmarkStart w:id="520" w:name="_Toc28526"/>
      <w:bookmarkStart w:id="521" w:name="_Toc23482"/>
      <w:bookmarkStart w:id="522" w:name="_Toc28146"/>
      <w:bookmarkStart w:id="523" w:name="_Toc84"/>
      <w:bookmarkStart w:id="524" w:name="_Toc13301"/>
      <w:bookmarkStart w:id="525" w:name="_Toc15793"/>
      <w:r>
        <w:rPr>
          <w:rFonts w:hint="eastAsia" w:ascii="宋体" w:hAnsi="宋体" w:eastAsia="宋体" w:cs="宋体"/>
          <w:b w:val="0"/>
          <w:bCs w:val="0"/>
          <w:color w:val="auto"/>
          <w:sz w:val="24"/>
          <w:szCs w:val="24"/>
          <w:highlight w:val="none"/>
        </w:rPr>
        <w:t>十、签订地点</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13FA23C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签订。</w:t>
      </w:r>
    </w:p>
    <w:p w14:paraId="09A8178F">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526" w:name="_Toc351203491"/>
      <w:bookmarkEnd w:id="526"/>
      <w:bookmarkStart w:id="527" w:name="_Toc16542"/>
      <w:bookmarkStart w:id="528" w:name="_Toc5341"/>
      <w:bookmarkStart w:id="529" w:name="_Toc4250"/>
      <w:bookmarkStart w:id="530" w:name="_Toc4707"/>
      <w:bookmarkStart w:id="531" w:name="_Toc26048"/>
      <w:bookmarkStart w:id="532" w:name="_Toc2950"/>
      <w:bookmarkStart w:id="533" w:name="_Toc8867"/>
      <w:bookmarkStart w:id="534" w:name="_Toc17100"/>
      <w:bookmarkStart w:id="535" w:name="_Toc15734"/>
      <w:bookmarkStart w:id="536" w:name="_Toc4175"/>
      <w:bookmarkStart w:id="537" w:name="_Toc5971"/>
      <w:bookmarkStart w:id="538" w:name="_Toc13714"/>
      <w:bookmarkStart w:id="539" w:name="_Toc17828"/>
      <w:bookmarkStart w:id="540" w:name="_Toc31371"/>
      <w:bookmarkStart w:id="541" w:name="_Toc8830"/>
      <w:r>
        <w:rPr>
          <w:rFonts w:hint="eastAsia" w:ascii="宋体" w:hAnsi="宋体" w:eastAsia="宋体" w:cs="宋体"/>
          <w:b w:val="0"/>
          <w:bCs w:val="0"/>
          <w:color w:val="auto"/>
          <w:sz w:val="24"/>
          <w:szCs w:val="24"/>
          <w:highlight w:val="none"/>
        </w:rPr>
        <w:t>十一、补充协议</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409E0673">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2FF2AD53">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542" w:name="_Toc351203492"/>
      <w:bookmarkEnd w:id="542"/>
      <w:bookmarkStart w:id="543" w:name="_Toc26253"/>
      <w:bookmarkStart w:id="544" w:name="_Toc10812"/>
      <w:bookmarkStart w:id="545" w:name="_Toc23834"/>
      <w:bookmarkStart w:id="546" w:name="_Toc23008"/>
      <w:bookmarkStart w:id="547" w:name="_Toc7743"/>
      <w:bookmarkStart w:id="548" w:name="_Toc19537"/>
      <w:bookmarkStart w:id="549" w:name="_Toc19531"/>
      <w:bookmarkStart w:id="550" w:name="_Toc25765"/>
      <w:bookmarkStart w:id="551" w:name="_Toc30080"/>
      <w:bookmarkStart w:id="552" w:name="_Toc8746"/>
      <w:bookmarkStart w:id="553" w:name="_Toc4424"/>
      <w:bookmarkStart w:id="554" w:name="_Toc23825"/>
      <w:bookmarkStart w:id="555" w:name="_Toc26215"/>
      <w:bookmarkStart w:id="556" w:name="_Toc9555"/>
      <w:bookmarkStart w:id="557" w:name="_Toc15253"/>
      <w:r>
        <w:rPr>
          <w:rFonts w:hint="eastAsia" w:ascii="宋体" w:hAnsi="宋体" w:eastAsia="宋体" w:cs="宋体"/>
          <w:b w:val="0"/>
          <w:bCs w:val="0"/>
          <w:color w:val="auto"/>
          <w:sz w:val="24"/>
          <w:szCs w:val="24"/>
          <w:highlight w:val="none"/>
        </w:rPr>
        <w:t>十二、合同生效</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2AF0E788">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生效。</w:t>
      </w:r>
    </w:p>
    <w:p w14:paraId="092688F8">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558" w:name="_Toc351203493"/>
      <w:bookmarkEnd w:id="558"/>
      <w:bookmarkStart w:id="559" w:name="_Toc13260"/>
      <w:bookmarkStart w:id="560" w:name="_Toc1679"/>
      <w:bookmarkStart w:id="561" w:name="_Toc27990"/>
      <w:bookmarkStart w:id="562" w:name="_Toc21929"/>
      <w:bookmarkStart w:id="563" w:name="_Toc28714"/>
      <w:bookmarkStart w:id="564" w:name="_Toc31889"/>
      <w:bookmarkStart w:id="565" w:name="_Toc21122"/>
      <w:bookmarkStart w:id="566" w:name="_Toc27300"/>
      <w:bookmarkStart w:id="567" w:name="_Toc27909"/>
      <w:bookmarkStart w:id="568" w:name="_Toc30223"/>
      <w:bookmarkStart w:id="569" w:name="_Toc11859"/>
      <w:bookmarkStart w:id="570" w:name="_Toc25341"/>
      <w:bookmarkStart w:id="571" w:name="_Toc9875"/>
      <w:bookmarkStart w:id="572" w:name="_Toc9274"/>
      <w:bookmarkStart w:id="573" w:name="_Toc27212"/>
      <w:r>
        <w:rPr>
          <w:rFonts w:hint="eastAsia" w:ascii="宋体" w:hAnsi="宋体" w:eastAsia="宋体" w:cs="宋体"/>
          <w:b w:val="0"/>
          <w:bCs w:val="0"/>
          <w:color w:val="auto"/>
          <w:sz w:val="24"/>
          <w:szCs w:val="24"/>
          <w:highlight w:val="none"/>
        </w:rPr>
        <w:t>十三、合同份数</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00F8871C">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份，均具有同等法律效力，发包人执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份，承包人执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14:paraId="58C9B97C">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p>
    <w:p w14:paraId="7F65B9D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1AAB1C54">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776275DE">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055492E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826DA2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p>
    <w:p w14:paraId="37C7281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3D31927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14:paraId="49361C4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14:paraId="4A365E7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274FCB6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1542429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51DACFC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7D32E58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6EAC7AFB">
      <w:pPr>
        <w:pageBreakBefore w:val="0"/>
        <w:widowControl/>
        <w:kinsoku/>
        <w:wordWrap/>
        <w:overflowPunct/>
        <w:topLinePunct w:val="0"/>
        <w:bidi w:val="0"/>
        <w:snapToGrid/>
        <w:spacing w:before="0" w:after="0"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574" w:name="_Toc351203494"/>
      <w:bookmarkEnd w:id="574"/>
      <w:bookmarkStart w:id="575" w:name="_Toc1650"/>
      <w:bookmarkStart w:id="576" w:name="_Toc32092"/>
      <w:bookmarkStart w:id="577" w:name="_Toc4568"/>
      <w:bookmarkStart w:id="578" w:name="_Toc12094"/>
      <w:bookmarkStart w:id="579" w:name="_Toc5145"/>
      <w:bookmarkStart w:id="580" w:name="_Toc23333"/>
      <w:bookmarkStart w:id="581" w:name="_Toc15599"/>
      <w:bookmarkStart w:id="582" w:name="_Toc12349"/>
      <w:bookmarkStart w:id="583" w:name="_Toc13477"/>
      <w:bookmarkStart w:id="584" w:name="_Toc23272"/>
      <w:bookmarkStart w:id="585" w:name="_Toc23903"/>
      <w:bookmarkStart w:id="586" w:name="_Toc12207"/>
      <w:bookmarkStart w:id="587" w:name="_Toc20242"/>
      <w:bookmarkStart w:id="588" w:name="_Toc15930"/>
      <w:bookmarkStart w:id="589" w:name="_Toc14029"/>
      <w:bookmarkStart w:id="590" w:name="_Toc8288"/>
      <w:r>
        <w:rPr>
          <w:rFonts w:hint="eastAsia" w:ascii="宋体" w:hAnsi="宋体" w:eastAsia="宋体" w:cs="宋体"/>
          <w:color w:val="auto"/>
          <w:sz w:val="24"/>
          <w:szCs w:val="24"/>
          <w:highlight w:val="none"/>
        </w:rPr>
        <w:t>第二部分 通用合同条款</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Start w:id="591" w:name="_Toc337558727"/>
      <w:bookmarkEnd w:id="591"/>
    </w:p>
    <w:p w14:paraId="39FE8C6F">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592" w:name="_Toc351203495"/>
      <w:bookmarkEnd w:id="592"/>
      <w:bookmarkStart w:id="593" w:name="_Toc12578"/>
      <w:bookmarkStart w:id="594" w:name="_Toc14176"/>
      <w:bookmarkStart w:id="595" w:name="_Toc30895"/>
      <w:bookmarkStart w:id="596" w:name="_Toc12281"/>
      <w:bookmarkStart w:id="597" w:name="_Toc20331"/>
      <w:bookmarkStart w:id="598" w:name="_Toc8615"/>
      <w:bookmarkStart w:id="599" w:name="_Toc3097"/>
      <w:bookmarkStart w:id="600" w:name="_Toc32691"/>
      <w:bookmarkStart w:id="601" w:name="_Toc31772"/>
      <w:bookmarkStart w:id="602" w:name="_Toc31646"/>
      <w:bookmarkStart w:id="603" w:name="_Toc25063"/>
      <w:bookmarkStart w:id="604" w:name="_Toc29584"/>
      <w:bookmarkStart w:id="605" w:name="_Toc10921"/>
      <w:bookmarkStart w:id="606" w:name="_Toc24429"/>
      <w:bookmarkStart w:id="607" w:name="_Toc6119"/>
      <w:r>
        <w:rPr>
          <w:rFonts w:hint="eastAsia" w:ascii="宋体" w:hAnsi="宋体" w:eastAsia="宋体" w:cs="宋体"/>
          <w:b w:val="0"/>
          <w:bCs w:val="0"/>
          <w:color w:val="auto"/>
          <w:sz w:val="24"/>
          <w:szCs w:val="24"/>
          <w:highlight w:val="none"/>
        </w:rPr>
        <w:t>1.</w:t>
      </w:r>
      <w:bookmarkStart w:id="608" w:name="_Toc296346528"/>
      <w:bookmarkEnd w:id="608"/>
      <w:bookmarkStart w:id="609" w:name="_Toc303538975"/>
      <w:bookmarkEnd w:id="609"/>
      <w:bookmarkStart w:id="610" w:name="_Toc303538973"/>
      <w:bookmarkEnd w:id="610"/>
      <w:bookmarkStart w:id="611" w:name="_Toc303538976"/>
      <w:bookmarkEnd w:id="611"/>
      <w:bookmarkStart w:id="612" w:name="_Toc303538974"/>
      <w:bookmarkEnd w:id="612"/>
      <w:bookmarkStart w:id="613" w:name="_Toc303538972"/>
      <w:bookmarkEnd w:id="613"/>
      <w:bookmarkStart w:id="614" w:name="_Toc296503027"/>
      <w:r>
        <w:rPr>
          <w:rFonts w:hint="eastAsia" w:ascii="宋体" w:hAnsi="宋体" w:eastAsia="宋体" w:cs="宋体"/>
          <w:b w:val="0"/>
          <w:bCs w:val="0"/>
          <w:color w:val="auto"/>
          <w:sz w:val="24"/>
          <w:szCs w:val="24"/>
          <w:highlight w:val="none"/>
        </w:rPr>
        <w:t xml:space="preserve"> 一般约定</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14"/>
    </w:p>
    <w:p w14:paraId="73FBF7E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615" w:name="_Toc296503028"/>
      <w:bookmarkEnd w:id="615"/>
      <w:bookmarkStart w:id="616" w:name="_Toc296346529"/>
      <w:bookmarkEnd w:id="616"/>
      <w:bookmarkStart w:id="617" w:name="_Toc337558728"/>
      <w:bookmarkEnd w:id="617"/>
      <w:bookmarkStart w:id="618" w:name="_Toc351203496"/>
      <w:bookmarkStart w:id="619" w:name="_Toc24377"/>
      <w:bookmarkStart w:id="620" w:name="_Toc27719"/>
      <w:bookmarkStart w:id="621" w:name="_Toc32600"/>
      <w:bookmarkStart w:id="622" w:name="_Toc10303"/>
      <w:bookmarkStart w:id="623" w:name="_Toc26876"/>
      <w:bookmarkStart w:id="624" w:name="_Toc6397"/>
      <w:bookmarkStart w:id="625" w:name="_Toc22715"/>
      <w:bookmarkStart w:id="626" w:name="_Toc13029"/>
      <w:bookmarkStart w:id="627" w:name="_Toc29528"/>
      <w:bookmarkStart w:id="628" w:name="_Toc3368"/>
      <w:bookmarkStart w:id="629" w:name="_Toc6860"/>
      <w:bookmarkStart w:id="630" w:name="_Toc2065"/>
      <w:bookmarkStart w:id="631" w:name="_Toc27347"/>
      <w:r>
        <w:rPr>
          <w:rFonts w:hint="eastAsia" w:ascii="宋体" w:hAnsi="宋体" w:eastAsia="宋体" w:cs="宋体"/>
          <w:b w:val="0"/>
          <w:bCs w:val="0"/>
          <w:color w:val="auto"/>
          <w:sz w:val="24"/>
          <w:szCs w:val="24"/>
          <w:highlight w:val="none"/>
        </w:rPr>
        <w:t>1.1词语定义</w:t>
      </w:r>
      <w:bookmarkEnd w:id="618"/>
      <w:r>
        <w:rPr>
          <w:rFonts w:hint="eastAsia" w:ascii="宋体" w:hAnsi="宋体" w:eastAsia="宋体" w:cs="宋体"/>
          <w:b w:val="0"/>
          <w:bCs w:val="0"/>
          <w:color w:val="auto"/>
          <w:sz w:val="24"/>
          <w:szCs w:val="24"/>
          <w:highlight w:val="none"/>
        </w:rPr>
        <w:t>与解释</w:t>
      </w:r>
      <w:bookmarkEnd w:id="619"/>
      <w:bookmarkEnd w:id="620"/>
      <w:bookmarkEnd w:id="621"/>
      <w:bookmarkEnd w:id="622"/>
      <w:bookmarkEnd w:id="623"/>
      <w:bookmarkEnd w:id="624"/>
      <w:bookmarkEnd w:id="625"/>
      <w:bookmarkEnd w:id="626"/>
      <w:bookmarkEnd w:id="627"/>
      <w:bookmarkEnd w:id="628"/>
      <w:bookmarkEnd w:id="629"/>
      <w:bookmarkEnd w:id="630"/>
      <w:bookmarkEnd w:id="631"/>
    </w:p>
    <w:p w14:paraId="11ECD8E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合同协议书、通用合同条款、专用合同条款中的下列词语具有本款所赋予的含义：</w:t>
      </w:r>
    </w:p>
    <w:p w14:paraId="5D495EA3">
      <w:pPr>
        <w:pageBreakBefore w:val="0"/>
        <w:widowControl/>
        <w:kinsoku/>
        <w:wordWrap/>
        <w:overflowPunct/>
        <w:topLinePunct w:val="0"/>
        <w:autoSpaceDE w:val="0"/>
        <w:autoSpaceDN w:val="0"/>
        <w:bidi w:val="0"/>
        <w:adjustRightInd w:val="0"/>
        <w:snapToGrid/>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1.1.1 合同</w:t>
      </w:r>
    </w:p>
    <w:p w14:paraId="5621345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合同：是指根据法律规定和合同当事人约定具有约束力的文件，构成合同的文件包括合同协议书、</w:t>
      </w:r>
      <w:r>
        <w:rPr>
          <w:rFonts w:hint="eastAsia" w:ascii="宋体" w:hAnsi="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（如果有）、投标函及其附录（如果有）、专用合同条款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、通用合同条款、技术标准和要求、图纸、已标价工程量清单或预算书以及其他合同文件。</w:t>
      </w:r>
    </w:p>
    <w:p w14:paraId="4191699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合同协议书：是指构成合同的由发包人和承包人共同签署的称为“合同协议书”的书面文件。</w:t>
      </w:r>
    </w:p>
    <w:p w14:paraId="3E100A70">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1.1.1.3 </w:t>
      </w:r>
      <w:r>
        <w:rPr>
          <w:rFonts w:hint="eastAsia" w:ascii="宋体" w:hAnsi="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：是指构成合同的由发包人通知承包人中标的书面文件。</w:t>
      </w:r>
    </w:p>
    <w:p w14:paraId="0E1117D7">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1.1.1.4 投标函：是指构成合同的由承包人填写并签署的用于投标的称为“投标函”的文件。</w:t>
      </w:r>
    </w:p>
    <w:p w14:paraId="0594808B">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1.1.1.5 投标函附录：是指构成合同的附在投标函后的称为“投标函附录”的文件。</w:t>
      </w:r>
    </w:p>
    <w:p w14:paraId="61449E44">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1.1.1.6 技术标准和要求：是指构成合同的施工应当遵守的或指导施工的国家、行业或地方的技术标准和要求，以及合同约定的技术标准和要求。</w:t>
      </w:r>
    </w:p>
    <w:p w14:paraId="69F2939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4C316C05">
      <w:pPr>
        <w:pageBreakBefore w:val="0"/>
        <w:widowControl/>
        <w:kinsoku/>
        <w:wordWrap/>
        <w:overflowPunct/>
        <w:topLinePunct w:val="0"/>
        <w:autoSpaceDE w:val="0"/>
        <w:autoSpaceDN w:val="0"/>
        <w:bidi w:val="0"/>
        <w:adjustRightInd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1.1.1.8 已标价工程量清单：是指构成合同的由承包人按照规定的格式和要求填写并标明价格的工程量清单，包括说明和表格。</w:t>
      </w:r>
    </w:p>
    <w:p w14:paraId="0A0D8A37">
      <w:pPr>
        <w:pageBreakBefore w:val="0"/>
        <w:widowControl/>
        <w:kinsoku/>
        <w:wordWrap/>
        <w:overflowPunct/>
        <w:topLinePunct w:val="0"/>
        <w:autoSpaceDE w:val="0"/>
        <w:autoSpaceDN w:val="0"/>
        <w:bidi w:val="0"/>
        <w:adjustRightInd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1.1.1.9 预算书：是指构成合同的由承包人按照发包人规定的格式和要求编制的工程预算文件。</w:t>
      </w:r>
    </w:p>
    <w:p w14:paraId="6E92785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 其他合同文件：是指经合同当事人约定的与工程施工有关的具有合同约束力的文件或书面协议。合同当事人可以在专用合同条款中进行约定。</w:t>
      </w:r>
    </w:p>
    <w:p w14:paraId="7FA8CCC7">
      <w:pPr>
        <w:pageBreakBefore w:val="0"/>
        <w:widowControl/>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1.1.2 合同当事人及其他相关方</w:t>
      </w:r>
    </w:p>
    <w:p w14:paraId="6057048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1.1.2.1 合同当事人：是指发包人和（或）承包人。</w:t>
      </w:r>
    </w:p>
    <w:p w14:paraId="13E1D06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1.1.2.2 发包人：是指与承包人签订合同协议书的当事人及取得该当事人资格的合法继承人。</w:t>
      </w:r>
    </w:p>
    <w:p w14:paraId="4B70E60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1.1.2.3 承包人：是指与发包人签订合同协议书的，具有相应工程施工承包资质的当事人及取得该当事人资格的合法继承人。</w:t>
      </w:r>
    </w:p>
    <w:p w14:paraId="4CD303B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1.1.2.4 监理人：是指在专用合同条款中指明的，受发包人委托按照法律规定进行工程监督管理的法人或其他组织。</w:t>
      </w:r>
    </w:p>
    <w:p w14:paraId="35DA740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1.1.2.5 设计人：是指在专用合同条款中指明的，受发包人委托负责工程设计并具备相应工程设计资质的法人或其他组织。</w:t>
      </w:r>
    </w:p>
    <w:p w14:paraId="2B655826">
      <w:pPr>
        <w:pageBreakBefore w:val="0"/>
        <w:widowControl/>
        <w:kinsoku/>
        <w:wordWrap/>
        <w:overflowPunct/>
        <w:topLinePunct w:val="0"/>
        <w:bidi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1.1.2.6 分包人：</w:t>
      </w:r>
      <w:bookmarkStart w:id="632" w:name="#go5"/>
      <w:bookmarkEnd w:id="632"/>
      <w:r>
        <w:rPr>
          <w:rFonts w:hint="eastAsia" w:ascii="宋体" w:hAnsi="宋体" w:eastAsia="宋体" w:cs="宋体"/>
          <w:color w:val="auto"/>
          <w:kern w:val="0"/>
          <w:sz w:val="24"/>
          <w:szCs w:val="24"/>
          <w:highlight w:val="none"/>
        </w:rPr>
        <w:t>是指按照法律规定和合同约定，分包部分工程或工作，并与承包人签订分包合同的具有相应资质的法人。</w:t>
      </w:r>
    </w:p>
    <w:p w14:paraId="264EFF3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1.1.2.7 发包人代表：是指由发包人任命并派驻施工现场在发包人授权范围内行使发包人权利的人。</w:t>
      </w:r>
    </w:p>
    <w:p w14:paraId="3DCE9E2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1.1.2.8 项目经理：是指由承包人任命并派驻施工现场，在承包人授权范围内负责合同履行，且按照法律规定具有相应资格的项目负责人。</w:t>
      </w:r>
    </w:p>
    <w:p w14:paraId="03347CA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1.1.2.9 总监理工程师：是指由监理人任命并派驻施工现场进行工程监理的总负责人。</w:t>
      </w:r>
    </w:p>
    <w:p w14:paraId="3430FA7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工程和设备</w:t>
      </w:r>
    </w:p>
    <w:p w14:paraId="16601B6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 工程：是指与合同协议书中工程承包范围对应的永久工程和（或）临时工程。</w:t>
      </w:r>
    </w:p>
    <w:p w14:paraId="6327E32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1.1.3.2 永久工程：是指按合同约定建造并移交给发包人的工程，包括工程设备。</w:t>
      </w:r>
    </w:p>
    <w:p w14:paraId="6082F31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 临时工程：是指为完成合同约定的永久工程所修建的各类临时性工程，不包括施工设备。</w:t>
      </w:r>
    </w:p>
    <w:p w14:paraId="4AABD4D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1.1.3.4 单位工程：是指在合同协议书中指明的，具备独立施工条件并能形成独立使用功能的永久工程。</w:t>
      </w:r>
    </w:p>
    <w:p w14:paraId="3D70423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1.1.3.5 工程设备：是指构成永久工程的机电设备、金属结构设备、仪器及其他类似的设备和装置。</w:t>
      </w:r>
    </w:p>
    <w:p w14:paraId="290AA0F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1.1.3.6 施工设备：是指为完成合同约定的各项工作所需的设备、器具和其他物品，但不包括工程设备、临时工程和材料。</w:t>
      </w:r>
    </w:p>
    <w:p w14:paraId="765641D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1.1.3.7 施工现场：是指用于工程施工的场所，以及在专用合同条款中指明作为施工场所组成部分的其他场所，包括永久占地和临时占地。</w:t>
      </w:r>
    </w:p>
    <w:p w14:paraId="0D4843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1.1.3.8临时设施：是指为完成合同约定的各项工作所服务的临时性生产和生活设施。</w:t>
      </w:r>
    </w:p>
    <w:p w14:paraId="6D397FB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永久占地：是指专用合同条款中指明为实施工程需永久占用的土地。</w:t>
      </w:r>
    </w:p>
    <w:p w14:paraId="00F38E2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1.1.3.10 临时占地：是指专用合同条款中指明为实施工程需要临时占用的土地。</w:t>
      </w:r>
    </w:p>
    <w:p w14:paraId="75250AB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 日期和期限</w:t>
      </w:r>
    </w:p>
    <w:p w14:paraId="1020382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02A5C88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1.1.4.2 竣工日期：包括计划竣工日期和实际竣工日期。计划竣工日期是指合同协议书约定的竣工日期；实际竣工日期按照第13.2.3项〔竣工日期〕的约定确定。 </w:t>
      </w:r>
    </w:p>
    <w:p w14:paraId="77118425">
      <w:pPr>
        <w:pageBreakBefore w:val="0"/>
        <w:widowControl/>
        <w:kinsoku/>
        <w:wordWrap/>
        <w:overflowPunct/>
        <w:topLinePunct w:val="0"/>
        <w:bidi w:val="0"/>
        <w:spacing w:line="360" w:lineRule="auto"/>
        <w:ind w:firstLine="487" w:firstLineChars="20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1.1.4.3 工期：是指在合同协议书约定的承包人完成工程所需的期限，包括按照合同约定</w:t>
      </w:r>
      <w:r>
        <w:rPr>
          <w:rFonts w:hint="eastAsia" w:ascii="宋体" w:hAnsi="宋体" w:eastAsia="宋体" w:cs="宋体"/>
          <w:color w:val="auto"/>
          <w:kern w:val="0"/>
          <w:sz w:val="24"/>
          <w:szCs w:val="24"/>
          <w:highlight w:val="none"/>
          <w:lang w:eastAsia="zh-CN"/>
        </w:rPr>
        <w:t>所做的</w:t>
      </w:r>
      <w:r>
        <w:rPr>
          <w:rFonts w:hint="eastAsia" w:ascii="宋体" w:hAnsi="宋体" w:eastAsia="宋体" w:cs="宋体"/>
          <w:color w:val="auto"/>
          <w:kern w:val="0"/>
          <w:sz w:val="24"/>
          <w:szCs w:val="24"/>
          <w:highlight w:val="none"/>
        </w:rPr>
        <w:t>期限变更。</w:t>
      </w:r>
    </w:p>
    <w:p w14:paraId="40E8044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1.1.4.4 缺陷责任期：是指承包人按照合同约定承担缺陷修复义务，且发包人预留质量保证金（已缴纳履约保证金的除外）的期限，自工程实际竣工日期起计算。</w:t>
      </w:r>
    </w:p>
    <w:p w14:paraId="2A0AE8B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1.1.4.5 保修期：是指承包人按照合同约定对工程承担保修责任的期限，从工程竣工验收合格之日起计算。1.1.4.6 基准日期：招标发包的工程以投标截止日前28天的日期为基准日期，直接发包的工程以合同签订日前28天的日期为基准日期。</w:t>
      </w:r>
    </w:p>
    <w:p w14:paraId="49B41D2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1.1.4.7 天：除特别指明外，均指日历天。合同中按天计算时间的，开始当天不计入，从次日开始计算，期限最后一天的截止时间为当天24:00时。</w:t>
      </w:r>
    </w:p>
    <w:p w14:paraId="3323F7B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 合同价格和费用</w:t>
      </w:r>
    </w:p>
    <w:p w14:paraId="3DC53E3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1.1.5.1 签约合同价：是指</w:t>
      </w:r>
      <w:r>
        <w:rPr>
          <w:rFonts w:hint="eastAsia" w:ascii="宋体" w:hAnsi="宋体" w:eastAsia="宋体" w:cs="宋体"/>
          <w:color w:val="auto"/>
          <w:sz w:val="24"/>
          <w:szCs w:val="24"/>
          <w:highlight w:val="none"/>
        </w:rPr>
        <w:t>发包人和承包人在合同协议书中确定的总金额，包括安全文明施工费、暂估价及暂列金额等。</w:t>
      </w:r>
    </w:p>
    <w:p w14:paraId="4553FAF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1.1.5.2 合同价格：是指发包人用于支付承包人按照合同约定完成承包范围内全部工作的金额，包括合同履行过程中按合同约定发生的价格变化。</w:t>
      </w:r>
    </w:p>
    <w:p w14:paraId="5049D04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1.1.5.3 费用：是指为履行合同所发生的或将要发生的所有必需的开支，包括管理费和应分摊的其他费用，但不包括利润。</w:t>
      </w:r>
    </w:p>
    <w:p w14:paraId="028D7A7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1.1.5.4 暂估价：是指发包人在工程量清单或预算书中提供的用于支付必然发生但暂时不能确定价格的材料、工程设备的单价、专业工程以及服务工作的金额。</w:t>
      </w:r>
    </w:p>
    <w:p w14:paraId="2CE3BFD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4976ADC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1.1.5.6 计日工：是指合同履行过程中，承包人完成发包人提出的零星工作或需要采用计日工计价的变更工作时，按合同中约定的单价计价的一种方式。</w:t>
      </w:r>
    </w:p>
    <w:p w14:paraId="4601EB0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1.1.5.7 质量保证金</w:t>
      </w:r>
      <w:bookmarkStart w:id="633" w:name="#go2"/>
      <w:bookmarkEnd w:id="633"/>
      <w:r>
        <w:rPr>
          <w:rFonts w:hint="eastAsia" w:ascii="宋体" w:hAnsi="宋体" w:eastAsia="宋体" w:cs="宋体"/>
          <w:color w:val="auto"/>
          <w:kern w:val="0"/>
          <w:sz w:val="24"/>
          <w:szCs w:val="24"/>
          <w:highlight w:val="none"/>
        </w:rPr>
        <w:t>：是指按照第15.3款〔质量保证金〕约定承包人用于保证其在缺陷责任期内履行缺陷修补义务的担保</w:t>
      </w:r>
      <w:r>
        <w:rPr>
          <w:rFonts w:hint="eastAsia" w:ascii="宋体" w:hAnsi="宋体" w:eastAsia="宋体" w:cs="宋体"/>
          <w:color w:val="auto"/>
          <w:sz w:val="24"/>
          <w:szCs w:val="24"/>
          <w:highlight w:val="none"/>
        </w:rPr>
        <w:t>。</w:t>
      </w:r>
    </w:p>
    <w:p w14:paraId="6BC72B2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1.1.5.8 总价项目：是指在现行国家、行业以及地方的计量规则中无工程量计算规则，在已标价工程量清单或预算书中以总价或以费率形式计算的项目。</w:t>
      </w:r>
    </w:p>
    <w:p w14:paraId="7E1295E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其他</w:t>
      </w:r>
    </w:p>
    <w:p w14:paraId="7FCBB358">
      <w:pPr>
        <w:pageBreakBefore w:val="0"/>
        <w:widowControl/>
        <w:kinsoku/>
        <w:wordWrap/>
        <w:overflowPunct/>
        <w:topLinePunct w:val="0"/>
        <w:bidi w:val="0"/>
        <w:snapToGri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1.1.6.1 书面形式：是指合同文件、信函、电报、传真等可以有形地表现所载内容的形式。</w:t>
      </w:r>
    </w:p>
    <w:p w14:paraId="439A5CE6">
      <w:pPr>
        <w:pageBreakBefore w:val="0"/>
        <w:widowControl/>
        <w:kinsoku/>
        <w:wordWrap/>
        <w:overflowPunct/>
        <w:topLinePunct w:val="0"/>
        <w:bidi w:val="0"/>
        <w:snapToGrid w:val="0"/>
        <w:spacing w:before="0" w:after="0" w:line="360" w:lineRule="auto"/>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634" w:name="_Toc337558729"/>
      <w:bookmarkEnd w:id="634"/>
      <w:bookmarkStart w:id="635" w:name="_Toc296503029"/>
      <w:bookmarkEnd w:id="635"/>
      <w:bookmarkStart w:id="636" w:name="_Toc296346530"/>
      <w:bookmarkEnd w:id="636"/>
      <w:bookmarkStart w:id="637" w:name="_Toc25968"/>
      <w:bookmarkStart w:id="638" w:name="_Toc25165"/>
      <w:bookmarkStart w:id="639" w:name="_Toc18053"/>
      <w:bookmarkStart w:id="640" w:name="_Toc18515"/>
      <w:bookmarkStart w:id="641" w:name="_Toc26618"/>
      <w:bookmarkStart w:id="642" w:name="_Toc12517"/>
      <w:bookmarkStart w:id="643" w:name="_Toc32563"/>
      <w:bookmarkStart w:id="644" w:name="_Toc31237"/>
      <w:bookmarkStart w:id="645" w:name="_Toc19305"/>
      <w:bookmarkStart w:id="646" w:name="_Toc16801"/>
      <w:bookmarkStart w:id="647" w:name="_Toc13919"/>
      <w:bookmarkStart w:id="648" w:name="_Toc351203497"/>
      <w:bookmarkStart w:id="649" w:name="_Toc32059"/>
      <w:bookmarkStart w:id="650" w:name="_Toc21789"/>
      <w:r>
        <w:rPr>
          <w:rFonts w:hint="eastAsia" w:ascii="宋体" w:hAnsi="宋体" w:eastAsia="宋体" w:cs="宋体"/>
          <w:b w:val="0"/>
          <w:bCs w:val="0"/>
          <w:color w:val="auto"/>
          <w:sz w:val="24"/>
          <w:szCs w:val="24"/>
          <w:highlight w:val="none"/>
        </w:rPr>
        <w:t>1.2语言文字</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11A51A06">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合同以中国的汉语简体文字编写、解释和说明。合同当事人在专用合同条款中约定使用两种以上语言时，汉语为优先解释和说明合同的语言。</w:t>
      </w:r>
    </w:p>
    <w:p w14:paraId="60CD104F">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651" w:name="_Toc296346531"/>
      <w:bookmarkEnd w:id="651"/>
      <w:bookmarkStart w:id="652" w:name="_Toc337558730"/>
      <w:bookmarkEnd w:id="652"/>
      <w:bookmarkStart w:id="653" w:name="_Toc296503030"/>
      <w:bookmarkEnd w:id="653"/>
      <w:bookmarkStart w:id="654" w:name="_Toc20479"/>
      <w:bookmarkStart w:id="655" w:name="_Toc32033"/>
      <w:bookmarkStart w:id="656" w:name="_Toc15221"/>
      <w:bookmarkStart w:id="657" w:name="_Toc6128"/>
      <w:bookmarkStart w:id="658" w:name="_Toc14535"/>
      <w:bookmarkStart w:id="659" w:name="_Toc15993"/>
      <w:bookmarkStart w:id="660" w:name="_Toc29921"/>
      <w:bookmarkStart w:id="661" w:name="_Toc12854"/>
      <w:bookmarkStart w:id="662" w:name="_Toc29254"/>
      <w:bookmarkStart w:id="663" w:name="_Toc18944"/>
      <w:bookmarkStart w:id="664" w:name="_Toc351203498"/>
      <w:bookmarkStart w:id="665" w:name="_Toc9972"/>
      <w:bookmarkStart w:id="666" w:name="_Toc19477"/>
      <w:bookmarkStart w:id="667" w:name="_Toc7317"/>
      <w:r>
        <w:rPr>
          <w:rFonts w:hint="eastAsia" w:ascii="宋体" w:hAnsi="宋体" w:eastAsia="宋体" w:cs="宋体"/>
          <w:b w:val="0"/>
          <w:bCs w:val="0"/>
          <w:color w:val="auto"/>
          <w:sz w:val="24"/>
          <w:szCs w:val="24"/>
          <w:highlight w:val="none"/>
        </w:rPr>
        <w:t>1.3法律</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4AD4A0E0">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合同所称法律是指中华人民共和国法律、行政法规、部门规章，以及工程所在地的地方性法规、自治条例、单行条例和地方政府规章等。</w:t>
      </w:r>
    </w:p>
    <w:p w14:paraId="25DA7B8D">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合同当事人可以在专用合同条款中约定合同适用的其他规范性文件。</w:t>
      </w:r>
    </w:p>
    <w:p w14:paraId="0805C41E">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668" w:name="_Toc351203499"/>
      <w:bookmarkEnd w:id="668"/>
      <w:bookmarkStart w:id="669" w:name="_Toc18016"/>
      <w:bookmarkStart w:id="670" w:name="_Toc26964"/>
      <w:bookmarkStart w:id="671" w:name="_Toc7934"/>
      <w:bookmarkStart w:id="672" w:name="_Toc11675"/>
      <w:bookmarkStart w:id="673" w:name="_Toc20147"/>
      <w:bookmarkStart w:id="674" w:name="_Toc30300"/>
      <w:bookmarkStart w:id="675" w:name="_Toc30737"/>
      <w:bookmarkStart w:id="676" w:name="_Toc23441"/>
      <w:bookmarkStart w:id="677" w:name="_Toc8954"/>
      <w:bookmarkStart w:id="678" w:name="_Toc30089"/>
      <w:bookmarkStart w:id="679" w:name="_Toc6609"/>
      <w:bookmarkStart w:id="680" w:name="_Toc5875"/>
      <w:bookmarkStart w:id="681" w:name="_Toc1306"/>
      <w:r>
        <w:rPr>
          <w:rFonts w:hint="eastAsia" w:ascii="宋体" w:hAnsi="宋体" w:eastAsia="宋体" w:cs="宋体"/>
          <w:b w:val="0"/>
          <w:bCs w:val="0"/>
          <w:color w:val="auto"/>
          <w:sz w:val="24"/>
          <w:szCs w:val="24"/>
          <w:highlight w:val="none"/>
        </w:rPr>
        <w:t>1.4 标准和规范</w:t>
      </w:r>
      <w:bookmarkEnd w:id="669"/>
      <w:bookmarkEnd w:id="670"/>
      <w:bookmarkEnd w:id="671"/>
      <w:bookmarkEnd w:id="672"/>
      <w:bookmarkEnd w:id="673"/>
      <w:bookmarkEnd w:id="674"/>
      <w:bookmarkEnd w:id="675"/>
      <w:bookmarkEnd w:id="676"/>
      <w:bookmarkEnd w:id="677"/>
      <w:bookmarkEnd w:id="678"/>
      <w:bookmarkEnd w:id="679"/>
      <w:bookmarkEnd w:id="680"/>
      <w:bookmarkEnd w:id="681"/>
    </w:p>
    <w:p w14:paraId="4F34410B">
      <w:pPr>
        <w:pageBreakBefore w:val="0"/>
        <w:widowControl/>
        <w:kinsoku/>
        <w:wordWrap/>
        <w:overflowPunct/>
        <w:topLinePunct w:val="0"/>
        <w:autoSpaceDE w:val="0"/>
        <w:autoSpaceDN w:val="0"/>
        <w:bidi w:val="0"/>
        <w:adjustRightInd w:val="0"/>
        <w:snapToGrid w:val="0"/>
        <w:spacing w:line="360" w:lineRule="auto"/>
        <w:ind w:firstLine="64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适用于工程的国家标准、行业标准、工程所在地的地方性标准，以及相应的规范、规程等，合同当事人有特别要求的，应在专用合同条款中约定。</w:t>
      </w:r>
    </w:p>
    <w:p w14:paraId="1FE1111E">
      <w:pPr>
        <w:pageBreakBefore w:val="0"/>
        <w:widowControl/>
        <w:kinsoku/>
        <w:wordWrap/>
        <w:overflowPunct/>
        <w:topLinePunct w:val="0"/>
        <w:autoSpaceDE w:val="0"/>
        <w:autoSpaceDN w:val="0"/>
        <w:bidi w:val="0"/>
        <w:adjustRightInd w:val="0"/>
        <w:spacing w:line="360" w:lineRule="auto"/>
        <w:ind w:firstLine="64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发包人要求使用国外标准、规范的，发包人负责提供原文版本和中文译本，并在专用合同条款中约定提供标准规范的名称、份数和时间。</w:t>
      </w:r>
    </w:p>
    <w:p w14:paraId="1B393FBC">
      <w:pPr>
        <w:pageBreakBefore w:val="0"/>
        <w:widowControl/>
        <w:kinsoku/>
        <w:wordWrap/>
        <w:overflowPunct/>
        <w:topLinePunct w:val="0"/>
        <w:autoSpaceDE w:val="0"/>
        <w:autoSpaceDN w:val="0"/>
        <w:bidi w:val="0"/>
        <w:adjustRightInd w:val="0"/>
        <w:snapToGrid/>
        <w:spacing w:line="360" w:lineRule="auto"/>
        <w:ind w:firstLine="64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FE4773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682" w:name="_Toc351203500"/>
      <w:bookmarkEnd w:id="682"/>
      <w:bookmarkStart w:id="683" w:name="_Toc24109"/>
      <w:bookmarkStart w:id="684" w:name="_Toc16830"/>
      <w:bookmarkStart w:id="685" w:name="_Toc12870"/>
      <w:bookmarkStart w:id="686" w:name="_Toc29733"/>
      <w:bookmarkStart w:id="687" w:name="_Toc11804"/>
      <w:bookmarkStart w:id="688" w:name="_Toc13140"/>
      <w:bookmarkStart w:id="689" w:name="_Toc16692"/>
      <w:bookmarkStart w:id="690" w:name="_Toc12515"/>
      <w:bookmarkStart w:id="691" w:name="_Toc11230"/>
      <w:bookmarkStart w:id="692" w:name="_Toc6805"/>
      <w:bookmarkStart w:id="693" w:name="_Toc2509"/>
      <w:bookmarkStart w:id="694" w:name="_Toc20937"/>
      <w:bookmarkStart w:id="695" w:name="_Toc20213"/>
      <w:r>
        <w:rPr>
          <w:rFonts w:hint="eastAsia" w:ascii="宋体" w:hAnsi="宋体" w:eastAsia="宋体" w:cs="宋体"/>
          <w:b w:val="0"/>
          <w:bCs w:val="0"/>
          <w:color w:val="auto"/>
          <w:sz w:val="24"/>
          <w:szCs w:val="24"/>
          <w:highlight w:val="none"/>
        </w:rPr>
        <w:t>1</w:t>
      </w:r>
      <w:bookmarkStart w:id="696" w:name="_Toc296503031"/>
      <w:bookmarkEnd w:id="696"/>
      <w:bookmarkStart w:id="697" w:name="_Toc296346532"/>
      <w:bookmarkEnd w:id="697"/>
      <w:bookmarkStart w:id="698" w:name="_Toc337558731"/>
      <w:r>
        <w:rPr>
          <w:rFonts w:hint="eastAsia" w:ascii="宋体" w:hAnsi="宋体" w:eastAsia="宋体" w:cs="宋体"/>
          <w:b w:val="0"/>
          <w:bCs w:val="0"/>
          <w:color w:val="auto"/>
          <w:sz w:val="24"/>
          <w:szCs w:val="24"/>
          <w:highlight w:val="none"/>
        </w:rPr>
        <w:t>.5 合同文件的优先顺序</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8"/>
    </w:p>
    <w:p w14:paraId="535D46B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组成合同的各项文件应互相解释，互为说明。除专用合同条款另有约定外，解释合同文件的优先顺序如下：</w:t>
      </w:r>
    </w:p>
    <w:p w14:paraId="39CB1D8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（1）合同协议书；</w:t>
      </w:r>
    </w:p>
    <w:p w14:paraId="52B7C65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（如果有）；</w:t>
      </w:r>
    </w:p>
    <w:p w14:paraId="14D4F9D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（3）投标函及其附录（如果有）；</w:t>
      </w:r>
    </w:p>
    <w:p w14:paraId="4FB998F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w:t>
      </w:r>
    </w:p>
    <w:p w14:paraId="1FCACAC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（5）通用合同条款；</w:t>
      </w:r>
    </w:p>
    <w:p w14:paraId="48C5063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（6）技术标准和要求；</w:t>
      </w:r>
    </w:p>
    <w:p w14:paraId="435FFED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（7）图纸；</w:t>
      </w:r>
    </w:p>
    <w:p w14:paraId="027180D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（8）已标价工程量清单或预算书；</w:t>
      </w:r>
    </w:p>
    <w:p w14:paraId="7BFA32F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（9）其他合同文件。</w:t>
      </w:r>
    </w:p>
    <w:p w14:paraId="38E3133A">
      <w:pPr>
        <w:pageBreakBefore w:val="0"/>
        <w:widowControl/>
        <w:kinsoku/>
        <w:wordWrap/>
        <w:overflowPunct/>
        <w:topLinePunct w:val="0"/>
        <w:bidi w:val="0"/>
        <w:snapToGrid/>
        <w:spacing w:line="360" w:lineRule="auto"/>
        <w:ind w:firstLine="511" w:firstLineChars="21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w:t>
      </w:r>
    </w:p>
    <w:p w14:paraId="70231131">
      <w:pPr>
        <w:pageBreakBefore w:val="0"/>
        <w:widowControl/>
        <w:kinsoku/>
        <w:wordWrap/>
        <w:overflowPunct/>
        <w:topLinePunct w:val="0"/>
        <w:bidi w:val="0"/>
        <w:snapToGrid/>
        <w:spacing w:line="360" w:lineRule="auto"/>
        <w:ind w:firstLine="511" w:firstLineChars="21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在合同订立及履行过程中形成的与合同有关的文件均构成合同文件组成部分，并根据其性质确定优先解释顺序。</w:t>
      </w:r>
    </w:p>
    <w:p w14:paraId="7D5DC16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699" w:name="_Toc351203501"/>
      <w:bookmarkEnd w:id="699"/>
      <w:bookmarkStart w:id="700" w:name="_Toc28754"/>
      <w:bookmarkStart w:id="701" w:name="_Toc11270"/>
      <w:bookmarkStart w:id="702" w:name="_Toc21570"/>
      <w:bookmarkStart w:id="703" w:name="_Toc20385"/>
      <w:bookmarkStart w:id="704" w:name="_Toc22318"/>
      <w:bookmarkStart w:id="705" w:name="_Toc13874"/>
      <w:bookmarkStart w:id="706" w:name="_Toc29807"/>
      <w:bookmarkStart w:id="707" w:name="_Toc31557"/>
      <w:bookmarkStart w:id="708" w:name="_Toc28335"/>
      <w:bookmarkStart w:id="709" w:name="_Toc26211"/>
      <w:bookmarkStart w:id="710" w:name="_Toc24656"/>
      <w:bookmarkStart w:id="711" w:name="_Toc9716"/>
      <w:bookmarkStart w:id="712" w:name="_Toc23137"/>
      <w:r>
        <w:rPr>
          <w:rFonts w:hint="eastAsia" w:ascii="宋体" w:hAnsi="宋体" w:eastAsia="宋体" w:cs="宋体"/>
          <w:b w:val="0"/>
          <w:bCs w:val="0"/>
          <w:color w:val="auto"/>
          <w:sz w:val="24"/>
          <w:szCs w:val="24"/>
          <w:highlight w:val="none"/>
        </w:rPr>
        <w:t>1</w:t>
      </w:r>
      <w:bookmarkStart w:id="713" w:name="_Toc296503032"/>
      <w:bookmarkEnd w:id="713"/>
      <w:bookmarkStart w:id="714" w:name="_Toc296346533"/>
      <w:bookmarkEnd w:id="714"/>
      <w:bookmarkStart w:id="715" w:name="_Toc337558732"/>
      <w:r>
        <w:rPr>
          <w:rFonts w:hint="eastAsia" w:ascii="宋体" w:hAnsi="宋体" w:eastAsia="宋体" w:cs="宋体"/>
          <w:b w:val="0"/>
          <w:bCs w:val="0"/>
          <w:color w:val="auto"/>
          <w:sz w:val="24"/>
          <w:szCs w:val="24"/>
          <w:highlight w:val="none"/>
        </w:rPr>
        <w:t>.6图纸和承包人文件</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5"/>
    </w:p>
    <w:p w14:paraId="7971DEC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图纸的提供和交底</w:t>
      </w:r>
    </w:p>
    <w:p w14:paraId="6F9C09D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120F80AC">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因发包人未按合同约定提供图纸导致承包人费用增加和（或）工期延误的，按照第7.5.1项〔因发包人原因导致工期延误〕约定办理。</w:t>
      </w:r>
    </w:p>
    <w:p w14:paraId="3C33E85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 图纸的错误</w:t>
      </w:r>
    </w:p>
    <w:p w14:paraId="55C7D04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D908F0E">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1.6.3 图纸的修改和补充</w:t>
      </w:r>
    </w:p>
    <w:p w14:paraId="7EF2023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2AFF579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1.6.4 承包人文件</w:t>
      </w:r>
    </w:p>
    <w:p w14:paraId="7E19D02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承包人应按照专用合同条款的约定提供应当由其编制的与工程施工有关的文件，并按照专用合同条款约定的期限、数量和形式提交监理人，并由监理人报送发包人。</w:t>
      </w:r>
    </w:p>
    <w:p w14:paraId="6687D1B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1B75F1C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1.6.5 图纸和承包人文件的保管</w:t>
      </w:r>
    </w:p>
    <w:p w14:paraId="5AD9111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除专用合同条款另有约定外，承包人应在施工现场另外保存一套完整的图纸和承包人文件，供发包人、监理人及有关人员进行工程检查时使用。</w:t>
      </w:r>
    </w:p>
    <w:p w14:paraId="7DCDD54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16" w:name="_Toc351203502"/>
      <w:bookmarkEnd w:id="716"/>
      <w:bookmarkStart w:id="717" w:name="_Toc13313"/>
      <w:bookmarkStart w:id="718" w:name="_Toc30133"/>
      <w:bookmarkStart w:id="719" w:name="_Toc30547"/>
      <w:bookmarkStart w:id="720" w:name="_Toc29152"/>
      <w:bookmarkStart w:id="721" w:name="_Toc29169"/>
      <w:bookmarkStart w:id="722" w:name="_Toc23546"/>
      <w:bookmarkStart w:id="723" w:name="_Toc25706"/>
      <w:bookmarkStart w:id="724" w:name="_Toc2110"/>
      <w:bookmarkStart w:id="725" w:name="_Toc7656"/>
      <w:bookmarkStart w:id="726" w:name="_Toc22588"/>
      <w:bookmarkStart w:id="727" w:name="_Toc11243"/>
      <w:bookmarkStart w:id="728" w:name="_Toc31207"/>
      <w:bookmarkStart w:id="729" w:name="_Toc364"/>
      <w:r>
        <w:rPr>
          <w:rFonts w:hint="eastAsia" w:ascii="宋体" w:hAnsi="宋体" w:eastAsia="宋体" w:cs="宋体"/>
          <w:b w:val="0"/>
          <w:bCs w:val="0"/>
          <w:color w:val="auto"/>
          <w:sz w:val="24"/>
          <w:szCs w:val="24"/>
          <w:highlight w:val="none"/>
        </w:rPr>
        <w:t>1</w:t>
      </w:r>
      <w:bookmarkStart w:id="730" w:name="_Toc296503033"/>
      <w:bookmarkEnd w:id="730"/>
      <w:bookmarkStart w:id="731" w:name="_Toc296346534"/>
      <w:bookmarkEnd w:id="731"/>
      <w:bookmarkStart w:id="732" w:name="_Toc337558733"/>
      <w:r>
        <w:rPr>
          <w:rFonts w:hint="eastAsia" w:ascii="宋体" w:hAnsi="宋体" w:eastAsia="宋体" w:cs="宋体"/>
          <w:b w:val="0"/>
          <w:bCs w:val="0"/>
          <w:color w:val="auto"/>
          <w:sz w:val="24"/>
          <w:szCs w:val="24"/>
          <w:highlight w:val="none"/>
        </w:rPr>
        <w:t>.7联络</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2"/>
    </w:p>
    <w:p w14:paraId="294F901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 与合同有关的通知、批准、证明、证书、指示、指令、要求、请求、同意、意见、确定和决定等，均应采用书面形式，并应在合同约定的期限内送达接收人和送达地点。</w:t>
      </w:r>
    </w:p>
    <w:p w14:paraId="6B3886C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发包人和承包人应在专用合同条款中约定各自的送达接收人和送达地点。任何一方合同当事人指定的接收人或送达地点发生变动的，应提前3天以书面形式通知对方。</w:t>
      </w:r>
    </w:p>
    <w:p w14:paraId="11CCA64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 发包人和承包人应当及时签收另一方送达至送达地点和指定接收人的来往信函。拒不签收的，由此增加的费用和（或）延误的工期由拒绝接收一方承担。</w:t>
      </w:r>
    </w:p>
    <w:p w14:paraId="30C9B03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33" w:name="_Toc351203503"/>
      <w:bookmarkEnd w:id="733"/>
      <w:bookmarkStart w:id="734" w:name="_Toc31388"/>
      <w:bookmarkStart w:id="735" w:name="_Toc10086"/>
      <w:bookmarkStart w:id="736" w:name="_Toc692"/>
      <w:bookmarkStart w:id="737" w:name="_Toc21534"/>
      <w:bookmarkStart w:id="738" w:name="_Toc15899"/>
      <w:bookmarkStart w:id="739" w:name="_Toc27428"/>
      <w:bookmarkStart w:id="740" w:name="_Toc20673"/>
      <w:bookmarkStart w:id="741" w:name="_Toc22728"/>
      <w:bookmarkStart w:id="742" w:name="_Toc22037"/>
      <w:bookmarkStart w:id="743" w:name="_Toc29740"/>
      <w:bookmarkStart w:id="744" w:name="_Toc30513"/>
      <w:bookmarkStart w:id="745" w:name="_Toc23095"/>
      <w:bookmarkStart w:id="746" w:name="_Toc7553"/>
      <w:r>
        <w:rPr>
          <w:rFonts w:hint="eastAsia" w:ascii="宋体" w:hAnsi="宋体" w:eastAsia="宋体" w:cs="宋体"/>
          <w:b w:val="0"/>
          <w:bCs w:val="0"/>
          <w:color w:val="auto"/>
          <w:sz w:val="24"/>
          <w:szCs w:val="24"/>
          <w:highlight w:val="none"/>
        </w:rPr>
        <w:t>1</w:t>
      </w:r>
      <w:bookmarkStart w:id="747" w:name="_Toc296503035"/>
      <w:bookmarkEnd w:id="747"/>
      <w:bookmarkStart w:id="748" w:name="_Toc296346536"/>
      <w:bookmarkEnd w:id="748"/>
      <w:bookmarkStart w:id="749" w:name="_Toc337558734"/>
      <w:r>
        <w:rPr>
          <w:rFonts w:hint="eastAsia" w:ascii="宋体" w:hAnsi="宋体" w:eastAsia="宋体" w:cs="宋体"/>
          <w:b w:val="0"/>
          <w:bCs w:val="0"/>
          <w:color w:val="auto"/>
          <w:sz w:val="24"/>
          <w:szCs w:val="24"/>
          <w:highlight w:val="none"/>
        </w:rPr>
        <w:t>.8严禁贿赂</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9"/>
    </w:p>
    <w:p w14:paraId="5185C68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合同当事人不得以贿赂或变相贿赂的方式，谋取非法利益或损害对方权益。因一方合同当事人的贿赂造成对方损失的，应赔偿损失，并承担相应的法律责任。</w:t>
      </w:r>
    </w:p>
    <w:p w14:paraId="1B43CFC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471D5FF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50" w:name="_Toc351203504"/>
      <w:bookmarkEnd w:id="750"/>
      <w:bookmarkStart w:id="751" w:name="_Toc21278"/>
      <w:bookmarkStart w:id="752" w:name="_Toc31459"/>
      <w:bookmarkStart w:id="753" w:name="_Toc29040"/>
      <w:bookmarkStart w:id="754" w:name="_Toc8221"/>
      <w:bookmarkStart w:id="755" w:name="_Toc9973"/>
      <w:bookmarkStart w:id="756" w:name="_Toc21802"/>
      <w:bookmarkStart w:id="757" w:name="_Toc26965"/>
      <w:bookmarkStart w:id="758" w:name="_Toc15117"/>
      <w:bookmarkStart w:id="759" w:name="_Toc25688"/>
      <w:bookmarkStart w:id="760" w:name="_Toc9498"/>
      <w:bookmarkStart w:id="761" w:name="_Toc159"/>
      <w:bookmarkStart w:id="762" w:name="_Toc16805"/>
      <w:bookmarkStart w:id="763" w:name="_Toc13592"/>
      <w:r>
        <w:rPr>
          <w:rFonts w:hint="eastAsia" w:ascii="宋体" w:hAnsi="宋体" w:eastAsia="宋体" w:cs="宋体"/>
          <w:b w:val="0"/>
          <w:bCs w:val="0"/>
          <w:color w:val="auto"/>
          <w:sz w:val="24"/>
          <w:szCs w:val="24"/>
          <w:highlight w:val="none"/>
        </w:rPr>
        <w:t>1</w:t>
      </w:r>
      <w:bookmarkStart w:id="764" w:name="_Toc296346537"/>
      <w:bookmarkEnd w:id="764"/>
      <w:bookmarkStart w:id="765" w:name="_Toc296503036"/>
      <w:bookmarkEnd w:id="765"/>
      <w:bookmarkStart w:id="766" w:name="_Toc337558735"/>
      <w:r>
        <w:rPr>
          <w:rFonts w:hint="eastAsia" w:ascii="宋体" w:hAnsi="宋体" w:eastAsia="宋体" w:cs="宋体"/>
          <w:b w:val="0"/>
          <w:bCs w:val="0"/>
          <w:color w:val="auto"/>
          <w:sz w:val="24"/>
          <w:szCs w:val="24"/>
          <w:highlight w:val="none"/>
        </w:rPr>
        <w:t>.9化石、文物</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6"/>
    </w:p>
    <w:p w14:paraId="5EEAAE0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632888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发包人、监理人和承包人应按有关政府行政管理部门要求采取妥善的保护措施，由此增加的费用和（或）延误的工期由发包人承担。</w:t>
      </w:r>
    </w:p>
    <w:p w14:paraId="10BC259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承包人发现文物后不及时报告或隐瞒不报，致使文物丢失或损坏的，应赔偿损失，并承担相应的法律责任。</w:t>
      </w:r>
    </w:p>
    <w:p w14:paraId="32D0ECE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67" w:name="_Toc351203505"/>
      <w:bookmarkEnd w:id="767"/>
      <w:bookmarkStart w:id="768" w:name="_Toc11584"/>
      <w:bookmarkStart w:id="769" w:name="_Toc18178"/>
      <w:bookmarkStart w:id="770" w:name="_Toc28200"/>
      <w:bookmarkStart w:id="771" w:name="_Toc16576"/>
      <w:bookmarkStart w:id="772" w:name="_Toc471"/>
      <w:bookmarkStart w:id="773" w:name="_Toc22108"/>
      <w:bookmarkStart w:id="774" w:name="_Toc1336"/>
      <w:bookmarkStart w:id="775" w:name="_Toc21593"/>
      <w:bookmarkStart w:id="776" w:name="_Toc20929"/>
      <w:bookmarkStart w:id="777" w:name="_Toc10750"/>
      <w:bookmarkStart w:id="778" w:name="_Toc8923"/>
      <w:bookmarkStart w:id="779" w:name="_Toc630"/>
      <w:bookmarkStart w:id="780" w:name="_Toc27084"/>
      <w:r>
        <w:rPr>
          <w:rFonts w:hint="eastAsia" w:ascii="宋体" w:hAnsi="宋体" w:eastAsia="宋体" w:cs="宋体"/>
          <w:b w:val="0"/>
          <w:bCs w:val="0"/>
          <w:color w:val="auto"/>
          <w:sz w:val="24"/>
          <w:szCs w:val="24"/>
          <w:highlight w:val="none"/>
        </w:rPr>
        <w:t>1</w:t>
      </w:r>
      <w:bookmarkStart w:id="781" w:name="_Toc337558736"/>
      <w:r>
        <w:rPr>
          <w:rFonts w:hint="eastAsia" w:ascii="宋体" w:hAnsi="宋体" w:eastAsia="宋体" w:cs="宋体"/>
          <w:b w:val="0"/>
          <w:bCs w:val="0"/>
          <w:color w:val="auto"/>
          <w:sz w:val="24"/>
          <w:szCs w:val="24"/>
          <w:highlight w:val="none"/>
        </w:rPr>
        <w:t>.10交通运输</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5FA2D52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1.10.1 出入现场的权利</w:t>
      </w:r>
    </w:p>
    <w:p w14:paraId="3D2F1AD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44A6588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3C54004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1.10.2 场外交通</w:t>
      </w:r>
    </w:p>
    <w:p w14:paraId="5D122B7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264C79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1.10.3场内交通</w:t>
      </w:r>
    </w:p>
    <w:p w14:paraId="6B106E9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03CA330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D18A8E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场外交通和场内交通的边界由合同当事人在专用合同条款中约定。</w:t>
      </w:r>
    </w:p>
    <w:p w14:paraId="0CDEADF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1.10.4 超大件和超重件的运输</w:t>
      </w:r>
    </w:p>
    <w:p w14:paraId="6FBEB6E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CEE749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1.10.5 道路和桥梁的损坏责任</w:t>
      </w:r>
    </w:p>
    <w:p w14:paraId="7C3ED59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因承包人运输造成施工场地内外公共道路和桥梁损坏的，由承包人承担修复损坏的全部费用和可能引起的赔偿。</w:t>
      </w:r>
    </w:p>
    <w:p w14:paraId="7C4F217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1.10.6 水路和航空运输</w:t>
      </w:r>
    </w:p>
    <w:p w14:paraId="440448B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本款前述各项的内容适用于水路运输和航空运输，其中“道路”一词的涵义包括河道、航线、船闸、机场、码头、堤防以及水路或航空运输中其他相似结构物；“车辆”一词的涵义包括船舶和飞机等。</w:t>
      </w:r>
    </w:p>
    <w:p w14:paraId="1F31BF8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82" w:name="_Toc351203506"/>
      <w:bookmarkEnd w:id="782"/>
      <w:bookmarkStart w:id="783" w:name="_Toc11717"/>
      <w:bookmarkStart w:id="784" w:name="_Toc32604"/>
      <w:bookmarkStart w:id="785" w:name="_Toc5544"/>
      <w:bookmarkStart w:id="786" w:name="_Toc379"/>
      <w:bookmarkStart w:id="787" w:name="_Toc20634"/>
      <w:bookmarkStart w:id="788" w:name="_Toc13156"/>
      <w:bookmarkStart w:id="789" w:name="_Toc12046"/>
      <w:bookmarkStart w:id="790" w:name="_Toc15783"/>
      <w:bookmarkStart w:id="791" w:name="_Toc27454"/>
      <w:bookmarkStart w:id="792" w:name="_Toc8033"/>
      <w:bookmarkStart w:id="793" w:name="_Toc21811"/>
      <w:bookmarkStart w:id="794" w:name="_Toc29311"/>
      <w:bookmarkStart w:id="795" w:name="_Toc26548"/>
      <w:r>
        <w:rPr>
          <w:rFonts w:hint="eastAsia" w:ascii="宋体" w:hAnsi="宋体" w:eastAsia="宋体" w:cs="宋体"/>
          <w:b w:val="0"/>
          <w:bCs w:val="0"/>
          <w:color w:val="auto"/>
          <w:sz w:val="24"/>
          <w:szCs w:val="24"/>
          <w:highlight w:val="none"/>
        </w:rPr>
        <w:t>1</w:t>
      </w:r>
      <w:bookmarkStart w:id="796" w:name="_Toc296346538"/>
      <w:bookmarkEnd w:id="796"/>
      <w:bookmarkStart w:id="797" w:name="_Toc337558737"/>
      <w:bookmarkEnd w:id="797"/>
      <w:bookmarkStart w:id="798" w:name="_Toc296503037"/>
      <w:r>
        <w:rPr>
          <w:rFonts w:hint="eastAsia" w:ascii="宋体" w:hAnsi="宋体" w:eastAsia="宋体" w:cs="宋体"/>
          <w:b w:val="0"/>
          <w:bCs w:val="0"/>
          <w:color w:val="auto"/>
          <w:sz w:val="24"/>
          <w:szCs w:val="24"/>
          <w:highlight w:val="none"/>
        </w:rPr>
        <w:t>.11知识产权</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8"/>
      <w:r>
        <w:rPr>
          <w:rFonts w:hint="eastAsia" w:ascii="宋体" w:hAnsi="宋体" w:eastAsia="宋体" w:cs="宋体"/>
          <w:b w:val="0"/>
          <w:bCs w:val="0"/>
          <w:color w:val="auto"/>
          <w:sz w:val="24"/>
          <w:szCs w:val="24"/>
          <w:highlight w:val="none"/>
        </w:rPr>
        <w:t xml:space="preserve"> </w:t>
      </w:r>
    </w:p>
    <w:p w14:paraId="7C828DF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02ED1AC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B3F0CA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55D4CBF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1.11.4 除专用合同条款另有约定外，承包人在合同签订前和签订时已确定采用的专利、专有技术、技术秘密的使用费已包含在签约合同价中。</w:t>
      </w:r>
    </w:p>
    <w:p w14:paraId="15D3B62A">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799" w:name="_Toc351203507"/>
      <w:bookmarkEnd w:id="799"/>
      <w:bookmarkStart w:id="800" w:name="_Toc29242"/>
      <w:bookmarkStart w:id="801" w:name="_Toc15919"/>
      <w:bookmarkStart w:id="802" w:name="_Toc6048"/>
      <w:bookmarkStart w:id="803" w:name="_Toc32046"/>
      <w:bookmarkStart w:id="804" w:name="_Toc30333"/>
      <w:bookmarkStart w:id="805" w:name="_Toc6796"/>
      <w:bookmarkStart w:id="806" w:name="_Toc15362"/>
      <w:bookmarkStart w:id="807" w:name="_Toc696"/>
      <w:bookmarkStart w:id="808" w:name="_Toc26015"/>
      <w:bookmarkStart w:id="809" w:name="_Toc20130"/>
      <w:bookmarkStart w:id="810" w:name="_Toc32460"/>
      <w:bookmarkStart w:id="811" w:name="_Toc28712"/>
      <w:bookmarkStart w:id="812" w:name="_Toc29269"/>
      <w:r>
        <w:rPr>
          <w:rFonts w:hint="eastAsia" w:ascii="宋体" w:hAnsi="宋体" w:eastAsia="宋体" w:cs="宋体"/>
          <w:b w:val="0"/>
          <w:bCs w:val="0"/>
          <w:color w:val="auto"/>
          <w:sz w:val="24"/>
          <w:szCs w:val="24"/>
          <w:highlight w:val="none"/>
        </w:rPr>
        <w:t>1</w:t>
      </w:r>
      <w:bookmarkStart w:id="813" w:name="_Toc337558738"/>
      <w:r>
        <w:rPr>
          <w:rFonts w:hint="eastAsia" w:ascii="宋体" w:hAnsi="宋体" w:eastAsia="宋体" w:cs="宋体"/>
          <w:b w:val="0"/>
          <w:bCs w:val="0"/>
          <w:color w:val="auto"/>
          <w:sz w:val="24"/>
          <w:szCs w:val="24"/>
          <w:highlight w:val="none"/>
        </w:rPr>
        <w:t>.12保密</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5211804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除法律规定或合同另有约定外，未经发包人同意，承包人不得将发包人提供的图纸、文件以及声明需要保密的资料信息等商业秘密泄露给第三方。</w:t>
      </w:r>
    </w:p>
    <w:p w14:paraId="3F8A549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除法律规定或合同另有约定外，未经承包人同意，发包人不得将承包人提供的技术秘密及声明需要保密的资料信息等商业秘密泄露给第三方。</w:t>
      </w:r>
    </w:p>
    <w:p w14:paraId="17659E1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814" w:name="_Toc351203508"/>
      <w:bookmarkEnd w:id="814"/>
      <w:bookmarkStart w:id="815" w:name="_Toc23944"/>
      <w:bookmarkStart w:id="816" w:name="_Toc14478"/>
      <w:bookmarkStart w:id="817" w:name="_Toc18995"/>
      <w:bookmarkStart w:id="818" w:name="_Toc29413"/>
      <w:bookmarkStart w:id="819" w:name="_Toc16733"/>
      <w:bookmarkStart w:id="820" w:name="_Toc31944"/>
      <w:bookmarkStart w:id="821" w:name="_Toc29517"/>
      <w:bookmarkStart w:id="822" w:name="_Toc1870"/>
      <w:bookmarkStart w:id="823" w:name="_Toc10271"/>
      <w:bookmarkStart w:id="824" w:name="_Toc15961"/>
      <w:bookmarkStart w:id="825" w:name="_Toc26865"/>
      <w:bookmarkStart w:id="826" w:name="_Toc31497"/>
      <w:bookmarkStart w:id="827" w:name="_Toc4587"/>
      <w:r>
        <w:rPr>
          <w:rFonts w:hint="eastAsia" w:ascii="宋体" w:hAnsi="宋体" w:eastAsia="宋体" w:cs="宋体"/>
          <w:b w:val="0"/>
          <w:bCs w:val="0"/>
          <w:color w:val="auto"/>
          <w:sz w:val="24"/>
          <w:szCs w:val="24"/>
          <w:highlight w:val="none"/>
        </w:rPr>
        <w:t>1.13工程量清单错误的修正</w:t>
      </w:r>
      <w:bookmarkEnd w:id="815"/>
      <w:bookmarkEnd w:id="816"/>
      <w:bookmarkEnd w:id="817"/>
      <w:bookmarkEnd w:id="818"/>
      <w:bookmarkEnd w:id="819"/>
      <w:bookmarkEnd w:id="820"/>
      <w:bookmarkEnd w:id="821"/>
      <w:bookmarkEnd w:id="822"/>
      <w:bookmarkEnd w:id="823"/>
      <w:bookmarkEnd w:id="824"/>
      <w:bookmarkEnd w:id="825"/>
      <w:bookmarkEnd w:id="826"/>
      <w:bookmarkEnd w:id="827"/>
    </w:p>
    <w:p w14:paraId="1B8032D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除专用合同条款另有约定外，发包人提供的工程量清单，应被认为是准确的和完整的。出现下列情形之一时，发包人应予以修正，并相应调整合同价格：</w:t>
      </w:r>
    </w:p>
    <w:p w14:paraId="6C9A30A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（1）工程量清单存在缺项、漏项的；</w:t>
      </w:r>
    </w:p>
    <w:p w14:paraId="664B226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（2）工程量清单偏差超出专用合同条款约定的工程量偏差范围的；</w:t>
      </w:r>
    </w:p>
    <w:p w14:paraId="25A7009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（3）未按照国家现行计量规范强制性规定计量的。</w:t>
      </w:r>
    </w:p>
    <w:p w14:paraId="74AEC02F">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828" w:name="_Toc351203509"/>
      <w:bookmarkEnd w:id="828"/>
      <w:bookmarkStart w:id="829" w:name="_Toc28230"/>
      <w:bookmarkStart w:id="830" w:name="_Toc30655"/>
      <w:bookmarkStart w:id="831" w:name="_Toc12453"/>
      <w:bookmarkStart w:id="832" w:name="_Toc22749"/>
      <w:bookmarkStart w:id="833" w:name="_Toc4102"/>
      <w:bookmarkStart w:id="834" w:name="_Toc14086"/>
      <w:bookmarkStart w:id="835" w:name="_Toc10587"/>
      <w:bookmarkStart w:id="836" w:name="_Toc19074"/>
      <w:bookmarkStart w:id="837" w:name="_Toc8605"/>
      <w:bookmarkStart w:id="838" w:name="_Toc14902"/>
      <w:bookmarkStart w:id="839" w:name="_Toc524"/>
      <w:bookmarkStart w:id="840" w:name="_Toc13227"/>
      <w:bookmarkStart w:id="841" w:name="_Toc9389"/>
      <w:bookmarkStart w:id="842" w:name="_Toc3432"/>
      <w:bookmarkStart w:id="843" w:name="_Toc16096"/>
      <w:r>
        <w:rPr>
          <w:rFonts w:hint="eastAsia" w:ascii="宋体" w:hAnsi="宋体" w:eastAsia="宋体" w:cs="宋体"/>
          <w:b w:val="0"/>
          <w:bCs w:val="0"/>
          <w:color w:val="auto"/>
          <w:sz w:val="24"/>
          <w:szCs w:val="24"/>
          <w:highlight w:val="none"/>
        </w:rPr>
        <w:t>2</w:t>
      </w:r>
      <w:bookmarkStart w:id="844" w:name="_Toc296503038"/>
      <w:bookmarkEnd w:id="844"/>
      <w:bookmarkStart w:id="845" w:name="_Toc296346539"/>
      <w:bookmarkEnd w:id="845"/>
      <w:bookmarkStart w:id="846" w:name="_Toc337558739"/>
      <w:bookmarkEnd w:id="846"/>
      <w:r>
        <w:rPr>
          <w:rFonts w:hint="eastAsia" w:ascii="宋体" w:hAnsi="宋体" w:eastAsia="宋体" w:cs="宋体"/>
          <w:b w:val="0"/>
          <w:bCs w:val="0"/>
          <w:color w:val="auto"/>
          <w:sz w:val="24"/>
          <w:szCs w:val="24"/>
          <w:highlight w:val="none"/>
        </w:rPr>
        <w:t>. 发包人</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71CF01E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847" w:name="_Toc351203510"/>
      <w:bookmarkEnd w:id="847"/>
      <w:bookmarkStart w:id="848" w:name="_Toc12383"/>
      <w:bookmarkStart w:id="849" w:name="_Toc13457"/>
      <w:bookmarkStart w:id="850" w:name="_Toc29795"/>
      <w:bookmarkStart w:id="851" w:name="_Toc7754"/>
      <w:bookmarkStart w:id="852" w:name="_Toc25210"/>
      <w:bookmarkStart w:id="853" w:name="_Toc7957"/>
      <w:bookmarkStart w:id="854" w:name="_Toc638"/>
      <w:bookmarkStart w:id="855" w:name="_Toc8512"/>
      <w:bookmarkStart w:id="856" w:name="_Toc28209"/>
      <w:bookmarkStart w:id="857" w:name="_Toc21511"/>
      <w:bookmarkStart w:id="858" w:name="_Toc28889"/>
      <w:bookmarkStart w:id="859" w:name="_Toc27585"/>
      <w:bookmarkStart w:id="860" w:name="_Toc29494"/>
      <w:r>
        <w:rPr>
          <w:rFonts w:hint="eastAsia" w:ascii="宋体" w:hAnsi="宋体" w:eastAsia="宋体" w:cs="宋体"/>
          <w:b w:val="0"/>
          <w:bCs w:val="0"/>
          <w:color w:val="auto"/>
          <w:sz w:val="24"/>
          <w:szCs w:val="24"/>
          <w:highlight w:val="none"/>
        </w:rPr>
        <w:t>2</w:t>
      </w:r>
      <w:bookmarkStart w:id="861" w:name="_Toc296503039"/>
      <w:bookmarkEnd w:id="861"/>
      <w:bookmarkStart w:id="862" w:name="_Toc296346540"/>
      <w:bookmarkEnd w:id="862"/>
      <w:bookmarkStart w:id="863" w:name="_Toc337558740"/>
      <w:r>
        <w:rPr>
          <w:rFonts w:hint="eastAsia" w:ascii="宋体" w:hAnsi="宋体" w:eastAsia="宋体" w:cs="宋体"/>
          <w:b w:val="0"/>
          <w:bCs w:val="0"/>
          <w:color w:val="auto"/>
          <w:sz w:val="24"/>
          <w:szCs w:val="24"/>
          <w:highlight w:val="none"/>
        </w:rPr>
        <w:t>.1 许可或批准</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3"/>
    </w:p>
    <w:p w14:paraId="338345D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EBACEB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因发包人原因未能及时办理完毕前述许可、批准或备案，由发包人承担由此增加的费用和（或）延误的工期，并支付承包人合理的利润。</w:t>
      </w:r>
    </w:p>
    <w:p w14:paraId="1DA92EF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864" w:name="_Toc351203511"/>
      <w:bookmarkEnd w:id="864"/>
      <w:bookmarkStart w:id="865" w:name="_Toc15573"/>
      <w:bookmarkStart w:id="866" w:name="_Toc9355"/>
      <w:bookmarkStart w:id="867" w:name="_Toc17823"/>
      <w:bookmarkStart w:id="868" w:name="_Toc4047"/>
      <w:bookmarkStart w:id="869" w:name="_Toc16943"/>
      <w:bookmarkStart w:id="870" w:name="_Toc29063"/>
      <w:bookmarkStart w:id="871" w:name="_Toc1062"/>
      <w:bookmarkStart w:id="872" w:name="_Toc19118"/>
      <w:bookmarkStart w:id="873" w:name="_Toc29363"/>
      <w:bookmarkStart w:id="874" w:name="_Toc9180"/>
      <w:bookmarkStart w:id="875" w:name="_Toc11095"/>
      <w:bookmarkStart w:id="876" w:name="_Toc3812"/>
      <w:bookmarkStart w:id="877" w:name="_Toc18541"/>
      <w:r>
        <w:rPr>
          <w:rFonts w:hint="eastAsia" w:ascii="宋体" w:hAnsi="宋体" w:eastAsia="宋体" w:cs="宋体"/>
          <w:b w:val="0"/>
          <w:bCs w:val="0"/>
          <w:color w:val="auto"/>
          <w:sz w:val="24"/>
          <w:szCs w:val="24"/>
          <w:highlight w:val="none"/>
        </w:rPr>
        <w:t>2.2 发包人代表</w:t>
      </w:r>
      <w:bookmarkEnd w:id="865"/>
      <w:bookmarkEnd w:id="866"/>
      <w:bookmarkEnd w:id="867"/>
      <w:bookmarkEnd w:id="868"/>
      <w:bookmarkEnd w:id="869"/>
      <w:bookmarkEnd w:id="870"/>
      <w:bookmarkEnd w:id="871"/>
      <w:bookmarkEnd w:id="872"/>
      <w:bookmarkEnd w:id="873"/>
      <w:bookmarkEnd w:id="874"/>
      <w:bookmarkEnd w:id="875"/>
      <w:bookmarkEnd w:id="876"/>
      <w:bookmarkEnd w:id="877"/>
    </w:p>
    <w:p w14:paraId="45D3B8C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0BB6C38B">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发包人代表不能按照合同约定履行其职责及义务，并导致合同无法继续正常履行的，承包人可以要求发包人撤换发包人代表。</w:t>
      </w:r>
    </w:p>
    <w:p w14:paraId="5385C3BB">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不属于法定必须监理的工程，监理人的职权可以由发包人代表或发包人指定的其他人员行使。</w:t>
      </w:r>
    </w:p>
    <w:p w14:paraId="23A980E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878" w:name="_Toc351203512"/>
      <w:bookmarkEnd w:id="878"/>
      <w:bookmarkStart w:id="879" w:name="_Toc8585"/>
      <w:bookmarkStart w:id="880" w:name="_Toc17203"/>
      <w:bookmarkStart w:id="881" w:name="_Toc14021"/>
      <w:bookmarkStart w:id="882" w:name="_Toc12297"/>
      <w:bookmarkStart w:id="883" w:name="_Toc12519"/>
      <w:bookmarkStart w:id="884" w:name="_Toc11635"/>
      <w:bookmarkStart w:id="885" w:name="_Toc22573"/>
      <w:bookmarkStart w:id="886" w:name="_Toc25405"/>
      <w:bookmarkStart w:id="887" w:name="_Toc14213"/>
      <w:bookmarkStart w:id="888" w:name="_Toc20775"/>
      <w:bookmarkStart w:id="889" w:name="_Toc23290"/>
      <w:bookmarkStart w:id="890" w:name="_Toc3250"/>
      <w:bookmarkStart w:id="891" w:name="_Toc30869"/>
      <w:r>
        <w:rPr>
          <w:rFonts w:hint="eastAsia" w:ascii="宋体" w:hAnsi="宋体" w:eastAsia="宋体" w:cs="宋体"/>
          <w:b w:val="0"/>
          <w:bCs w:val="0"/>
          <w:color w:val="auto"/>
          <w:sz w:val="24"/>
          <w:szCs w:val="24"/>
          <w:highlight w:val="none"/>
        </w:rPr>
        <w:t>2.3 发包人人员</w:t>
      </w:r>
      <w:bookmarkEnd w:id="879"/>
      <w:bookmarkEnd w:id="880"/>
      <w:bookmarkEnd w:id="881"/>
      <w:bookmarkEnd w:id="882"/>
      <w:bookmarkEnd w:id="883"/>
      <w:bookmarkEnd w:id="884"/>
      <w:bookmarkEnd w:id="885"/>
      <w:bookmarkEnd w:id="886"/>
      <w:bookmarkEnd w:id="887"/>
      <w:bookmarkEnd w:id="888"/>
      <w:bookmarkEnd w:id="889"/>
      <w:bookmarkEnd w:id="890"/>
      <w:bookmarkEnd w:id="891"/>
    </w:p>
    <w:p w14:paraId="62C35CA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发包人应要求在施工现场的发包人人员遵守法律及有关安全、质量、环境保护、文明施工等规定，并保障承包人免于承受因发包人人员未遵守上述要求给承包人造成的损失和责任。</w:t>
      </w:r>
    </w:p>
    <w:p w14:paraId="208E7D1A">
      <w:pPr>
        <w:pageBreakBefore w:val="0"/>
        <w:widowControl/>
        <w:kinsoku/>
        <w:wordWrap/>
        <w:overflowPunct/>
        <w:topLinePunct w:val="0"/>
        <w:bidi w:val="0"/>
        <w:snapToGrid/>
        <w:spacing w:line="360" w:lineRule="auto"/>
        <w:ind w:firstLine="64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发包人人员包括发包人代表及其他由发包人派驻施工现场的人员。</w:t>
      </w:r>
    </w:p>
    <w:p w14:paraId="482EAC2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892" w:name="_Toc351203513"/>
      <w:bookmarkEnd w:id="892"/>
      <w:bookmarkStart w:id="893" w:name="_Toc9490"/>
      <w:bookmarkStart w:id="894" w:name="_Toc8175"/>
      <w:bookmarkStart w:id="895" w:name="_Toc5128"/>
      <w:bookmarkStart w:id="896" w:name="_Toc5921"/>
      <w:bookmarkStart w:id="897" w:name="_Toc15575"/>
      <w:bookmarkStart w:id="898" w:name="_Toc1119"/>
      <w:bookmarkStart w:id="899" w:name="_Toc17740"/>
      <w:bookmarkStart w:id="900" w:name="_Toc5350"/>
      <w:bookmarkStart w:id="901" w:name="_Toc30534"/>
      <w:bookmarkStart w:id="902" w:name="_Toc3408"/>
      <w:bookmarkStart w:id="903" w:name="_Toc4860"/>
      <w:bookmarkStart w:id="904" w:name="_Toc1881"/>
      <w:bookmarkStart w:id="905" w:name="_Toc4130"/>
      <w:r>
        <w:rPr>
          <w:rFonts w:hint="eastAsia" w:ascii="宋体" w:hAnsi="宋体" w:eastAsia="宋体" w:cs="宋体"/>
          <w:b w:val="0"/>
          <w:bCs w:val="0"/>
          <w:color w:val="auto"/>
          <w:sz w:val="24"/>
          <w:szCs w:val="24"/>
          <w:highlight w:val="none"/>
        </w:rPr>
        <w:t>2</w:t>
      </w:r>
      <w:bookmarkStart w:id="906" w:name="_Toc337558741"/>
      <w:bookmarkEnd w:id="906"/>
      <w:bookmarkStart w:id="907" w:name="_Toc296503040"/>
      <w:bookmarkEnd w:id="907"/>
      <w:bookmarkStart w:id="908" w:name="_Toc296346541"/>
      <w:r>
        <w:rPr>
          <w:rFonts w:hint="eastAsia" w:ascii="宋体" w:hAnsi="宋体" w:eastAsia="宋体" w:cs="宋体"/>
          <w:b w:val="0"/>
          <w:bCs w:val="0"/>
          <w:color w:val="auto"/>
          <w:sz w:val="24"/>
          <w:szCs w:val="24"/>
          <w:highlight w:val="none"/>
        </w:rPr>
        <w:t>.4 施工现场、施工条件和基础资料的提供</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8"/>
      <w:r>
        <w:rPr>
          <w:rFonts w:hint="eastAsia" w:ascii="宋体" w:hAnsi="宋体" w:eastAsia="宋体" w:cs="宋体"/>
          <w:b w:val="0"/>
          <w:bCs w:val="0"/>
          <w:color w:val="auto"/>
          <w:sz w:val="24"/>
          <w:szCs w:val="24"/>
          <w:highlight w:val="none"/>
        </w:rPr>
        <w:t xml:space="preserve">  </w:t>
      </w:r>
    </w:p>
    <w:p w14:paraId="67EB0C1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提供施工现场</w:t>
      </w:r>
    </w:p>
    <w:p w14:paraId="46B5859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除专用合同条款另有约定外，发包人应最迟于开工日期7天前向承包人移交施工现场。</w:t>
      </w:r>
    </w:p>
    <w:p w14:paraId="3339474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提供施工条件</w:t>
      </w:r>
    </w:p>
    <w:p w14:paraId="166D615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除专用合同条款另有约定外，发包人应负责提供施工所需要的条件，包括：</w:t>
      </w:r>
    </w:p>
    <w:p w14:paraId="38E80C7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（1）将施工用水、电力、通讯线路等施工所必需的条件接至施工现场内；</w:t>
      </w:r>
    </w:p>
    <w:p w14:paraId="6BB4C82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（2）保证向承包人提供正常施工所需要的进入施工现场的交通条件；</w:t>
      </w:r>
    </w:p>
    <w:p w14:paraId="194524F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（3）协调处理施工现场周围地下管线和邻近建筑物、构筑物、古树名木的保护工作，并承担相关费用；</w:t>
      </w:r>
    </w:p>
    <w:p w14:paraId="429E662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（4）按照专用合同条款约定应提供的其他设施和条件。</w:t>
      </w:r>
    </w:p>
    <w:p w14:paraId="0639926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2.4.3 提供基础资料</w:t>
      </w:r>
    </w:p>
    <w:p w14:paraId="487A655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EFF290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按照法律规定确需在开工后方能提供的基础资料，发包人应尽其努力及时地在相应工程施工前的合理期限内提供，合理期限应以不影响承包人的正常施工为限。</w:t>
      </w:r>
    </w:p>
    <w:p w14:paraId="1FEEE72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2.4.4 逾期提供的责任</w:t>
      </w:r>
    </w:p>
    <w:p w14:paraId="6783F88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因发包人原因未能按合同约定及时向承包人提供施工现场、施工条件、基础资料的，由发包人承担由此增加的费用和（或）延误的工期。</w:t>
      </w:r>
    </w:p>
    <w:p w14:paraId="210F22E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909" w:name="_Toc351203514"/>
      <w:bookmarkEnd w:id="909"/>
      <w:bookmarkStart w:id="910" w:name="_Toc9330"/>
      <w:bookmarkStart w:id="911" w:name="_Toc28651"/>
      <w:bookmarkStart w:id="912" w:name="_Toc7781"/>
      <w:bookmarkStart w:id="913" w:name="_Toc30929"/>
      <w:bookmarkStart w:id="914" w:name="_Toc21023"/>
      <w:bookmarkStart w:id="915" w:name="_Toc8276"/>
      <w:bookmarkStart w:id="916" w:name="_Toc13568"/>
      <w:bookmarkStart w:id="917" w:name="_Toc4931"/>
      <w:bookmarkStart w:id="918" w:name="_Toc4978"/>
      <w:bookmarkStart w:id="919" w:name="_Toc27935"/>
      <w:bookmarkStart w:id="920" w:name="_Toc24630"/>
      <w:bookmarkStart w:id="921" w:name="_Toc13489"/>
      <w:bookmarkStart w:id="922" w:name="_Toc15531"/>
      <w:r>
        <w:rPr>
          <w:rFonts w:hint="eastAsia" w:ascii="宋体" w:hAnsi="宋体" w:eastAsia="宋体" w:cs="宋体"/>
          <w:b w:val="0"/>
          <w:bCs w:val="0"/>
          <w:color w:val="auto"/>
          <w:sz w:val="24"/>
          <w:szCs w:val="24"/>
          <w:highlight w:val="none"/>
        </w:rPr>
        <w:t>2</w:t>
      </w:r>
      <w:bookmarkStart w:id="923" w:name="_Toc296503042"/>
      <w:bookmarkEnd w:id="923"/>
      <w:bookmarkStart w:id="924" w:name="_Toc296346543"/>
      <w:bookmarkEnd w:id="924"/>
      <w:bookmarkStart w:id="925" w:name="_Toc337558745"/>
      <w:r>
        <w:rPr>
          <w:rFonts w:hint="eastAsia" w:ascii="宋体" w:hAnsi="宋体" w:eastAsia="宋体" w:cs="宋体"/>
          <w:b w:val="0"/>
          <w:bCs w:val="0"/>
          <w:color w:val="auto"/>
          <w:sz w:val="24"/>
          <w:szCs w:val="24"/>
          <w:highlight w:val="none"/>
        </w:rPr>
        <w:t>.5 资</w:t>
      </w:r>
      <w:bookmarkEnd w:id="925"/>
      <w:r>
        <w:rPr>
          <w:rFonts w:hint="eastAsia" w:ascii="宋体" w:hAnsi="宋体" w:eastAsia="宋体" w:cs="宋体"/>
          <w:b w:val="0"/>
          <w:bCs w:val="0"/>
          <w:color w:val="auto"/>
          <w:sz w:val="24"/>
          <w:szCs w:val="24"/>
          <w:highlight w:val="none"/>
        </w:rPr>
        <w:t>金来源证明及支付担保</w:t>
      </w:r>
      <w:bookmarkEnd w:id="910"/>
      <w:bookmarkEnd w:id="911"/>
      <w:bookmarkEnd w:id="912"/>
      <w:bookmarkEnd w:id="913"/>
      <w:bookmarkEnd w:id="914"/>
      <w:bookmarkEnd w:id="915"/>
      <w:bookmarkEnd w:id="916"/>
      <w:bookmarkEnd w:id="917"/>
      <w:bookmarkEnd w:id="918"/>
      <w:bookmarkEnd w:id="919"/>
      <w:bookmarkEnd w:id="920"/>
      <w:bookmarkEnd w:id="921"/>
      <w:bookmarkEnd w:id="922"/>
    </w:p>
    <w:p w14:paraId="1452309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除专用合同条款另有约定外，发包人应在收到承包人要求提供资金来源证明的书面通知后28天内，向承包人提供能够按照合同约定支付合同价款的相应资金来源证明。</w:t>
      </w:r>
    </w:p>
    <w:p w14:paraId="121F1C63">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4DBB154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926" w:name="_Toc351203515"/>
      <w:bookmarkEnd w:id="926"/>
      <w:bookmarkStart w:id="927" w:name="_Toc31025"/>
      <w:bookmarkStart w:id="928" w:name="_Toc12872"/>
      <w:bookmarkStart w:id="929" w:name="_Toc1391"/>
      <w:bookmarkStart w:id="930" w:name="_Toc29847"/>
      <w:bookmarkStart w:id="931" w:name="_Toc5410"/>
      <w:bookmarkStart w:id="932" w:name="_Toc18634"/>
      <w:bookmarkStart w:id="933" w:name="_Toc19851"/>
      <w:bookmarkStart w:id="934" w:name="_Toc20310"/>
      <w:bookmarkStart w:id="935" w:name="_Toc21488"/>
      <w:bookmarkStart w:id="936" w:name="_Toc18015"/>
      <w:bookmarkStart w:id="937" w:name="_Toc17561"/>
      <w:bookmarkStart w:id="938" w:name="_Toc20472"/>
      <w:bookmarkStart w:id="939" w:name="_Toc3916"/>
      <w:r>
        <w:rPr>
          <w:rFonts w:hint="eastAsia" w:ascii="宋体" w:hAnsi="宋体" w:eastAsia="宋体" w:cs="宋体"/>
          <w:b w:val="0"/>
          <w:bCs w:val="0"/>
          <w:color w:val="auto"/>
          <w:sz w:val="24"/>
          <w:szCs w:val="24"/>
          <w:highlight w:val="none"/>
        </w:rPr>
        <w:t>2.6 支付合同价款</w:t>
      </w:r>
      <w:bookmarkEnd w:id="927"/>
      <w:bookmarkEnd w:id="928"/>
      <w:bookmarkEnd w:id="929"/>
      <w:bookmarkEnd w:id="930"/>
      <w:bookmarkEnd w:id="931"/>
      <w:bookmarkEnd w:id="932"/>
      <w:bookmarkEnd w:id="933"/>
      <w:bookmarkEnd w:id="934"/>
      <w:bookmarkEnd w:id="935"/>
      <w:bookmarkEnd w:id="936"/>
      <w:bookmarkEnd w:id="937"/>
      <w:bookmarkEnd w:id="938"/>
      <w:bookmarkEnd w:id="939"/>
    </w:p>
    <w:p w14:paraId="40DF515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发包人应按合同约定向承包人及时支付合同价款。</w:t>
      </w:r>
    </w:p>
    <w:p w14:paraId="2B4FDB2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940" w:name="_Toc351203516"/>
      <w:bookmarkEnd w:id="940"/>
      <w:bookmarkStart w:id="941" w:name="_Toc29272"/>
      <w:bookmarkStart w:id="942" w:name="_Toc10659"/>
      <w:bookmarkStart w:id="943" w:name="_Toc2599"/>
      <w:bookmarkStart w:id="944" w:name="_Toc571"/>
      <w:bookmarkStart w:id="945" w:name="_Toc21579"/>
      <w:bookmarkStart w:id="946" w:name="_Toc267"/>
      <w:bookmarkStart w:id="947" w:name="_Toc6089"/>
      <w:bookmarkStart w:id="948" w:name="_Toc25580"/>
      <w:bookmarkStart w:id="949" w:name="_Toc13970"/>
      <w:bookmarkStart w:id="950" w:name="_Toc14741"/>
      <w:bookmarkStart w:id="951" w:name="_Toc14148"/>
      <w:bookmarkStart w:id="952" w:name="_Toc1106"/>
      <w:bookmarkStart w:id="953" w:name="_Toc20059"/>
      <w:r>
        <w:rPr>
          <w:rFonts w:hint="eastAsia" w:ascii="宋体" w:hAnsi="宋体" w:eastAsia="宋体" w:cs="宋体"/>
          <w:b w:val="0"/>
          <w:bCs w:val="0"/>
          <w:color w:val="auto"/>
          <w:sz w:val="24"/>
          <w:szCs w:val="24"/>
          <w:highlight w:val="none"/>
        </w:rPr>
        <w:t>2.7 组织竣工验收</w:t>
      </w:r>
      <w:bookmarkEnd w:id="941"/>
      <w:bookmarkEnd w:id="942"/>
      <w:bookmarkEnd w:id="943"/>
      <w:bookmarkEnd w:id="944"/>
      <w:bookmarkEnd w:id="945"/>
      <w:bookmarkEnd w:id="946"/>
      <w:bookmarkEnd w:id="947"/>
      <w:bookmarkEnd w:id="948"/>
      <w:bookmarkEnd w:id="949"/>
      <w:bookmarkEnd w:id="950"/>
      <w:bookmarkEnd w:id="951"/>
      <w:bookmarkEnd w:id="952"/>
      <w:bookmarkEnd w:id="953"/>
    </w:p>
    <w:p w14:paraId="7000D6C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发包人应按合同约定及时组织竣工验收。</w:t>
      </w:r>
    </w:p>
    <w:p w14:paraId="3624845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954" w:name="_Toc351203517"/>
      <w:bookmarkEnd w:id="954"/>
      <w:bookmarkStart w:id="955" w:name="_Toc32717"/>
      <w:bookmarkStart w:id="956" w:name="_Toc12666"/>
      <w:bookmarkStart w:id="957" w:name="_Toc26193"/>
      <w:bookmarkStart w:id="958" w:name="_Toc3314"/>
      <w:bookmarkStart w:id="959" w:name="_Toc761"/>
      <w:bookmarkStart w:id="960" w:name="_Toc29791"/>
      <w:bookmarkStart w:id="961" w:name="_Toc19274"/>
      <w:bookmarkStart w:id="962" w:name="_Toc13952"/>
      <w:bookmarkStart w:id="963" w:name="_Toc13699"/>
      <w:bookmarkStart w:id="964" w:name="_Toc3772"/>
      <w:bookmarkStart w:id="965" w:name="_Toc24291"/>
      <w:bookmarkStart w:id="966" w:name="_Toc27750"/>
      <w:bookmarkStart w:id="967" w:name="_Toc627"/>
      <w:r>
        <w:rPr>
          <w:rFonts w:hint="eastAsia" w:ascii="宋体" w:hAnsi="宋体" w:eastAsia="宋体" w:cs="宋体"/>
          <w:b w:val="0"/>
          <w:bCs w:val="0"/>
          <w:color w:val="auto"/>
          <w:sz w:val="24"/>
          <w:szCs w:val="24"/>
          <w:highlight w:val="none"/>
        </w:rPr>
        <w:t>2.8 现场统一管理协议</w:t>
      </w:r>
      <w:bookmarkEnd w:id="955"/>
      <w:bookmarkEnd w:id="956"/>
      <w:bookmarkEnd w:id="957"/>
      <w:bookmarkEnd w:id="958"/>
      <w:bookmarkEnd w:id="959"/>
      <w:bookmarkEnd w:id="960"/>
      <w:bookmarkEnd w:id="961"/>
      <w:bookmarkEnd w:id="962"/>
      <w:bookmarkEnd w:id="963"/>
      <w:bookmarkEnd w:id="964"/>
      <w:bookmarkEnd w:id="965"/>
      <w:bookmarkEnd w:id="966"/>
      <w:bookmarkEnd w:id="967"/>
    </w:p>
    <w:p w14:paraId="5607A49E">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发包人应与承包人、由发包人直接发包的专业工程的承包人签订施工现场统一管理协议，明确各方的权利义务。施工现场统一管理协议作为专用合同条款的附件。</w:t>
      </w:r>
    </w:p>
    <w:p w14:paraId="67CA29A0">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968" w:name="_Toc351203518"/>
      <w:bookmarkEnd w:id="968"/>
      <w:bookmarkStart w:id="969" w:name="_Toc25624"/>
      <w:bookmarkStart w:id="970" w:name="_Toc27218"/>
      <w:bookmarkStart w:id="971" w:name="_Toc25762"/>
      <w:bookmarkStart w:id="972" w:name="_Toc5395"/>
      <w:bookmarkStart w:id="973" w:name="_Toc28075"/>
      <w:bookmarkStart w:id="974" w:name="_Toc3037"/>
      <w:bookmarkStart w:id="975" w:name="_Toc11684"/>
      <w:bookmarkStart w:id="976" w:name="_Toc12767"/>
      <w:bookmarkStart w:id="977" w:name="_Toc20644"/>
      <w:bookmarkStart w:id="978" w:name="_Toc8003"/>
      <w:bookmarkStart w:id="979" w:name="_Toc16566"/>
      <w:bookmarkStart w:id="980" w:name="_Toc15258"/>
      <w:bookmarkStart w:id="981" w:name="_Toc8643"/>
      <w:bookmarkStart w:id="982" w:name="_Toc28546"/>
      <w:bookmarkStart w:id="983" w:name="_Toc22585"/>
      <w:r>
        <w:rPr>
          <w:rFonts w:hint="eastAsia" w:ascii="宋体" w:hAnsi="宋体" w:eastAsia="宋体" w:cs="宋体"/>
          <w:b w:val="0"/>
          <w:bCs w:val="0"/>
          <w:color w:val="auto"/>
          <w:sz w:val="24"/>
          <w:szCs w:val="24"/>
          <w:highlight w:val="none"/>
        </w:rPr>
        <w:t>3</w:t>
      </w:r>
      <w:bookmarkStart w:id="984" w:name="_Toc296503045"/>
      <w:bookmarkEnd w:id="984"/>
      <w:bookmarkStart w:id="985" w:name="_Toc296346546"/>
      <w:bookmarkEnd w:id="985"/>
      <w:bookmarkStart w:id="986" w:name="_Toc337558746"/>
      <w:r>
        <w:rPr>
          <w:rFonts w:hint="eastAsia" w:ascii="宋体" w:hAnsi="宋体" w:eastAsia="宋体" w:cs="宋体"/>
          <w:b w:val="0"/>
          <w:bCs w:val="0"/>
          <w:color w:val="auto"/>
          <w:sz w:val="24"/>
          <w:szCs w:val="24"/>
          <w:highlight w:val="none"/>
        </w:rPr>
        <w:t>. 承包人</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6"/>
    </w:p>
    <w:p w14:paraId="6CECB62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987" w:name="_Toc351203519"/>
      <w:bookmarkEnd w:id="987"/>
      <w:bookmarkStart w:id="988" w:name="_Toc13010"/>
      <w:bookmarkStart w:id="989" w:name="_Toc28294"/>
      <w:bookmarkStart w:id="990" w:name="_Toc6355"/>
      <w:bookmarkStart w:id="991" w:name="_Toc28561"/>
      <w:bookmarkStart w:id="992" w:name="_Toc13374"/>
      <w:bookmarkStart w:id="993" w:name="_Toc6291"/>
      <w:bookmarkStart w:id="994" w:name="_Toc1705"/>
      <w:bookmarkStart w:id="995" w:name="_Toc14686"/>
      <w:bookmarkStart w:id="996" w:name="_Toc18895"/>
      <w:bookmarkStart w:id="997" w:name="_Toc24158"/>
      <w:bookmarkStart w:id="998" w:name="_Toc11209"/>
      <w:bookmarkStart w:id="999" w:name="_Toc5086"/>
      <w:bookmarkStart w:id="1000" w:name="_Toc6822"/>
      <w:r>
        <w:rPr>
          <w:rFonts w:hint="eastAsia" w:ascii="宋体" w:hAnsi="宋体" w:eastAsia="宋体" w:cs="宋体"/>
          <w:b w:val="0"/>
          <w:bCs w:val="0"/>
          <w:color w:val="auto"/>
          <w:sz w:val="24"/>
          <w:szCs w:val="24"/>
          <w:highlight w:val="none"/>
        </w:rPr>
        <w:t>3</w:t>
      </w:r>
      <w:bookmarkStart w:id="1001" w:name="_Toc296346547"/>
      <w:bookmarkEnd w:id="1001"/>
      <w:bookmarkStart w:id="1002" w:name="_Toc296503046"/>
      <w:bookmarkEnd w:id="1002"/>
      <w:bookmarkStart w:id="1003" w:name="_Toc337558747"/>
      <w:r>
        <w:rPr>
          <w:rFonts w:hint="eastAsia" w:ascii="宋体" w:hAnsi="宋体" w:eastAsia="宋体" w:cs="宋体"/>
          <w:b w:val="0"/>
          <w:bCs w:val="0"/>
          <w:color w:val="auto"/>
          <w:sz w:val="24"/>
          <w:szCs w:val="24"/>
          <w:highlight w:val="none"/>
        </w:rPr>
        <w:t>.1 承包人的一般义务</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3"/>
    </w:p>
    <w:p w14:paraId="4886F91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承包人在履行合同过程中应遵守法律和工程建设标准规范，并履行以下义务：</w:t>
      </w:r>
    </w:p>
    <w:p w14:paraId="760B0B05">
      <w:pPr>
        <w:pageBreakBefore w:val="0"/>
        <w:widowControl/>
        <w:numPr>
          <w:ilvl w:val="0"/>
          <w:numId w:val="5"/>
        </w:numPr>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办理法律规定应由承包人办理的许可和批准，并将办理结果书面报送发包人留存；</w:t>
      </w:r>
    </w:p>
    <w:p w14:paraId="5362FB5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（2）按法律规定和合同约定完成工程，并在保修期内承担保修义务；</w:t>
      </w:r>
    </w:p>
    <w:p w14:paraId="1E05751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（3）按法律规定和合同约定采取施工安全和环境保护措施，办理工伤保险，确保工程及人员、材料、设备和设施的安全；</w:t>
      </w:r>
    </w:p>
    <w:p w14:paraId="6A08C45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（4）按合同约定的工作内容和施工进度要求，编制施工组织设计和施工措施计划，并对所有施工作业和施工方法的完备性和安全可靠性负责；</w:t>
      </w:r>
    </w:p>
    <w:p w14:paraId="6948EBF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3B767C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（6）按照第6.3款〔环境保护〕约定负责施工场地及其周边环境与生态的保护工作；</w:t>
      </w:r>
    </w:p>
    <w:p w14:paraId="33A6D45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（7）按第6.1款〔安全文明施工〕约定采取施工安全措施，确保工程及其人员、材料、设备和设施的安全，防止因工程施工造成的人身伤害和财产损失；</w:t>
      </w:r>
    </w:p>
    <w:p w14:paraId="04199C5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（8）将发包人按合同约定支付的各项价款专用于合同工程，且应及时支付其雇用人员工资，并及时向分包人支付合同价款；</w:t>
      </w:r>
    </w:p>
    <w:p w14:paraId="2CDF1E4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（9）按照法律规定和合同约定编制竣工资料，完成竣工资料立卷及归档，并按专用合同条款约定的竣工资料的套数、内容、时间等要求移交发包人；</w:t>
      </w:r>
    </w:p>
    <w:p w14:paraId="5493881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（10）应履行的其他义务。</w:t>
      </w:r>
    </w:p>
    <w:p w14:paraId="2B35E12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04" w:name="_Toc351203520"/>
      <w:bookmarkEnd w:id="1004"/>
      <w:bookmarkStart w:id="1005" w:name="_Toc30307"/>
      <w:bookmarkStart w:id="1006" w:name="_Toc30668"/>
      <w:bookmarkStart w:id="1007" w:name="_Toc9540"/>
      <w:bookmarkStart w:id="1008" w:name="_Toc10574"/>
      <w:bookmarkStart w:id="1009" w:name="_Toc28268"/>
      <w:bookmarkStart w:id="1010" w:name="_Toc9309"/>
      <w:bookmarkStart w:id="1011" w:name="_Toc10221"/>
      <w:bookmarkStart w:id="1012" w:name="_Toc4394"/>
      <w:bookmarkStart w:id="1013" w:name="_Toc29078"/>
      <w:bookmarkStart w:id="1014" w:name="_Toc23196"/>
      <w:bookmarkStart w:id="1015" w:name="_Toc24650"/>
      <w:bookmarkStart w:id="1016" w:name="_Toc15928"/>
      <w:bookmarkStart w:id="1017" w:name="_Toc32266"/>
      <w:r>
        <w:rPr>
          <w:rFonts w:hint="eastAsia" w:ascii="宋体" w:hAnsi="宋体" w:eastAsia="宋体" w:cs="宋体"/>
          <w:b w:val="0"/>
          <w:bCs w:val="0"/>
          <w:color w:val="auto"/>
          <w:sz w:val="24"/>
          <w:szCs w:val="24"/>
          <w:highlight w:val="none"/>
        </w:rPr>
        <w:t>3</w:t>
      </w:r>
      <w:bookmarkStart w:id="1018" w:name="_Toc296503047"/>
      <w:bookmarkEnd w:id="1018"/>
      <w:bookmarkStart w:id="1019" w:name="_Toc296346548"/>
      <w:bookmarkEnd w:id="1019"/>
      <w:bookmarkStart w:id="1020" w:name="_Toc337558748"/>
      <w:r>
        <w:rPr>
          <w:rFonts w:hint="eastAsia" w:ascii="宋体" w:hAnsi="宋体" w:eastAsia="宋体" w:cs="宋体"/>
          <w:b w:val="0"/>
          <w:bCs w:val="0"/>
          <w:color w:val="auto"/>
          <w:sz w:val="24"/>
          <w:szCs w:val="24"/>
          <w:highlight w:val="none"/>
        </w:rPr>
        <w:t xml:space="preserve">.2 </w:t>
      </w:r>
      <w:bookmarkEnd w:id="1020"/>
      <w:r>
        <w:rPr>
          <w:rFonts w:hint="eastAsia" w:ascii="宋体" w:hAnsi="宋体" w:eastAsia="宋体" w:cs="宋体"/>
          <w:b w:val="0"/>
          <w:bCs w:val="0"/>
          <w:color w:val="auto"/>
          <w:sz w:val="24"/>
          <w:szCs w:val="24"/>
          <w:highlight w:val="none"/>
        </w:rPr>
        <w:t>项目经理</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14:paraId="6231439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524CF8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68B3103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承包人违反上述约定的，应按照专用合同条款的约定，承担违约责任。</w:t>
      </w:r>
    </w:p>
    <w:p w14:paraId="2FC23FD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C36A07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604A47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5998990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388C4D0F">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21" w:name="_Toc351203521"/>
      <w:bookmarkEnd w:id="1021"/>
      <w:bookmarkStart w:id="1022" w:name="_Toc20319"/>
      <w:bookmarkStart w:id="1023" w:name="_Toc31741"/>
      <w:bookmarkStart w:id="1024" w:name="_Toc3144"/>
      <w:bookmarkStart w:id="1025" w:name="_Toc1477"/>
      <w:bookmarkStart w:id="1026" w:name="_Toc2953"/>
      <w:bookmarkStart w:id="1027" w:name="_Toc15154"/>
      <w:bookmarkStart w:id="1028" w:name="_Toc23513"/>
      <w:bookmarkStart w:id="1029" w:name="_Toc27525"/>
      <w:bookmarkStart w:id="1030" w:name="_Toc2814"/>
      <w:bookmarkStart w:id="1031" w:name="_Toc29335"/>
      <w:bookmarkStart w:id="1032" w:name="_Toc23147"/>
      <w:bookmarkStart w:id="1033" w:name="_Toc23859"/>
      <w:bookmarkStart w:id="1034" w:name="_Toc26978"/>
      <w:r>
        <w:rPr>
          <w:rFonts w:hint="eastAsia" w:ascii="宋体" w:hAnsi="宋体" w:eastAsia="宋体" w:cs="宋体"/>
          <w:b w:val="0"/>
          <w:bCs w:val="0"/>
          <w:color w:val="auto"/>
          <w:sz w:val="24"/>
          <w:szCs w:val="24"/>
          <w:highlight w:val="none"/>
        </w:rPr>
        <w:t>3</w:t>
      </w:r>
      <w:bookmarkStart w:id="1035" w:name="_Toc296346549"/>
      <w:bookmarkEnd w:id="1035"/>
      <w:bookmarkStart w:id="1036" w:name="_Toc296503048"/>
      <w:bookmarkEnd w:id="1036"/>
      <w:bookmarkStart w:id="1037" w:name="_Toc337558749"/>
      <w:r>
        <w:rPr>
          <w:rFonts w:hint="eastAsia" w:ascii="宋体" w:hAnsi="宋体" w:eastAsia="宋体" w:cs="宋体"/>
          <w:b w:val="0"/>
          <w:bCs w:val="0"/>
          <w:color w:val="auto"/>
          <w:sz w:val="24"/>
          <w:szCs w:val="24"/>
          <w:highlight w:val="none"/>
        </w:rPr>
        <w:t xml:space="preserve">.3 </w:t>
      </w:r>
      <w:bookmarkEnd w:id="1037"/>
      <w:r>
        <w:rPr>
          <w:rFonts w:hint="eastAsia" w:ascii="宋体" w:hAnsi="宋体" w:eastAsia="宋体" w:cs="宋体"/>
          <w:b w:val="0"/>
          <w:bCs w:val="0"/>
          <w:color w:val="auto"/>
          <w:sz w:val="24"/>
          <w:szCs w:val="24"/>
          <w:highlight w:val="none"/>
        </w:rPr>
        <w:t>承包人人员</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p>
    <w:p w14:paraId="40E27E2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3905814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7EDB1BA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特殊工种作业人员均应持有相应的资格证明，监理人可以随时检查。</w:t>
      </w:r>
    </w:p>
    <w:p w14:paraId="58FB35D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1468B83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3C343BE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3.3.5 承包人擅自更换主要施工管理人员，或前述人员未经监理人或发包人同意擅自离开施工现场的，应按照专用合同条款约定承担违约责任。</w:t>
      </w:r>
    </w:p>
    <w:p w14:paraId="39430EB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38" w:name="_Toc351203522"/>
      <w:bookmarkEnd w:id="1038"/>
      <w:bookmarkStart w:id="1039" w:name="_Toc20722"/>
      <w:bookmarkStart w:id="1040" w:name="_Toc14280"/>
      <w:bookmarkStart w:id="1041" w:name="_Toc18130"/>
      <w:bookmarkStart w:id="1042" w:name="_Toc3013"/>
      <w:bookmarkStart w:id="1043" w:name="_Toc23090"/>
      <w:bookmarkStart w:id="1044" w:name="_Toc1489"/>
      <w:bookmarkStart w:id="1045" w:name="_Toc16630"/>
      <w:bookmarkStart w:id="1046" w:name="_Toc3910"/>
      <w:bookmarkStart w:id="1047" w:name="_Toc2799"/>
      <w:bookmarkStart w:id="1048" w:name="_Toc21577"/>
      <w:bookmarkStart w:id="1049" w:name="_Toc25686"/>
      <w:bookmarkStart w:id="1050" w:name="_Toc708"/>
      <w:bookmarkStart w:id="1051" w:name="_Toc19397"/>
      <w:r>
        <w:rPr>
          <w:rFonts w:hint="eastAsia" w:ascii="宋体" w:hAnsi="宋体" w:eastAsia="宋体" w:cs="宋体"/>
          <w:b w:val="0"/>
          <w:bCs w:val="0"/>
          <w:color w:val="auto"/>
          <w:sz w:val="24"/>
          <w:szCs w:val="24"/>
          <w:highlight w:val="none"/>
        </w:rPr>
        <w:t>3</w:t>
      </w:r>
      <w:bookmarkStart w:id="1052" w:name="_Toc296503050"/>
      <w:bookmarkEnd w:id="1052"/>
      <w:bookmarkStart w:id="1053" w:name="_Toc296346551"/>
      <w:bookmarkEnd w:id="1053"/>
      <w:bookmarkStart w:id="1054" w:name="_Toc337558750"/>
      <w:r>
        <w:rPr>
          <w:rFonts w:hint="eastAsia" w:ascii="宋体" w:hAnsi="宋体" w:eastAsia="宋体" w:cs="宋体"/>
          <w:b w:val="0"/>
          <w:bCs w:val="0"/>
          <w:color w:val="auto"/>
          <w:sz w:val="24"/>
          <w:szCs w:val="24"/>
          <w:highlight w:val="none"/>
        </w:rPr>
        <w:t>.4 承包人现场查勘</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4"/>
    </w:p>
    <w:p w14:paraId="4D865F3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承包人应对基于发包人按照第2.4.3项〔提供基础资料〕提交的基础资料所做出的解释和推断负责，但因基础资料存在错误、遗漏导致承包人解释或推断失实的，由发包人承担责任。</w:t>
      </w:r>
    </w:p>
    <w:p w14:paraId="336BD04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w:t>
      </w:r>
      <w:r>
        <w:rPr>
          <w:rFonts w:hint="eastAsia" w:ascii="宋体" w:hAnsi="宋体" w:eastAsia="宋体" w:cs="宋体"/>
          <w:color w:val="auto"/>
          <w:kern w:val="0"/>
          <w:sz w:val="24"/>
          <w:szCs w:val="24"/>
          <w:highlight w:val="none"/>
          <w:lang w:eastAsia="zh-CN"/>
        </w:rPr>
        <w:t>生的</w:t>
      </w:r>
      <w:r>
        <w:rPr>
          <w:rFonts w:hint="eastAsia" w:ascii="宋体" w:hAnsi="宋体" w:eastAsia="宋体" w:cs="宋体"/>
          <w:color w:val="auto"/>
          <w:kern w:val="0"/>
          <w:sz w:val="24"/>
          <w:szCs w:val="24"/>
          <w:highlight w:val="none"/>
        </w:rPr>
        <w:t>后果的，承包人承担由此增加的费用和（或）延误的工期。</w:t>
      </w:r>
    </w:p>
    <w:p w14:paraId="2CED4A03">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55" w:name="_Toc351203523"/>
      <w:bookmarkEnd w:id="1055"/>
      <w:bookmarkStart w:id="1056" w:name="_Toc17587"/>
      <w:bookmarkStart w:id="1057" w:name="_Toc5244"/>
      <w:bookmarkStart w:id="1058" w:name="_Toc26208"/>
      <w:bookmarkStart w:id="1059" w:name="_Toc6916"/>
      <w:bookmarkStart w:id="1060" w:name="_Toc24935"/>
      <w:bookmarkStart w:id="1061" w:name="_Toc18697"/>
      <w:bookmarkStart w:id="1062" w:name="_Toc11073"/>
      <w:bookmarkStart w:id="1063" w:name="_Toc24070"/>
      <w:bookmarkStart w:id="1064" w:name="_Toc14070"/>
      <w:bookmarkStart w:id="1065" w:name="_Toc4235"/>
      <w:bookmarkStart w:id="1066" w:name="_Toc13992"/>
      <w:bookmarkStart w:id="1067" w:name="_Toc27549"/>
      <w:bookmarkStart w:id="1068" w:name="_Toc10678"/>
      <w:r>
        <w:rPr>
          <w:rFonts w:hint="eastAsia" w:ascii="宋体" w:hAnsi="宋体" w:eastAsia="宋体" w:cs="宋体"/>
          <w:b w:val="0"/>
          <w:bCs w:val="0"/>
          <w:color w:val="auto"/>
          <w:sz w:val="24"/>
          <w:szCs w:val="24"/>
          <w:highlight w:val="none"/>
        </w:rPr>
        <w:t>3</w:t>
      </w:r>
      <w:bookmarkStart w:id="1069" w:name="_Toc296503051"/>
      <w:bookmarkEnd w:id="1069"/>
      <w:bookmarkStart w:id="1070" w:name="_Toc296346552"/>
      <w:bookmarkEnd w:id="1070"/>
      <w:bookmarkStart w:id="1071" w:name="_Toc337558751"/>
      <w:r>
        <w:rPr>
          <w:rFonts w:hint="eastAsia" w:ascii="宋体" w:hAnsi="宋体" w:eastAsia="宋体" w:cs="宋体"/>
          <w:b w:val="0"/>
          <w:bCs w:val="0"/>
          <w:color w:val="auto"/>
          <w:sz w:val="24"/>
          <w:szCs w:val="24"/>
          <w:highlight w:val="none"/>
        </w:rPr>
        <w:t>.5 分包</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71"/>
    </w:p>
    <w:p w14:paraId="77454F84">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3.5.1 分包的一般约定</w:t>
      </w:r>
    </w:p>
    <w:p w14:paraId="7F67E04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D891DE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承包人不得以劳务分包的名义转包或违法分包工程。</w:t>
      </w:r>
    </w:p>
    <w:p w14:paraId="5D2E775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 分包的确定</w:t>
      </w:r>
    </w:p>
    <w:p w14:paraId="5256C0C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5F34256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3.5.3 分包管理</w:t>
      </w:r>
    </w:p>
    <w:p w14:paraId="7793047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承包人应向监理人提交分包人的主要施工管理人员表，并对分包人的施工人员进行实名制管理，包括但不限于进出场管理、登记造册以及各种证照的办理。</w:t>
      </w:r>
    </w:p>
    <w:p w14:paraId="0591CDF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3.5.4 分包合同价款</w:t>
      </w:r>
    </w:p>
    <w:p w14:paraId="09745C7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（1）除本项第（2）目约定的情况或专用合同条款另有约定外，分包合同价款由承包人与分包人结算，未经承包人同意，发包人不得向分包人支付分包工程价款；</w:t>
      </w:r>
    </w:p>
    <w:p w14:paraId="570F3D5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（2）生效法律文书要求发包人向分包人支付分包合同价款的，发包人有权从应付承包人工程款中扣除该部分款项。</w:t>
      </w:r>
    </w:p>
    <w:p w14:paraId="7B6A04F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3.5.5 分包合同权益的转让</w:t>
      </w:r>
    </w:p>
    <w:p w14:paraId="7385D2F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072" w:name="_Toc351203524"/>
      <w:bookmarkEnd w:id="1072"/>
    </w:p>
    <w:p w14:paraId="73C31B91">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73" w:name="_Toc17198"/>
      <w:bookmarkStart w:id="1074" w:name="_Toc28832"/>
      <w:bookmarkStart w:id="1075" w:name="_Toc12168"/>
      <w:bookmarkStart w:id="1076" w:name="_Toc16707"/>
      <w:bookmarkStart w:id="1077" w:name="_Toc27757"/>
      <w:bookmarkStart w:id="1078" w:name="_Toc31138"/>
      <w:bookmarkStart w:id="1079" w:name="_Toc10445"/>
      <w:bookmarkStart w:id="1080" w:name="_Toc2588"/>
      <w:bookmarkStart w:id="1081" w:name="_Toc53"/>
      <w:bookmarkStart w:id="1082" w:name="_Toc27472"/>
      <w:bookmarkStart w:id="1083" w:name="_Toc2589"/>
      <w:bookmarkStart w:id="1084" w:name="_Toc17743"/>
      <w:bookmarkStart w:id="1085" w:name="_Toc31305"/>
      <w:r>
        <w:rPr>
          <w:rFonts w:hint="eastAsia" w:ascii="宋体" w:hAnsi="宋体" w:eastAsia="宋体" w:cs="宋体"/>
          <w:b w:val="0"/>
          <w:bCs w:val="0"/>
          <w:color w:val="auto"/>
          <w:sz w:val="24"/>
          <w:szCs w:val="24"/>
          <w:highlight w:val="none"/>
        </w:rPr>
        <w:t>3.6 工程照管与成品、半成品保护</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14:paraId="2EE0A98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（1）除专用合同条款另有约定外，自发包人向承包人移交施工现场之日起，承包人应负责照管工程及工程相关的材料、工程设备，直到颁发工程接收证书之日止。</w:t>
      </w:r>
    </w:p>
    <w:p w14:paraId="4D69E6C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（2）在承包人负责照管期间，因承包人原因造成工程、材料、工程设备损坏的，由承包人负责修复或更换，并承担由此增加的费用和（或）延误的工期。</w:t>
      </w:r>
    </w:p>
    <w:p w14:paraId="294834E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160608C7">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086" w:name="_Toc351203525"/>
      <w:bookmarkEnd w:id="1086"/>
      <w:bookmarkStart w:id="1087" w:name="_Toc10784"/>
      <w:bookmarkStart w:id="1088" w:name="_Toc5366"/>
      <w:bookmarkStart w:id="1089" w:name="_Toc14771"/>
      <w:bookmarkStart w:id="1090" w:name="_Toc13614"/>
      <w:bookmarkStart w:id="1091" w:name="_Toc17297"/>
      <w:bookmarkStart w:id="1092" w:name="_Toc9082"/>
      <w:bookmarkStart w:id="1093" w:name="_Toc21491"/>
      <w:bookmarkStart w:id="1094" w:name="_Toc5649"/>
      <w:bookmarkStart w:id="1095" w:name="_Toc25896"/>
      <w:bookmarkStart w:id="1096" w:name="_Toc8678"/>
      <w:bookmarkStart w:id="1097" w:name="_Toc15250"/>
      <w:bookmarkStart w:id="1098" w:name="_Toc21891"/>
      <w:bookmarkStart w:id="1099" w:name="_Toc29682"/>
      <w:r>
        <w:rPr>
          <w:rFonts w:hint="eastAsia" w:ascii="宋体" w:hAnsi="宋体" w:eastAsia="宋体" w:cs="宋体"/>
          <w:b w:val="0"/>
          <w:bCs w:val="0"/>
          <w:color w:val="auto"/>
          <w:sz w:val="24"/>
          <w:szCs w:val="24"/>
          <w:highlight w:val="none"/>
        </w:rPr>
        <w:t>3</w:t>
      </w:r>
      <w:bookmarkStart w:id="1100" w:name="_Toc296346553"/>
      <w:bookmarkEnd w:id="1100"/>
      <w:bookmarkStart w:id="1101" w:name="_Toc296503052"/>
      <w:bookmarkEnd w:id="1101"/>
      <w:bookmarkStart w:id="1102" w:name="_Toc337558752"/>
      <w:r>
        <w:rPr>
          <w:rFonts w:hint="eastAsia" w:ascii="宋体" w:hAnsi="宋体" w:eastAsia="宋体" w:cs="宋体"/>
          <w:b w:val="0"/>
          <w:bCs w:val="0"/>
          <w:color w:val="auto"/>
          <w:sz w:val="24"/>
          <w:szCs w:val="24"/>
          <w:highlight w:val="none"/>
        </w:rPr>
        <w:t>.7 履约担保</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2"/>
    </w:p>
    <w:p w14:paraId="649D707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AE17DC9">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因承包人原因导致工期延长的，继续提供履约担保所增加的费用由承包人承担；非因承包人原因导致工期延长的，继续提供履约担保所增加的费用由发包人承担。</w:t>
      </w:r>
    </w:p>
    <w:p w14:paraId="34602110">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103" w:name="_Toc351203526"/>
      <w:bookmarkEnd w:id="1103"/>
      <w:bookmarkStart w:id="1104" w:name="_Toc15030"/>
      <w:bookmarkStart w:id="1105" w:name="_Toc28630"/>
      <w:bookmarkStart w:id="1106" w:name="_Toc14146"/>
      <w:bookmarkStart w:id="1107" w:name="_Toc18776"/>
      <w:bookmarkStart w:id="1108" w:name="_Toc5082"/>
      <w:bookmarkStart w:id="1109" w:name="_Toc26662"/>
      <w:bookmarkStart w:id="1110" w:name="_Toc7719"/>
      <w:bookmarkStart w:id="1111" w:name="_Toc21154"/>
      <w:bookmarkStart w:id="1112" w:name="_Toc24681"/>
      <w:bookmarkStart w:id="1113" w:name="_Toc17418"/>
      <w:bookmarkStart w:id="1114" w:name="_Toc11865"/>
      <w:bookmarkStart w:id="1115" w:name="_Toc24816"/>
      <w:bookmarkStart w:id="1116" w:name="_Toc5639"/>
      <w:r>
        <w:rPr>
          <w:rFonts w:hint="eastAsia" w:ascii="宋体" w:hAnsi="宋体" w:eastAsia="宋体" w:cs="宋体"/>
          <w:b w:val="0"/>
          <w:bCs w:val="0"/>
          <w:color w:val="auto"/>
          <w:sz w:val="24"/>
          <w:szCs w:val="24"/>
          <w:highlight w:val="none"/>
        </w:rPr>
        <w:t>3.8 联合体</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p>
    <w:p w14:paraId="05270037">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3.8.1 联合体各方应共同与发包人签订合同协议书。联合体各方应为履行合同向发包人承担连带责任。</w:t>
      </w:r>
    </w:p>
    <w:p w14:paraId="5BA4ABF7">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3.8.2 联合体协议经发包人确认后作为合同附件。在履行合同过程中，未经发包人同意，不得修改联合体协议。</w:t>
      </w:r>
    </w:p>
    <w:p w14:paraId="17237570">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3.8.3 联合体牵头人负责与发包人和监理人联系，并接受指示，负责组织联合体各成员全面履行合同。</w:t>
      </w:r>
    </w:p>
    <w:p w14:paraId="55BBB3BB">
      <w:pPr>
        <w:pageBreakBefore w:val="0"/>
        <w:widowControl/>
        <w:tabs>
          <w:tab w:val="left" w:pos="864"/>
        </w:tabs>
        <w:kinsoku/>
        <w:wordWrap/>
        <w:overflowPunct/>
        <w:topLinePunct w:val="0"/>
        <w:bidi w:val="0"/>
        <w:snapToGrid w:val="0"/>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117" w:name="_Toc351203527"/>
      <w:bookmarkEnd w:id="1117"/>
      <w:bookmarkStart w:id="1118" w:name="_Toc6569"/>
      <w:bookmarkStart w:id="1119" w:name="_Toc22316"/>
      <w:bookmarkStart w:id="1120" w:name="_Toc12642"/>
      <w:bookmarkStart w:id="1121" w:name="_Toc7021"/>
      <w:bookmarkStart w:id="1122" w:name="_Toc14673"/>
      <w:bookmarkStart w:id="1123" w:name="_Toc9715"/>
      <w:bookmarkStart w:id="1124" w:name="_Toc17500"/>
      <w:bookmarkStart w:id="1125" w:name="_Toc23993"/>
      <w:bookmarkStart w:id="1126" w:name="_Toc26106"/>
      <w:bookmarkStart w:id="1127" w:name="_Toc19141"/>
      <w:bookmarkStart w:id="1128" w:name="_Toc22383"/>
      <w:bookmarkStart w:id="1129" w:name="_Toc4894"/>
      <w:bookmarkStart w:id="1130" w:name="_Toc15863"/>
      <w:bookmarkStart w:id="1131" w:name="_Toc20088"/>
      <w:bookmarkStart w:id="1132" w:name="_Toc7759"/>
      <w:r>
        <w:rPr>
          <w:rFonts w:hint="eastAsia" w:ascii="宋体" w:hAnsi="宋体" w:eastAsia="宋体" w:cs="宋体"/>
          <w:b w:val="0"/>
          <w:bCs w:val="0"/>
          <w:color w:val="auto"/>
          <w:sz w:val="24"/>
          <w:szCs w:val="24"/>
          <w:highlight w:val="none"/>
        </w:rPr>
        <w:t>4</w:t>
      </w:r>
      <w:bookmarkStart w:id="1133" w:name="_Toc296346554"/>
      <w:bookmarkEnd w:id="1133"/>
      <w:bookmarkStart w:id="1134" w:name="_Toc296503053"/>
      <w:bookmarkEnd w:id="1134"/>
      <w:bookmarkStart w:id="1135" w:name="_Toc337558753"/>
      <w:r>
        <w:rPr>
          <w:rFonts w:hint="eastAsia" w:ascii="宋体" w:hAnsi="宋体" w:eastAsia="宋体" w:cs="宋体"/>
          <w:b w:val="0"/>
          <w:bCs w:val="0"/>
          <w:color w:val="auto"/>
          <w:sz w:val="24"/>
          <w:szCs w:val="24"/>
          <w:highlight w:val="none"/>
        </w:rPr>
        <w:t>. 监</w:t>
      </w:r>
      <w:bookmarkEnd w:id="1135"/>
      <w:r>
        <w:rPr>
          <w:rFonts w:hint="eastAsia" w:ascii="宋体" w:hAnsi="宋体" w:eastAsia="宋体" w:cs="宋体"/>
          <w:b w:val="0"/>
          <w:bCs w:val="0"/>
          <w:color w:val="auto"/>
          <w:sz w:val="24"/>
          <w:szCs w:val="24"/>
          <w:highlight w:val="none"/>
        </w:rPr>
        <w:t>理人</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p>
    <w:p w14:paraId="7674E35A">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136" w:name="_Toc351203528"/>
      <w:bookmarkEnd w:id="1136"/>
      <w:bookmarkStart w:id="1137" w:name="_Toc12782"/>
      <w:bookmarkStart w:id="1138" w:name="_Toc29262"/>
      <w:bookmarkStart w:id="1139" w:name="_Toc30577"/>
      <w:bookmarkStart w:id="1140" w:name="_Toc7022"/>
      <w:bookmarkStart w:id="1141" w:name="_Toc15398"/>
      <w:bookmarkStart w:id="1142" w:name="_Toc1541"/>
      <w:bookmarkStart w:id="1143" w:name="_Toc11304"/>
      <w:bookmarkStart w:id="1144" w:name="_Toc19326"/>
      <w:bookmarkStart w:id="1145" w:name="_Toc31483"/>
      <w:bookmarkStart w:id="1146" w:name="_Toc29520"/>
      <w:bookmarkStart w:id="1147" w:name="_Toc27352"/>
      <w:bookmarkStart w:id="1148" w:name="_Toc24138"/>
      <w:bookmarkStart w:id="1149" w:name="_Toc2084"/>
      <w:r>
        <w:rPr>
          <w:rFonts w:hint="eastAsia" w:ascii="宋体" w:hAnsi="宋体" w:eastAsia="宋体" w:cs="宋体"/>
          <w:b w:val="0"/>
          <w:bCs w:val="0"/>
          <w:color w:val="auto"/>
          <w:sz w:val="24"/>
          <w:szCs w:val="24"/>
          <w:highlight w:val="none"/>
        </w:rPr>
        <w:t>4</w:t>
      </w:r>
      <w:bookmarkStart w:id="1150" w:name="_Toc296346555"/>
      <w:bookmarkEnd w:id="1150"/>
      <w:bookmarkStart w:id="1151" w:name="_Toc296503054"/>
      <w:bookmarkEnd w:id="1151"/>
      <w:bookmarkStart w:id="1152" w:name="_Toc337558754"/>
      <w:r>
        <w:rPr>
          <w:rFonts w:hint="eastAsia" w:ascii="宋体" w:hAnsi="宋体" w:eastAsia="宋体" w:cs="宋体"/>
          <w:b w:val="0"/>
          <w:bCs w:val="0"/>
          <w:color w:val="auto"/>
          <w:sz w:val="24"/>
          <w:szCs w:val="24"/>
          <w:highlight w:val="none"/>
        </w:rPr>
        <w:t>.1监理人的一般规定</w:t>
      </w:r>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2"/>
    </w:p>
    <w:p w14:paraId="752E016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80E1C4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除专用合同条款另有约定外，监理人在施工现场的办公场所、生活场所由承包人提供，所发生的费用由发包人承担。</w:t>
      </w:r>
    </w:p>
    <w:p w14:paraId="70FC6EE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153" w:name="_Toc351203529"/>
      <w:bookmarkEnd w:id="1153"/>
      <w:bookmarkStart w:id="1154" w:name="_Toc13785"/>
      <w:bookmarkStart w:id="1155" w:name="_Toc8114"/>
      <w:bookmarkStart w:id="1156" w:name="_Toc399"/>
      <w:bookmarkStart w:id="1157" w:name="_Toc31409"/>
      <w:bookmarkStart w:id="1158" w:name="_Toc32173"/>
      <w:bookmarkStart w:id="1159" w:name="_Toc18293"/>
      <w:bookmarkStart w:id="1160" w:name="_Toc1568"/>
      <w:bookmarkStart w:id="1161" w:name="_Toc12209"/>
      <w:bookmarkStart w:id="1162" w:name="_Toc26384"/>
      <w:bookmarkStart w:id="1163" w:name="_Toc9935"/>
      <w:bookmarkStart w:id="1164" w:name="_Toc2036"/>
      <w:bookmarkStart w:id="1165" w:name="_Toc19590"/>
      <w:bookmarkStart w:id="1166" w:name="_Toc11348"/>
      <w:r>
        <w:rPr>
          <w:rFonts w:hint="eastAsia" w:ascii="宋体" w:hAnsi="宋体" w:eastAsia="宋体" w:cs="宋体"/>
          <w:b w:val="0"/>
          <w:bCs w:val="0"/>
          <w:color w:val="auto"/>
          <w:sz w:val="24"/>
          <w:szCs w:val="24"/>
          <w:highlight w:val="none"/>
        </w:rPr>
        <w:t>4</w:t>
      </w:r>
      <w:bookmarkStart w:id="1167" w:name="_Toc337558755"/>
      <w:r>
        <w:rPr>
          <w:rFonts w:hint="eastAsia" w:ascii="宋体" w:hAnsi="宋体" w:eastAsia="宋体" w:cs="宋体"/>
          <w:b w:val="0"/>
          <w:bCs w:val="0"/>
          <w:color w:val="auto"/>
          <w:sz w:val="24"/>
          <w:szCs w:val="24"/>
          <w:highlight w:val="none"/>
        </w:rPr>
        <w:t>.2监理人员</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14:paraId="6D38B6F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D69E45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168" w:name="_Toc351203530"/>
      <w:bookmarkEnd w:id="1168"/>
      <w:bookmarkStart w:id="1169" w:name="_Toc26593"/>
      <w:bookmarkStart w:id="1170" w:name="_Toc9286"/>
      <w:bookmarkStart w:id="1171" w:name="_Toc2008"/>
      <w:bookmarkStart w:id="1172" w:name="_Toc11776"/>
      <w:bookmarkStart w:id="1173" w:name="_Toc28700"/>
      <w:bookmarkStart w:id="1174" w:name="_Toc22270"/>
      <w:bookmarkStart w:id="1175" w:name="_Toc15527"/>
      <w:bookmarkStart w:id="1176" w:name="_Toc22405"/>
      <w:bookmarkStart w:id="1177" w:name="_Toc27944"/>
      <w:bookmarkStart w:id="1178" w:name="_Toc19114"/>
      <w:bookmarkStart w:id="1179" w:name="_Toc25877"/>
      <w:bookmarkStart w:id="1180" w:name="_Toc5709"/>
      <w:r>
        <w:rPr>
          <w:rFonts w:hint="eastAsia" w:ascii="宋体" w:hAnsi="宋体" w:eastAsia="宋体" w:cs="宋体"/>
          <w:b w:val="0"/>
          <w:bCs w:val="0"/>
          <w:color w:val="auto"/>
          <w:sz w:val="24"/>
          <w:szCs w:val="24"/>
          <w:highlight w:val="none"/>
        </w:rPr>
        <w:t>4</w:t>
      </w:r>
      <w:bookmarkStart w:id="1181" w:name="_Toc296346556"/>
      <w:bookmarkEnd w:id="1181"/>
      <w:bookmarkStart w:id="1182" w:name="_Toc296503055"/>
      <w:bookmarkEnd w:id="1182"/>
      <w:bookmarkStart w:id="1183" w:name="_Toc337558756"/>
      <w:r>
        <w:rPr>
          <w:rFonts w:hint="eastAsia" w:ascii="宋体" w:hAnsi="宋体" w:eastAsia="宋体" w:cs="宋体"/>
          <w:b w:val="0"/>
          <w:bCs w:val="0"/>
          <w:color w:val="auto"/>
          <w:sz w:val="24"/>
          <w:szCs w:val="24"/>
          <w:highlight w:val="none"/>
        </w:rPr>
        <w:t>.3</w:t>
      </w:r>
      <w:bookmarkEnd w:id="1183"/>
      <w:r>
        <w:rPr>
          <w:rFonts w:hint="eastAsia" w:ascii="宋体" w:hAnsi="宋体" w:eastAsia="宋体" w:cs="宋体"/>
          <w:b w:val="0"/>
          <w:bCs w:val="0"/>
          <w:color w:val="auto"/>
          <w:sz w:val="24"/>
          <w:szCs w:val="24"/>
          <w:highlight w:val="none"/>
        </w:rPr>
        <w:t>监理人的指示</w:t>
      </w:r>
      <w:bookmarkEnd w:id="1169"/>
      <w:bookmarkEnd w:id="1170"/>
      <w:bookmarkEnd w:id="1171"/>
      <w:bookmarkEnd w:id="1172"/>
      <w:bookmarkEnd w:id="1173"/>
      <w:bookmarkEnd w:id="1174"/>
      <w:bookmarkEnd w:id="1175"/>
      <w:bookmarkEnd w:id="1176"/>
      <w:bookmarkEnd w:id="1177"/>
      <w:bookmarkEnd w:id="1178"/>
      <w:bookmarkEnd w:id="1179"/>
      <w:bookmarkEnd w:id="1180"/>
    </w:p>
    <w:p w14:paraId="34435D44">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A25F71A">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4D7088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承包人对监理人发出的指示有疑问的，应向监理人提出书面异议，监理人应在48小时内对该指示予以确认、更改或撤销，监理人逾期未回复的，承包人有权拒绝执行上述指示。</w:t>
      </w:r>
    </w:p>
    <w:p w14:paraId="6C7E5DF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1A0FB29F">
      <w:pPr>
        <w:pageBreakBefore w:val="0"/>
        <w:widowControl/>
        <w:tabs>
          <w:tab w:val="left" w:pos="864"/>
        </w:tabs>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184" w:name="_Toc351203531"/>
      <w:bookmarkEnd w:id="1184"/>
      <w:bookmarkStart w:id="1185" w:name="_Toc24259"/>
      <w:bookmarkStart w:id="1186" w:name="_Toc11053"/>
      <w:bookmarkStart w:id="1187" w:name="_Toc13027"/>
      <w:bookmarkStart w:id="1188" w:name="_Toc4319"/>
      <w:bookmarkStart w:id="1189" w:name="_Toc8540"/>
      <w:bookmarkStart w:id="1190" w:name="_Toc8646"/>
      <w:bookmarkStart w:id="1191" w:name="_Toc20833"/>
      <w:bookmarkStart w:id="1192" w:name="_Toc30508"/>
      <w:bookmarkStart w:id="1193" w:name="_Toc15540"/>
      <w:bookmarkStart w:id="1194" w:name="_Toc32005"/>
      <w:bookmarkStart w:id="1195" w:name="_Toc2503"/>
      <w:bookmarkStart w:id="1196" w:name="_Toc9047"/>
      <w:bookmarkStart w:id="1197" w:name="_Toc25136"/>
      <w:r>
        <w:rPr>
          <w:rFonts w:hint="eastAsia" w:ascii="宋体" w:hAnsi="宋体" w:eastAsia="宋体" w:cs="宋体"/>
          <w:b w:val="0"/>
          <w:bCs w:val="0"/>
          <w:color w:val="auto"/>
          <w:sz w:val="24"/>
          <w:szCs w:val="24"/>
          <w:highlight w:val="none"/>
        </w:rPr>
        <w:t>4</w:t>
      </w:r>
      <w:bookmarkStart w:id="1198" w:name="_Toc296346558"/>
      <w:bookmarkEnd w:id="1198"/>
      <w:bookmarkStart w:id="1199" w:name="_Toc296503057"/>
      <w:bookmarkEnd w:id="1199"/>
      <w:bookmarkStart w:id="1200" w:name="_Toc337558757"/>
      <w:r>
        <w:rPr>
          <w:rFonts w:hint="eastAsia" w:ascii="宋体" w:hAnsi="宋体" w:eastAsia="宋体" w:cs="宋体"/>
          <w:b w:val="0"/>
          <w:bCs w:val="0"/>
          <w:color w:val="auto"/>
          <w:sz w:val="24"/>
          <w:szCs w:val="24"/>
          <w:highlight w:val="none"/>
        </w:rPr>
        <w:t>.4 商定或确定</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200"/>
    </w:p>
    <w:p w14:paraId="08601F2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合同当事人进行商定或确定时，总监理工程师应当会同合同当事人尽量通过协商达成一致，不能达成一致的，由总监理工程师按照合同约定审慎</w:t>
      </w:r>
      <w:r>
        <w:rPr>
          <w:rFonts w:hint="eastAsia" w:ascii="宋体" w:hAnsi="宋体" w:eastAsia="宋体" w:cs="宋体"/>
          <w:color w:val="auto"/>
          <w:kern w:val="0"/>
          <w:sz w:val="24"/>
          <w:szCs w:val="24"/>
          <w:highlight w:val="none"/>
          <w:lang w:eastAsia="zh-CN"/>
        </w:rPr>
        <w:t>作出</w:t>
      </w:r>
      <w:r>
        <w:rPr>
          <w:rFonts w:hint="eastAsia" w:ascii="宋体" w:hAnsi="宋体" w:eastAsia="宋体" w:cs="宋体"/>
          <w:color w:val="auto"/>
          <w:kern w:val="0"/>
          <w:sz w:val="24"/>
          <w:szCs w:val="24"/>
          <w:highlight w:val="none"/>
        </w:rPr>
        <w:t>公正的确定。</w:t>
      </w:r>
    </w:p>
    <w:p w14:paraId="6F5CC8B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11959DFF">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201" w:name="_Toc351203532"/>
      <w:bookmarkEnd w:id="1201"/>
      <w:bookmarkStart w:id="1202" w:name="_Toc31798"/>
      <w:bookmarkStart w:id="1203" w:name="_Toc24508"/>
      <w:bookmarkStart w:id="1204" w:name="_Toc22492"/>
      <w:bookmarkStart w:id="1205" w:name="_Toc25416"/>
      <w:bookmarkStart w:id="1206" w:name="_Toc30609"/>
      <w:bookmarkStart w:id="1207" w:name="_Toc25153"/>
      <w:bookmarkStart w:id="1208" w:name="_Toc31833"/>
      <w:bookmarkStart w:id="1209" w:name="_Toc13199"/>
      <w:bookmarkStart w:id="1210" w:name="_Toc9436"/>
      <w:bookmarkStart w:id="1211" w:name="_Toc20864"/>
      <w:bookmarkStart w:id="1212" w:name="_Toc12467"/>
      <w:bookmarkStart w:id="1213" w:name="_Toc4724"/>
      <w:bookmarkStart w:id="1214" w:name="_Toc31797"/>
      <w:bookmarkStart w:id="1215" w:name="_Toc26936"/>
      <w:bookmarkStart w:id="1216" w:name="_Toc26528"/>
      <w:r>
        <w:rPr>
          <w:rFonts w:hint="eastAsia" w:ascii="宋体" w:hAnsi="宋体" w:eastAsia="宋体" w:cs="宋体"/>
          <w:b w:val="0"/>
          <w:bCs w:val="0"/>
          <w:color w:val="auto"/>
          <w:sz w:val="24"/>
          <w:szCs w:val="24"/>
          <w:highlight w:val="none"/>
        </w:rPr>
        <w:t>5</w:t>
      </w:r>
      <w:bookmarkStart w:id="1217" w:name="_Toc337558758"/>
      <w:r>
        <w:rPr>
          <w:rFonts w:hint="eastAsia" w:ascii="宋体" w:hAnsi="宋体" w:eastAsia="宋体" w:cs="宋体"/>
          <w:b w:val="0"/>
          <w:bCs w:val="0"/>
          <w:color w:val="auto"/>
          <w:sz w:val="24"/>
          <w:szCs w:val="24"/>
          <w:highlight w:val="none"/>
        </w:rPr>
        <w:t>. 工程质量</w:t>
      </w:r>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01A702F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218" w:name="_Toc351203533"/>
      <w:bookmarkEnd w:id="1218"/>
      <w:bookmarkStart w:id="1219" w:name="_Toc13192"/>
      <w:bookmarkStart w:id="1220" w:name="_Toc22911"/>
      <w:bookmarkStart w:id="1221" w:name="_Toc11151"/>
      <w:bookmarkStart w:id="1222" w:name="_Toc24086"/>
      <w:bookmarkStart w:id="1223" w:name="_Toc26451"/>
      <w:bookmarkStart w:id="1224" w:name="_Toc22544"/>
      <w:bookmarkStart w:id="1225" w:name="_Toc21436"/>
      <w:bookmarkStart w:id="1226" w:name="_Toc29350"/>
      <w:bookmarkStart w:id="1227" w:name="_Toc8149"/>
      <w:bookmarkStart w:id="1228" w:name="_Toc387"/>
      <w:bookmarkStart w:id="1229" w:name="_Toc25471"/>
      <w:bookmarkStart w:id="1230" w:name="_Toc22361"/>
      <w:r>
        <w:rPr>
          <w:rFonts w:hint="eastAsia" w:ascii="宋体" w:hAnsi="宋体" w:eastAsia="宋体" w:cs="宋体"/>
          <w:b w:val="0"/>
          <w:bCs w:val="0"/>
          <w:color w:val="auto"/>
          <w:sz w:val="24"/>
          <w:szCs w:val="24"/>
          <w:highlight w:val="none"/>
        </w:rPr>
        <w:t>5</w:t>
      </w:r>
      <w:bookmarkStart w:id="1231" w:name="_Toc337558759"/>
      <w:r>
        <w:rPr>
          <w:rFonts w:hint="eastAsia" w:ascii="宋体" w:hAnsi="宋体" w:eastAsia="宋体" w:cs="宋体"/>
          <w:b w:val="0"/>
          <w:bCs w:val="0"/>
          <w:color w:val="auto"/>
          <w:sz w:val="24"/>
          <w:szCs w:val="24"/>
          <w:highlight w:val="none"/>
        </w:rPr>
        <w:t>.1质量要求</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5E3D6B2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5.1.1 工程质量标准必须符合现行国家有关工程施工质量验收规范和标准的要求。有关工程质量的特殊标准或要求由合同当事人在专用合同条款中约定。</w:t>
      </w:r>
    </w:p>
    <w:p w14:paraId="6115F54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5.1.2 因发包人原因造成工程质量未达到合同约定标准的，由发包人承担由此增加的费用和（或）延误的工期，并支付承包人合理的利润。</w:t>
      </w:r>
    </w:p>
    <w:p w14:paraId="613A576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5.1.3 因承包人原因造成工程质量未达到合同约定标准的，发包人有权要求承包人返工直至工程质量达到合同约定的标准为止，并由承包人承担由此增加的费用和（或）延误的工期。</w:t>
      </w:r>
    </w:p>
    <w:p w14:paraId="519E266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232" w:name="_Toc351203534"/>
      <w:bookmarkEnd w:id="1232"/>
      <w:bookmarkStart w:id="1233" w:name="_Toc28595"/>
      <w:bookmarkStart w:id="1234" w:name="_Toc15102"/>
      <w:bookmarkStart w:id="1235" w:name="_Toc7424"/>
      <w:bookmarkStart w:id="1236" w:name="_Toc4897"/>
      <w:bookmarkStart w:id="1237" w:name="_Toc32259"/>
      <w:bookmarkStart w:id="1238" w:name="_Toc14753"/>
      <w:bookmarkStart w:id="1239" w:name="_Toc16671"/>
      <w:bookmarkStart w:id="1240" w:name="_Toc4899"/>
      <w:bookmarkStart w:id="1241" w:name="_Toc10925"/>
      <w:bookmarkStart w:id="1242" w:name="_Toc8863"/>
      <w:bookmarkStart w:id="1243" w:name="_Toc7959"/>
      <w:bookmarkStart w:id="1244" w:name="_Toc10769"/>
      <w:bookmarkStart w:id="1245" w:name="_Toc8595"/>
      <w:r>
        <w:rPr>
          <w:rFonts w:hint="eastAsia" w:ascii="宋体" w:hAnsi="宋体" w:eastAsia="宋体" w:cs="宋体"/>
          <w:b w:val="0"/>
          <w:bCs w:val="0"/>
          <w:color w:val="auto"/>
          <w:sz w:val="24"/>
          <w:szCs w:val="24"/>
          <w:highlight w:val="none"/>
        </w:rPr>
        <w:t>5</w:t>
      </w:r>
      <w:bookmarkStart w:id="1246" w:name="_Toc337558760"/>
      <w:r>
        <w:rPr>
          <w:rFonts w:hint="eastAsia" w:ascii="宋体" w:hAnsi="宋体" w:eastAsia="宋体" w:cs="宋体"/>
          <w:b w:val="0"/>
          <w:bCs w:val="0"/>
          <w:color w:val="auto"/>
          <w:sz w:val="24"/>
          <w:szCs w:val="24"/>
          <w:highlight w:val="none"/>
        </w:rPr>
        <w:t>.2质量保证措施</w:t>
      </w:r>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p>
    <w:p w14:paraId="4F0DA2B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1247" w:name="_Toc28367"/>
      <w:bookmarkStart w:id="1248" w:name="_Toc17428"/>
      <w:bookmarkStart w:id="1249" w:name="_Toc10960"/>
      <w:bookmarkStart w:id="1250" w:name="_Toc9410"/>
      <w:bookmarkStart w:id="1251" w:name="_Toc29005"/>
      <w:bookmarkStart w:id="1252" w:name="_Toc13815"/>
      <w:bookmarkStart w:id="1253" w:name="_Toc11514"/>
      <w:bookmarkStart w:id="1254" w:name="_Toc31209"/>
      <w:bookmarkStart w:id="1255" w:name="_Toc20136"/>
      <w:bookmarkStart w:id="1256" w:name="_Toc8664"/>
      <w:bookmarkStart w:id="1257" w:name="_Toc5092"/>
      <w:bookmarkStart w:id="1258" w:name="_Toc26245"/>
      <w:bookmarkStart w:id="1259" w:name="_Toc21208"/>
      <w:bookmarkStart w:id="1260" w:name="_Toc17894"/>
      <w:bookmarkStart w:id="1261" w:name="_Toc10604"/>
      <w:bookmarkStart w:id="1262" w:name="_Toc1003"/>
      <w:r>
        <w:rPr>
          <w:rFonts w:hint="eastAsia" w:ascii="宋体" w:hAnsi="宋体" w:eastAsia="宋体" w:cs="宋体"/>
          <w:color w:val="auto"/>
          <w:kern w:val="0"/>
          <w:sz w:val="24"/>
          <w:szCs w:val="24"/>
          <w:highlight w:val="none"/>
        </w:rPr>
        <w:t>5.2.1 发包人的质量管理</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p>
    <w:p w14:paraId="697FD97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发包人应按照法律规定及合同约定完成与工程质量有关的各项工作。</w:t>
      </w:r>
    </w:p>
    <w:p w14:paraId="03CF7C5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5.2.2 承包人的质量管理</w:t>
      </w:r>
    </w:p>
    <w:p w14:paraId="3DEA729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1F831C0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承包人应对施工人员进行质量教育和技术培训，定期考核施工人员的劳动技能，严格执行施工规范和操作规程。</w:t>
      </w:r>
    </w:p>
    <w:p w14:paraId="1EA193F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承包人应按照法律规定和发包人的要求，对材料、工程设备以及工程的所有部位及其施工工艺进行全过程的质量检查和检验，并</w:t>
      </w:r>
      <w:r>
        <w:rPr>
          <w:rFonts w:hint="eastAsia" w:ascii="宋体" w:hAnsi="宋体" w:eastAsia="宋体" w:cs="宋体"/>
          <w:color w:val="auto"/>
          <w:kern w:val="0"/>
          <w:sz w:val="24"/>
          <w:szCs w:val="24"/>
          <w:highlight w:val="none"/>
          <w:lang w:eastAsia="zh-CN"/>
        </w:rPr>
        <w:t>做</w:t>
      </w:r>
      <w:r>
        <w:rPr>
          <w:rFonts w:hint="eastAsia" w:ascii="宋体" w:hAnsi="宋体" w:eastAsia="宋体" w:cs="宋体"/>
          <w:color w:val="auto"/>
          <w:kern w:val="0"/>
          <w:sz w:val="24"/>
          <w:szCs w:val="24"/>
          <w:highlight w:val="none"/>
        </w:rPr>
        <w:t>详细记录，编制工程质量报表，报送监理人审查。此外，承包人还应按照法律规定和发包人的要求，进行施工现场取样试验、工程复核测量和设备性能检测，提供试验样品、提交试验报告和测量成果以及其他工作。</w:t>
      </w:r>
    </w:p>
    <w:p w14:paraId="2B8525E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1263" w:name="_Toc9250"/>
      <w:bookmarkStart w:id="1264" w:name="_Toc12459"/>
      <w:bookmarkStart w:id="1265" w:name="_Toc23249"/>
      <w:bookmarkStart w:id="1266" w:name="_Toc29696"/>
      <w:bookmarkStart w:id="1267" w:name="_Toc12899"/>
      <w:bookmarkStart w:id="1268" w:name="_Toc18727"/>
      <w:bookmarkStart w:id="1269" w:name="_Toc22524"/>
      <w:bookmarkStart w:id="1270" w:name="_Toc7072"/>
      <w:bookmarkStart w:id="1271" w:name="_Toc16615"/>
      <w:bookmarkStart w:id="1272" w:name="_Toc2790"/>
      <w:bookmarkStart w:id="1273" w:name="_Toc14161"/>
      <w:bookmarkStart w:id="1274" w:name="_Toc12105"/>
      <w:bookmarkStart w:id="1275" w:name="_Toc26075"/>
      <w:bookmarkStart w:id="1276" w:name="_Toc10476"/>
      <w:bookmarkStart w:id="1277" w:name="_Toc8630"/>
      <w:bookmarkStart w:id="1278" w:name="_Toc21100"/>
      <w:r>
        <w:rPr>
          <w:rFonts w:hint="eastAsia" w:ascii="宋体" w:hAnsi="宋体" w:eastAsia="宋体" w:cs="宋体"/>
          <w:color w:val="auto"/>
          <w:kern w:val="0"/>
          <w:sz w:val="24"/>
          <w:szCs w:val="24"/>
          <w:highlight w:val="none"/>
        </w:rPr>
        <w:t>5.2.3 监理人的质量检查和检验</w:t>
      </w:r>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p w14:paraId="2061735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w:t>
      </w:r>
      <w:r>
        <w:rPr>
          <w:rFonts w:hint="eastAsia" w:ascii="宋体" w:hAnsi="宋体" w:eastAsia="宋体" w:cs="宋体"/>
          <w:color w:val="auto"/>
          <w:kern w:val="0"/>
          <w:sz w:val="24"/>
          <w:szCs w:val="24"/>
          <w:highlight w:val="none"/>
          <w:lang w:eastAsia="zh-CN"/>
        </w:rPr>
        <w:t>查看</w:t>
      </w:r>
      <w:r>
        <w:rPr>
          <w:rFonts w:hint="eastAsia" w:ascii="宋体" w:hAnsi="宋体" w:eastAsia="宋体" w:cs="宋体"/>
          <w:color w:val="auto"/>
          <w:kern w:val="0"/>
          <w:sz w:val="24"/>
          <w:szCs w:val="24"/>
          <w:highlight w:val="none"/>
        </w:rPr>
        <w:t>和查阅施工原始记录。监理人为此进行的检查和检验，不免除或减轻承包人按照合同约定应当承担的责任。</w:t>
      </w:r>
    </w:p>
    <w:p w14:paraId="23B0CF48">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599437C">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279" w:name="_Toc351203535"/>
      <w:bookmarkEnd w:id="1279"/>
      <w:bookmarkStart w:id="1280" w:name="_Toc32064"/>
      <w:bookmarkStart w:id="1281" w:name="_Toc29313"/>
      <w:bookmarkStart w:id="1282" w:name="_Toc17604"/>
      <w:bookmarkStart w:id="1283" w:name="_Toc15718"/>
      <w:bookmarkStart w:id="1284" w:name="_Toc18626"/>
      <w:bookmarkStart w:id="1285" w:name="_Toc24845"/>
      <w:bookmarkStart w:id="1286" w:name="_Toc235"/>
      <w:bookmarkStart w:id="1287" w:name="_Toc20095"/>
      <w:bookmarkStart w:id="1288" w:name="_Toc10920"/>
      <w:bookmarkStart w:id="1289" w:name="_Toc2827"/>
      <w:bookmarkStart w:id="1290" w:name="_Toc189"/>
      <w:bookmarkStart w:id="1291" w:name="_Toc9629"/>
      <w:bookmarkStart w:id="1292" w:name="_Toc31650"/>
      <w:r>
        <w:rPr>
          <w:rFonts w:hint="eastAsia" w:ascii="宋体" w:hAnsi="宋体" w:eastAsia="宋体" w:cs="宋体"/>
          <w:b w:val="0"/>
          <w:bCs w:val="0"/>
          <w:color w:val="auto"/>
          <w:sz w:val="24"/>
          <w:szCs w:val="24"/>
          <w:highlight w:val="none"/>
        </w:rPr>
        <w:t>5</w:t>
      </w:r>
      <w:bookmarkStart w:id="1293" w:name="_Toc337558761"/>
      <w:r>
        <w:rPr>
          <w:rFonts w:hint="eastAsia" w:ascii="宋体" w:hAnsi="宋体" w:eastAsia="宋体" w:cs="宋体"/>
          <w:b w:val="0"/>
          <w:bCs w:val="0"/>
          <w:color w:val="auto"/>
          <w:sz w:val="24"/>
          <w:szCs w:val="24"/>
          <w:highlight w:val="none"/>
        </w:rPr>
        <w:t>.3 隐蔽工程检查</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0E5A865B">
      <w:pPr>
        <w:pageBreakBefore w:val="0"/>
        <w:widowControl/>
        <w:kinsoku/>
        <w:wordWrap/>
        <w:overflowPunct/>
        <w:topLinePunct w:val="0"/>
        <w:bidi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5.3.1承包人自检</w:t>
      </w:r>
    </w:p>
    <w:p w14:paraId="34D7F4B2">
      <w:pPr>
        <w:pageBreakBefore w:val="0"/>
        <w:widowControl/>
        <w:kinsoku/>
        <w:wordWrap/>
        <w:overflowPunct/>
        <w:topLinePunct w:val="0"/>
        <w:bidi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承包人应当对工程隐蔽部位进行自检，并经自检确认是否具备覆盖条件。</w:t>
      </w:r>
    </w:p>
    <w:p w14:paraId="081D029A">
      <w:pPr>
        <w:pageBreakBefore w:val="0"/>
        <w:widowControl/>
        <w:kinsoku/>
        <w:wordWrap/>
        <w:overflowPunct/>
        <w:topLinePunct w:val="0"/>
        <w:bidi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5.3.2检查程序</w:t>
      </w:r>
    </w:p>
    <w:p w14:paraId="640352E5">
      <w:pPr>
        <w:pageBreakBefore w:val="0"/>
        <w:widowControl/>
        <w:kinsoku/>
        <w:wordWrap/>
        <w:overflowPunct/>
        <w:topLinePunct w:val="0"/>
        <w:bidi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775AAE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559DFAC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4CE702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5.3.3 重新检查</w:t>
      </w:r>
    </w:p>
    <w:p w14:paraId="794A925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5EB357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5.3.4 承包人私自覆盖</w:t>
      </w:r>
    </w:p>
    <w:p w14:paraId="33A733A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2D6BC53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294" w:name="_Toc351203536"/>
      <w:bookmarkEnd w:id="1294"/>
      <w:bookmarkStart w:id="1295" w:name="_Toc31667"/>
      <w:bookmarkStart w:id="1296" w:name="_Toc21898"/>
      <w:bookmarkStart w:id="1297" w:name="_Toc22022"/>
      <w:bookmarkStart w:id="1298" w:name="_Toc17522"/>
      <w:bookmarkStart w:id="1299" w:name="_Toc16899"/>
      <w:bookmarkStart w:id="1300" w:name="_Toc18252"/>
      <w:bookmarkStart w:id="1301" w:name="_Toc8621"/>
      <w:bookmarkStart w:id="1302" w:name="_Toc3479"/>
      <w:bookmarkStart w:id="1303" w:name="_Toc19738"/>
      <w:bookmarkStart w:id="1304" w:name="_Toc14725"/>
      <w:bookmarkStart w:id="1305" w:name="_Toc21391"/>
      <w:bookmarkStart w:id="1306" w:name="_Toc12981"/>
      <w:bookmarkStart w:id="1307" w:name="_Toc32078"/>
      <w:r>
        <w:rPr>
          <w:rFonts w:hint="eastAsia" w:ascii="宋体" w:hAnsi="宋体" w:eastAsia="宋体" w:cs="宋体"/>
          <w:b w:val="0"/>
          <w:bCs w:val="0"/>
          <w:color w:val="auto"/>
          <w:sz w:val="24"/>
          <w:szCs w:val="24"/>
          <w:highlight w:val="none"/>
        </w:rPr>
        <w:t>5</w:t>
      </w:r>
      <w:bookmarkStart w:id="1308" w:name="_Toc337558762"/>
      <w:r>
        <w:rPr>
          <w:rFonts w:hint="eastAsia" w:ascii="宋体" w:hAnsi="宋体" w:eastAsia="宋体" w:cs="宋体"/>
          <w:b w:val="0"/>
          <w:bCs w:val="0"/>
          <w:color w:val="auto"/>
          <w:sz w:val="24"/>
          <w:szCs w:val="24"/>
          <w:highlight w:val="none"/>
        </w:rPr>
        <w:t>.4不合格工程的处理</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08D89B1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5178D5A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5.4.2 因发包人原因造成工程不合格的，由此增加的费用和（或）延误的工期由发包人承担，并支付承包人合理的利润。</w:t>
      </w:r>
    </w:p>
    <w:p w14:paraId="6AF5972E">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309" w:name="_Toc351203537"/>
      <w:bookmarkEnd w:id="1309"/>
      <w:bookmarkStart w:id="1310" w:name="_Toc27566"/>
      <w:bookmarkStart w:id="1311" w:name="_Toc4328"/>
      <w:bookmarkStart w:id="1312" w:name="_Toc24246"/>
      <w:bookmarkStart w:id="1313" w:name="_Toc25513"/>
      <w:bookmarkStart w:id="1314" w:name="_Toc6665"/>
      <w:bookmarkStart w:id="1315" w:name="_Toc20528"/>
      <w:bookmarkStart w:id="1316" w:name="_Toc25623"/>
      <w:bookmarkStart w:id="1317" w:name="_Toc31936"/>
      <w:bookmarkStart w:id="1318" w:name="_Toc28890"/>
      <w:bookmarkStart w:id="1319" w:name="_Toc24122"/>
      <w:bookmarkStart w:id="1320" w:name="_Toc9688"/>
      <w:bookmarkStart w:id="1321" w:name="_Toc20241"/>
      <w:bookmarkStart w:id="1322" w:name="_Toc30306"/>
      <w:r>
        <w:rPr>
          <w:rFonts w:hint="eastAsia" w:ascii="宋体" w:hAnsi="宋体" w:eastAsia="宋体" w:cs="宋体"/>
          <w:b w:val="0"/>
          <w:bCs w:val="0"/>
          <w:color w:val="auto"/>
          <w:sz w:val="24"/>
          <w:szCs w:val="24"/>
          <w:highlight w:val="none"/>
        </w:rPr>
        <w:t>5.5 质量争议检测</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14:paraId="698C44D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合同当事人对工程质量有争议的，由双方协商确定的工程质量检测机构鉴定，由此产生的费用及因此造成的损失，由责任方承担。</w:t>
      </w:r>
    </w:p>
    <w:p w14:paraId="77A73C70">
      <w:pPr>
        <w:pageBreakBefore w:val="0"/>
        <w:widowControl/>
        <w:kinsoku/>
        <w:wordWrap/>
        <w:overflowPunct/>
        <w:topLinePunct w:val="0"/>
        <w:autoSpaceDE w:val="0"/>
        <w:autoSpaceDN w:val="0"/>
        <w:bidi w:val="0"/>
        <w:adjustRightInd w:val="0"/>
        <w:snapToGrid/>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合同当事人均有责任的，由双方根据其责任分别承担。合同当事人无法达成一致的，按照第4.4款〔商定或确定〕执行。</w:t>
      </w:r>
    </w:p>
    <w:p w14:paraId="226A38FB">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323" w:name="_Toc351203538"/>
      <w:bookmarkEnd w:id="1323"/>
      <w:bookmarkStart w:id="1324" w:name="_Toc8006"/>
      <w:bookmarkStart w:id="1325" w:name="_Toc3838"/>
      <w:bookmarkStart w:id="1326" w:name="_Toc22691"/>
      <w:bookmarkStart w:id="1327" w:name="_Toc27967"/>
      <w:bookmarkStart w:id="1328" w:name="_Toc29414"/>
      <w:bookmarkStart w:id="1329" w:name="_Toc10660"/>
      <w:bookmarkStart w:id="1330" w:name="_Toc6901"/>
      <w:bookmarkStart w:id="1331" w:name="_Toc22847"/>
      <w:bookmarkStart w:id="1332" w:name="_Toc17905"/>
      <w:bookmarkStart w:id="1333" w:name="_Toc5945"/>
      <w:bookmarkStart w:id="1334" w:name="_Toc28284"/>
      <w:bookmarkStart w:id="1335" w:name="_Toc3317"/>
      <w:bookmarkStart w:id="1336" w:name="_Toc1596"/>
      <w:bookmarkStart w:id="1337" w:name="_Toc4861"/>
      <w:bookmarkStart w:id="1338" w:name="_Toc31956"/>
      <w:r>
        <w:rPr>
          <w:rFonts w:hint="eastAsia" w:ascii="宋体" w:hAnsi="宋体" w:eastAsia="宋体" w:cs="宋体"/>
          <w:b w:val="0"/>
          <w:bCs w:val="0"/>
          <w:color w:val="auto"/>
          <w:sz w:val="24"/>
          <w:szCs w:val="24"/>
          <w:highlight w:val="none"/>
        </w:rPr>
        <w:t>6</w:t>
      </w:r>
      <w:bookmarkStart w:id="1339" w:name="_Toc337558763"/>
      <w:r>
        <w:rPr>
          <w:rFonts w:hint="eastAsia" w:ascii="宋体" w:hAnsi="宋体" w:eastAsia="宋体" w:cs="宋体"/>
          <w:b w:val="0"/>
          <w:bCs w:val="0"/>
          <w:color w:val="auto"/>
          <w:sz w:val="24"/>
          <w:szCs w:val="24"/>
          <w:highlight w:val="none"/>
        </w:rPr>
        <w:t>. 安全文明施工与环境保护</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p>
    <w:p w14:paraId="259F3AD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340" w:name="_Toc351203539"/>
      <w:bookmarkEnd w:id="1340"/>
      <w:bookmarkStart w:id="1341" w:name="_Toc8979"/>
      <w:bookmarkStart w:id="1342" w:name="_Toc23745"/>
      <w:bookmarkStart w:id="1343" w:name="_Toc27819"/>
      <w:bookmarkStart w:id="1344" w:name="_Toc20234"/>
      <w:bookmarkStart w:id="1345" w:name="_Toc23498"/>
      <w:bookmarkStart w:id="1346" w:name="_Toc32272"/>
      <w:bookmarkStart w:id="1347" w:name="_Toc16781"/>
      <w:bookmarkStart w:id="1348" w:name="_Toc4657"/>
      <w:bookmarkStart w:id="1349" w:name="_Toc32207"/>
      <w:bookmarkStart w:id="1350" w:name="_Toc2532"/>
      <w:bookmarkStart w:id="1351" w:name="_Toc9719"/>
      <w:bookmarkStart w:id="1352" w:name="_Toc31649"/>
      <w:bookmarkStart w:id="1353" w:name="_Toc787"/>
      <w:r>
        <w:rPr>
          <w:rFonts w:hint="eastAsia" w:ascii="宋体" w:hAnsi="宋体" w:eastAsia="宋体" w:cs="宋体"/>
          <w:b w:val="0"/>
          <w:bCs w:val="0"/>
          <w:color w:val="auto"/>
          <w:sz w:val="24"/>
          <w:szCs w:val="24"/>
          <w:highlight w:val="none"/>
        </w:rPr>
        <w:t>6</w:t>
      </w:r>
      <w:bookmarkStart w:id="1354" w:name="_Toc337558764"/>
      <w:r>
        <w:rPr>
          <w:rFonts w:hint="eastAsia" w:ascii="宋体" w:hAnsi="宋体" w:eastAsia="宋体" w:cs="宋体"/>
          <w:b w:val="0"/>
          <w:bCs w:val="0"/>
          <w:color w:val="auto"/>
          <w:sz w:val="24"/>
          <w:szCs w:val="24"/>
          <w:highlight w:val="none"/>
        </w:rPr>
        <w:t>.1安全文明施工</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21389762">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6.1.1安全生产要求</w:t>
      </w:r>
    </w:p>
    <w:p w14:paraId="31AA086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14742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auto"/>
          <w:kern w:val="0"/>
          <w:sz w:val="24"/>
          <w:szCs w:val="24"/>
          <w:highlight w:val="none"/>
        </w:rPr>
        <w:t>政府有关行政管理部门</w:t>
      </w:r>
      <w:r>
        <w:rPr>
          <w:rFonts w:hint="eastAsia" w:ascii="宋体" w:hAnsi="宋体" w:eastAsia="宋体" w:cs="宋体"/>
          <w:color w:val="auto"/>
          <w:sz w:val="24"/>
          <w:szCs w:val="24"/>
          <w:highlight w:val="none"/>
        </w:rPr>
        <w:t>采取应急措施。</w:t>
      </w:r>
    </w:p>
    <w:p w14:paraId="0BC4220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因安全生产需要暂停施工的，按照第7.8款〔暂停施工〕的约定执行。</w:t>
      </w:r>
    </w:p>
    <w:p w14:paraId="14D2E62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安全生产保证措施</w:t>
      </w:r>
    </w:p>
    <w:p w14:paraId="1FA58CB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承包人应当按照有关</w:t>
      </w:r>
      <w:r>
        <w:rPr>
          <w:rFonts w:hint="eastAsia" w:ascii="宋体" w:hAnsi="宋体" w:eastAsia="宋体" w:cs="宋体"/>
          <w:color w:val="auto"/>
          <w:kern w:val="0"/>
          <w:sz w:val="24"/>
          <w:szCs w:val="24"/>
          <w:highlight w:val="none"/>
        </w:rPr>
        <w:t>规定编制安全技术措施或者专项施工方案，</w:t>
      </w:r>
      <w:r>
        <w:rPr>
          <w:rFonts w:hint="eastAsia" w:ascii="宋体" w:hAnsi="宋体" w:eastAsia="宋体" w:cs="宋体"/>
          <w:color w:val="auto"/>
          <w:sz w:val="24"/>
          <w:szCs w:val="24"/>
          <w:highlight w:val="none"/>
        </w:rPr>
        <w:t>建立安全生产责任制度、治安保卫制度及安全生产教育培训制度，并</w:t>
      </w:r>
      <w:r>
        <w:rPr>
          <w:rFonts w:hint="eastAsia" w:ascii="宋体" w:hAnsi="宋体" w:eastAsia="宋体" w:cs="宋体"/>
          <w:color w:val="auto"/>
          <w:kern w:val="0"/>
          <w:sz w:val="24"/>
          <w:szCs w:val="24"/>
          <w:highlight w:val="none"/>
        </w:rPr>
        <w:t>按安全生产法律规定及合同约定履行安全职责，如实</w:t>
      </w:r>
      <w:r>
        <w:rPr>
          <w:rFonts w:hint="eastAsia" w:ascii="宋体" w:hAnsi="宋体" w:eastAsia="宋体" w:cs="宋体"/>
          <w:color w:val="auto"/>
          <w:sz w:val="24"/>
          <w:szCs w:val="24"/>
          <w:highlight w:val="none"/>
        </w:rPr>
        <w:t>编制工程安全生产的有关记录，</w:t>
      </w:r>
      <w:r>
        <w:rPr>
          <w:rFonts w:hint="eastAsia" w:ascii="宋体" w:hAnsi="宋体" w:eastAsia="宋体" w:cs="宋体"/>
          <w:color w:val="auto"/>
          <w:kern w:val="0"/>
          <w:sz w:val="24"/>
          <w:szCs w:val="24"/>
          <w:highlight w:val="none"/>
        </w:rPr>
        <w:t>接受发包人、监理人及政府安全监督部门的检查与监督。</w:t>
      </w:r>
    </w:p>
    <w:p w14:paraId="7F9BAE4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6.1.3特别安全生产事项</w:t>
      </w:r>
    </w:p>
    <w:p w14:paraId="6E760E4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240160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596C0EE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60047CE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需单独编制危险性较大分部分项专项工程施工方案的，及要求进行专家论证的超过一定规模的危险性较大的分部分项工程，承包人应及时编制和组织论证。</w:t>
      </w:r>
    </w:p>
    <w:p w14:paraId="7B4DFB6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治安保卫</w:t>
      </w:r>
    </w:p>
    <w:p w14:paraId="0673C4B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除专用合同条款另有约定外，发包人应与当地公安部门协商，在现场建立治安管理机构或联防组织，统一管理施工场地的治安保卫事项，履行合同工程的治安保卫职责。</w:t>
      </w:r>
    </w:p>
    <w:p w14:paraId="29F3724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发包人和承包人除应协助现场治安管理机构或联防组织维护施工场地的社会治安外，还应做好包括生活区在内的各自管辖区的治安保卫工作。</w:t>
      </w:r>
    </w:p>
    <w:p w14:paraId="29B2C13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007084F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6.1.5 文明施工</w:t>
      </w:r>
    </w:p>
    <w:p w14:paraId="3BA73A8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F5A106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7AF705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安全文明施工费</w:t>
      </w:r>
    </w:p>
    <w:p w14:paraId="443652B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安全文明施工费由发包人承担，发包人不得以任何形式扣减该部分费用。因基准日期后合同所适用的法律或政府有关规定发生变化，增加的安全文明施工费由发包人承担。</w:t>
      </w:r>
    </w:p>
    <w:p w14:paraId="5C7E9F6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77DBEEE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5B8591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2F44F4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6.1.7 紧急情况处理</w:t>
      </w:r>
    </w:p>
    <w:p w14:paraId="0A7CE29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7CE64A7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6.1.8 事故处理</w:t>
      </w:r>
    </w:p>
    <w:p w14:paraId="4C2BF1D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r>
        <w:rPr>
          <w:rFonts w:hint="eastAsia" w:ascii="宋体" w:hAnsi="宋体" w:eastAsia="宋体" w:cs="宋体"/>
          <w:color w:val="auto"/>
          <w:kern w:val="0"/>
          <w:sz w:val="24"/>
          <w:szCs w:val="24"/>
          <w:highlight w:val="none"/>
          <w:lang w:eastAsia="zh-CN"/>
        </w:rPr>
        <w:t>做出</w:t>
      </w:r>
      <w:r>
        <w:rPr>
          <w:rFonts w:hint="eastAsia" w:ascii="宋体" w:hAnsi="宋体" w:eastAsia="宋体" w:cs="宋体"/>
          <w:color w:val="auto"/>
          <w:kern w:val="0"/>
          <w:sz w:val="24"/>
          <w:szCs w:val="24"/>
          <w:highlight w:val="none"/>
        </w:rPr>
        <w:t>标记和书面记录，妥善保管有关证据。发包人和承包人应按国家有关规定，及时如实地向有关部门报告事故发生的情况，以及正在采取的紧急措施等。</w:t>
      </w:r>
    </w:p>
    <w:p w14:paraId="717DA39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 安全生产责任</w:t>
      </w:r>
    </w:p>
    <w:p w14:paraId="208963F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6.1.9.1 发包人的安全责任</w:t>
      </w:r>
    </w:p>
    <w:p w14:paraId="4FE888F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发包人应负责赔偿以下各种情况造成的损失：</w:t>
      </w:r>
    </w:p>
    <w:p w14:paraId="706A7FF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（1）工程或工程的任何部分对土地的占用所造成的第三者财产损失；</w:t>
      </w:r>
    </w:p>
    <w:p w14:paraId="70CB2DB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（2）由于发包人原因在施工场地及其毗邻地带造成的第三者人身伤亡和财产损失；</w:t>
      </w:r>
    </w:p>
    <w:p w14:paraId="5FF8E8C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（3）由于发包人原因对承包人、监理人造成的人员人身伤亡和财产损失；</w:t>
      </w:r>
    </w:p>
    <w:p w14:paraId="30C98C8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（4）由于发包人原因造成的发包人自身人员的人身伤害以及财产损失。</w:t>
      </w:r>
    </w:p>
    <w:p w14:paraId="2F8FE8E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6.1.9.2 承包人的安全责任</w:t>
      </w:r>
    </w:p>
    <w:p w14:paraId="2E9691E1">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由于承包人原因在施工场地内及其毗邻地带造成的发包人、监理人以及第三者人员伤亡和财产损失，由承包人负责赔偿。</w:t>
      </w:r>
    </w:p>
    <w:p w14:paraId="418596D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355" w:name="_Toc351203540"/>
      <w:bookmarkEnd w:id="1355"/>
      <w:bookmarkStart w:id="1356" w:name="_Toc22252"/>
      <w:bookmarkStart w:id="1357" w:name="_Toc6079"/>
      <w:bookmarkStart w:id="1358" w:name="_Toc32261"/>
      <w:bookmarkStart w:id="1359" w:name="_Toc12313"/>
      <w:bookmarkStart w:id="1360" w:name="_Toc6325"/>
      <w:bookmarkStart w:id="1361" w:name="_Toc16881"/>
      <w:bookmarkStart w:id="1362" w:name="_Toc19741"/>
      <w:bookmarkStart w:id="1363" w:name="_Toc11119"/>
      <w:bookmarkStart w:id="1364" w:name="_Toc13142"/>
      <w:bookmarkStart w:id="1365" w:name="_Toc28618"/>
      <w:bookmarkStart w:id="1366" w:name="_Toc5426"/>
      <w:bookmarkStart w:id="1367" w:name="_Toc17171"/>
      <w:bookmarkStart w:id="1368" w:name="_Toc31792"/>
      <w:r>
        <w:rPr>
          <w:rFonts w:hint="eastAsia" w:ascii="宋体" w:hAnsi="宋体" w:eastAsia="宋体" w:cs="宋体"/>
          <w:b w:val="0"/>
          <w:bCs w:val="0"/>
          <w:color w:val="auto"/>
          <w:sz w:val="24"/>
          <w:szCs w:val="24"/>
          <w:highlight w:val="none"/>
        </w:rPr>
        <w:t>6</w:t>
      </w:r>
      <w:bookmarkStart w:id="1369" w:name="_Toc337558765"/>
      <w:r>
        <w:rPr>
          <w:rFonts w:hint="eastAsia" w:ascii="宋体" w:hAnsi="宋体" w:eastAsia="宋体" w:cs="宋体"/>
          <w:b w:val="0"/>
          <w:bCs w:val="0"/>
          <w:color w:val="auto"/>
          <w:sz w:val="24"/>
          <w:szCs w:val="24"/>
          <w:highlight w:val="none"/>
        </w:rPr>
        <w:t>.2 职业健康</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p>
    <w:p w14:paraId="5DE3716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6.2.1 劳动保护</w:t>
      </w:r>
    </w:p>
    <w:p w14:paraId="6D22810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1E5761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承包人应按照法律规定保障现场施工人员的劳动安全，并提供劳动保护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并应</w:t>
      </w:r>
      <w:r>
        <w:rPr>
          <w:rFonts w:hint="eastAsia" w:ascii="宋体" w:hAnsi="宋体" w:eastAsia="宋体" w:cs="宋体"/>
          <w:color w:val="auto"/>
          <w:kern w:val="0"/>
          <w:sz w:val="24"/>
          <w:szCs w:val="24"/>
          <w:highlight w:val="none"/>
          <w:lang w:eastAsia="zh-CN"/>
        </w:rPr>
        <w:t>按照</w:t>
      </w:r>
      <w:r>
        <w:rPr>
          <w:rFonts w:hint="eastAsia" w:ascii="宋体" w:hAnsi="宋体" w:eastAsia="宋体" w:cs="宋体"/>
          <w:color w:val="auto"/>
          <w:kern w:val="0"/>
          <w:sz w:val="24"/>
          <w:szCs w:val="24"/>
          <w:highlight w:val="none"/>
        </w:rPr>
        <w:t>国家有关劳动保护的规定，采取有效</w:t>
      </w:r>
      <w:r>
        <w:rPr>
          <w:rFonts w:hint="eastAsia" w:ascii="宋体" w:hAnsi="宋体" w:eastAsia="宋体" w:cs="宋体"/>
          <w:color w:val="auto"/>
          <w:kern w:val="0"/>
          <w:sz w:val="24"/>
          <w:szCs w:val="24"/>
          <w:highlight w:val="none"/>
          <w:lang w:eastAsia="zh-CN"/>
        </w:rPr>
        <w:t>地</w:t>
      </w:r>
      <w:r>
        <w:rPr>
          <w:rFonts w:hint="eastAsia" w:ascii="宋体" w:hAnsi="宋体" w:eastAsia="宋体" w:cs="宋体"/>
          <w:color w:val="auto"/>
          <w:kern w:val="0"/>
          <w:sz w:val="24"/>
          <w:szCs w:val="24"/>
          <w:highlight w:val="none"/>
        </w:rPr>
        <w:t>防止粉尘、降低噪声、控制有害气体和保障高温、高寒、高空作业安全等劳动保护措施。承包人雇佣人员在施工中受到伤害的，承包人应立即采取有效措施进行抢救和治疗。</w:t>
      </w:r>
    </w:p>
    <w:p w14:paraId="6E49A8D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2BA3018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6.2.2 生活条件</w:t>
      </w:r>
    </w:p>
    <w:p w14:paraId="28B7854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在远离城镇的施工场地，还应配备必要的伤病防治和急救的医务人员与医疗设施。</w:t>
      </w:r>
    </w:p>
    <w:p w14:paraId="52FBFBEE">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370" w:name="_Toc351203541"/>
      <w:bookmarkEnd w:id="1370"/>
      <w:bookmarkStart w:id="1371" w:name="_Toc21680"/>
      <w:bookmarkStart w:id="1372" w:name="_Toc16276"/>
      <w:bookmarkStart w:id="1373" w:name="_Toc32705"/>
      <w:bookmarkStart w:id="1374" w:name="_Toc27082"/>
      <w:bookmarkStart w:id="1375" w:name="_Toc11934"/>
      <w:bookmarkStart w:id="1376" w:name="_Toc8214"/>
      <w:bookmarkStart w:id="1377" w:name="_Toc7961"/>
      <w:bookmarkStart w:id="1378" w:name="_Toc8312"/>
      <w:bookmarkStart w:id="1379" w:name="_Toc4913"/>
      <w:bookmarkStart w:id="1380" w:name="_Toc2821"/>
      <w:bookmarkStart w:id="1381" w:name="_Toc8305"/>
      <w:bookmarkStart w:id="1382" w:name="_Toc29384"/>
      <w:bookmarkStart w:id="1383" w:name="_Toc14263"/>
      <w:r>
        <w:rPr>
          <w:rFonts w:hint="eastAsia" w:ascii="宋体" w:hAnsi="宋体" w:eastAsia="宋体" w:cs="宋体"/>
          <w:b w:val="0"/>
          <w:bCs w:val="0"/>
          <w:color w:val="auto"/>
          <w:sz w:val="24"/>
          <w:szCs w:val="24"/>
          <w:highlight w:val="none"/>
        </w:rPr>
        <w:t>6</w:t>
      </w:r>
      <w:bookmarkStart w:id="1384" w:name="_Toc337558766"/>
      <w:r>
        <w:rPr>
          <w:rFonts w:hint="eastAsia" w:ascii="宋体" w:hAnsi="宋体" w:eastAsia="宋体" w:cs="宋体"/>
          <w:b w:val="0"/>
          <w:bCs w:val="0"/>
          <w:color w:val="auto"/>
          <w:sz w:val="24"/>
          <w:szCs w:val="24"/>
          <w:highlight w:val="none"/>
        </w:rPr>
        <w:t>.3 环境保护</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p>
    <w:p w14:paraId="0466063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5FB690D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承包人应当承担因其原因引起的环境污染侵权损害赔偿责任，因上述环境污染引起纠纷而导致暂停施工的，由此增加的费用和（或）延误的工期由承包人承担。</w:t>
      </w:r>
    </w:p>
    <w:p w14:paraId="4B8E77E1">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385" w:name="_Toc351203542"/>
      <w:bookmarkEnd w:id="1385"/>
      <w:bookmarkStart w:id="1386" w:name="_Toc28519"/>
      <w:bookmarkStart w:id="1387" w:name="_Toc14239"/>
      <w:bookmarkStart w:id="1388" w:name="_Toc27700"/>
      <w:bookmarkStart w:id="1389" w:name="_Toc28158"/>
      <w:bookmarkStart w:id="1390" w:name="_Toc66"/>
      <w:bookmarkStart w:id="1391" w:name="_Toc16201"/>
      <w:bookmarkStart w:id="1392" w:name="_Toc3649"/>
      <w:bookmarkStart w:id="1393" w:name="_Toc6918"/>
      <w:bookmarkStart w:id="1394" w:name="_Toc8051"/>
      <w:bookmarkStart w:id="1395" w:name="_Toc26708"/>
      <w:bookmarkStart w:id="1396" w:name="_Toc24494"/>
      <w:bookmarkStart w:id="1397" w:name="_Toc27813"/>
      <w:bookmarkStart w:id="1398" w:name="_Toc5680"/>
      <w:bookmarkStart w:id="1399" w:name="_Toc26232"/>
      <w:bookmarkStart w:id="1400" w:name="_Toc9574"/>
      <w:r>
        <w:rPr>
          <w:rFonts w:hint="eastAsia" w:ascii="宋体" w:hAnsi="宋体" w:eastAsia="宋体" w:cs="宋体"/>
          <w:b w:val="0"/>
          <w:bCs w:val="0"/>
          <w:color w:val="auto"/>
          <w:sz w:val="24"/>
          <w:szCs w:val="24"/>
          <w:highlight w:val="none"/>
        </w:rPr>
        <w:t>7</w:t>
      </w:r>
      <w:bookmarkStart w:id="1401" w:name="_Toc337558767"/>
      <w:r>
        <w:rPr>
          <w:rFonts w:hint="eastAsia" w:ascii="宋体" w:hAnsi="宋体" w:eastAsia="宋体" w:cs="宋体"/>
          <w:b w:val="0"/>
          <w:bCs w:val="0"/>
          <w:color w:val="auto"/>
          <w:sz w:val="24"/>
          <w:szCs w:val="24"/>
          <w:highlight w:val="none"/>
        </w:rPr>
        <w:t>. 工期和进度</w:t>
      </w:r>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p>
    <w:p w14:paraId="7650E37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02" w:name="_Toc351203543"/>
      <w:bookmarkEnd w:id="1402"/>
      <w:bookmarkStart w:id="1403" w:name="_Toc21644"/>
      <w:bookmarkStart w:id="1404" w:name="_Toc22688"/>
      <w:bookmarkStart w:id="1405" w:name="_Toc20463"/>
      <w:bookmarkStart w:id="1406" w:name="_Toc29747"/>
      <w:bookmarkStart w:id="1407" w:name="_Toc3675"/>
      <w:bookmarkStart w:id="1408" w:name="_Toc20228"/>
      <w:bookmarkStart w:id="1409" w:name="_Toc31858"/>
      <w:bookmarkStart w:id="1410" w:name="_Toc26058"/>
      <w:bookmarkStart w:id="1411" w:name="_Toc5475"/>
      <w:bookmarkStart w:id="1412" w:name="_Toc425"/>
      <w:bookmarkStart w:id="1413" w:name="_Toc16089"/>
      <w:bookmarkStart w:id="1414" w:name="_Toc4258"/>
      <w:bookmarkStart w:id="1415" w:name="_Toc6759"/>
      <w:r>
        <w:rPr>
          <w:rFonts w:hint="eastAsia" w:ascii="宋体" w:hAnsi="宋体" w:eastAsia="宋体" w:cs="宋体"/>
          <w:b w:val="0"/>
          <w:bCs w:val="0"/>
          <w:color w:val="auto"/>
          <w:sz w:val="24"/>
          <w:szCs w:val="24"/>
          <w:highlight w:val="none"/>
        </w:rPr>
        <w:t>7</w:t>
      </w:r>
      <w:bookmarkStart w:id="1416" w:name="_Toc296346567"/>
      <w:bookmarkEnd w:id="1416"/>
      <w:bookmarkStart w:id="1417" w:name="_Toc337558768"/>
      <w:bookmarkEnd w:id="1417"/>
      <w:bookmarkStart w:id="1418" w:name="_Toc296503066"/>
      <w:r>
        <w:rPr>
          <w:rFonts w:hint="eastAsia" w:ascii="宋体" w:hAnsi="宋体" w:eastAsia="宋体" w:cs="宋体"/>
          <w:b w:val="0"/>
          <w:bCs w:val="0"/>
          <w:color w:val="auto"/>
          <w:sz w:val="24"/>
          <w:szCs w:val="24"/>
          <w:highlight w:val="none"/>
        </w:rPr>
        <w:t>.1施工组织设计</w:t>
      </w:r>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8"/>
    </w:p>
    <w:p w14:paraId="59CE23B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7.1.1 </w:t>
      </w:r>
      <w:r>
        <w:rPr>
          <w:rFonts w:hint="eastAsia" w:ascii="宋体" w:hAnsi="宋体" w:eastAsia="宋体" w:cs="宋体"/>
          <w:color w:val="auto"/>
          <w:kern w:val="0"/>
          <w:sz w:val="24"/>
          <w:szCs w:val="24"/>
          <w:highlight w:val="none"/>
        </w:rPr>
        <w:t>施工组织设计的内容</w:t>
      </w:r>
    </w:p>
    <w:p w14:paraId="3BE5561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施工组织设计应包含以下内容：</w:t>
      </w:r>
    </w:p>
    <w:p w14:paraId="22E73F5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（1）施工方案； </w:t>
      </w:r>
    </w:p>
    <w:p w14:paraId="6D0582C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（2）施工现场平面布置图；</w:t>
      </w:r>
    </w:p>
    <w:p w14:paraId="21975EA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（3）施工进度计划和保证措施； </w:t>
      </w:r>
    </w:p>
    <w:p w14:paraId="2A0026C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（4）劳动力及材料供应计划；</w:t>
      </w:r>
    </w:p>
    <w:p w14:paraId="6FBCCBB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（5）施工机械设备的选用；</w:t>
      </w:r>
    </w:p>
    <w:p w14:paraId="069ABFA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（6）质量保证体系及措施；</w:t>
      </w:r>
    </w:p>
    <w:p w14:paraId="42D5231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（7）安全生产、文明施工措施；</w:t>
      </w:r>
    </w:p>
    <w:p w14:paraId="1F31FF1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（8）环境保护、成本控制措施；</w:t>
      </w:r>
    </w:p>
    <w:p w14:paraId="23DA7CD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（9）合同当事人约定的其他内容。</w:t>
      </w:r>
    </w:p>
    <w:p w14:paraId="05A72CF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5F0C89D8">
      <w:pPr>
        <w:pageBreakBefore w:val="0"/>
        <w:widowControl/>
        <w:kinsoku/>
        <w:wordWrap/>
        <w:overflowPunct/>
        <w:topLinePunct w:val="0"/>
        <w:autoSpaceDE w:val="0"/>
        <w:autoSpaceDN w:val="0"/>
        <w:bidi w:val="0"/>
        <w:adjustRightInd w:val="0"/>
        <w:spacing w:line="360" w:lineRule="auto"/>
        <w:ind w:left="480" w:leftChars="240" w:firstLine="0" w:firstLineChars="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1B26B10B">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施工进度计划的编制和修改按照第7.2款〔施工进度计划〕执行。</w:t>
      </w:r>
    </w:p>
    <w:p w14:paraId="48F6F921">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19" w:name="_Toc351203544"/>
      <w:bookmarkEnd w:id="1419"/>
      <w:bookmarkStart w:id="1420" w:name="_Toc19608"/>
      <w:bookmarkStart w:id="1421" w:name="_Toc9493"/>
      <w:bookmarkStart w:id="1422" w:name="_Toc11569"/>
      <w:bookmarkStart w:id="1423" w:name="_Toc17469"/>
      <w:bookmarkStart w:id="1424" w:name="_Toc11885"/>
      <w:bookmarkStart w:id="1425" w:name="_Toc16894"/>
      <w:bookmarkStart w:id="1426" w:name="_Toc15302"/>
      <w:bookmarkStart w:id="1427" w:name="_Toc17958"/>
      <w:bookmarkStart w:id="1428" w:name="_Toc16438"/>
      <w:bookmarkStart w:id="1429" w:name="_Toc9766"/>
      <w:bookmarkStart w:id="1430" w:name="_Toc21607"/>
      <w:bookmarkStart w:id="1431" w:name="_Toc29029"/>
      <w:r>
        <w:rPr>
          <w:rFonts w:hint="eastAsia" w:ascii="宋体" w:hAnsi="宋体" w:eastAsia="宋体" w:cs="宋体"/>
          <w:b w:val="0"/>
          <w:bCs w:val="0"/>
          <w:color w:val="auto"/>
          <w:sz w:val="24"/>
          <w:szCs w:val="24"/>
          <w:highlight w:val="none"/>
        </w:rPr>
        <w:t>7</w:t>
      </w:r>
      <w:bookmarkStart w:id="1432" w:name="_Toc337558769"/>
      <w:r>
        <w:rPr>
          <w:rFonts w:hint="eastAsia" w:ascii="宋体" w:hAnsi="宋体" w:eastAsia="宋体" w:cs="宋体"/>
          <w:b w:val="0"/>
          <w:bCs w:val="0"/>
          <w:color w:val="auto"/>
          <w:sz w:val="24"/>
          <w:szCs w:val="24"/>
          <w:highlight w:val="none"/>
        </w:rPr>
        <w:t>.2 施工进度计划</w:t>
      </w:r>
      <w:bookmarkEnd w:id="1420"/>
      <w:bookmarkEnd w:id="1421"/>
      <w:bookmarkEnd w:id="1422"/>
      <w:bookmarkEnd w:id="1423"/>
      <w:bookmarkEnd w:id="1424"/>
      <w:bookmarkEnd w:id="1425"/>
      <w:bookmarkEnd w:id="1426"/>
      <w:bookmarkEnd w:id="1427"/>
      <w:bookmarkEnd w:id="1428"/>
      <w:bookmarkEnd w:id="1429"/>
      <w:bookmarkEnd w:id="1430"/>
      <w:bookmarkEnd w:id="1431"/>
      <w:bookmarkEnd w:id="1432"/>
    </w:p>
    <w:p w14:paraId="5D8A8A37">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7.2.1 施工进度计划的编制</w:t>
      </w:r>
    </w:p>
    <w:p w14:paraId="1BD37D8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60353A7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7.2.2 施工进度计划的修订</w:t>
      </w:r>
    </w:p>
    <w:p w14:paraId="3B379E8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4A3C4A46">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33" w:name="_Toc351203545"/>
      <w:bookmarkEnd w:id="1433"/>
      <w:bookmarkStart w:id="1434" w:name="_Toc9548"/>
      <w:bookmarkStart w:id="1435" w:name="_Toc16689"/>
      <w:bookmarkStart w:id="1436" w:name="_Toc23101"/>
      <w:bookmarkStart w:id="1437" w:name="_Toc19122"/>
      <w:bookmarkStart w:id="1438" w:name="_Toc18628"/>
      <w:bookmarkStart w:id="1439" w:name="_Toc26982"/>
      <w:bookmarkStart w:id="1440" w:name="_Toc8584"/>
      <w:bookmarkStart w:id="1441" w:name="_Toc27832"/>
      <w:bookmarkStart w:id="1442" w:name="_Toc20515"/>
      <w:bookmarkStart w:id="1443" w:name="_Toc5498"/>
      <w:bookmarkStart w:id="1444" w:name="_Toc15369"/>
      <w:bookmarkStart w:id="1445" w:name="_Toc7413"/>
      <w:bookmarkStart w:id="1446" w:name="_Toc5414"/>
      <w:r>
        <w:rPr>
          <w:rFonts w:hint="eastAsia" w:ascii="宋体" w:hAnsi="宋体" w:eastAsia="宋体" w:cs="宋体"/>
          <w:b w:val="0"/>
          <w:bCs w:val="0"/>
          <w:color w:val="auto"/>
          <w:sz w:val="24"/>
          <w:szCs w:val="24"/>
          <w:highlight w:val="none"/>
        </w:rPr>
        <w:t>7</w:t>
      </w:r>
      <w:bookmarkStart w:id="1447" w:name="_Toc337558770"/>
      <w:r>
        <w:rPr>
          <w:rFonts w:hint="eastAsia" w:ascii="宋体" w:hAnsi="宋体" w:eastAsia="宋体" w:cs="宋体"/>
          <w:b w:val="0"/>
          <w:bCs w:val="0"/>
          <w:color w:val="auto"/>
          <w:sz w:val="24"/>
          <w:szCs w:val="24"/>
          <w:highlight w:val="none"/>
        </w:rPr>
        <w:t>.3 开工</w:t>
      </w:r>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p>
    <w:p w14:paraId="3C4D8C91">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7.3.1 开工准备</w:t>
      </w:r>
    </w:p>
    <w:p w14:paraId="5758107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2F4A2E7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除专用合同条款另有约定外，合同当事人应按约定完成开工准备工作。</w:t>
      </w:r>
    </w:p>
    <w:p w14:paraId="6831025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7.3.2 开工通知</w:t>
      </w:r>
    </w:p>
    <w:p w14:paraId="1E98162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9EFE354">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3DCA3F43">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48" w:name="_Toc351203546"/>
      <w:bookmarkEnd w:id="1448"/>
      <w:bookmarkStart w:id="1449" w:name="_Toc11777"/>
      <w:bookmarkStart w:id="1450" w:name="_Toc31444"/>
      <w:bookmarkStart w:id="1451" w:name="_Toc24551"/>
      <w:bookmarkStart w:id="1452" w:name="_Toc21945"/>
      <w:bookmarkStart w:id="1453" w:name="_Toc17638"/>
      <w:bookmarkStart w:id="1454" w:name="_Toc16108"/>
      <w:bookmarkStart w:id="1455" w:name="_Toc12895"/>
      <w:bookmarkStart w:id="1456" w:name="_Toc29462"/>
      <w:bookmarkStart w:id="1457" w:name="_Toc30257"/>
      <w:bookmarkStart w:id="1458" w:name="_Toc25680"/>
      <w:bookmarkStart w:id="1459" w:name="_Toc12415"/>
      <w:bookmarkStart w:id="1460" w:name="_Toc855"/>
      <w:bookmarkStart w:id="1461" w:name="_Toc26481"/>
      <w:r>
        <w:rPr>
          <w:rFonts w:hint="eastAsia" w:ascii="宋体" w:hAnsi="宋体" w:eastAsia="宋体" w:cs="宋体"/>
          <w:b w:val="0"/>
          <w:bCs w:val="0"/>
          <w:color w:val="auto"/>
          <w:sz w:val="24"/>
          <w:szCs w:val="24"/>
          <w:highlight w:val="none"/>
        </w:rPr>
        <w:t>7.4测量放线</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14:paraId="13139F0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83017F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4E489A5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7.4.2 承包人负责施工过程中的全部施工测量放线工作，并配置具有相应资质的人员、合格的仪器、设备和其他物品。承包人应</w:t>
      </w:r>
      <w:r>
        <w:rPr>
          <w:rFonts w:hint="eastAsia" w:ascii="宋体" w:hAnsi="宋体" w:eastAsia="宋体" w:cs="宋体"/>
          <w:color w:val="auto"/>
          <w:kern w:val="0"/>
          <w:sz w:val="24"/>
          <w:szCs w:val="24"/>
          <w:highlight w:val="none"/>
          <w:lang w:eastAsia="zh-CN"/>
        </w:rPr>
        <w:t>纠正</w:t>
      </w:r>
      <w:r>
        <w:rPr>
          <w:rFonts w:hint="eastAsia" w:ascii="宋体" w:hAnsi="宋体" w:eastAsia="宋体" w:cs="宋体"/>
          <w:color w:val="auto"/>
          <w:kern w:val="0"/>
          <w:sz w:val="24"/>
          <w:szCs w:val="24"/>
          <w:highlight w:val="none"/>
        </w:rPr>
        <w:t>工程的位置、标高、尺寸或准线中出现的任何差错，并对工程各部分的定位负责。</w:t>
      </w:r>
    </w:p>
    <w:p w14:paraId="6D6777D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施工过程中对施工现场内水准点等测量标志物的保护工作由承包人负责。</w:t>
      </w:r>
      <w:bookmarkStart w:id="1462" w:name="_Toc351203547"/>
      <w:bookmarkEnd w:id="1462"/>
    </w:p>
    <w:p w14:paraId="6FF9010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63" w:name="_Toc28407"/>
      <w:bookmarkStart w:id="1464" w:name="_Toc7374"/>
      <w:bookmarkStart w:id="1465" w:name="_Toc20762"/>
      <w:bookmarkStart w:id="1466" w:name="_Toc739"/>
      <w:bookmarkStart w:id="1467" w:name="_Toc14241"/>
      <w:bookmarkStart w:id="1468" w:name="_Toc28304"/>
      <w:bookmarkStart w:id="1469" w:name="_Toc6926"/>
      <w:bookmarkStart w:id="1470" w:name="_Toc5010"/>
      <w:bookmarkStart w:id="1471" w:name="_Toc26119"/>
      <w:bookmarkStart w:id="1472" w:name="_Toc22616"/>
      <w:bookmarkStart w:id="1473" w:name="_Toc23015"/>
      <w:bookmarkStart w:id="1474" w:name="_Toc265"/>
      <w:bookmarkStart w:id="1475" w:name="_Toc10991"/>
      <w:r>
        <w:rPr>
          <w:rFonts w:hint="eastAsia" w:ascii="宋体" w:hAnsi="宋体" w:eastAsia="宋体" w:cs="宋体"/>
          <w:b w:val="0"/>
          <w:bCs w:val="0"/>
          <w:color w:val="auto"/>
          <w:sz w:val="24"/>
          <w:szCs w:val="24"/>
          <w:highlight w:val="none"/>
        </w:rPr>
        <w:t>7</w:t>
      </w:r>
      <w:bookmarkStart w:id="1476" w:name="_Toc296346574"/>
      <w:bookmarkEnd w:id="1476"/>
      <w:bookmarkStart w:id="1477" w:name="_Toc296503073"/>
      <w:bookmarkEnd w:id="1477"/>
      <w:bookmarkStart w:id="1478" w:name="_Toc337558772"/>
      <w:r>
        <w:rPr>
          <w:rFonts w:hint="eastAsia" w:ascii="宋体" w:hAnsi="宋体" w:eastAsia="宋体" w:cs="宋体"/>
          <w:b w:val="0"/>
          <w:bCs w:val="0"/>
          <w:color w:val="auto"/>
          <w:sz w:val="24"/>
          <w:szCs w:val="24"/>
          <w:highlight w:val="none"/>
        </w:rPr>
        <w:t>.5</w:t>
      </w:r>
      <w:bookmarkEnd w:id="1478"/>
      <w:r>
        <w:rPr>
          <w:rFonts w:hint="eastAsia" w:ascii="宋体" w:hAnsi="宋体" w:eastAsia="宋体" w:cs="宋体"/>
          <w:b w:val="0"/>
          <w:bCs w:val="0"/>
          <w:color w:val="auto"/>
          <w:sz w:val="24"/>
          <w:szCs w:val="24"/>
          <w:highlight w:val="none"/>
        </w:rPr>
        <w:t xml:space="preserve"> 工期延误</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14:paraId="4736DCBF">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7.5.1 因发包人原因导致工期延误</w:t>
      </w:r>
    </w:p>
    <w:p w14:paraId="2C20FB0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在合同履行过程中，因下列情况导致工期延误和（或）费用增加的，由发包人承担由此延误的工期和（或）增加的费用，且发包人应支付承包人合理的利润： </w:t>
      </w:r>
    </w:p>
    <w:p w14:paraId="517F0E4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（1）发包人未能按合同约定提供图纸或所提供图纸不符合合同约定的；</w:t>
      </w:r>
    </w:p>
    <w:p w14:paraId="7D76956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（2）发包人未能按合同约定提供施工现场、施工条件、基础资料、许可、批准等开工条件的；</w:t>
      </w:r>
    </w:p>
    <w:p w14:paraId="4DE323A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（3）发包人提供的测量基准点、基准线和水准点及其书面资料存在错误或疏漏的；</w:t>
      </w:r>
    </w:p>
    <w:p w14:paraId="787B60C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（4）发包人未能在计划开工日期之日起7天内同意下达开工通知的；</w:t>
      </w:r>
    </w:p>
    <w:p w14:paraId="2E744CE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（5）发包人未能按合同约定日期支付工程预付款、进度款或竣工结算款的；</w:t>
      </w:r>
    </w:p>
    <w:p w14:paraId="4DB81DB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（6）监理人未按合同约定发出指示、批准等文件的；</w:t>
      </w:r>
    </w:p>
    <w:p w14:paraId="7AA91BE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（7）专用合同条款中约定的其他情形。</w:t>
      </w:r>
    </w:p>
    <w:p w14:paraId="28A2BEE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5D6111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7.5.2 因承包人原因导致工期延误</w:t>
      </w:r>
    </w:p>
    <w:p w14:paraId="759556A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1479" w:name="_Toc296346577"/>
      <w:bookmarkEnd w:id="1479"/>
      <w:bookmarkStart w:id="1480" w:name="_Toc296503076"/>
      <w:r>
        <w:rPr>
          <w:rFonts w:hint="eastAsia" w:ascii="宋体" w:hAnsi="宋体" w:eastAsia="宋体" w:cs="宋体"/>
          <w:color w:val="auto"/>
          <w:kern w:val="0"/>
          <w:sz w:val="24"/>
          <w:szCs w:val="24"/>
          <w:highlight w:val="none"/>
        </w:rPr>
        <w:t>因</w:t>
      </w:r>
      <w:bookmarkEnd w:id="1480"/>
      <w:r>
        <w:rPr>
          <w:rFonts w:hint="eastAsia" w:ascii="宋体" w:hAnsi="宋体" w:eastAsia="宋体" w:cs="宋体"/>
          <w:color w:val="auto"/>
          <w:kern w:val="0"/>
          <w:sz w:val="24"/>
          <w:szCs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128B42F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481" w:name="_Toc351203548"/>
      <w:bookmarkEnd w:id="1481"/>
      <w:bookmarkStart w:id="1482" w:name="_Toc29706"/>
      <w:bookmarkStart w:id="1483" w:name="_Toc32267"/>
      <w:bookmarkStart w:id="1484" w:name="_Toc460"/>
      <w:bookmarkStart w:id="1485" w:name="_Toc31115"/>
      <w:bookmarkStart w:id="1486" w:name="_Toc14014"/>
      <w:bookmarkStart w:id="1487" w:name="_Toc16862"/>
      <w:bookmarkStart w:id="1488" w:name="_Toc5896"/>
      <w:bookmarkStart w:id="1489" w:name="_Toc22874"/>
      <w:bookmarkStart w:id="1490" w:name="_Toc15330"/>
      <w:bookmarkStart w:id="1491" w:name="_Toc29996"/>
      <w:bookmarkStart w:id="1492" w:name="_Toc6882"/>
      <w:bookmarkStart w:id="1493" w:name="_Toc30041"/>
      <w:bookmarkStart w:id="1494" w:name="_Toc21658"/>
      <w:r>
        <w:rPr>
          <w:rFonts w:hint="eastAsia" w:ascii="宋体" w:hAnsi="宋体" w:eastAsia="宋体" w:cs="宋体"/>
          <w:b w:val="0"/>
          <w:bCs w:val="0"/>
          <w:color w:val="auto"/>
          <w:sz w:val="24"/>
          <w:szCs w:val="24"/>
          <w:highlight w:val="none"/>
        </w:rPr>
        <w:t>7</w:t>
      </w:r>
      <w:bookmarkStart w:id="1495" w:name="_Toc296346575"/>
      <w:bookmarkEnd w:id="1495"/>
      <w:bookmarkStart w:id="1496" w:name="_Toc296346578"/>
      <w:bookmarkEnd w:id="1496"/>
      <w:bookmarkStart w:id="1497" w:name="_Toc337558773"/>
      <w:bookmarkEnd w:id="1497"/>
      <w:bookmarkStart w:id="1498" w:name="_Toc296503074"/>
      <w:bookmarkEnd w:id="1498"/>
      <w:bookmarkStart w:id="1499" w:name="_Toc296503077"/>
      <w:r>
        <w:rPr>
          <w:rFonts w:hint="eastAsia" w:ascii="宋体" w:hAnsi="宋体" w:eastAsia="宋体" w:cs="宋体"/>
          <w:b w:val="0"/>
          <w:bCs w:val="0"/>
          <w:color w:val="auto"/>
          <w:sz w:val="24"/>
          <w:szCs w:val="24"/>
          <w:highlight w:val="none"/>
        </w:rPr>
        <w:t>.6 不利物质条件</w:t>
      </w:r>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9"/>
    </w:p>
    <w:p w14:paraId="1C7BA06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3EBBF4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2106108D">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500" w:name="_Toc351203549"/>
      <w:bookmarkEnd w:id="1500"/>
      <w:bookmarkStart w:id="1501" w:name="_Toc21538"/>
      <w:bookmarkStart w:id="1502" w:name="_Toc30406"/>
      <w:bookmarkStart w:id="1503" w:name="_Toc25626"/>
      <w:bookmarkStart w:id="1504" w:name="_Toc17103"/>
      <w:bookmarkStart w:id="1505" w:name="_Toc22605"/>
      <w:bookmarkStart w:id="1506" w:name="_Toc28790"/>
      <w:bookmarkStart w:id="1507" w:name="_Toc18746"/>
      <w:bookmarkStart w:id="1508" w:name="_Toc18518"/>
      <w:bookmarkStart w:id="1509" w:name="_Toc9352"/>
      <w:bookmarkStart w:id="1510" w:name="_Toc13425"/>
      <w:bookmarkStart w:id="1511" w:name="_Toc9909"/>
      <w:bookmarkStart w:id="1512" w:name="_Toc20345"/>
      <w:bookmarkStart w:id="1513" w:name="_Toc7652"/>
      <w:r>
        <w:rPr>
          <w:rFonts w:hint="eastAsia" w:ascii="宋体" w:hAnsi="宋体" w:eastAsia="宋体" w:cs="宋体"/>
          <w:b w:val="0"/>
          <w:bCs w:val="0"/>
          <w:color w:val="auto"/>
          <w:sz w:val="24"/>
          <w:szCs w:val="24"/>
          <w:highlight w:val="none"/>
        </w:rPr>
        <w:t>7</w:t>
      </w:r>
      <w:bookmarkStart w:id="1514" w:name="_Toc296346576"/>
      <w:bookmarkEnd w:id="1514"/>
      <w:bookmarkStart w:id="1515" w:name="_Toc337558774"/>
      <w:bookmarkEnd w:id="1515"/>
      <w:bookmarkStart w:id="1516" w:name="_Toc296503075"/>
      <w:r>
        <w:rPr>
          <w:rFonts w:hint="eastAsia" w:ascii="宋体" w:hAnsi="宋体" w:eastAsia="宋体" w:cs="宋体"/>
          <w:b w:val="0"/>
          <w:bCs w:val="0"/>
          <w:color w:val="auto"/>
          <w:sz w:val="24"/>
          <w:szCs w:val="24"/>
          <w:highlight w:val="none"/>
        </w:rPr>
        <w:t>.7</w:t>
      </w:r>
      <w:bookmarkEnd w:id="1516"/>
      <w:r>
        <w:rPr>
          <w:rFonts w:hint="eastAsia" w:ascii="宋体" w:hAnsi="宋体" w:eastAsia="宋体" w:cs="宋体"/>
          <w:b w:val="0"/>
          <w:bCs w:val="0"/>
          <w:color w:val="auto"/>
          <w:sz w:val="24"/>
          <w:szCs w:val="24"/>
          <w:highlight w:val="none"/>
        </w:rPr>
        <w:t xml:space="preserve"> 异常恶劣的气候条件</w:t>
      </w:r>
      <w:bookmarkEnd w:id="1501"/>
      <w:bookmarkEnd w:id="1502"/>
      <w:bookmarkEnd w:id="1503"/>
      <w:bookmarkEnd w:id="1504"/>
      <w:bookmarkEnd w:id="1505"/>
      <w:bookmarkEnd w:id="1506"/>
      <w:bookmarkEnd w:id="1507"/>
      <w:bookmarkEnd w:id="1508"/>
      <w:bookmarkEnd w:id="1509"/>
      <w:bookmarkEnd w:id="1510"/>
      <w:bookmarkEnd w:id="1511"/>
      <w:bookmarkEnd w:id="1512"/>
      <w:bookmarkEnd w:id="1513"/>
    </w:p>
    <w:p w14:paraId="238FCA9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ED5E5A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517" w:name="_Toc351203550"/>
      <w:bookmarkEnd w:id="1517"/>
    </w:p>
    <w:p w14:paraId="1FBCA5E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1518" w:name="_Toc2437"/>
      <w:bookmarkStart w:id="1519" w:name="_Toc2757"/>
      <w:bookmarkStart w:id="1520" w:name="_Toc1314"/>
      <w:bookmarkStart w:id="1521" w:name="_Toc29769"/>
      <w:bookmarkStart w:id="1522" w:name="_Toc14264"/>
      <w:bookmarkStart w:id="1523" w:name="_Toc25798"/>
      <w:bookmarkStart w:id="1524" w:name="_Toc4177"/>
      <w:bookmarkStart w:id="1525" w:name="_Toc21865"/>
      <w:bookmarkStart w:id="1526" w:name="_Toc10201"/>
      <w:bookmarkStart w:id="1527" w:name="_Toc32494"/>
      <w:bookmarkStart w:id="1528" w:name="_Toc14712"/>
      <w:bookmarkStart w:id="1529" w:name="_Toc17260"/>
      <w:bookmarkStart w:id="1530" w:name="_Toc11378"/>
      <w:bookmarkStart w:id="1531" w:name="_Toc32513"/>
      <w:r>
        <w:rPr>
          <w:rFonts w:hint="eastAsia" w:ascii="宋体" w:hAnsi="宋体" w:eastAsia="宋体" w:cs="宋体"/>
          <w:color w:val="auto"/>
          <w:sz w:val="24"/>
          <w:szCs w:val="24"/>
          <w:highlight w:val="none"/>
        </w:rPr>
        <w:t>7</w:t>
      </w:r>
      <w:bookmarkStart w:id="1532" w:name="_Toc337558775"/>
      <w:r>
        <w:rPr>
          <w:rFonts w:hint="eastAsia" w:ascii="宋体" w:hAnsi="宋体" w:eastAsia="宋体" w:cs="宋体"/>
          <w:color w:val="auto"/>
          <w:sz w:val="24"/>
          <w:szCs w:val="24"/>
          <w:highlight w:val="none"/>
        </w:rPr>
        <w:t>.8</w:t>
      </w:r>
      <w:bookmarkEnd w:id="1532"/>
      <w:r>
        <w:rPr>
          <w:rFonts w:hint="eastAsia" w:ascii="宋体" w:hAnsi="宋体" w:eastAsia="宋体" w:cs="宋体"/>
          <w:color w:val="auto"/>
          <w:sz w:val="24"/>
          <w:szCs w:val="24"/>
          <w:highlight w:val="none"/>
        </w:rPr>
        <w:t xml:space="preserve"> 暂停施工</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14:paraId="28AC3E1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7.8.1发包人原因引起的暂停施工</w:t>
      </w:r>
    </w:p>
    <w:p w14:paraId="499CA94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因发包人原因引起暂停施工的，监理人经发包人同意后，应及时下达暂停施工指示。情况紧急且监理人未及时下达暂停施工指示的，按照第7.8.4项〔紧急情况下的暂停施工〕执行。</w:t>
      </w:r>
    </w:p>
    <w:p w14:paraId="3038BD7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因发包人原因引起的暂停施工，发包人应承担由此增加的费用和（或）延误的工期，并支付承包人合理的利润。</w:t>
      </w:r>
    </w:p>
    <w:p w14:paraId="01E2901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7.8.2 承包人原因引起的暂停施工</w:t>
      </w:r>
    </w:p>
    <w:p w14:paraId="5B5A31D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3CE75A3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7.8.3 指示暂停施工</w:t>
      </w:r>
    </w:p>
    <w:p w14:paraId="321EB09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监理人认为有必要时，并经发包人批准后，可向承包人作出暂停施工的指示，承包人应按监理人指示暂停施工。</w:t>
      </w:r>
    </w:p>
    <w:p w14:paraId="0A0AECF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7.8.4 紧急情况下的暂停施工</w:t>
      </w:r>
    </w:p>
    <w:p w14:paraId="35B6070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3603697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7.8.5 暂停施工后的复工</w:t>
      </w:r>
    </w:p>
    <w:p w14:paraId="0D36576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3FB674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承包人无故拖延和拒绝复工的，承包人承担由此增加的费用和（或）延误的工期；因发包人原因无法按时复工的，按照第7.5.1项〔因发包人原因导致工期延误〕约定办理。</w:t>
      </w:r>
    </w:p>
    <w:p w14:paraId="71A7030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7.8.6 暂停施工持续56天以上</w:t>
      </w:r>
    </w:p>
    <w:p w14:paraId="4C858824">
      <w:pPr>
        <w:pageBreakBefore w:val="0"/>
        <w:widowControl/>
        <w:kinsoku/>
        <w:wordWrap/>
        <w:overflowPunct/>
        <w:topLinePunct w:val="0"/>
        <w:bidi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640CF6A">
      <w:pPr>
        <w:pageBreakBefore w:val="0"/>
        <w:widowControl/>
        <w:kinsoku/>
        <w:wordWrap/>
        <w:overflowPunct/>
        <w:topLinePunct w:val="0"/>
        <w:bidi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3550AE4A">
      <w:pPr>
        <w:pageBreakBefore w:val="0"/>
        <w:widowControl/>
        <w:kinsoku/>
        <w:wordWrap/>
        <w:overflowPunct/>
        <w:topLinePunct w:val="0"/>
        <w:bidi w:val="0"/>
        <w:spacing w:line="360" w:lineRule="auto"/>
        <w:ind w:left="16"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7.8.7 暂停施工期间的工程照管</w:t>
      </w:r>
    </w:p>
    <w:p w14:paraId="3F43118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暂停施工期间，承包人应负责妥善照管工程并提供安全保障，由此增加的费用由责任方承担。</w:t>
      </w:r>
    </w:p>
    <w:p w14:paraId="6BEEB34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7.8.8 暂停施工的措施</w:t>
      </w:r>
    </w:p>
    <w:p w14:paraId="3198BA0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暂停施工期间，发包人和承包人均应采取必要的措施确保工程质量及安全，防止因暂停施工扩大损失。</w:t>
      </w:r>
    </w:p>
    <w:p w14:paraId="730BE263">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533" w:name="_Toc351203551"/>
      <w:bookmarkEnd w:id="1533"/>
      <w:bookmarkStart w:id="1534" w:name="_Toc3344"/>
      <w:bookmarkStart w:id="1535" w:name="_Toc4622"/>
      <w:bookmarkStart w:id="1536" w:name="_Toc11734"/>
      <w:bookmarkStart w:id="1537" w:name="_Toc30705"/>
      <w:bookmarkStart w:id="1538" w:name="_Toc23844"/>
      <w:bookmarkStart w:id="1539" w:name="_Toc8285"/>
      <w:bookmarkStart w:id="1540" w:name="_Toc23795"/>
      <w:bookmarkStart w:id="1541" w:name="_Toc3307"/>
      <w:bookmarkStart w:id="1542" w:name="_Toc15594"/>
      <w:bookmarkStart w:id="1543" w:name="_Toc1908"/>
      <w:bookmarkStart w:id="1544" w:name="_Toc31490"/>
      <w:bookmarkStart w:id="1545" w:name="_Toc29282"/>
      <w:bookmarkStart w:id="1546" w:name="_Toc6988"/>
      <w:r>
        <w:rPr>
          <w:rFonts w:hint="eastAsia" w:ascii="宋体" w:hAnsi="宋体" w:eastAsia="宋体" w:cs="宋体"/>
          <w:b w:val="0"/>
          <w:bCs w:val="0"/>
          <w:color w:val="auto"/>
          <w:sz w:val="24"/>
          <w:szCs w:val="24"/>
          <w:highlight w:val="none"/>
        </w:rPr>
        <w:t>7.9提前竣工</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p>
    <w:p w14:paraId="0B706E9A">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1DC68B47">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7.9.2 发包人要求承包人提前竣工，或承包人提出提前竣工的建议能够给发包人带来效益的，合同当事人可以在专用合同条款中约定提前竣工的奖励。</w:t>
      </w:r>
    </w:p>
    <w:p w14:paraId="00F7AD84">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547" w:name="_Toc351203552"/>
      <w:bookmarkEnd w:id="1547"/>
      <w:bookmarkStart w:id="1548" w:name="_Toc19523"/>
      <w:bookmarkStart w:id="1549" w:name="_Toc9684"/>
      <w:bookmarkStart w:id="1550" w:name="_Toc10963"/>
      <w:bookmarkStart w:id="1551" w:name="_Toc22504"/>
      <w:bookmarkStart w:id="1552" w:name="_Toc7778"/>
      <w:bookmarkStart w:id="1553" w:name="_Toc17693"/>
      <w:bookmarkStart w:id="1554" w:name="_Toc721"/>
      <w:bookmarkStart w:id="1555" w:name="_Toc283"/>
      <w:bookmarkStart w:id="1556" w:name="_Toc15597"/>
      <w:bookmarkStart w:id="1557" w:name="_Toc11789"/>
      <w:bookmarkStart w:id="1558" w:name="_Toc9693"/>
      <w:bookmarkStart w:id="1559" w:name="_Toc2164"/>
      <w:bookmarkStart w:id="1560" w:name="_Toc16376"/>
      <w:bookmarkStart w:id="1561" w:name="_Toc11798"/>
      <w:r>
        <w:rPr>
          <w:rFonts w:hint="eastAsia" w:ascii="宋体" w:hAnsi="宋体" w:eastAsia="宋体" w:cs="宋体"/>
          <w:b w:val="0"/>
          <w:bCs w:val="0"/>
          <w:color w:val="auto"/>
          <w:sz w:val="24"/>
          <w:szCs w:val="24"/>
          <w:highlight w:val="none"/>
        </w:rPr>
        <w:t>8</w:t>
      </w:r>
      <w:bookmarkStart w:id="1562" w:name="_Toc296503058"/>
      <w:bookmarkEnd w:id="1562"/>
      <w:bookmarkStart w:id="1563" w:name="_Toc296346559"/>
      <w:bookmarkEnd w:id="1563"/>
      <w:bookmarkStart w:id="1564" w:name="_Toc337558776"/>
      <w:r>
        <w:rPr>
          <w:rFonts w:hint="eastAsia" w:ascii="宋体" w:hAnsi="宋体" w:eastAsia="宋体" w:cs="宋体"/>
          <w:b w:val="0"/>
          <w:bCs w:val="0"/>
          <w:color w:val="auto"/>
          <w:sz w:val="24"/>
          <w:szCs w:val="24"/>
          <w:highlight w:val="none"/>
        </w:rPr>
        <w:t>. 材料与设备</w:t>
      </w:r>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4"/>
    </w:p>
    <w:p w14:paraId="2A9BE347">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565" w:name="_Toc351203553"/>
      <w:bookmarkEnd w:id="1565"/>
      <w:bookmarkStart w:id="1566" w:name="_Toc6110"/>
      <w:bookmarkStart w:id="1567" w:name="_Toc13158"/>
      <w:bookmarkStart w:id="1568" w:name="_Toc17976"/>
      <w:bookmarkStart w:id="1569" w:name="_Toc10747"/>
      <w:bookmarkStart w:id="1570" w:name="_Toc6638"/>
      <w:bookmarkStart w:id="1571" w:name="_Toc25920"/>
      <w:bookmarkStart w:id="1572" w:name="_Toc27479"/>
      <w:bookmarkStart w:id="1573" w:name="_Toc11839"/>
      <w:bookmarkStart w:id="1574" w:name="_Toc30253"/>
      <w:bookmarkStart w:id="1575" w:name="_Toc6234"/>
      <w:bookmarkStart w:id="1576" w:name="_Toc26221"/>
      <w:bookmarkStart w:id="1577" w:name="_Toc10365"/>
      <w:bookmarkStart w:id="1578" w:name="_Toc23979"/>
      <w:r>
        <w:rPr>
          <w:rFonts w:hint="eastAsia" w:ascii="宋体" w:hAnsi="宋体" w:eastAsia="宋体" w:cs="宋体"/>
          <w:b w:val="0"/>
          <w:bCs w:val="0"/>
          <w:color w:val="auto"/>
          <w:sz w:val="24"/>
          <w:szCs w:val="24"/>
          <w:highlight w:val="none"/>
        </w:rPr>
        <w:t>8</w:t>
      </w:r>
      <w:bookmarkStart w:id="1579" w:name="_Toc296503059"/>
      <w:bookmarkEnd w:id="1579"/>
      <w:bookmarkStart w:id="1580" w:name="_Toc296346560"/>
      <w:bookmarkEnd w:id="1580"/>
      <w:bookmarkStart w:id="1581" w:name="_Toc337558777"/>
      <w:bookmarkEnd w:id="1581"/>
      <w:bookmarkStart w:id="1582" w:name="_Toc468936960"/>
      <w:r>
        <w:rPr>
          <w:rFonts w:hint="eastAsia" w:ascii="宋体" w:hAnsi="宋体" w:eastAsia="宋体" w:cs="宋体"/>
          <w:b w:val="0"/>
          <w:bCs w:val="0"/>
          <w:color w:val="auto"/>
          <w:sz w:val="24"/>
          <w:szCs w:val="24"/>
          <w:highlight w:val="none"/>
        </w:rPr>
        <w:t>.1发包人供应材料与工程设备</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82"/>
    </w:p>
    <w:p w14:paraId="7336B52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发包人自行供应材料、工程设备的，应在签订合同时在专用合同条款的附件《发包人供应材料设备一览表》中明确材料、工程设备的品种、规格、型号、数量、单价、质量等级和送达地点。</w:t>
      </w:r>
    </w:p>
    <w:p w14:paraId="1673B7C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A8BE570">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color w:val="auto"/>
          <w:sz w:val="24"/>
          <w:szCs w:val="24"/>
          <w:highlight w:val="none"/>
        </w:rPr>
      </w:pPr>
      <w:bookmarkStart w:id="1583" w:name="_Toc351203554"/>
      <w:bookmarkEnd w:id="1583"/>
      <w:bookmarkStart w:id="1584" w:name="_Toc1842"/>
      <w:bookmarkStart w:id="1585" w:name="_Toc11473"/>
      <w:bookmarkStart w:id="1586" w:name="_Toc27268"/>
      <w:bookmarkStart w:id="1587" w:name="_Toc29008"/>
      <w:bookmarkStart w:id="1588" w:name="_Toc29252"/>
      <w:bookmarkStart w:id="1589" w:name="_Toc32044"/>
      <w:bookmarkStart w:id="1590" w:name="_Toc13990"/>
      <w:bookmarkStart w:id="1591" w:name="_Toc11520"/>
      <w:bookmarkStart w:id="1592" w:name="_Toc19708"/>
      <w:bookmarkStart w:id="1593" w:name="_Toc4334"/>
      <w:bookmarkStart w:id="1594" w:name="_Toc12405"/>
      <w:bookmarkStart w:id="1595" w:name="_Toc23899"/>
      <w:bookmarkStart w:id="1596" w:name="_Toc18350"/>
      <w:r>
        <w:rPr>
          <w:rFonts w:hint="eastAsia" w:ascii="宋体" w:hAnsi="宋体" w:eastAsia="宋体" w:cs="宋体"/>
          <w:b w:val="0"/>
          <w:bCs w:val="0"/>
          <w:color w:val="auto"/>
          <w:sz w:val="24"/>
          <w:szCs w:val="24"/>
          <w:highlight w:val="none"/>
        </w:rPr>
        <w:t>8</w:t>
      </w:r>
      <w:bookmarkStart w:id="1597" w:name="_Toc296503060"/>
      <w:bookmarkEnd w:id="1597"/>
      <w:bookmarkStart w:id="1598" w:name="_Toc337558778"/>
      <w:bookmarkEnd w:id="1598"/>
      <w:bookmarkStart w:id="1599" w:name="_Toc296346561"/>
      <w:r>
        <w:rPr>
          <w:rFonts w:hint="eastAsia" w:ascii="宋体" w:hAnsi="宋体" w:eastAsia="宋体" w:cs="宋体"/>
          <w:b w:val="0"/>
          <w:bCs w:val="0"/>
          <w:color w:val="auto"/>
          <w:sz w:val="24"/>
          <w:szCs w:val="24"/>
          <w:highlight w:val="none"/>
        </w:rPr>
        <w:t>.2承包人采购材料与工程设备</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9"/>
    </w:p>
    <w:p w14:paraId="3E17F32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1A9E7BF0">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00" w:name="_Toc351203555"/>
      <w:bookmarkEnd w:id="1600"/>
      <w:bookmarkStart w:id="1601" w:name="_Toc9801"/>
      <w:bookmarkStart w:id="1602" w:name="_Toc22920"/>
      <w:bookmarkStart w:id="1603" w:name="_Toc19101"/>
      <w:bookmarkStart w:id="1604" w:name="_Toc976"/>
      <w:bookmarkStart w:id="1605" w:name="_Toc11534"/>
      <w:bookmarkStart w:id="1606" w:name="_Toc7847"/>
      <w:bookmarkStart w:id="1607" w:name="_Toc9074"/>
      <w:bookmarkStart w:id="1608" w:name="_Toc19462"/>
      <w:bookmarkStart w:id="1609" w:name="_Toc15351"/>
      <w:bookmarkStart w:id="1610" w:name="_Toc11181"/>
      <w:bookmarkStart w:id="1611" w:name="_Toc5439"/>
      <w:bookmarkStart w:id="1612" w:name="_Toc13663"/>
      <w:bookmarkStart w:id="1613" w:name="_Toc5176"/>
      <w:r>
        <w:rPr>
          <w:rFonts w:hint="eastAsia" w:ascii="宋体" w:hAnsi="宋体" w:eastAsia="宋体" w:cs="宋体"/>
          <w:b w:val="0"/>
          <w:bCs w:val="0"/>
          <w:color w:val="auto"/>
          <w:sz w:val="24"/>
          <w:szCs w:val="24"/>
          <w:highlight w:val="none"/>
        </w:rPr>
        <w:t>8</w:t>
      </w:r>
      <w:bookmarkStart w:id="1614" w:name="_Toc337558779"/>
      <w:bookmarkEnd w:id="1614"/>
      <w:bookmarkStart w:id="1615" w:name="_Toc296503061"/>
      <w:bookmarkEnd w:id="1615"/>
      <w:bookmarkStart w:id="1616" w:name="_Toc296346562"/>
      <w:r>
        <w:rPr>
          <w:rFonts w:hint="eastAsia" w:ascii="宋体" w:hAnsi="宋体" w:eastAsia="宋体" w:cs="宋体"/>
          <w:b w:val="0"/>
          <w:bCs w:val="0"/>
          <w:color w:val="auto"/>
          <w:sz w:val="24"/>
          <w:szCs w:val="24"/>
          <w:highlight w:val="none"/>
        </w:rPr>
        <w:t>.3材料与工程设备的接收与拒收</w:t>
      </w:r>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6"/>
    </w:p>
    <w:p w14:paraId="7BA979B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F0FED3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发包人提供的材料和工程设备的规格、数量或质量不符合合同约定的，或因发包人原因导致交货日期延误或交货地点变更等情况的，按照第16.1款〔发包人违约〕约定办理。</w:t>
      </w:r>
    </w:p>
    <w:p w14:paraId="54E2767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8.3.2 承包人采购的材料和工程设备，应保证产品质量合格，承包人应在材料和工程设备到货前24小时通知监理人检验。承</w:t>
      </w:r>
      <w:bookmarkStart w:id="1617" w:name="_Toc250655469"/>
      <w:r>
        <w:rPr>
          <w:rFonts w:hint="eastAsia" w:ascii="宋体" w:hAnsi="宋体" w:eastAsia="宋体" w:cs="宋体"/>
          <w:color w:val="auto"/>
          <w:kern w:val="0"/>
          <w:sz w:val="24"/>
          <w:szCs w:val="24"/>
          <w:highlight w:val="none"/>
        </w:rPr>
        <w:t>包人进行永久设备、材料的制造和生产的，应符合相关质量标准，并向监理人提交材料的样本以及有关资料，并应在使用该材料或工程设备之前获得监理人同意。</w:t>
      </w:r>
      <w:bookmarkEnd w:id="1617"/>
    </w:p>
    <w:p w14:paraId="3416B2DA">
      <w:pPr>
        <w:pageBreakBefore w:val="0"/>
        <w:widowControl/>
        <w:kinsoku/>
        <w:wordWrap/>
        <w:overflowPunct/>
        <w:topLinePunct w:val="0"/>
        <w:autoSpaceDE w:val="0"/>
        <w:autoSpaceDN w:val="0"/>
        <w:bidi w:val="0"/>
        <w:adjustRightInd w:val="0"/>
        <w:snapToGrid/>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7893EFDA">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18" w:name="_Toc351203556"/>
      <w:bookmarkEnd w:id="1618"/>
      <w:bookmarkStart w:id="1619" w:name="_Toc24114"/>
      <w:bookmarkStart w:id="1620" w:name="_Toc10834"/>
      <w:bookmarkStart w:id="1621" w:name="_Toc7980"/>
      <w:bookmarkStart w:id="1622" w:name="_Toc21336"/>
      <w:bookmarkStart w:id="1623" w:name="_Toc23211"/>
      <w:bookmarkStart w:id="1624" w:name="_Toc24886"/>
      <w:bookmarkStart w:id="1625" w:name="_Toc2333"/>
      <w:bookmarkStart w:id="1626" w:name="_Toc7514"/>
      <w:bookmarkStart w:id="1627" w:name="_Toc19731"/>
      <w:bookmarkStart w:id="1628" w:name="_Toc19058"/>
      <w:bookmarkStart w:id="1629" w:name="_Toc30103"/>
      <w:bookmarkStart w:id="1630" w:name="_Toc28101"/>
      <w:bookmarkStart w:id="1631" w:name="_Toc12966"/>
      <w:r>
        <w:rPr>
          <w:rFonts w:hint="eastAsia" w:ascii="宋体" w:hAnsi="宋体" w:eastAsia="宋体" w:cs="宋体"/>
          <w:b w:val="0"/>
          <w:bCs w:val="0"/>
          <w:color w:val="auto"/>
          <w:sz w:val="24"/>
          <w:szCs w:val="24"/>
          <w:highlight w:val="none"/>
        </w:rPr>
        <w:t>8</w:t>
      </w:r>
      <w:bookmarkStart w:id="1632" w:name="_Toc296346563"/>
      <w:bookmarkEnd w:id="1632"/>
      <w:bookmarkStart w:id="1633" w:name="_Toc296503062"/>
      <w:bookmarkEnd w:id="1633"/>
      <w:bookmarkStart w:id="1634" w:name="_Toc337558780"/>
      <w:r>
        <w:rPr>
          <w:rFonts w:hint="eastAsia" w:ascii="宋体" w:hAnsi="宋体" w:eastAsia="宋体" w:cs="宋体"/>
          <w:b w:val="0"/>
          <w:bCs w:val="0"/>
          <w:color w:val="auto"/>
          <w:sz w:val="24"/>
          <w:szCs w:val="24"/>
          <w:highlight w:val="none"/>
        </w:rPr>
        <w:t>.4材料与工程设备的保管与使用</w:t>
      </w:r>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4"/>
    </w:p>
    <w:p w14:paraId="1A7FD27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8.4.1 发包人供应</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617510C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F77584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发包人供应的材料和工程设备使用前，由承包人负责检验，检验费用由发包人承担，不合格的不得使用。</w:t>
      </w:r>
    </w:p>
    <w:p w14:paraId="441386C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8.4.2 承包人采购</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1A15A9E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DAFA1A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发包人或监理人发现承包人使用不符合设计或有关标准要求的材料和工程设备时，有权要求承包人进行修复、拆除或重新采购，由此增加的费用和（或）延误的工期，由承包人承担。</w:t>
      </w:r>
    </w:p>
    <w:p w14:paraId="002608A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35" w:name="_Toc351203557"/>
      <w:bookmarkEnd w:id="1635"/>
      <w:bookmarkStart w:id="1636" w:name="_Toc5469"/>
      <w:bookmarkStart w:id="1637" w:name="_Toc6701"/>
      <w:bookmarkStart w:id="1638" w:name="_Toc28019"/>
      <w:bookmarkStart w:id="1639" w:name="_Toc9187"/>
      <w:bookmarkStart w:id="1640" w:name="_Toc26462"/>
      <w:bookmarkStart w:id="1641" w:name="_Toc23797"/>
      <w:bookmarkStart w:id="1642" w:name="_Toc446"/>
      <w:bookmarkStart w:id="1643" w:name="_Toc19565"/>
      <w:bookmarkStart w:id="1644" w:name="_Toc800"/>
      <w:bookmarkStart w:id="1645" w:name="_Toc16514"/>
      <w:bookmarkStart w:id="1646" w:name="_Toc13409"/>
      <w:bookmarkStart w:id="1647" w:name="_Toc25224"/>
      <w:bookmarkStart w:id="1648" w:name="_Toc15807"/>
      <w:r>
        <w:rPr>
          <w:rFonts w:hint="eastAsia" w:ascii="宋体" w:hAnsi="宋体" w:eastAsia="宋体" w:cs="宋体"/>
          <w:b w:val="0"/>
          <w:bCs w:val="0"/>
          <w:color w:val="auto"/>
          <w:sz w:val="24"/>
          <w:szCs w:val="24"/>
          <w:highlight w:val="none"/>
        </w:rPr>
        <w:t>8.5禁止使用不合格的材料和工程设备</w:t>
      </w:r>
      <w:bookmarkEnd w:id="1636"/>
      <w:bookmarkEnd w:id="1637"/>
      <w:bookmarkEnd w:id="1638"/>
      <w:bookmarkEnd w:id="1639"/>
      <w:bookmarkEnd w:id="1640"/>
      <w:bookmarkEnd w:id="1641"/>
      <w:bookmarkEnd w:id="1642"/>
      <w:bookmarkEnd w:id="1643"/>
      <w:bookmarkEnd w:id="1644"/>
      <w:bookmarkEnd w:id="1645"/>
      <w:bookmarkEnd w:id="1646"/>
      <w:bookmarkEnd w:id="1647"/>
      <w:bookmarkEnd w:id="1648"/>
    </w:p>
    <w:p w14:paraId="67C98BA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8.5.1 监理人有权拒绝承包人提供的不合格材料或工程设备，并要求承包人立即进行更换。监理人应在更换后再次进行检查和检验，由此增加的费用和（或）延误的工期由承包人承担。</w:t>
      </w:r>
    </w:p>
    <w:p w14:paraId="20B4EBD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8.5.2 监理人发现承包人使用了不合格的材料和工程设备，承包人应按照监理人的指示立即改正，并禁止在工程中继续使用不合格的材料和工程设备。</w:t>
      </w:r>
    </w:p>
    <w:p w14:paraId="25EE199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8.5.3 发包人提供的材料或工程设备不符合合同要求的，承包人有权拒绝，并可要求发包人更换，由此增加的费用和（或）延误的工期由发包人承担，并支付承包人合理的利润。</w:t>
      </w:r>
    </w:p>
    <w:p w14:paraId="7EF6195D">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49" w:name="_Toc351203558"/>
      <w:bookmarkEnd w:id="1649"/>
      <w:bookmarkStart w:id="1650" w:name="_Toc13509"/>
      <w:bookmarkStart w:id="1651" w:name="_Toc2805"/>
      <w:bookmarkStart w:id="1652" w:name="_Toc21341"/>
      <w:bookmarkStart w:id="1653" w:name="_Toc20066"/>
      <w:bookmarkStart w:id="1654" w:name="_Toc4594"/>
      <w:bookmarkStart w:id="1655" w:name="_Toc22105"/>
      <w:bookmarkStart w:id="1656" w:name="_Toc2119"/>
      <w:bookmarkStart w:id="1657" w:name="_Toc3797"/>
      <w:bookmarkStart w:id="1658" w:name="_Toc14652"/>
      <w:bookmarkStart w:id="1659" w:name="_Toc3141"/>
      <w:bookmarkStart w:id="1660" w:name="_Toc16485"/>
      <w:bookmarkStart w:id="1661" w:name="_Toc6592"/>
      <w:bookmarkStart w:id="1662" w:name="_Toc22699"/>
      <w:r>
        <w:rPr>
          <w:rFonts w:hint="eastAsia" w:ascii="宋体" w:hAnsi="宋体" w:eastAsia="宋体" w:cs="宋体"/>
          <w:b w:val="0"/>
          <w:bCs w:val="0"/>
          <w:color w:val="auto"/>
          <w:sz w:val="24"/>
          <w:szCs w:val="24"/>
          <w:highlight w:val="none"/>
        </w:rPr>
        <w:t>8.6 样品</w:t>
      </w:r>
      <w:bookmarkEnd w:id="1650"/>
      <w:bookmarkEnd w:id="1651"/>
      <w:bookmarkEnd w:id="1652"/>
      <w:bookmarkEnd w:id="1653"/>
      <w:bookmarkEnd w:id="1654"/>
      <w:bookmarkEnd w:id="1655"/>
      <w:bookmarkEnd w:id="1656"/>
      <w:bookmarkEnd w:id="1657"/>
      <w:bookmarkEnd w:id="1658"/>
      <w:bookmarkEnd w:id="1659"/>
      <w:bookmarkEnd w:id="1660"/>
      <w:bookmarkEnd w:id="1661"/>
      <w:bookmarkEnd w:id="1662"/>
    </w:p>
    <w:p w14:paraId="37DAAE8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57A8AD7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需要承包人报送样品的材料或工程设备，样品的种类、名称、规格、数量等要求均应在专用合同条款中约定。样品的报送程序如下：</w:t>
      </w:r>
    </w:p>
    <w:p w14:paraId="127830D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34B5D45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5B254DC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（3）经发包人和监理人审批确认的样品应按约定的方法封样，封存的样品作为检验工程相关部分的标准之一。承包人在施工过程中不得使用与样品不符的材料或工程设备。</w:t>
      </w:r>
    </w:p>
    <w:p w14:paraId="4C28BAD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9CD941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8.6.2 样品的保管</w:t>
      </w:r>
    </w:p>
    <w:p w14:paraId="0EF5F18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经批准的样品应由监理人负责封存于现场，承包人应在现场为保存样品提供适当和固定的场所并保持适当和良好的存储环境条件。</w:t>
      </w:r>
    </w:p>
    <w:p w14:paraId="7CDF4830">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63" w:name="_Toc351203559"/>
      <w:bookmarkEnd w:id="1663"/>
      <w:bookmarkStart w:id="1664" w:name="_Toc15301"/>
      <w:bookmarkStart w:id="1665" w:name="_Toc13725"/>
      <w:bookmarkStart w:id="1666" w:name="_Toc24693"/>
      <w:bookmarkStart w:id="1667" w:name="_Toc14641"/>
      <w:bookmarkStart w:id="1668" w:name="_Toc20433"/>
      <w:bookmarkStart w:id="1669" w:name="_Toc20902"/>
      <w:bookmarkStart w:id="1670" w:name="_Toc17938"/>
      <w:bookmarkStart w:id="1671" w:name="_Toc5986"/>
      <w:bookmarkStart w:id="1672" w:name="_Toc30965"/>
      <w:bookmarkStart w:id="1673" w:name="_Toc30033"/>
      <w:bookmarkStart w:id="1674" w:name="_Toc3060"/>
      <w:bookmarkStart w:id="1675" w:name="_Toc3022"/>
      <w:bookmarkStart w:id="1676" w:name="_Toc20807"/>
      <w:r>
        <w:rPr>
          <w:rFonts w:hint="eastAsia" w:ascii="宋体" w:hAnsi="宋体" w:eastAsia="宋体" w:cs="宋体"/>
          <w:b w:val="0"/>
          <w:bCs w:val="0"/>
          <w:color w:val="auto"/>
          <w:sz w:val="24"/>
          <w:szCs w:val="24"/>
          <w:highlight w:val="none"/>
        </w:rPr>
        <w:t>8.7材料与工程设备的替代</w:t>
      </w:r>
      <w:bookmarkEnd w:id="1664"/>
      <w:bookmarkEnd w:id="1665"/>
      <w:bookmarkEnd w:id="1666"/>
      <w:bookmarkEnd w:id="1667"/>
      <w:bookmarkEnd w:id="1668"/>
      <w:bookmarkEnd w:id="1669"/>
      <w:bookmarkEnd w:id="1670"/>
      <w:bookmarkEnd w:id="1671"/>
      <w:bookmarkEnd w:id="1672"/>
      <w:bookmarkEnd w:id="1673"/>
      <w:bookmarkEnd w:id="1674"/>
      <w:bookmarkEnd w:id="1675"/>
      <w:bookmarkEnd w:id="1676"/>
    </w:p>
    <w:p w14:paraId="46EB684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8.7.1 出现下列情况需要使用替代材料和工程设备的，承包人应按照第8.7.2项约定的程序执行：</w:t>
      </w:r>
    </w:p>
    <w:p w14:paraId="2FD847F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（1）基准日期后生效的法律规定禁止使用的；</w:t>
      </w:r>
    </w:p>
    <w:p w14:paraId="1D37126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（2）发包人要求使用替代品的；</w:t>
      </w:r>
    </w:p>
    <w:p w14:paraId="5AF655C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（3）因其他原因必须使用替代品的。</w:t>
      </w:r>
    </w:p>
    <w:p w14:paraId="2ACC343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8.7.2 承包人应在使用替代材料和工程设备28天前书面通知监理人，并附下列文件：</w:t>
      </w:r>
    </w:p>
    <w:p w14:paraId="66C8120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（1）被替代的材料和工程设备的名称、数量、规格、型号、品牌、性能、价格及其他相关资料；</w:t>
      </w:r>
    </w:p>
    <w:p w14:paraId="443767B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（2）替代品的名称、数量、规格、型号、品牌、性能、价格及其他相关资料；</w:t>
      </w:r>
    </w:p>
    <w:p w14:paraId="0845722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（3）替代品与被替代产品之间的差异以及使用替代品可能对工程产生的影响；</w:t>
      </w:r>
    </w:p>
    <w:p w14:paraId="7660599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（4）替代品与被替代产品的价格差异；</w:t>
      </w:r>
    </w:p>
    <w:p w14:paraId="0D724EF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（5）使用替代品的理由和原因说明；</w:t>
      </w:r>
    </w:p>
    <w:p w14:paraId="21072DA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（6）监理人要求的其他文件。</w:t>
      </w:r>
    </w:p>
    <w:p w14:paraId="3E61C6E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监理人应在收到通知后14天内向承包人发出经发包人签认的书面指示；监理人逾期发出书面指示的，视为发包人和监理人同意使用替代品。</w:t>
      </w:r>
    </w:p>
    <w:p w14:paraId="40B537F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968EF6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77" w:name="_Toc351203560"/>
      <w:bookmarkEnd w:id="1677"/>
      <w:bookmarkStart w:id="1678" w:name="_Toc23787"/>
      <w:bookmarkStart w:id="1679" w:name="_Toc18909"/>
      <w:bookmarkStart w:id="1680" w:name="_Toc4847"/>
      <w:bookmarkStart w:id="1681" w:name="_Toc2527"/>
      <w:bookmarkStart w:id="1682" w:name="_Toc5961"/>
      <w:bookmarkStart w:id="1683" w:name="_Toc28044"/>
      <w:bookmarkStart w:id="1684" w:name="_Toc19545"/>
      <w:bookmarkStart w:id="1685" w:name="_Toc4497"/>
      <w:bookmarkStart w:id="1686" w:name="_Toc5376"/>
      <w:bookmarkStart w:id="1687" w:name="_Toc12858"/>
      <w:bookmarkStart w:id="1688" w:name="_Toc23854"/>
      <w:bookmarkStart w:id="1689" w:name="_Toc10154"/>
      <w:bookmarkStart w:id="1690" w:name="_Toc6598"/>
      <w:r>
        <w:rPr>
          <w:rFonts w:hint="eastAsia" w:ascii="宋体" w:hAnsi="宋体" w:eastAsia="宋体" w:cs="宋体"/>
          <w:b w:val="0"/>
          <w:bCs w:val="0"/>
          <w:color w:val="auto"/>
          <w:sz w:val="24"/>
          <w:szCs w:val="24"/>
          <w:highlight w:val="none"/>
        </w:rPr>
        <w:t>8.8施工设备和临时设施</w:t>
      </w:r>
      <w:bookmarkEnd w:id="1678"/>
      <w:bookmarkEnd w:id="1679"/>
      <w:bookmarkEnd w:id="1680"/>
      <w:bookmarkEnd w:id="1681"/>
      <w:bookmarkEnd w:id="1682"/>
      <w:bookmarkEnd w:id="1683"/>
      <w:bookmarkEnd w:id="1684"/>
      <w:bookmarkEnd w:id="1685"/>
      <w:bookmarkEnd w:id="1686"/>
      <w:bookmarkEnd w:id="1687"/>
      <w:bookmarkEnd w:id="1688"/>
      <w:bookmarkEnd w:id="1689"/>
      <w:bookmarkEnd w:id="1690"/>
    </w:p>
    <w:p w14:paraId="3290C09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8.8.1 承包人提供的施工设备和临时设施</w:t>
      </w:r>
    </w:p>
    <w:p w14:paraId="1B4A83E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605E2F6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除专用合同条款另有约定外，承包人应自行承担修建临时设施的费用，需要临时占地的，应由发包人办理申请手续并承担相应费用。</w:t>
      </w:r>
    </w:p>
    <w:p w14:paraId="3439905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8.8.2发包人提供的施工设备和临时设施</w:t>
      </w:r>
    </w:p>
    <w:p w14:paraId="554B3F5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发包人提供的施工设备或临时设施在专用合同条款中约定。</w:t>
      </w:r>
    </w:p>
    <w:p w14:paraId="1A43E4C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8.8.3要求承包人增加或更换施工设备</w:t>
      </w:r>
    </w:p>
    <w:p w14:paraId="0115689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1F9AEA2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691" w:name="_Toc351203561"/>
      <w:bookmarkEnd w:id="1691"/>
      <w:bookmarkStart w:id="1692" w:name="_Toc31524"/>
      <w:bookmarkStart w:id="1693" w:name="_Toc24003"/>
      <w:bookmarkStart w:id="1694" w:name="_Toc25048"/>
      <w:bookmarkStart w:id="1695" w:name="_Toc18194"/>
      <w:bookmarkStart w:id="1696" w:name="_Toc4002"/>
      <w:bookmarkStart w:id="1697" w:name="_Toc22763"/>
      <w:bookmarkStart w:id="1698" w:name="_Toc15230"/>
      <w:bookmarkStart w:id="1699" w:name="_Toc22934"/>
      <w:bookmarkStart w:id="1700" w:name="_Toc1430"/>
      <w:bookmarkStart w:id="1701" w:name="_Toc25785"/>
      <w:bookmarkStart w:id="1702" w:name="_Toc8451"/>
      <w:bookmarkStart w:id="1703" w:name="_Toc31071"/>
      <w:bookmarkStart w:id="1704" w:name="_Toc13364"/>
      <w:r>
        <w:rPr>
          <w:rFonts w:hint="eastAsia" w:ascii="宋体" w:hAnsi="宋体" w:eastAsia="宋体" w:cs="宋体"/>
          <w:b w:val="0"/>
          <w:bCs w:val="0"/>
          <w:color w:val="auto"/>
          <w:sz w:val="24"/>
          <w:szCs w:val="24"/>
          <w:highlight w:val="none"/>
        </w:rPr>
        <w:t>8</w:t>
      </w:r>
      <w:bookmarkStart w:id="1705" w:name="_Toc296503063"/>
      <w:bookmarkEnd w:id="1705"/>
      <w:bookmarkStart w:id="1706" w:name="_Toc296346564"/>
      <w:bookmarkEnd w:id="1706"/>
      <w:bookmarkStart w:id="1707" w:name="_Toc337558781"/>
      <w:r>
        <w:rPr>
          <w:rFonts w:hint="eastAsia" w:ascii="宋体" w:hAnsi="宋体" w:eastAsia="宋体" w:cs="宋体"/>
          <w:b w:val="0"/>
          <w:bCs w:val="0"/>
          <w:color w:val="auto"/>
          <w:sz w:val="24"/>
          <w:szCs w:val="24"/>
          <w:highlight w:val="none"/>
        </w:rPr>
        <w:t>.9材料与设备专用</w:t>
      </w:r>
      <w:bookmarkEnd w:id="1707"/>
      <w:r>
        <w:rPr>
          <w:rFonts w:hint="eastAsia" w:ascii="宋体" w:hAnsi="宋体" w:eastAsia="宋体" w:cs="宋体"/>
          <w:b w:val="0"/>
          <w:bCs w:val="0"/>
          <w:color w:val="auto"/>
          <w:sz w:val="24"/>
          <w:szCs w:val="24"/>
          <w:highlight w:val="none"/>
        </w:rPr>
        <w:t>要求</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14:paraId="7FA5F43A">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676E7758">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708" w:name="_Toc351203562"/>
      <w:bookmarkEnd w:id="1708"/>
      <w:bookmarkStart w:id="1709" w:name="_Toc27828"/>
      <w:bookmarkStart w:id="1710" w:name="_Toc16050"/>
      <w:bookmarkStart w:id="1711" w:name="_Toc5417"/>
      <w:bookmarkStart w:id="1712" w:name="_Toc28981"/>
      <w:bookmarkStart w:id="1713" w:name="_Toc10338"/>
      <w:bookmarkStart w:id="1714" w:name="_Toc10616"/>
      <w:bookmarkStart w:id="1715" w:name="_Toc3773"/>
      <w:bookmarkStart w:id="1716" w:name="_Toc24645"/>
      <w:bookmarkStart w:id="1717" w:name="_Toc15827"/>
      <w:bookmarkStart w:id="1718" w:name="_Toc18972"/>
      <w:bookmarkStart w:id="1719" w:name="_Toc21964"/>
      <w:bookmarkStart w:id="1720" w:name="_Toc30177"/>
      <w:bookmarkStart w:id="1721" w:name="_Toc27883"/>
      <w:bookmarkStart w:id="1722" w:name="_Toc15309"/>
      <w:bookmarkStart w:id="1723" w:name="_Toc30602"/>
      <w:r>
        <w:rPr>
          <w:rFonts w:hint="eastAsia" w:ascii="宋体" w:hAnsi="宋体" w:eastAsia="宋体" w:cs="宋体"/>
          <w:b w:val="0"/>
          <w:bCs w:val="0"/>
          <w:color w:val="auto"/>
          <w:sz w:val="24"/>
          <w:szCs w:val="24"/>
          <w:highlight w:val="none"/>
        </w:rPr>
        <w:t>9</w:t>
      </w:r>
      <w:bookmarkStart w:id="1724" w:name="_Toc296346584"/>
      <w:bookmarkEnd w:id="1724"/>
      <w:bookmarkStart w:id="1725" w:name="_Toc337558782"/>
      <w:bookmarkEnd w:id="1725"/>
      <w:bookmarkStart w:id="1726" w:name="_Toc296503083"/>
      <w:r>
        <w:rPr>
          <w:rFonts w:hint="eastAsia" w:ascii="宋体" w:hAnsi="宋体" w:eastAsia="宋体" w:cs="宋体"/>
          <w:b w:val="0"/>
          <w:bCs w:val="0"/>
          <w:color w:val="auto"/>
          <w:sz w:val="24"/>
          <w:szCs w:val="24"/>
          <w:highlight w:val="none"/>
        </w:rPr>
        <w:t>. 试验与检验</w:t>
      </w:r>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6"/>
    </w:p>
    <w:p w14:paraId="7F681ACA">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727" w:name="_Toc351203563"/>
      <w:bookmarkEnd w:id="1727"/>
      <w:bookmarkStart w:id="1728" w:name="_Toc16386"/>
      <w:bookmarkStart w:id="1729" w:name="_Toc520"/>
      <w:bookmarkStart w:id="1730" w:name="_Toc18297"/>
      <w:bookmarkStart w:id="1731" w:name="_Toc7199"/>
      <w:bookmarkStart w:id="1732" w:name="_Toc3449"/>
      <w:bookmarkStart w:id="1733" w:name="_Toc80"/>
      <w:bookmarkStart w:id="1734" w:name="_Toc29031"/>
      <w:bookmarkStart w:id="1735" w:name="_Toc10809"/>
      <w:bookmarkStart w:id="1736" w:name="_Toc14221"/>
      <w:bookmarkStart w:id="1737" w:name="_Toc24387"/>
      <w:bookmarkStart w:id="1738" w:name="_Toc15133"/>
      <w:bookmarkStart w:id="1739" w:name="_Toc12318"/>
      <w:bookmarkStart w:id="1740" w:name="_Toc32290"/>
      <w:r>
        <w:rPr>
          <w:rFonts w:hint="eastAsia" w:ascii="宋体" w:hAnsi="宋体" w:eastAsia="宋体" w:cs="宋体"/>
          <w:b w:val="0"/>
          <w:bCs w:val="0"/>
          <w:color w:val="auto"/>
          <w:sz w:val="24"/>
          <w:szCs w:val="24"/>
          <w:highlight w:val="none"/>
        </w:rPr>
        <w:t>9</w:t>
      </w:r>
      <w:bookmarkStart w:id="1741" w:name="_Toc337558783"/>
      <w:r>
        <w:rPr>
          <w:rFonts w:hint="eastAsia" w:ascii="宋体" w:hAnsi="宋体" w:eastAsia="宋体" w:cs="宋体"/>
          <w:b w:val="0"/>
          <w:bCs w:val="0"/>
          <w:color w:val="auto"/>
          <w:sz w:val="24"/>
          <w:szCs w:val="24"/>
          <w:highlight w:val="none"/>
        </w:rPr>
        <w:t>.1试验设备与试验人员</w:t>
      </w:r>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14:paraId="1E3AFD16">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6EA6913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9.1.2 承包人应按专用合同条款的约定提供试验设备、取样装置、试验场所和试验条件，并向监理人提交相应进场计划表。</w:t>
      </w:r>
    </w:p>
    <w:p w14:paraId="1351AFC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承包人配置的试验设备要符合相应试验规程的要求并经过具有资质的检测单位检测，且在正式使用该试验设备前，需要经过监理人与承包人共同校定。</w:t>
      </w:r>
    </w:p>
    <w:p w14:paraId="6D7E672E">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9.1.3 承包人应向监理人提交试验人员的名单及其岗位、资格等证明资料，试验人员必须能够熟练进行相应的检测试验，承包人对试验人员的试验程序和试验结果的正确性负责。</w:t>
      </w:r>
    </w:p>
    <w:p w14:paraId="11D01038">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742" w:name="_Toc351203564"/>
      <w:bookmarkEnd w:id="1742"/>
      <w:bookmarkStart w:id="1743" w:name="_Toc10374"/>
      <w:bookmarkStart w:id="1744" w:name="_Toc28709"/>
      <w:bookmarkStart w:id="1745" w:name="_Toc31533"/>
      <w:bookmarkStart w:id="1746" w:name="_Toc13816"/>
      <w:bookmarkStart w:id="1747" w:name="_Toc1009"/>
      <w:bookmarkStart w:id="1748" w:name="_Toc22389"/>
      <w:bookmarkStart w:id="1749" w:name="_Toc23307"/>
      <w:bookmarkStart w:id="1750" w:name="_Toc3265"/>
      <w:bookmarkStart w:id="1751" w:name="_Toc28026"/>
      <w:bookmarkStart w:id="1752" w:name="_Toc297"/>
      <w:bookmarkStart w:id="1753" w:name="_Toc15901"/>
      <w:bookmarkStart w:id="1754" w:name="_Toc5262"/>
      <w:bookmarkStart w:id="1755" w:name="_Toc20249"/>
      <w:r>
        <w:rPr>
          <w:rFonts w:hint="eastAsia" w:ascii="宋体" w:hAnsi="宋体" w:eastAsia="宋体" w:cs="宋体"/>
          <w:b w:val="0"/>
          <w:bCs w:val="0"/>
          <w:color w:val="auto"/>
          <w:sz w:val="24"/>
          <w:szCs w:val="24"/>
          <w:highlight w:val="none"/>
        </w:rPr>
        <w:t>9</w:t>
      </w:r>
      <w:bookmarkStart w:id="1756" w:name="_Toc337558784"/>
      <w:r>
        <w:rPr>
          <w:rFonts w:hint="eastAsia" w:ascii="宋体" w:hAnsi="宋体" w:eastAsia="宋体" w:cs="宋体"/>
          <w:b w:val="0"/>
          <w:bCs w:val="0"/>
          <w:color w:val="auto"/>
          <w:sz w:val="24"/>
          <w:szCs w:val="24"/>
          <w:highlight w:val="none"/>
        </w:rPr>
        <w:t>.2取样</w:t>
      </w:r>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p>
    <w:p w14:paraId="210F69E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试验属于自检性质的，承包人可以单独取样。试验属于监理人抽检性质的，可由监理人取样，也可由承包人的试验人员在监理人的监督下取样。</w:t>
      </w:r>
    </w:p>
    <w:p w14:paraId="4DC275B6">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757" w:name="_Toc351203565"/>
      <w:bookmarkEnd w:id="1757"/>
      <w:bookmarkStart w:id="1758" w:name="_Toc8421"/>
      <w:bookmarkStart w:id="1759" w:name="_Toc20394"/>
      <w:bookmarkStart w:id="1760" w:name="_Toc7732"/>
      <w:bookmarkStart w:id="1761" w:name="_Toc17381"/>
      <w:bookmarkStart w:id="1762" w:name="_Toc3949"/>
      <w:bookmarkStart w:id="1763" w:name="_Toc10861"/>
      <w:bookmarkStart w:id="1764" w:name="_Toc19723"/>
      <w:bookmarkStart w:id="1765" w:name="_Toc32135"/>
      <w:bookmarkStart w:id="1766" w:name="_Toc32086"/>
      <w:bookmarkStart w:id="1767" w:name="_Toc16155"/>
      <w:bookmarkStart w:id="1768" w:name="_Toc17005"/>
      <w:bookmarkStart w:id="1769" w:name="_Toc17935"/>
      <w:bookmarkStart w:id="1770" w:name="_Toc12757"/>
      <w:r>
        <w:rPr>
          <w:rFonts w:hint="eastAsia" w:ascii="宋体" w:hAnsi="宋体" w:eastAsia="宋体" w:cs="宋体"/>
          <w:b w:val="0"/>
          <w:bCs w:val="0"/>
          <w:color w:val="auto"/>
          <w:sz w:val="24"/>
          <w:szCs w:val="24"/>
          <w:highlight w:val="none"/>
        </w:rPr>
        <w:t>9</w:t>
      </w:r>
      <w:bookmarkStart w:id="1771" w:name="_Toc337558785"/>
      <w:r>
        <w:rPr>
          <w:rFonts w:hint="eastAsia" w:ascii="宋体" w:hAnsi="宋体" w:eastAsia="宋体" w:cs="宋体"/>
          <w:b w:val="0"/>
          <w:bCs w:val="0"/>
          <w:color w:val="auto"/>
          <w:sz w:val="24"/>
          <w:szCs w:val="24"/>
          <w:highlight w:val="none"/>
        </w:rPr>
        <w:t>.3材料、工程设备和工程的试验和检验</w:t>
      </w:r>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p>
    <w:p w14:paraId="6552BD2A">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68026F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36642DD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6FA3B1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772" w:name="_Toc351203566"/>
      <w:bookmarkEnd w:id="1772"/>
      <w:bookmarkStart w:id="1773" w:name="_Toc15335"/>
      <w:bookmarkStart w:id="1774" w:name="_Toc25122"/>
      <w:bookmarkStart w:id="1775" w:name="_Toc31168"/>
      <w:bookmarkStart w:id="1776" w:name="_Toc28713"/>
      <w:bookmarkStart w:id="1777" w:name="_Toc12060"/>
      <w:bookmarkStart w:id="1778" w:name="_Toc32504"/>
      <w:bookmarkStart w:id="1779" w:name="_Toc22972"/>
      <w:bookmarkStart w:id="1780" w:name="_Toc31201"/>
      <w:bookmarkStart w:id="1781" w:name="_Toc12804"/>
      <w:bookmarkStart w:id="1782" w:name="_Toc23799"/>
      <w:bookmarkStart w:id="1783" w:name="_Toc1856"/>
      <w:bookmarkStart w:id="1784" w:name="_Toc15038"/>
      <w:bookmarkStart w:id="1785" w:name="_Toc20668"/>
      <w:r>
        <w:rPr>
          <w:rFonts w:hint="eastAsia" w:ascii="宋体" w:hAnsi="宋体" w:eastAsia="宋体" w:cs="宋体"/>
          <w:b w:val="0"/>
          <w:bCs w:val="0"/>
          <w:color w:val="auto"/>
          <w:sz w:val="24"/>
          <w:szCs w:val="24"/>
          <w:highlight w:val="none"/>
        </w:rPr>
        <w:t>9</w:t>
      </w:r>
      <w:bookmarkStart w:id="1786" w:name="_Toc337558786"/>
      <w:r>
        <w:rPr>
          <w:rFonts w:hint="eastAsia" w:ascii="宋体" w:hAnsi="宋体" w:eastAsia="宋体" w:cs="宋体"/>
          <w:b w:val="0"/>
          <w:bCs w:val="0"/>
          <w:color w:val="auto"/>
          <w:sz w:val="24"/>
          <w:szCs w:val="24"/>
          <w:highlight w:val="none"/>
        </w:rPr>
        <w:t>.4现场工艺试验</w:t>
      </w:r>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p>
    <w:p w14:paraId="39B8B55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3F3B7F95">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787" w:name="_Toc351203567"/>
      <w:bookmarkEnd w:id="1787"/>
      <w:bookmarkStart w:id="1788" w:name="_Toc11929"/>
      <w:bookmarkStart w:id="1789" w:name="_Toc14832"/>
      <w:bookmarkStart w:id="1790" w:name="_Toc28670"/>
      <w:bookmarkStart w:id="1791" w:name="_Toc3862"/>
      <w:bookmarkStart w:id="1792" w:name="_Toc13334"/>
      <w:bookmarkStart w:id="1793" w:name="_Toc28676"/>
      <w:bookmarkStart w:id="1794" w:name="_Toc5568"/>
      <w:bookmarkStart w:id="1795" w:name="_Toc24804"/>
      <w:bookmarkStart w:id="1796" w:name="_Toc7241"/>
      <w:bookmarkStart w:id="1797" w:name="_Toc16153"/>
      <w:bookmarkStart w:id="1798" w:name="_Toc25814"/>
      <w:bookmarkStart w:id="1799" w:name="_Toc21358"/>
      <w:bookmarkStart w:id="1800" w:name="_Toc21350"/>
      <w:bookmarkStart w:id="1801" w:name="_Toc29636"/>
      <w:bookmarkStart w:id="1802" w:name="_Toc12486"/>
      <w:r>
        <w:rPr>
          <w:rFonts w:hint="eastAsia" w:ascii="宋体" w:hAnsi="宋体" w:eastAsia="宋体" w:cs="宋体"/>
          <w:b w:val="0"/>
          <w:bCs w:val="0"/>
          <w:color w:val="auto"/>
          <w:sz w:val="24"/>
          <w:szCs w:val="24"/>
          <w:highlight w:val="none"/>
        </w:rPr>
        <w:t>1</w:t>
      </w:r>
      <w:bookmarkStart w:id="1803" w:name="_Toc337558787"/>
      <w:r>
        <w:rPr>
          <w:rFonts w:hint="eastAsia" w:ascii="宋体" w:hAnsi="宋体" w:eastAsia="宋体" w:cs="宋体"/>
          <w:b w:val="0"/>
          <w:bCs w:val="0"/>
          <w:color w:val="auto"/>
          <w:sz w:val="24"/>
          <w:szCs w:val="24"/>
          <w:highlight w:val="none"/>
        </w:rPr>
        <w:t>0. 变更</w:t>
      </w:r>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p>
    <w:p w14:paraId="0E5D116D">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804" w:name="_Toc351203568"/>
      <w:bookmarkEnd w:id="1804"/>
      <w:bookmarkStart w:id="1805" w:name="_Toc17269"/>
      <w:bookmarkStart w:id="1806" w:name="_Toc17281"/>
      <w:bookmarkStart w:id="1807" w:name="_Toc2826"/>
      <w:bookmarkStart w:id="1808" w:name="_Toc4964"/>
      <w:bookmarkStart w:id="1809" w:name="_Toc6838"/>
      <w:bookmarkStart w:id="1810" w:name="_Toc7283"/>
      <w:bookmarkStart w:id="1811" w:name="_Toc12754"/>
      <w:bookmarkStart w:id="1812" w:name="_Toc6279"/>
      <w:bookmarkStart w:id="1813" w:name="_Toc10323"/>
      <w:bookmarkStart w:id="1814" w:name="_Toc16040"/>
      <w:bookmarkStart w:id="1815" w:name="_Toc17912"/>
      <w:bookmarkStart w:id="1816" w:name="_Toc868"/>
      <w:bookmarkStart w:id="1817" w:name="_Toc1963"/>
      <w:r>
        <w:rPr>
          <w:rFonts w:hint="eastAsia" w:ascii="宋体" w:hAnsi="宋体" w:eastAsia="宋体" w:cs="宋体"/>
          <w:b w:val="0"/>
          <w:bCs w:val="0"/>
          <w:color w:val="auto"/>
          <w:sz w:val="24"/>
          <w:szCs w:val="24"/>
          <w:highlight w:val="none"/>
        </w:rPr>
        <w:t>1</w:t>
      </w:r>
      <w:bookmarkStart w:id="1818" w:name="_Toc296346585"/>
      <w:bookmarkEnd w:id="1818"/>
      <w:bookmarkStart w:id="1819" w:name="_Toc296503084"/>
      <w:bookmarkEnd w:id="1819"/>
      <w:bookmarkStart w:id="1820" w:name="_Toc337558788"/>
      <w:r>
        <w:rPr>
          <w:rFonts w:hint="eastAsia" w:ascii="宋体" w:hAnsi="宋体" w:eastAsia="宋体" w:cs="宋体"/>
          <w:b w:val="0"/>
          <w:bCs w:val="0"/>
          <w:color w:val="auto"/>
          <w:sz w:val="24"/>
          <w:szCs w:val="24"/>
          <w:highlight w:val="none"/>
        </w:rPr>
        <w:t>0.1变更的范围</w:t>
      </w:r>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20"/>
    </w:p>
    <w:p w14:paraId="70D10F7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除专用合同条款另有约定外，合同履行过程中发生以下情形的，应按照本条约定进行变更：</w:t>
      </w:r>
    </w:p>
    <w:p w14:paraId="50422D8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（1）增加或减少合同中任何工作，或追加额外的工作；</w:t>
      </w:r>
    </w:p>
    <w:p w14:paraId="26C9E97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（2）取消合同中任何工作，但转由他人实施的工作除外；</w:t>
      </w:r>
    </w:p>
    <w:p w14:paraId="7893F28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（3）改变合同中任何工作的质量标准或其他特性；</w:t>
      </w:r>
    </w:p>
    <w:p w14:paraId="7DA3744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（4）改变工程的基线、标高、位置和尺寸；</w:t>
      </w:r>
    </w:p>
    <w:p w14:paraId="56EF095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（5）改变工程的时间安排或实施顺序。</w:t>
      </w:r>
    </w:p>
    <w:p w14:paraId="45A3662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821" w:name="_Toc351203569"/>
      <w:bookmarkEnd w:id="1821"/>
      <w:bookmarkStart w:id="1822" w:name="_Toc5713"/>
      <w:bookmarkStart w:id="1823" w:name="_Toc15947"/>
      <w:bookmarkStart w:id="1824" w:name="_Toc21163"/>
      <w:bookmarkStart w:id="1825" w:name="_Toc17843"/>
      <w:bookmarkStart w:id="1826" w:name="_Toc25566"/>
      <w:bookmarkStart w:id="1827" w:name="_Toc6479"/>
      <w:bookmarkStart w:id="1828" w:name="_Toc8895"/>
      <w:bookmarkStart w:id="1829" w:name="_Toc11862"/>
      <w:bookmarkStart w:id="1830" w:name="_Toc14208"/>
      <w:bookmarkStart w:id="1831" w:name="_Toc9321"/>
      <w:bookmarkStart w:id="1832" w:name="_Toc16418"/>
      <w:bookmarkStart w:id="1833" w:name="_Toc5372"/>
      <w:bookmarkStart w:id="1834" w:name="_Toc3758"/>
      <w:r>
        <w:rPr>
          <w:rFonts w:hint="eastAsia" w:ascii="宋体" w:hAnsi="宋体" w:eastAsia="宋体" w:cs="宋体"/>
          <w:b w:val="0"/>
          <w:bCs w:val="0"/>
          <w:color w:val="auto"/>
          <w:sz w:val="24"/>
          <w:szCs w:val="24"/>
          <w:highlight w:val="none"/>
        </w:rPr>
        <w:t>1</w:t>
      </w:r>
      <w:bookmarkStart w:id="1835" w:name="_Toc296346586"/>
      <w:bookmarkEnd w:id="1835"/>
      <w:bookmarkStart w:id="1836" w:name="_Toc296503085"/>
      <w:bookmarkEnd w:id="1836"/>
      <w:bookmarkStart w:id="1837" w:name="_Toc337558789"/>
      <w:r>
        <w:rPr>
          <w:rFonts w:hint="eastAsia" w:ascii="宋体" w:hAnsi="宋体" w:eastAsia="宋体" w:cs="宋体"/>
          <w:b w:val="0"/>
          <w:bCs w:val="0"/>
          <w:color w:val="auto"/>
          <w:sz w:val="24"/>
          <w:szCs w:val="24"/>
          <w:highlight w:val="none"/>
        </w:rPr>
        <w:t>0.2变更权</w:t>
      </w:r>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7"/>
    </w:p>
    <w:p w14:paraId="37C1887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63DE1E7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涉及设计变更的，应由设计人提供变更后的图纸和说明。如变更超过原设计标准或批准的建设规模时，发包人应及时办理规划、设计变更等审批手续。</w:t>
      </w:r>
    </w:p>
    <w:p w14:paraId="2B13C39F">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838" w:name="_Toc351203570"/>
      <w:bookmarkEnd w:id="1838"/>
      <w:bookmarkStart w:id="1839" w:name="_Toc2717"/>
      <w:bookmarkStart w:id="1840" w:name="_Toc20152"/>
      <w:bookmarkStart w:id="1841" w:name="_Toc28894"/>
      <w:bookmarkStart w:id="1842" w:name="_Toc8251"/>
      <w:bookmarkStart w:id="1843" w:name="_Toc26539"/>
      <w:bookmarkStart w:id="1844" w:name="_Toc29782"/>
      <w:bookmarkStart w:id="1845" w:name="_Toc10432"/>
      <w:bookmarkStart w:id="1846" w:name="_Toc26739"/>
      <w:bookmarkStart w:id="1847" w:name="_Toc28437"/>
      <w:bookmarkStart w:id="1848" w:name="_Toc26291"/>
      <w:bookmarkStart w:id="1849" w:name="_Toc4243"/>
      <w:bookmarkStart w:id="1850" w:name="_Toc17102"/>
      <w:bookmarkStart w:id="1851" w:name="_Toc7214"/>
      <w:r>
        <w:rPr>
          <w:rFonts w:hint="eastAsia" w:ascii="宋体" w:hAnsi="宋体" w:eastAsia="宋体" w:cs="宋体"/>
          <w:b w:val="0"/>
          <w:bCs w:val="0"/>
          <w:color w:val="auto"/>
          <w:sz w:val="24"/>
          <w:szCs w:val="24"/>
          <w:highlight w:val="none"/>
        </w:rPr>
        <w:t>1</w:t>
      </w:r>
      <w:bookmarkStart w:id="1852" w:name="_Toc296346587"/>
      <w:bookmarkEnd w:id="1852"/>
      <w:bookmarkStart w:id="1853" w:name="_Toc296503086"/>
      <w:bookmarkEnd w:id="1853"/>
      <w:bookmarkStart w:id="1854" w:name="_Toc337558790"/>
      <w:r>
        <w:rPr>
          <w:rFonts w:hint="eastAsia" w:ascii="宋体" w:hAnsi="宋体" w:eastAsia="宋体" w:cs="宋体"/>
          <w:b w:val="0"/>
          <w:bCs w:val="0"/>
          <w:color w:val="auto"/>
          <w:sz w:val="24"/>
          <w:szCs w:val="24"/>
          <w:highlight w:val="none"/>
        </w:rPr>
        <w:t>0.3变更程序</w:t>
      </w:r>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4"/>
    </w:p>
    <w:p w14:paraId="31D44E3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.3.1 发包人提出变更</w:t>
      </w:r>
    </w:p>
    <w:p w14:paraId="5C51DC4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发包人提出变更的，应通过监理人向承包人发出变更指示，变更指示应说明计划变更的工程范围和变更的内容。</w:t>
      </w:r>
    </w:p>
    <w:p w14:paraId="6ADC676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.3.2 监理人提出变更建议</w:t>
      </w:r>
    </w:p>
    <w:p w14:paraId="11C8C7F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D15A8D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10.3.3 变更执行</w:t>
      </w:r>
    </w:p>
    <w:p w14:paraId="4533BC1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02BB08F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855" w:name="_Toc351203571"/>
      <w:bookmarkEnd w:id="1855"/>
      <w:bookmarkStart w:id="1856" w:name="_Toc12180"/>
      <w:bookmarkStart w:id="1857" w:name="_Toc5642"/>
      <w:bookmarkStart w:id="1858" w:name="_Toc14342"/>
      <w:bookmarkStart w:id="1859" w:name="_Toc27079"/>
      <w:bookmarkStart w:id="1860" w:name="_Toc11308"/>
      <w:bookmarkStart w:id="1861" w:name="_Toc13107"/>
      <w:bookmarkStart w:id="1862" w:name="_Toc118"/>
      <w:bookmarkStart w:id="1863" w:name="_Toc5284"/>
      <w:bookmarkStart w:id="1864" w:name="_Toc51"/>
      <w:bookmarkStart w:id="1865" w:name="_Toc32670"/>
      <w:bookmarkStart w:id="1866" w:name="_Toc24136"/>
      <w:bookmarkStart w:id="1867" w:name="_Toc2727"/>
      <w:bookmarkStart w:id="1868" w:name="_Toc3543"/>
      <w:r>
        <w:rPr>
          <w:rFonts w:hint="eastAsia" w:ascii="宋体" w:hAnsi="宋体" w:eastAsia="宋体" w:cs="宋体"/>
          <w:b w:val="0"/>
          <w:bCs w:val="0"/>
          <w:color w:val="auto"/>
          <w:sz w:val="24"/>
          <w:szCs w:val="24"/>
          <w:highlight w:val="none"/>
        </w:rPr>
        <w:t>1</w:t>
      </w:r>
      <w:bookmarkStart w:id="1869" w:name="_Toc296346588"/>
      <w:bookmarkEnd w:id="1869"/>
      <w:bookmarkStart w:id="1870" w:name="_Toc296503087"/>
      <w:bookmarkEnd w:id="1870"/>
      <w:bookmarkStart w:id="1871" w:name="_Toc337558791"/>
      <w:r>
        <w:rPr>
          <w:rFonts w:hint="eastAsia" w:ascii="宋体" w:hAnsi="宋体" w:eastAsia="宋体" w:cs="宋体"/>
          <w:b w:val="0"/>
          <w:bCs w:val="0"/>
          <w:color w:val="auto"/>
          <w:sz w:val="24"/>
          <w:szCs w:val="24"/>
          <w:highlight w:val="none"/>
        </w:rPr>
        <w:t>0.4变更估价</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71"/>
    </w:p>
    <w:p w14:paraId="3DFFF74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10.4.1 变更估价原则</w:t>
      </w:r>
    </w:p>
    <w:p w14:paraId="7C026BD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除专用合同条款另有约定外，变更估价按照本款约定处理：</w:t>
      </w:r>
    </w:p>
    <w:p w14:paraId="3DF5F7F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（1）已标价工程量清单或预算书有相同项目的，按照相同项目单价认定；</w:t>
      </w:r>
    </w:p>
    <w:p w14:paraId="0FD5C04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（2）已标价工程量清单或预算书中无相同项目，但有类似项目的，参照类似项目的单价认定；</w:t>
      </w:r>
    </w:p>
    <w:p w14:paraId="00EF149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0CB47F4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10.4.2 变更估价程序</w:t>
      </w:r>
    </w:p>
    <w:p w14:paraId="028672A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699D33B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因变更引起的价格调整应计入最近一期的进度款中支付。</w:t>
      </w:r>
    </w:p>
    <w:p w14:paraId="3C20D6B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872" w:name="_Toc351203572"/>
      <w:bookmarkEnd w:id="1872"/>
      <w:bookmarkStart w:id="1873" w:name="_Toc8737"/>
      <w:bookmarkStart w:id="1874" w:name="_Toc15650"/>
      <w:bookmarkStart w:id="1875" w:name="_Toc25081"/>
      <w:bookmarkStart w:id="1876" w:name="_Toc26301"/>
      <w:bookmarkStart w:id="1877" w:name="_Toc13980"/>
      <w:bookmarkStart w:id="1878" w:name="_Toc27165"/>
      <w:bookmarkStart w:id="1879" w:name="_Toc12472"/>
      <w:bookmarkStart w:id="1880" w:name="_Toc757"/>
      <w:bookmarkStart w:id="1881" w:name="_Toc17620"/>
      <w:bookmarkStart w:id="1882" w:name="_Toc14125"/>
      <w:bookmarkStart w:id="1883" w:name="_Toc26304"/>
      <w:bookmarkStart w:id="1884" w:name="_Toc24643"/>
      <w:bookmarkStart w:id="1885" w:name="_Toc29571"/>
      <w:r>
        <w:rPr>
          <w:rFonts w:hint="eastAsia" w:ascii="宋体" w:hAnsi="宋体" w:eastAsia="宋体" w:cs="宋体"/>
          <w:b w:val="0"/>
          <w:bCs w:val="0"/>
          <w:color w:val="auto"/>
          <w:sz w:val="24"/>
          <w:szCs w:val="24"/>
          <w:highlight w:val="none"/>
        </w:rPr>
        <w:t>1</w:t>
      </w:r>
      <w:bookmarkStart w:id="1886" w:name="_Toc296503094"/>
      <w:bookmarkEnd w:id="1886"/>
      <w:bookmarkStart w:id="1887" w:name="_Toc296346595"/>
      <w:bookmarkEnd w:id="1887"/>
      <w:bookmarkStart w:id="1888" w:name="_Toc337558792"/>
      <w:r>
        <w:rPr>
          <w:rFonts w:hint="eastAsia" w:ascii="宋体" w:hAnsi="宋体" w:eastAsia="宋体" w:cs="宋体"/>
          <w:b w:val="0"/>
          <w:bCs w:val="0"/>
          <w:color w:val="auto"/>
          <w:sz w:val="24"/>
          <w:szCs w:val="24"/>
          <w:highlight w:val="none"/>
        </w:rPr>
        <w:t>0.5承包人的合理化建议</w:t>
      </w:r>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8"/>
    </w:p>
    <w:p w14:paraId="4C1D8A6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承包人提出合理化建议的，应向监理人提交合理化建议说明，说明建议的内容和理由，以及实施该建议对合同价格和工期的影响。</w:t>
      </w:r>
    </w:p>
    <w:p w14:paraId="358AA98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21D7BC1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合理化建议降低了合同价格或者提高了工程经济效益的，发包人可对承包人给予奖励，奖励的方法和金额在专用合同条款中约定。</w:t>
      </w:r>
    </w:p>
    <w:p w14:paraId="03E6AEDD">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color w:val="auto"/>
          <w:sz w:val="24"/>
          <w:szCs w:val="24"/>
          <w:highlight w:val="none"/>
        </w:rPr>
      </w:pPr>
      <w:bookmarkStart w:id="1889" w:name="_Toc351203573"/>
      <w:bookmarkEnd w:id="1889"/>
      <w:bookmarkStart w:id="1890" w:name="_Toc2506"/>
      <w:bookmarkStart w:id="1891" w:name="_Toc18327"/>
      <w:bookmarkStart w:id="1892" w:name="_Toc10465"/>
      <w:bookmarkStart w:id="1893" w:name="_Toc6519"/>
      <w:bookmarkStart w:id="1894" w:name="_Toc30596"/>
      <w:bookmarkStart w:id="1895" w:name="_Toc3107"/>
      <w:bookmarkStart w:id="1896" w:name="_Toc22462"/>
      <w:bookmarkStart w:id="1897" w:name="_Toc6617"/>
      <w:bookmarkStart w:id="1898" w:name="_Toc21184"/>
      <w:bookmarkStart w:id="1899" w:name="_Toc205"/>
      <w:bookmarkStart w:id="1900" w:name="_Toc25076"/>
      <w:bookmarkStart w:id="1901" w:name="_Toc31907"/>
      <w:bookmarkStart w:id="1902" w:name="_Toc11115"/>
      <w:r>
        <w:rPr>
          <w:rFonts w:hint="eastAsia" w:ascii="宋体" w:hAnsi="宋体" w:eastAsia="宋体" w:cs="宋体"/>
          <w:b w:val="0"/>
          <w:bCs w:val="0"/>
          <w:color w:val="auto"/>
          <w:sz w:val="24"/>
          <w:szCs w:val="24"/>
          <w:highlight w:val="none"/>
        </w:rPr>
        <w:t>1</w:t>
      </w:r>
      <w:bookmarkStart w:id="1903" w:name="_Toc337558793"/>
      <w:r>
        <w:rPr>
          <w:rFonts w:hint="eastAsia" w:ascii="宋体" w:hAnsi="宋体" w:eastAsia="宋体" w:cs="宋体"/>
          <w:b w:val="0"/>
          <w:bCs w:val="0"/>
          <w:color w:val="auto"/>
          <w:sz w:val="24"/>
          <w:szCs w:val="24"/>
          <w:highlight w:val="none"/>
        </w:rPr>
        <w:t>0.6变更引起的工期调整</w:t>
      </w:r>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r>
        <w:rPr>
          <w:rFonts w:hint="eastAsia" w:ascii="宋体" w:hAnsi="宋体" w:eastAsia="宋体" w:cs="宋体"/>
          <w:b w:val="0"/>
          <w:bCs w:val="0"/>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0A2377C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因变更引起工期变化的，合同当事人均可要求调整合同工期，由合同当事人按照第4.4款〔商定或确定〕并参考工程所在地的工期定额标准确定增减工期天数。</w:t>
      </w:r>
    </w:p>
    <w:p w14:paraId="4DDE744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904" w:name="_Toc351203574"/>
      <w:bookmarkEnd w:id="1904"/>
      <w:bookmarkStart w:id="1905" w:name="_Toc23085"/>
      <w:bookmarkStart w:id="1906" w:name="_Toc27949"/>
      <w:bookmarkStart w:id="1907" w:name="_Toc7811"/>
      <w:bookmarkStart w:id="1908" w:name="_Toc32695"/>
      <w:bookmarkStart w:id="1909" w:name="_Toc11925"/>
      <w:bookmarkStart w:id="1910" w:name="_Toc7125"/>
      <w:bookmarkStart w:id="1911" w:name="_Toc21975"/>
      <w:bookmarkStart w:id="1912" w:name="_Toc28653"/>
      <w:bookmarkStart w:id="1913" w:name="_Toc4752"/>
      <w:bookmarkStart w:id="1914" w:name="_Toc2224"/>
      <w:bookmarkStart w:id="1915" w:name="_Toc18342"/>
      <w:bookmarkStart w:id="1916" w:name="_Toc13512"/>
      <w:bookmarkStart w:id="1917" w:name="_Toc30268"/>
      <w:r>
        <w:rPr>
          <w:rFonts w:hint="eastAsia" w:ascii="宋体" w:hAnsi="宋体" w:eastAsia="宋体" w:cs="宋体"/>
          <w:b w:val="0"/>
          <w:bCs w:val="0"/>
          <w:color w:val="auto"/>
          <w:sz w:val="24"/>
          <w:szCs w:val="24"/>
          <w:highlight w:val="none"/>
        </w:rPr>
        <w:t>10.7暂估价</w:t>
      </w:r>
      <w:bookmarkEnd w:id="1905"/>
      <w:bookmarkEnd w:id="1906"/>
      <w:bookmarkEnd w:id="1907"/>
      <w:bookmarkEnd w:id="1908"/>
      <w:bookmarkEnd w:id="1909"/>
      <w:bookmarkEnd w:id="1910"/>
      <w:bookmarkEnd w:id="1911"/>
      <w:bookmarkEnd w:id="1912"/>
      <w:bookmarkEnd w:id="1913"/>
      <w:bookmarkEnd w:id="1914"/>
      <w:bookmarkEnd w:id="1915"/>
      <w:bookmarkEnd w:id="1916"/>
      <w:bookmarkEnd w:id="1917"/>
    </w:p>
    <w:p w14:paraId="647E69F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暂估价专业分包工程、服务、材料和工程设备的明细由合同当事人在专用合同条款中约定。</w:t>
      </w:r>
    </w:p>
    <w:p w14:paraId="03360B04">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10.7.1</w:t>
      </w:r>
      <w:r>
        <w:rPr>
          <w:rFonts w:hint="eastAsia" w:ascii="宋体" w:hAnsi="宋体" w:eastAsia="宋体" w:cs="宋体"/>
          <w:color w:val="auto"/>
          <w:kern w:val="0"/>
          <w:sz w:val="24"/>
          <w:szCs w:val="24"/>
          <w:highlight w:val="none"/>
        </w:rPr>
        <w:t xml:space="preserve"> 依法必须招标的暂估价项目</w:t>
      </w:r>
    </w:p>
    <w:p w14:paraId="4521B34C">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对于依法必须招标的暂估价项目，采取以下第1种方式确定。合同当事人也可以在专用合同条款中选择其他招标方式。</w:t>
      </w:r>
    </w:p>
    <w:p w14:paraId="43C9D42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第1种方式：对于依法必须招标的暂估价项目，由承包人招标，对该暂估价项目的确认和批准按照以下约定执行：</w:t>
      </w:r>
    </w:p>
    <w:p w14:paraId="2B99E68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3BEC16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（2）承包人应当根据施工进度计划，提前14天将</w:t>
      </w:r>
      <w:r>
        <w:rPr>
          <w:rFonts w:hint="eastAsia" w:ascii="宋体" w:hAnsi="宋体" w:eastAsia="宋体" w:cs="宋体"/>
          <w:color w:val="auto"/>
          <w:kern w:val="0"/>
          <w:sz w:val="24"/>
          <w:szCs w:val="24"/>
          <w:highlight w:val="none"/>
          <w:lang w:eastAsia="zh-CN"/>
        </w:rPr>
        <w:t>比选文件</w:t>
      </w:r>
      <w:r>
        <w:rPr>
          <w:rFonts w:hint="eastAsia" w:ascii="宋体" w:hAnsi="宋体" w:eastAsia="宋体" w:cs="宋体"/>
          <w:color w:val="auto"/>
          <w:kern w:val="0"/>
          <w:sz w:val="24"/>
          <w:szCs w:val="24"/>
          <w:highlight w:val="none"/>
        </w:rPr>
        <w:t>通过监理人报送发包人审批，发包人应当在收到承包人报送的相关文件后7天内完成审批或提出修改意见；发包人有权确定招标控制价并按照法律规定参加评标；</w:t>
      </w:r>
    </w:p>
    <w:p w14:paraId="14280B46">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（3）承包人与供应商、分包人在签订暂估价合同前，应当提前7天将确定的</w:t>
      </w:r>
      <w:r>
        <w:rPr>
          <w:rFonts w:hint="eastAsia" w:ascii="宋体" w:hAnsi="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候选供应商或</w:t>
      </w:r>
      <w:r>
        <w:rPr>
          <w:rFonts w:hint="eastAsia" w:ascii="宋体" w:hAnsi="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候选分包人的资料报送发包人，发包人应在收到资料后3天内与承包人共同确定</w:t>
      </w:r>
      <w:r>
        <w:rPr>
          <w:rFonts w:hint="eastAsia" w:ascii="宋体" w:hAnsi="宋体" w:cs="宋体"/>
          <w:color w:val="auto"/>
          <w:kern w:val="0"/>
          <w:sz w:val="24"/>
          <w:szCs w:val="24"/>
          <w:highlight w:val="none"/>
          <w:lang w:eastAsia="zh-CN"/>
        </w:rPr>
        <w:t>成交人</w:t>
      </w:r>
      <w:r>
        <w:rPr>
          <w:rFonts w:hint="eastAsia" w:ascii="宋体" w:hAnsi="宋体" w:eastAsia="宋体" w:cs="宋体"/>
          <w:color w:val="auto"/>
          <w:kern w:val="0"/>
          <w:sz w:val="24"/>
          <w:szCs w:val="24"/>
          <w:highlight w:val="none"/>
        </w:rPr>
        <w:t>；承包人应当在签订合同后7天内，将暂估价合同副本报送发包人留存。</w:t>
      </w:r>
    </w:p>
    <w:p w14:paraId="69D7681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Fonts w:hint="eastAsia" w:ascii="宋体" w:hAnsi="宋体" w:cs="宋体"/>
          <w:color w:val="auto"/>
          <w:kern w:val="0"/>
          <w:sz w:val="24"/>
          <w:szCs w:val="24"/>
          <w:highlight w:val="none"/>
          <w:lang w:eastAsia="zh-CN"/>
        </w:rPr>
        <w:t>成交人</w:t>
      </w:r>
      <w:r>
        <w:rPr>
          <w:rFonts w:hint="eastAsia" w:ascii="宋体" w:hAnsi="宋体" w:eastAsia="宋体" w:cs="宋体"/>
          <w:color w:val="auto"/>
          <w:kern w:val="0"/>
          <w:sz w:val="24"/>
          <w:szCs w:val="24"/>
          <w:highlight w:val="none"/>
        </w:rPr>
        <w:t>后，由发包人、承包人与</w:t>
      </w:r>
      <w:r>
        <w:rPr>
          <w:rFonts w:hint="eastAsia" w:ascii="宋体" w:hAnsi="宋体" w:cs="宋体"/>
          <w:color w:val="auto"/>
          <w:kern w:val="0"/>
          <w:sz w:val="24"/>
          <w:szCs w:val="24"/>
          <w:highlight w:val="none"/>
          <w:lang w:eastAsia="zh-CN"/>
        </w:rPr>
        <w:t>成交人</w:t>
      </w:r>
      <w:r>
        <w:rPr>
          <w:rFonts w:hint="eastAsia" w:ascii="宋体" w:hAnsi="宋体" w:eastAsia="宋体" w:cs="宋体"/>
          <w:color w:val="auto"/>
          <w:kern w:val="0"/>
          <w:sz w:val="24"/>
          <w:szCs w:val="24"/>
          <w:highlight w:val="none"/>
        </w:rPr>
        <w:t>共同签订暂估价合同。</w:t>
      </w:r>
    </w:p>
    <w:p w14:paraId="0247225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10.7.2</w:t>
      </w:r>
      <w:r>
        <w:rPr>
          <w:rFonts w:hint="eastAsia" w:ascii="宋体" w:hAnsi="宋体" w:eastAsia="宋体" w:cs="宋体"/>
          <w:color w:val="auto"/>
          <w:kern w:val="0"/>
          <w:sz w:val="24"/>
          <w:szCs w:val="24"/>
          <w:highlight w:val="none"/>
        </w:rPr>
        <w:t>不属于依法必须招标的暂估价项目</w:t>
      </w:r>
    </w:p>
    <w:p w14:paraId="2DDF38E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除专用合同条款另有约定外，对于不属于依法必须招标的暂估价项目，采取以下第1种方式确定： </w:t>
      </w:r>
    </w:p>
    <w:p w14:paraId="3E53F46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第1种方式：对于不属于依法必须招标的暂估价项目，按本项约定确认和批准：</w:t>
      </w:r>
    </w:p>
    <w:p w14:paraId="33A2CCA9">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546E82E">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（2）发包人认为承包人确定的供应商、分包人无法满足工程质量或合同要求的，发包人可以要求承包人重新确定暂估价项目的供应商、分包人</w:t>
      </w:r>
      <w:r>
        <w:rPr>
          <w:rFonts w:hint="eastAsia" w:ascii="宋体" w:hAnsi="宋体" w:eastAsia="宋体" w:cs="宋体"/>
          <w:color w:val="auto"/>
          <w:kern w:val="0"/>
          <w:sz w:val="24"/>
          <w:szCs w:val="24"/>
          <w:highlight w:val="none"/>
          <w:lang w:eastAsia="zh-CN"/>
        </w:rPr>
        <w:t>；</w:t>
      </w:r>
    </w:p>
    <w:p w14:paraId="6080E9B7">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（3）承包人应当在签订暂估价合同后7天内，将暂估价合同副本报送发包人留存。</w:t>
      </w:r>
    </w:p>
    <w:p w14:paraId="5B9BFA9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第2种方式：承包人按照第10.7.1项〔依法必须招标的暂估价项目〕约定的第1种方式确定暂估价项目。</w:t>
      </w:r>
    </w:p>
    <w:p w14:paraId="7BCE82D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23723D3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31379979">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30BF68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918" w:name="_Toc351203575"/>
      <w:bookmarkEnd w:id="1918"/>
      <w:bookmarkStart w:id="1919" w:name="_Toc32508"/>
      <w:bookmarkStart w:id="1920" w:name="_Toc31283"/>
      <w:bookmarkStart w:id="1921" w:name="_Toc30235"/>
      <w:bookmarkStart w:id="1922" w:name="_Toc16380"/>
      <w:bookmarkStart w:id="1923" w:name="_Toc17048"/>
      <w:bookmarkStart w:id="1924" w:name="_Toc23253"/>
      <w:bookmarkStart w:id="1925" w:name="_Toc5706"/>
      <w:bookmarkStart w:id="1926" w:name="_Toc23840"/>
      <w:bookmarkStart w:id="1927" w:name="_Toc12939"/>
      <w:bookmarkStart w:id="1928" w:name="_Toc25099"/>
      <w:bookmarkStart w:id="1929" w:name="_Toc13188"/>
      <w:bookmarkStart w:id="1930" w:name="_Toc8726"/>
      <w:bookmarkStart w:id="1931" w:name="_Toc28037"/>
      <w:r>
        <w:rPr>
          <w:rFonts w:hint="eastAsia" w:ascii="宋体" w:hAnsi="宋体" w:eastAsia="宋体" w:cs="宋体"/>
          <w:b w:val="0"/>
          <w:bCs w:val="0"/>
          <w:color w:val="auto"/>
          <w:sz w:val="24"/>
          <w:szCs w:val="24"/>
          <w:highlight w:val="none"/>
        </w:rPr>
        <w:t>1</w:t>
      </w:r>
      <w:bookmarkStart w:id="1932" w:name="_Toc296346591"/>
      <w:bookmarkEnd w:id="1932"/>
      <w:bookmarkStart w:id="1933" w:name="_Toc296503090"/>
      <w:bookmarkEnd w:id="1933"/>
      <w:bookmarkStart w:id="1934" w:name="_Toc337558794"/>
      <w:bookmarkEnd w:id="1934"/>
      <w:bookmarkStart w:id="1935" w:name="_Toc322522561"/>
      <w:r>
        <w:rPr>
          <w:rFonts w:hint="eastAsia" w:ascii="宋体" w:hAnsi="宋体" w:eastAsia="宋体" w:cs="宋体"/>
          <w:b w:val="0"/>
          <w:bCs w:val="0"/>
          <w:color w:val="auto"/>
          <w:sz w:val="24"/>
          <w:szCs w:val="24"/>
          <w:highlight w:val="none"/>
        </w:rPr>
        <w:t>0.8暂列金额</w:t>
      </w:r>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5"/>
    </w:p>
    <w:p w14:paraId="1F474F6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暂列金额应按照发包人的要求使用，发包人的要求应通过监理人发出。合同当事人可以在专用合同条款中协商确定有关事项。</w:t>
      </w:r>
    </w:p>
    <w:p w14:paraId="093373DE">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936" w:name="_Toc351203576"/>
      <w:bookmarkEnd w:id="1936"/>
      <w:bookmarkStart w:id="1937" w:name="_Toc4297"/>
      <w:bookmarkStart w:id="1938" w:name="_Toc16210"/>
      <w:bookmarkStart w:id="1939" w:name="_Toc29581"/>
      <w:bookmarkStart w:id="1940" w:name="_Toc26298"/>
      <w:bookmarkStart w:id="1941" w:name="_Toc26913"/>
      <w:bookmarkStart w:id="1942" w:name="_Toc13358"/>
      <w:bookmarkStart w:id="1943" w:name="_Toc11558"/>
      <w:bookmarkStart w:id="1944" w:name="_Toc16347"/>
      <w:bookmarkStart w:id="1945" w:name="_Toc31715"/>
      <w:bookmarkStart w:id="1946" w:name="_Toc8071"/>
      <w:bookmarkStart w:id="1947" w:name="_Toc23012"/>
      <w:bookmarkStart w:id="1948" w:name="_Toc13539"/>
      <w:bookmarkStart w:id="1949" w:name="_Toc23039"/>
      <w:r>
        <w:rPr>
          <w:rFonts w:hint="eastAsia" w:ascii="宋体" w:hAnsi="宋体" w:eastAsia="宋体" w:cs="宋体"/>
          <w:b w:val="0"/>
          <w:bCs w:val="0"/>
          <w:color w:val="auto"/>
          <w:sz w:val="24"/>
          <w:szCs w:val="24"/>
          <w:highlight w:val="none"/>
        </w:rPr>
        <w:t>1</w:t>
      </w:r>
      <w:bookmarkStart w:id="1950" w:name="_Toc296503091"/>
      <w:bookmarkEnd w:id="1950"/>
      <w:bookmarkStart w:id="1951" w:name="_Toc296346592"/>
      <w:bookmarkEnd w:id="1951"/>
      <w:bookmarkStart w:id="1952" w:name="_Toc337558796"/>
      <w:r>
        <w:rPr>
          <w:rFonts w:hint="eastAsia" w:ascii="宋体" w:hAnsi="宋体" w:eastAsia="宋体" w:cs="宋体"/>
          <w:b w:val="0"/>
          <w:bCs w:val="0"/>
          <w:color w:val="auto"/>
          <w:sz w:val="24"/>
          <w:szCs w:val="24"/>
          <w:highlight w:val="none"/>
        </w:rPr>
        <w:t>0.9计日工</w:t>
      </w:r>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2"/>
      <w:r>
        <w:rPr>
          <w:rFonts w:hint="eastAsia" w:ascii="宋体" w:hAnsi="宋体" w:eastAsia="宋体" w:cs="宋体"/>
          <w:b w:val="0"/>
          <w:bCs w:val="0"/>
          <w:color w:val="auto"/>
          <w:sz w:val="24"/>
          <w:szCs w:val="24"/>
          <w:highlight w:val="none"/>
        </w:rPr>
        <w:t xml:space="preserve"> </w:t>
      </w:r>
    </w:p>
    <w:p w14:paraId="7038F53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3846C824">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采用计日工计价的任何一项工作，承包人应在该项工作实施过程中，每天提交以下报表和有关凭证报送监理人审查：</w:t>
      </w:r>
    </w:p>
    <w:p w14:paraId="42097CD6">
      <w:pPr>
        <w:pageBreakBefore w:val="0"/>
        <w:widowControl/>
        <w:kinsoku/>
        <w:wordWrap/>
        <w:overflowPunct/>
        <w:topLinePunct w:val="0"/>
        <w:bidi w:val="0"/>
        <w:snapToGrid/>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（1）工作名称、内容和数量；</w:t>
      </w:r>
    </w:p>
    <w:p w14:paraId="05DE91DD">
      <w:pPr>
        <w:pageBreakBefore w:val="0"/>
        <w:widowControl/>
        <w:kinsoku/>
        <w:wordWrap/>
        <w:overflowPunct/>
        <w:topLinePunct w:val="0"/>
        <w:bidi w:val="0"/>
        <w:snapToGrid/>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（2）投入该工作的所有人员的姓名、专业、工种、级别和耗用工时；</w:t>
      </w:r>
    </w:p>
    <w:p w14:paraId="456E826E">
      <w:pPr>
        <w:pageBreakBefore w:val="0"/>
        <w:widowControl/>
        <w:kinsoku/>
        <w:wordWrap/>
        <w:overflowPunct/>
        <w:topLinePunct w:val="0"/>
        <w:bidi w:val="0"/>
        <w:snapToGrid/>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（3）投入该工作的材料类别和数量；</w:t>
      </w:r>
    </w:p>
    <w:p w14:paraId="1277F71D">
      <w:pPr>
        <w:pageBreakBefore w:val="0"/>
        <w:widowControl/>
        <w:kinsoku/>
        <w:wordWrap/>
        <w:overflowPunct/>
        <w:topLinePunct w:val="0"/>
        <w:bidi w:val="0"/>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（4）投入该工作的施工设备型号、台数和耗用台时；</w:t>
      </w:r>
    </w:p>
    <w:p w14:paraId="4414EDD0">
      <w:pPr>
        <w:pageBreakBefore w:val="0"/>
        <w:widowControl/>
        <w:kinsoku/>
        <w:wordWrap/>
        <w:overflowPunct/>
        <w:topLinePunct w:val="0"/>
        <w:bidi w:val="0"/>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（5）其他有关资料和凭证。</w:t>
      </w:r>
    </w:p>
    <w:p w14:paraId="0CA99148">
      <w:pPr>
        <w:pageBreakBefore w:val="0"/>
        <w:widowControl/>
        <w:kinsoku/>
        <w:wordWrap/>
        <w:overflowPunct/>
        <w:topLinePunct w:val="0"/>
        <w:bidi w:val="0"/>
        <w:spacing w:line="360" w:lineRule="auto"/>
        <w:ind w:firstLine="360" w:firstLineChars="15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计日工由承包人汇总后，列入最近一期进度付款申请单，由监理人审查并经发包人批准后列入进度付款。</w:t>
      </w:r>
    </w:p>
    <w:p w14:paraId="4D9FE1AA">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1953" w:name="_Toc351203577"/>
      <w:bookmarkEnd w:id="1953"/>
      <w:bookmarkStart w:id="1954" w:name="_Toc20308"/>
      <w:bookmarkStart w:id="1955" w:name="_Toc19818"/>
      <w:bookmarkStart w:id="1956" w:name="_Toc751"/>
      <w:bookmarkStart w:id="1957" w:name="_Toc4801"/>
      <w:bookmarkStart w:id="1958" w:name="_Toc19884"/>
      <w:bookmarkStart w:id="1959" w:name="_Toc27732"/>
      <w:bookmarkStart w:id="1960" w:name="_Toc2456"/>
      <w:bookmarkStart w:id="1961" w:name="_Toc15087"/>
      <w:bookmarkStart w:id="1962" w:name="_Toc21522"/>
      <w:bookmarkStart w:id="1963" w:name="_Toc14985"/>
      <w:bookmarkStart w:id="1964" w:name="_Toc15122"/>
      <w:bookmarkStart w:id="1965" w:name="_Toc11309"/>
      <w:bookmarkStart w:id="1966" w:name="_Toc8376"/>
      <w:bookmarkStart w:id="1967" w:name="_Toc31285"/>
      <w:bookmarkStart w:id="1968" w:name="_Toc11335"/>
      <w:r>
        <w:rPr>
          <w:rFonts w:hint="eastAsia" w:ascii="宋体" w:hAnsi="宋体" w:eastAsia="宋体" w:cs="宋体"/>
          <w:b w:val="0"/>
          <w:bCs w:val="0"/>
          <w:color w:val="auto"/>
          <w:sz w:val="24"/>
          <w:szCs w:val="24"/>
          <w:highlight w:val="none"/>
        </w:rPr>
        <w:t>11. 价格调整</w:t>
      </w:r>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14:paraId="57A91883">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969" w:name="_Toc351203578"/>
      <w:bookmarkEnd w:id="1969"/>
      <w:bookmarkStart w:id="1970" w:name="_Toc296346593"/>
      <w:bookmarkEnd w:id="1970"/>
      <w:bookmarkStart w:id="1971" w:name="_Toc296503092"/>
      <w:bookmarkEnd w:id="1971"/>
      <w:bookmarkStart w:id="1972" w:name="_Toc27400"/>
      <w:bookmarkStart w:id="1973" w:name="_Toc29658"/>
      <w:bookmarkStart w:id="1974" w:name="_Toc835"/>
      <w:bookmarkStart w:id="1975" w:name="_Toc492"/>
      <w:bookmarkStart w:id="1976" w:name="_Toc15784"/>
      <w:bookmarkStart w:id="1977" w:name="_Toc29750"/>
      <w:bookmarkStart w:id="1978" w:name="_Toc337558797"/>
      <w:bookmarkStart w:id="1979" w:name="_Toc16812"/>
      <w:bookmarkStart w:id="1980" w:name="_Toc10564"/>
      <w:bookmarkStart w:id="1981" w:name="_Toc23768"/>
      <w:bookmarkStart w:id="1982" w:name="_Toc29651"/>
      <w:bookmarkStart w:id="1983" w:name="_Toc785"/>
      <w:bookmarkStart w:id="1984" w:name="_Toc25396"/>
      <w:bookmarkStart w:id="1985" w:name="_Toc8938"/>
      <w:r>
        <w:rPr>
          <w:rFonts w:hint="eastAsia" w:ascii="宋体" w:hAnsi="宋体" w:eastAsia="宋体" w:cs="宋体"/>
          <w:b w:val="0"/>
          <w:bCs w:val="0"/>
          <w:color w:val="auto"/>
          <w:sz w:val="24"/>
          <w:szCs w:val="24"/>
          <w:highlight w:val="none"/>
        </w:rPr>
        <w:t>11.1市场价格波动引起的调整</w:t>
      </w:r>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p>
    <w:p w14:paraId="4B04FB6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除专用合同条款另有约定外，市场价格波动超过合同当事人约定的范围，合同价格应当调整。合同当事人可以在专用合同条款中约定选择以下一种方式对合同价格进行调整：</w:t>
      </w:r>
    </w:p>
    <w:p w14:paraId="47FE272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59C4EE7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（1）价格调整公式</w:t>
      </w:r>
    </w:p>
    <w:p w14:paraId="580DDC6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因人工、材料和设备等价格波动影响合同价格时，根据专用合同条款中约定的数据，按以下公式计算差额并调整合同价格：</w:t>
      </w:r>
    </w:p>
    <w:p w14:paraId="20DB7F8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4571365" cy="561340"/>
            <wp:effectExtent l="0" t="0" r="635" b="2540"/>
            <wp:docPr id="31" name="图片 1" descr="../AppData/Local/Temp/ksohtml/wps5E08.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descr="../AppData/Local/Temp/ksohtml/wps5E08.tmp.png"/>
                    <pic:cNvPicPr>
                      <a:picLocks noChangeAspect="1"/>
                    </pic:cNvPicPr>
                  </pic:nvPicPr>
                  <pic:blipFill>
                    <a:blip r:embed="rId11" r:link="rId12"/>
                    <a:stretch>
                      <a:fillRect/>
                    </a:stretch>
                  </pic:blipFill>
                  <pic:spPr>
                    <a:xfrm>
                      <a:off x="0" y="0"/>
                      <a:ext cx="4571365" cy="561340"/>
                    </a:xfrm>
                    <a:prstGeom prst="rect">
                      <a:avLst/>
                    </a:prstGeom>
                    <a:noFill/>
                    <a:ln>
                      <a:noFill/>
                    </a:ln>
                  </pic:spPr>
                </pic:pic>
              </a:graphicData>
            </a:graphic>
          </wp:inline>
        </w:drawing>
      </w:r>
    </w:p>
    <w:p w14:paraId="0A22A0E9">
      <w:pPr>
        <w:pageBreakBefore w:val="0"/>
        <w:widowControl/>
        <w:kinsoku/>
        <w:wordWrap/>
        <w:overflowPunct/>
        <w:topLinePunct w:val="0"/>
        <w:bidi w:val="0"/>
        <w:spacing w:line="360" w:lineRule="auto"/>
        <w:ind w:firstLine="64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公式中：ΔP——需调整的价格差额；</w:t>
      </w:r>
    </w:p>
    <w:p w14:paraId="1B3A385B">
      <w:pPr>
        <w:pageBreakBefore w:val="0"/>
        <w:widowControl/>
        <w:kinsoku/>
        <w:wordWrap/>
        <w:overflowPunct/>
        <w:topLinePunct w:val="0"/>
        <w:bidi w:val="0"/>
        <w:spacing w:line="360" w:lineRule="auto"/>
        <w:ind w:firstLine="1440" w:firstLineChars="6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228600" cy="228600"/>
            <wp:effectExtent l="0" t="0" r="0" b="0"/>
            <wp:docPr id="30" name="图片 2" descr="../AppData/Local/Temp/ksohtml/wps5E09.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descr="../AppData/Local/Temp/ksohtml/wps5E09.tmp.png"/>
                    <pic:cNvPicPr>
                      <a:picLocks noChangeAspect="1"/>
                    </pic:cNvPicPr>
                  </pic:nvPicPr>
                  <pic:blipFill>
                    <a:blip r:embed="rId13" r:link="rId14"/>
                    <a:stretch>
                      <a:fillRect/>
                    </a:stretch>
                  </pic:blipFill>
                  <pic:spPr>
                    <a:xfrm>
                      <a:off x="0" y="0"/>
                      <a:ext cx="228600" cy="22860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298D69A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A——定值权重（即不调部分的权重）；</w:t>
      </w:r>
    </w:p>
    <w:p w14:paraId="1B1BE28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285875" cy="275590"/>
            <wp:effectExtent l="0" t="0" r="9525" b="0"/>
            <wp:docPr id="34" name="图片 3" descr="../AppData/Local/Temp/ksohtml/wps5E0A.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AppData/Local/Temp/ksohtml/wps5E0A.tmp.png"/>
                    <pic:cNvPicPr>
                      <a:picLocks noChangeAspect="1"/>
                    </pic:cNvPicPr>
                  </pic:nvPicPr>
                  <pic:blipFill>
                    <a:blip r:embed="rId15" r:link="rId16"/>
                    <a:stretch>
                      <a:fillRect/>
                    </a:stretch>
                  </pic:blipFill>
                  <pic:spPr>
                    <a:xfrm>
                      <a:off x="0" y="0"/>
                      <a:ext cx="1285875" cy="27559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——各可调因子的变值权重（即可调部分的权重），为各可调因子在签约合同价中所占的比例；</w:t>
      </w:r>
    </w:p>
    <w:p w14:paraId="082FBA6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304925" cy="266065"/>
            <wp:effectExtent l="0" t="0" r="5715" b="0"/>
            <wp:docPr id="32" name="图片 4" descr="../AppData/Local/Temp/ksohtml/wps5E1B.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descr="../AppData/Local/Temp/ksohtml/wps5E1B.tmp.png"/>
                    <pic:cNvPicPr>
                      <a:picLocks noChangeAspect="1"/>
                    </pic:cNvPicPr>
                  </pic:nvPicPr>
                  <pic:blipFill>
                    <a:blip r:embed="rId17" r:link="rId18"/>
                    <a:stretch>
                      <a:fillRect/>
                    </a:stretch>
                  </pic:blipFill>
                  <pic:spPr>
                    <a:xfrm>
                      <a:off x="0" y="0"/>
                      <a:ext cx="1304925" cy="266065"/>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——各可调因子的现行价格指数，指约定的付款证书相关周期最后一天的前42天的各可调因子的价格指数；</w:t>
      </w:r>
    </w:p>
    <w:p w14:paraId="2843C03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371600" cy="256540"/>
            <wp:effectExtent l="0" t="0" r="0" b="0"/>
            <wp:docPr id="33" name="图片 5" descr="../AppData/Local/Temp/ksohtml/wps5E1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5" descr="../AppData/Local/Temp/ksohtml/wps5E1C.tmp.png"/>
                    <pic:cNvPicPr>
                      <a:picLocks noChangeAspect="1"/>
                    </pic:cNvPicPr>
                  </pic:nvPicPr>
                  <pic:blipFill>
                    <a:blip r:embed="rId19" r:link="rId20"/>
                    <a:stretch>
                      <a:fillRect/>
                    </a:stretch>
                  </pic:blipFill>
                  <pic:spPr>
                    <a:xfrm>
                      <a:off x="0" y="0"/>
                      <a:ext cx="1371600" cy="25654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szCs w:val="24"/>
          <w:highlight w:val="none"/>
        </w:rPr>
        <w:t>—各可调因子的基本价格指数，指基准日期的各可调因子的价格指数。</w:t>
      </w:r>
    </w:p>
    <w:p w14:paraId="7CC4EEC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49B261F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（2）暂时确定调整差额</w:t>
      </w:r>
    </w:p>
    <w:p w14:paraId="2ACD2F8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在计算调整差额时无现行价格指数的，合同当事人同意暂用前次价格指数计算。实际价格指数有调整的，合同当事人进行相应调整。</w:t>
      </w:r>
    </w:p>
    <w:p w14:paraId="67B2647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（3）权重的调整</w:t>
      </w:r>
    </w:p>
    <w:p w14:paraId="42F3D35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因变更导致合同约定的权重不合理时，按照第4.4款〔商定或确定〕执行。</w:t>
      </w:r>
    </w:p>
    <w:p w14:paraId="6951233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（4）因承包人原因工期延误后的价格调整</w:t>
      </w:r>
    </w:p>
    <w:p w14:paraId="3379403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5C7251C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7DFB0BF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35C92B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6B91DE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（2）材料、工程设备价格变化的价款调整按照发包人提供的基准价格，按以下风险范围规定执行</w:t>
      </w:r>
      <w:r>
        <w:rPr>
          <w:rFonts w:hint="eastAsia" w:ascii="宋体" w:hAnsi="宋体" w:eastAsia="宋体" w:cs="宋体"/>
          <w:color w:val="auto"/>
          <w:sz w:val="24"/>
          <w:szCs w:val="24"/>
          <w:highlight w:val="none"/>
          <w:lang w:eastAsia="zh-CN"/>
        </w:rPr>
        <w:t>：</w:t>
      </w:r>
    </w:p>
    <w:p w14:paraId="46BE352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4C93A55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FA0EAF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③承包人在已标价工程量清单或预算书中载明材料单价等于基准价格的：除专用合同条款另有约定外，合同履行期间材料单价涨跌幅以基准价格为基础超过±5%时，其超过部分据实调整。</w:t>
      </w:r>
    </w:p>
    <w:p w14:paraId="686A7B7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42B74A0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前述基准价格是指由发包人在</w:t>
      </w:r>
      <w:r>
        <w:rPr>
          <w:rFonts w:hint="eastAsia" w:ascii="宋体" w:hAnsi="宋体" w:eastAsia="宋体" w:cs="宋体"/>
          <w:color w:val="auto"/>
          <w:sz w:val="24"/>
          <w:szCs w:val="24"/>
          <w:highlight w:val="none"/>
          <w:lang w:eastAsia="zh-CN"/>
        </w:rPr>
        <w:t>比选文件</w:t>
      </w:r>
      <w:r>
        <w:rPr>
          <w:rFonts w:hint="eastAsia" w:ascii="宋体" w:hAnsi="宋体" w:eastAsia="宋体" w:cs="宋体"/>
          <w:color w:val="auto"/>
          <w:sz w:val="24"/>
          <w:szCs w:val="24"/>
          <w:highlight w:val="none"/>
        </w:rPr>
        <w:t>或专用合同条款中给定的材料、工程设备的价格，该价格原则上应当按照省级或行业建设主管部门或其授权的工程造价管理机构发布的信息价编制。</w:t>
      </w:r>
    </w:p>
    <w:p w14:paraId="660B887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（3）施工机械台班单价或施工机械使用费发生变化超过省级或行业建设主管部门或其授权的工程造价管理机构规定的范围时，按规定调整合同价格。</w:t>
      </w:r>
    </w:p>
    <w:p w14:paraId="5985E846">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第3种方式：专用合同条款约定的其他方式。</w:t>
      </w:r>
    </w:p>
    <w:p w14:paraId="2C574156">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1986" w:name="_Toc351203579"/>
      <w:bookmarkEnd w:id="1986"/>
      <w:bookmarkStart w:id="1987" w:name="_Toc296503093"/>
      <w:bookmarkEnd w:id="1987"/>
      <w:bookmarkStart w:id="1988" w:name="_Toc296346594"/>
      <w:bookmarkEnd w:id="1988"/>
      <w:bookmarkStart w:id="1989" w:name="_Toc6556"/>
      <w:bookmarkStart w:id="1990" w:name="_Toc28354"/>
      <w:bookmarkStart w:id="1991" w:name="_Toc27243"/>
      <w:bookmarkStart w:id="1992" w:name="_Toc15917"/>
      <w:bookmarkStart w:id="1993" w:name="_Toc30915"/>
      <w:bookmarkStart w:id="1994" w:name="_Toc337558798"/>
      <w:bookmarkStart w:id="1995" w:name="_Toc29857"/>
      <w:bookmarkStart w:id="1996" w:name="_Toc6733"/>
      <w:bookmarkStart w:id="1997" w:name="_Toc18753"/>
      <w:bookmarkStart w:id="1998" w:name="_Toc556"/>
      <w:bookmarkStart w:id="1999" w:name="_Toc22272"/>
      <w:bookmarkStart w:id="2000" w:name="_Toc21869"/>
      <w:bookmarkStart w:id="2001" w:name="_Toc13884"/>
      <w:bookmarkStart w:id="2002" w:name="_Toc11248"/>
      <w:r>
        <w:rPr>
          <w:rFonts w:hint="eastAsia" w:ascii="宋体" w:hAnsi="宋体" w:eastAsia="宋体" w:cs="宋体"/>
          <w:b w:val="0"/>
          <w:bCs w:val="0"/>
          <w:color w:val="auto"/>
          <w:sz w:val="24"/>
          <w:szCs w:val="24"/>
          <w:highlight w:val="none"/>
        </w:rPr>
        <w:t>11.2法律变化引起的调整</w:t>
      </w:r>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p>
    <w:p w14:paraId="57323BF7">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AD53F3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因法律变化引起的合同价格和工期调整，合同当事人无法达成一致的，由总监理工程师按第4.4款〔商定或确定〕的约定处理。</w:t>
      </w:r>
    </w:p>
    <w:p w14:paraId="4CD7B3EC">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因承包人原因造成工期延误，在工期延误期间出现法律变化的，由此增加的费用和（或）延误的工期由承包人承担。</w:t>
      </w:r>
    </w:p>
    <w:p w14:paraId="2633E095">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003" w:name="_Toc351203580"/>
      <w:bookmarkEnd w:id="2003"/>
      <w:bookmarkStart w:id="2004" w:name="_Toc337558799"/>
      <w:bookmarkEnd w:id="2004"/>
      <w:bookmarkStart w:id="2005" w:name="_Toc296346597"/>
      <w:bookmarkEnd w:id="2005"/>
      <w:bookmarkStart w:id="2006" w:name="_Toc829"/>
      <w:bookmarkStart w:id="2007" w:name="_Toc25963"/>
      <w:bookmarkStart w:id="2008" w:name="_Toc3759"/>
      <w:bookmarkStart w:id="2009" w:name="_Toc16780"/>
      <w:bookmarkStart w:id="2010" w:name="_Toc14006"/>
      <w:bookmarkStart w:id="2011" w:name="_Toc12013"/>
      <w:bookmarkStart w:id="2012" w:name="_Toc27753"/>
      <w:bookmarkStart w:id="2013" w:name="_Toc22910"/>
      <w:bookmarkStart w:id="2014" w:name="_Toc3879"/>
      <w:bookmarkStart w:id="2015" w:name="_Toc25437"/>
      <w:bookmarkStart w:id="2016" w:name="_Toc18835"/>
      <w:bookmarkStart w:id="2017" w:name="_Toc30425"/>
      <w:bookmarkStart w:id="2018" w:name="_Toc26071"/>
      <w:bookmarkStart w:id="2019" w:name="_Toc3944"/>
      <w:bookmarkStart w:id="2020" w:name="_Toc8083"/>
      <w:bookmarkStart w:id="2021" w:name="_Toc296503096"/>
      <w:r>
        <w:rPr>
          <w:rFonts w:hint="eastAsia" w:ascii="宋体" w:hAnsi="宋体" w:eastAsia="宋体" w:cs="宋体"/>
          <w:b w:val="0"/>
          <w:bCs w:val="0"/>
          <w:color w:val="auto"/>
          <w:sz w:val="24"/>
          <w:szCs w:val="24"/>
          <w:highlight w:val="none"/>
        </w:rPr>
        <w:t>12. 合同价格、计量与支付</w:t>
      </w:r>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p>
    <w:p w14:paraId="3689FD5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022" w:name="_Toc351203581"/>
      <w:bookmarkEnd w:id="2022"/>
      <w:bookmarkStart w:id="2023" w:name="_Toc337558800"/>
      <w:bookmarkStart w:id="2024" w:name="_Toc14433"/>
      <w:bookmarkStart w:id="2025" w:name="_Toc20133"/>
      <w:bookmarkStart w:id="2026" w:name="_Toc32104"/>
      <w:bookmarkStart w:id="2027" w:name="_Toc22948"/>
      <w:bookmarkStart w:id="2028" w:name="_Toc9209"/>
      <w:bookmarkStart w:id="2029" w:name="_Toc1234"/>
      <w:bookmarkStart w:id="2030" w:name="_Toc348"/>
      <w:bookmarkStart w:id="2031" w:name="_Toc15857"/>
      <w:bookmarkStart w:id="2032" w:name="_Toc23293"/>
      <w:bookmarkStart w:id="2033" w:name="_Toc27940"/>
      <w:bookmarkStart w:id="2034" w:name="_Toc22448"/>
      <w:bookmarkStart w:id="2035" w:name="_Toc24074"/>
      <w:bookmarkStart w:id="2036" w:name="_Toc27257"/>
      <w:r>
        <w:rPr>
          <w:rFonts w:hint="eastAsia" w:ascii="宋体" w:hAnsi="宋体" w:eastAsia="宋体" w:cs="宋体"/>
          <w:b w:val="0"/>
          <w:bCs w:val="0"/>
          <w:color w:val="auto"/>
          <w:sz w:val="24"/>
          <w:szCs w:val="24"/>
          <w:highlight w:val="none"/>
        </w:rPr>
        <w:t>12.1 合同价</w:t>
      </w:r>
      <w:bookmarkEnd w:id="2023"/>
      <w:r>
        <w:rPr>
          <w:rFonts w:hint="eastAsia" w:ascii="宋体" w:hAnsi="宋体" w:eastAsia="宋体" w:cs="宋体"/>
          <w:b w:val="0"/>
          <w:bCs w:val="0"/>
          <w:color w:val="auto"/>
          <w:sz w:val="24"/>
          <w:szCs w:val="24"/>
          <w:highlight w:val="none"/>
        </w:rPr>
        <w:t>格形式</w:t>
      </w:r>
      <w:bookmarkEnd w:id="2024"/>
      <w:bookmarkEnd w:id="2025"/>
      <w:bookmarkEnd w:id="2026"/>
      <w:bookmarkEnd w:id="2027"/>
      <w:bookmarkEnd w:id="2028"/>
      <w:bookmarkEnd w:id="2029"/>
      <w:bookmarkEnd w:id="2030"/>
      <w:bookmarkEnd w:id="2031"/>
      <w:bookmarkEnd w:id="2032"/>
      <w:bookmarkEnd w:id="2033"/>
      <w:bookmarkEnd w:id="2034"/>
      <w:bookmarkEnd w:id="2035"/>
      <w:bookmarkEnd w:id="2036"/>
    </w:p>
    <w:p w14:paraId="7CD616E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发包人和承包人应在合同协议书中选择下列一种合同价格形式： </w:t>
      </w:r>
    </w:p>
    <w:p w14:paraId="7A69F5A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w:t>
      </w:r>
    </w:p>
    <w:p w14:paraId="7A51E51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单价合同是指合同当事人约定以工程量清单及其综合单价进行合同价格计算、调整和确认的建设工程施工合同，</w:t>
      </w:r>
      <w:r>
        <w:rPr>
          <w:rFonts w:hint="eastAsia" w:ascii="宋体" w:hAnsi="宋体" w:eastAsia="宋体" w:cs="宋体"/>
          <w:color w:val="auto"/>
          <w:sz w:val="24"/>
          <w:szCs w:val="24"/>
          <w:highlight w:val="none"/>
        </w:rPr>
        <w:t>在约定的范围内合同单价不作调整</w:t>
      </w:r>
      <w:r>
        <w:rPr>
          <w:rFonts w:hint="eastAsia" w:ascii="宋体" w:hAnsi="宋体" w:eastAsia="宋体" w:cs="宋体"/>
          <w:color w:val="auto"/>
          <w:kern w:val="0"/>
          <w:sz w:val="24"/>
          <w:szCs w:val="24"/>
          <w:highlight w:val="none"/>
        </w:rPr>
        <w:t>。合同当事人应在专用合同条款中约定综合单价包含的风险范围和风险费用的计算方法</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并约定风险范围以外的合同价格的调整方法，其中因市场价格波动引起的调整按第11.1款〔市场价格波动引起的调整〕约定执行。</w:t>
      </w:r>
    </w:p>
    <w:p w14:paraId="06B5BC7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w:t>
      </w:r>
    </w:p>
    <w:p w14:paraId="2167573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总价合同是指合同当事人约定以施工图、已标价工程量清单或预算书及有关条件进行合同价格计算、调整和确认的建设工程施工合同，</w:t>
      </w:r>
      <w:r>
        <w:rPr>
          <w:rFonts w:hint="eastAsia" w:ascii="宋体" w:hAnsi="宋体" w:eastAsia="宋体" w:cs="宋体"/>
          <w:color w:val="auto"/>
          <w:sz w:val="24"/>
          <w:szCs w:val="24"/>
          <w:highlight w:val="none"/>
        </w:rPr>
        <w:t>在约定的范围内合同总价不作调整</w:t>
      </w:r>
      <w:r>
        <w:rPr>
          <w:rFonts w:hint="eastAsia" w:ascii="宋体" w:hAnsi="宋体" w:eastAsia="宋体" w:cs="宋体"/>
          <w:color w:val="auto"/>
          <w:kern w:val="0"/>
          <w:sz w:val="24"/>
          <w:szCs w:val="24"/>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6882C28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价格形式</w:t>
      </w:r>
    </w:p>
    <w:p w14:paraId="05A33CC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合同当事人可在专用合同条款中约定其他合同价格形式。</w:t>
      </w:r>
    </w:p>
    <w:p w14:paraId="4AF59CEE">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037" w:name="_Toc351203582"/>
      <w:bookmarkEnd w:id="2037"/>
      <w:bookmarkStart w:id="2038" w:name="_Toc337558801"/>
      <w:bookmarkEnd w:id="2038"/>
      <w:bookmarkStart w:id="2039" w:name="_Toc296346598"/>
      <w:bookmarkEnd w:id="2039"/>
      <w:bookmarkStart w:id="2040" w:name="_Toc296503097"/>
      <w:bookmarkStart w:id="2041" w:name="_Toc3400"/>
      <w:bookmarkStart w:id="2042" w:name="_Toc14766"/>
      <w:bookmarkStart w:id="2043" w:name="_Toc17550"/>
      <w:bookmarkStart w:id="2044" w:name="_Toc18583"/>
      <w:bookmarkStart w:id="2045" w:name="_Toc28281"/>
      <w:bookmarkStart w:id="2046" w:name="_Toc32621"/>
      <w:bookmarkStart w:id="2047" w:name="_Toc29770"/>
      <w:bookmarkStart w:id="2048" w:name="_Toc130"/>
      <w:bookmarkStart w:id="2049" w:name="_Toc19890"/>
      <w:bookmarkStart w:id="2050" w:name="_Toc19973"/>
      <w:bookmarkStart w:id="2051" w:name="_Toc18244"/>
      <w:bookmarkStart w:id="2052" w:name="_Toc179"/>
      <w:bookmarkStart w:id="2053" w:name="_Toc27061"/>
      <w:r>
        <w:rPr>
          <w:rFonts w:hint="eastAsia" w:ascii="宋体" w:hAnsi="宋体" w:eastAsia="宋体" w:cs="宋体"/>
          <w:b w:val="0"/>
          <w:bCs w:val="0"/>
          <w:color w:val="auto"/>
          <w:sz w:val="24"/>
          <w:szCs w:val="24"/>
          <w:highlight w:val="none"/>
        </w:rPr>
        <w:t>12.2预</w:t>
      </w:r>
      <w:bookmarkEnd w:id="2040"/>
      <w:bookmarkStart w:id="2054" w:name="_Toc296346601"/>
      <w:bookmarkEnd w:id="2054"/>
      <w:bookmarkStart w:id="2055" w:name="_Toc296503100"/>
      <w:bookmarkEnd w:id="2055"/>
      <w:r>
        <w:rPr>
          <w:rFonts w:hint="eastAsia" w:ascii="宋体" w:hAnsi="宋体" w:eastAsia="宋体" w:cs="宋体"/>
          <w:b w:val="0"/>
          <w:bCs w:val="0"/>
          <w:color w:val="auto"/>
          <w:sz w:val="24"/>
          <w:szCs w:val="24"/>
          <w:highlight w:val="none"/>
        </w:rPr>
        <w:t>付款</w:t>
      </w:r>
      <w:bookmarkEnd w:id="2041"/>
      <w:bookmarkEnd w:id="2042"/>
      <w:bookmarkEnd w:id="2043"/>
      <w:bookmarkEnd w:id="2044"/>
      <w:bookmarkEnd w:id="2045"/>
      <w:bookmarkEnd w:id="2046"/>
      <w:bookmarkEnd w:id="2047"/>
      <w:bookmarkEnd w:id="2048"/>
      <w:bookmarkEnd w:id="2049"/>
      <w:bookmarkEnd w:id="2050"/>
      <w:bookmarkEnd w:id="2051"/>
      <w:bookmarkEnd w:id="2052"/>
      <w:bookmarkEnd w:id="2053"/>
    </w:p>
    <w:p w14:paraId="42FA14BD">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kern w:val="0"/>
          <w:sz w:val="24"/>
          <w:szCs w:val="24"/>
          <w:highlight w:val="none"/>
        </w:rPr>
        <w:t>1预付款的支付</w:t>
      </w:r>
    </w:p>
    <w:p w14:paraId="7829BCF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预付款的支付按照专用合同条款约定执行，但至迟应在开工通知载明的开工日期7天前支付。预付款应当用于材料、工程设备、施工设备的采购及修建临时工程、组织施工队伍进场等。</w:t>
      </w:r>
    </w:p>
    <w:p w14:paraId="64040CD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除专用合同条款另有约定外，预付款在进度付款中同比例扣回。在颁发工程接收证书前，提前解除合同的，尚未扣完的预付款应与合同价款一并结算。</w:t>
      </w:r>
    </w:p>
    <w:p w14:paraId="78D8EBB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发包人逾期支付预付款超过7天的，承包人有权向发包人发出要求预付的催告通知，发包人收到通知后7天内仍未支付的，承包人有权暂停施工，并按第16.1.1项〔发包人违约的情形〕执行。</w:t>
      </w:r>
    </w:p>
    <w:p w14:paraId="6CF24FD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16CB1BC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7FFA59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发包人在工程款中逐期扣回预付款后，预付款担保额度应相应减少，但剩余的预付款担保金额不得低于未被扣回的预付款金额。</w:t>
      </w:r>
    </w:p>
    <w:p w14:paraId="7467693F">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056" w:name="_Toc351203583"/>
      <w:bookmarkEnd w:id="2056"/>
      <w:bookmarkStart w:id="2057" w:name="_Toc617"/>
      <w:bookmarkStart w:id="2058" w:name="_Toc23017"/>
      <w:bookmarkStart w:id="2059" w:name="_Toc9557"/>
      <w:bookmarkStart w:id="2060" w:name="_Toc30258"/>
      <w:bookmarkStart w:id="2061" w:name="_Toc17924"/>
      <w:bookmarkStart w:id="2062" w:name="_Toc20286"/>
      <w:bookmarkStart w:id="2063" w:name="_Toc5686"/>
      <w:bookmarkStart w:id="2064" w:name="_Toc9400"/>
      <w:bookmarkStart w:id="2065" w:name="_Toc32237"/>
      <w:bookmarkStart w:id="2066" w:name="_Toc5789"/>
      <w:bookmarkStart w:id="2067" w:name="_Toc24477"/>
      <w:bookmarkStart w:id="2068" w:name="_Toc18602"/>
      <w:bookmarkStart w:id="2069" w:name="_Toc30254"/>
      <w:bookmarkStart w:id="2070" w:name="_Toc337558802"/>
      <w:r>
        <w:rPr>
          <w:rFonts w:hint="eastAsia" w:ascii="宋体" w:hAnsi="宋体" w:eastAsia="宋体" w:cs="宋体"/>
          <w:b w:val="0"/>
          <w:bCs w:val="0"/>
          <w:color w:val="auto"/>
          <w:sz w:val="24"/>
          <w:szCs w:val="24"/>
          <w:highlight w:val="none"/>
        </w:rPr>
        <w:t>12.3计量</w:t>
      </w:r>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p>
    <w:p w14:paraId="6063A25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 计量原则</w:t>
      </w:r>
    </w:p>
    <w:p w14:paraId="066CD2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工程量计量按照合同约定的工程量计算规则、图纸及变更指示等进行计量。工程量计算规则应以相关的国家标准、行业标准等为依据，由合同当事人在专用合同条款中约定。</w:t>
      </w:r>
    </w:p>
    <w:p w14:paraId="0828B25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 计量周期</w:t>
      </w:r>
    </w:p>
    <w:p w14:paraId="061E395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除专用合同条款另有约定外，工程量的计量按月进行。</w:t>
      </w:r>
    </w:p>
    <w:p w14:paraId="4A6FAF1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12.3.3 单价合同的计量</w:t>
      </w:r>
    </w:p>
    <w:p w14:paraId="7F89361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除专用合同条款另有约定外，单价合同的计量按照本项约定执行：</w:t>
      </w:r>
    </w:p>
    <w:p w14:paraId="6C01CC4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59043FA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7473FA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（3）监理人未在收到承包人提交的工程量报表后的7天内完成审核的，承包人报送的工程量报告中的工程量视为承包人实际完成的工程量，据此计算工程价款。</w:t>
      </w:r>
    </w:p>
    <w:p w14:paraId="024D46D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12.3.4 总价合同的计量</w:t>
      </w:r>
    </w:p>
    <w:p w14:paraId="30F62D5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除专用合同条款另有约定外，按月计量支付的总价合同，按照本项约定执行：</w:t>
      </w:r>
    </w:p>
    <w:p w14:paraId="0067CF8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0A381FB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534FA0A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（3）监理人未在收到承包人提交的工程量报表后的7天内完成复核的，承包人提交的工程量报告中的工程量视为承包人实际完成的工程量。</w:t>
      </w:r>
    </w:p>
    <w:p w14:paraId="64CF977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12.3.5 总价合同采用支付分解表计量支付的，可以按照第12.3.4项〔总价合同的计量〕约定进行计量，但合同价款按照支付分解表进行支付。</w:t>
      </w:r>
    </w:p>
    <w:p w14:paraId="4939E16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12.3.6 其他价格形式合同的计量</w:t>
      </w:r>
    </w:p>
    <w:p w14:paraId="5C2D416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合同当事人可在专用合同条款中约定其他价格形式合同的计量方式和程序。</w:t>
      </w:r>
    </w:p>
    <w:p w14:paraId="2A86E48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071" w:name="_Toc296346602"/>
      <w:bookmarkEnd w:id="2071"/>
      <w:bookmarkStart w:id="2072" w:name="_Toc351203584"/>
      <w:bookmarkEnd w:id="2072"/>
      <w:bookmarkStart w:id="2073" w:name="_Toc296503101"/>
      <w:bookmarkEnd w:id="2073"/>
      <w:bookmarkStart w:id="2074" w:name="_Toc337558803"/>
      <w:bookmarkStart w:id="2075" w:name="_Toc10182"/>
      <w:bookmarkStart w:id="2076" w:name="_Toc9804"/>
      <w:bookmarkStart w:id="2077" w:name="_Toc19279"/>
      <w:bookmarkStart w:id="2078" w:name="_Toc1100"/>
      <w:bookmarkStart w:id="2079" w:name="_Toc13172"/>
      <w:bookmarkStart w:id="2080" w:name="_Toc16837"/>
      <w:bookmarkStart w:id="2081" w:name="_Toc1767"/>
      <w:bookmarkStart w:id="2082" w:name="_Toc28893"/>
      <w:bookmarkStart w:id="2083" w:name="_Toc8254"/>
      <w:bookmarkStart w:id="2084" w:name="_Toc20132"/>
      <w:bookmarkStart w:id="2085" w:name="_Toc2411"/>
      <w:bookmarkStart w:id="2086" w:name="_Toc8654"/>
      <w:bookmarkStart w:id="2087" w:name="_Toc24920"/>
      <w:r>
        <w:rPr>
          <w:rFonts w:hint="eastAsia" w:ascii="宋体" w:hAnsi="宋体" w:eastAsia="宋体" w:cs="宋体"/>
          <w:b w:val="0"/>
          <w:bCs w:val="0"/>
          <w:color w:val="auto"/>
          <w:sz w:val="24"/>
          <w:szCs w:val="24"/>
          <w:highlight w:val="none"/>
        </w:rPr>
        <w:t>12.4工程进度款支</w:t>
      </w:r>
      <w:bookmarkEnd w:id="2074"/>
      <w:r>
        <w:rPr>
          <w:rFonts w:hint="eastAsia" w:ascii="宋体" w:hAnsi="宋体" w:eastAsia="宋体" w:cs="宋体"/>
          <w:b w:val="0"/>
          <w:bCs w:val="0"/>
          <w:color w:val="auto"/>
          <w:sz w:val="24"/>
          <w:szCs w:val="24"/>
          <w:highlight w:val="none"/>
        </w:rPr>
        <w:t>付</w:t>
      </w:r>
      <w:bookmarkEnd w:id="2075"/>
      <w:bookmarkEnd w:id="2076"/>
      <w:bookmarkEnd w:id="2077"/>
      <w:bookmarkEnd w:id="2078"/>
      <w:bookmarkEnd w:id="2079"/>
      <w:bookmarkEnd w:id="2080"/>
      <w:bookmarkEnd w:id="2081"/>
      <w:bookmarkEnd w:id="2082"/>
      <w:bookmarkEnd w:id="2083"/>
      <w:bookmarkEnd w:id="2084"/>
      <w:bookmarkEnd w:id="2085"/>
      <w:bookmarkEnd w:id="2086"/>
      <w:bookmarkEnd w:id="2087"/>
    </w:p>
    <w:p w14:paraId="2F59F7F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2088" w:name="_Toc15005"/>
      <w:bookmarkStart w:id="2089" w:name="_Toc1124"/>
      <w:bookmarkStart w:id="2090" w:name="_Toc14924"/>
      <w:bookmarkStart w:id="2091" w:name="_Toc29223"/>
      <w:bookmarkStart w:id="2092" w:name="_Toc25004"/>
      <w:bookmarkStart w:id="2093" w:name="_Toc11503"/>
      <w:bookmarkStart w:id="2094" w:name="_Toc4231"/>
      <w:bookmarkStart w:id="2095" w:name="_Toc22830"/>
      <w:bookmarkStart w:id="2096" w:name="_Toc14523"/>
      <w:bookmarkStart w:id="2097" w:name="_Toc24524"/>
      <w:bookmarkStart w:id="2098" w:name="_Toc25807"/>
      <w:bookmarkStart w:id="2099" w:name="_Toc32127"/>
      <w:bookmarkStart w:id="2100" w:name="_Toc9300"/>
      <w:bookmarkStart w:id="2101" w:name="_Toc27242"/>
      <w:bookmarkStart w:id="2102" w:name="_Toc31080"/>
      <w:bookmarkStart w:id="2103" w:name="_Toc30442"/>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.1 付款周期</w:t>
      </w:r>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p>
    <w:p w14:paraId="1E3488B3">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除专用合同条款另有约定外，付款周期应按照第12.3.2项〔计量周期〕的约定与计量周期保持一致。</w:t>
      </w:r>
    </w:p>
    <w:p w14:paraId="36302B0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.2 进度付款申请单的编制</w:t>
      </w:r>
    </w:p>
    <w:p w14:paraId="4ACE13C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除专用合同条款另有约定外，进度付款申请单应包括下列内容：</w:t>
      </w:r>
    </w:p>
    <w:p w14:paraId="159B2EA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（1）截至本次付款周期已完成工作对应的金额；</w:t>
      </w:r>
    </w:p>
    <w:p w14:paraId="2D478E8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（2）根据第10条〔变更〕应增加和扣减的变更金额；</w:t>
      </w:r>
    </w:p>
    <w:p w14:paraId="22067CF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（3）根据第12.2款〔预付款〕约定应支付的预付款和扣减的返还预付款；</w:t>
      </w:r>
    </w:p>
    <w:p w14:paraId="6D3EC12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（4）根据第15.3款〔质量保证金〕约定应扣减的质量保证金；</w:t>
      </w:r>
    </w:p>
    <w:p w14:paraId="7EB9ED9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（5）根据第19条〔索赔〕应增加和扣减的索赔金额；</w:t>
      </w:r>
    </w:p>
    <w:p w14:paraId="169CC94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（6）对已签发的进度款支付证书中出现错误的修正，应在本次进度付款中支付或扣除的金额；</w:t>
      </w:r>
    </w:p>
    <w:p w14:paraId="5B8EE69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（7）根据合同约定应增加和扣减的其他金额。</w:t>
      </w:r>
    </w:p>
    <w:p w14:paraId="1E06899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2104" w:name="_Toc16343"/>
      <w:bookmarkStart w:id="2105" w:name="_Toc26444"/>
      <w:bookmarkStart w:id="2106" w:name="_Toc2556"/>
      <w:bookmarkStart w:id="2107" w:name="_Toc26700"/>
      <w:bookmarkStart w:id="2108" w:name="_Toc27963"/>
      <w:bookmarkStart w:id="2109" w:name="_Toc23724"/>
      <w:bookmarkStart w:id="2110" w:name="_Toc32012"/>
      <w:bookmarkStart w:id="2111" w:name="_Toc23732"/>
      <w:bookmarkStart w:id="2112" w:name="_Toc16571"/>
      <w:bookmarkStart w:id="2113" w:name="_Toc8010"/>
      <w:bookmarkStart w:id="2114" w:name="_Toc8116"/>
      <w:bookmarkStart w:id="2115" w:name="_Toc20652"/>
      <w:bookmarkStart w:id="2116" w:name="_Toc7542"/>
      <w:bookmarkStart w:id="2117" w:name="_Toc15080"/>
      <w:bookmarkStart w:id="2118" w:name="_Toc16688"/>
      <w:bookmarkStart w:id="2119" w:name="_Toc3843"/>
      <w:r>
        <w:rPr>
          <w:rFonts w:hint="eastAsia" w:ascii="宋体" w:hAnsi="宋体" w:eastAsia="宋体" w:cs="宋体"/>
          <w:color w:val="auto"/>
          <w:kern w:val="0"/>
          <w:sz w:val="24"/>
          <w:szCs w:val="24"/>
          <w:highlight w:val="none"/>
        </w:rPr>
        <w:t>12.4.3 进度付款申请单的提交</w:t>
      </w:r>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p>
    <w:p w14:paraId="77F0B88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（1）单价合同进度付款申请单的提交</w:t>
      </w:r>
    </w:p>
    <w:p w14:paraId="4D437DD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2A2CCE8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（2）总价合同进度付款申请单的提交</w:t>
      </w:r>
    </w:p>
    <w:p w14:paraId="3A931DA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总价合同按月计量支付的，承包人按照第12.3.4项〔总价合同的计量〕约定的时间按月向监理人提交进度付款申请单，并附上已完成工程量报表和有关资料。</w:t>
      </w:r>
    </w:p>
    <w:p w14:paraId="3D09669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总价合同按支付分解表支付的，承包人应按照第12.4.6项〔支付分解表〕及第12.4.2项〔进度付款申请单的编制〕的约定向监理人提交进度付款申请单。</w:t>
      </w:r>
    </w:p>
    <w:p w14:paraId="61356EF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（3）其他价格形式合同的进度付款申请单的提交</w:t>
      </w:r>
    </w:p>
    <w:p w14:paraId="595FB88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合同当事人可在专用合同条款中约定其他价格形式合同的进度付款申请单的编制和提交程序。</w:t>
      </w:r>
    </w:p>
    <w:p w14:paraId="4D4E64F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.4 进度款审核和支付</w:t>
      </w:r>
    </w:p>
    <w:p w14:paraId="62DADD2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AEEC42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1904919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5E852E0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（3）发包人签发进度款支付证书或临时进度款支付证书，不表明发包人已同意、批准或接受了承包人完成的相应部分的工作。</w:t>
      </w:r>
    </w:p>
    <w:p w14:paraId="12C7852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12.4.5 进度付款的修正</w:t>
      </w:r>
    </w:p>
    <w:p w14:paraId="2C381A8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51E5672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12.4.6 支付分解表</w:t>
      </w:r>
    </w:p>
    <w:p w14:paraId="2C4DF0C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1.支付分解表的编制要求</w:t>
      </w:r>
    </w:p>
    <w:p w14:paraId="5765DDE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（1）支付分解表中所列的每期付款金额，应为第12.4.2项〔进度付款申请单的编制〕第（1</w:t>
      </w:r>
      <w:r>
        <w:rPr>
          <w:rFonts w:hint="eastAsia" w:ascii="宋体" w:hAnsi="宋体" w:eastAsia="宋体" w:cs="宋体"/>
          <w:color w:val="auto"/>
          <w:kern w:val="0"/>
          <w:sz w:val="24"/>
          <w:szCs w:val="24"/>
          <w:highlight w:val="none"/>
          <w:lang w:eastAsia="zh-CN"/>
        </w:rPr>
        <w:t>）项</w:t>
      </w:r>
      <w:r>
        <w:rPr>
          <w:rFonts w:hint="eastAsia" w:ascii="宋体" w:hAnsi="宋体" w:eastAsia="宋体" w:cs="宋体"/>
          <w:color w:val="auto"/>
          <w:kern w:val="0"/>
          <w:sz w:val="24"/>
          <w:szCs w:val="24"/>
          <w:highlight w:val="none"/>
        </w:rPr>
        <w:t>目的估算金额；</w:t>
      </w:r>
    </w:p>
    <w:p w14:paraId="5763E8A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（2）实际进度与施工进度计划不一致的，合同当事人可按照第4.4款〔商定或确定〕修改支付分解表；</w:t>
      </w:r>
    </w:p>
    <w:p w14:paraId="63B8C18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（3）不采用支付分解表的，承包人应向发包人和监理人提交按季度编制的支付估算分解表，用于支付参考。</w:t>
      </w:r>
    </w:p>
    <w:p w14:paraId="5A8A2FC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2.总价合同支付分解表的编制与审批</w:t>
      </w:r>
    </w:p>
    <w:p w14:paraId="7F95734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37E3296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4278988F">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（3）发包人逾期未完成支付分解表审批的，也未及时要求承包人进行修正和提供补充资料的，则承包人提交的支付分解表视为已经获得发包人批准。</w:t>
      </w:r>
    </w:p>
    <w:p w14:paraId="189A0BC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3.单价合同的总价项目支付分解表的编制与审批</w:t>
      </w:r>
    </w:p>
    <w:p w14:paraId="2E8F2E45">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463A2AEA">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120" w:name="_Toc351203585"/>
      <w:bookmarkEnd w:id="2120"/>
      <w:bookmarkStart w:id="2121" w:name="_Toc25220"/>
      <w:bookmarkStart w:id="2122" w:name="_Toc1915"/>
      <w:bookmarkStart w:id="2123" w:name="_Toc10100"/>
      <w:bookmarkStart w:id="2124" w:name="_Toc4416"/>
      <w:bookmarkStart w:id="2125" w:name="_Toc13955"/>
      <w:bookmarkStart w:id="2126" w:name="_Toc24740"/>
      <w:bookmarkStart w:id="2127" w:name="_Toc1120"/>
      <w:bookmarkStart w:id="2128" w:name="_Toc7113"/>
      <w:bookmarkStart w:id="2129" w:name="_Toc14649"/>
      <w:bookmarkStart w:id="2130" w:name="_Toc30251"/>
      <w:bookmarkStart w:id="2131" w:name="_Toc24249"/>
      <w:bookmarkStart w:id="2132" w:name="_Toc1774"/>
      <w:bookmarkStart w:id="2133" w:name="_Toc9105"/>
      <w:r>
        <w:rPr>
          <w:rFonts w:hint="eastAsia" w:ascii="宋体" w:hAnsi="宋体" w:eastAsia="宋体" w:cs="宋体"/>
          <w:b w:val="0"/>
          <w:bCs w:val="0"/>
          <w:color w:val="auto"/>
          <w:sz w:val="24"/>
          <w:szCs w:val="24"/>
          <w:highlight w:val="none"/>
        </w:rPr>
        <w:t>12.5支付账户</w:t>
      </w:r>
      <w:bookmarkEnd w:id="2121"/>
      <w:bookmarkEnd w:id="2122"/>
      <w:bookmarkEnd w:id="2123"/>
      <w:bookmarkEnd w:id="2124"/>
      <w:bookmarkEnd w:id="2125"/>
      <w:bookmarkEnd w:id="2126"/>
      <w:bookmarkEnd w:id="2127"/>
      <w:bookmarkEnd w:id="2128"/>
      <w:bookmarkEnd w:id="2129"/>
      <w:bookmarkEnd w:id="2130"/>
      <w:bookmarkEnd w:id="2131"/>
      <w:bookmarkEnd w:id="2132"/>
      <w:bookmarkEnd w:id="2133"/>
    </w:p>
    <w:p w14:paraId="51C832C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发包人应将合同价款支付至合同协议书中约定的承包人账户。</w:t>
      </w:r>
    </w:p>
    <w:p w14:paraId="11E5559A">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134" w:name="_Toc351203586"/>
      <w:bookmarkEnd w:id="2134"/>
      <w:bookmarkStart w:id="2135" w:name="_Toc322522574"/>
      <w:bookmarkEnd w:id="2135"/>
      <w:bookmarkStart w:id="2136" w:name="_Toc296346607"/>
      <w:bookmarkEnd w:id="2136"/>
      <w:bookmarkStart w:id="2137" w:name="_Toc296503106"/>
      <w:bookmarkEnd w:id="2137"/>
      <w:bookmarkStart w:id="2138" w:name="_Toc3933"/>
      <w:bookmarkStart w:id="2139" w:name="_Toc32157"/>
      <w:bookmarkStart w:id="2140" w:name="_Toc8939"/>
      <w:bookmarkStart w:id="2141" w:name="_Toc27248"/>
      <w:bookmarkStart w:id="2142" w:name="_Toc4538"/>
      <w:bookmarkStart w:id="2143" w:name="_Toc25138"/>
      <w:bookmarkStart w:id="2144" w:name="_Toc21380"/>
      <w:bookmarkStart w:id="2145" w:name="_Toc7681"/>
      <w:bookmarkStart w:id="2146" w:name="_Toc11273"/>
      <w:bookmarkStart w:id="2147" w:name="_Toc23088"/>
      <w:bookmarkStart w:id="2148" w:name="_Toc12231"/>
      <w:bookmarkStart w:id="2149" w:name="_Toc20672"/>
      <w:bookmarkStart w:id="2150" w:name="_Toc4123"/>
      <w:bookmarkStart w:id="2151" w:name="_Toc30938"/>
      <w:bookmarkStart w:id="2152" w:name="_Toc337558804"/>
      <w:r>
        <w:rPr>
          <w:rFonts w:hint="eastAsia" w:ascii="宋体" w:hAnsi="宋体" w:eastAsia="宋体" w:cs="宋体"/>
          <w:b w:val="0"/>
          <w:bCs w:val="0"/>
          <w:color w:val="auto"/>
          <w:sz w:val="24"/>
          <w:szCs w:val="24"/>
          <w:highlight w:val="none"/>
        </w:rPr>
        <w:t>13. 验收和工程试车</w:t>
      </w:r>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p>
    <w:p w14:paraId="762D5192">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153" w:name="_Toc296503110"/>
      <w:bookmarkEnd w:id="2153"/>
      <w:bookmarkStart w:id="2154" w:name="_Toc351203587"/>
      <w:bookmarkEnd w:id="2154"/>
      <w:bookmarkStart w:id="2155" w:name="_Toc337558805"/>
      <w:bookmarkEnd w:id="2155"/>
      <w:bookmarkStart w:id="2156" w:name="_Toc296346611"/>
      <w:bookmarkEnd w:id="2156"/>
      <w:bookmarkStart w:id="2157" w:name="_Toc26731"/>
      <w:bookmarkStart w:id="2158" w:name="_Toc21138"/>
      <w:bookmarkStart w:id="2159" w:name="_Toc9339"/>
      <w:bookmarkStart w:id="2160" w:name="_Toc31912"/>
      <w:bookmarkStart w:id="2161" w:name="_Toc2632"/>
      <w:bookmarkStart w:id="2162" w:name="_Toc10172"/>
      <w:bookmarkStart w:id="2163" w:name="_Toc17612"/>
      <w:bookmarkStart w:id="2164" w:name="_Toc14973"/>
      <w:bookmarkStart w:id="2165" w:name="_Toc7774"/>
      <w:bookmarkStart w:id="2166" w:name="_Toc26189"/>
      <w:bookmarkStart w:id="2167" w:name="_Toc20897"/>
      <w:bookmarkStart w:id="2168" w:name="_Toc31571"/>
      <w:bookmarkStart w:id="2169" w:name="_Toc25019"/>
      <w:r>
        <w:rPr>
          <w:rFonts w:hint="eastAsia" w:ascii="宋体" w:hAnsi="宋体" w:eastAsia="宋体" w:cs="宋体"/>
          <w:b w:val="0"/>
          <w:bCs w:val="0"/>
          <w:color w:val="auto"/>
          <w:sz w:val="24"/>
          <w:szCs w:val="24"/>
          <w:highlight w:val="none"/>
        </w:rPr>
        <w:t>13.1分部分项工程验收</w:t>
      </w:r>
      <w:bookmarkEnd w:id="2157"/>
      <w:bookmarkEnd w:id="2158"/>
      <w:bookmarkEnd w:id="2159"/>
      <w:bookmarkEnd w:id="2160"/>
      <w:bookmarkEnd w:id="2161"/>
      <w:bookmarkEnd w:id="2162"/>
      <w:bookmarkEnd w:id="2163"/>
      <w:bookmarkEnd w:id="2164"/>
      <w:bookmarkEnd w:id="2165"/>
      <w:bookmarkEnd w:id="2166"/>
      <w:bookmarkEnd w:id="2167"/>
      <w:bookmarkEnd w:id="2168"/>
      <w:bookmarkEnd w:id="2169"/>
    </w:p>
    <w:p w14:paraId="79BA1D46">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 分部分项工程质量应符合国家有关工程施工验收规范、标准及合同约定，承包人应按照施工组织设计的要求完成分部分项工程施工。</w:t>
      </w:r>
    </w:p>
    <w:p w14:paraId="22DE7E4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 除专用合同条款另有约定外，分部分项工程经承包人自检合格并具备验收条件的，承包人应提前48小时通知监理人进行验收。</w:t>
      </w:r>
      <w:r>
        <w:rPr>
          <w:rFonts w:hint="eastAsia" w:ascii="宋体" w:hAnsi="宋体" w:eastAsia="宋体" w:cs="宋体"/>
          <w:color w:val="auto"/>
          <w:kern w:val="0"/>
          <w:sz w:val="24"/>
          <w:szCs w:val="24"/>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auto"/>
          <w:sz w:val="24"/>
          <w:szCs w:val="24"/>
          <w:highlight w:val="none"/>
        </w:rPr>
        <w:t>分部分项工程未经验收的，不得进入下一道工序施工。</w:t>
      </w:r>
    </w:p>
    <w:p w14:paraId="00B644D3">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分部分项工程的验收资料应当作为竣工资料的组成部分。</w:t>
      </w:r>
    </w:p>
    <w:p w14:paraId="74CCA74D">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170" w:name="_Toc351203588"/>
      <w:bookmarkEnd w:id="2170"/>
      <w:bookmarkStart w:id="2171" w:name="_Toc25524"/>
      <w:bookmarkStart w:id="2172" w:name="_Toc26674"/>
      <w:bookmarkStart w:id="2173" w:name="_Toc337558806"/>
      <w:bookmarkStart w:id="2174" w:name="_Toc22836"/>
      <w:bookmarkStart w:id="2175" w:name="_Toc742"/>
      <w:bookmarkStart w:id="2176" w:name="_Toc200"/>
      <w:bookmarkStart w:id="2177" w:name="_Toc30963"/>
      <w:bookmarkStart w:id="2178" w:name="_Toc15211"/>
      <w:bookmarkStart w:id="2179" w:name="_Toc607"/>
      <w:bookmarkStart w:id="2180" w:name="_Toc22711"/>
      <w:bookmarkStart w:id="2181" w:name="_Toc17893"/>
      <w:bookmarkStart w:id="2182" w:name="_Toc11341"/>
      <w:bookmarkStart w:id="2183" w:name="_Toc23716"/>
      <w:bookmarkStart w:id="2184" w:name="_Toc4077"/>
      <w:r>
        <w:rPr>
          <w:rFonts w:hint="eastAsia" w:ascii="宋体" w:hAnsi="宋体" w:eastAsia="宋体" w:cs="宋体"/>
          <w:b w:val="0"/>
          <w:bCs w:val="0"/>
          <w:color w:val="auto"/>
          <w:sz w:val="24"/>
          <w:szCs w:val="24"/>
          <w:highlight w:val="none"/>
        </w:rPr>
        <w:t>13.2竣工验收</w:t>
      </w:r>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p>
    <w:p w14:paraId="0B660C7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13.2.1竣工验收条件</w:t>
      </w:r>
    </w:p>
    <w:p w14:paraId="7FF5B4B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工程具备以下条件的，承包人可以申请竣工验收：</w:t>
      </w:r>
    </w:p>
    <w:p w14:paraId="3FAB905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（1）除发包人同意的甩项工作和缺陷修补工作外，合同范围内的全部工程以及有关工作，包括合同要求的试验、试运行以及检验均已完成，并符合合同要求；</w:t>
      </w:r>
    </w:p>
    <w:p w14:paraId="5BB778E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（2）已按合同约定编制了甩项工作和缺陷修补工作清单以及相应的施工计划；</w:t>
      </w:r>
    </w:p>
    <w:p w14:paraId="32ADA36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（3）已按合同约定的内容和份数备齐竣工资料。</w:t>
      </w:r>
    </w:p>
    <w:p w14:paraId="7D45866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13.2.2竣工验收程序</w:t>
      </w:r>
    </w:p>
    <w:p w14:paraId="1BE96C1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除专用合同条款另有约定外，承包人申请竣工验收的，应当按照以下程序进行：</w:t>
      </w:r>
    </w:p>
    <w:p w14:paraId="2FA4613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596F13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0B790B8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（3）竣工验收合格的，发包人应在验收合格后14天内向承包人签发工程接收证书。发包人无正当理由逾期不颁发工程接收证书的，自验收合格后第15天起视为已颁发工程接收证书。</w:t>
      </w:r>
    </w:p>
    <w:p w14:paraId="6602D9B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A1EC8D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082621F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57616D4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13.2.3竣工日期</w:t>
      </w:r>
    </w:p>
    <w:p w14:paraId="48DBF34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2185" w:name="#go14"/>
      <w:bookmarkEnd w:id="2185"/>
      <w:r>
        <w:rPr>
          <w:rFonts w:hint="eastAsia" w:ascii="宋体" w:hAnsi="宋体" w:eastAsia="宋体" w:cs="宋体"/>
          <w:color w:val="auto"/>
          <w:kern w:val="0"/>
          <w:sz w:val="24"/>
          <w:szCs w:val="24"/>
          <w:highlight w:val="none"/>
        </w:rPr>
        <w:t>收申请报告的日期为实际竣工日期；工程未经竣工验收，发包人擅自使用的，以转移占有工程之日为实际竣工日期。</w:t>
      </w:r>
    </w:p>
    <w:p w14:paraId="3C88858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2186" w:name="_Toc19516"/>
      <w:bookmarkStart w:id="2187" w:name="_Toc30557"/>
      <w:bookmarkStart w:id="2188" w:name="_Toc3865"/>
      <w:bookmarkStart w:id="2189" w:name="_Toc13103"/>
      <w:bookmarkStart w:id="2190" w:name="_Toc16270"/>
      <w:bookmarkStart w:id="2191" w:name="_Toc13951"/>
      <w:bookmarkStart w:id="2192" w:name="_Toc17506"/>
      <w:bookmarkStart w:id="2193" w:name="_Toc5167"/>
      <w:bookmarkStart w:id="2194" w:name="_Toc7665"/>
      <w:bookmarkStart w:id="2195" w:name="_Toc8431"/>
      <w:bookmarkStart w:id="2196" w:name="_Toc995"/>
      <w:bookmarkStart w:id="2197" w:name="_Toc20882"/>
      <w:bookmarkStart w:id="2198" w:name="_Toc9506"/>
      <w:bookmarkStart w:id="2199" w:name="_Toc27341"/>
      <w:bookmarkStart w:id="2200" w:name="_Toc32446"/>
      <w:bookmarkStart w:id="2201" w:name="_Toc11994"/>
      <w:r>
        <w:rPr>
          <w:rFonts w:hint="eastAsia" w:ascii="宋体" w:hAnsi="宋体" w:eastAsia="宋体" w:cs="宋体"/>
          <w:color w:val="auto"/>
          <w:kern w:val="0"/>
          <w:sz w:val="24"/>
          <w:szCs w:val="24"/>
          <w:highlight w:val="none"/>
        </w:rPr>
        <w:t>13.2.4 拒绝接收全部或部分工程</w:t>
      </w:r>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p>
    <w:p w14:paraId="59FDE9C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7EF261E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13.2.5 移交、接收全部与部分工程</w:t>
      </w:r>
    </w:p>
    <w:p w14:paraId="3283327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除专用合同条款另有约定外，合同当事人应当在颁发工程接收证书后7天内完成工程的移交。</w:t>
      </w:r>
    </w:p>
    <w:p w14:paraId="3C213A0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535EACA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65C7A4C6">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202" w:name="_Toc296503111"/>
      <w:bookmarkEnd w:id="2202"/>
      <w:bookmarkStart w:id="2203" w:name="_Toc351203589"/>
      <w:bookmarkEnd w:id="2203"/>
      <w:bookmarkStart w:id="2204" w:name="_Toc296346612"/>
      <w:bookmarkEnd w:id="2204"/>
      <w:bookmarkStart w:id="2205" w:name="_Toc8168"/>
      <w:bookmarkStart w:id="2206" w:name="_Toc27856"/>
      <w:bookmarkStart w:id="2207" w:name="_Toc21902"/>
      <w:bookmarkStart w:id="2208" w:name="_Toc4664"/>
      <w:bookmarkStart w:id="2209" w:name="_Toc337558807"/>
      <w:bookmarkStart w:id="2210" w:name="_Toc28258"/>
      <w:bookmarkStart w:id="2211" w:name="_Toc16406"/>
      <w:bookmarkStart w:id="2212" w:name="_Toc15559"/>
      <w:bookmarkStart w:id="2213" w:name="_Toc31512"/>
      <w:bookmarkStart w:id="2214" w:name="_Toc31414"/>
      <w:bookmarkStart w:id="2215" w:name="_Toc25982"/>
      <w:bookmarkStart w:id="2216" w:name="_Toc8284"/>
      <w:bookmarkStart w:id="2217" w:name="_Toc30727"/>
      <w:bookmarkStart w:id="2218" w:name="_Toc8048"/>
      <w:r>
        <w:rPr>
          <w:rFonts w:hint="eastAsia" w:ascii="宋体" w:hAnsi="宋体" w:eastAsia="宋体" w:cs="宋体"/>
          <w:b w:val="0"/>
          <w:bCs w:val="0"/>
          <w:color w:val="auto"/>
          <w:sz w:val="24"/>
          <w:szCs w:val="24"/>
          <w:highlight w:val="none"/>
        </w:rPr>
        <w:t>13.3工程试车</w:t>
      </w:r>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p>
    <w:p w14:paraId="3668EDF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13.3.1试车程序</w:t>
      </w:r>
    </w:p>
    <w:p w14:paraId="59B3132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工程需要试车的，除专用合同条款另有约定外，试车内容应与承包人承包范围相一致，试车费用由承包人承担。工程试车应按如下程序进行：</w:t>
      </w:r>
    </w:p>
    <w:p w14:paraId="7B205F1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9ABD61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2E9A700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305974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13.3.2 试车中的责任</w:t>
      </w:r>
    </w:p>
    <w:p w14:paraId="41D86BB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275D05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5D2B746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05B3049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如需进行投料试车的，发包人应在工程竣工验收后组织投料试车。发包人要求在工程竣工验收前进行或需要承包人配合时，应征得承包人同意，并在专用合同条款中约定有关事项。</w:t>
      </w:r>
    </w:p>
    <w:p w14:paraId="160FFC41">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B4B1A35">
      <w:pPr>
        <w:pageBreakBefore w:val="0"/>
        <w:widowControl/>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219" w:name="_Toc337558808"/>
      <w:bookmarkEnd w:id="2219"/>
      <w:r>
        <w:rPr>
          <w:rFonts w:hint="eastAsia" w:ascii="宋体" w:hAnsi="宋体" w:eastAsia="宋体" w:cs="宋体"/>
          <w:b w:val="0"/>
          <w:bCs w:val="0"/>
          <w:color w:val="auto"/>
          <w:sz w:val="24"/>
          <w:szCs w:val="24"/>
          <w:highlight w:val="none"/>
        </w:rPr>
        <w:t xml:space="preserve">    </w:t>
      </w:r>
      <w:bookmarkStart w:id="2220" w:name="_Toc26336"/>
      <w:bookmarkStart w:id="2221" w:name="_Toc32084"/>
      <w:bookmarkStart w:id="2222" w:name="_Toc351203590"/>
      <w:bookmarkStart w:id="2223" w:name="_Toc2702"/>
      <w:bookmarkStart w:id="2224" w:name="_Toc1689"/>
      <w:bookmarkStart w:id="2225" w:name="_Toc21695"/>
      <w:bookmarkStart w:id="2226" w:name="_Toc17134"/>
      <w:bookmarkStart w:id="2227" w:name="_Toc20950"/>
      <w:bookmarkStart w:id="2228" w:name="_Toc29297"/>
      <w:bookmarkStart w:id="2229" w:name="_Toc20444"/>
      <w:bookmarkStart w:id="2230" w:name="_Toc1686"/>
      <w:bookmarkStart w:id="2231" w:name="_Toc6179"/>
      <w:bookmarkStart w:id="2232" w:name="_Toc21988"/>
      <w:bookmarkStart w:id="2233" w:name="_Toc7938"/>
      <w:r>
        <w:rPr>
          <w:rFonts w:hint="eastAsia" w:ascii="宋体" w:hAnsi="宋体" w:eastAsia="宋体" w:cs="宋体"/>
          <w:b w:val="0"/>
          <w:bCs w:val="0"/>
          <w:color w:val="auto"/>
          <w:sz w:val="24"/>
          <w:szCs w:val="24"/>
          <w:highlight w:val="none"/>
        </w:rPr>
        <w:t>13.4提前交付单位工程的验收</w:t>
      </w:r>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p>
    <w:p w14:paraId="2D1F8AEC">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13.4.1 发包人需要在工程竣工前使用单位工程的，或承包人提出提前交付已经竣工的单位工程且经发包人同意的，可进行单位工程验收，验收的程序按照第13.2款〔竣工验收〕的约定进行。</w:t>
      </w:r>
    </w:p>
    <w:p w14:paraId="7456286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2622710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13.4.2 发包人要求在工程竣工前交付单位工程，由此导致承包人费用增加和（或）工期延误的，由发包人承担由此增加的费用和（或）延误的工期，并支付承包人合理的利润。</w:t>
      </w:r>
    </w:p>
    <w:p w14:paraId="6DC273B1">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234" w:name="_Toc351203591"/>
      <w:bookmarkEnd w:id="2234"/>
      <w:bookmarkStart w:id="2235" w:name="_Toc30164"/>
      <w:bookmarkStart w:id="2236" w:name="_Toc1558"/>
      <w:bookmarkStart w:id="2237" w:name="_Toc13675"/>
      <w:bookmarkStart w:id="2238" w:name="_Toc6652"/>
      <w:bookmarkStart w:id="2239" w:name="_Toc2636"/>
      <w:bookmarkStart w:id="2240" w:name="_Toc17065"/>
      <w:bookmarkStart w:id="2241" w:name="_Toc30283"/>
      <w:bookmarkStart w:id="2242" w:name="_Toc2072"/>
      <w:bookmarkStart w:id="2243" w:name="_Toc29317"/>
      <w:bookmarkStart w:id="2244" w:name="_Toc12889"/>
      <w:bookmarkStart w:id="2245" w:name="_Toc27734"/>
      <w:bookmarkStart w:id="2246" w:name="_Toc340"/>
      <w:bookmarkStart w:id="2247" w:name="_Toc19099"/>
      <w:r>
        <w:rPr>
          <w:rFonts w:hint="eastAsia" w:ascii="宋体" w:hAnsi="宋体" w:eastAsia="宋体" w:cs="宋体"/>
          <w:b w:val="0"/>
          <w:bCs w:val="0"/>
          <w:color w:val="auto"/>
          <w:sz w:val="24"/>
          <w:szCs w:val="24"/>
          <w:highlight w:val="none"/>
        </w:rPr>
        <w:t>13.5 施工期运行</w:t>
      </w:r>
      <w:bookmarkEnd w:id="2235"/>
      <w:bookmarkEnd w:id="2236"/>
      <w:bookmarkEnd w:id="2237"/>
      <w:bookmarkEnd w:id="2238"/>
      <w:bookmarkEnd w:id="2239"/>
      <w:bookmarkEnd w:id="2240"/>
      <w:bookmarkEnd w:id="2241"/>
      <w:bookmarkEnd w:id="2242"/>
      <w:bookmarkEnd w:id="2243"/>
      <w:bookmarkEnd w:id="2244"/>
      <w:bookmarkEnd w:id="2245"/>
      <w:bookmarkEnd w:id="2246"/>
      <w:bookmarkEnd w:id="2247"/>
    </w:p>
    <w:p w14:paraId="17F41B9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2FB1171D">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13.5.2 在施工期运行中发现工程或工程设备损坏或存在缺陷的，由承包人按第15.2款〔缺陷责任期〕约定进行修复。</w:t>
      </w:r>
    </w:p>
    <w:p w14:paraId="31B9F67E">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248" w:name="_Toc296346613"/>
      <w:bookmarkEnd w:id="2248"/>
      <w:bookmarkStart w:id="2249" w:name="_Toc351203592"/>
      <w:bookmarkEnd w:id="2249"/>
      <w:bookmarkStart w:id="2250" w:name="_Toc296503112"/>
      <w:bookmarkEnd w:id="2250"/>
      <w:bookmarkStart w:id="2251" w:name="_Toc337558809"/>
      <w:bookmarkStart w:id="2252" w:name="_Toc1252"/>
      <w:bookmarkStart w:id="2253" w:name="_Toc28898"/>
      <w:bookmarkStart w:id="2254" w:name="_Toc24617"/>
      <w:bookmarkStart w:id="2255" w:name="_Toc31790"/>
      <w:bookmarkStart w:id="2256" w:name="_Toc6165"/>
      <w:bookmarkStart w:id="2257" w:name="_Toc12693"/>
      <w:bookmarkStart w:id="2258" w:name="_Toc19996"/>
      <w:bookmarkStart w:id="2259" w:name="_Toc10336"/>
      <w:bookmarkStart w:id="2260" w:name="_Toc26664"/>
      <w:bookmarkStart w:id="2261" w:name="_Toc14055"/>
      <w:bookmarkStart w:id="2262" w:name="_Toc24500"/>
      <w:bookmarkStart w:id="2263" w:name="_Toc11485"/>
      <w:bookmarkStart w:id="2264" w:name="_Toc29598"/>
      <w:r>
        <w:rPr>
          <w:rFonts w:hint="eastAsia" w:ascii="宋体" w:hAnsi="宋体" w:eastAsia="宋体" w:cs="宋体"/>
          <w:b w:val="0"/>
          <w:bCs w:val="0"/>
          <w:color w:val="auto"/>
          <w:sz w:val="24"/>
          <w:szCs w:val="24"/>
          <w:highlight w:val="none"/>
        </w:rPr>
        <w:t>13.6 竣工退</w:t>
      </w:r>
      <w:bookmarkEnd w:id="2251"/>
      <w:r>
        <w:rPr>
          <w:rFonts w:hint="eastAsia" w:ascii="宋体" w:hAnsi="宋体" w:eastAsia="宋体" w:cs="宋体"/>
          <w:b w:val="0"/>
          <w:bCs w:val="0"/>
          <w:color w:val="auto"/>
          <w:sz w:val="24"/>
          <w:szCs w:val="24"/>
          <w:highlight w:val="none"/>
        </w:rPr>
        <w:t>场</w:t>
      </w:r>
      <w:bookmarkEnd w:id="2252"/>
      <w:bookmarkEnd w:id="2253"/>
      <w:bookmarkEnd w:id="2254"/>
      <w:bookmarkEnd w:id="2255"/>
      <w:bookmarkEnd w:id="2256"/>
      <w:bookmarkEnd w:id="2257"/>
      <w:bookmarkEnd w:id="2258"/>
      <w:bookmarkEnd w:id="2259"/>
      <w:bookmarkEnd w:id="2260"/>
      <w:bookmarkEnd w:id="2261"/>
      <w:bookmarkEnd w:id="2262"/>
      <w:bookmarkEnd w:id="2263"/>
      <w:bookmarkEnd w:id="2264"/>
    </w:p>
    <w:p w14:paraId="5D5AAE7D">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432E8D67">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颁发工程接收证书后，承包人应按以下要求对施工现场进行清理：</w:t>
      </w:r>
    </w:p>
    <w:p w14:paraId="2F73C14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（1）施工现场内残留的垃圾已全部清除出场；</w:t>
      </w:r>
    </w:p>
    <w:p w14:paraId="13295C3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（2）临时工程已拆除，场地已进行清理、平整或复原；</w:t>
      </w:r>
    </w:p>
    <w:p w14:paraId="3CA013F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（3）按合同约定应撤离的人员、承包人施工设备和剩余的材料，包括废弃的施工设备和材料，已按计划撤离施工现场；</w:t>
      </w:r>
    </w:p>
    <w:p w14:paraId="6D9102C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（4）施工现场周边及其附近道路、河道的施工堆积物，已全部清理；</w:t>
      </w:r>
    </w:p>
    <w:p w14:paraId="1DAABDF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（5）施工现场其他场地清理工作已全部完成。</w:t>
      </w:r>
    </w:p>
    <w:p w14:paraId="5183095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5DFA6642">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13.6.2 地表还原</w:t>
      </w:r>
    </w:p>
    <w:p w14:paraId="57D8AEAF">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0E0A0206">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265" w:name="_Toc337558810"/>
      <w:bookmarkEnd w:id="2265"/>
      <w:bookmarkStart w:id="2266" w:name="_Toc296346614"/>
      <w:bookmarkEnd w:id="2266"/>
      <w:bookmarkStart w:id="2267" w:name="_Toc351203593"/>
      <w:bookmarkEnd w:id="2267"/>
      <w:bookmarkStart w:id="2268" w:name="_Toc31214"/>
      <w:bookmarkStart w:id="2269" w:name="_Toc1360"/>
      <w:bookmarkStart w:id="2270" w:name="_Toc4393"/>
      <w:bookmarkStart w:id="2271" w:name="_Toc21293"/>
      <w:bookmarkStart w:id="2272" w:name="_Toc20265"/>
      <w:bookmarkStart w:id="2273" w:name="_Toc2336"/>
      <w:bookmarkStart w:id="2274" w:name="_Toc690"/>
      <w:bookmarkStart w:id="2275" w:name="_Toc11874"/>
      <w:bookmarkStart w:id="2276" w:name="_Toc27169"/>
      <w:bookmarkStart w:id="2277" w:name="_Toc296503113"/>
      <w:bookmarkStart w:id="2278" w:name="_Toc30780"/>
      <w:bookmarkStart w:id="2279" w:name="_Toc13385"/>
      <w:bookmarkStart w:id="2280" w:name="_Toc7068"/>
      <w:bookmarkStart w:id="2281" w:name="_Toc12016"/>
      <w:bookmarkStart w:id="2282" w:name="_Toc23590"/>
      <w:bookmarkStart w:id="2283" w:name="_Toc5673"/>
      <w:r>
        <w:rPr>
          <w:rFonts w:hint="eastAsia" w:ascii="宋体" w:hAnsi="宋体" w:eastAsia="宋体" w:cs="宋体"/>
          <w:b w:val="0"/>
          <w:bCs w:val="0"/>
          <w:color w:val="auto"/>
          <w:sz w:val="24"/>
          <w:szCs w:val="24"/>
          <w:highlight w:val="none"/>
        </w:rPr>
        <w:t>14. 竣工结算</w:t>
      </w:r>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p>
    <w:p w14:paraId="1D59D3A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284" w:name="_Toc351203594"/>
      <w:bookmarkEnd w:id="2284"/>
      <w:bookmarkStart w:id="2285" w:name="_Toc28555"/>
      <w:bookmarkStart w:id="2286" w:name="_Toc28517"/>
      <w:bookmarkStart w:id="2287" w:name="_Toc26195"/>
      <w:bookmarkStart w:id="2288" w:name="_Toc12659"/>
      <w:bookmarkStart w:id="2289" w:name="_Toc422"/>
      <w:bookmarkStart w:id="2290" w:name="_Toc17097"/>
      <w:bookmarkStart w:id="2291" w:name="_Toc19478"/>
      <w:bookmarkStart w:id="2292" w:name="_Toc30699"/>
      <w:bookmarkStart w:id="2293" w:name="_Toc30270"/>
      <w:bookmarkStart w:id="2294" w:name="_Toc2304"/>
      <w:bookmarkStart w:id="2295" w:name="_Toc32235"/>
      <w:bookmarkStart w:id="2296" w:name="_Toc7423"/>
      <w:bookmarkStart w:id="2297" w:name="_Toc337558811"/>
      <w:bookmarkStart w:id="2298" w:name="_Toc22545"/>
      <w:r>
        <w:rPr>
          <w:rFonts w:hint="eastAsia" w:ascii="宋体" w:hAnsi="宋体" w:eastAsia="宋体" w:cs="宋体"/>
          <w:b w:val="0"/>
          <w:bCs w:val="0"/>
          <w:color w:val="auto"/>
          <w:sz w:val="24"/>
          <w:szCs w:val="24"/>
          <w:highlight w:val="none"/>
        </w:rPr>
        <w:t>14.1 竣工结算申请</w:t>
      </w:r>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p>
    <w:p w14:paraId="7BE1789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除专用合同条款另有约定外，</w:t>
      </w:r>
      <w:r>
        <w:rPr>
          <w:rFonts w:hint="eastAsia" w:ascii="宋体" w:hAnsi="宋体" w:eastAsia="宋体" w:cs="宋体"/>
          <w:color w:val="auto"/>
          <w:sz w:val="24"/>
          <w:szCs w:val="24"/>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02862A1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除专用合同条款另有约定外，竣工结算申请单应包括以下内容：</w:t>
      </w:r>
    </w:p>
    <w:p w14:paraId="224AD61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（1）竣工结算合同价格；</w:t>
      </w:r>
    </w:p>
    <w:p w14:paraId="28E8A86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（2）发包人已支付承包人的款项；</w:t>
      </w:r>
    </w:p>
    <w:p w14:paraId="22984D6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（3）应扣留的质量保证金。已缴纳履约保证金的或提供其他工程质量担保方式的除外； </w:t>
      </w:r>
    </w:p>
    <w:p w14:paraId="0AEAFCD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（4）发包人应支付承包人的合同价款。</w:t>
      </w:r>
    </w:p>
    <w:p w14:paraId="02C6437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299" w:name="_Toc351203595"/>
      <w:bookmarkEnd w:id="2299"/>
      <w:bookmarkStart w:id="2300" w:name="_Toc7013"/>
      <w:bookmarkStart w:id="2301" w:name="_Toc20689"/>
      <w:bookmarkStart w:id="2302" w:name="_Toc14616"/>
      <w:bookmarkStart w:id="2303" w:name="_Toc31211"/>
      <w:bookmarkStart w:id="2304" w:name="_Toc32356"/>
      <w:bookmarkStart w:id="2305" w:name="_Toc6535"/>
      <w:bookmarkStart w:id="2306" w:name="_Toc29032"/>
      <w:bookmarkStart w:id="2307" w:name="_Toc28388"/>
      <w:bookmarkStart w:id="2308" w:name="_Toc337558812"/>
      <w:bookmarkStart w:id="2309" w:name="_Toc27782"/>
      <w:bookmarkStart w:id="2310" w:name="_Toc3418"/>
      <w:bookmarkStart w:id="2311" w:name="_Toc27862"/>
      <w:bookmarkStart w:id="2312" w:name="_Toc6995"/>
      <w:bookmarkStart w:id="2313" w:name="_Toc21537"/>
      <w:r>
        <w:rPr>
          <w:rFonts w:hint="eastAsia" w:ascii="宋体" w:hAnsi="宋体" w:eastAsia="宋体" w:cs="宋体"/>
          <w:b w:val="0"/>
          <w:bCs w:val="0"/>
          <w:color w:val="auto"/>
          <w:sz w:val="24"/>
          <w:szCs w:val="24"/>
          <w:highlight w:val="none"/>
        </w:rPr>
        <w:t>14.2 竣工结算审核</w:t>
      </w:r>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p>
    <w:p w14:paraId="7F575A1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auto"/>
          <w:sz w:val="24"/>
          <w:szCs w:val="24"/>
          <w:highlight w:val="none"/>
        </w:rPr>
        <w:t>发包人对竣工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申请单有异议的，有权要求承包人进行修正和提供补充资料，承包人应提交修正后的竣工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w:t>
      </w:r>
    </w:p>
    <w:p w14:paraId="7A010005">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3694095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0896841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B7B63C6">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314" w:name="_Toc351203596"/>
      <w:bookmarkEnd w:id="2314"/>
      <w:bookmarkStart w:id="2315" w:name="_Toc13910"/>
      <w:bookmarkStart w:id="2316" w:name="_Toc25788"/>
      <w:bookmarkStart w:id="2317" w:name="_Toc337558813"/>
      <w:bookmarkStart w:id="2318" w:name="_Toc18116"/>
      <w:bookmarkStart w:id="2319" w:name="_Toc30087"/>
      <w:bookmarkStart w:id="2320" w:name="_Toc22453"/>
      <w:bookmarkStart w:id="2321" w:name="_Toc8780"/>
      <w:bookmarkStart w:id="2322" w:name="_Toc26112"/>
      <w:bookmarkStart w:id="2323" w:name="_Toc9144"/>
      <w:bookmarkStart w:id="2324" w:name="_Toc30670"/>
      <w:bookmarkStart w:id="2325" w:name="_Toc26998"/>
      <w:bookmarkStart w:id="2326" w:name="_Toc4249"/>
      <w:bookmarkStart w:id="2327" w:name="_Toc4941"/>
      <w:bookmarkStart w:id="2328" w:name="_Toc1582"/>
      <w:r>
        <w:rPr>
          <w:rFonts w:hint="eastAsia" w:ascii="宋体" w:hAnsi="宋体" w:eastAsia="宋体" w:cs="宋体"/>
          <w:b w:val="0"/>
          <w:bCs w:val="0"/>
          <w:color w:val="auto"/>
          <w:sz w:val="24"/>
          <w:szCs w:val="24"/>
          <w:highlight w:val="none"/>
        </w:rPr>
        <w:t>14.3 甩项竣工协议</w:t>
      </w:r>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p>
    <w:p w14:paraId="7C406CD5">
      <w:pPr>
        <w:pageBreakBefore w:val="0"/>
        <w:widowControl/>
        <w:kinsoku/>
        <w:wordWrap/>
        <w:overflowPunct/>
        <w:topLinePunct w:val="0"/>
        <w:autoSpaceDE w:val="0"/>
        <w:autoSpaceDN w:val="0"/>
        <w:bidi w:val="0"/>
        <w:adjustRightInd w:val="0"/>
        <w:snapToGrid/>
        <w:spacing w:line="360" w:lineRule="auto"/>
        <w:ind w:firstLine="470" w:firstLineChars="196"/>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3D0232A8">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329" w:name="_Toc351203597"/>
      <w:bookmarkEnd w:id="2329"/>
      <w:bookmarkStart w:id="2330" w:name="_Toc21485"/>
      <w:bookmarkStart w:id="2331" w:name="_Toc2340"/>
      <w:bookmarkStart w:id="2332" w:name="_Toc18696"/>
      <w:bookmarkStart w:id="2333" w:name="_Toc11164"/>
      <w:bookmarkStart w:id="2334" w:name="_Toc23521"/>
      <w:bookmarkStart w:id="2335" w:name="_Toc1604"/>
      <w:bookmarkStart w:id="2336" w:name="_Toc337558814"/>
      <w:bookmarkStart w:id="2337" w:name="_Toc5022"/>
      <w:bookmarkStart w:id="2338" w:name="_Toc3549"/>
      <w:bookmarkStart w:id="2339" w:name="_Toc12001"/>
      <w:bookmarkStart w:id="2340" w:name="_Toc20092"/>
      <w:bookmarkStart w:id="2341" w:name="_Toc32331"/>
      <w:bookmarkStart w:id="2342" w:name="_Toc13631"/>
      <w:r>
        <w:rPr>
          <w:rFonts w:hint="eastAsia" w:ascii="宋体" w:hAnsi="宋体" w:eastAsia="宋体" w:cs="宋体"/>
          <w:b w:val="0"/>
          <w:bCs w:val="0"/>
          <w:color w:val="auto"/>
          <w:sz w:val="24"/>
          <w:szCs w:val="24"/>
          <w:highlight w:val="none"/>
        </w:rPr>
        <w:t>14.4 最终结清</w:t>
      </w:r>
      <w:bookmarkEnd w:id="2330"/>
      <w:bookmarkEnd w:id="2331"/>
      <w:bookmarkEnd w:id="2332"/>
      <w:bookmarkEnd w:id="2333"/>
      <w:bookmarkEnd w:id="2334"/>
      <w:bookmarkEnd w:id="2335"/>
      <w:bookmarkEnd w:id="2336"/>
      <w:bookmarkEnd w:id="2337"/>
      <w:bookmarkEnd w:id="2338"/>
      <w:bookmarkEnd w:id="2339"/>
      <w:bookmarkEnd w:id="2340"/>
      <w:bookmarkEnd w:id="2341"/>
      <w:bookmarkEnd w:id="2342"/>
    </w:p>
    <w:p w14:paraId="74A5047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26EC1DF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（1）除专用合同条款另有约定外，承包人应在缺陷责任期终止证书颁发后7天内，按专用合同条款约定的份数向发包人提交最终结清申请单，并提供相关证明材料。</w:t>
      </w:r>
    </w:p>
    <w:p w14:paraId="17DDC36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w:t>
      </w:r>
      <w:r>
        <w:rPr>
          <w:rFonts w:hint="eastAsia" w:ascii="宋体" w:hAnsi="宋体" w:eastAsia="宋体" w:cs="宋体"/>
          <w:color w:val="auto"/>
          <w:kern w:val="0"/>
          <w:sz w:val="24"/>
          <w:szCs w:val="24"/>
          <w:highlight w:val="none"/>
        </w:rPr>
        <w:t>最终结清申请单</w:t>
      </w:r>
      <w:r>
        <w:rPr>
          <w:rFonts w:hint="eastAsia" w:ascii="宋体" w:hAnsi="宋体" w:eastAsia="宋体" w:cs="宋体"/>
          <w:color w:val="auto"/>
          <w:sz w:val="24"/>
          <w:szCs w:val="24"/>
          <w:highlight w:val="none"/>
        </w:rPr>
        <w:t>应列明质量保证金、应扣除的质量保证金、缺陷责任期内发生的增减费用。</w:t>
      </w:r>
    </w:p>
    <w:p w14:paraId="735DCDF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（2）发包人对最终结清申请单内容有异议的，有权要求承包人进行修正和提供补充资料，承包人应向发包人提交修正后的最终结清申请单。</w:t>
      </w:r>
    </w:p>
    <w:p w14:paraId="4A46C43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14.4.2 最终结清证书和支付</w:t>
      </w:r>
    </w:p>
    <w:p w14:paraId="1FA5957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FB9C89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270C3301">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（3）承包人对发包人颁发的最终结清证书有异议的，按第20条〔争议解决〕的约定办理。</w:t>
      </w:r>
    </w:p>
    <w:p w14:paraId="0A6DD1BE">
      <w:pPr>
        <w:pageBreakBefore w:val="0"/>
        <w:widowControl/>
        <w:tabs>
          <w:tab w:val="left" w:pos="864"/>
        </w:tabs>
        <w:kinsoku/>
        <w:wordWrap/>
        <w:overflowPunct/>
        <w:topLinePunct w:val="0"/>
        <w:bidi w:val="0"/>
        <w:snapToGrid w:val="0"/>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343" w:name="_Toc351203598"/>
      <w:bookmarkEnd w:id="2343"/>
      <w:bookmarkStart w:id="2344" w:name="_Toc257"/>
      <w:bookmarkStart w:id="2345" w:name="_Toc12333"/>
      <w:bookmarkStart w:id="2346" w:name="_Toc110"/>
      <w:bookmarkStart w:id="2347" w:name="_Toc8404"/>
      <w:bookmarkStart w:id="2348" w:name="_Toc21683"/>
      <w:bookmarkStart w:id="2349" w:name="_Toc4369"/>
      <w:bookmarkStart w:id="2350" w:name="_Toc32715"/>
      <w:bookmarkStart w:id="2351" w:name="_Toc22206"/>
      <w:bookmarkStart w:id="2352" w:name="_Toc12601"/>
      <w:bookmarkStart w:id="2353" w:name="_Toc3033"/>
      <w:bookmarkStart w:id="2354" w:name="_Toc11007"/>
      <w:bookmarkStart w:id="2355" w:name="_Toc19669"/>
      <w:bookmarkStart w:id="2356" w:name="_Toc27714"/>
      <w:bookmarkStart w:id="2357" w:name="_Toc337558815"/>
      <w:bookmarkStart w:id="2358" w:name="_Toc32391"/>
      <w:bookmarkStart w:id="2359" w:name="_Toc1921"/>
      <w:r>
        <w:rPr>
          <w:rFonts w:hint="eastAsia" w:ascii="宋体" w:hAnsi="宋体" w:eastAsia="宋体" w:cs="宋体"/>
          <w:b w:val="0"/>
          <w:bCs w:val="0"/>
          <w:color w:val="auto"/>
          <w:sz w:val="24"/>
          <w:szCs w:val="24"/>
          <w:highlight w:val="none"/>
        </w:rPr>
        <w:t>15. 缺陷责任与保修</w:t>
      </w:r>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p>
    <w:p w14:paraId="0AD359FF">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360" w:name="_Toc337558816"/>
      <w:bookmarkEnd w:id="2360"/>
      <w:bookmarkStart w:id="2361" w:name="_Toc296346615"/>
      <w:bookmarkEnd w:id="2361"/>
      <w:bookmarkStart w:id="2362" w:name="_Toc351203599"/>
      <w:bookmarkEnd w:id="2362"/>
      <w:bookmarkStart w:id="2363" w:name="_Toc24842"/>
      <w:bookmarkStart w:id="2364" w:name="_Toc20680"/>
      <w:bookmarkStart w:id="2365" w:name="_Toc9455"/>
      <w:bookmarkStart w:id="2366" w:name="_Toc30980"/>
      <w:bookmarkStart w:id="2367" w:name="_Toc23273"/>
      <w:bookmarkStart w:id="2368" w:name="_Toc3116"/>
      <w:bookmarkStart w:id="2369" w:name="_Toc2602"/>
      <w:bookmarkStart w:id="2370" w:name="_Toc8281"/>
      <w:bookmarkStart w:id="2371" w:name="_Toc3080"/>
      <w:bookmarkStart w:id="2372" w:name="_Toc28777"/>
      <w:bookmarkStart w:id="2373" w:name="_Toc28414"/>
      <w:bookmarkStart w:id="2374" w:name="_Toc296503114"/>
      <w:bookmarkStart w:id="2375" w:name="_Toc22447"/>
      <w:bookmarkStart w:id="2376" w:name="_Toc21856"/>
      <w:r>
        <w:rPr>
          <w:rFonts w:hint="eastAsia" w:ascii="宋体" w:hAnsi="宋体" w:eastAsia="宋体" w:cs="宋体"/>
          <w:b w:val="0"/>
          <w:bCs w:val="0"/>
          <w:color w:val="auto"/>
          <w:sz w:val="24"/>
          <w:szCs w:val="24"/>
          <w:highlight w:val="none"/>
        </w:rPr>
        <w:t>15.1 工程保修的原则</w:t>
      </w:r>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p>
    <w:p w14:paraId="43EBED85">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在工程移交发包人后，因承包人原因产生的质量缺陷，承包人应承担质量缺陷责任和保修义务。缺陷责任期届满，承包人仍应按合同约定的工程各部位保修年限承担保修义务。</w:t>
      </w:r>
    </w:p>
    <w:p w14:paraId="7FF42D80">
      <w:pPr>
        <w:pageBreakBefore w:val="0"/>
        <w:widowControl/>
        <w:kinsoku/>
        <w:wordWrap/>
        <w:overflowPunct/>
        <w:topLinePunct w:val="0"/>
        <w:bidi w:val="0"/>
        <w:snapToGrid w:val="0"/>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377" w:name="_Toc351203600"/>
      <w:bookmarkEnd w:id="2377"/>
      <w:bookmarkStart w:id="2378" w:name="_Toc16446"/>
      <w:bookmarkStart w:id="2379" w:name="_Toc20448"/>
      <w:bookmarkStart w:id="2380" w:name="_Toc4302"/>
      <w:bookmarkStart w:id="2381" w:name="_Toc8417"/>
      <w:bookmarkStart w:id="2382" w:name="_Toc28801"/>
      <w:bookmarkStart w:id="2383" w:name="_Toc1960"/>
      <w:bookmarkStart w:id="2384" w:name="_Toc9294"/>
      <w:bookmarkStart w:id="2385" w:name="_Toc337558817"/>
      <w:bookmarkStart w:id="2386" w:name="_Toc17031"/>
      <w:bookmarkStart w:id="2387" w:name="_Toc21753"/>
      <w:bookmarkStart w:id="2388" w:name="_Toc5776"/>
      <w:bookmarkStart w:id="2389" w:name="_Toc15142"/>
      <w:bookmarkStart w:id="2390" w:name="_Toc13476"/>
      <w:bookmarkStart w:id="2391" w:name="_Toc27406"/>
      <w:r>
        <w:rPr>
          <w:rFonts w:hint="eastAsia" w:ascii="宋体" w:hAnsi="宋体" w:eastAsia="宋体" w:cs="宋体"/>
          <w:b w:val="0"/>
          <w:bCs w:val="0"/>
          <w:color w:val="auto"/>
          <w:sz w:val="24"/>
          <w:szCs w:val="24"/>
          <w:highlight w:val="none"/>
        </w:rPr>
        <w:t>15.2 缺陷责任期</w:t>
      </w:r>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p>
    <w:p w14:paraId="5580151B">
      <w:pPr>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 缺陷责任期从工程通过竣工验收之日起计算，合同当事人应在专用合同条款约定缺陷责任期的具体期限，但该期限最长不超过24个月。</w:t>
      </w:r>
    </w:p>
    <w:p w14:paraId="075861C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0405B26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color w:val="auto"/>
          <w:sz w:val="24"/>
          <w:szCs w:val="24"/>
          <w:highlight w:val="none"/>
        </w:rPr>
        <w:t>包人延长缺陷责任期，</w:t>
      </w:r>
      <w:r>
        <w:rPr>
          <w:rFonts w:hint="eastAsia" w:ascii="宋体" w:hAnsi="宋体" w:eastAsia="宋体" w:cs="宋体"/>
          <w:color w:val="auto"/>
          <w:kern w:val="0"/>
          <w:sz w:val="24"/>
          <w:szCs w:val="24"/>
          <w:highlight w:val="none"/>
        </w:rPr>
        <w:t>并应在原缺陷责任期届满前发出延长通知。</w:t>
      </w:r>
      <w:r>
        <w:rPr>
          <w:rFonts w:hint="eastAsia" w:ascii="宋体" w:hAnsi="宋体" w:eastAsia="宋体" w:cs="宋体"/>
          <w:color w:val="auto"/>
          <w:sz w:val="24"/>
          <w:szCs w:val="24"/>
          <w:highlight w:val="none"/>
        </w:rPr>
        <w:t>但缺陷责任期（含延长部分）最长</w:t>
      </w:r>
      <w:r>
        <w:rPr>
          <w:rFonts w:hint="eastAsia" w:ascii="宋体" w:hAnsi="宋体" w:eastAsia="宋体" w:cs="宋体"/>
          <w:color w:val="auto"/>
          <w:kern w:val="0"/>
          <w:sz w:val="24"/>
          <w:szCs w:val="24"/>
          <w:highlight w:val="none"/>
        </w:rPr>
        <w:t>不能超过24个月。</w:t>
      </w:r>
    </w:p>
    <w:p w14:paraId="3469FC3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由他人原因造成的缺陷，发包人负责组织维修，承包人不承担费用，且发包人不得从保证金中扣除费用。</w:t>
      </w:r>
    </w:p>
    <w:p w14:paraId="7CF0B4A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15.2.3 任何一项缺陷或损坏修复后，经检查证明其影响了工程或工程设备的使用性能，承包人应重新进行合同约定的试验和试运行，试验和试运行的全部费用应由责任方承担。</w:t>
      </w:r>
    </w:p>
    <w:p w14:paraId="04D4BB7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6B6178AA">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392" w:name="_Toc337558818"/>
      <w:bookmarkEnd w:id="2392"/>
      <w:bookmarkStart w:id="2393" w:name="_Toc351203601"/>
      <w:bookmarkEnd w:id="2393"/>
      <w:bookmarkStart w:id="2394" w:name="_Toc296503115"/>
      <w:bookmarkEnd w:id="2394"/>
      <w:bookmarkStart w:id="2395" w:name="_Toc9065"/>
      <w:bookmarkStart w:id="2396" w:name="_Toc20461"/>
      <w:bookmarkStart w:id="2397" w:name="_Toc30860"/>
      <w:bookmarkStart w:id="2398" w:name="_Toc26608"/>
      <w:bookmarkStart w:id="2399" w:name="_Toc15552"/>
      <w:bookmarkStart w:id="2400" w:name="_Toc7309"/>
      <w:bookmarkStart w:id="2401" w:name="_Toc13349"/>
      <w:bookmarkStart w:id="2402" w:name="_Toc296346616"/>
      <w:bookmarkStart w:id="2403" w:name="_Toc17115"/>
      <w:bookmarkStart w:id="2404" w:name="_Toc5158"/>
      <w:bookmarkStart w:id="2405" w:name="_Toc32660"/>
      <w:bookmarkStart w:id="2406" w:name="_Toc18114"/>
      <w:bookmarkStart w:id="2407" w:name="_Toc19285"/>
      <w:bookmarkStart w:id="2408" w:name="_Toc25070"/>
      <w:r>
        <w:rPr>
          <w:rFonts w:hint="eastAsia" w:ascii="宋体" w:hAnsi="宋体" w:eastAsia="宋体" w:cs="宋体"/>
          <w:b w:val="0"/>
          <w:bCs w:val="0"/>
          <w:color w:val="auto"/>
          <w:sz w:val="24"/>
          <w:szCs w:val="24"/>
          <w:highlight w:val="none"/>
        </w:rPr>
        <w:t>15.3 质量保证金</w:t>
      </w:r>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p>
    <w:p w14:paraId="605E74DE">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经合同当事人协商一致扣留质量保证金的，应在专用合同条款中予以明确。</w:t>
      </w:r>
    </w:p>
    <w:p w14:paraId="75D47BD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在工程项目竣工前，承包人已经提供履约担保的，发包人不得同时预留工程质量保证金。</w:t>
      </w:r>
    </w:p>
    <w:p w14:paraId="63A6262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15.3.1 承包人提供质量保证金的方式</w:t>
      </w:r>
    </w:p>
    <w:p w14:paraId="0C7D2BE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承包人提供质量保证金有以下三种方式：</w:t>
      </w:r>
    </w:p>
    <w:p w14:paraId="1712467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（1）质量保证金保函； </w:t>
      </w:r>
    </w:p>
    <w:p w14:paraId="5E396AA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（2）相应比例的工程款；</w:t>
      </w:r>
    </w:p>
    <w:p w14:paraId="10FBA39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（3）双方约定的其他方式。</w:t>
      </w:r>
    </w:p>
    <w:p w14:paraId="4B1E025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除专用合同条款另有约定外，质量保证金原则上采用上述第（1）种方式。</w:t>
      </w:r>
    </w:p>
    <w:p w14:paraId="6C43815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15.3.2 质量保证金的扣留</w:t>
      </w:r>
    </w:p>
    <w:p w14:paraId="3B84700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质量保证金的扣留有以下三种方式：</w:t>
      </w:r>
    </w:p>
    <w:p w14:paraId="3A328FE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7A6BF34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w:t>
      </w:r>
      <w:bookmarkStart w:id="2409" w:name="#go6"/>
      <w:bookmarkEnd w:id="2409"/>
      <w:r>
        <w:rPr>
          <w:rFonts w:hint="eastAsia" w:ascii="宋体" w:hAnsi="宋体" w:eastAsia="宋体" w:cs="宋体"/>
          <w:color w:val="auto"/>
          <w:kern w:val="0"/>
          <w:sz w:val="24"/>
          <w:szCs w:val="24"/>
          <w:highlight w:val="none"/>
        </w:rPr>
        <w:t>程竣工结算时一次性扣留质量保证金；</w:t>
      </w:r>
    </w:p>
    <w:p w14:paraId="6925547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（3）双方约定的其他扣留方式。</w:t>
      </w:r>
    </w:p>
    <w:p w14:paraId="4801C51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除专用合同条款另有约定外，质量保证金的扣留原则上采用上述第（1）种方式。</w:t>
      </w:r>
    </w:p>
    <w:p w14:paraId="0AADCDA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w:t>
      </w:r>
      <w:bookmarkStart w:id="2410" w:name="#go4"/>
      <w:bookmarkEnd w:id="2410"/>
      <w:r>
        <w:rPr>
          <w:rFonts w:hint="eastAsia" w:ascii="宋体" w:hAnsi="宋体" w:eastAsia="宋体" w:cs="宋体"/>
          <w:color w:val="auto"/>
          <w:kern w:val="0"/>
          <w:sz w:val="24"/>
          <w:szCs w:val="24"/>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0BB9CAE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发包人在退还质量保证金的同时按照中国人民银行发布的同期同类贷款基准利率支付利息。</w:t>
      </w:r>
    </w:p>
    <w:p w14:paraId="5D2511C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15.3.3 </w:t>
      </w:r>
      <w:r>
        <w:rPr>
          <w:rFonts w:hint="eastAsia" w:ascii="宋体" w:hAnsi="宋体" w:eastAsia="宋体" w:cs="宋体"/>
          <w:color w:val="auto"/>
          <w:sz w:val="24"/>
          <w:szCs w:val="24"/>
          <w:highlight w:val="none"/>
        </w:rPr>
        <w:t>质量保证金</w:t>
      </w:r>
      <w:r>
        <w:rPr>
          <w:rFonts w:hint="eastAsia" w:ascii="宋体" w:hAnsi="宋体" w:eastAsia="宋体" w:cs="宋体"/>
          <w:color w:val="auto"/>
          <w:kern w:val="0"/>
          <w:sz w:val="24"/>
          <w:szCs w:val="24"/>
          <w:highlight w:val="none"/>
        </w:rPr>
        <w:t>的退还</w:t>
      </w:r>
    </w:p>
    <w:p w14:paraId="1357EDC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缺陷责任期内，承包人认真履行合同约定的责任，到期后，承包人可向发包人申请返还保证金。</w:t>
      </w:r>
    </w:p>
    <w:p w14:paraId="6886374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F85FC3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发包人和承包人对保证金预留、返还以及工程维修质量、费用有争议的，按本合同第20条约定的争议和纠纷解决程序处理。</w:t>
      </w:r>
    </w:p>
    <w:p w14:paraId="222E1B2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411" w:name="_Toc351203602"/>
      <w:bookmarkEnd w:id="2411"/>
      <w:bookmarkStart w:id="2412" w:name="_Toc21199"/>
      <w:bookmarkStart w:id="2413" w:name="_Toc13080"/>
      <w:bookmarkStart w:id="2414" w:name="_Toc1407"/>
      <w:bookmarkStart w:id="2415" w:name="_Toc18573"/>
      <w:bookmarkStart w:id="2416" w:name="_Toc30872"/>
      <w:bookmarkStart w:id="2417" w:name="_Toc29411"/>
      <w:bookmarkStart w:id="2418" w:name="_Toc31887"/>
      <w:bookmarkStart w:id="2419" w:name="_Toc2398"/>
      <w:bookmarkStart w:id="2420" w:name="_Toc337558819"/>
      <w:bookmarkStart w:id="2421" w:name="_Toc12390"/>
      <w:bookmarkStart w:id="2422" w:name="_Toc17717"/>
      <w:bookmarkStart w:id="2423" w:name="_Toc15692"/>
      <w:bookmarkStart w:id="2424" w:name="_Toc21449"/>
      <w:bookmarkStart w:id="2425" w:name="_Toc18339"/>
      <w:r>
        <w:rPr>
          <w:rFonts w:hint="eastAsia" w:ascii="宋体" w:hAnsi="宋体" w:eastAsia="宋体" w:cs="宋体"/>
          <w:b w:val="0"/>
          <w:bCs w:val="0"/>
          <w:color w:val="auto"/>
          <w:sz w:val="24"/>
          <w:szCs w:val="24"/>
          <w:highlight w:val="none"/>
        </w:rPr>
        <w:t>15.4 保修</w:t>
      </w:r>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p>
    <w:p w14:paraId="1EA7646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15.4.1保修责任</w:t>
      </w:r>
    </w:p>
    <w:p w14:paraId="11448D2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7AC9797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发包人未经竣工验收擅自使用工程的，保修期自</w:t>
      </w:r>
      <w:r>
        <w:rPr>
          <w:rFonts w:hint="eastAsia" w:ascii="宋体" w:hAnsi="宋体" w:eastAsia="宋体" w:cs="宋体"/>
          <w:color w:val="auto"/>
          <w:kern w:val="0"/>
          <w:sz w:val="24"/>
          <w:szCs w:val="24"/>
          <w:highlight w:val="none"/>
        </w:rPr>
        <w:t>转移占有之日起算</w:t>
      </w:r>
      <w:r>
        <w:rPr>
          <w:rFonts w:hint="eastAsia" w:ascii="宋体" w:hAnsi="宋体" w:eastAsia="宋体" w:cs="宋体"/>
          <w:color w:val="auto"/>
          <w:sz w:val="24"/>
          <w:szCs w:val="24"/>
          <w:highlight w:val="none"/>
        </w:rPr>
        <w:t>。</w:t>
      </w:r>
    </w:p>
    <w:p w14:paraId="41D58FC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15.4.2 修复费用</w:t>
      </w:r>
    </w:p>
    <w:p w14:paraId="2635B78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保修期内，修复的费用按照以下约定处理：</w:t>
      </w:r>
    </w:p>
    <w:p w14:paraId="0C3FD11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（1）保修期内，因承包人原因造成工程的缺陷、损坏，承包人应负责修复，并承担修复的费用以及因工程的缺陷、损坏造成的人身伤害和财产损失；</w:t>
      </w:r>
    </w:p>
    <w:p w14:paraId="42BE490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（2）保修期内，因发包人使用不当造成工程的缺陷、损坏，可以委托承包人修复，但发包人应承担修复的费用，并支付承包人合理利润；</w:t>
      </w:r>
    </w:p>
    <w:p w14:paraId="76F2F843">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（3）因其他原因造成工程的缺陷、损坏，可以委托承包人修复，发包人应承担修复的费用，并支付承包人合理的利润，因工程的缺陷、损坏造成的人身伤害和财产损失由责任方承担。</w:t>
      </w:r>
    </w:p>
    <w:p w14:paraId="5670DED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 修复通知</w:t>
      </w:r>
    </w:p>
    <w:p w14:paraId="6CC875E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28ADD6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15.4.4 未能修复</w:t>
      </w:r>
    </w:p>
    <w:p w14:paraId="318D614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41C7B4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15.4.5 承包人出入权</w:t>
      </w:r>
    </w:p>
    <w:p w14:paraId="7A7E888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1DEB59E0">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426" w:name="_Toc351203603"/>
      <w:bookmarkEnd w:id="2426"/>
      <w:bookmarkStart w:id="2427" w:name="_Toc323"/>
      <w:bookmarkStart w:id="2428" w:name="_Toc7990"/>
      <w:bookmarkStart w:id="2429" w:name="_Toc19276"/>
      <w:bookmarkStart w:id="2430" w:name="_Toc32625"/>
      <w:bookmarkStart w:id="2431" w:name="_Toc20260"/>
      <w:bookmarkStart w:id="2432" w:name="_Toc32484"/>
      <w:bookmarkStart w:id="2433" w:name="_Toc19353"/>
      <w:bookmarkStart w:id="2434" w:name="_Toc26367"/>
      <w:bookmarkStart w:id="2435" w:name="_Toc16961"/>
      <w:bookmarkStart w:id="2436" w:name="_Toc2645"/>
      <w:bookmarkStart w:id="2437" w:name="_Toc24330"/>
      <w:bookmarkStart w:id="2438" w:name="_Toc26400"/>
      <w:bookmarkStart w:id="2439" w:name="_Toc10698"/>
      <w:bookmarkStart w:id="2440" w:name="_Toc16988"/>
      <w:bookmarkStart w:id="2441" w:name="_Toc337558820"/>
      <w:bookmarkStart w:id="2442" w:name="_Toc1973"/>
      <w:r>
        <w:rPr>
          <w:rFonts w:hint="eastAsia" w:ascii="宋体" w:hAnsi="宋体" w:eastAsia="宋体" w:cs="宋体"/>
          <w:b w:val="0"/>
          <w:bCs w:val="0"/>
          <w:color w:val="auto"/>
          <w:sz w:val="24"/>
          <w:szCs w:val="24"/>
          <w:highlight w:val="none"/>
        </w:rPr>
        <w:t>16. 违约</w:t>
      </w:r>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p>
    <w:p w14:paraId="212F3DAA">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443" w:name="_Toc296503129"/>
      <w:bookmarkEnd w:id="2443"/>
      <w:bookmarkStart w:id="2444" w:name="_Toc351203604"/>
      <w:bookmarkEnd w:id="2444"/>
      <w:bookmarkStart w:id="2445" w:name="_Toc296346630"/>
      <w:bookmarkEnd w:id="2445"/>
      <w:bookmarkStart w:id="2446" w:name="_Toc337558821"/>
      <w:bookmarkStart w:id="2447" w:name="_Toc6432"/>
      <w:bookmarkStart w:id="2448" w:name="_Toc24380"/>
      <w:bookmarkStart w:id="2449" w:name="_Toc17483"/>
      <w:bookmarkStart w:id="2450" w:name="_Toc539"/>
      <w:bookmarkStart w:id="2451" w:name="_Toc288"/>
      <w:bookmarkStart w:id="2452" w:name="_Toc5245"/>
      <w:bookmarkStart w:id="2453" w:name="_Toc17902"/>
      <w:bookmarkStart w:id="2454" w:name="_Toc26678"/>
      <w:bookmarkStart w:id="2455" w:name="_Toc3749"/>
      <w:bookmarkStart w:id="2456" w:name="_Toc24592"/>
      <w:bookmarkStart w:id="2457" w:name="_Toc19991"/>
      <w:bookmarkStart w:id="2458" w:name="_Toc24265"/>
      <w:bookmarkStart w:id="2459" w:name="_Toc15339"/>
      <w:r>
        <w:rPr>
          <w:rFonts w:hint="eastAsia" w:ascii="宋体" w:hAnsi="宋体" w:eastAsia="宋体" w:cs="宋体"/>
          <w:b w:val="0"/>
          <w:bCs w:val="0"/>
          <w:color w:val="auto"/>
          <w:sz w:val="24"/>
          <w:szCs w:val="24"/>
          <w:highlight w:val="none"/>
        </w:rPr>
        <w:t>16.1 发</w:t>
      </w:r>
      <w:bookmarkEnd w:id="2446"/>
      <w:r>
        <w:rPr>
          <w:rFonts w:hint="eastAsia" w:ascii="宋体" w:hAnsi="宋体" w:eastAsia="宋体" w:cs="宋体"/>
          <w:b w:val="0"/>
          <w:bCs w:val="0"/>
          <w:color w:val="auto"/>
          <w:sz w:val="24"/>
          <w:szCs w:val="24"/>
          <w:highlight w:val="none"/>
        </w:rPr>
        <w:t>包人违约</w:t>
      </w:r>
      <w:bookmarkEnd w:id="2447"/>
      <w:bookmarkEnd w:id="2448"/>
      <w:bookmarkEnd w:id="2449"/>
      <w:bookmarkEnd w:id="2450"/>
      <w:bookmarkEnd w:id="2451"/>
      <w:bookmarkEnd w:id="2452"/>
      <w:bookmarkEnd w:id="2453"/>
      <w:bookmarkEnd w:id="2454"/>
      <w:bookmarkEnd w:id="2455"/>
      <w:bookmarkEnd w:id="2456"/>
      <w:bookmarkEnd w:id="2457"/>
      <w:bookmarkEnd w:id="2458"/>
      <w:bookmarkEnd w:id="2459"/>
    </w:p>
    <w:p w14:paraId="1F1C4CF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16.1.1 发包人违约的情形</w:t>
      </w:r>
    </w:p>
    <w:p w14:paraId="5982840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在合同履行过程中发生的下列情形，属于发包人违约：</w:t>
      </w:r>
    </w:p>
    <w:p w14:paraId="362D033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（1）因发包人原因未能在计划开工日期前7天内下达开工通知的；</w:t>
      </w:r>
    </w:p>
    <w:p w14:paraId="5906DEB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w:t>
      </w:r>
    </w:p>
    <w:p w14:paraId="708819D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w:t>
      </w:r>
    </w:p>
    <w:p w14:paraId="1790B7B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w:t>
      </w:r>
    </w:p>
    <w:p w14:paraId="1833811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w:t>
      </w:r>
    </w:p>
    <w:p w14:paraId="05F2DDF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w:t>
      </w:r>
    </w:p>
    <w:p w14:paraId="6EC13FC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（7）发包人明确表示或者以其行为表明不履行合同主要义务的；</w:t>
      </w:r>
    </w:p>
    <w:p w14:paraId="69177A1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（8）发包人未能按照合同约定履行其他义务的。</w:t>
      </w:r>
    </w:p>
    <w:p w14:paraId="1FD1FBE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62AA6F7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16.1.2 发包人违约的责任</w:t>
      </w:r>
    </w:p>
    <w:p w14:paraId="7621315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发包人应承担因其违约给承包人增加的费用和（或）延误的工期，并支付承包人合理的利润。此外，合同当事人可在专用合同条款中另行约定发包人违约责任的承担方式和计算方法。</w:t>
      </w:r>
    </w:p>
    <w:p w14:paraId="242B9F4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16.1.3 因发包人违约解除合同</w:t>
      </w:r>
    </w:p>
    <w:p w14:paraId="3991957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17D6008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16.1.4 因发包人违约解除合同后的付款</w:t>
      </w:r>
    </w:p>
    <w:p w14:paraId="500473F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承包人按照本款约定解除合同的，发包人应在解除合同后28天内支付下列款项，并解除履约担保：</w:t>
      </w:r>
    </w:p>
    <w:p w14:paraId="2F7132E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（1）合同解除前所完成工作的价款；</w:t>
      </w:r>
    </w:p>
    <w:p w14:paraId="5AF1DA7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（2）承包人为工程施工订购并已付款的材料、工程设备和其他物品的价款；</w:t>
      </w:r>
    </w:p>
    <w:p w14:paraId="3733823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（3）承包人撤离施工现场以及遣散承包人人员的款项；</w:t>
      </w:r>
    </w:p>
    <w:p w14:paraId="67C0532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（4）按照合同约定在合同解除前应支付的违约金；</w:t>
      </w:r>
    </w:p>
    <w:p w14:paraId="6FA701C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（5）按照合同约定应当支付给承包人的其他款项；</w:t>
      </w:r>
    </w:p>
    <w:p w14:paraId="22E76E4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（6）按照合同约定应退还的质量保证金；</w:t>
      </w:r>
    </w:p>
    <w:p w14:paraId="5F7BCBD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（7）因解除合同给承包人造成的损失。</w:t>
      </w:r>
    </w:p>
    <w:p w14:paraId="0B2E6AE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合同当事人未能就解除合同后的结清达成一致的，按照第20条〔争议解决〕的约定处理。</w:t>
      </w:r>
    </w:p>
    <w:p w14:paraId="731256B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承包人应妥善做好已完工程和与工程有关的已购材料、工程设备的保护和移交工作，并将施工设备和人员撤出施工现场，发包人应为承包人撤出提供必要条件。</w:t>
      </w:r>
    </w:p>
    <w:p w14:paraId="4D52E383">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460" w:name="_Toc351203605"/>
      <w:bookmarkEnd w:id="2460"/>
      <w:bookmarkStart w:id="2461" w:name="_Toc296503131"/>
      <w:bookmarkEnd w:id="2461"/>
      <w:bookmarkStart w:id="2462" w:name="_Toc296346632"/>
      <w:bookmarkEnd w:id="2462"/>
      <w:bookmarkStart w:id="2463" w:name="_Toc1333"/>
      <w:bookmarkStart w:id="2464" w:name="_Toc31733"/>
      <w:bookmarkStart w:id="2465" w:name="_Toc5556"/>
      <w:bookmarkStart w:id="2466" w:name="_Toc22680"/>
      <w:bookmarkStart w:id="2467" w:name="_Toc7370"/>
      <w:bookmarkStart w:id="2468" w:name="_Toc22119"/>
      <w:bookmarkStart w:id="2469" w:name="_Toc32285"/>
      <w:bookmarkStart w:id="2470" w:name="_Toc22800"/>
      <w:bookmarkStart w:id="2471" w:name="_Toc337558822"/>
      <w:bookmarkStart w:id="2472" w:name="_Toc1971"/>
      <w:bookmarkStart w:id="2473" w:name="_Toc26129"/>
      <w:bookmarkStart w:id="2474" w:name="_Toc28183"/>
      <w:bookmarkStart w:id="2475" w:name="_Toc12755"/>
      <w:bookmarkStart w:id="2476" w:name="_Toc21386"/>
      <w:r>
        <w:rPr>
          <w:rFonts w:hint="eastAsia" w:ascii="宋体" w:hAnsi="宋体" w:eastAsia="宋体" w:cs="宋体"/>
          <w:b w:val="0"/>
          <w:bCs w:val="0"/>
          <w:color w:val="auto"/>
          <w:sz w:val="24"/>
          <w:szCs w:val="24"/>
          <w:highlight w:val="none"/>
        </w:rPr>
        <w:t>16.2 承包人违约</w:t>
      </w:r>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p>
    <w:p w14:paraId="60BC788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6C7B203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在合同履行过程中发生的下列情形，属于承包人违约：</w:t>
      </w:r>
    </w:p>
    <w:p w14:paraId="736DAC3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（1）承包人违反合同约定进行转包或违法分包的；</w:t>
      </w:r>
    </w:p>
    <w:p w14:paraId="632A5BF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（2）承包人违反合同约定采购和使用不合格的材料和工程设备的；</w:t>
      </w:r>
    </w:p>
    <w:p w14:paraId="2E67ED4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（3）因承包人原因导致工程质量不符合合同要求的； </w:t>
      </w:r>
    </w:p>
    <w:p w14:paraId="194EB6B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（4）承包人违反第8.9款〔材料与设备专用要求〕的约定，未经批准，私自将已按照合同约定进入施工现场的材料或设备撤离施工现场的；</w:t>
      </w:r>
    </w:p>
    <w:p w14:paraId="76C4F3C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（5）承包人未能按施工进度计划及时完成合同约定的工作，造成工期延误的；</w:t>
      </w:r>
    </w:p>
    <w:p w14:paraId="16BB7A8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（6）承包人在缺陷责任期及保修期内，未能在合理期限对工程缺陷进行修复，或拒绝按发包人要求进行修复的；</w:t>
      </w:r>
    </w:p>
    <w:p w14:paraId="5AC26CB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（7）承包人明确表示或者以其行为表明不履行合同主要义务的；</w:t>
      </w:r>
    </w:p>
    <w:p w14:paraId="62649E2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（8）承包人未能按照合同约定履行其他义务的。</w:t>
      </w:r>
    </w:p>
    <w:p w14:paraId="65FB394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承包人发生除本项第（7）目约定以外的其他违约情况时，监理人可向承包人发出整改通知，要求其在指定的期限内改正。</w:t>
      </w:r>
    </w:p>
    <w:p w14:paraId="2B926F5E">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 承包人违约的责任</w:t>
      </w:r>
    </w:p>
    <w:p w14:paraId="732666B6">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承包人应承担因其违约行为而增加的费用和（或）延误的工期。此外，合同当事人可在专用合同条款中另行约定承包人违约责任的承担方式和计算方法。</w:t>
      </w:r>
    </w:p>
    <w:p w14:paraId="6E270EC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16.2.3 因承包人违约解除合同</w:t>
      </w:r>
    </w:p>
    <w:p w14:paraId="04D403F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FD1D30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16.2.4因承包人违约解除合同后的处理</w:t>
      </w:r>
    </w:p>
    <w:p w14:paraId="7CAA4DA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因承包人原因导致合同解除的，则合同当事人应在合同解除后28天内完成估价、付款和清算，并按以下约定执行：</w:t>
      </w:r>
    </w:p>
    <w:p w14:paraId="297173F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（1）合同解除后，按第4.4款〔商定或确定〕商定或确定承包人实际完成工作对应的合同价款，以及承包人已提供的材料、工程设备、施工设备和临时工程等的价值；</w:t>
      </w:r>
    </w:p>
    <w:p w14:paraId="7344A60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（2）合同解除后，承包人应支付的违约金；</w:t>
      </w:r>
    </w:p>
    <w:p w14:paraId="357B956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（3）合同解除后，因解除合同给发包人造成的损失；</w:t>
      </w:r>
    </w:p>
    <w:p w14:paraId="7BECD90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（4）合同解除后，承包人应按照发包人要求和监理人的指示完成现场的清理和撤离；</w:t>
      </w:r>
    </w:p>
    <w:p w14:paraId="53A06CA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（5）发包人和承包人应在合同解除后进行清算，出具最终结清付款证书，结清全部款项。</w:t>
      </w:r>
    </w:p>
    <w:p w14:paraId="5019969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594D73F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16.2.5采购合同权益转让</w:t>
      </w:r>
    </w:p>
    <w:p w14:paraId="0B90E27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29CFE54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477" w:name="_Toc351203606"/>
      <w:bookmarkEnd w:id="2477"/>
      <w:bookmarkStart w:id="2478" w:name="_Toc4952"/>
      <w:bookmarkStart w:id="2479" w:name="_Toc30751"/>
      <w:bookmarkStart w:id="2480" w:name="_Toc6394"/>
      <w:bookmarkStart w:id="2481" w:name="_Toc16765"/>
      <w:bookmarkStart w:id="2482" w:name="_Toc25613"/>
      <w:bookmarkStart w:id="2483" w:name="_Toc14845"/>
      <w:bookmarkStart w:id="2484" w:name="_Toc9229"/>
      <w:bookmarkStart w:id="2485" w:name="_Toc13954"/>
      <w:bookmarkStart w:id="2486" w:name="_Toc21739"/>
      <w:bookmarkStart w:id="2487" w:name="_Toc26578"/>
      <w:bookmarkStart w:id="2488" w:name="_Toc20065"/>
      <w:bookmarkStart w:id="2489" w:name="_Toc1702"/>
      <w:bookmarkStart w:id="2490" w:name="_Toc12664"/>
      <w:r>
        <w:rPr>
          <w:rFonts w:hint="eastAsia" w:ascii="宋体" w:hAnsi="宋体" w:eastAsia="宋体" w:cs="宋体"/>
          <w:b w:val="0"/>
          <w:bCs w:val="0"/>
          <w:color w:val="auto"/>
          <w:sz w:val="24"/>
          <w:szCs w:val="24"/>
          <w:highlight w:val="none"/>
        </w:rPr>
        <w:t>16.3 第三人造成的违约</w:t>
      </w:r>
      <w:bookmarkEnd w:id="2478"/>
      <w:bookmarkEnd w:id="2479"/>
      <w:bookmarkEnd w:id="2480"/>
      <w:bookmarkEnd w:id="2481"/>
      <w:bookmarkEnd w:id="2482"/>
      <w:bookmarkEnd w:id="2483"/>
      <w:bookmarkEnd w:id="2484"/>
      <w:bookmarkEnd w:id="2485"/>
      <w:bookmarkEnd w:id="2486"/>
      <w:bookmarkEnd w:id="2487"/>
      <w:bookmarkEnd w:id="2488"/>
      <w:bookmarkEnd w:id="2489"/>
      <w:bookmarkEnd w:id="2490"/>
    </w:p>
    <w:p w14:paraId="310B31DC">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在履行合同过程中，一方当事人因第三人的原因造成违约的，应当向对方当事人承担违约责任。一方当事人和第三人之间的纠纷，依照法律规定或者按照约定解决。</w:t>
      </w:r>
    </w:p>
    <w:p w14:paraId="011BEF6F">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491" w:name="_Toc296503116"/>
      <w:bookmarkEnd w:id="2491"/>
      <w:bookmarkStart w:id="2492" w:name="_Toc296346617"/>
      <w:bookmarkEnd w:id="2492"/>
      <w:bookmarkStart w:id="2493" w:name="_Toc351203607"/>
      <w:bookmarkEnd w:id="2493"/>
      <w:bookmarkStart w:id="2494" w:name="_Toc19950"/>
      <w:bookmarkStart w:id="2495" w:name="_Toc19208"/>
      <w:bookmarkStart w:id="2496" w:name="_Toc5455"/>
      <w:bookmarkStart w:id="2497" w:name="_Toc15491"/>
      <w:bookmarkStart w:id="2498" w:name="_Toc18140"/>
      <w:bookmarkStart w:id="2499" w:name="_Toc9944"/>
      <w:bookmarkStart w:id="2500" w:name="_Toc20872"/>
      <w:bookmarkStart w:id="2501" w:name="_Toc3876"/>
      <w:bookmarkStart w:id="2502" w:name="_Toc6308"/>
      <w:bookmarkStart w:id="2503" w:name="_Toc23915"/>
      <w:bookmarkStart w:id="2504" w:name="_Toc32463"/>
      <w:bookmarkStart w:id="2505" w:name="_Toc368"/>
      <w:bookmarkStart w:id="2506" w:name="_Toc20317"/>
      <w:bookmarkStart w:id="2507" w:name="_Toc337558823"/>
      <w:bookmarkStart w:id="2508" w:name="_Toc14901"/>
      <w:bookmarkStart w:id="2509" w:name="_Toc20895"/>
      <w:r>
        <w:rPr>
          <w:rFonts w:hint="eastAsia" w:ascii="宋体" w:hAnsi="宋体" w:eastAsia="宋体" w:cs="宋体"/>
          <w:b w:val="0"/>
          <w:bCs w:val="0"/>
          <w:color w:val="auto"/>
          <w:sz w:val="24"/>
          <w:szCs w:val="24"/>
          <w:highlight w:val="none"/>
        </w:rPr>
        <w:t>17. 不可抗力</w:t>
      </w:r>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r>
        <w:rPr>
          <w:rFonts w:hint="eastAsia" w:ascii="宋体" w:hAnsi="宋体" w:eastAsia="宋体" w:cs="宋体"/>
          <w:b w:val="0"/>
          <w:bCs w:val="0"/>
          <w:color w:val="auto"/>
          <w:sz w:val="24"/>
          <w:szCs w:val="24"/>
          <w:highlight w:val="none"/>
        </w:rPr>
        <w:t xml:space="preserve"> </w:t>
      </w:r>
    </w:p>
    <w:p w14:paraId="3E43312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510" w:name="_Toc296503117"/>
      <w:bookmarkEnd w:id="2510"/>
      <w:bookmarkStart w:id="2511" w:name="_Toc351203608"/>
      <w:bookmarkEnd w:id="2511"/>
      <w:bookmarkStart w:id="2512" w:name="_Toc296346618"/>
      <w:bookmarkEnd w:id="2512"/>
      <w:bookmarkStart w:id="2513" w:name="_Toc11296"/>
      <w:bookmarkStart w:id="2514" w:name="_Toc24239"/>
      <w:bookmarkStart w:id="2515" w:name="_Toc23582"/>
      <w:bookmarkStart w:id="2516" w:name="_Toc17876"/>
      <w:bookmarkStart w:id="2517" w:name="_Toc16822"/>
      <w:bookmarkStart w:id="2518" w:name="_Toc5125"/>
      <w:bookmarkStart w:id="2519" w:name="_Toc21627"/>
      <w:bookmarkStart w:id="2520" w:name="_Toc23303"/>
      <w:bookmarkStart w:id="2521" w:name="_Toc22218"/>
      <w:bookmarkStart w:id="2522" w:name="_Toc26762"/>
      <w:bookmarkStart w:id="2523" w:name="_Toc4880"/>
      <w:bookmarkStart w:id="2524" w:name="_Toc337558824"/>
      <w:bookmarkStart w:id="2525" w:name="_Toc8007"/>
      <w:bookmarkStart w:id="2526" w:name="_Toc28965"/>
      <w:r>
        <w:rPr>
          <w:rFonts w:hint="eastAsia" w:ascii="宋体" w:hAnsi="宋体" w:eastAsia="宋体" w:cs="宋体"/>
          <w:b w:val="0"/>
          <w:bCs w:val="0"/>
          <w:color w:val="auto"/>
          <w:sz w:val="24"/>
          <w:szCs w:val="24"/>
          <w:highlight w:val="none"/>
        </w:rPr>
        <w:t>17.1 不可抗力的确认</w:t>
      </w:r>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p>
    <w:p w14:paraId="691E4FC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6135E37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5A2FF186">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527" w:name="_Toc296503118"/>
      <w:bookmarkEnd w:id="2527"/>
      <w:bookmarkStart w:id="2528" w:name="_Toc296346619"/>
      <w:bookmarkEnd w:id="2528"/>
      <w:bookmarkStart w:id="2529" w:name="_Toc351203609"/>
      <w:bookmarkEnd w:id="2529"/>
      <w:bookmarkStart w:id="2530" w:name="_Toc31205"/>
      <w:bookmarkStart w:id="2531" w:name="_Toc17730"/>
      <w:bookmarkStart w:id="2532" w:name="_Toc14982"/>
      <w:bookmarkStart w:id="2533" w:name="_Toc20082"/>
      <w:bookmarkStart w:id="2534" w:name="_Toc337558825"/>
      <w:bookmarkStart w:id="2535" w:name="_Toc5290"/>
      <w:bookmarkStart w:id="2536" w:name="_Toc10452"/>
      <w:bookmarkStart w:id="2537" w:name="_Toc10613"/>
      <w:bookmarkStart w:id="2538" w:name="_Toc18675"/>
      <w:bookmarkStart w:id="2539" w:name="_Toc8499"/>
      <w:bookmarkStart w:id="2540" w:name="_Toc21758"/>
      <w:bookmarkStart w:id="2541" w:name="_Toc32664"/>
      <w:bookmarkStart w:id="2542" w:name="_Toc11105"/>
      <w:r>
        <w:rPr>
          <w:rFonts w:hint="eastAsia" w:ascii="宋体" w:hAnsi="宋体" w:eastAsia="宋体" w:cs="宋体"/>
          <w:b w:val="0"/>
          <w:bCs w:val="0"/>
          <w:color w:val="auto"/>
          <w:sz w:val="24"/>
          <w:szCs w:val="24"/>
          <w:highlight w:val="none"/>
        </w:rPr>
        <w:t>17.2 不可抗力的通知</w:t>
      </w:r>
      <w:bookmarkEnd w:id="2530"/>
      <w:bookmarkEnd w:id="2531"/>
      <w:bookmarkEnd w:id="2532"/>
      <w:bookmarkEnd w:id="2533"/>
      <w:bookmarkEnd w:id="2534"/>
      <w:bookmarkEnd w:id="2535"/>
      <w:bookmarkEnd w:id="2536"/>
      <w:bookmarkEnd w:id="2537"/>
      <w:bookmarkEnd w:id="2538"/>
      <w:bookmarkEnd w:id="2539"/>
      <w:bookmarkEnd w:id="2540"/>
      <w:bookmarkEnd w:id="2541"/>
      <w:bookmarkEnd w:id="2542"/>
    </w:p>
    <w:p w14:paraId="36C4C4A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合同一方当事人遇到不可抗力事件，使其履行合同义务受到阻碍时，应立即通知合同另一方当事人和监理人，书面说明不可抗力和受阻碍的详细情况，并提供必要的证明。</w:t>
      </w:r>
    </w:p>
    <w:p w14:paraId="051FB54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72B2892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543" w:name="_Toc296503119"/>
      <w:bookmarkEnd w:id="2543"/>
      <w:bookmarkStart w:id="2544" w:name="_Toc351203610"/>
      <w:bookmarkEnd w:id="2544"/>
      <w:bookmarkStart w:id="2545" w:name="_Toc296346620"/>
      <w:bookmarkEnd w:id="2545"/>
      <w:bookmarkStart w:id="2546" w:name="_Toc26231"/>
      <w:bookmarkStart w:id="2547" w:name="_Toc28349"/>
      <w:bookmarkStart w:id="2548" w:name="_Toc16976"/>
      <w:bookmarkStart w:id="2549" w:name="_Toc7724"/>
      <w:bookmarkStart w:id="2550" w:name="_Toc18952"/>
      <w:bookmarkStart w:id="2551" w:name="_Toc8162"/>
      <w:bookmarkStart w:id="2552" w:name="_Toc23007"/>
      <w:bookmarkStart w:id="2553" w:name="_Toc7053"/>
      <w:bookmarkStart w:id="2554" w:name="_Toc27711"/>
      <w:bookmarkStart w:id="2555" w:name="_Toc5719"/>
      <w:bookmarkStart w:id="2556" w:name="_Toc6168"/>
      <w:bookmarkStart w:id="2557" w:name="_Toc6724"/>
      <w:bookmarkStart w:id="2558" w:name="_Toc337558826"/>
      <w:bookmarkStart w:id="2559" w:name="_Toc9750"/>
      <w:r>
        <w:rPr>
          <w:rFonts w:hint="eastAsia" w:ascii="宋体" w:hAnsi="宋体" w:eastAsia="宋体" w:cs="宋体"/>
          <w:b w:val="0"/>
          <w:bCs w:val="0"/>
          <w:color w:val="auto"/>
          <w:sz w:val="24"/>
          <w:szCs w:val="24"/>
          <w:highlight w:val="none"/>
        </w:rPr>
        <w:t>17.3 不可抗力后果的承担</w:t>
      </w:r>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p>
    <w:p w14:paraId="3CA4D24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17.3.1 不可抗力引起的后果及造成的损失由合同当事人按照法律规定及合同约定各自承担。不可抗力发生前已完成的工程应当按照合同约定进行计量支付。</w:t>
      </w:r>
    </w:p>
    <w:p w14:paraId="39A1EBA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17.3.2 不可抗力导致的人员伤亡、财产损失、费用增加和（或）工期延误等后果，由合同当事人按以下原则承担：</w:t>
      </w:r>
    </w:p>
    <w:p w14:paraId="5CC6606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（1）永久工程、已运至施工现场的材料和工程设备的损坏，以及因工程损坏造成的第三人人员伤亡和财产损失由发包人承担；</w:t>
      </w:r>
    </w:p>
    <w:p w14:paraId="4CD3C74F">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（2）承包人施工设备的损坏由承包人承担；</w:t>
      </w:r>
    </w:p>
    <w:p w14:paraId="31A2870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（3）发包人和承包人承担各自人员伤亡和财产的损失；</w:t>
      </w:r>
    </w:p>
    <w:p w14:paraId="65EF8B9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2824E6A">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（5）因不可抗力引起或将引起工期延误，发包人要求赶工的，由此增加的赶工费用由发包人承担；</w:t>
      </w:r>
    </w:p>
    <w:p w14:paraId="6AE0698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（6）承包人在停工期间按照发包人要求照管、清理和修复工程的费用由发包人承担。</w:t>
      </w:r>
    </w:p>
    <w:p w14:paraId="2042035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不可抗力发生后，合同当事人均应采取措施尽量避免和减少损失的扩大，任何一方当事人没有采取有效措施导致损失扩大的，应对扩大的损失承担责任。</w:t>
      </w:r>
    </w:p>
    <w:p w14:paraId="263320D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因合同一方迟延履行合同义务，在迟延履行期间遭遇不可抗力的，不免除其违约责任。</w:t>
      </w:r>
    </w:p>
    <w:p w14:paraId="4F997CAC">
      <w:pPr>
        <w:pageBreakBefore w:val="0"/>
        <w:widowControl/>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560" w:name="_Toc351203611"/>
      <w:bookmarkEnd w:id="2560"/>
      <w:bookmarkStart w:id="2561" w:name="_Toc9046"/>
      <w:bookmarkStart w:id="2562" w:name="_Toc29629"/>
      <w:bookmarkStart w:id="2563" w:name="_Toc29935"/>
      <w:bookmarkStart w:id="2564" w:name="_Toc8539"/>
      <w:bookmarkStart w:id="2565" w:name="_Toc21592"/>
      <w:bookmarkStart w:id="2566" w:name="_Toc5107"/>
      <w:bookmarkStart w:id="2567" w:name="_Toc337558827"/>
      <w:bookmarkStart w:id="2568" w:name="_Toc27751"/>
      <w:bookmarkStart w:id="2569" w:name="_Toc20184"/>
      <w:bookmarkStart w:id="2570" w:name="_Toc16231"/>
      <w:bookmarkStart w:id="2571" w:name="_Toc373"/>
      <w:bookmarkStart w:id="2572" w:name="_Toc31823"/>
      <w:bookmarkStart w:id="2573" w:name="_Toc1227"/>
      <w:bookmarkStart w:id="2574" w:name="_Toc29233"/>
      <w:r>
        <w:rPr>
          <w:rFonts w:hint="eastAsia" w:ascii="宋体" w:hAnsi="宋体" w:eastAsia="宋体" w:cs="宋体"/>
          <w:b w:val="0"/>
          <w:bCs w:val="0"/>
          <w:color w:val="auto"/>
          <w:sz w:val="24"/>
          <w:szCs w:val="24"/>
          <w:highlight w:val="none"/>
        </w:rPr>
        <w:t>17.4 因不可抗力解除合同</w:t>
      </w:r>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p>
    <w:p w14:paraId="3C15DBE6">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4D86A7B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（1）合同解除前承包人已完成工作的价款；</w:t>
      </w:r>
    </w:p>
    <w:p w14:paraId="74E414C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（2）承包人为工程订购的并已交付给承包人，或承包人有责任接受交付的材料、工程设备和其他物品的价款；</w:t>
      </w:r>
    </w:p>
    <w:p w14:paraId="5151034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（3）发包人要求承包人退货或解除订货合同而产生的费用，或因不能退货或解除合同而产生的损失；</w:t>
      </w:r>
    </w:p>
    <w:p w14:paraId="1559064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（4）承包人撤离施工现场以及遣散承包人人员的费用；</w:t>
      </w:r>
    </w:p>
    <w:p w14:paraId="312BDED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（5）按照合同约定在合同解除前应支付给承包人的其他款项；</w:t>
      </w:r>
    </w:p>
    <w:p w14:paraId="613297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（6）扣减承包人按照合同约定应向发包人支付的款项；</w:t>
      </w:r>
    </w:p>
    <w:p w14:paraId="36B0CE7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（7）双方商定或确定的其他款项。</w:t>
      </w:r>
    </w:p>
    <w:p w14:paraId="113E789D">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除专用合同条款另有约定外，合同解除后，发包人应在商定或确定上述款项后28天内完成上述款项的支付。</w:t>
      </w:r>
    </w:p>
    <w:p w14:paraId="7CAA8FAE">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575" w:name="_Toc351203612"/>
      <w:bookmarkEnd w:id="2575"/>
      <w:bookmarkStart w:id="2576" w:name="_Toc296346621"/>
      <w:bookmarkEnd w:id="2576"/>
      <w:bookmarkStart w:id="2577" w:name="_Toc296503120"/>
      <w:bookmarkEnd w:id="2577"/>
      <w:bookmarkStart w:id="2578" w:name="_Toc15812"/>
      <w:bookmarkStart w:id="2579" w:name="_Toc9593"/>
      <w:bookmarkStart w:id="2580" w:name="_Toc3815"/>
      <w:bookmarkStart w:id="2581" w:name="_Toc26512"/>
      <w:bookmarkStart w:id="2582" w:name="_Toc31868"/>
      <w:bookmarkStart w:id="2583" w:name="_Toc21976"/>
      <w:bookmarkStart w:id="2584" w:name="_Toc10280"/>
      <w:bookmarkStart w:id="2585" w:name="_Toc30637"/>
      <w:bookmarkStart w:id="2586" w:name="_Toc26864"/>
      <w:bookmarkStart w:id="2587" w:name="_Toc9992"/>
      <w:bookmarkStart w:id="2588" w:name="_Toc337558828"/>
      <w:bookmarkStart w:id="2589" w:name="_Toc15517"/>
      <w:bookmarkStart w:id="2590" w:name="_Toc3524"/>
      <w:bookmarkStart w:id="2591" w:name="_Toc16211"/>
      <w:bookmarkStart w:id="2592" w:name="_Toc1357"/>
      <w:bookmarkStart w:id="2593" w:name="_Toc3980"/>
      <w:r>
        <w:rPr>
          <w:rFonts w:hint="eastAsia" w:ascii="宋体" w:hAnsi="宋体" w:eastAsia="宋体" w:cs="宋体"/>
          <w:b w:val="0"/>
          <w:bCs w:val="0"/>
          <w:color w:val="auto"/>
          <w:sz w:val="24"/>
          <w:szCs w:val="24"/>
          <w:highlight w:val="none"/>
        </w:rPr>
        <w:t>18. 保险</w:t>
      </w:r>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p>
    <w:p w14:paraId="22006E5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594" w:name="_Toc296346622"/>
      <w:bookmarkEnd w:id="2594"/>
      <w:bookmarkStart w:id="2595" w:name="_Toc351203613"/>
      <w:bookmarkEnd w:id="2595"/>
      <w:bookmarkStart w:id="2596" w:name="_Toc296503121"/>
      <w:bookmarkEnd w:id="2596"/>
      <w:bookmarkStart w:id="2597" w:name="_Toc337558829"/>
      <w:bookmarkStart w:id="2598" w:name="_Toc1734"/>
      <w:bookmarkStart w:id="2599" w:name="_Toc25026"/>
      <w:bookmarkStart w:id="2600" w:name="_Toc30068"/>
      <w:bookmarkStart w:id="2601" w:name="_Toc28247"/>
      <w:bookmarkStart w:id="2602" w:name="_Toc28359"/>
      <w:bookmarkStart w:id="2603" w:name="_Toc13397"/>
      <w:bookmarkStart w:id="2604" w:name="_Toc16479"/>
      <w:bookmarkStart w:id="2605" w:name="_Toc8859"/>
      <w:bookmarkStart w:id="2606" w:name="_Toc260"/>
      <w:bookmarkStart w:id="2607" w:name="_Toc27117"/>
      <w:bookmarkStart w:id="2608" w:name="_Toc20535"/>
      <w:bookmarkStart w:id="2609" w:name="_Toc12947"/>
      <w:bookmarkStart w:id="2610" w:name="_Toc15636"/>
      <w:r>
        <w:rPr>
          <w:rFonts w:hint="eastAsia" w:ascii="宋体" w:hAnsi="宋体" w:eastAsia="宋体" w:cs="宋体"/>
          <w:b w:val="0"/>
          <w:bCs w:val="0"/>
          <w:color w:val="auto"/>
          <w:sz w:val="24"/>
          <w:szCs w:val="24"/>
          <w:highlight w:val="none"/>
        </w:rPr>
        <w:t>18.1 工程保险</w:t>
      </w:r>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p>
    <w:p w14:paraId="30244A4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除专用合同条款另有约定外，发包人应投保建筑工程一切险或安装工程一切险；发包人委托承包人投保的，因投保产生的保险费和其他相关费用由发包人承担。</w:t>
      </w:r>
    </w:p>
    <w:p w14:paraId="29A42A83">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11" w:name="_Toc351203614"/>
      <w:bookmarkEnd w:id="2611"/>
      <w:bookmarkStart w:id="2612" w:name="_Toc296346623"/>
      <w:bookmarkEnd w:id="2612"/>
      <w:bookmarkStart w:id="2613" w:name="_Toc296503122"/>
      <w:bookmarkEnd w:id="2613"/>
      <w:bookmarkStart w:id="2614" w:name="_Toc6416"/>
      <w:bookmarkStart w:id="2615" w:name="_Toc4469"/>
      <w:bookmarkStart w:id="2616" w:name="_Toc8578"/>
      <w:bookmarkStart w:id="2617" w:name="_Toc15168"/>
      <w:bookmarkStart w:id="2618" w:name="_Toc22703"/>
      <w:bookmarkStart w:id="2619" w:name="_Toc13570"/>
      <w:bookmarkStart w:id="2620" w:name="_Toc7400"/>
      <w:bookmarkStart w:id="2621" w:name="_Toc19480"/>
      <w:bookmarkStart w:id="2622" w:name="_Toc15022"/>
      <w:bookmarkStart w:id="2623" w:name="_Toc337558830"/>
      <w:bookmarkStart w:id="2624" w:name="_Toc19506"/>
      <w:bookmarkStart w:id="2625" w:name="_Toc13653"/>
      <w:bookmarkStart w:id="2626" w:name="_Toc17046"/>
      <w:bookmarkStart w:id="2627" w:name="_Toc31736"/>
      <w:r>
        <w:rPr>
          <w:rFonts w:hint="eastAsia" w:ascii="宋体" w:hAnsi="宋体" w:eastAsia="宋体" w:cs="宋体"/>
          <w:b w:val="0"/>
          <w:bCs w:val="0"/>
          <w:color w:val="auto"/>
          <w:sz w:val="24"/>
          <w:szCs w:val="24"/>
          <w:highlight w:val="none"/>
        </w:rPr>
        <w:t>18.2 工伤保险</w:t>
      </w:r>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p>
    <w:p w14:paraId="0FB9B2C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18.2.1 发包人应依照法律规定参加工伤保险，并为在施工现场的全部员工办理工伤保险，缴纳工伤保险费，并要求监理人及由发包人为履行合同聘请的第三方依法参加工伤保险。</w:t>
      </w:r>
    </w:p>
    <w:p w14:paraId="5CBA8FC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18.2.2 承包人应依照法律规定参加工伤保险，并为其履行合同的全部员工办理工伤保险，缴纳工伤保险费，并要求分包人及由承包人为履行合同聘请的第三方依法参加工伤保险。</w:t>
      </w:r>
    </w:p>
    <w:p w14:paraId="441FDBD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28" w:name="_Toc296346626"/>
      <w:bookmarkEnd w:id="2628"/>
      <w:bookmarkStart w:id="2629" w:name="_Toc351203615"/>
      <w:bookmarkEnd w:id="2629"/>
      <w:bookmarkStart w:id="2630" w:name="_Toc296503125"/>
      <w:bookmarkEnd w:id="2630"/>
      <w:bookmarkStart w:id="2631" w:name="_Toc2753"/>
      <w:bookmarkStart w:id="2632" w:name="_Toc29067"/>
      <w:bookmarkStart w:id="2633" w:name="_Toc27225"/>
      <w:bookmarkStart w:id="2634" w:name="_Toc18211"/>
      <w:bookmarkStart w:id="2635" w:name="_Toc7698"/>
      <w:bookmarkStart w:id="2636" w:name="_Toc29368"/>
      <w:bookmarkStart w:id="2637" w:name="_Toc839"/>
      <w:bookmarkStart w:id="2638" w:name="_Toc604"/>
      <w:bookmarkStart w:id="2639" w:name="_Toc9990"/>
      <w:bookmarkStart w:id="2640" w:name="_Toc8891"/>
      <w:bookmarkStart w:id="2641" w:name="_Toc28984"/>
      <w:bookmarkStart w:id="2642" w:name="_Toc337558831"/>
      <w:bookmarkStart w:id="2643" w:name="_Toc905"/>
      <w:bookmarkStart w:id="2644" w:name="_Toc16021"/>
      <w:r>
        <w:rPr>
          <w:rFonts w:hint="eastAsia" w:ascii="宋体" w:hAnsi="宋体" w:eastAsia="宋体" w:cs="宋体"/>
          <w:b w:val="0"/>
          <w:bCs w:val="0"/>
          <w:color w:val="auto"/>
          <w:sz w:val="24"/>
          <w:szCs w:val="24"/>
          <w:highlight w:val="none"/>
        </w:rPr>
        <w:t>18.3其他保险</w:t>
      </w:r>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p>
    <w:p w14:paraId="64D2E7AF">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发包人和承包人可以为其施工现场的全部人员办理意外伤害保险并支付保险费，包括其员工及为履行合同聘请的第三方的人员，具体事项由合同当事人在专用合同条款约定。</w:t>
      </w:r>
    </w:p>
    <w:p w14:paraId="6AFD152F">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除专用合同条款另有约定外，承包人应为其施工设备等办理财产保险。</w:t>
      </w:r>
    </w:p>
    <w:p w14:paraId="2A18879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45" w:name="_Toc351203616"/>
      <w:bookmarkEnd w:id="2645"/>
      <w:bookmarkStart w:id="2646" w:name="_Toc20188"/>
      <w:bookmarkStart w:id="2647" w:name="_Toc7882"/>
      <w:bookmarkStart w:id="2648" w:name="_Toc8280"/>
      <w:bookmarkStart w:id="2649" w:name="_Toc24836"/>
      <w:bookmarkStart w:id="2650" w:name="_Toc31732"/>
      <w:bookmarkStart w:id="2651" w:name="_Toc1293"/>
      <w:bookmarkStart w:id="2652" w:name="_Toc12152"/>
      <w:bookmarkStart w:id="2653" w:name="_Toc6276"/>
      <w:bookmarkStart w:id="2654" w:name="_Toc31418"/>
      <w:bookmarkStart w:id="2655" w:name="_Toc6907"/>
      <w:bookmarkStart w:id="2656" w:name="_Toc23126"/>
      <w:bookmarkStart w:id="2657" w:name="_Toc12445"/>
      <w:bookmarkStart w:id="2658" w:name="_Toc11944"/>
      <w:r>
        <w:rPr>
          <w:rFonts w:hint="eastAsia" w:ascii="宋体" w:hAnsi="宋体" w:eastAsia="宋体" w:cs="宋体"/>
          <w:b w:val="0"/>
          <w:bCs w:val="0"/>
          <w:color w:val="auto"/>
          <w:sz w:val="24"/>
          <w:szCs w:val="24"/>
          <w:highlight w:val="none"/>
        </w:rPr>
        <w:t>18.4持续保险</w:t>
      </w:r>
      <w:bookmarkEnd w:id="2646"/>
      <w:bookmarkEnd w:id="2647"/>
      <w:bookmarkEnd w:id="2648"/>
      <w:bookmarkEnd w:id="2649"/>
      <w:bookmarkEnd w:id="2650"/>
      <w:bookmarkEnd w:id="2651"/>
      <w:bookmarkEnd w:id="2652"/>
      <w:bookmarkEnd w:id="2653"/>
      <w:bookmarkEnd w:id="2654"/>
      <w:bookmarkEnd w:id="2655"/>
      <w:bookmarkEnd w:id="2656"/>
      <w:bookmarkEnd w:id="2657"/>
      <w:bookmarkEnd w:id="2658"/>
    </w:p>
    <w:p w14:paraId="7F0F896E">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合同当事人应与保险人保持联系，使保险人能够随时了解工程实施中的变动，并确保按保险合同条款要求持续保险。</w:t>
      </w:r>
    </w:p>
    <w:p w14:paraId="170BAB2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59" w:name="_Toc351203617"/>
      <w:bookmarkEnd w:id="2659"/>
      <w:bookmarkStart w:id="2660" w:name="_Toc296346627"/>
      <w:bookmarkEnd w:id="2660"/>
      <w:bookmarkStart w:id="2661" w:name="_Toc296503126"/>
      <w:bookmarkEnd w:id="2661"/>
      <w:bookmarkStart w:id="2662" w:name="_Toc21041"/>
      <w:bookmarkStart w:id="2663" w:name="_Toc26526"/>
      <w:bookmarkStart w:id="2664" w:name="_Toc337558832"/>
      <w:bookmarkStart w:id="2665" w:name="_Toc26420"/>
      <w:bookmarkStart w:id="2666" w:name="_Toc20661"/>
      <w:bookmarkStart w:id="2667" w:name="_Toc32118"/>
      <w:bookmarkStart w:id="2668" w:name="_Toc8134"/>
      <w:bookmarkStart w:id="2669" w:name="_Toc31731"/>
      <w:bookmarkStart w:id="2670" w:name="_Toc17515"/>
      <w:bookmarkStart w:id="2671" w:name="_Toc8395"/>
      <w:bookmarkStart w:id="2672" w:name="_Toc26120"/>
      <w:bookmarkStart w:id="2673" w:name="_Toc26632"/>
      <w:bookmarkStart w:id="2674" w:name="_Toc18381"/>
      <w:bookmarkStart w:id="2675" w:name="_Toc2101"/>
      <w:r>
        <w:rPr>
          <w:rFonts w:hint="eastAsia" w:ascii="宋体" w:hAnsi="宋体" w:eastAsia="宋体" w:cs="宋体"/>
          <w:b w:val="0"/>
          <w:bCs w:val="0"/>
          <w:color w:val="auto"/>
          <w:sz w:val="24"/>
          <w:szCs w:val="24"/>
          <w:highlight w:val="none"/>
        </w:rPr>
        <w:t>18.5 保险凭证</w:t>
      </w:r>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p>
    <w:p w14:paraId="682AA0A3">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合同当事人应及时向另一方当事人提交其已投保的各项保险的凭证和保险单复印件。</w:t>
      </w:r>
    </w:p>
    <w:p w14:paraId="29E771D3">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76" w:name="_Toc296346628"/>
      <w:bookmarkEnd w:id="2676"/>
      <w:bookmarkStart w:id="2677" w:name="_Toc351203618"/>
      <w:bookmarkEnd w:id="2677"/>
      <w:bookmarkStart w:id="2678" w:name="_Toc296503127"/>
      <w:bookmarkEnd w:id="2678"/>
      <w:bookmarkStart w:id="2679" w:name="_Toc29844"/>
      <w:bookmarkStart w:id="2680" w:name="_Toc14421"/>
      <w:bookmarkStart w:id="2681" w:name="_Toc3992"/>
      <w:bookmarkStart w:id="2682" w:name="_Toc6307"/>
      <w:bookmarkStart w:id="2683" w:name="_Toc10129"/>
      <w:bookmarkStart w:id="2684" w:name="_Toc10190"/>
      <w:bookmarkStart w:id="2685" w:name="_Toc24215"/>
      <w:bookmarkStart w:id="2686" w:name="_Toc10739"/>
      <w:bookmarkStart w:id="2687" w:name="_Toc30798"/>
      <w:bookmarkStart w:id="2688" w:name="_Toc6865"/>
      <w:bookmarkStart w:id="2689" w:name="_Toc337558833"/>
      <w:bookmarkStart w:id="2690" w:name="_Toc26878"/>
      <w:bookmarkStart w:id="2691" w:name="_Toc1499"/>
      <w:bookmarkStart w:id="2692" w:name="_Toc21665"/>
      <w:r>
        <w:rPr>
          <w:rFonts w:hint="eastAsia" w:ascii="宋体" w:hAnsi="宋体" w:eastAsia="宋体" w:cs="宋体"/>
          <w:b w:val="0"/>
          <w:bCs w:val="0"/>
          <w:color w:val="auto"/>
          <w:sz w:val="24"/>
          <w:szCs w:val="24"/>
          <w:highlight w:val="none"/>
        </w:rPr>
        <w:t>18.6 未按约定投保的补救</w:t>
      </w:r>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p>
    <w:p w14:paraId="5E60B1AC">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4C88D7B4">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44142539">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693" w:name="_Toc351203619"/>
      <w:bookmarkEnd w:id="2693"/>
      <w:bookmarkStart w:id="2694" w:name="_Toc7753"/>
      <w:bookmarkStart w:id="2695" w:name="_Toc23940"/>
      <w:bookmarkStart w:id="2696" w:name="_Toc9767"/>
      <w:bookmarkStart w:id="2697" w:name="_Toc16703"/>
      <w:bookmarkStart w:id="2698" w:name="_Toc28060"/>
      <w:bookmarkStart w:id="2699" w:name="_Toc30792"/>
      <w:bookmarkStart w:id="2700" w:name="_Toc337558834"/>
      <w:bookmarkStart w:id="2701" w:name="_Toc28892"/>
      <w:bookmarkStart w:id="2702" w:name="_Toc29524"/>
      <w:bookmarkStart w:id="2703" w:name="_Toc15640"/>
      <w:bookmarkStart w:id="2704" w:name="_Toc15945"/>
      <w:bookmarkStart w:id="2705" w:name="_Toc15308"/>
      <w:bookmarkStart w:id="2706" w:name="_Toc31927"/>
      <w:bookmarkStart w:id="2707" w:name="_Toc2039"/>
      <w:r>
        <w:rPr>
          <w:rFonts w:hint="eastAsia" w:ascii="宋体" w:hAnsi="宋体" w:eastAsia="宋体" w:cs="宋体"/>
          <w:b w:val="0"/>
          <w:bCs w:val="0"/>
          <w:color w:val="auto"/>
          <w:sz w:val="24"/>
          <w:szCs w:val="24"/>
          <w:highlight w:val="none"/>
        </w:rPr>
        <w:t>18.7 通知义务</w:t>
      </w:r>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p>
    <w:p w14:paraId="78759CC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3B757B48">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保险事故发生时，投保人应按照保险合同规定的条件和期限及时向保险人报告。发包人和承包人应当在知道保险事故发生后及时通知对方。</w:t>
      </w:r>
    </w:p>
    <w:p w14:paraId="40424964">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708" w:name="_Toc296346641"/>
      <w:bookmarkEnd w:id="2708"/>
      <w:bookmarkStart w:id="2709" w:name="_Toc351203620"/>
      <w:bookmarkEnd w:id="2709"/>
      <w:bookmarkStart w:id="2710" w:name="_Toc296503140"/>
      <w:bookmarkEnd w:id="2710"/>
      <w:bookmarkStart w:id="2711" w:name="_Toc5910"/>
      <w:bookmarkStart w:id="2712" w:name="_Toc4769"/>
      <w:bookmarkStart w:id="2713" w:name="_Toc21890"/>
      <w:bookmarkStart w:id="2714" w:name="_Toc5141"/>
      <w:bookmarkStart w:id="2715" w:name="_Toc27109"/>
      <w:bookmarkStart w:id="2716" w:name="_Toc24433"/>
      <w:bookmarkStart w:id="2717" w:name="_Toc1755"/>
      <w:bookmarkStart w:id="2718" w:name="_Toc20507"/>
      <w:bookmarkStart w:id="2719" w:name="_Toc337558835"/>
      <w:bookmarkStart w:id="2720" w:name="_Toc9368"/>
      <w:bookmarkStart w:id="2721" w:name="_Toc13912"/>
      <w:bookmarkStart w:id="2722" w:name="_Toc8194"/>
      <w:bookmarkStart w:id="2723" w:name="_Toc1983"/>
      <w:bookmarkStart w:id="2724" w:name="_Toc31191"/>
      <w:bookmarkStart w:id="2725" w:name="_Toc8022"/>
      <w:bookmarkStart w:id="2726" w:name="_Toc20623"/>
      <w:r>
        <w:rPr>
          <w:rFonts w:hint="eastAsia" w:ascii="宋体" w:hAnsi="宋体" w:eastAsia="宋体" w:cs="宋体"/>
          <w:b w:val="0"/>
          <w:bCs w:val="0"/>
          <w:color w:val="auto"/>
          <w:sz w:val="24"/>
          <w:szCs w:val="24"/>
          <w:highlight w:val="none"/>
        </w:rPr>
        <w:t>19. 索赔</w:t>
      </w:r>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p>
    <w:p w14:paraId="5E430BC5">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727" w:name="_Toc296503141"/>
      <w:bookmarkEnd w:id="2727"/>
      <w:bookmarkStart w:id="2728" w:name="_Toc296346642"/>
      <w:bookmarkEnd w:id="2728"/>
      <w:bookmarkStart w:id="2729" w:name="_Toc351203621"/>
      <w:bookmarkEnd w:id="2729"/>
      <w:bookmarkStart w:id="2730" w:name="_Toc27981"/>
      <w:bookmarkStart w:id="2731" w:name="_Toc5094"/>
      <w:bookmarkStart w:id="2732" w:name="_Toc14100"/>
      <w:bookmarkStart w:id="2733" w:name="_Toc7561"/>
      <w:bookmarkStart w:id="2734" w:name="_Toc31170"/>
      <w:bookmarkStart w:id="2735" w:name="_Toc20199"/>
      <w:bookmarkStart w:id="2736" w:name="_Toc337558836"/>
      <w:bookmarkStart w:id="2737" w:name="_Toc32094"/>
      <w:bookmarkStart w:id="2738" w:name="_Toc19463"/>
      <w:bookmarkStart w:id="2739" w:name="_Toc26449"/>
      <w:bookmarkStart w:id="2740" w:name="_Toc12004"/>
      <w:bookmarkStart w:id="2741" w:name="_Toc15271"/>
      <w:bookmarkStart w:id="2742" w:name="_Toc28048"/>
      <w:bookmarkStart w:id="2743" w:name="_Toc21803"/>
      <w:r>
        <w:rPr>
          <w:rFonts w:hint="eastAsia" w:ascii="宋体" w:hAnsi="宋体" w:eastAsia="宋体" w:cs="宋体"/>
          <w:b w:val="0"/>
          <w:bCs w:val="0"/>
          <w:color w:val="auto"/>
          <w:sz w:val="24"/>
          <w:szCs w:val="24"/>
          <w:highlight w:val="none"/>
        </w:rPr>
        <w:t>19.1承包人的索赔</w:t>
      </w:r>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p>
    <w:p w14:paraId="7CC8554F">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根据合同约定，承包人认为有权得到追加付款和（或）延长工期的，应按以下程序向发包人提出索赔：</w:t>
      </w:r>
    </w:p>
    <w:p w14:paraId="290C274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CAC013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（2）承包人应在发出索赔意向通知书后28天内，向监理人正式递交索赔报告；索赔报告应详细说明索赔理由以及要求追加的付款金额和（或）延长的工期，并附必要的记录和证明材料；</w:t>
      </w:r>
    </w:p>
    <w:p w14:paraId="50F68D1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（3）索赔事件具有持续影响的，承包人应按合理时间间隔继续递交延续索赔通知，说明持续影响的实际情况和记录，列出累计的追加付款金额和（或）工期延长天数；</w:t>
      </w:r>
    </w:p>
    <w:p w14:paraId="3B07095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（4）在索赔事件影响结束后28天内，承包人应向监理人递交最终索赔报告，说明最终要求索赔的追加付款金额和（或）延长的工期，并附必要的记录和证明材料。</w:t>
      </w:r>
    </w:p>
    <w:p w14:paraId="25261B17">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744" w:name="_Toc351203622"/>
      <w:bookmarkEnd w:id="2744"/>
      <w:bookmarkStart w:id="2745" w:name="_Toc296503142"/>
      <w:bookmarkEnd w:id="2745"/>
      <w:bookmarkStart w:id="2746" w:name="_Toc296346643"/>
      <w:bookmarkEnd w:id="2746"/>
      <w:bookmarkStart w:id="2747" w:name="_Toc23900"/>
      <w:bookmarkStart w:id="2748" w:name="_Toc3120"/>
      <w:bookmarkStart w:id="2749" w:name="_Toc337558837"/>
      <w:bookmarkStart w:id="2750" w:name="_Toc29247"/>
      <w:bookmarkStart w:id="2751" w:name="_Toc14581"/>
      <w:bookmarkStart w:id="2752" w:name="_Toc18125"/>
      <w:bookmarkStart w:id="2753" w:name="_Toc19190"/>
      <w:bookmarkStart w:id="2754" w:name="_Toc11451"/>
      <w:bookmarkStart w:id="2755" w:name="_Toc17933"/>
      <w:bookmarkStart w:id="2756" w:name="_Toc22286"/>
      <w:bookmarkStart w:id="2757" w:name="_Toc21004"/>
      <w:bookmarkStart w:id="2758" w:name="_Toc30462"/>
      <w:bookmarkStart w:id="2759" w:name="_Toc18306"/>
      <w:bookmarkStart w:id="2760" w:name="_Toc30757"/>
      <w:r>
        <w:rPr>
          <w:rFonts w:hint="eastAsia" w:ascii="宋体" w:hAnsi="宋体" w:eastAsia="宋体" w:cs="宋体"/>
          <w:b w:val="0"/>
          <w:bCs w:val="0"/>
          <w:color w:val="auto"/>
          <w:sz w:val="24"/>
          <w:szCs w:val="24"/>
          <w:highlight w:val="none"/>
        </w:rPr>
        <w:t>19.2 对承包人索赔的处理</w:t>
      </w:r>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p>
    <w:p w14:paraId="410F036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对承包人索赔的处理如下：</w:t>
      </w:r>
    </w:p>
    <w:p w14:paraId="2774160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（1）监理人应在收到索赔报告后14天内完成审查并报送发包人。监理人对索赔报告存在异议的，有权要求承包人提交全部原始记录副本；</w:t>
      </w:r>
    </w:p>
    <w:p w14:paraId="0214E51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（2）发包人应在监理人收到索赔报告或有关索赔的进一步证明材料后的28天内，由监理人向承包人出具经发包人签认的索赔处理结果。发包人逾期答复的，则视为认可承包人的索赔要求；</w:t>
      </w:r>
    </w:p>
    <w:p w14:paraId="744ACB4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（3）承包人接受索赔处理结果的，索赔款项在当期进度款中进行支付；承包人不接受索赔处理结果的，按照第20条〔争议解决〕约定处理。</w:t>
      </w:r>
    </w:p>
    <w:p w14:paraId="61FAA79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761" w:name="_Toc296346644"/>
      <w:bookmarkEnd w:id="2761"/>
      <w:bookmarkStart w:id="2762" w:name="_Toc296503143"/>
      <w:bookmarkEnd w:id="2762"/>
      <w:bookmarkStart w:id="2763" w:name="_Toc351203623"/>
      <w:bookmarkEnd w:id="2763"/>
      <w:bookmarkStart w:id="2764" w:name="_Toc28925"/>
      <w:bookmarkStart w:id="2765" w:name="_Toc10278"/>
      <w:bookmarkStart w:id="2766" w:name="_Toc496"/>
      <w:bookmarkStart w:id="2767" w:name="_Toc26841"/>
      <w:bookmarkStart w:id="2768" w:name="_Toc22923"/>
      <w:bookmarkStart w:id="2769" w:name="_Toc27550"/>
      <w:bookmarkStart w:id="2770" w:name="_Toc10866"/>
      <w:bookmarkStart w:id="2771" w:name="_Toc28186"/>
      <w:bookmarkStart w:id="2772" w:name="_Toc5754"/>
      <w:bookmarkStart w:id="2773" w:name="_Toc10130"/>
      <w:bookmarkStart w:id="2774" w:name="_Toc22021"/>
      <w:bookmarkStart w:id="2775" w:name="_Toc337558838"/>
      <w:bookmarkStart w:id="2776" w:name="_Toc12085"/>
      <w:bookmarkStart w:id="2777" w:name="_Toc11217"/>
      <w:r>
        <w:rPr>
          <w:rFonts w:hint="eastAsia" w:ascii="宋体" w:hAnsi="宋体" w:eastAsia="宋体" w:cs="宋体"/>
          <w:b w:val="0"/>
          <w:bCs w:val="0"/>
          <w:color w:val="auto"/>
          <w:sz w:val="24"/>
          <w:szCs w:val="24"/>
          <w:highlight w:val="none"/>
        </w:rPr>
        <w:t>19.3发包人的索赔</w:t>
      </w:r>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p>
    <w:p w14:paraId="051925A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根据合同约定，发包人认为有权得到赔付金额和（或）延长缺陷责任期的，监理人应向承包人发出通知并附有详细的证明。</w:t>
      </w:r>
    </w:p>
    <w:p w14:paraId="36965E5A">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3F5E309C">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778" w:name="_Toc296346645"/>
      <w:bookmarkEnd w:id="2778"/>
      <w:bookmarkStart w:id="2779" w:name="_Toc296503144"/>
      <w:bookmarkEnd w:id="2779"/>
      <w:bookmarkStart w:id="2780" w:name="_Toc351203624"/>
      <w:bookmarkEnd w:id="2780"/>
      <w:bookmarkStart w:id="2781" w:name="_Toc25865"/>
      <w:bookmarkStart w:id="2782" w:name="_Toc300"/>
      <w:bookmarkStart w:id="2783" w:name="_Toc24208"/>
      <w:bookmarkStart w:id="2784" w:name="_Toc31803"/>
      <w:bookmarkStart w:id="2785" w:name="_Toc27548"/>
      <w:bookmarkStart w:id="2786" w:name="_Toc19195"/>
      <w:bookmarkStart w:id="2787" w:name="_Toc9945"/>
      <w:bookmarkStart w:id="2788" w:name="_Toc337558839"/>
      <w:bookmarkStart w:id="2789" w:name="_Toc23130"/>
      <w:bookmarkStart w:id="2790" w:name="_Toc23186"/>
      <w:bookmarkStart w:id="2791" w:name="_Toc25077"/>
      <w:bookmarkStart w:id="2792" w:name="_Toc19056"/>
      <w:bookmarkStart w:id="2793" w:name="_Toc6318"/>
      <w:bookmarkStart w:id="2794" w:name="_Toc24293"/>
      <w:r>
        <w:rPr>
          <w:rFonts w:hint="eastAsia" w:ascii="宋体" w:hAnsi="宋体" w:eastAsia="宋体" w:cs="宋体"/>
          <w:b w:val="0"/>
          <w:bCs w:val="0"/>
          <w:color w:val="auto"/>
          <w:sz w:val="24"/>
          <w:szCs w:val="24"/>
          <w:highlight w:val="none"/>
        </w:rPr>
        <w:t>19.4 对发包人索赔的处理</w:t>
      </w:r>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p>
    <w:p w14:paraId="17BF4661">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对发包人索赔的处理如下：</w:t>
      </w:r>
    </w:p>
    <w:p w14:paraId="189ECB4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（1）承包人收到发包人提交的索赔报告后，应及时审查索赔报告的内容、查验发包人证明材料；</w:t>
      </w:r>
    </w:p>
    <w:p w14:paraId="4078DBF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（2）承包人应在收到索赔报告或有关索赔的进一步证明材料后28天内，将索赔处理结果答复发包人。如果承包人未在上述期限内作出答复的，则视为对发包人索赔要求的认可；</w:t>
      </w:r>
    </w:p>
    <w:p w14:paraId="08AE744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（3）承包人接受索赔处理结果的，发包人可从应支付给承包人的合同价款中扣除赔付的金额或延长缺陷责任期；发包人不接受索赔处理结果的，按第20条〔争议解决〕约定处理。</w:t>
      </w:r>
    </w:p>
    <w:p w14:paraId="3EF9930A">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795" w:name="_Toc351203625"/>
      <w:bookmarkEnd w:id="2795"/>
      <w:bookmarkStart w:id="2796" w:name="_Toc26544"/>
      <w:bookmarkStart w:id="2797" w:name="_Toc14570"/>
      <w:bookmarkStart w:id="2798" w:name="_Toc30027"/>
      <w:bookmarkStart w:id="2799" w:name="_Toc15719"/>
      <w:bookmarkStart w:id="2800" w:name="_Toc10697"/>
      <w:bookmarkStart w:id="2801" w:name="_Toc29781"/>
      <w:bookmarkStart w:id="2802" w:name="_Toc13569"/>
      <w:bookmarkStart w:id="2803" w:name="_Toc25718"/>
      <w:bookmarkStart w:id="2804" w:name="_Toc20624"/>
      <w:bookmarkStart w:id="2805" w:name="_Toc18138"/>
      <w:bookmarkStart w:id="2806" w:name="_Toc30649"/>
      <w:bookmarkStart w:id="2807" w:name="_Toc7193"/>
      <w:bookmarkStart w:id="2808" w:name="_Toc12536"/>
      <w:r>
        <w:rPr>
          <w:rFonts w:hint="eastAsia" w:ascii="宋体" w:hAnsi="宋体" w:eastAsia="宋体" w:cs="宋体"/>
          <w:b w:val="0"/>
          <w:bCs w:val="0"/>
          <w:color w:val="auto"/>
          <w:sz w:val="24"/>
          <w:szCs w:val="24"/>
          <w:highlight w:val="none"/>
        </w:rPr>
        <w:t>19.5 提出索赔的期限</w:t>
      </w:r>
      <w:bookmarkEnd w:id="2796"/>
      <w:bookmarkEnd w:id="2797"/>
      <w:bookmarkEnd w:id="2798"/>
      <w:bookmarkEnd w:id="2799"/>
      <w:bookmarkEnd w:id="2800"/>
      <w:bookmarkEnd w:id="2801"/>
      <w:bookmarkEnd w:id="2802"/>
      <w:bookmarkEnd w:id="2803"/>
      <w:bookmarkEnd w:id="2804"/>
      <w:bookmarkEnd w:id="2805"/>
      <w:bookmarkEnd w:id="2806"/>
      <w:bookmarkEnd w:id="2807"/>
      <w:bookmarkEnd w:id="2808"/>
    </w:p>
    <w:p w14:paraId="07B1BD65">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（1）承包人按第14.2款〔竣工结算审核〕约定接收竣工付款证书后，应被视为已无权再提出在工程接收证书颁发前所发生的任何索赔。</w:t>
      </w:r>
    </w:p>
    <w:p w14:paraId="6782A894">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（2）承包人按第14.4款〔最终结清〕提交的最终结清申请单中，只限于提出工程接收证书颁发后发生的索赔。提出索赔的期限自接受最终结清证书时终止。</w:t>
      </w:r>
    </w:p>
    <w:p w14:paraId="7BDD01D8">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2809" w:name="_Toc351203626"/>
      <w:bookmarkEnd w:id="2809"/>
      <w:bookmarkStart w:id="2810" w:name="_Toc845"/>
      <w:bookmarkStart w:id="2811" w:name="_Toc7702"/>
      <w:bookmarkStart w:id="2812" w:name="_Toc9682"/>
      <w:bookmarkStart w:id="2813" w:name="_Toc29936"/>
      <w:bookmarkStart w:id="2814" w:name="_Toc11620"/>
      <w:bookmarkStart w:id="2815" w:name="_Toc29872"/>
      <w:bookmarkStart w:id="2816" w:name="_Toc4671"/>
      <w:bookmarkStart w:id="2817" w:name="_Toc21094"/>
      <w:bookmarkStart w:id="2818" w:name="_Toc9996"/>
      <w:bookmarkStart w:id="2819" w:name="_Toc4849"/>
      <w:bookmarkStart w:id="2820" w:name="_Toc18530"/>
      <w:bookmarkStart w:id="2821" w:name="_Toc3506"/>
      <w:bookmarkStart w:id="2822" w:name="_Toc13093"/>
      <w:bookmarkStart w:id="2823" w:name="_Toc11813"/>
      <w:bookmarkStart w:id="2824" w:name="_Toc17521"/>
      <w:r>
        <w:rPr>
          <w:rFonts w:hint="eastAsia" w:ascii="宋体" w:hAnsi="宋体" w:eastAsia="宋体" w:cs="宋体"/>
          <w:b w:val="0"/>
          <w:bCs w:val="0"/>
          <w:color w:val="auto"/>
          <w:sz w:val="24"/>
          <w:szCs w:val="24"/>
          <w:highlight w:val="none"/>
        </w:rPr>
        <w:t>20</w:t>
      </w:r>
      <w:bookmarkStart w:id="2825" w:name="_Toc296503146"/>
      <w:bookmarkEnd w:id="2825"/>
      <w:bookmarkStart w:id="2826" w:name="_Toc296346647"/>
      <w:bookmarkEnd w:id="2826"/>
      <w:bookmarkStart w:id="2827" w:name="_Toc337558840"/>
      <w:r>
        <w:rPr>
          <w:rFonts w:hint="eastAsia" w:ascii="宋体" w:hAnsi="宋体" w:eastAsia="宋体" w:cs="宋体"/>
          <w:b w:val="0"/>
          <w:bCs w:val="0"/>
          <w:color w:val="auto"/>
          <w:sz w:val="24"/>
          <w:szCs w:val="24"/>
          <w:highlight w:val="none"/>
        </w:rPr>
        <w:t>. 争议解决</w:t>
      </w:r>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7"/>
    </w:p>
    <w:p w14:paraId="5D01E9F0">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828" w:name="_Toc351203627"/>
      <w:bookmarkEnd w:id="2828"/>
      <w:bookmarkStart w:id="2829" w:name="_Toc296346648"/>
      <w:bookmarkEnd w:id="2829"/>
      <w:bookmarkStart w:id="2830" w:name="_Toc296503147"/>
      <w:bookmarkEnd w:id="2830"/>
      <w:bookmarkStart w:id="2831" w:name="_Toc5958"/>
      <w:bookmarkStart w:id="2832" w:name="_Toc1078"/>
      <w:bookmarkStart w:id="2833" w:name="_Toc10791"/>
      <w:bookmarkStart w:id="2834" w:name="_Toc30935"/>
      <w:bookmarkStart w:id="2835" w:name="_Toc28814"/>
      <w:bookmarkStart w:id="2836" w:name="_Toc16790"/>
      <w:bookmarkStart w:id="2837" w:name="_Toc2764"/>
      <w:bookmarkStart w:id="2838" w:name="_Toc24980"/>
      <w:bookmarkStart w:id="2839" w:name="_Toc10384"/>
      <w:bookmarkStart w:id="2840" w:name="_Toc5728"/>
      <w:bookmarkStart w:id="2841" w:name="_Toc22650"/>
      <w:bookmarkStart w:id="2842" w:name="_Toc337558841"/>
      <w:bookmarkStart w:id="2843" w:name="_Toc623"/>
      <w:bookmarkStart w:id="2844" w:name="_Toc28376"/>
      <w:r>
        <w:rPr>
          <w:rFonts w:hint="eastAsia" w:ascii="宋体" w:hAnsi="宋体" w:eastAsia="宋体" w:cs="宋体"/>
          <w:b w:val="0"/>
          <w:bCs w:val="0"/>
          <w:color w:val="auto"/>
          <w:sz w:val="24"/>
          <w:szCs w:val="24"/>
          <w:highlight w:val="none"/>
        </w:rPr>
        <w:t>20.1和解</w:t>
      </w:r>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p>
    <w:p w14:paraId="4776E7E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合同当事人可以就争议自行和解，自行和解达成协议的经双方签字并盖章后作为合同补充文件，双方均应遵照执行。</w:t>
      </w:r>
    </w:p>
    <w:p w14:paraId="5F5B192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845" w:name="_Toc351203628"/>
      <w:bookmarkEnd w:id="2845"/>
      <w:bookmarkStart w:id="2846" w:name="_Toc13191"/>
      <w:bookmarkStart w:id="2847" w:name="_Toc26898"/>
      <w:bookmarkStart w:id="2848" w:name="_Toc29295"/>
      <w:bookmarkStart w:id="2849" w:name="_Toc17395"/>
      <w:bookmarkStart w:id="2850" w:name="_Toc4101"/>
      <w:bookmarkStart w:id="2851" w:name="_Toc22701"/>
      <w:bookmarkStart w:id="2852" w:name="_Toc7342"/>
      <w:bookmarkStart w:id="2853" w:name="_Toc29761"/>
      <w:bookmarkStart w:id="2854" w:name="_Toc15973"/>
      <w:bookmarkStart w:id="2855" w:name="_Toc14646"/>
      <w:bookmarkStart w:id="2856" w:name="_Toc18385"/>
      <w:bookmarkStart w:id="2857" w:name="_Toc20601"/>
      <w:bookmarkStart w:id="2858" w:name="_Toc1814"/>
      <w:r>
        <w:rPr>
          <w:rFonts w:hint="eastAsia" w:ascii="宋体" w:hAnsi="宋体" w:eastAsia="宋体" w:cs="宋体"/>
          <w:b w:val="0"/>
          <w:bCs w:val="0"/>
          <w:color w:val="auto"/>
          <w:sz w:val="24"/>
          <w:szCs w:val="24"/>
          <w:highlight w:val="none"/>
        </w:rPr>
        <w:t>20</w:t>
      </w:r>
      <w:bookmarkStart w:id="2859" w:name="_Toc296503148"/>
      <w:bookmarkEnd w:id="2859"/>
      <w:bookmarkStart w:id="2860" w:name="_Toc296346649"/>
      <w:bookmarkEnd w:id="2860"/>
      <w:bookmarkStart w:id="2861" w:name="_Toc337558842"/>
      <w:r>
        <w:rPr>
          <w:rFonts w:hint="eastAsia" w:ascii="宋体" w:hAnsi="宋体" w:eastAsia="宋体" w:cs="宋体"/>
          <w:b w:val="0"/>
          <w:bCs w:val="0"/>
          <w:color w:val="auto"/>
          <w:sz w:val="24"/>
          <w:szCs w:val="24"/>
          <w:highlight w:val="none"/>
        </w:rPr>
        <w:t>.2调解</w:t>
      </w:r>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61"/>
    </w:p>
    <w:p w14:paraId="3E0F7B5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合同当事人可以就争议请求建设行政主管部门、行业协会或其他第三方进行调解，调解达成协议的，经双方签字并盖章后作为合同补充文件，双方均应遵照执行。</w:t>
      </w:r>
    </w:p>
    <w:p w14:paraId="4F4CB601">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862" w:name="_Toc351203629"/>
      <w:bookmarkEnd w:id="2862"/>
      <w:bookmarkStart w:id="2863" w:name="_Toc296503149"/>
      <w:bookmarkEnd w:id="2863"/>
      <w:bookmarkStart w:id="2864" w:name="_Toc296346650"/>
      <w:bookmarkEnd w:id="2864"/>
      <w:bookmarkStart w:id="2865" w:name="_Toc5479"/>
      <w:bookmarkStart w:id="2866" w:name="_Toc23726"/>
      <w:bookmarkStart w:id="2867" w:name="_Toc2876"/>
      <w:bookmarkStart w:id="2868" w:name="_Toc29794"/>
      <w:bookmarkStart w:id="2869" w:name="_Toc30184"/>
      <w:bookmarkStart w:id="2870" w:name="_Toc337558843"/>
      <w:bookmarkStart w:id="2871" w:name="_Toc770"/>
      <w:bookmarkStart w:id="2872" w:name="_Toc24121"/>
      <w:bookmarkStart w:id="2873" w:name="_Toc31073"/>
      <w:bookmarkStart w:id="2874" w:name="_Toc9565"/>
      <w:bookmarkStart w:id="2875" w:name="_Toc20318"/>
      <w:bookmarkStart w:id="2876" w:name="_Toc17776"/>
      <w:bookmarkStart w:id="2877" w:name="_Toc2299"/>
      <w:bookmarkStart w:id="2878" w:name="_Toc8315"/>
      <w:r>
        <w:rPr>
          <w:rFonts w:hint="eastAsia" w:ascii="宋体" w:hAnsi="宋体" w:eastAsia="宋体" w:cs="宋体"/>
          <w:b w:val="0"/>
          <w:bCs w:val="0"/>
          <w:color w:val="auto"/>
          <w:sz w:val="24"/>
          <w:szCs w:val="24"/>
          <w:highlight w:val="none"/>
        </w:rPr>
        <w:t>20.3争议评审</w:t>
      </w:r>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p>
    <w:p w14:paraId="18622842">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合同当事人在专用合同条款中约定采取争议评审方式解决争议以及评审规则，并按下列约定执行： </w:t>
      </w:r>
    </w:p>
    <w:p w14:paraId="1C6B94AD">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20.3.1 争议评审小组的确定</w:t>
      </w:r>
    </w:p>
    <w:p w14:paraId="76AC068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合同当事人可以共同选择一名或三名争议评审员，组成争议评审小组。除专用合同条款另有约定外，合同当事人应当自合同签订后28天内，或者争议发生后14天内，选定争议评审员。</w:t>
      </w:r>
    </w:p>
    <w:p w14:paraId="63B9C41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2BE58CD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除专用合同条款另有约定外，评审员报酬由发包人和承包人各承担一半。</w:t>
      </w:r>
    </w:p>
    <w:p w14:paraId="30A402EB">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7AF36C28">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w:t>
      </w:r>
      <w:r>
        <w:rPr>
          <w:rFonts w:hint="eastAsia" w:ascii="宋体" w:hAnsi="宋体" w:eastAsia="宋体" w:cs="宋体"/>
          <w:color w:val="auto"/>
          <w:kern w:val="0"/>
          <w:sz w:val="24"/>
          <w:szCs w:val="24"/>
          <w:highlight w:val="none"/>
          <w:lang w:eastAsia="zh-CN"/>
        </w:rPr>
        <w:t>本</w:t>
      </w:r>
      <w:r>
        <w:rPr>
          <w:rFonts w:hint="eastAsia" w:ascii="宋体" w:hAnsi="宋体" w:eastAsia="宋体" w:cs="宋体"/>
          <w:color w:val="auto"/>
          <w:kern w:val="0"/>
          <w:sz w:val="24"/>
          <w:szCs w:val="24"/>
          <w:highlight w:val="none"/>
        </w:rPr>
        <w:t>事项另行约定。</w:t>
      </w:r>
    </w:p>
    <w:p w14:paraId="3A32ACD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20.3.3 争议评审小组决定的效力</w:t>
      </w:r>
    </w:p>
    <w:p w14:paraId="5C129F6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争议评审小组作出的书面决定经合同当事人签字确认后，对双方具有约束力，双方应遵照执行。</w:t>
      </w:r>
    </w:p>
    <w:p w14:paraId="73914239">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任何一方当事人不接受争议评审小组决定或不履行争议评审小组决定的，双方可选择采用其他争议解决方式。</w:t>
      </w:r>
    </w:p>
    <w:p w14:paraId="37186A74">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879" w:name="_Toc351203630"/>
      <w:bookmarkEnd w:id="2879"/>
      <w:bookmarkStart w:id="2880" w:name="_Toc296346651"/>
      <w:bookmarkEnd w:id="2880"/>
      <w:bookmarkStart w:id="2881" w:name="_Toc296503150"/>
      <w:bookmarkEnd w:id="2881"/>
      <w:bookmarkStart w:id="2882" w:name="_Toc24127"/>
      <w:bookmarkStart w:id="2883" w:name="_Toc9993"/>
      <w:bookmarkStart w:id="2884" w:name="_Toc8613"/>
      <w:bookmarkStart w:id="2885" w:name="_Toc3577"/>
      <w:bookmarkStart w:id="2886" w:name="_Toc13342"/>
      <w:bookmarkStart w:id="2887" w:name="_Toc31339"/>
      <w:bookmarkStart w:id="2888" w:name="_Toc9501"/>
      <w:bookmarkStart w:id="2889" w:name="_Toc16639"/>
      <w:bookmarkStart w:id="2890" w:name="_Toc22786"/>
      <w:bookmarkStart w:id="2891" w:name="_Toc29814"/>
      <w:bookmarkStart w:id="2892" w:name="_Toc26090"/>
      <w:bookmarkStart w:id="2893" w:name="_Toc14726"/>
      <w:bookmarkStart w:id="2894" w:name="_Toc337558844"/>
      <w:bookmarkStart w:id="2895" w:name="_Toc9570"/>
      <w:r>
        <w:rPr>
          <w:rFonts w:hint="eastAsia" w:ascii="宋体" w:hAnsi="宋体" w:eastAsia="宋体" w:cs="宋体"/>
          <w:b w:val="0"/>
          <w:bCs w:val="0"/>
          <w:color w:val="auto"/>
          <w:sz w:val="24"/>
          <w:szCs w:val="24"/>
          <w:highlight w:val="none"/>
        </w:rPr>
        <w:t>20.4仲裁或诉讼</w:t>
      </w:r>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p>
    <w:p w14:paraId="0A796598">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因合同及合同有关事项产生的争议，合同当事人可以在专用合同条款中约定以下一种方式解决争议：</w:t>
      </w:r>
    </w:p>
    <w:p w14:paraId="22B0EBB4">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（1）向约定的仲裁委员会申请仲裁；</w:t>
      </w:r>
    </w:p>
    <w:p w14:paraId="3DA0D193">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（2）向有管辖权的人民法院起诉。</w:t>
      </w:r>
    </w:p>
    <w:p w14:paraId="57F2ADA2">
      <w:pPr>
        <w:pageBreakBefore w:val="0"/>
        <w:widowControl/>
        <w:kinsoku/>
        <w:wordWrap/>
        <w:overflowPunct/>
        <w:topLinePunct w:val="0"/>
        <w:bidi w:val="0"/>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bookmarkStart w:id="2896" w:name="_Toc351203631"/>
      <w:bookmarkEnd w:id="2896"/>
      <w:bookmarkStart w:id="2897" w:name="_Toc296503152"/>
      <w:bookmarkEnd w:id="2897"/>
      <w:bookmarkStart w:id="2898" w:name="_Toc296346653"/>
      <w:bookmarkEnd w:id="2898"/>
      <w:bookmarkStart w:id="2899" w:name="_Toc7741"/>
      <w:bookmarkStart w:id="2900" w:name="_Toc1664"/>
      <w:bookmarkStart w:id="2901" w:name="_Toc28935"/>
      <w:bookmarkStart w:id="2902" w:name="_Toc16667"/>
      <w:bookmarkStart w:id="2903" w:name="_Toc3512"/>
      <w:bookmarkStart w:id="2904" w:name="_Toc337558845"/>
      <w:bookmarkStart w:id="2905" w:name="_Toc29022"/>
      <w:bookmarkStart w:id="2906" w:name="_Toc31843"/>
      <w:bookmarkStart w:id="2907" w:name="_Toc4576"/>
      <w:bookmarkStart w:id="2908" w:name="_Toc23793"/>
      <w:bookmarkStart w:id="2909" w:name="_Toc30838"/>
      <w:bookmarkStart w:id="2910" w:name="_Toc14509"/>
      <w:bookmarkStart w:id="2911" w:name="_Toc32368"/>
      <w:bookmarkStart w:id="2912" w:name="_Toc27510"/>
      <w:r>
        <w:rPr>
          <w:rFonts w:hint="eastAsia" w:ascii="宋体" w:hAnsi="宋体" w:eastAsia="宋体" w:cs="宋体"/>
          <w:b w:val="0"/>
          <w:bCs w:val="0"/>
          <w:color w:val="auto"/>
          <w:sz w:val="24"/>
          <w:szCs w:val="24"/>
          <w:highlight w:val="none"/>
        </w:rPr>
        <w:t>20.5争议解决条款效力</w:t>
      </w:r>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p>
    <w:p w14:paraId="2A8CDD70">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合同有关争议解决的条款独立存在，合同的变更、解除、终止、无效或者被撤销均不影响其效力。 </w:t>
      </w:r>
    </w:p>
    <w:p w14:paraId="579ACD0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bookmarkStart w:id="2913" w:name="_Toc351203632"/>
      <w:bookmarkEnd w:id="2913"/>
      <w:r>
        <w:rPr>
          <w:rFonts w:hint="eastAsia" w:ascii="宋体" w:hAnsi="宋体" w:eastAsia="宋体" w:cs="宋体"/>
          <w:color w:val="auto"/>
          <w:sz w:val="24"/>
          <w:szCs w:val="24"/>
          <w:highlight w:val="none"/>
        </w:rPr>
        <w:br w:type="page"/>
      </w:r>
      <w:bookmarkStart w:id="2914" w:name="_Toc9795"/>
      <w:bookmarkStart w:id="2915" w:name="_Toc7582"/>
      <w:bookmarkStart w:id="2916" w:name="_Toc29156"/>
      <w:bookmarkStart w:id="2917" w:name="_Toc9411"/>
      <w:bookmarkStart w:id="2918" w:name="_Toc23461"/>
      <w:bookmarkStart w:id="2919" w:name="_Toc25722"/>
      <w:bookmarkStart w:id="2920" w:name="_Toc4680"/>
      <w:bookmarkStart w:id="2921" w:name="_Toc1714"/>
      <w:bookmarkStart w:id="2922" w:name="_Toc17681"/>
      <w:bookmarkStart w:id="2923" w:name="_Toc25730"/>
      <w:bookmarkStart w:id="2924" w:name="_Toc24753"/>
      <w:bookmarkStart w:id="2925" w:name="_Toc12015"/>
      <w:bookmarkStart w:id="2926" w:name="_Toc4525"/>
      <w:bookmarkStart w:id="2927" w:name="_Toc475"/>
      <w:bookmarkStart w:id="2928" w:name="_Toc22603"/>
      <w:bookmarkStart w:id="2929" w:name="_Toc16369"/>
      <w:r>
        <w:rPr>
          <w:rFonts w:hint="eastAsia" w:ascii="宋体" w:hAnsi="宋体" w:eastAsia="宋体" w:cs="宋体"/>
          <w:color w:val="auto"/>
          <w:sz w:val="24"/>
          <w:szCs w:val="24"/>
          <w:highlight w:val="none"/>
        </w:rPr>
        <w:t>第三部分 专用合同条款</w:t>
      </w:r>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p>
    <w:p w14:paraId="38003898">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2930" w:name="_Toc351203633"/>
      <w:bookmarkEnd w:id="2930"/>
      <w:bookmarkStart w:id="2931" w:name="_Toc8169"/>
      <w:bookmarkStart w:id="2932" w:name="_Toc939"/>
      <w:bookmarkStart w:id="2933" w:name="_Toc11822"/>
      <w:bookmarkStart w:id="2934" w:name="_Toc26867"/>
      <w:bookmarkStart w:id="2935" w:name="_Toc1903"/>
      <w:bookmarkStart w:id="2936" w:name="_Toc18701"/>
      <w:bookmarkStart w:id="2937" w:name="_Toc1834"/>
      <w:bookmarkStart w:id="2938" w:name="_Toc31598"/>
      <w:bookmarkStart w:id="2939" w:name="_Toc14493"/>
      <w:bookmarkStart w:id="2940" w:name="_Toc3048"/>
      <w:bookmarkStart w:id="2941" w:name="_Toc30671"/>
      <w:bookmarkStart w:id="2942" w:name="_Toc31065"/>
      <w:bookmarkStart w:id="2943" w:name="_Toc30244"/>
      <w:bookmarkStart w:id="2944" w:name="_Toc17498"/>
      <w:bookmarkStart w:id="2945" w:name="_Toc10937"/>
      <w:bookmarkStart w:id="2946" w:name="_Toc31040"/>
      <w:r>
        <w:rPr>
          <w:rFonts w:hint="eastAsia" w:ascii="宋体" w:hAnsi="宋体" w:eastAsia="宋体" w:cs="宋体"/>
          <w:color w:val="auto"/>
          <w:sz w:val="24"/>
          <w:szCs w:val="24"/>
          <w:highlight w:val="none"/>
        </w:rPr>
        <w:t>1.1 词语定义</w:t>
      </w:r>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p>
    <w:p w14:paraId="749CC6C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1E2F56B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874CC3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2A7FE95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71EF5BE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75744EB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7C4C3C8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D0A47C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684104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3A5C134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5D4201E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084E8CD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272C8B1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243E7A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E1B82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634BA2F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72FAD81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110C0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kern w:val="0"/>
          <w:sz w:val="24"/>
          <w:szCs w:val="24"/>
          <w:highlight w:val="none"/>
        </w:rPr>
        <w:t>。</w:t>
      </w:r>
    </w:p>
    <w:p w14:paraId="510D7A0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kern w:val="0"/>
          <w:sz w:val="24"/>
          <w:szCs w:val="24"/>
          <w:highlight w:val="none"/>
        </w:rPr>
        <w:t>。</w:t>
      </w:r>
    </w:p>
    <w:p w14:paraId="36FD3376">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30918944">
      <w:pPr>
        <w:pageBreakBefore w:val="0"/>
        <w:widowControl/>
        <w:kinsoku/>
        <w:wordWrap/>
        <w:overflowPunct/>
        <w:topLinePunct w:val="0"/>
        <w:autoSpaceDE w:val="0"/>
        <w:autoSpaceDN w:val="0"/>
        <w:bidi w:val="0"/>
        <w:adjustRightInd w:val="0"/>
        <w:spacing w:line="360" w:lineRule="auto"/>
        <w:ind w:left="568" w:leftChars="284"/>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61E0940">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50F54CB0">
      <w:pPr>
        <w:pageBreakBefore w:val="0"/>
        <w:widowControl/>
        <w:kinsoku/>
        <w:wordWrap/>
        <w:overflowPunct/>
        <w:topLinePunct w:val="0"/>
        <w:bidi w:val="0"/>
        <w:spacing w:line="360" w:lineRule="auto"/>
        <w:ind w:left="568" w:leftChars="28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DAB5B1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bookmarkStart w:id="2947" w:name="_Toc24282"/>
      <w:bookmarkStart w:id="2948" w:name="_Toc11086"/>
      <w:bookmarkStart w:id="2949" w:name="_Toc12151"/>
      <w:bookmarkStart w:id="2950" w:name="_Toc30046"/>
      <w:bookmarkStart w:id="2951" w:name="_Toc19006"/>
      <w:bookmarkStart w:id="2952" w:name="_Toc21909"/>
      <w:bookmarkStart w:id="2953" w:name="_Toc24605"/>
      <w:bookmarkStart w:id="2954" w:name="_Toc1248"/>
      <w:bookmarkStart w:id="2955" w:name="_Toc16077"/>
      <w:bookmarkStart w:id="2956" w:name="_Toc14345"/>
      <w:bookmarkStart w:id="2957" w:name="_Toc23014"/>
      <w:bookmarkStart w:id="2958" w:name="_Toc23898"/>
      <w:bookmarkStart w:id="2959" w:name="_Toc22696"/>
      <w:bookmarkStart w:id="2960" w:name="_Toc25361"/>
      <w:bookmarkStart w:id="2961" w:name="_Toc30811"/>
      <w:bookmarkStart w:id="2962" w:name="_Toc21836"/>
      <w:r>
        <w:rPr>
          <w:rFonts w:hint="eastAsia" w:ascii="宋体" w:hAnsi="宋体" w:eastAsia="宋体" w:cs="宋体"/>
          <w:color w:val="auto"/>
          <w:kern w:val="0"/>
          <w:sz w:val="24"/>
          <w:szCs w:val="24"/>
          <w:highlight w:val="none"/>
        </w:rPr>
        <w:t>1.4.2 发包人提供国外标准、规范的名称：</w:t>
      </w:r>
      <w:bookmarkEnd w:id="2947"/>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p>
    <w:p w14:paraId="3397BA6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3B1CFF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889B31D">
      <w:pPr>
        <w:pageBreakBefore w:val="0"/>
        <w:widowControl/>
        <w:kinsoku/>
        <w:wordWrap/>
        <w:overflowPunct/>
        <w:topLinePunct w:val="0"/>
        <w:bidi w:val="0"/>
        <w:spacing w:line="360" w:lineRule="auto"/>
        <w:ind w:left="568" w:leftChars="28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p>
    <w:p w14:paraId="2A3A07E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366846B1">
      <w:pPr>
        <w:pageBreakBefore w:val="0"/>
        <w:widowControl/>
        <w:tabs>
          <w:tab w:val="left" w:pos="864"/>
        </w:tabs>
        <w:kinsoku/>
        <w:wordWrap/>
        <w:overflowPunct/>
        <w:topLinePunct w:val="0"/>
        <w:bidi w:val="0"/>
        <w:spacing w:line="360" w:lineRule="auto"/>
        <w:textAlignment w:val="auto"/>
        <w:outlineLvl w:val="9"/>
        <w:rPr>
          <w:rFonts w:hint="eastAsia" w:ascii="宋体" w:hAnsi="宋体" w:eastAsia="宋体" w:cs="宋体"/>
          <w:b w:val="0"/>
          <w:bCs w:val="0"/>
          <w:color w:val="auto"/>
          <w:sz w:val="24"/>
          <w:szCs w:val="24"/>
          <w:highlight w:val="none"/>
        </w:rPr>
      </w:pPr>
      <w:bookmarkStart w:id="2963" w:name="_Toc4241"/>
      <w:r>
        <w:rPr>
          <w:rFonts w:hint="eastAsia" w:ascii="宋体" w:hAnsi="宋体" w:eastAsia="宋体" w:cs="宋体"/>
          <w:b w:val="0"/>
          <w:bCs w:val="0"/>
          <w:color w:val="auto"/>
          <w:sz w:val="24"/>
          <w:szCs w:val="24"/>
          <w:highlight w:val="none"/>
        </w:rPr>
        <w:t>1</w:t>
      </w:r>
      <w:bookmarkStart w:id="2964" w:name="_Toc296347155"/>
      <w:bookmarkEnd w:id="2964"/>
      <w:bookmarkStart w:id="2965" w:name="_Toc292559866"/>
      <w:bookmarkEnd w:id="2965"/>
      <w:bookmarkStart w:id="2966" w:name="_Toc296346657"/>
      <w:bookmarkEnd w:id="2966"/>
      <w:bookmarkStart w:id="2967" w:name="_Toc296503156"/>
      <w:bookmarkEnd w:id="2967"/>
      <w:bookmarkStart w:id="2968" w:name="_Toc296891196"/>
      <w:bookmarkEnd w:id="2968"/>
      <w:bookmarkStart w:id="2969" w:name="_Toc297048342"/>
      <w:bookmarkEnd w:id="2969"/>
      <w:bookmarkStart w:id="2970" w:name="_Toc296890984"/>
      <w:bookmarkEnd w:id="2970"/>
      <w:bookmarkStart w:id="2971" w:name="_Toc296944495"/>
      <w:bookmarkEnd w:id="2971"/>
      <w:bookmarkStart w:id="2972" w:name="_Toc292559361"/>
      <w:bookmarkEnd w:id="2972"/>
      <w:bookmarkStart w:id="2973" w:name="_Toc297120456"/>
      <w:r>
        <w:rPr>
          <w:rFonts w:hint="eastAsia" w:ascii="宋体" w:hAnsi="宋体" w:eastAsia="宋体" w:cs="宋体"/>
          <w:b w:val="0"/>
          <w:bCs w:val="0"/>
          <w:color w:val="auto"/>
          <w:sz w:val="24"/>
          <w:szCs w:val="24"/>
          <w:highlight w:val="none"/>
        </w:rPr>
        <w:t>. 一般约定</w:t>
      </w:r>
      <w:bookmarkEnd w:id="2973"/>
    </w:p>
    <w:p w14:paraId="42FA2632">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2974" w:name="_Toc3205"/>
      <w:bookmarkStart w:id="2975" w:name="_Toc19716"/>
      <w:bookmarkStart w:id="2976" w:name="_Toc30303"/>
      <w:bookmarkStart w:id="2977" w:name="_Toc26602"/>
      <w:bookmarkStart w:id="2978" w:name="_Toc31106"/>
      <w:bookmarkStart w:id="2979" w:name="_Toc30630"/>
      <w:bookmarkStart w:id="2980" w:name="_Toc17495"/>
      <w:bookmarkStart w:id="2981" w:name="_Toc10983"/>
      <w:bookmarkStart w:id="2982" w:name="_Toc16501"/>
      <w:bookmarkStart w:id="2983" w:name="_Toc28884"/>
      <w:bookmarkStart w:id="2984" w:name="_Toc7151"/>
      <w:bookmarkStart w:id="2985" w:name="_Toc29396"/>
      <w:bookmarkStart w:id="2986" w:name="_Toc9290"/>
      <w:bookmarkStart w:id="2987" w:name="_Toc3841"/>
      <w:bookmarkStart w:id="2988" w:name="_Toc31384"/>
      <w:r>
        <w:rPr>
          <w:rFonts w:hint="eastAsia" w:ascii="宋体" w:hAnsi="宋体" w:eastAsia="宋体" w:cs="宋体"/>
          <w:color w:val="auto"/>
          <w:sz w:val="24"/>
          <w:szCs w:val="24"/>
          <w:highlight w:val="none"/>
        </w:rPr>
        <w:t>1.5 合同文件的优先顺序</w:t>
      </w:r>
      <w:bookmarkEnd w:id="296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p>
    <w:p w14:paraId="14158E8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7991C1AE">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2989" w:name="_Toc17875"/>
      <w:bookmarkStart w:id="2990" w:name="_Toc4918"/>
      <w:bookmarkStart w:id="2991" w:name="_Toc6314"/>
      <w:bookmarkStart w:id="2992" w:name="_Toc23380"/>
      <w:bookmarkStart w:id="2993" w:name="_Toc29119"/>
      <w:bookmarkStart w:id="2994" w:name="_Toc11690"/>
      <w:bookmarkStart w:id="2995" w:name="_Toc7566"/>
      <w:bookmarkStart w:id="2996" w:name="_Toc16043"/>
      <w:bookmarkStart w:id="2997" w:name="_Toc32534"/>
      <w:bookmarkStart w:id="2998" w:name="_Toc10538"/>
      <w:bookmarkStart w:id="2999" w:name="_Toc27992"/>
      <w:bookmarkStart w:id="3000" w:name="_Toc14293"/>
      <w:bookmarkStart w:id="3001" w:name="_Toc2499"/>
      <w:bookmarkStart w:id="3002" w:name="_Toc31634"/>
      <w:bookmarkStart w:id="3003" w:name="_Toc17878"/>
      <w:bookmarkStart w:id="3004" w:name="_Toc26722"/>
      <w:r>
        <w:rPr>
          <w:rFonts w:hint="eastAsia" w:ascii="宋体" w:hAnsi="宋体" w:eastAsia="宋体" w:cs="宋体"/>
          <w:color w:val="auto"/>
          <w:sz w:val="24"/>
          <w:szCs w:val="24"/>
          <w:highlight w:val="none"/>
        </w:rPr>
        <w:t>1.6 图纸和承包人文件</w:t>
      </w:r>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r>
        <w:rPr>
          <w:rFonts w:hint="eastAsia" w:ascii="宋体" w:hAnsi="宋体" w:eastAsia="宋体" w:cs="宋体"/>
          <w:color w:val="auto"/>
          <w:sz w:val="24"/>
          <w:szCs w:val="24"/>
          <w:highlight w:val="none"/>
        </w:rPr>
        <w:tab/>
      </w:r>
    </w:p>
    <w:p w14:paraId="7BD781A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65018B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53870F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4A1043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E65480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51C3FC1A">
      <w:pPr>
        <w:pageBreakBefore w:val="0"/>
        <w:widowControl/>
        <w:kinsoku/>
        <w:wordWrap/>
        <w:overflowPunct/>
        <w:topLinePunct w:val="0"/>
        <w:bidi w:val="0"/>
        <w:spacing w:line="360" w:lineRule="auto"/>
        <w:ind w:left="568" w:leftChars="284"/>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8BC3F7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76821BF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7958B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F2F069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2A83497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6D00DDE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3F3E1C18">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005" w:name="_Toc4550"/>
      <w:bookmarkStart w:id="3006" w:name="_Toc31119"/>
      <w:bookmarkStart w:id="3007" w:name="_Toc11605"/>
      <w:bookmarkStart w:id="3008" w:name="_Toc30784"/>
      <w:bookmarkStart w:id="3009" w:name="_Toc19953"/>
      <w:bookmarkStart w:id="3010" w:name="_Toc6463"/>
      <w:bookmarkStart w:id="3011" w:name="_Toc8776"/>
      <w:bookmarkStart w:id="3012" w:name="_Toc25080"/>
      <w:bookmarkStart w:id="3013" w:name="_Toc16375"/>
      <w:bookmarkStart w:id="3014" w:name="_Toc8377"/>
      <w:bookmarkStart w:id="3015" w:name="_Toc29451"/>
      <w:bookmarkStart w:id="3016" w:name="_Toc9363"/>
      <w:bookmarkStart w:id="3017" w:name="_Toc20105"/>
      <w:bookmarkStart w:id="3018" w:name="_Toc27078"/>
      <w:bookmarkStart w:id="3019" w:name="_Toc27544"/>
      <w:bookmarkStart w:id="3020" w:name="_Toc31692"/>
      <w:r>
        <w:rPr>
          <w:rFonts w:hint="eastAsia" w:ascii="宋体" w:hAnsi="宋体" w:eastAsia="宋体" w:cs="宋体"/>
          <w:color w:val="auto"/>
          <w:sz w:val="24"/>
          <w:szCs w:val="24"/>
          <w:highlight w:val="none"/>
        </w:rPr>
        <w:t>1.7 联络</w:t>
      </w:r>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p>
    <w:p w14:paraId="0991D77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34A73C0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color w:val="auto"/>
          <w:sz w:val="24"/>
          <w:szCs w:val="24"/>
          <w:highlight w:val="none"/>
          <w:u w:val="single"/>
        </w:rPr>
        <w:t>      </w:t>
      </w:r>
      <w:r>
        <w:rPr>
          <w:rFonts w:hint="eastAsia" w:ascii="宋体" w:hAnsi="宋体" w:eastAsia="宋体" w:cs="宋体"/>
          <w:color w:val="auto"/>
          <w:kern w:val="0"/>
          <w:sz w:val="24"/>
          <w:szCs w:val="24"/>
          <w:highlight w:val="none"/>
        </w:rPr>
        <w:t>；</w:t>
      </w:r>
    </w:p>
    <w:p w14:paraId="65A595B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4FE9254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1DA689F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61C1FD3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023BE7F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07983BAD">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021" w:name="_Toc30022"/>
      <w:bookmarkStart w:id="3022" w:name="_Toc8951"/>
      <w:bookmarkStart w:id="3023" w:name="_Toc8525"/>
      <w:bookmarkStart w:id="3024" w:name="_Toc22915"/>
      <w:bookmarkStart w:id="3025" w:name="_Toc10647"/>
      <w:bookmarkStart w:id="3026" w:name="_Toc24893"/>
      <w:bookmarkStart w:id="3027" w:name="_Toc30896"/>
      <w:bookmarkStart w:id="3028" w:name="_Toc15192"/>
      <w:bookmarkStart w:id="3029" w:name="_Toc15395"/>
      <w:bookmarkStart w:id="3030" w:name="_Toc5645"/>
      <w:bookmarkStart w:id="3031" w:name="_Toc20173"/>
      <w:bookmarkStart w:id="3032" w:name="_Toc19656"/>
      <w:bookmarkStart w:id="3033" w:name="_Toc20693"/>
      <w:bookmarkStart w:id="3034" w:name="_Toc8889"/>
      <w:bookmarkStart w:id="3035" w:name="_Toc22903"/>
      <w:bookmarkStart w:id="3036" w:name="_Toc17003"/>
      <w:r>
        <w:rPr>
          <w:rFonts w:hint="eastAsia" w:ascii="宋体" w:hAnsi="宋体" w:eastAsia="宋体" w:cs="宋体"/>
          <w:color w:val="auto"/>
          <w:sz w:val="24"/>
          <w:szCs w:val="24"/>
          <w:highlight w:val="none"/>
        </w:rPr>
        <w:t>1.10 交通运输</w:t>
      </w:r>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p>
    <w:p w14:paraId="4BEFCC9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037" w:name="_Toc21765"/>
      <w:bookmarkStart w:id="3038" w:name="_Toc12367"/>
      <w:bookmarkStart w:id="3039" w:name="_Toc31218"/>
      <w:bookmarkStart w:id="3040" w:name="_Toc14740"/>
      <w:bookmarkStart w:id="3041" w:name="_Toc3569"/>
      <w:bookmarkStart w:id="3042" w:name="_Toc4265"/>
      <w:bookmarkStart w:id="3043" w:name="_Toc7939"/>
      <w:bookmarkStart w:id="3044" w:name="_Toc5569"/>
      <w:bookmarkStart w:id="3045" w:name="_Toc8560"/>
      <w:bookmarkStart w:id="3046" w:name="_Toc13864"/>
      <w:bookmarkStart w:id="3047" w:name="_Toc29609"/>
      <w:bookmarkStart w:id="3048" w:name="_Toc27513"/>
      <w:bookmarkStart w:id="3049" w:name="_Toc9457"/>
      <w:bookmarkStart w:id="3050" w:name="_Toc28840"/>
      <w:bookmarkStart w:id="3051" w:name="_Toc22768"/>
      <w:bookmarkStart w:id="3052" w:name="_Toc24166"/>
      <w:r>
        <w:rPr>
          <w:rFonts w:hint="eastAsia" w:ascii="宋体" w:hAnsi="宋体" w:eastAsia="宋体" w:cs="宋体"/>
          <w:color w:val="auto"/>
          <w:sz w:val="24"/>
          <w:szCs w:val="24"/>
          <w:highlight w:val="none"/>
        </w:rPr>
        <w:t>1</w:t>
      </w:r>
      <w:bookmarkStart w:id="3053" w:name="_Toc303539100"/>
      <w:bookmarkEnd w:id="3053"/>
      <w:bookmarkStart w:id="3054" w:name="_Toc312677986"/>
      <w:bookmarkEnd w:id="3054"/>
      <w:bookmarkStart w:id="3055" w:name="_Toc300934943"/>
      <w:bookmarkEnd w:id="3055"/>
      <w:bookmarkStart w:id="3056" w:name="_Toc304295521"/>
      <w:bookmarkEnd w:id="3056"/>
      <w:bookmarkStart w:id="3057" w:name="_Toc318581155"/>
      <w:r>
        <w:rPr>
          <w:rFonts w:hint="eastAsia" w:ascii="宋体" w:hAnsi="宋体" w:eastAsia="宋体" w:cs="宋体"/>
          <w:color w:val="auto"/>
          <w:sz w:val="24"/>
          <w:szCs w:val="24"/>
          <w:highlight w:val="none"/>
        </w:rPr>
        <w:t>.10.1 出入现场的权利</w:t>
      </w:r>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7"/>
    </w:p>
    <w:p w14:paraId="3F79E523">
      <w:pPr>
        <w:pageBreakBefore w:val="0"/>
        <w:widowControl/>
        <w:kinsoku/>
        <w:wordWrap/>
        <w:overflowPunct/>
        <w:topLinePunct w:val="0"/>
        <w:bidi w:val="0"/>
        <w:spacing w:line="360" w:lineRule="auto"/>
        <w:ind w:left="568" w:leftChars="28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C0DFD4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058" w:name="_Toc13384"/>
      <w:bookmarkStart w:id="3059" w:name="_Toc17044"/>
      <w:bookmarkStart w:id="3060" w:name="_Toc8513"/>
      <w:bookmarkStart w:id="3061" w:name="_Toc7575"/>
      <w:bookmarkStart w:id="3062" w:name="_Toc15560"/>
      <w:bookmarkStart w:id="3063" w:name="_Toc15105"/>
      <w:bookmarkStart w:id="3064" w:name="_Toc29270"/>
      <w:bookmarkStart w:id="3065" w:name="_Toc17131"/>
      <w:bookmarkStart w:id="3066" w:name="_Toc11037"/>
      <w:bookmarkStart w:id="3067" w:name="_Toc10142"/>
      <w:bookmarkStart w:id="3068" w:name="_Toc31511"/>
      <w:bookmarkStart w:id="3069" w:name="_Toc26800"/>
      <w:bookmarkStart w:id="3070" w:name="_Toc10479"/>
      <w:bookmarkStart w:id="3071" w:name="_Toc10049"/>
      <w:bookmarkStart w:id="3072" w:name="_Toc10180"/>
      <w:bookmarkStart w:id="3073" w:name="_Toc9978"/>
      <w:r>
        <w:rPr>
          <w:rFonts w:hint="eastAsia" w:ascii="宋体" w:hAnsi="宋体" w:eastAsia="宋体" w:cs="宋体"/>
          <w:color w:val="auto"/>
          <w:sz w:val="24"/>
          <w:szCs w:val="24"/>
          <w:highlight w:val="none"/>
        </w:rPr>
        <w:t>1</w:t>
      </w:r>
      <w:bookmarkStart w:id="3074" w:name="_Toc304295522"/>
      <w:bookmarkEnd w:id="3074"/>
      <w:bookmarkStart w:id="3075" w:name="_Toc300934944"/>
      <w:bookmarkEnd w:id="3075"/>
      <w:bookmarkStart w:id="3076" w:name="_Toc312677987"/>
      <w:bookmarkEnd w:id="3076"/>
      <w:bookmarkStart w:id="3077" w:name="_Toc303539101"/>
      <w:bookmarkEnd w:id="3077"/>
      <w:bookmarkStart w:id="3078" w:name="_Toc318581156"/>
      <w:r>
        <w:rPr>
          <w:rFonts w:hint="eastAsia" w:ascii="宋体" w:hAnsi="宋体" w:eastAsia="宋体" w:cs="宋体"/>
          <w:color w:val="auto"/>
          <w:sz w:val="24"/>
          <w:szCs w:val="24"/>
          <w:highlight w:val="none"/>
        </w:rPr>
        <w:t>.10.3 场内交通</w:t>
      </w:r>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8"/>
    </w:p>
    <w:p w14:paraId="716AF5B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ED7D3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bookmarkStart w:id="3079" w:name="_Toc318581157"/>
      <w:bookmarkEnd w:id="3079"/>
    </w:p>
    <w:p w14:paraId="3A22FCB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2981207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3D5F9785">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080" w:name="_Toc15392"/>
      <w:bookmarkStart w:id="3081" w:name="_Toc9943"/>
      <w:bookmarkStart w:id="3082" w:name="_Toc31548"/>
      <w:bookmarkStart w:id="3083" w:name="_Toc31832"/>
      <w:bookmarkStart w:id="3084" w:name="_Toc27798"/>
      <w:bookmarkStart w:id="3085" w:name="_Toc27467"/>
      <w:bookmarkStart w:id="3086" w:name="_Toc19876"/>
      <w:bookmarkStart w:id="3087" w:name="_Toc4887"/>
      <w:bookmarkStart w:id="3088" w:name="_Toc12348"/>
      <w:bookmarkStart w:id="3089" w:name="_Toc23374"/>
      <w:bookmarkStart w:id="3090" w:name="_Toc12798"/>
      <w:bookmarkStart w:id="3091" w:name="_Toc23800"/>
      <w:bookmarkStart w:id="3092" w:name="_Toc19427"/>
      <w:bookmarkStart w:id="3093" w:name="_Toc16783"/>
      <w:bookmarkStart w:id="3094" w:name="_Toc30748"/>
      <w:bookmarkStart w:id="3095" w:name="_Toc23918"/>
      <w:r>
        <w:rPr>
          <w:rFonts w:hint="eastAsia" w:ascii="宋体" w:hAnsi="宋体" w:eastAsia="宋体" w:cs="宋体"/>
          <w:color w:val="auto"/>
          <w:sz w:val="24"/>
          <w:szCs w:val="24"/>
          <w:highlight w:val="none"/>
        </w:rPr>
        <w:t>1.11 知识产权</w:t>
      </w:r>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p>
    <w:p w14:paraId="2AEAB5A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5346B6">
      <w:pPr>
        <w:pageBreakBefore w:val="0"/>
        <w:widowControl/>
        <w:kinsoku/>
        <w:wordWrap/>
        <w:overflowPunct/>
        <w:topLinePunct w:val="0"/>
        <w:bidi w:val="0"/>
        <w:spacing w:line="360" w:lineRule="auto"/>
        <w:ind w:left="568" w:leftChars="28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06CB25">
      <w:pPr>
        <w:pageBreakBefore w:val="0"/>
        <w:widowControl/>
        <w:kinsoku/>
        <w:wordWrap/>
        <w:overflowPunct/>
        <w:topLinePunct w:val="0"/>
        <w:bidi w:val="0"/>
        <w:spacing w:line="360" w:lineRule="auto"/>
        <w:ind w:left="568" w:leftChars="284"/>
        <w:textAlignment w:val="auto"/>
        <w:outlineLvl w:val="9"/>
        <w:rPr>
          <w:rFonts w:hint="eastAsia" w:ascii="宋体" w:hAnsi="宋体" w:eastAsia="宋体" w:cs="宋体"/>
          <w:color w:val="auto"/>
          <w:sz w:val="24"/>
          <w:szCs w:val="24"/>
          <w:highlight w:val="none"/>
        </w:rPr>
      </w:pPr>
      <w:bookmarkStart w:id="3096" w:name="_Toc4652"/>
      <w:bookmarkStart w:id="3097" w:name="_Toc15840"/>
      <w:bookmarkStart w:id="3098" w:name="_Toc19869"/>
      <w:bookmarkStart w:id="3099" w:name="_Toc16937"/>
      <w:bookmarkStart w:id="3100" w:name="_Toc14793"/>
      <w:bookmarkStart w:id="3101" w:name="_Toc2018"/>
      <w:bookmarkStart w:id="3102" w:name="_Toc13943"/>
      <w:bookmarkStart w:id="3103" w:name="_Toc2062"/>
      <w:bookmarkStart w:id="3104" w:name="_Toc24719"/>
      <w:bookmarkStart w:id="3105" w:name="_Toc14977"/>
      <w:bookmarkStart w:id="3106" w:name="_Toc18735"/>
      <w:bookmarkStart w:id="3107" w:name="_Toc20909"/>
      <w:bookmarkStart w:id="3108" w:name="_Toc25047"/>
      <w:bookmarkStart w:id="3109" w:name="_Toc9204"/>
      <w:bookmarkStart w:id="3110" w:name="_Toc1787"/>
      <w:bookmarkStart w:id="3111" w:name="_Toc26655"/>
      <w:r>
        <w:rPr>
          <w:rFonts w:hint="eastAsia" w:ascii="宋体" w:hAnsi="宋体" w:eastAsia="宋体" w:cs="宋体"/>
          <w:color w:val="auto"/>
          <w:sz w:val="24"/>
          <w:szCs w:val="24"/>
          <w:highlight w:val="none"/>
        </w:rPr>
        <w:t>1.11.2 关于承包人为实施工程所编制文件的著作权的归属：</w:t>
      </w:r>
      <w:bookmarkEnd w:id="309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p>
    <w:p w14:paraId="0D234E6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D3B9210">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bookmarkStart w:id="3112" w:name="_Toc10199"/>
      <w:bookmarkStart w:id="3113" w:name="_Toc20264"/>
      <w:bookmarkStart w:id="3114" w:name="_Toc8111"/>
      <w:bookmarkStart w:id="3115" w:name="_Toc11373"/>
      <w:bookmarkStart w:id="3116" w:name="_Toc10788"/>
      <w:bookmarkStart w:id="3117" w:name="_Toc24376"/>
      <w:bookmarkStart w:id="3118" w:name="_Toc17110"/>
      <w:bookmarkStart w:id="3119" w:name="_Toc6660"/>
      <w:bookmarkStart w:id="3120" w:name="_Toc8301"/>
      <w:bookmarkStart w:id="3121" w:name="_Toc29365"/>
      <w:bookmarkStart w:id="3122" w:name="_Toc23428"/>
      <w:bookmarkStart w:id="3123" w:name="_Toc29325"/>
      <w:bookmarkStart w:id="3124" w:name="_Toc2730"/>
      <w:bookmarkStart w:id="3125" w:name="_Toc23355"/>
      <w:bookmarkStart w:id="3126" w:name="_Toc16788"/>
      <w:bookmarkStart w:id="3127" w:name="_Toc21681"/>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p>
    <w:p w14:paraId="2921D969">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66DCFD8C">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7D74BF8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7F96D552">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128" w:name="_Toc351203634"/>
      <w:bookmarkEnd w:id="3128"/>
      <w:r>
        <w:rPr>
          <w:rFonts w:hint="eastAsia" w:ascii="宋体" w:hAnsi="宋体" w:eastAsia="宋体" w:cs="宋体"/>
          <w:b w:val="0"/>
          <w:bCs w:val="0"/>
          <w:color w:val="auto"/>
          <w:sz w:val="24"/>
          <w:szCs w:val="24"/>
          <w:highlight w:val="none"/>
        </w:rPr>
        <w:t>2</w:t>
      </w:r>
      <w:bookmarkStart w:id="3129" w:name="_Toc296944496"/>
      <w:bookmarkEnd w:id="3129"/>
      <w:bookmarkStart w:id="3130" w:name="_Toc296891197"/>
      <w:bookmarkEnd w:id="3130"/>
      <w:bookmarkStart w:id="3131" w:name="_Toc296503157"/>
      <w:bookmarkEnd w:id="3131"/>
      <w:bookmarkStart w:id="3132" w:name="_Toc297048343"/>
      <w:bookmarkEnd w:id="3132"/>
      <w:bookmarkStart w:id="3133" w:name="_Toc296346658"/>
      <w:bookmarkEnd w:id="3133"/>
      <w:bookmarkStart w:id="3134" w:name="_Toc292559867"/>
      <w:bookmarkEnd w:id="3134"/>
      <w:bookmarkStart w:id="3135" w:name="_Toc296890985"/>
      <w:bookmarkEnd w:id="3135"/>
      <w:bookmarkStart w:id="3136" w:name="_Toc296347156"/>
      <w:bookmarkEnd w:id="3136"/>
      <w:bookmarkStart w:id="3137" w:name="_Toc292559362"/>
      <w:bookmarkEnd w:id="3137"/>
      <w:bookmarkStart w:id="3138" w:name="_Toc297120457"/>
      <w:r>
        <w:rPr>
          <w:rFonts w:hint="eastAsia" w:ascii="宋体" w:hAnsi="宋体" w:eastAsia="宋体" w:cs="宋体"/>
          <w:b w:val="0"/>
          <w:bCs w:val="0"/>
          <w:color w:val="auto"/>
          <w:sz w:val="24"/>
          <w:szCs w:val="24"/>
          <w:highlight w:val="none"/>
        </w:rPr>
        <w:t>. 发包人</w:t>
      </w:r>
      <w:bookmarkEnd w:id="3138"/>
    </w:p>
    <w:p w14:paraId="171A9BB5">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139" w:name="_Toc8592"/>
      <w:bookmarkStart w:id="3140" w:name="_Toc6188"/>
      <w:bookmarkStart w:id="3141" w:name="_Toc21395"/>
      <w:bookmarkStart w:id="3142" w:name="_Toc4596"/>
      <w:bookmarkStart w:id="3143" w:name="_Toc28608"/>
      <w:bookmarkStart w:id="3144" w:name="_Toc6413"/>
      <w:bookmarkStart w:id="3145" w:name="_Toc10030"/>
      <w:bookmarkStart w:id="3146" w:name="_Toc9754"/>
      <w:bookmarkStart w:id="3147" w:name="_Toc17403"/>
      <w:bookmarkStart w:id="3148" w:name="_Toc32065"/>
      <w:bookmarkStart w:id="3149" w:name="_Toc8645"/>
      <w:bookmarkStart w:id="3150" w:name="_Toc11780"/>
      <w:bookmarkStart w:id="3151" w:name="_Toc11146"/>
      <w:bookmarkStart w:id="3152" w:name="_Toc15150"/>
      <w:bookmarkStart w:id="3153" w:name="_Toc16669"/>
      <w:bookmarkStart w:id="3154" w:name="_Toc20939"/>
      <w:r>
        <w:rPr>
          <w:rFonts w:hint="eastAsia" w:ascii="宋体" w:hAnsi="宋体" w:eastAsia="宋体" w:cs="宋体"/>
          <w:color w:val="auto"/>
          <w:sz w:val="24"/>
          <w:szCs w:val="24"/>
          <w:highlight w:val="none"/>
        </w:rPr>
        <w:t>2.2 发包人代表</w:t>
      </w:r>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p>
    <w:p w14:paraId="095A4E27">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E19AFAE">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1A41BD2D">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A18523">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94ADB6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3BB756D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2C3FDA6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0A92B19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1B4E68">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155" w:name="_Toc28180"/>
      <w:bookmarkStart w:id="3156" w:name="_Toc555"/>
      <w:bookmarkStart w:id="3157" w:name="_Toc17906"/>
      <w:bookmarkStart w:id="3158" w:name="_Toc9792"/>
      <w:bookmarkStart w:id="3159" w:name="_Toc15632"/>
      <w:bookmarkStart w:id="3160" w:name="_Toc1266"/>
      <w:bookmarkStart w:id="3161" w:name="_Toc22839"/>
      <w:bookmarkStart w:id="3162" w:name="_Toc18099"/>
      <w:bookmarkStart w:id="3163" w:name="_Toc23313"/>
      <w:bookmarkStart w:id="3164" w:name="_Toc15595"/>
      <w:bookmarkStart w:id="3165" w:name="_Toc4946"/>
      <w:bookmarkStart w:id="3166" w:name="_Toc15519"/>
      <w:bookmarkStart w:id="3167" w:name="_Toc17492"/>
      <w:bookmarkStart w:id="3168" w:name="_Toc11617"/>
      <w:bookmarkStart w:id="3169" w:name="_Toc24287"/>
      <w:bookmarkStart w:id="3170" w:name="_Toc1631"/>
      <w:r>
        <w:rPr>
          <w:rFonts w:hint="eastAsia" w:ascii="宋体" w:hAnsi="宋体" w:eastAsia="宋体" w:cs="宋体"/>
          <w:color w:val="auto"/>
          <w:sz w:val="24"/>
          <w:szCs w:val="24"/>
          <w:highlight w:val="none"/>
        </w:rPr>
        <w:t>2.4 施工现场、施工条件和基础资料的提供</w:t>
      </w:r>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p>
    <w:p w14:paraId="12F728E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2C08059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9ED21B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2EE13FE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3EE673F">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171" w:name="_Toc7141"/>
      <w:bookmarkStart w:id="3172" w:name="_Toc15880"/>
      <w:bookmarkStart w:id="3173" w:name="_Toc21261"/>
      <w:bookmarkStart w:id="3174" w:name="_Toc28792"/>
      <w:bookmarkStart w:id="3175" w:name="_Toc29352"/>
      <w:bookmarkStart w:id="3176" w:name="_Toc27858"/>
      <w:bookmarkStart w:id="3177" w:name="_Toc7223"/>
      <w:bookmarkStart w:id="3178" w:name="_Toc29887"/>
      <w:bookmarkStart w:id="3179" w:name="_Toc3212"/>
      <w:bookmarkStart w:id="3180" w:name="_Toc1562"/>
      <w:bookmarkStart w:id="3181" w:name="_Toc20263"/>
      <w:bookmarkStart w:id="3182" w:name="_Toc3740"/>
      <w:bookmarkStart w:id="3183" w:name="_Toc14647"/>
      <w:bookmarkStart w:id="3184" w:name="_Toc7312"/>
      <w:bookmarkStart w:id="3185" w:name="_Toc15697"/>
      <w:bookmarkStart w:id="3186" w:name="_Toc14183"/>
      <w:r>
        <w:rPr>
          <w:rFonts w:hint="eastAsia" w:ascii="宋体" w:hAnsi="宋体" w:eastAsia="宋体" w:cs="宋体"/>
          <w:color w:val="auto"/>
          <w:sz w:val="24"/>
          <w:szCs w:val="24"/>
          <w:highlight w:val="none"/>
        </w:rPr>
        <w:t>2.5 资金来源证明及支付担保</w:t>
      </w:r>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p>
    <w:p w14:paraId="0EB0E6F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50611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628972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52F44618">
      <w:pPr>
        <w:pageBreakBefore w:val="0"/>
        <w:widowControl/>
        <w:tabs>
          <w:tab w:val="left" w:pos="864"/>
        </w:tabs>
        <w:kinsoku/>
        <w:wordWrap/>
        <w:overflowPunct/>
        <w:topLinePunct w:val="0"/>
        <w:bidi w:val="0"/>
        <w:spacing w:line="360" w:lineRule="auto"/>
        <w:textAlignment w:val="auto"/>
        <w:outlineLvl w:val="9"/>
        <w:rPr>
          <w:rFonts w:hint="eastAsia" w:ascii="宋体" w:hAnsi="宋体" w:eastAsia="宋体" w:cs="宋体"/>
          <w:b w:val="0"/>
          <w:bCs w:val="0"/>
          <w:color w:val="auto"/>
          <w:sz w:val="24"/>
          <w:szCs w:val="24"/>
          <w:highlight w:val="none"/>
        </w:rPr>
      </w:pPr>
      <w:bookmarkStart w:id="3187" w:name="_Toc351203635"/>
      <w:bookmarkEnd w:id="3187"/>
      <w:r>
        <w:rPr>
          <w:rFonts w:hint="eastAsia" w:ascii="宋体" w:hAnsi="宋体" w:eastAsia="宋体" w:cs="宋体"/>
          <w:b w:val="0"/>
          <w:bCs w:val="0"/>
          <w:color w:val="auto"/>
          <w:sz w:val="24"/>
          <w:szCs w:val="24"/>
          <w:highlight w:val="none"/>
        </w:rPr>
        <w:t>3</w:t>
      </w:r>
      <w:bookmarkStart w:id="3188" w:name="_Toc296346659"/>
      <w:bookmarkEnd w:id="3188"/>
      <w:bookmarkStart w:id="3189" w:name="_Toc297048344"/>
      <w:bookmarkEnd w:id="3189"/>
      <w:bookmarkStart w:id="3190" w:name="_Toc296890986"/>
      <w:bookmarkEnd w:id="3190"/>
      <w:bookmarkStart w:id="3191" w:name="_Toc296503158"/>
      <w:bookmarkEnd w:id="3191"/>
      <w:bookmarkStart w:id="3192" w:name="_Toc296347157"/>
      <w:bookmarkEnd w:id="3192"/>
      <w:bookmarkStart w:id="3193" w:name="_Toc292559868"/>
      <w:bookmarkEnd w:id="3193"/>
      <w:bookmarkStart w:id="3194" w:name="_Toc296891198"/>
      <w:bookmarkEnd w:id="3194"/>
      <w:bookmarkStart w:id="3195" w:name="_Toc296944497"/>
      <w:bookmarkEnd w:id="3195"/>
      <w:bookmarkStart w:id="3196" w:name="_Toc292559363"/>
      <w:bookmarkEnd w:id="3196"/>
      <w:bookmarkStart w:id="3197" w:name="_Toc297120458"/>
      <w:r>
        <w:rPr>
          <w:rFonts w:hint="eastAsia" w:ascii="宋体" w:hAnsi="宋体" w:eastAsia="宋体" w:cs="宋体"/>
          <w:b w:val="0"/>
          <w:bCs w:val="0"/>
          <w:color w:val="auto"/>
          <w:sz w:val="24"/>
          <w:szCs w:val="24"/>
          <w:highlight w:val="none"/>
        </w:rPr>
        <w:t>. 承包人</w:t>
      </w:r>
      <w:bookmarkEnd w:id="3197"/>
    </w:p>
    <w:p w14:paraId="3E7BECDA">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0C8A3E1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B2B026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2F3584">
      <w:pPr>
        <w:pageBreakBefore w:val="0"/>
        <w:widowControl/>
        <w:kinsoku/>
        <w:wordWrap/>
        <w:overflowPunct/>
        <w:topLinePunct w:val="0"/>
        <w:bidi w:val="0"/>
        <w:spacing w:line="360" w:lineRule="auto"/>
        <w:ind w:left="608" w:leftChars="304"/>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04B055C">
      <w:pPr>
        <w:pageBreakBefore w:val="0"/>
        <w:widowControl/>
        <w:kinsoku/>
        <w:wordWrap/>
        <w:overflowPunct/>
        <w:topLinePunct w:val="0"/>
        <w:bidi w:val="0"/>
        <w:spacing w:line="360" w:lineRule="auto"/>
        <w:ind w:left="608" w:leftChars="304"/>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E288A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BBE90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59A118B4">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1B26E62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sz w:val="24"/>
          <w:szCs w:val="24"/>
          <w:highlight w:val="none"/>
        </w:rPr>
        <w:t>项目经理：</w:t>
      </w:r>
    </w:p>
    <w:p w14:paraId="5144A09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25F8B0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60D8EC90">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A2BFDE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01314CF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0984139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03BAF3F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C4E69E9">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265CCB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4AD373B">
      <w:pPr>
        <w:pageBreakBefore w:val="0"/>
        <w:widowControl/>
        <w:kinsoku/>
        <w:wordWrap/>
        <w:overflowPunct/>
        <w:topLinePunct w:val="0"/>
        <w:bidi w:val="0"/>
        <w:spacing w:line="360" w:lineRule="auto"/>
        <w:ind w:left="960" w:leftChars="240" w:hanging="480" w:hanging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23801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关于项目经理每月在施工现场的时间要求：</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678E128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承包人未提交劳动合同，以及没有为项目经理缴纳社会保险证明的违约责任：</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                                        </w:t>
      </w:r>
      <w:r>
        <w:rPr>
          <w:rFonts w:hint="eastAsia" w:ascii="宋体" w:hAnsi="宋体" w:eastAsia="宋体" w:cs="宋体"/>
          <w:color w:val="auto"/>
          <w:sz w:val="24"/>
          <w:szCs w:val="24"/>
          <w:highlight w:val="none"/>
        </w:rPr>
        <w:t>。</w:t>
      </w:r>
    </w:p>
    <w:p w14:paraId="4FD98AB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A39F0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rPr>
        <w:t xml:space="preserve">              </w:t>
      </w:r>
    </w:p>
    <w:p w14:paraId="6E57E49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3A6C44B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198" w:name="_Toc8937"/>
      <w:bookmarkStart w:id="3199" w:name="_Toc19041"/>
      <w:bookmarkStart w:id="3200" w:name="_Toc21600"/>
      <w:bookmarkStart w:id="3201" w:name="_Toc31318"/>
      <w:bookmarkStart w:id="3202" w:name="_Toc2387"/>
      <w:bookmarkStart w:id="3203" w:name="_Toc22056"/>
      <w:bookmarkStart w:id="3204" w:name="_Toc6839"/>
      <w:bookmarkStart w:id="3205" w:name="_Toc10291"/>
      <w:bookmarkStart w:id="3206" w:name="_Toc10492"/>
      <w:bookmarkStart w:id="3207" w:name="_Toc5109"/>
      <w:bookmarkStart w:id="3208" w:name="_Toc13398"/>
      <w:bookmarkStart w:id="3209" w:name="_Toc11858"/>
      <w:bookmarkStart w:id="3210" w:name="_Toc20269"/>
      <w:bookmarkStart w:id="3211" w:name="_Toc20790"/>
      <w:bookmarkStart w:id="3212" w:name="_Toc15606"/>
      <w:bookmarkStart w:id="3213" w:name="_Toc11245"/>
      <w:r>
        <w:rPr>
          <w:rFonts w:hint="eastAsia" w:ascii="宋体" w:hAnsi="宋体" w:eastAsia="宋体" w:cs="宋体"/>
          <w:color w:val="auto"/>
          <w:sz w:val="24"/>
          <w:szCs w:val="24"/>
          <w:highlight w:val="none"/>
        </w:rPr>
        <w:t>3.2.4 承包人无正当理由拒绝更换项目经理的违约责任：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p>
    <w:p w14:paraId="63EB89EB">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18B6297F">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3635E39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w:t>
      </w:r>
    </w:p>
    <w:p w14:paraId="7A5AEA22">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AD2B049">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D7C5A4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A2A4D9C">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214" w:name="_Toc296890987"/>
      <w:bookmarkEnd w:id="3214"/>
      <w:bookmarkStart w:id="3215" w:name="_Toc297120459"/>
      <w:bookmarkEnd w:id="3215"/>
      <w:bookmarkStart w:id="3216" w:name="_Toc303539102"/>
      <w:bookmarkEnd w:id="3216"/>
      <w:bookmarkStart w:id="3217" w:name="_Toc296891199"/>
      <w:bookmarkEnd w:id="3217"/>
      <w:bookmarkStart w:id="3218" w:name="_Toc297216151"/>
      <w:bookmarkEnd w:id="3218"/>
      <w:bookmarkStart w:id="3219" w:name="_Toc297048345"/>
      <w:bookmarkEnd w:id="3219"/>
      <w:bookmarkStart w:id="3220" w:name="_Toc292559364"/>
      <w:bookmarkEnd w:id="3220"/>
      <w:bookmarkStart w:id="3221" w:name="_Toc292559869"/>
      <w:bookmarkEnd w:id="3221"/>
      <w:bookmarkStart w:id="3222" w:name="_Toc300934945"/>
      <w:bookmarkEnd w:id="3222"/>
      <w:bookmarkStart w:id="3223" w:name="_Toc296944498"/>
      <w:bookmarkEnd w:id="3223"/>
      <w:bookmarkStart w:id="3224" w:name="_Toc304295523"/>
      <w:bookmarkEnd w:id="3224"/>
      <w:bookmarkStart w:id="3225" w:name="_Toc296347158"/>
      <w:bookmarkEnd w:id="3225"/>
      <w:bookmarkStart w:id="3226" w:name="_Toc297123492"/>
      <w:bookmarkEnd w:id="3226"/>
      <w:bookmarkStart w:id="3227" w:name="_Toc296346660"/>
      <w:bookmarkEnd w:id="3227"/>
      <w:bookmarkStart w:id="3228" w:name="_Toc296503159"/>
      <w:bookmarkEnd w:id="3228"/>
      <w:bookmarkStart w:id="3229" w:name="_Toc312677988"/>
      <w:r>
        <w:rPr>
          <w:rFonts w:hint="eastAsia" w:ascii="宋体" w:hAnsi="宋体" w:eastAsia="宋体" w:cs="宋体"/>
          <w:color w:val="auto"/>
          <w:sz w:val="24"/>
          <w:szCs w:val="24"/>
          <w:highlight w:val="none"/>
        </w:rPr>
        <w:t>.5 分包</w:t>
      </w:r>
      <w:bookmarkEnd w:id="3229"/>
    </w:p>
    <w:p w14:paraId="7E4708D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230" w:name="_Toc297216152"/>
      <w:bookmarkEnd w:id="3230"/>
      <w:bookmarkStart w:id="3231" w:name="_Toc297123493"/>
      <w:bookmarkEnd w:id="3231"/>
      <w:bookmarkStart w:id="3232" w:name="_Toc296503160"/>
      <w:bookmarkEnd w:id="3232"/>
      <w:bookmarkStart w:id="3233" w:name="_Toc292559870"/>
      <w:bookmarkEnd w:id="3233"/>
      <w:bookmarkStart w:id="3234" w:name="_Toc303539103"/>
      <w:bookmarkEnd w:id="3234"/>
      <w:bookmarkStart w:id="3235" w:name="_Toc304295524"/>
      <w:bookmarkEnd w:id="3235"/>
      <w:bookmarkStart w:id="3236" w:name="_Toc296347159"/>
      <w:bookmarkEnd w:id="3236"/>
      <w:bookmarkStart w:id="3237" w:name="_Toc292559365"/>
      <w:bookmarkEnd w:id="3237"/>
      <w:bookmarkStart w:id="3238" w:name="_Toc296891200"/>
      <w:bookmarkEnd w:id="3238"/>
      <w:bookmarkStart w:id="3239" w:name="_Toc312677989"/>
      <w:bookmarkEnd w:id="3239"/>
      <w:bookmarkStart w:id="3240" w:name="_Toc296890988"/>
      <w:bookmarkEnd w:id="3240"/>
      <w:bookmarkStart w:id="3241" w:name="_Toc296346661"/>
      <w:bookmarkEnd w:id="3241"/>
      <w:bookmarkStart w:id="3242" w:name="_Toc297120460"/>
      <w:bookmarkEnd w:id="3242"/>
      <w:bookmarkStart w:id="3243" w:name="_Toc296944499"/>
      <w:bookmarkEnd w:id="3243"/>
      <w:bookmarkStart w:id="3244" w:name="_Toc300934946"/>
      <w:bookmarkEnd w:id="3244"/>
      <w:bookmarkStart w:id="3245" w:name="_Toc297048346"/>
      <w:bookmarkEnd w:id="3245"/>
      <w:bookmarkStart w:id="3246" w:name="_Toc318581158"/>
      <w:r>
        <w:rPr>
          <w:rFonts w:hint="eastAsia" w:ascii="宋体" w:hAnsi="宋体" w:eastAsia="宋体" w:cs="宋体"/>
          <w:color w:val="auto"/>
          <w:sz w:val="24"/>
          <w:szCs w:val="24"/>
          <w:highlight w:val="none"/>
        </w:rPr>
        <w:t>.5.1 分包的一般约定</w:t>
      </w:r>
      <w:bookmarkEnd w:id="3246"/>
    </w:p>
    <w:p w14:paraId="64CF016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36EEB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Start w:id="3247" w:name="_Toc297120461"/>
      <w:bookmarkEnd w:id="3247"/>
      <w:bookmarkStart w:id="3248" w:name="_Toc296891201"/>
      <w:bookmarkEnd w:id="3248"/>
      <w:bookmarkStart w:id="3249" w:name="_Toc296346662"/>
      <w:bookmarkEnd w:id="3249"/>
      <w:bookmarkStart w:id="3250" w:name="_Toc296890989"/>
      <w:bookmarkEnd w:id="3250"/>
      <w:bookmarkStart w:id="3251" w:name="_Toc296347160"/>
      <w:bookmarkEnd w:id="3251"/>
      <w:bookmarkStart w:id="3252" w:name="_Toc296503161"/>
      <w:bookmarkEnd w:id="3252"/>
      <w:bookmarkStart w:id="3253" w:name="_Toc297048347"/>
      <w:bookmarkEnd w:id="3253"/>
      <w:bookmarkStart w:id="3254" w:name="_Toc300934947"/>
      <w:bookmarkEnd w:id="3254"/>
      <w:bookmarkStart w:id="3255" w:name="_Toc297216153"/>
      <w:bookmarkEnd w:id="3255"/>
      <w:bookmarkStart w:id="3256" w:name="_Toc296944500"/>
      <w:bookmarkEnd w:id="3256"/>
      <w:bookmarkStart w:id="3257" w:name="_Toc303539104"/>
      <w:bookmarkEnd w:id="3257"/>
      <w:bookmarkStart w:id="3258" w:name="_Toc297123494"/>
      <w:bookmarkEnd w:id="3258"/>
      <w:bookmarkStart w:id="3259" w:name="_Toc304295525"/>
      <w:bookmarkEnd w:id="3259"/>
    </w:p>
    <w:p w14:paraId="49F1774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3260" w:name="_Toc312677990"/>
      <w:bookmarkEnd w:id="3260"/>
      <w:bookmarkStart w:id="3261" w:name="_Toc318581159"/>
      <w:r>
        <w:rPr>
          <w:rFonts w:hint="eastAsia" w:ascii="宋体" w:hAnsi="宋体" w:eastAsia="宋体" w:cs="宋体"/>
          <w:color w:val="auto"/>
          <w:sz w:val="24"/>
          <w:szCs w:val="24"/>
          <w:highlight w:val="none"/>
        </w:rPr>
        <w:t>.5.2分包的确定</w:t>
      </w:r>
      <w:bookmarkEnd w:id="3261"/>
    </w:p>
    <w:p w14:paraId="3700E8E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907EA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C2C0A7">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14:paraId="7F69D44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F530B0">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1475A747">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FC4ED3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4C5EB620">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31F697">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w:t>
      </w:r>
      <w:r>
        <w:rPr>
          <w:rFonts w:hint="eastAsia" w:ascii="宋体" w:hAnsi="宋体" w:eastAsia="宋体" w:cs="宋体"/>
          <w:color w:val="auto"/>
          <w:sz w:val="24"/>
          <w:szCs w:val="24"/>
          <w:highlight w:val="none"/>
          <w:lang w:eastAsia="zh-CN"/>
        </w:rPr>
        <w:t>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E82987">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262" w:name="_Toc351203636"/>
      <w:bookmarkEnd w:id="3262"/>
      <w:r>
        <w:rPr>
          <w:rFonts w:hint="eastAsia" w:ascii="宋体" w:hAnsi="宋体" w:eastAsia="宋体" w:cs="宋体"/>
          <w:b w:val="0"/>
          <w:bCs w:val="0"/>
          <w:color w:val="auto"/>
          <w:sz w:val="24"/>
          <w:szCs w:val="24"/>
          <w:highlight w:val="none"/>
        </w:rPr>
        <w:t>4</w:t>
      </w:r>
      <w:bookmarkStart w:id="3263" w:name="_Toc297048348"/>
      <w:bookmarkEnd w:id="3263"/>
      <w:bookmarkStart w:id="3264" w:name="_Toc292559871"/>
      <w:bookmarkEnd w:id="3264"/>
      <w:bookmarkStart w:id="3265" w:name="_Toc296890990"/>
      <w:bookmarkEnd w:id="3265"/>
      <w:bookmarkStart w:id="3266" w:name="_Toc267251413"/>
      <w:bookmarkEnd w:id="3266"/>
      <w:bookmarkStart w:id="3267" w:name="_Toc296347161"/>
      <w:bookmarkEnd w:id="3267"/>
      <w:bookmarkStart w:id="3268" w:name="_Toc296503162"/>
      <w:bookmarkEnd w:id="3268"/>
      <w:bookmarkStart w:id="3269" w:name="_Toc296346663"/>
      <w:bookmarkEnd w:id="3269"/>
      <w:bookmarkStart w:id="3270" w:name="_Toc296944501"/>
      <w:bookmarkEnd w:id="3270"/>
      <w:bookmarkStart w:id="3271" w:name="_Toc296891202"/>
      <w:bookmarkEnd w:id="3271"/>
      <w:bookmarkStart w:id="3272" w:name="_Toc292559366"/>
      <w:bookmarkEnd w:id="3272"/>
      <w:bookmarkStart w:id="3273" w:name="_Toc297120462"/>
      <w:r>
        <w:rPr>
          <w:rFonts w:hint="eastAsia" w:ascii="宋体" w:hAnsi="宋体" w:eastAsia="宋体" w:cs="宋体"/>
          <w:b w:val="0"/>
          <w:bCs w:val="0"/>
          <w:color w:val="auto"/>
          <w:sz w:val="24"/>
          <w:szCs w:val="24"/>
          <w:highlight w:val="none"/>
        </w:rPr>
        <w:t>. 监</w:t>
      </w:r>
      <w:bookmarkEnd w:id="3273"/>
      <w:r>
        <w:rPr>
          <w:rFonts w:hint="eastAsia" w:ascii="宋体" w:hAnsi="宋体" w:eastAsia="宋体" w:cs="宋体"/>
          <w:b w:val="0"/>
          <w:bCs w:val="0"/>
          <w:color w:val="auto"/>
          <w:sz w:val="24"/>
          <w:szCs w:val="24"/>
          <w:highlight w:val="none"/>
        </w:rPr>
        <w:t>理人</w:t>
      </w:r>
    </w:p>
    <w:p w14:paraId="6C9D5113">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1957C73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25FCC4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3066A6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p>
    <w:p w14:paraId="07E3433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66CB16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77241B6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3BF63B7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1B5AE11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487C07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3CFF2A4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83181FA">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2AF1785">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DFCE0D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F06017F">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77CFAEC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274" w:name="_Toc267251418"/>
      <w:bookmarkEnd w:id="3274"/>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28C769CD">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9D46C2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C56342">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0295959">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275" w:name="_Toc351203637"/>
      <w:bookmarkEnd w:id="3275"/>
      <w:r>
        <w:rPr>
          <w:rFonts w:hint="eastAsia" w:ascii="宋体" w:hAnsi="宋体" w:eastAsia="宋体" w:cs="宋体"/>
          <w:b w:val="0"/>
          <w:bCs w:val="0"/>
          <w:color w:val="auto"/>
          <w:sz w:val="24"/>
          <w:szCs w:val="24"/>
          <w:highlight w:val="none"/>
        </w:rPr>
        <w:t>5</w:t>
      </w:r>
      <w:bookmarkStart w:id="3276" w:name="_Toc292559367"/>
      <w:bookmarkEnd w:id="3276"/>
      <w:bookmarkStart w:id="3277" w:name="_Toc296503163"/>
      <w:bookmarkEnd w:id="3277"/>
      <w:bookmarkStart w:id="3278" w:name="_Toc292559872"/>
      <w:bookmarkEnd w:id="3278"/>
      <w:bookmarkStart w:id="3279" w:name="_Toc296347162"/>
      <w:bookmarkEnd w:id="3279"/>
      <w:bookmarkStart w:id="3280" w:name="_Toc296346664"/>
      <w:bookmarkEnd w:id="3280"/>
      <w:bookmarkStart w:id="3281" w:name="_Toc296944502"/>
      <w:bookmarkEnd w:id="3281"/>
      <w:bookmarkStart w:id="3282" w:name="_Toc297120463"/>
      <w:bookmarkEnd w:id="3282"/>
      <w:bookmarkStart w:id="3283" w:name="_Toc297048349"/>
      <w:bookmarkEnd w:id="3283"/>
      <w:bookmarkStart w:id="3284" w:name="_Toc296891203"/>
      <w:bookmarkEnd w:id="3284"/>
      <w:bookmarkStart w:id="3285" w:name="_Toc296890991"/>
      <w:r>
        <w:rPr>
          <w:rFonts w:hint="eastAsia" w:ascii="宋体" w:hAnsi="宋体" w:eastAsia="宋体" w:cs="宋体"/>
          <w:b w:val="0"/>
          <w:bCs w:val="0"/>
          <w:color w:val="auto"/>
          <w:sz w:val="24"/>
          <w:szCs w:val="24"/>
          <w:highlight w:val="none"/>
        </w:rPr>
        <w:t>. 工程质量</w:t>
      </w:r>
      <w:bookmarkEnd w:id="3285"/>
    </w:p>
    <w:p w14:paraId="746942B2">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286" w:name="_Toc908"/>
      <w:bookmarkStart w:id="3287" w:name="_Toc31636"/>
      <w:bookmarkStart w:id="3288" w:name="_Toc32737"/>
      <w:bookmarkStart w:id="3289" w:name="_Toc7733"/>
      <w:bookmarkStart w:id="3290" w:name="_Toc18959"/>
      <w:bookmarkStart w:id="3291" w:name="_Toc19779"/>
      <w:bookmarkStart w:id="3292" w:name="_Toc18819"/>
      <w:bookmarkStart w:id="3293" w:name="_Toc30857"/>
      <w:bookmarkStart w:id="3294" w:name="_Toc14992"/>
      <w:bookmarkStart w:id="3295" w:name="_Toc17258"/>
      <w:bookmarkStart w:id="3296" w:name="_Toc11824"/>
      <w:bookmarkStart w:id="3297" w:name="_Toc6857"/>
      <w:bookmarkStart w:id="3298" w:name="_Toc27153"/>
      <w:bookmarkStart w:id="3299" w:name="_Toc30870"/>
      <w:bookmarkStart w:id="3300" w:name="_Toc6646"/>
      <w:bookmarkStart w:id="3301" w:name="_Toc17738"/>
      <w:r>
        <w:rPr>
          <w:rFonts w:hint="eastAsia" w:ascii="宋体" w:hAnsi="宋体" w:eastAsia="宋体" w:cs="宋体"/>
          <w:color w:val="auto"/>
          <w:sz w:val="24"/>
          <w:szCs w:val="24"/>
          <w:highlight w:val="none"/>
        </w:rPr>
        <w:t>5.1 质量要求</w:t>
      </w:r>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p>
    <w:p w14:paraId="35C390F7">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3302" w:name="_Toc318581164"/>
      <w:bookmarkEnd w:id="3302"/>
      <w:bookmarkStart w:id="3303" w:name="_Toc297216155"/>
      <w:bookmarkEnd w:id="3303"/>
      <w:bookmarkStart w:id="3304" w:name="_Toc297123496"/>
      <w:bookmarkEnd w:id="3304"/>
      <w:bookmarkStart w:id="3305" w:name="_Toc300934949"/>
      <w:bookmarkEnd w:id="3305"/>
      <w:bookmarkStart w:id="3306" w:name="_Toc304295527"/>
      <w:bookmarkEnd w:id="3306"/>
      <w:bookmarkStart w:id="3307" w:name="_Toc312677997"/>
      <w:bookmarkEnd w:id="3307"/>
      <w:bookmarkStart w:id="3308" w:name="_Toc303539106"/>
      <w:r>
        <w:rPr>
          <w:rFonts w:hint="eastAsia" w:ascii="宋体" w:hAnsi="宋体" w:eastAsia="宋体" w:cs="宋体"/>
          <w:color w:val="auto"/>
          <w:sz w:val="24"/>
          <w:szCs w:val="24"/>
          <w:highlight w:val="none"/>
        </w:rPr>
        <w:t>.1.1 特殊质量标准和要求：</w:t>
      </w:r>
      <w:bookmarkEnd w:id="330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BAD78D">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8B4E39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309" w:name="_Toc19840"/>
      <w:bookmarkStart w:id="3310" w:name="_Toc21598"/>
      <w:bookmarkStart w:id="3311" w:name="_Toc1731"/>
      <w:bookmarkStart w:id="3312" w:name="_Toc22273"/>
      <w:bookmarkStart w:id="3313" w:name="_Toc3798"/>
      <w:bookmarkStart w:id="3314" w:name="_Toc1398"/>
      <w:bookmarkStart w:id="3315" w:name="_Toc6272"/>
      <w:bookmarkStart w:id="3316" w:name="_Toc27987"/>
      <w:bookmarkStart w:id="3317" w:name="_Toc12464"/>
      <w:bookmarkStart w:id="3318" w:name="_Toc17595"/>
      <w:bookmarkStart w:id="3319" w:name="_Toc19612"/>
      <w:bookmarkStart w:id="3320" w:name="_Toc25669"/>
      <w:bookmarkStart w:id="3321" w:name="_Toc15278"/>
      <w:bookmarkStart w:id="3322" w:name="_Toc28880"/>
      <w:bookmarkStart w:id="3323" w:name="_Toc17991"/>
      <w:bookmarkStart w:id="3324" w:name="_Toc18240"/>
      <w:r>
        <w:rPr>
          <w:rFonts w:hint="eastAsia" w:ascii="宋体" w:hAnsi="宋体" w:eastAsia="宋体" w:cs="宋体"/>
          <w:color w:val="auto"/>
          <w:sz w:val="24"/>
          <w:szCs w:val="24"/>
          <w:highlight w:val="none"/>
        </w:rPr>
        <w:t>5.3 隐蔽工程检查</w:t>
      </w:r>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p>
    <w:p w14:paraId="62ABF9BA">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0C3D52E">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3548AA8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6FEF0149">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325" w:name="_Toc351203638"/>
      <w:bookmarkEnd w:id="3325"/>
      <w:r>
        <w:rPr>
          <w:rFonts w:hint="eastAsia" w:ascii="宋体" w:hAnsi="宋体" w:eastAsia="宋体" w:cs="宋体"/>
          <w:b w:val="0"/>
          <w:bCs w:val="0"/>
          <w:color w:val="auto"/>
          <w:sz w:val="24"/>
          <w:szCs w:val="24"/>
          <w:highlight w:val="none"/>
        </w:rPr>
        <w:t>6. 安全文明施工与环境保护</w:t>
      </w:r>
    </w:p>
    <w:p w14:paraId="1FF7B775">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4CAC657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FC720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3BC70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E7698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14:paraId="2B6FDD91">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74D3CB">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52B500E">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326" w:name="_Toc351203639"/>
      <w:bookmarkEnd w:id="3326"/>
      <w:r>
        <w:rPr>
          <w:rFonts w:hint="eastAsia" w:ascii="宋体" w:hAnsi="宋体" w:eastAsia="宋体" w:cs="宋体"/>
          <w:b w:val="0"/>
          <w:bCs w:val="0"/>
          <w:color w:val="auto"/>
          <w:sz w:val="24"/>
          <w:szCs w:val="24"/>
          <w:highlight w:val="none"/>
        </w:rPr>
        <w:t>7. 工期和进度</w:t>
      </w:r>
    </w:p>
    <w:p w14:paraId="6EEDB3E6">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3A6711AC">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7.1.1 合</w:t>
      </w:r>
      <w:r>
        <w:rPr>
          <w:rFonts w:hint="eastAsia" w:ascii="宋体" w:hAnsi="宋体" w:eastAsia="宋体" w:cs="宋体"/>
          <w:color w:val="auto"/>
          <w:kern w:val="0"/>
          <w:sz w:val="24"/>
          <w:szCs w:val="24"/>
          <w:highlight w:val="none"/>
        </w:rPr>
        <w:t>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9EA65FC">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1D047E7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DFADD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CDA1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27" w:name="_Toc303539123"/>
      <w:bookmarkEnd w:id="3327"/>
      <w:bookmarkStart w:id="3328" w:name="_Toc297216173"/>
      <w:bookmarkEnd w:id="3328"/>
      <w:bookmarkStart w:id="3329" w:name="_Toc312677479"/>
      <w:bookmarkEnd w:id="3329"/>
      <w:bookmarkStart w:id="3330" w:name="_Toc312678005"/>
      <w:bookmarkEnd w:id="3330"/>
      <w:bookmarkStart w:id="3331" w:name="_Toc297123514"/>
      <w:bookmarkEnd w:id="3331"/>
      <w:bookmarkStart w:id="3332" w:name="_Toc300934966"/>
      <w:bookmarkEnd w:id="3332"/>
      <w:bookmarkStart w:id="3333" w:name="_Toc304295541"/>
      <w:r>
        <w:rPr>
          <w:rFonts w:hint="eastAsia" w:ascii="宋体" w:hAnsi="宋体" w:eastAsia="宋体" w:cs="宋体"/>
          <w:color w:val="auto"/>
          <w:sz w:val="24"/>
          <w:szCs w:val="24"/>
          <w:highlight w:val="none"/>
        </w:rPr>
        <w:t>.2 施工进度计划</w:t>
      </w:r>
      <w:bookmarkEnd w:id="3333"/>
    </w:p>
    <w:p w14:paraId="7D87BA8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16A7353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DC387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5B15559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07818224">
      <w:pPr>
        <w:pageBreakBefore w:val="0"/>
        <w:widowControl/>
        <w:kinsoku/>
        <w:wordWrap/>
        <w:overflowPunct/>
        <w:topLinePunct w:val="0"/>
        <w:bidi w:val="0"/>
        <w:spacing w:line="360" w:lineRule="auto"/>
        <w:ind w:firstLine="645"/>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w:t>
      </w:r>
      <w:r>
        <w:rPr>
          <w:rFonts w:hint="eastAsia" w:ascii="宋体" w:hAnsi="宋体" w:eastAsia="宋体" w:cs="宋体"/>
          <w:color w:val="auto"/>
          <w:kern w:val="0"/>
          <w:sz w:val="24"/>
          <w:szCs w:val="24"/>
          <w:highlight w:val="none"/>
        </w:rPr>
        <w:t>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E8C549">
      <w:pPr>
        <w:pageBreakBefore w:val="0"/>
        <w:widowControl/>
        <w:kinsoku/>
        <w:wordWrap/>
        <w:overflowPunct/>
        <w:topLinePunct w:val="0"/>
        <w:bidi w:val="0"/>
        <w:spacing w:line="360" w:lineRule="auto"/>
        <w:ind w:firstLine="64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9D904D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F8F33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485F891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p w14:paraId="36558019">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43918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89D0D9">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34" w:name="_Toc312677484"/>
      <w:bookmarkEnd w:id="3334"/>
      <w:bookmarkStart w:id="3335" w:name="_Toc297123516"/>
      <w:bookmarkEnd w:id="3335"/>
      <w:bookmarkStart w:id="3336" w:name="_Toc312678010"/>
      <w:bookmarkEnd w:id="3336"/>
      <w:bookmarkStart w:id="3337" w:name="_Toc297216175"/>
      <w:bookmarkEnd w:id="3337"/>
      <w:bookmarkStart w:id="3338" w:name="_Toc303539125"/>
      <w:bookmarkEnd w:id="3338"/>
      <w:bookmarkStart w:id="3339" w:name="_Toc304295546"/>
      <w:bookmarkEnd w:id="3339"/>
      <w:bookmarkStart w:id="3340" w:name="_Toc300934968"/>
      <w:r>
        <w:rPr>
          <w:rFonts w:hint="eastAsia" w:ascii="宋体" w:hAnsi="宋体" w:eastAsia="宋体" w:cs="宋体"/>
          <w:color w:val="auto"/>
          <w:sz w:val="24"/>
          <w:szCs w:val="24"/>
          <w:highlight w:val="none"/>
        </w:rPr>
        <w:t>.5 工期延误</w:t>
      </w:r>
      <w:bookmarkEnd w:id="3340"/>
    </w:p>
    <w:p w14:paraId="17FD50D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4A51988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71B9C4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41" w:name="_Toc297123518"/>
      <w:bookmarkEnd w:id="3341"/>
      <w:bookmarkStart w:id="3342" w:name="_Toc312677486"/>
      <w:bookmarkEnd w:id="3342"/>
      <w:bookmarkStart w:id="3343" w:name="_Toc303539127"/>
      <w:bookmarkEnd w:id="3343"/>
      <w:bookmarkStart w:id="3344" w:name="_Toc297216177"/>
      <w:bookmarkEnd w:id="3344"/>
      <w:bookmarkStart w:id="3345" w:name="_Toc304295548"/>
      <w:bookmarkEnd w:id="3345"/>
      <w:bookmarkStart w:id="3346" w:name="_Toc300934970"/>
      <w:bookmarkEnd w:id="3346"/>
      <w:bookmarkStart w:id="3347" w:name="_Toc312678012"/>
      <w:bookmarkEnd w:id="3347"/>
      <w:bookmarkStart w:id="3348" w:name="_Toc318581169"/>
      <w:r>
        <w:rPr>
          <w:rFonts w:hint="eastAsia" w:ascii="宋体" w:hAnsi="宋体" w:eastAsia="宋体" w:cs="宋体"/>
          <w:color w:val="auto"/>
          <w:sz w:val="24"/>
          <w:szCs w:val="24"/>
          <w:highlight w:val="none"/>
        </w:rPr>
        <w:t>.5.2 因承包人原因导致工期延误</w:t>
      </w:r>
      <w:bookmarkEnd w:id="3348"/>
    </w:p>
    <w:p w14:paraId="5EAC3CA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349" w:name="_Toc312677487"/>
      <w:bookmarkEnd w:id="3349"/>
      <w:bookmarkStart w:id="3350" w:name="_Toc312678013"/>
      <w:bookmarkEnd w:id="3350"/>
      <w:bookmarkStart w:id="3351" w:name="_Toc318581170"/>
      <w:r>
        <w:rPr>
          <w:rFonts w:hint="eastAsia" w:ascii="宋体" w:hAnsi="宋体" w:eastAsia="宋体" w:cs="宋体"/>
          <w:color w:val="auto"/>
          <w:sz w:val="24"/>
          <w:szCs w:val="24"/>
          <w:highlight w:val="none"/>
        </w:rPr>
        <w:t>承包人原因造成工期延误，逾期竣工违约金的计算方法为：</w:t>
      </w:r>
      <w:bookmarkEnd w:id="3351"/>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B68AF0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352" w:name="_Toc312678014"/>
      <w:bookmarkEnd w:id="3352"/>
      <w:bookmarkStart w:id="3353" w:name="_Toc318581171"/>
      <w:r>
        <w:rPr>
          <w:rFonts w:hint="eastAsia" w:ascii="宋体" w:hAnsi="宋体" w:eastAsia="宋体" w:cs="宋体"/>
          <w:color w:val="auto"/>
          <w:sz w:val="24"/>
          <w:szCs w:val="24"/>
          <w:highlight w:val="none"/>
        </w:rPr>
        <w:t>期竣工违约金的上限：</w:t>
      </w:r>
      <w:bookmarkEnd w:id="335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0AAEDFA">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54" w:name="_Toc303539128"/>
      <w:bookmarkEnd w:id="3354"/>
      <w:bookmarkStart w:id="3355" w:name="_Toc297216178"/>
      <w:bookmarkEnd w:id="3355"/>
      <w:bookmarkStart w:id="3356" w:name="_Toc300934971"/>
      <w:bookmarkEnd w:id="3356"/>
      <w:bookmarkStart w:id="3357" w:name="_Toc304295549"/>
      <w:bookmarkEnd w:id="3357"/>
      <w:bookmarkStart w:id="3358" w:name="_Toc312678015"/>
      <w:bookmarkEnd w:id="3358"/>
      <w:bookmarkStart w:id="3359" w:name="_Toc297123519"/>
      <w:r>
        <w:rPr>
          <w:rFonts w:hint="eastAsia" w:ascii="宋体" w:hAnsi="宋体" w:eastAsia="宋体" w:cs="宋体"/>
          <w:color w:val="auto"/>
          <w:sz w:val="24"/>
          <w:szCs w:val="24"/>
          <w:highlight w:val="none"/>
        </w:rPr>
        <w:t>.6 不</w:t>
      </w:r>
      <w:bookmarkEnd w:id="3359"/>
      <w:r>
        <w:rPr>
          <w:rFonts w:hint="eastAsia" w:ascii="宋体" w:hAnsi="宋体" w:eastAsia="宋体" w:cs="宋体"/>
          <w:color w:val="auto"/>
          <w:sz w:val="24"/>
          <w:szCs w:val="24"/>
          <w:highlight w:val="none"/>
        </w:rPr>
        <w:t>利物质条件</w:t>
      </w:r>
    </w:p>
    <w:p w14:paraId="285BA2C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360" w:name="_Toc297123520"/>
      <w:bookmarkEnd w:id="3360"/>
      <w:bookmarkStart w:id="3361" w:name="_Toc303539129"/>
      <w:bookmarkEnd w:id="3361"/>
      <w:bookmarkStart w:id="3362" w:name="_Toc304295550"/>
      <w:bookmarkEnd w:id="3362"/>
      <w:bookmarkStart w:id="3363" w:name="_Toc312678016"/>
      <w:bookmarkEnd w:id="3363"/>
      <w:bookmarkStart w:id="3364" w:name="_Toc297216179"/>
      <w:bookmarkEnd w:id="3364"/>
      <w:bookmarkStart w:id="3365" w:name="_Toc318581172"/>
      <w:bookmarkEnd w:id="3365"/>
      <w:bookmarkStart w:id="3366" w:name="_Toc300934972"/>
      <w:r>
        <w:rPr>
          <w:rFonts w:hint="eastAsia" w:ascii="宋体" w:hAnsi="宋体" w:eastAsia="宋体" w:cs="宋体"/>
          <w:color w:val="auto"/>
          <w:sz w:val="24"/>
          <w:szCs w:val="24"/>
          <w:highlight w:val="none"/>
        </w:rPr>
        <w:t>不利物质条件的其他情形和有关约定：</w:t>
      </w:r>
      <w:bookmarkEnd w:id="33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40D30B">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67" w:name="_Toc297216180"/>
      <w:bookmarkEnd w:id="3367"/>
      <w:bookmarkStart w:id="3368" w:name="_Toc297123521"/>
      <w:bookmarkEnd w:id="3368"/>
      <w:bookmarkStart w:id="3369" w:name="_Toc300934973"/>
      <w:bookmarkEnd w:id="3369"/>
      <w:bookmarkStart w:id="3370" w:name="_Toc304295551"/>
      <w:bookmarkEnd w:id="3370"/>
      <w:bookmarkStart w:id="3371" w:name="_Toc312678017"/>
      <w:bookmarkEnd w:id="3371"/>
      <w:bookmarkStart w:id="3372" w:name="_Toc303539130"/>
      <w:r>
        <w:rPr>
          <w:rFonts w:hint="eastAsia" w:ascii="宋体" w:hAnsi="宋体" w:eastAsia="宋体" w:cs="宋体"/>
          <w:color w:val="auto"/>
          <w:sz w:val="24"/>
          <w:szCs w:val="24"/>
          <w:highlight w:val="none"/>
        </w:rPr>
        <w:t>.7异常恶劣的气候条件</w:t>
      </w:r>
      <w:bookmarkEnd w:id="3372"/>
    </w:p>
    <w:p w14:paraId="4A71619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56A9EC3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C3867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69C874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2002EA">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373" w:name="_Toc24672"/>
      <w:bookmarkStart w:id="3374" w:name="_Toc6447"/>
      <w:bookmarkStart w:id="3375" w:name="_Toc25334"/>
      <w:bookmarkStart w:id="3376" w:name="_Toc15053"/>
      <w:bookmarkStart w:id="3377" w:name="_Toc9025"/>
      <w:bookmarkStart w:id="3378" w:name="_Toc18263"/>
      <w:bookmarkStart w:id="3379" w:name="_Toc21102"/>
      <w:bookmarkStart w:id="3380" w:name="_Toc24989"/>
      <w:bookmarkStart w:id="3381" w:name="_Toc17762"/>
      <w:bookmarkStart w:id="3382" w:name="_Toc5153"/>
      <w:bookmarkStart w:id="3383" w:name="_Toc17156"/>
      <w:bookmarkStart w:id="3384" w:name="_Toc10261"/>
      <w:bookmarkStart w:id="3385" w:name="_Toc23282"/>
      <w:bookmarkStart w:id="3386" w:name="_Toc18449"/>
      <w:bookmarkStart w:id="3387" w:name="_Toc9371"/>
      <w:bookmarkStart w:id="3388" w:name="_Toc31971"/>
      <w:r>
        <w:rPr>
          <w:rFonts w:hint="eastAsia" w:ascii="宋体" w:hAnsi="宋体" w:eastAsia="宋体" w:cs="宋体"/>
          <w:color w:val="auto"/>
          <w:sz w:val="24"/>
          <w:szCs w:val="24"/>
          <w:highlight w:val="none"/>
        </w:rPr>
        <w:t>7.9 提前竣工的奖励</w:t>
      </w:r>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p>
    <w:p w14:paraId="226ED9C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044040E">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389" w:name="_Toc351203640"/>
      <w:bookmarkEnd w:id="3389"/>
      <w:r>
        <w:rPr>
          <w:rFonts w:hint="eastAsia" w:ascii="宋体" w:hAnsi="宋体" w:eastAsia="宋体" w:cs="宋体"/>
          <w:b w:val="0"/>
          <w:bCs w:val="0"/>
          <w:color w:val="auto"/>
          <w:sz w:val="24"/>
          <w:szCs w:val="24"/>
          <w:highlight w:val="none"/>
        </w:rPr>
        <w:t>8. 材料与设备</w:t>
      </w:r>
    </w:p>
    <w:p w14:paraId="2253FD7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390" w:name="_Toc267251424"/>
      <w:bookmarkEnd w:id="3390"/>
      <w:bookmarkStart w:id="3391" w:name="_Toc292559372"/>
      <w:bookmarkEnd w:id="3391"/>
      <w:bookmarkStart w:id="3392" w:name="_Toc296944506"/>
      <w:bookmarkEnd w:id="3392"/>
      <w:bookmarkStart w:id="3393" w:name="_Toc296891207"/>
      <w:bookmarkEnd w:id="3393"/>
      <w:bookmarkStart w:id="3394" w:name="_Toc297048353"/>
      <w:bookmarkEnd w:id="3394"/>
      <w:bookmarkStart w:id="3395" w:name="_Toc296347166"/>
      <w:bookmarkEnd w:id="3395"/>
      <w:bookmarkStart w:id="3396" w:name="_Toc312677493"/>
      <w:bookmarkEnd w:id="3396"/>
      <w:bookmarkStart w:id="3397" w:name="_Toc303539136"/>
      <w:bookmarkEnd w:id="3397"/>
      <w:bookmarkStart w:id="3398" w:name="_Toc296890995"/>
      <w:bookmarkEnd w:id="3398"/>
      <w:bookmarkStart w:id="3399" w:name="_Toc297120467"/>
      <w:bookmarkEnd w:id="3399"/>
      <w:bookmarkStart w:id="3400" w:name="_Toc297216186"/>
      <w:bookmarkEnd w:id="3400"/>
      <w:bookmarkStart w:id="3401" w:name="_Toc300934979"/>
      <w:bookmarkEnd w:id="3401"/>
      <w:bookmarkStart w:id="3402" w:name="_Toc296346668"/>
      <w:bookmarkEnd w:id="3402"/>
      <w:bookmarkStart w:id="3403" w:name="_Toc280868654"/>
      <w:bookmarkEnd w:id="3403"/>
      <w:bookmarkStart w:id="3404" w:name="_Toc292559877"/>
      <w:bookmarkEnd w:id="3404"/>
      <w:bookmarkStart w:id="3405" w:name="_Toc280868656"/>
      <w:bookmarkEnd w:id="3405"/>
      <w:bookmarkStart w:id="3406" w:name="_Toc304295556"/>
      <w:bookmarkEnd w:id="3406"/>
      <w:bookmarkStart w:id="3407" w:name="_Toc296503167"/>
      <w:bookmarkEnd w:id="3407"/>
      <w:bookmarkStart w:id="3408" w:name="_Toc312678019"/>
      <w:bookmarkEnd w:id="3408"/>
      <w:bookmarkStart w:id="3409" w:name="_Toc297123527"/>
      <w:bookmarkEnd w:id="3409"/>
      <w:bookmarkStart w:id="3410" w:name="_Toc280868655"/>
      <w:r>
        <w:rPr>
          <w:rFonts w:hint="eastAsia" w:ascii="宋体" w:hAnsi="宋体" w:eastAsia="宋体" w:cs="宋体"/>
          <w:color w:val="auto"/>
          <w:sz w:val="24"/>
          <w:szCs w:val="24"/>
          <w:highlight w:val="none"/>
        </w:rPr>
        <w:t>.4材料与工程设备的保管与使用</w:t>
      </w:r>
      <w:bookmarkEnd w:id="3410"/>
    </w:p>
    <w:p w14:paraId="3BCC2F9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w:t>
      </w:r>
      <w:bookmarkStart w:id="3411" w:name="_Toc297120468"/>
      <w:bookmarkEnd w:id="3411"/>
      <w:bookmarkStart w:id="3412" w:name="_Toc303539137"/>
      <w:bookmarkEnd w:id="3412"/>
      <w:bookmarkStart w:id="3413" w:name="_Toc312678020"/>
      <w:bookmarkEnd w:id="3413"/>
      <w:bookmarkStart w:id="3414" w:name="_Toc297048354"/>
      <w:bookmarkEnd w:id="3414"/>
      <w:bookmarkStart w:id="3415" w:name="_Toc292559878"/>
      <w:bookmarkEnd w:id="3415"/>
      <w:bookmarkStart w:id="3416" w:name="_Toc292559373"/>
      <w:bookmarkEnd w:id="3416"/>
      <w:bookmarkStart w:id="3417" w:name="_Toc312677494"/>
      <w:bookmarkEnd w:id="3417"/>
      <w:bookmarkStart w:id="3418" w:name="_Toc296890996"/>
      <w:bookmarkEnd w:id="3418"/>
      <w:bookmarkStart w:id="3419" w:name="_Toc296891208"/>
      <w:bookmarkEnd w:id="3419"/>
      <w:bookmarkStart w:id="3420" w:name="_Toc296944507"/>
      <w:bookmarkEnd w:id="3420"/>
      <w:bookmarkStart w:id="3421" w:name="_Toc318581173"/>
      <w:bookmarkEnd w:id="3421"/>
      <w:bookmarkStart w:id="3422" w:name="_Toc296503168"/>
      <w:bookmarkEnd w:id="3422"/>
      <w:bookmarkStart w:id="3423" w:name="_Toc296347167"/>
      <w:bookmarkEnd w:id="3423"/>
      <w:bookmarkStart w:id="3424" w:name="_Toc297216187"/>
      <w:bookmarkEnd w:id="3424"/>
      <w:bookmarkStart w:id="3425" w:name="_Toc300934980"/>
      <w:bookmarkEnd w:id="3425"/>
      <w:bookmarkStart w:id="3426" w:name="_Toc296346669"/>
      <w:bookmarkEnd w:id="3426"/>
      <w:bookmarkStart w:id="3427" w:name="_Toc297123528"/>
      <w:bookmarkEnd w:id="3427"/>
      <w:bookmarkStart w:id="3428" w:name="_Toc304295557"/>
      <w:r>
        <w:rPr>
          <w:rFonts w:hint="eastAsia" w:ascii="宋体" w:hAnsi="宋体" w:eastAsia="宋体" w:cs="宋体"/>
          <w:color w:val="auto"/>
          <w:sz w:val="24"/>
          <w:szCs w:val="24"/>
          <w:highlight w:val="none"/>
        </w:rPr>
        <w:t>.4.1发包人供应的材料设备的保管费用的承担：</w:t>
      </w:r>
      <w:bookmarkEnd w:id="3428"/>
      <w:r>
        <w:rPr>
          <w:rFonts w:hint="eastAsia" w:ascii="宋体" w:hAnsi="宋体" w:eastAsia="宋体" w:cs="宋体"/>
          <w:color w:val="auto"/>
          <w:sz w:val="24"/>
          <w:szCs w:val="24"/>
          <w:highlight w:val="none"/>
          <w:u w:val="single"/>
        </w:rPr>
        <w:t xml:space="preserve">            </w:t>
      </w:r>
    </w:p>
    <w:p w14:paraId="66935D24">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5735E106">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429" w:name="_Toc27512"/>
      <w:bookmarkStart w:id="3430" w:name="_Toc18264"/>
      <w:bookmarkStart w:id="3431" w:name="_Toc13201"/>
      <w:bookmarkStart w:id="3432" w:name="_Toc28908"/>
      <w:bookmarkStart w:id="3433" w:name="_Toc29601"/>
      <w:bookmarkStart w:id="3434" w:name="_Toc719"/>
      <w:bookmarkStart w:id="3435" w:name="_Toc2033"/>
      <w:bookmarkStart w:id="3436" w:name="_Toc4483"/>
      <w:bookmarkStart w:id="3437" w:name="_Toc19473"/>
      <w:bookmarkStart w:id="3438" w:name="_Toc21800"/>
      <w:bookmarkStart w:id="3439" w:name="_Toc5594"/>
      <w:bookmarkStart w:id="3440" w:name="_Toc25435"/>
      <w:bookmarkStart w:id="3441" w:name="_Toc25037"/>
      <w:bookmarkStart w:id="3442" w:name="_Toc13323"/>
      <w:bookmarkStart w:id="3443" w:name="_Toc1566"/>
      <w:r>
        <w:rPr>
          <w:rFonts w:hint="eastAsia" w:ascii="宋体" w:hAnsi="宋体" w:eastAsia="宋体" w:cs="宋体"/>
          <w:color w:val="auto"/>
          <w:sz w:val="24"/>
          <w:szCs w:val="24"/>
          <w:highlight w:val="none"/>
        </w:rPr>
        <w:t>8.6 样品</w:t>
      </w:r>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p>
    <w:p w14:paraId="3EFA7B74">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557F4DA9">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p>
    <w:p w14:paraId="11783E32">
      <w:pPr>
        <w:pageBreakBefore w:val="0"/>
        <w:widowControl/>
        <w:kinsoku/>
        <w:wordWrap/>
        <w:overflowPunct/>
        <w:topLinePunct w:val="0"/>
        <w:autoSpaceDE w:val="0"/>
        <w:autoSpaceDN w:val="0"/>
        <w:bidi w:val="0"/>
        <w:adjustRightInd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2D37B0FE">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444" w:name="_Toc2006"/>
      <w:bookmarkStart w:id="3445" w:name="_Toc4468"/>
      <w:bookmarkStart w:id="3446" w:name="_Toc113"/>
      <w:bookmarkStart w:id="3447" w:name="_Toc29593"/>
      <w:bookmarkStart w:id="3448" w:name="_Toc13534"/>
      <w:bookmarkStart w:id="3449" w:name="_Toc12175"/>
      <w:bookmarkStart w:id="3450" w:name="_Toc2322"/>
      <w:bookmarkStart w:id="3451" w:name="_Toc13921"/>
      <w:bookmarkStart w:id="3452" w:name="_Toc15103"/>
      <w:bookmarkStart w:id="3453" w:name="_Toc8697"/>
      <w:bookmarkStart w:id="3454" w:name="_Toc6504"/>
      <w:bookmarkStart w:id="3455" w:name="_Toc231"/>
      <w:bookmarkStart w:id="3456" w:name="_Toc8844"/>
      <w:bookmarkStart w:id="3457" w:name="_Toc24156"/>
      <w:bookmarkStart w:id="3458" w:name="_Toc7666"/>
      <w:bookmarkStart w:id="3459" w:name="_Toc22163"/>
      <w:r>
        <w:rPr>
          <w:rFonts w:hint="eastAsia" w:ascii="宋体" w:hAnsi="宋体" w:eastAsia="宋体" w:cs="宋体"/>
          <w:color w:val="auto"/>
          <w:sz w:val="24"/>
          <w:szCs w:val="24"/>
          <w:highlight w:val="none"/>
        </w:rPr>
        <w:t>8.8 施工设备和临时设施</w:t>
      </w:r>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p>
    <w:p w14:paraId="41CAB9E6">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25D9BB87">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C47582">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460" w:name="_Toc351203641"/>
      <w:bookmarkEnd w:id="3460"/>
      <w:r>
        <w:rPr>
          <w:rFonts w:hint="eastAsia" w:ascii="宋体" w:hAnsi="宋体" w:eastAsia="宋体" w:cs="宋体"/>
          <w:b w:val="0"/>
          <w:bCs w:val="0"/>
          <w:color w:val="auto"/>
          <w:sz w:val="24"/>
          <w:szCs w:val="24"/>
          <w:highlight w:val="none"/>
        </w:rPr>
        <w:t>9</w:t>
      </w:r>
      <w:bookmarkStart w:id="3461" w:name="_Toc304295559"/>
      <w:bookmarkEnd w:id="3461"/>
      <w:bookmarkStart w:id="3462" w:name="_Toc300934982"/>
      <w:bookmarkEnd w:id="3462"/>
      <w:bookmarkStart w:id="3463" w:name="_Toc292559378"/>
      <w:bookmarkEnd w:id="3463"/>
      <w:bookmarkStart w:id="3464" w:name="_Toc296891213"/>
      <w:bookmarkEnd w:id="3464"/>
      <w:bookmarkStart w:id="3465" w:name="_Toc267251428"/>
      <w:bookmarkEnd w:id="3465"/>
      <w:bookmarkStart w:id="3466" w:name="_Toc296347172"/>
      <w:bookmarkEnd w:id="3466"/>
      <w:bookmarkStart w:id="3467" w:name="_Toc267251427"/>
      <w:bookmarkEnd w:id="3467"/>
      <w:bookmarkStart w:id="3468" w:name="_Toc296944512"/>
      <w:bookmarkEnd w:id="3468"/>
      <w:bookmarkStart w:id="3469" w:name="_Toc312678021"/>
      <w:bookmarkEnd w:id="3469"/>
      <w:bookmarkStart w:id="3470" w:name="_Toc297120473"/>
      <w:bookmarkEnd w:id="3470"/>
      <w:bookmarkStart w:id="3471" w:name="_Toc303539139"/>
      <w:bookmarkEnd w:id="3471"/>
      <w:bookmarkStart w:id="3472" w:name="_Toc297216192"/>
      <w:bookmarkEnd w:id="3472"/>
      <w:bookmarkStart w:id="3473" w:name="_Toc297048359"/>
      <w:bookmarkEnd w:id="3473"/>
      <w:bookmarkStart w:id="3474" w:name="_Toc297123533"/>
      <w:bookmarkEnd w:id="3474"/>
      <w:bookmarkStart w:id="3475" w:name="_Toc296346674"/>
      <w:bookmarkEnd w:id="3475"/>
      <w:bookmarkStart w:id="3476" w:name="_Toc312677495"/>
      <w:bookmarkEnd w:id="3476"/>
      <w:bookmarkStart w:id="3477" w:name="_Toc296891001"/>
      <w:bookmarkEnd w:id="3477"/>
      <w:bookmarkStart w:id="3478" w:name="_Toc292559883"/>
      <w:bookmarkEnd w:id="3478"/>
      <w:bookmarkStart w:id="3479" w:name="_Toc296503173"/>
      <w:r>
        <w:rPr>
          <w:rFonts w:hint="eastAsia" w:ascii="宋体" w:hAnsi="宋体" w:eastAsia="宋体" w:cs="宋体"/>
          <w:b w:val="0"/>
          <w:bCs w:val="0"/>
          <w:color w:val="auto"/>
          <w:sz w:val="24"/>
          <w:szCs w:val="24"/>
          <w:highlight w:val="none"/>
        </w:rPr>
        <w:t>. 试验与检验</w:t>
      </w:r>
      <w:bookmarkEnd w:id="3479"/>
    </w:p>
    <w:p w14:paraId="68CC8A98">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3480" w:name="_Toc303539140"/>
      <w:bookmarkEnd w:id="3480"/>
      <w:bookmarkStart w:id="3481" w:name="_Toc297123534"/>
      <w:bookmarkEnd w:id="3481"/>
      <w:bookmarkStart w:id="3482" w:name="_Toc300934983"/>
      <w:bookmarkEnd w:id="3482"/>
      <w:bookmarkStart w:id="3483" w:name="_Toc312677496"/>
      <w:bookmarkEnd w:id="3483"/>
      <w:bookmarkStart w:id="3484" w:name="_Toc312678022"/>
      <w:bookmarkEnd w:id="3484"/>
      <w:bookmarkStart w:id="3485" w:name="_Toc297216193"/>
      <w:bookmarkEnd w:id="3485"/>
      <w:bookmarkStart w:id="3486" w:name="_Toc304295560"/>
      <w:r>
        <w:rPr>
          <w:rFonts w:hint="eastAsia" w:ascii="宋体" w:hAnsi="宋体" w:eastAsia="宋体" w:cs="宋体"/>
          <w:color w:val="auto"/>
          <w:sz w:val="24"/>
          <w:szCs w:val="24"/>
          <w:highlight w:val="none"/>
        </w:rPr>
        <w:t>.1试验设备与试验人员</w:t>
      </w:r>
      <w:bookmarkEnd w:id="3486"/>
    </w:p>
    <w:p w14:paraId="2A5FB2B4">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3487" w:name="_Toc304295561"/>
      <w:bookmarkEnd w:id="3487"/>
      <w:bookmarkStart w:id="3488" w:name="_Toc297123535"/>
      <w:bookmarkEnd w:id="3488"/>
      <w:bookmarkStart w:id="3489" w:name="_Toc297216194"/>
      <w:bookmarkEnd w:id="3489"/>
      <w:bookmarkStart w:id="3490" w:name="_Toc312678023"/>
      <w:bookmarkEnd w:id="3490"/>
      <w:bookmarkStart w:id="3491" w:name="_Toc303539141"/>
      <w:bookmarkEnd w:id="3491"/>
      <w:bookmarkStart w:id="3492" w:name="_Toc300934984"/>
      <w:bookmarkEnd w:id="3492"/>
      <w:bookmarkStart w:id="3493" w:name="_Toc312677497"/>
      <w:bookmarkEnd w:id="3493"/>
      <w:bookmarkStart w:id="3494" w:name="_Toc318581174"/>
      <w:r>
        <w:rPr>
          <w:rFonts w:hint="eastAsia" w:ascii="宋体" w:hAnsi="宋体" w:eastAsia="宋体" w:cs="宋体"/>
          <w:color w:val="auto"/>
          <w:sz w:val="24"/>
          <w:szCs w:val="24"/>
          <w:highlight w:val="none"/>
        </w:rPr>
        <w:t>.1.2 试验设备</w:t>
      </w:r>
      <w:bookmarkEnd w:id="3494"/>
    </w:p>
    <w:p w14:paraId="193DB2CD">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Start w:id="3495" w:name="_Toc297216195"/>
      <w:bookmarkEnd w:id="3495"/>
      <w:bookmarkStart w:id="3496" w:name="_Toc312678024"/>
      <w:bookmarkEnd w:id="3496"/>
      <w:bookmarkStart w:id="3497" w:name="_Toc303539142"/>
      <w:bookmarkEnd w:id="3497"/>
      <w:bookmarkStart w:id="3498" w:name="_Toc300934985"/>
      <w:bookmarkEnd w:id="3498"/>
      <w:bookmarkStart w:id="3499" w:name="_Toc304295562"/>
      <w:bookmarkEnd w:id="3499"/>
      <w:bookmarkStart w:id="3500" w:name="_Toc312677498"/>
      <w:bookmarkEnd w:id="3500"/>
      <w:bookmarkStart w:id="3501" w:name="_Toc297123536"/>
      <w:bookmarkEnd w:id="350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298F5B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25230A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A9D1597">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502" w:name="_Toc5"/>
      <w:bookmarkStart w:id="3503" w:name="_Toc22446"/>
      <w:bookmarkStart w:id="3504" w:name="_Toc18935"/>
      <w:bookmarkStart w:id="3505" w:name="_Toc4607"/>
      <w:bookmarkStart w:id="3506" w:name="_Toc20148"/>
      <w:bookmarkStart w:id="3507" w:name="_Toc26113"/>
      <w:bookmarkStart w:id="3508" w:name="_Toc30236"/>
      <w:bookmarkStart w:id="3509" w:name="_Toc2273"/>
      <w:bookmarkStart w:id="3510" w:name="_Toc16091"/>
      <w:bookmarkStart w:id="3511" w:name="_Toc23336"/>
      <w:bookmarkStart w:id="3512" w:name="_Toc31392"/>
      <w:bookmarkStart w:id="3513" w:name="_Toc22018"/>
      <w:bookmarkStart w:id="3514" w:name="_Toc30200"/>
      <w:bookmarkStart w:id="3515" w:name="_Toc12959"/>
      <w:bookmarkStart w:id="3516" w:name="_Toc14560"/>
      <w:bookmarkStart w:id="3517" w:name="_Toc26429"/>
      <w:r>
        <w:rPr>
          <w:rFonts w:hint="eastAsia" w:ascii="宋体" w:hAnsi="宋体" w:eastAsia="宋体" w:cs="宋体"/>
          <w:color w:val="auto"/>
          <w:sz w:val="24"/>
          <w:szCs w:val="24"/>
          <w:highlight w:val="none"/>
        </w:rPr>
        <w:t>9.4 现场工艺试验</w:t>
      </w:r>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r>
        <w:rPr>
          <w:rFonts w:hint="eastAsia" w:ascii="宋体" w:hAnsi="宋体" w:eastAsia="宋体" w:cs="宋体"/>
          <w:color w:val="auto"/>
          <w:sz w:val="24"/>
          <w:szCs w:val="24"/>
          <w:highlight w:val="none"/>
        </w:rPr>
        <w:t xml:space="preserve"> </w:t>
      </w:r>
    </w:p>
    <w:p w14:paraId="20F4010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2273469">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518" w:name="_Toc351203642"/>
      <w:bookmarkEnd w:id="3518"/>
      <w:r>
        <w:rPr>
          <w:rFonts w:hint="eastAsia" w:ascii="宋体" w:hAnsi="宋体" w:eastAsia="宋体" w:cs="宋体"/>
          <w:b w:val="0"/>
          <w:bCs w:val="0"/>
          <w:color w:val="auto"/>
          <w:sz w:val="24"/>
          <w:szCs w:val="24"/>
          <w:highlight w:val="none"/>
        </w:rPr>
        <w:t>1</w:t>
      </w:r>
      <w:bookmarkStart w:id="3519" w:name="_Toc267251437"/>
      <w:bookmarkEnd w:id="3519"/>
      <w:bookmarkStart w:id="3520" w:name="_Toc267251435"/>
      <w:bookmarkEnd w:id="3520"/>
      <w:bookmarkStart w:id="3521" w:name="_Toc267251433"/>
      <w:bookmarkEnd w:id="3521"/>
      <w:bookmarkStart w:id="3522" w:name="_Toc297048379"/>
      <w:bookmarkEnd w:id="3522"/>
      <w:bookmarkStart w:id="3523" w:name="_Toc296891021"/>
      <w:bookmarkEnd w:id="3523"/>
      <w:bookmarkStart w:id="3524" w:name="_Toc267251442"/>
      <w:bookmarkEnd w:id="3524"/>
      <w:bookmarkStart w:id="3525" w:name="_Toc267251441"/>
      <w:bookmarkEnd w:id="3525"/>
      <w:bookmarkStart w:id="3526" w:name="_Toc296944532"/>
      <w:bookmarkEnd w:id="3526"/>
      <w:bookmarkStart w:id="3527" w:name="_Toc296503193"/>
      <w:bookmarkEnd w:id="3527"/>
      <w:bookmarkStart w:id="3528" w:name="_Toc292559398"/>
      <w:bookmarkEnd w:id="3528"/>
      <w:bookmarkStart w:id="3529" w:name="_Toc296891233"/>
      <w:bookmarkEnd w:id="3529"/>
      <w:bookmarkStart w:id="3530" w:name="_Toc267251439"/>
      <w:bookmarkEnd w:id="3530"/>
      <w:bookmarkStart w:id="3531" w:name="_Toc312677499"/>
      <w:bookmarkEnd w:id="3531"/>
      <w:bookmarkStart w:id="3532" w:name="_Toc297123540"/>
      <w:bookmarkEnd w:id="3532"/>
      <w:bookmarkStart w:id="3533" w:name="_Toc303539146"/>
      <w:bookmarkEnd w:id="3533"/>
      <w:bookmarkStart w:id="3534" w:name="_Toc297216199"/>
      <w:bookmarkEnd w:id="3534"/>
      <w:bookmarkStart w:id="3535" w:name="_Toc304295566"/>
      <w:bookmarkEnd w:id="3535"/>
      <w:bookmarkStart w:id="3536" w:name="_Toc300934989"/>
      <w:bookmarkEnd w:id="3536"/>
      <w:bookmarkStart w:id="3537" w:name="_Toc297120493"/>
      <w:bookmarkEnd w:id="3537"/>
      <w:bookmarkStart w:id="3538" w:name="_Toc296346694"/>
      <w:bookmarkEnd w:id="3538"/>
      <w:bookmarkStart w:id="3539" w:name="_Toc296347192"/>
      <w:bookmarkEnd w:id="3539"/>
      <w:bookmarkStart w:id="3540" w:name="_Toc292559903"/>
      <w:bookmarkEnd w:id="3540"/>
      <w:bookmarkStart w:id="3541" w:name="_Toc312678025"/>
      <w:bookmarkEnd w:id="3541"/>
      <w:bookmarkStart w:id="3542" w:name="_Toc267251440"/>
      <w:r>
        <w:rPr>
          <w:rFonts w:hint="eastAsia" w:ascii="宋体" w:hAnsi="宋体" w:eastAsia="宋体" w:cs="宋体"/>
          <w:b w:val="0"/>
          <w:bCs w:val="0"/>
          <w:color w:val="auto"/>
          <w:sz w:val="24"/>
          <w:szCs w:val="24"/>
          <w:highlight w:val="none"/>
        </w:rPr>
        <w:t>0. 变更</w:t>
      </w:r>
      <w:bookmarkEnd w:id="3542"/>
    </w:p>
    <w:p w14:paraId="7102FE41">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543" w:name="_Toc312678026"/>
      <w:bookmarkEnd w:id="3543"/>
      <w:bookmarkStart w:id="3544" w:name="_Toc296347193"/>
      <w:bookmarkEnd w:id="3544"/>
      <w:bookmarkStart w:id="3545" w:name="_Toc296503194"/>
      <w:bookmarkEnd w:id="3545"/>
      <w:bookmarkStart w:id="3546" w:name="_Toc303539147"/>
      <w:bookmarkEnd w:id="3546"/>
      <w:bookmarkStart w:id="3547" w:name="_Toc296944533"/>
      <w:bookmarkEnd w:id="3547"/>
      <w:bookmarkStart w:id="3548" w:name="_Toc304295567"/>
      <w:bookmarkEnd w:id="3548"/>
      <w:bookmarkStart w:id="3549" w:name="_Toc297120494"/>
      <w:bookmarkEnd w:id="3549"/>
      <w:bookmarkStart w:id="3550" w:name="_Toc296891234"/>
      <w:bookmarkEnd w:id="3550"/>
      <w:bookmarkStart w:id="3551" w:name="_Toc296346695"/>
      <w:bookmarkEnd w:id="3551"/>
      <w:bookmarkStart w:id="3552" w:name="_Toc312677500"/>
      <w:bookmarkEnd w:id="3552"/>
      <w:bookmarkStart w:id="3553" w:name="_Toc296891022"/>
      <w:bookmarkEnd w:id="3553"/>
      <w:bookmarkStart w:id="3554" w:name="_Toc292559904"/>
      <w:bookmarkEnd w:id="3554"/>
      <w:bookmarkStart w:id="3555" w:name="_Toc300934990"/>
      <w:bookmarkEnd w:id="3555"/>
      <w:bookmarkStart w:id="3556" w:name="_Toc292559399"/>
      <w:bookmarkEnd w:id="3556"/>
      <w:bookmarkStart w:id="3557" w:name="_Toc297216200"/>
      <w:bookmarkEnd w:id="3557"/>
      <w:bookmarkStart w:id="3558" w:name="_Toc297123541"/>
      <w:bookmarkEnd w:id="3558"/>
      <w:bookmarkStart w:id="3559" w:name="_Toc297048380"/>
      <w:r>
        <w:rPr>
          <w:rFonts w:hint="eastAsia" w:ascii="宋体" w:hAnsi="宋体" w:eastAsia="宋体" w:cs="宋体"/>
          <w:color w:val="auto"/>
          <w:sz w:val="24"/>
          <w:szCs w:val="24"/>
          <w:highlight w:val="none"/>
        </w:rPr>
        <w:t>0.1变更的范围</w:t>
      </w:r>
      <w:bookmarkEnd w:id="3559"/>
    </w:p>
    <w:p w14:paraId="3614594E">
      <w:pPr>
        <w:pageBreakBefore w:val="0"/>
        <w:widowControl/>
        <w:kinsoku/>
        <w:wordWrap/>
        <w:overflowPunct/>
        <w:topLinePunct w:val="0"/>
        <w:autoSpaceDE/>
        <w:autoSpaceDN/>
        <w:bidi w:val="0"/>
        <w:adjustRightInd/>
        <w:snapToGrid/>
        <w:spacing w:line="360" w:lineRule="auto"/>
        <w:ind w:firstLine="6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3A7A2C">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560" w:name="_Toc13704"/>
      <w:bookmarkStart w:id="3561" w:name="_Toc4120"/>
      <w:bookmarkStart w:id="3562" w:name="_Toc31026"/>
      <w:bookmarkStart w:id="3563" w:name="_Toc6098"/>
      <w:bookmarkStart w:id="3564" w:name="_Toc16083"/>
      <w:bookmarkStart w:id="3565" w:name="_Toc32405"/>
      <w:bookmarkStart w:id="3566" w:name="_Toc21227"/>
      <w:bookmarkStart w:id="3567" w:name="_Toc1799"/>
      <w:bookmarkStart w:id="3568" w:name="_Toc7513"/>
      <w:bookmarkStart w:id="3569" w:name="_Toc32607"/>
      <w:bookmarkStart w:id="3570" w:name="_Toc14169"/>
      <w:bookmarkStart w:id="3571" w:name="_Toc10720"/>
      <w:bookmarkStart w:id="3572" w:name="_Toc18199"/>
      <w:bookmarkStart w:id="3573" w:name="_Toc2027"/>
      <w:bookmarkStart w:id="3574" w:name="_Toc10462"/>
      <w:r>
        <w:rPr>
          <w:rFonts w:hint="eastAsia" w:ascii="宋体" w:hAnsi="宋体" w:eastAsia="宋体" w:cs="宋体"/>
          <w:color w:val="auto"/>
          <w:sz w:val="24"/>
          <w:szCs w:val="24"/>
          <w:highlight w:val="none"/>
        </w:rPr>
        <w:t>10.4 变更估价</w:t>
      </w:r>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p>
    <w:p w14:paraId="50C587A6">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10.4.1 变更估价原则</w:t>
      </w:r>
    </w:p>
    <w:p w14:paraId="69718F16">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457EC8D">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575" w:name="_Toc312677503"/>
      <w:bookmarkEnd w:id="3575"/>
      <w:bookmarkStart w:id="3576" w:name="_Toc303539150"/>
      <w:bookmarkEnd w:id="3576"/>
      <w:bookmarkStart w:id="3577" w:name="_Toc292559907"/>
      <w:bookmarkEnd w:id="3577"/>
      <w:bookmarkStart w:id="3578" w:name="_Toc312678029"/>
      <w:bookmarkEnd w:id="3578"/>
      <w:bookmarkStart w:id="3579" w:name="_Toc297123544"/>
      <w:bookmarkEnd w:id="3579"/>
      <w:bookmarkStart w:id="3580" w:name="_Toc296347196"/>
      <w:bookmarkEnd w:id="3580"/>
      <w:bookmarkStart w:id="3581" w:name="_Toc296944536"/>
      <w:bookmarkEnd w:id="3581"/>
      <w:bookmarkStart w:id="3582" w:name="_Toc297048383"/>
      <w:bookmarkEnd w:id="3582"/>
      <w:bookmarkStart w:id="3583" w:name="_Toc297216203"/>
      <w:bookmarkEnd w:id="3583"/>
      <w:bookmarkStart w:id="3584" w:name="_Toc296346698"/>
      <w:bookmarkEnd w:id="3584"/>
      <w:bookmarkStart w:id="3585" w:name="_Toc296891237"/>
      <w:bookmarkEnd w:id="3585"/>
      <w:bookmarkStart w:id="3586" w:name="_Toc292559402"/>
      <w:bookmarkEnd w:id="3586"/>
      <w:bookmarkStart w:id="3587" w:name="_Toc304295570"/>
      <w:bookmarkEnd w:id="3587"/>
      <w:bookmarkStart w:id="3588" w:name="_Toc296503197"/>
      <w:bookmarkEnd w:id="3588"/>
      <w:bookmarkStart w:id="3589" w:name="_Toc297120497"/>
      <w:bookmarkEnd w:id="3589"/>
      <w:bookmarkStart w:id="3590" w:name="_Toc300934993"/>
      <w:bookmarkEnd w:id="3590"/>
      <w:bookmarkStart w:id="3591" w:name="_Toc296891025"/>
      <w:bookmarkEnd w:id="3591"/>
      <w:r>
        <w:rPr>
          <w:rFonts w:hint="eastAsia" w:ascii="宋体" w:hAnsi="宋体" w:eastAsia="宋体" w:cs="宋体"/>
          <w:color w:val="auto"/>
          <w:sz w:val="24"/>
          <w:szCs w:val="24"/>
          <w:highlight w:val="none"/>
        </w:rPr>
        <w:t>0.5承</w:t>
      </w:r>
      <w:bookmarkStart w:id="3592" w:name="_Toc297123545"/>
      <w:bookmarkEnd w:id="3592"/>
      <w:bookmarkStart w:id="3593" w:name="_Toc296503203"/>
      <w:bookmarkEnd w:id="3593"/>
      <w:bookmarkStart w:id="3594" w:name="_Toc296347202"/>
      <w:bookmarkEnd w:id="3594"/>
      <w:bookmarkStart w:id="3595" w:name="_Toc297048389"/>
      <w:bookmarkEnd w:id="3595"/>
      <w:bookmarkStart w:id="3596" w:name="_Toc292559408"/>
      <w:bookmarkEnd w:id="3596"/>
      <w:bookmarkStart w:id="3597" w:name="_Toc296891243"/>
      <w:bookmarkEnd w:id="3597"/>
      <w:bookmarkStart w:id="3598" w:name="_Toc292559913"/>
      <w:bookmarkEnd w:id="3598"/>
      <w:bookmarkStart w:id="3599" w:name="_Toc296346704"/>
      <w:bookmarkEnd w:id="3599"/>
      <w:bookmarkStart w:id="3600" w:name="_Toc300934994"/>
      <w:bookmarkEnd w:id="3600"/>
      <w:bookmarkStart w:id="3601" w:name="_Toc297120503"/>
      <w:bookmarkEnd w:id="3601"/>
      <w:bookmarkStart w:id="3602" w:name="_Toc296944542"/>
      <w:bookmarkEnd w:id="3602"/>
      <w:bookmarkStart w:id="3603" w:name="_Toc297216204"/>
      <w:bookmarkEnd w:id="3603"/>
      <w:bookmarkStart w:id="3604" w:name="_Toc296891031"/>
      <w:bookmarkEnd w:id="3604"/>
      <w:bookmarkStart w:id="3605" w:name="_Toc303539151"/>
      <w:bookmarkEnd w:id="3605"/>
      <w:r>
        <w:rPr>
          <w:rFonts w:hint="eastAsia" w:ascii="宋体" w:hAnsi="宋体" w:eastAsia="宋体" w:cs="宋体"/>
          <w:color w:val="auto"/>
          <w:sz w:val="24"/>
          <w:szCs w:val="24"/>
          <w:highlight w:val="none"/>
        </w:rPr>
        <w:t>包人的合理化建议</w:t>
      </w:r>
    </w:p>
    <w:p w14:paraId="503948D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644B6D">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AEB02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3606" w:name="_Toc296346705"/>
      <w:bookmarkEnd w:id="3606"/>
      <w:bookmarkStart w:id="3607" w:name="_Toc292559409"/>
      <w:bookmarkEnd w:id="3607"/>
      <w:bookmarkStart w:id="3608" w:name="_Toc304295571"/>
      <w:bookmarkEnd w:id="3608"/>
      <w:bookmarkStart w:id="3609" w:name="_Toc297048390"/>
      <w:bookmarkEnd w:id="3609"/>
      <w:bookmarkStart w:id="3610" w:name="_Toc296347203"/>
      <w:bookmarkEnd w:id="3610"/>
      <w:bookmarkStart w:id="3611" w:name="_Toc297216205"/>
      <w:bookmarkEnd w:id="3611"/>
      <w:bookmarkStart w:id="3612" w:name="_Toc297120504"/>
      <w:bookmarkEnd w:id="3612"/>
      <w:bookmarkStart w:id="3613" w:name="_Toc312677504"/>
      <w:bookmarkEnd w:id="3613"/>
      <w:bookmarkStart w:id="3614" w:name="_Toc296891032"/>
      <w:bookmarkEnd w:id="3614"/>
      <w:bookmarkStart w:id="3615" w:name="_Toc292559914"/>
      <w:bookmarkEnd w:id="3615"/>
      <w:bookmarkStart w:id="3616" w:name="_Toc312678030"/>
      <w:bookmarkEnd w:id="3616"/>
      <w:bookmarkStart w:id="3617" w:name="_Toc303539152"/>
      <w:bookmarkEnd w:id="3617"/>
      <w:bookmarkStart w:id="3618" w:name="_Toc296891244"/>
      <w:bookmarkEnd w:id="3618"/>
      <w:bookmarkStart w:id="3619" w:name="_Toc296944543"/>
      <w:bookmarkEnd w:id="3619"/>
      <w:bookmarkStart w:id="3620" w:name="_Toc297123546"/>
      <w:bookmarkEnd w:id="3620"/>
      <w:bookmarkStart w:id="3621" w:name="_Toc296503204"/>
      <w:bookmarkEnd w:id="3621"/>
      <w:bookmarkStart w:id="3622" w:name="_Toc300934995"/>
      <w:bookmarkEnd w:id="3622"/>
      <w:bookmarkStart w:id="3623" w:name="_Toc318581175"/>
      <w:r>
        <w:rPr>
          <w:rFonts w:hint="eastAsia" w:ascii="宋体" w:hAnsi="宋体" w:eastAsia="宋体" w:cs="宋体"/>
          <w:color w:val="auto"/>
          <w:sz w:val="24"/>
          <w:szCs w:val="24"/>
          <w:highlight w:val="none"/>
        </w:rPr>
        <w:t>包人提出的合理化建议降低了合同价格或者提高了工程经济效益的奖励的方法和金额为：</w:t>
      </w:r>
      <w:bookmarkEnd w:id="362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E742D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624" w:name="_Toc25489"/>
      <w:bookmarkStart w:id="3625" w:name="_Toc1806"/>
      <w:bookmarkStart w:id="3626" w:name="_Toc20604"/>
      <w:bookmarkStart w:id="3627" w:name="_Toc23930"/>
      <w:bookmarkStart w:id="3628" w:name="_Toc16664"/>
      <w:bookmarkStart w:id="3629" w:name="_Toc15193"/>
      <w:bookmarkStart w:id="3630" w:name="_Toc24701"/>
      <w:bookmarkStart w:id="3631" w:name="_Toc11755"/>
      <w:bookmarkStart w:id="3632" w:name="_Toc30777"/>
      <w:bookmarkStart w:id="3633" w:name="_Toc24300"/>
      <w:bookmarkStart w:id="3634" w:name="_Toc23089"/>
      <w:bookmarkStart w:id="3635" w:name="_Toc24653"/>
      <w:bookmarkStart w:id="3636" w:name="_Toc20278"/>
      <w:bookmarkStart w:id="3637" w:name="_Toc2546"/>
      <w:bookmarkStart w:id="3638" w:name="_Toc4843"/>
      <w:bookmarkStart w:id="3639" w:name="_Toc25783"/>
      <w:r>
        <w:rPr>
          <w:rFonts w:hint="eastAsia" w:ascii="宋体" w:hAnsi="宋体" w:eastAsia="宋体" w:cs="宋体"/>
          <w:color w:val="auto"/>
          <w:sz w:val="24"/>
          <w:szCs w:val="24"/>
          <w:highlight w:val="none"/>
        </w:rPr>
        <w:t>1</w:t>
      </w:r>
      <w:bookmarkStart w:id="3640" w:name="_Toc296891027"/>
      <w:bookmarkEnd w:id="3640"/>
      <w:bookmarkStart w:id="3641" w:name="_Toc312678033"/>
      <w:bookmarkEnd w:id="3641"/>
      <w:bookmarkStart w:id="3642" w:name="_Toc296503199"/>
      <w:bookmarkEnd w:id="3642"/>
      <w:bookmarkStart w:id="3643" w:name="_Toc297048385"/>
      <w:bookmarkEnd w:id="3643"/>
      <w:bookmarkStart w:id="3644" w:name="_Toc297123548"/>
      <w:bookmarkEnd w:id="3644"/>
      <w:bookmarkStart w:id="3645" w:name="_Toc296346700"/>
      <w:bookmarkEnd w:id="3645"/>
      <w:bookmarkStart w:id="3646" w:name="_Toc292559909"/>
      <w:bookmarkEnd w:id="3646"/>
      <w:bookmarkStart w:id="3647" w:name="_Toc297216207"/>
      <w:bookmarkEnd w:id="3647"/>
      <w:bookmarkStart w:id="3648" w:name="_Toc300934997"/>
      <w:bookmarkEnd w:id="3648"/>
      <w:bookmarkStart w:id="3649" w:name="_Toc296891239"/>
      <w:bookmarkEnd w:id="3649"/>
      <w:bookmarkStart w:id="3650" w:name="_Toc303539154"/>
      <w:bookmarkEnd w:id="3650"/>
      <w:bookmarkStart w:id="3651" w:name="_Toc292559404"/>
      <w:bookmarkEnd w:id="3651"/>
      <w:bookmarkStart w:id="3652" w:name="_Toc297120499"/>
      <w:bookmarkEnd w:id="3652"/>
      <w:bookmarkStart w:id="3653" w:name="_Toc296347198"/>
      <w:bookmarkEnd w:id="3653"/>
      <w:bookmarkStart w:id="3654" w:name="_Toc296944538"/>
      <w:bookmarkEnd w:id="3654"/>
      <w:bookmarkStart w:id="3655" w:name="_Toc312677507"/>
      <w:bookmarkEnd w:id="3655"/>
      <w:bookmarkStart w:id="3656" w:name="_Toc304295574"/>
      <w:r>
        <w:rPr>
          <w:rFonts w:hint="eastAsia" w:ascii="宋体" w:hAnsi="宋体" w:eastAsia="宋体" w:cs="宋体"/>
          <w:color w:val="auto"/>
          <w:sz w:val="24"/>
          <w:szCs w:val="24"/>
          <w:highlight w:val="none"/>
        </w:rPr>
        <w:t>0.7 暂估价</w:t>
      </w:r>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56"/>
    </w:p>
    <w:p w14:paraId="29CC221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暂</w:t>
      </w:r>
      <w:bookmarkStart w:id="3657" w:name="_Toc318581176"/>
      <w:bookmarkEnd w:id="3657"/>
      <w:bookmarkStart w:id="3658" w:name="_Toc312677508"/>
      <w:bookmarkEnd w:id="3658"/>
      <w:bookmarkStart w:id="3659" w:name="_Toc312678034"/>
      <w:r>
        <w:rPr>
          <w:rFonts w:hint="eastAsia" w:ascii="宋体" w:hAnsi="宋体" w:eastAsia="宋体" w:cs="宋体"/>
          <w:color w:val="auto"/>
          <w:kern w:val="0"/>
          <w:sz w:val="24"/>
          <w:szCs w:val="24"/>
          <w:highlight w:val="none"/>
        </w:rPr>
        <w:t>估价材料和工程设备的明细详见附件</w:t>
      </w:r>
      <w:bookmarkEnd w:id="3659"/>
      <w:r>
        <w:rPr>
          <w:rFonts w:hint="eastAsia" w:ascii="宋体" w:hAnsi="宋体" w:eastAsia="宋体" w:cs="宋体"/>
          <w:color w:val="auto"/>
          <w:kern w:val="0"/>
          <w:sz w:val="24"/>
          <w:szCs w:val="24"/>
          <w:highlight w:val="none"/>
        </w:rPr>
        <w:t>11：《</w:t>
      </w:r>
      <w:r>
        <w:rPr>
          <w:rFonts w:hint="eastAsia" w:ascii="宋体" w:hAnsi="宋体" w:eastAsia="宋体" w:cs="宋体"/>
          <w:color w:val="auto"/>
          <w:sz w:val="24"/>
          <w:szCs w:val="24"/>
          <w:highlight w:val="none"/>
        </w:rPr>
        <w:t>暂估价一览表》</w:t>
      </w:r>
      <w:r>
        <w:rPr>
          <w:rFonts w:hint="eastAsia" w:ascii="宋体" w:hAnsi="宋体" w:eastAsia="宋体" w:cs="宋体"/>
          <w:color w:val="auto"/>
          <w:kern w:val="0"/>
          <w:sz w:val="24"/>
          <w:szCs w:val="24"/>
          <w:highlight w:val="none"/>
        </w:rPr>
        <w:t>。</w:t>
      </w:r>
    </w:p>
    <w:p w14:paraId="64BDDC6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660" w:name="_Toc312677509"/>
      <w:bookmarkEnd w:id="3660"/>
      <w:bookmarkStart w:id="3661" w:name="_Toc312678035"/>
      <w:bookmarkEnd w:id="3661"/>
      <w:bookmarkStart w:id="3662" w:name="_Toc318581177"/>
      <w:r>
        <w:rPr>
          <w:rFonts w:hint="eastAsia" w:ascii="宋体" w:hAnsi="宋体" w:eastAsia="宋体" w:cs="宋体"/>
          <w:color w:val="auto"/>
          <w:sz w:val="24"/>
          <w:szCs w:val="24"/>
          <w:highlight w:val="none"/>
        </w:rPr>
        <w:t>0.7.1 依法必须招标的暂估价项目</w:t>
      </w:r>
      <w:bookmarkEnd w:id="3662"/>
    </w:p>
    <w:p w14:paraId="4432176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种方式确定。</w:t>
      </w:r>
    </w:p>
    <w:p w14:paraId="52FD322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10.7.2 不属于依法必须招标的暂估价项目</w:t>
      </w:r>
    </w:p>
    <w:p w14:paraId="58A3DB3E">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种方式确定。</w:t>
      </w:r>
    </w:p>
    <w:p w14:paraId="79ADECF9">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411D4FD3">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BFB8F3">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 暂列金额</w:t>
      </w:r>
    </w:p>
    <w:p w14:paraId="13ED0045">
      <w:pPr>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4CC0D239">
      <w:pPr>
        <w:pageBreakBefore w:val="0"/>
        <w:widowControl/>
        <w:tabs>
          <w:tab w:val="left" w:pos="864"/>
        </w:tabs>
        <w:kinsoku/>
        <w:wordWrap/>
        <w:overflowPunct/>
        <w:topLinePunct w:val="0"/>
        <w:bidi w:val="0"/>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663" w:name="_Toc351203643"/>
      <w:bookmarkEnd w:id="3663"/>
      <w:r>
        <w:rPr>
          <w:rFonts w:hint="eastAsia" w:ascii="宋体" w:hAnsi="宋体" w:eastAsia="宋体" w:cs="宋体"/>
          <w:b w:val="0"/>
          <w:bCs w:val="0"/>
          <w:color w:val="auto"/>
          <w:sz w:val="24"/>
          <w:szCs w:val="24"/>
          <w:highlight w:val="none"/>
        </w:rPr>
        <w:t>11. 价格调整</w:t>
      </w:r>
    </w:p>
    <w:p w14:paraId="2AC253B1">
      <w:pPr>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664" w:name="_Toc296891241"/>
      <w:bookmarkEnd w:id="3664"/>
      <w:bookmarkStart w:id="3665" w:name="_Toc297120501"/>
      <w:bookmarkEnd w:id="3665"/>
      <w:bookmarkStart w:id="3666" w:name="_Toc296346702"/>
      <w:bookmarkEnd w:id="3666"/>
      <w:bookmarkStart w:id="3667" w:name="_Toc297048387"/>
      <w:bookmarkEnd w:id="3667"/>
      <w:bookmarkStart w:id="3668" w:name="_Toc303539157"/>
      <w:bookmarkEnd w:id="3668"/>
      <w:bookmarkStart w:id="3669" w:name="_Toc292559406"/>
      <w:bookmarkEnd w:id="3669"/>
      <w:bookmarkStart w:id="3670" w:name="_Toc296503201"/>
      <w:bookmarkEnd w:id="3670"/>
      <w:bookmarkStart w:id="3671" w:name="_Toc296347200"/>
      <w:bookmarkEnd w:id="3671"/>
      <w:bookmarkStart w:id="3672" w:name="_Toc300935000"/>
      <w:bookmarkEnd w:id="3672"/>
      <w:bookmarkStart w:id="3673" w:name="_Toc297216209"/>
      <w:bookmarkEnd w:id="3673"/>
      <w:bookmarkStart w:id="3674" w:name="_Toc297123550"/>
      <w:bookmarkEnd w:id="3674"/>
      <w:bookmarkStart w:id="3675" w:name="_Toc292559911"/>
      <w:bookmarkEnd w:id="3675"/>
      <w:bookmarkStart w:id="3676" w:name="_Toc312678039"/>
      <w:bookmarkEnd w:id="3676"/>
      <w:bookmarkStart w:id="3677" w:name="_Toc304295577"/>
      <w:bookmarkEnd w:id="3677"/>
      <w:bookmarkStart w:id="3678" w:name="_Toc296944540"/>
      <w:bookmarkEnd w:id="3678"/>
      <w:bookmarkStart w:id="3679" w:name="_Toc296891029"/>
      <w:r>
        <w:rPr>
          <w:rFonts w:hint="eastAsia" w:ascii="宋体" w:hAnsi="宋体" w:eastAsia="宋体" w:cs="宋体"/>
          <w:color w:val="auto"/>
          <w:sz w:val="24"/>
          <w:szCs w:val="24"/>
          <w:highlight w:val="none"/>
        </w:rPr>
        <w:t>11.1 市场价格波动引起的调整</w:t>
      </w:r>
      <w:bookmarkEnd w:id="3679"/>
    </w:p>
    <w:p w14:paraId="57958910">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EEA3EF">
      <w:pPr>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6979135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7EA8F64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4E8836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091A6E3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06885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7D9827B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2F382BD7">
      <w:pPr>
        <w:pageBreakBefore w:val="0"/>
        <w:widowControl/>
        <w:kinsoku/>
        <w:wordWrap/>
        <w:overflowPunct/>
        <w:topLinePunct w:val="0"/>
        <w:bidi w:val="0"/>
        <w:spacing w:line="360" w:lineRule="auto"/>
        <w:ind w:firstLine="64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67511606">
      <w:pPr>
        <w:pageBreakBefore w:val="0"/>
        <w:widowControl/>
        <w:kinsoku/>
        <w:wordWrap/>
        <w:overflowPunct/>
        <w:topLinePunct w:val="0"/>
        <w:autoSpaceDE/>
        <w:autoSpaceDN/>
        <w:bidi w:val="0"/>
        <w:adjustRightInd/>
        <w:snapToGrid/>
        <w:spacing w:line="360" w:lineRule="auto"/>
        <w:ind w:firstLine="64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6A82C6">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680" w:name="_Toc296346706"/>
      <w:bookmarkEnd w:id="3680"/>
      <w:bookmarkStart w:id="3681" w:name="_Toc297048391"/>
      <w:bookmarkEnd w:id="3681"/>
      <w:bookmarkStart w:id="3682" w:name="_Toc296891033"/>
      <w:bookmarkEnd w:id="3682"/>
      <w:bookmarkStart w:id="3683" w:name="_Toc297216211"/>
      <w:bookmarkEnd w:id="3683"/>
      <w:bookmarkStart w:id="3684" w:name="_Toc296944544"/>
      <w:bookmarkEnd w:id="3684"/>
      <w:bookmarkStart w:id="3685" w:name="_Toc297120505"/>
      <w:bookmarkEnd w:id="3685"/>
      <w:bookmarkStart w:id="3686" w:name="_Toc312678040"/>
      <w:bookmarkEnd w:id="3686"/>
      <w:bookmarkStart w:id="3687" w:name="_Toc296503205"/>
      <w:bookmarkEnd w:id="3687"/>
      <w:bookmarkStart w:id="3688" w:name="_Toc292559410"/>
      <w:bookmarkEnd w:id="3688"/>
      <w:bookmarkStart w:id="3689" w:name="_Toc292559915"/>
      <w:bookmarkEnd w:id="3689"/>
      <w:bookmarkStart w:id="3690" w:name="_Toc300935002"/>
      <w:bookmarkEnd w:id="3690"/>
      <w:bookmarkStart w:id="3691" w:name="_Toc297123552"/>
      <w:bookmarkEnd w:id="3691"/>
      <w:bookmarkStart w:id="3692" w:name="_Toc296347204"/>
      <w:bookmarkEnd w:id="3692"/>
      <w:bookmarkStart w:id="3693" w:name="_Toc304295579"/>
      <w:bookmarkEnd w:id="3693"/>
      <w:bookmarkStart w:id="3694" w:name="_Toc303539159"/>
      <w:bookmarkEnd w:id="3694"/>
      <w:bookmarkStart w:id="3695" w:name="_Toc296891245"/>
      <w:bookmarkEnd w:id="3695"/>
      <w:bookmarkStart w:id="3696" w:name="_Toc351203644"/>
      <w:r>
        <w:rPr>
          <w:rFonts w:hint="eastAsia" w:ascii="宋体" w:hAnsi="宋体" w:eastAsia="宋体" w:cs="宋体"/>
          <w:b w:val="0"/>
          <w:bCs w:val="0"/>
          <w:color w:val="auto"/>
          <w:sz w:val="24"/>
          <w:szCs w:val="24"/>
          <w:highlight w:val="none"/>
        </w:rPr>
        <w:t xml:space="preserve">12. </w:t>
      </w:r>
      <w:bookmarkEnd w:id="3696"/>
      <w:r>
        <w:rPr>
          <w:rFonts w:hint="eastAsia" w:ascii="宋体" w:hAnsi="宋体" w:eastAsia="宋体" w:cs="宋体"/>
          <w:b w:val="0"/>
          <w:bCs w:val="0"/>
          <w:color w:val="auto"/>
          <w:sz w:val="24"/>
          <w:szCs w:val="24"/>
          <w:highlight w:val="none"/>
        </w:rPr>
        <w:t>合同价格、计量与支付</w:t>
      </w:r>
    </w:p>
    <w:p w14:paraId="70656BD5">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697" w:name="_Toc304295580"/>
      <w:bookmarkEnd w:id="3697"/>
      <w:bookmarkStart w:id="3698" w:name="_Toc296347205"/>
      <w:bookmarkEnd w:id="3698"/>
      <w:bookmarkStart w:id="3699" w:name="_Toc312678041"/>
      <w:bookmarkEnd w:id="3699"/>
      <w:bookmarkStart w:id="3700" w:name="_Toc296944545"/>
      <w:bookmarkEnd w:id="3700"/>
      <w:bookmarkStart w:id="3701" w:name="_Toc297216212"/>
      <w:bookmarkEnd w:id="3701"/>
      <w:bookmarkStart w:id="3702" w:name="_Toc300935003"/>
      <w:bookmarkEnd w:id="3702"/>
      <w:bookmarkStart w:id="3703" w:name="_Toc297123553"/>
      <w:bookmarkEnd w:id="3703"/>
      <w:bookmarkStart w:id="3704" w:name="_Toc303539160"/>
      <w:bookmarkEnd w:id="3704"/>
      <w:bookmarkStart w:id="3705" w:name="_Toc292559411"/>
      <w:bookmarkEnd w:id="3705"/>
      <w:bookmarkStart w:id="3706" w:name="_Toc296503206"/>
      <w:bookmarkEnd w:id="3706"/>
      <w:bookmarkStart w:id="3707" w:name="_Toc297120506"/>
      <w:bookmarkEnd w:id="3707"/>
      <w:bookmarkStart w:id="3708" w:name="_Toc296891246"/>
      <w:bookmarkEnd w:id="3708"/>
      <w:bookmarkStart w:id="3709" w:name="_Toc297048392"/>
      <w:bookmarkEnd w:id="3709"/>
      <w:bookmarkStart w:id="3710" w:name="_Toc292559916"/>
      <w:bookmarkEnd w:id="3710"/>
      <w:bookmarkStart w:id="3711" w:name="_Toc296346707"/>
      <w:bookmarkEnd w:id="3711"/>
      <w:bookmarkStart w:id="3712" w:name="_Toc296891034"/>
      <w:bookmarkEnd w:id="3712"/>
      <w:bookmarkStart w:id="3713" w:name="_Toc267251461"/>
      <w:r>
        <w:rPr>
          <w:rFonts w:hint="eastAsia" w:ascii="宋体" w:hAnsi="宋体" w:eastAsia="宋体" w:cs="宋体"/>
          <w:color w:val="auto"/>
          <w:sz w:val="24"/>
          <w:szCs w:val="24"/>
          <w:highlight w:val="none"/>
        </w:rPr>
        <w:t>12.1 合</w:t>
      </w:r>
      <w:bookmarkEnd w:id="3713"/>
      <w:r>
        <w:rPr>
          <w:rFonts w:hint="eastAsia" w:ascii="宋体" w:hAnsi="宋体" w:eastAsia="宋体" w:cs="宋体"/>
          <w:color w:val="auto"/>
          <w:sz w:val="24"/>
          <w:szCs w:val="24"/>
          <w:highlight w:val="none"/>
        </w:rPr>
        <w:t>同价格形式</w:t>
      </w:r>
    </w:p>
    <w:p w14:paraId="5E20D2B4">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72F98DC8">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E5F686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02639E">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7D6C9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5558EA7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0ED4F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B564A7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D8A53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8085A8E">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714" w:name="_Toc297216213"/>
      <w:bookmarkEnd w:id="3714"/>
      <w:bookmarkStart w:id="3715" w:name="_Toc292559917"/>
      <w:bookmarkEnd w:id="3715"/>
      <w:bookmarkStart w:id="3716" w:name="_Toc296891035"/>
      <w:bookmarkEnd w:id="3716"/>
      <w:bookmarkStart w:id="3717" w:name="_Toc296346708"/>
      <w:bookmarkEnd w:id="3717"/>
      <w:bookmarkStart w:id="3718" w:name="_Toc300935004"/>
      <w:bookmarkEnd w:id="3718"/>
      <w:bookmarkStart w:id="3719" w:name="_Toc296944546"/>
      <w:bookmarkEnd w:id="3719"/>
      <w:bookmarkStart w:id="3720" w:name="_Toc304295581"/>
      <w:bookmarkEnd w:id="3720"/>
      <w:bookmarkStart w:id="3721" w:name="_Toc297048393"/>
      <w:bookmarkEnd w:id="3721"/>
      <w:bookmarkStart w:id="3722" w:name="_Toc292559412"/>
      <w:bookmarkEnd w:id="3722"/>
      <w:bookmarkStart w:id="3723" w:name="_Toc296503207"/>
      <w:bookmarkEnd w:id="3723"/>
      <w:bookmarkStart w:id="3724" w:name="_Toc297123554"/>
      <w:bookmarkEnd w:id="3724"/>
      <w:bookmarkStart w:id="3725" w:name="_Toc296347206"/>
      <w:bookmarkEnd w:id="3725"/>
      <w:bookmarkStart w:id="3726" w:name="_Toc297120507"/>
      <w:bookmarkEnd w:id="3726"/>
      <w:bookmarkStart w:id="3727" w:name="_Toc296891247"/>
      <w:bookmarkEnd w:id="3727"/>
      <w:bookmarkStart w:id="3728" w:name="_Toc312678042"/>
      <w:bookmarkEnd w:id="3728"/>
      <w:bookmarkStart w:id="3729" w:name="_Toc303539161"/>
      <w:r>
        <w:rPr>
          <w:rFonts w:hint="eastAsia" w:ascii="宋体" w:hAnsi="宋体" w:eastAsia="宋体" w:cs="宋体"/>
          <w:color w:val="auto"/>
          <w:sz w:val="24"/>
          <w:szCs w:val="24"/>
          <w:highlight w:val="none"/>
        </w:rPr>
        <w:t>12.2 预付款</w:t>
      </w:r>
      <w:bookmarkEnd w:id="3729"/>
    </w:p>
    <w:p w14:paraId="49E0046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65FC056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180CA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5CC437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F81F0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3D8D945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DFE79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5BE809">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4C4979D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075FCA1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BB9AB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3AAF193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C6D9A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7A0F2B6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F6A5A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6391C4D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84FD4F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w:t>
      </w:r>
      <w:r>
        <w:rPr>
          <w:rFonts w:hint="eastAsia" w:ascii="宋体" w:hAnsi="宋体" w:eastAsia="宋体" w:cs="宋体"/>
          <w:color w:val="auto"/>
          <w:kern w:val="0"/>
          <w:sz w:val="24"/>
          <w:szCs w:val="24"/>
          <w:highlight w:val="none"/>
        </w:rPr>
        <w:t xml:space="preserve">12.3.4 </w:t>
      </w:r>
      <w:r>
        <w:rPr>
          <w:rFonts w:hint="eastAsia" w:ascii="宋体" w:hAnsi="宋体" w:eastAsia="宋体" w:cs="宋体"/>
          <w:color w:val="auto"/>
          <w:sz w:val="24"/>
          <w:szCs w:val="24"/>
          <w:highlight w:val="none"/>
        </w:rPr>
        <w:t>项</w:t>
      </w:r>
      <w:r>
        <w:rPr>
          <w:rFonts w:hint="eastAsia" w:ascii="宋体" w:hAnsi="宋体" w:eastAsia="宋体" w:cs="宋体"/>
          <w:color w:val="auto"/>
          <w:kern w:val="0"/>
          <w:sz w:val="24"/>
          <w:szCs w:val="24"/>
          <w:highlight w:val="none"/>
        </w:rPr>
        <w:t>〔总价合同的计量〕</w:t>
      </w:r>
      <w:r>
        <w:rPr>
          <w:rFonts w:hint="eastAsia" w:ascii="宋体" w:hAnsi="宋体" w:eastAsia="宋体" w:cs="宋体"/>
          <w:color w:val="auto"/>
          <w:sz w:val="24"/>
          <w:szCs w:val="24"/>
          <w:highlight w:val="none"/>
        </w:rPr>
        <w:t>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D1A07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027DE20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423985">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30D4812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730" w:name="_Toc296346712"/>
      <w:bookmarkEnd w:id="3730"/>
      <w:bookmarkStart w:id="3731" w:name="_Toc296347210"/>
      <w:bookmarkEnd w:id="3731"/>
      <w:bookmarkStart w:id="3732" w:name="_Toc303539163"/>
      <w:bookmarkEnd w:id="3732"/>
      <w:bookmarkStart w:id="3733" w:name="_Toc292559416"/>
      <w:bookmarkEnd w:id="3733"/>
      <w:bookmarkStart w:id="3734" w:name="_Toc297048397"/>
      <w:bookmarkEnd w:id="3734"/>
      <w:bookmarkStart w:id="3735" w:name="_Toc297120511"/>
      <w:bookmarkEnd w:id="3735"/>
      <w:bookmarkStart w:id="3736" w:name="_Toc296891251"/>
      <w:bookmarkEnd w:id="3736"/>
      <w:bookmarkStart w:id="3737" w:name="_Toc296944550"/>
      <w:bookmarkEnd w:id="3737"/>
      <w:bookmarkStart w:id="3738" w:name="_Toc296891039"/>
      <w:bookmarkEnd w:id="3738"/>
      <w:bookmarkStart w:id="3739" w:name="_Toc296503211"/>
      <w:bookmarkEnd w:id="3739"/>
      <w:bookmarkStart w:id="3740" w:name="_Toc300935006"/>
      <w:bookmarkEnd w:id="3740"/>
      <w:bookmarkStart w:id="3741" w:name="_Toc292559921"/>
      <w:bookmarkEnd w:id="3741"/>
      <w:bookmarkStart w:id="3742" w:name="_Toc297123556"/>
      <w:bookmarkEnd w:id="3742"/>
      <w:bookmarkStart w:id="3743" w:name="_Toc297216215"/>
      <w:r>
        <w:rPr>
          <w:rFonts w:hint="eastAsia" w:ascii="宋体" w:hAnsi="宋体" w:eastAsia="宋体" w:cs="宋体"/>
          <w:color w:val="auto"/>
          <w:sz w:val="24"/>
          <w:szCs w:val="24"/>
          <w:highlight w:val="none"/>
        </w:rPr>
        <w:t>12.4.1 付款周期</w:t>
      </w:r>
      <w:bookmarkEnd w:id="3743"/>
    </w:p>
    <w:p w14:paraId="78EA30C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AEA2C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0CF8437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A391F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 进度付款申请单的提交</w:t>
      </w:r>
    </w:p>
    <w:p w14:paraId="6014B26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AA67A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A4EE0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A154F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058F970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82423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486639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55D127">
      <w:pPr>
        <w:pageBreakBefore w:val="0"/>
        <w:widowControl/>
        <w:kinsoku/>
        <w:wordWrap/>
        <w:overflowPunct/>
        <w:topLinePunct w:val="0"/>
        <w:bidi w:val="0"/>
        <w:spacing w:line="360" w:lineRule="auto"/>
        <w:ind w:firstLine="600" w:firstLineChars="25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8093FE">
      <w:pPr>
        <w:pageBreakBefore w:val="0"/>
        <w:widowControl/>
        <w:kinsoku/>
        <w:wordWrap/>
        <w:overflowPunct/>
        <w:topLinePunct w:val="0"/>
        <w:bidi w:val="0"/>
        <w:spacing w:line="360" w:lineRule="auto"/>
        <w:ind w:firstLine="600" w:firstLineChars="25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2BE5201C">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532493">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99FDDEF">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744" w:name="_Toc304295593"/>
      <w:bookmarkEnd w:id="3744"/>
      <w:bookmarkStart w:id="3745" w:name="_Toc303539172"/>
      <w:bookmarkEnd w:id="3745"/>
      <w:bookmarkStart w:id="3746" w:name="_Toc296503219"/>
      <w:bookmarkEnd w:id="3746"/>
      <w:bookmarkStart w:id="3747" w:name="_Toc292559929"/>
      <w:bookmarkEnd w:id="3747"/>
      <w:bookmarkStart w:id="3748" w:name="_Toc296346720"/>
      <w:bookmarkEnd w:id="3748"/>
      <w:bookmarkStart w:id="3749" w:name="_Toc292559424"/>
      <w:bookmarkEnd w:id="3749"/>
      <w:bookmarkStart w:id="3750" w:name="_Toc296891259"/>
      <w:bookmarkEnd w:id="3750"/>
      <w:bookmarkStart w:id="3751" w:name="_Toc297048405"/>
      <w:bookmarkEnd w:id="3751"/>
      <w:bookmarkStart w:id="3752" w:name="_Toc297123564"/>
      <w:bookmarkEnd w:id="3752"/>
      <w:bookmarkStart w:id="3753" w:name="_Toc351203645"/>
      <w:bookmarkEnd w:id="3753"/>
      <w:bookmarkStart w:id="3754" w:name="_Toc300935015"/>
      <w:bookmarkEnd w:id="3754"/>
      <w:bookmarkStart w:id="3755" w:name="_Toc296891047"/>
      <w:bookmarkEnd w:id="3755"/>
      <w:bookmarkStart w:id="3756" w:name="_Toc296944558"/>
      <w:bookmarkEnd w:id="3756"/>
      <w:bookmarkStart w:id="3757" w:name="_Toc297216223"/>
      <w:bookmarkEnd w:id="3757"/>
      <w:bookmarkStart w:id="3758" w:name="_Toc296347218"/>
      <w:bookmarkEnd w:id="3758"/>
      <w:bookmarkStart w:id="3759" w:name="_Toc297120519"/>
      <w:bookmarkEnd w:id="3759"/>
      <w:bookmarkStart w:id="3760" w:name="_Toc312678053"/>
      <w:r>
        <w:rPr>
          <w:rFonts w:hint="eastAsia" w:ascii="宋体" w:hAnsi="宋体" w:eastAsia="宋体" w:cs="宋体"/>
          <w:b w:val="0"/>
          <w:bCs w:val="0"/>
          <w:color w:val="auto"/>
          <w:sz w:val="24"/>
          <w:szCs w:val="24"/>
          <w:highlight w:val="none"/>
        </w:rPr>
        <w:t>13.</w:t>
      </w:r>
      <w:bookmarkEnd w:id="3760"/>
      <w:r>
        <w:rPr>
          <w:rFonts w:hint="eastAsia" w:ascii="宋体" w:hAnsi="宋体" w:eastAsia="宋体" w:cs="宋体"/>
          <w:b w:val="0"/>
          <w:bCs w:val="0"/>
          <w:color w:val="auto"/>
          <w:sz w:val="24"/>
          <w:szCs w:val="24"/>
          <w:highlight w:val="none"/>
        </w:rPr>
        <w:t xml:space="preserve"> 验收和工程试车</w:t>
      </w:r>
    </w:p>
    <w:p w14:paraId="4C05D76F">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1E9C8D2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2A47F75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079E8B24">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761" w:name="_Toc296503223"/>
      <w:bookmarkEnd w:id="3761"/>
      <w:bookmarkStart w:id="3762" w:name="_Toc304295596"/>
      <w:bookmarkEnd w:id="3762"/>
      <w:bookmarkStart w:id="3763" w:name="_Toc296347222"/>
      <w:bookmarkEnd w:id="3763"/>
      <w:bookmarkStart w:id="3764" w:name="_Toc297216224"/>
      <w:bookmarkEnd w:id="3764"/>
      <w:bookmarkStart w:id="3765" w:name="_Toc296944562"/>
      <w:bookmarkEnd w:id="3765"/>
      <w:bookmarkStart w:id="3766" w:name="_Toc297123565"/>
      <w:bookmarkEnd w:id="3766"/>
      <w:bookmarkStart w:id="3767" w:name="_Toc300935016"/>
      <w:bookmarkEnd w:id="3767"/>
      <w:bookmarkStart w:id="3768" w:name="_Toc303539173"/>
      <w:bookmarkEnd w:id="3768"/>
      <w:bookmarkStart w:id="3769" w:name="_Toc297120523"/>
      <w:bookmarkEnd w:id="3769"/>
      <w:bookmarkStart w:id="3770" w:name="_Toc267251473"/>
      <w:bookmarkEnd w:id="3770"/>
      <w:bookmarkStart w:id="3771" w:name="_Toc312678056"/>
      <w:bookmarkEnd w:id="3771"/>
      <w:bookmarkStart w:id="3772" w:name="_Toc267251474"/>
      <w:bookmarkEnd w:id="3772"/>
      <w:bookmarkStart w:id="3773" w:name="_Toc267251471"/>
      <w:bookmarkEnd w:id="3773"/>
      <w:bookmarkStart w:id="3774" w:name="_Toc296346724"/>
      <w:bookmarkEnd w:id="3774"/>
      <w:bookmarkStart w:id="3775" w:name="_Toc267251472"/>
      <w:bookmarkEnd w:id="3775"/>
      <w:bookmarkStart w:id="3776" w:name="_Toc292559428"/>
      <w:bookmarkEnd w:id="3776"/>
      <w:bookmarkStart w:id="3777" w:name="_Toc297048409"/>
      <w:bookmarkEnd w:id="3777"/>
      <w:bookmarkStart w:id="3778" w:name="_Toc292559933"/>
      <w:bookmarkEnd w:id="3778"/>
      <w:bookmarkStart w:id="3779" w:name="_Toc296891051"/>
      <w:bookmarkEnd w:id="3779"/>
      <w:bookmarkStart w:id="3780" w:name="_Toc267251475"/>
      <w:bookmarkEnd w:id="3780"/>
      <w:bookmarkStart w:id="3781" w:name="_Toc296891263"/>
      <w:bookmarkEnd w:id="3781"/>
      <w:bookmarkStart w:id="3782" w:name="_Toc267251476"/>
      <w:bookmarkEnd w:id="3782"/>
      <w:bookmarkStart w:id="3783" w:name="_Toc267251470"/>
      <w:r>
        <w:rPr>
          <w:rFonts w:hint="eastAsia" w:ascii="宋体" w:hAnsi="宋体" w:eastAsia="宋体" w:cs="宋体"/>
          <w:color w:val="auto"/>
          <w:sz w:val="24"/>
          <w:szCs w:val="24"/>
          <w:highlight w:val="none"/>
        </w:rPr>
        <w:t>13.2 竣工验收</w:t>
      </w:r>
      <w:bookmarkEnd w:id="3783"/>
    </w:p>
    <w:p w14:paraId="2DFA2FB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784" w:name="_Toc280868707"/>
      <w:bookmarkEnd w:id="3784"/>
      <w:bookmarkStart w:id="3785" w:name="_Toc280868706"/>
      <w:bookmarkEnd w:id="3785"/>
      <w:bookmarkStart w:id="3786" w:name="_Toc280868709"/>
      <w:bookmarkEnd w:id="3786"/>
      <w:bookmarkStart w:id="3787" w:name="_Toc280868708"/>
      <w:bookmarkEnd w:id="3787"/>
      <w:bookmarkStart w:id="3788" w:name="_Toc280868704"/>
      <w:bookmarkEnd w:id="3788"/>
      <w:bookmarkStart w:id="3789" w:name="_Toc280868705"/>
      <w:bookmarkEnd w:id="3789"/>
      <w:r>
        <w:rPr>
          <w:rFonts w:hint="eastAsia" w:ascii="宋体" w:hAnsi="宋体" w:eastAsia="宋体" w:cs="宋体"/>
          <w:color w:val="auto"/>
          <w:sz w:val="24"/>
          <w:szCs w:val="24"/>
          <w:highlight w:val="none"/>
        </w:rPr>
        <w:t>13.2.2竣工验收程序</w:t>
      </w:r>
    </w:p>
    <w:p w14:paraId="1C7E6F8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81BD4F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发包人不按照本项约定组织竣工验收、颁发</w:t>
      </w:r>
      <w:r>
        <w:rPr>
          <w:rFonts w:hint="eastAsia" w:ascii="宋体" w:hAnsi="宋体" w:eastAsia="宋体" w:cs="宋体"/>
          <w:color w:val="auto"/>
          <w:kern w:val="0"/>
          <w:sz w:val="24"/>
          <w:szCs w:val="24"/>
          <w:highlight w:val="none"/>
          <w:lang w:eastAsia="zh-CN"/>
        </w:rPr>
        <w:t>工程验收</w:t>
      </w:r>
      <w:r>
        <w:rPr>
          <w:rFonts w:hint="eastAsia" w:ascii="宋体" w:hAnsi="宋体" w:eastAsia="宋体" w:cs="宋体"/>
          <w:color w:val="auto"/>
          <w:kern w:val="0"/>
          <w:sz w:val="24"/>
          <w:szCs w:val="24"/>
          <w:highlight w:val="none"/>
        </w:rPr>
        <w:t>证书的违约金的计算方法：</w:t>
      </w:r>
      <w:r>
        <w:rPr>
          <w:rFonts w:hint="eastAsia" w:ascii="宋体" w:hAnsi="宋体" w:eastAsia="宋体" w:cs="宋体"/>
          <w:color w:val="auto"/>
          <w:sz w:val="24"/>
          <w:szCs w:val="24"/>
          <w:highlight w:val="none"/>
          <w:u w:val="single"/>
        </w:rPr>
        <w:t xml:space="preserve">                                         </w:t>
      </w:r>
    </w:p>
    <w:p w14:paraId="377908A8">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BB6FD9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p w14:paraId="3543F17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8931B8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00536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6B28FD0">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p w14:paraId="23CDB5F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0A909DE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DFD565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7BEDF815">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2F263C75">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13E1C2D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4198B9">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790" w:name="_Toc31894"/>
      <w:bookmarkStart w:id="3791" w:name="_Toc11015"/>
      <w:bookmarkStart w:id="3792" w:name="_Toc4255"/>
      <w:bookmarkStart w:id="3793" w:name="_Toc30052"/>
      <w:bookmarkStart w:id="3794" w:name="_Toc20293"/>
      <w:bookmarkStart w:id="3795" w:name="_Toc27278"/>
      <w:bookmarkStart w:id="3796" w:name="_Toc32298"/>
      <w:bookmarkStart w:id="3797" w:name="_Toc6861"/>
      <w:bookmarkStart w:id="3798" w:name="_Toc10674"/>
      <w:bookmarkStart w:id="3799" w:name="_Toc15218"/>
      <w:bookmarkStart w:id="3800" w:name="_Toc18219"/>
      <w:bookmarkStart w:id="3801" w:name="_Toc3396"/>
      <w:bookmarkStart w:id="3802" w:name="_Toc1867"/>
      <w:bookmarkStart w:id="3803" w:name="_Toc32378"/>
      <w:bookmarkStart w:id="3804" w:name="_Toc27255"/>
      <w:bookmarkStart w:id="3805" w:name="_Toc32340"/>
      <w:r>
        <w:rPr>
          <w:rFonts w:hint="eastAsia" w:ascii="宋体" w:hAnsi="宋体" w:eastAsia="宋体" w:cs="宋体"/>
          <w:color w:val="auto"/>
          <w:sz w:val="24"/>
          <w:szCs w:val="24"/>
          <w:highlight w:val="none"/>
        </w:rPr>
        <w:t>13.6 竣工退场</w:t>
      </w:r>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p>
    <w:p w14:paraId="4E08CA11">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58A33421">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5EC7E846">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806" w:name="_Toc351203646"/>
      <w:bookmarkEnd w:id="3806"/>
      <w:r>
        <w:rPr>
          <w:rFonts w:hint="eastAsia" w:ascii="宋体" w:hAnsi="宋体" w:eastAsia="宋体" w:cs="宋体"/>
          <w:b w:val="0"/>
          <w:bCs w:val="0"/>
          <w:color w:val="auto"/>
          <w:sz w:val="24"/>
          <w:szCs w:val="24"/>
          <w:highlight w:val="none"/>
        </w:rPr>
        <w:t>14. 竣工结算</w:t>
      </w:r>
    </w:p>
    <w:p w14:paraId="2DB8E7AA">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127E304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424F3A">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D3C7C0">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807" w:name="_Toc1529"/>
      <w:bookmarkStart w:id="3808" w:name="_Toc9014"/>
      <w:bookmarkStart w:id="3809" w:name="_Toc19329"/>
      <w:bookmarkStart w:id="3810" w:name="_Toc24512"/>
      <w:bookmarkStart w:id="3811" w:name="_Toc23195"/>
      <w:bookmarkStart w:id="3812" w:name="_Toc29780"/>
      <w:bookmarkStart w:id="3813" w:name="_Toc13171"/>
      <w:bookmarkStart w:id="3814" w:name="_Toc2002"/>
      <w:bookmarkStart w:id="3815" w:name="_Toc28609"/>
      <w:bookmarkStart w:id="3816" w:name="_Toc8836"/>
      <w:bookmarkStart w:id="3817" w:name="_Toc367"/>
      <w:bookmarkStart w:id="3818" w:name="_Toc23856"/>
      <w:bookmarkStart w:id="3819" w:name="_Toc2386"/>
      <w:bookmarkStart w:id="3820" w:name="_Toc23855"/>
      <w:bookmarkStart w:id="3821" w:name="_Toc4376"/>
      <w:bookmarkStart w:id="3822" w:name="_Toc30311"/>
      <w:r>
        <w:rPr>
          <w:rFonts w:hint="eastAsia" w:ascii="宋体" w:hAnsi="宋体" w:eastAsia="宋体" w:cs="宋体"/>
          <w:color w:val="auto"/>
          <w:sz w:val="24"/>
          <w:szCs w:val="24"/>
          <w:highlight w:val="none"/>
        </w:rPr>
        <w:t>14.2 竣工结算审核</w:t>
      </w:r>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p>
    <w:p w14:paraId="1EB3990B">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BD98A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E8BC40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93231F6">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467FDBB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45A10DF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45A7EF">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310FAD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0E5E38A7">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0574C5">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0AE963">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823" w:name="_Toc267251496"/>
      <w:bookmarkEnd w:id="3823"/>
      <w:bookmarkStart w:id="3824" w:name="_Toc267251490"/>
      <w:bookmarkEnd w:id="3824"/>
      <w:bookmarkStart w:id="3825" w:name="_Toc267251491"/>
      <w:bookmarkEnd w:id="3825"/>
      <w:bookmarkStart w:id="3826" w:name="_Toc267251509"/>
      <w:bookmarkEnd w:id="3826"/>
      <w:bookmarkStart w:id="3827" w:name="_Toc267251486"/>
      <w:bookmarkEnd w:id="3827"/>
      <w:bookmarkStart w:id="3828" w:name="_Toc267251485"/>
      <w:bookmarkEnd w:id="3828"/>
      <w:bookmarkStart w:id="3829" w:name="_Toc267251492"/>
      <w:bookmarkEnd w:id="3829"/>
      <w:bookmarkStart w:id="3830" w:name="_Toc267251498"/>
      <w:bookmarkEnd w:id="3830"/>
      <w:bookmarkStart w:id="3831" w:name="_Toc267251493"/>
      <w:bookmarkEnd w:id="3831"/>
      <w:bookmarkStart w:id="3832" w:name="_Toc267251515"/>
      <w:bookmarkEnd w:id="3832"/>
      <w:bookmarkStart w:id="3833" w:name="_Toc267251488"/>
      <w:bookmarkEnd w:id="3833"/>
      <w:bookmarkStart w:id="3834" w:name="_Toc267251503"/>
      <w:bookmarkEnd w:id="3834"/>
      <w:bookmarkStart w:id="3835" w:name="_Toc267251499"/>
      <w:bookmarkEnd w:id="3835"/>
      <w:bookmarkStart w:id="3836" w:name="_Toc267251494"/>
      <w:bookmarkEnd w:id="3836"/>
      <w:bookmarkStart w:id="3837" w:name="_Toc267251504"/>
      <w:bookmarkEnd w:id="3837"/>
      <w:bookmarkStart w:id="3838" w:name="_Toc267251501"/>
      <w:bookmarkEnd w:id="3838"/>
      <w:bookmarkStart w:id="3839" w:name="_Toc267251489"/>
      <w:bookmarkEnd w:id="3839"/>
      <w:bookmarkStart w:id="3840" w:name="_Toc267251483"/>
      <w:bookmarkEnd w:id="3840"/>
      <w:bookmarkStart w:id="3841" w:name="_Toc267251513"/>
      <w:bookmarkEnd w:id="3841"/>
      <w:bookmarkStart w:id="3842" w:name="_Toc267251495"/>
      <w:bookmarkEnd w:id="3842"/>
      <w:bookmarkStart w:id="3843" w:name="_Toc351203647"/>
      <w:bookmarkEnd w:id="3843"/>
      <w:bookmarkStart w:id="3844" w:name="_Toc267251507"/>
      <w:bookmarkEnd w:id="3844"/>
      <w:bookmarkStart w:id="3845" w:name="_Toc267251502"/>
      <w:bookmarkEnd w:id="3845"/>
      <w:bookmarkStart w:id="3846" w:name="_Toc267251484"/>
      <w:bookmarkEnd w:id="3846"/>
      <w:bookmarkStart w:id="3847" w:name="_Toc267251497"/>
      <w:bookmarkEnd w:id="3847"/>
      <w:bookmarkStart w:id="3848" w:name="_Toc267251511"/>
      <w:bookmarkEnd w:id="3848"/>
      <w:bookmarkStart w:id="3849" w:name="_Toc267251508"/>
      <w:bookmarkEnd w:id="3849"/>
      <w:bookmarkStart w:id="3850" w:name="_Toc267251482"/>
      <w:bookmarkEnd w:id="3850"/>
      <w:bookmarkStart w:id="3851" w:name="_Toc267251506"/>
      <w:bookmarkEnd w:id="3851"/>
      <w:bookmarkStart w:id="3852" w:name="_Toc267251510"/>
      <w:bookmarkEnd w:id="3852"/>
      <w:bookmarkStart w:id="3853" w:name="_Toc267251514"/>
      <w:r>
        <w:rPr>
          <w:rFonts w:hint="eastAsia" w:ascii="宋体" w:hAnsi="宋体" w:eastAsia="宋体" w:cs="宋体"/>
          <w:b w:val="0"/>
          <w:bCs w:val="0"/>
          <w:color w:val="auto"/>
          <w:sz w:val="24"/>
          <w:szCs w:val="24"/>
          <w:highlight w:val="none"/>
        </w:rPr>
        <w:t>15. 缺陷责任期与保修</w:t>
      </w:r>
      <w:bookmarkEnd w:id="3853"/>
    </w:p>
    <w:p w14:paraId="4EC8F728">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p>
    <w:p w14:paraId="0E1DDF9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1D3DCD">
      <w:pPr>
        <w:keepNext w:val="0"/>
        <w:keepLines w:val="0"/>
        <w:pageBreakBefore w:val="0"/>
        <w:widowControl/>
        <w:kinsoku/>
        <w:wordWrap/>
        <w:overflowPunct/>
        <w:topLinePunct w:val="0"/>
        <w:bidi w:val="0"/>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854" w:name="_Toc31782"/>
      <w:bookmarkStart w:id="3855" w:name="_Toc30912"/>
      <w:bookmarkStart w:id="3856" w:name="_Toc12556"/>
      <w:bookmarkStart w:id="3857" w:name="_Toc13651"/>
      <w:bookmarkStart w:id="3858" w:name="_Toc6812"/>
      <w:bookmarkStart w:id="3859" w:name="_Toc4960"/>
      <w:bookmarkStart w:id="3860" w:name="_Toc19344"/>
      <w:bookmarkStart w:id="3861" w:name="_Toc18536"/>
      <w:bookmarkStart w:id="3862" w:name="_Toc14665"/>
      <w:bookmarkStart w:id="3863" w:name="_Toc10962"/>
      <w:bookmarkStart w:id="3864" w:name="_Toc20084"/>
      <w:bookmarkStart w:id="3865" w:name="_Toc12914"/>
      <w:bookmarkStart w:id="3866" w:name="_Toc30045"/>
      <w:bookmarkStart w:id="3867" w:name="_Toc18223"/>
      <w:bookmarkStart w:id="3868" w:name="_Toc7689"/>
      <w:bookmarkStart w:id="3869" w:name="_Toc13255"/>
      <w:r>
        <w:rPr>
          <w:rFonts w:hint="eastAsia" w:ascii="宋体" w:hAnsi="宋体" w:eastAsia="宋体" w:cs="宋体"/>
          <w:color w:val="auto"/>
          <w:sz w:val="24"/>
          <w:szCs w:val="24"/>
          <w:highlight w:val="none"/>
        </w:rPr>
        <w:t>15.3 质量保证金</w:t>
      </w:r>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p>
    <w:p w14:paraId="04280277">
      <w:pPr>
        <w:keepNext w:val="0"/>
        <w:keepLines w:val="0"/>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00E589F3">
      <w:pPr>
        <w:keepNext w:val="0"/>
        <w:keepLines w:val="0"/>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870" w:name="_Toc16261"/>
      <w:r>
        <w:rPr>
          <w:rFonts w:hint="eastAsia" w:ascii="宋体" w:hAnsi="宋体" w:eastAsia="宋体" w:cs="宋体"/>
          <w:color w:val="auto"/>
          <w:sz w:val="24"/>
          <w:szCs w:val="24"/>
          <w:highlight w:val="none"/>
        </w:rPr>
        <w:t>15.3.1 承包人提供质量保证金的方式</w:t>
      </w:r>
      <w:bookmarkEnd w:id="3870"/>
    </w:p>
    <w:p w14:paraId="76F299C4">
      <w:pPr>
        <w:keepNext w:val="0"/>
        <w:keepLines w:val="0"/>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2F9CC710">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54DC981F">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27D89C5C">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75C89B9">
      <w:pPr>
        <w:keepNext w:val="0"/>
        <w:keepLines w:val="0"/>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871" w:name="_Toc30492"/>
      <w:bookmarkStart w:id="3872" w:name="_Toc3738"/>
      <w:bookmarkStart w:id="3873" w:name="_Toc25971"/>
      <w:bookmarkStart w:id="3874" w:name="_Toc26766"/>
      <w:bookmarkStart w:id="3875" w:name="_Toc32020"/>
      <w:bookmarkStart w:id="3876" w:name="_Toc26442"/>
      <w:bookmarkStart w:id="3877" w:name="_Toc24824"/>
      <w:bookmarkStart w:id="3878" w:name="_Toc25591"/>
      <w:bookmarkStart w:id="3879" w:name="_Toc24603"/>
      <w:bookmarkStart w:id="3880" w:name="_Toc28065"/>
      <w:bookmarkStart w:id="3881" w:name="_Toc15492"/>
      <w:bookmarkStart w:id="3882" w:name="_Toc20584"/>
      <w:bookmarkStart w:id="3883" w:name="_Toc4126"/>
      <w:bookmarkStart w:id="3884" w:name="_Toc26609"/>
      <w:bookmarkStart w:id="3885" w:name="_Toc28806"/>
      <w:bookmarkStart w:id="3886" w:name="_Toc2689"/>
      <w:r>
        <w:rPr>
          <w:rFonts w:hint="eastAsia" w:ascii="宋体" w:hAnsi="宋体" w:eastAsia="宋体" w:cs="宋体"/>
          <w:color w:val="auto"/>
          <w:sz w:val="24"/>
          <w:szCs w:val="24"/>
          <w:highlight w:val="none"/>
        </w:rPr>
        <w:t>15.3.2 质量保证金的扣留</w:t>
      </w:r>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r>
        <w:rPr>
          <w:rFonts w:hint="eastAsia" w:ascii="宋体" w:hAnsi="宋体" w:eastAsia="宋体" w:cs="宋体"/>
          <w:color w:val="auto"/>
          <w:sz w:val="24"/>
          <w:szCs w:val="24"/>
          <w:highlight w:val="none"/>
        </w:rPr>
        <w:t xml:space="preserve"> </w:t>
      </w:r>
    </w:p>
    <w:p w14:paraId="5D698106">
      <w:pPr>
        <w:keepNext w:val="0"/>
        <w:keepLines w:val="0"/>
        <w:pageBreakBefore w:val="0"/>
        <w:widowControl/>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733BAD77">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23CBC7B0">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3887" w:name="_Toc17583"/>
      <w:bookmarkStart w:id="3888" w:name="_Toc15781"/>
      <w:bookmarkStart w:id="3889" w:name="_Toc11986"/>
      <w:bookmarkStart w:id="3890" w:name="_Toc4584"/>
      <w:bookmarkStart w:id="3891" w:name="_Toc23535"/>
      <w:bookmarkStart w:id="3892" w:name="_Toc26654"/>
      <w:bookmarkStart w:id="3893" w:name="_Toc13175"/>
      <w:bookmarkStart w:id="3894" w:name="_Toc12863"/>
      <w:bookmarkStart w:id="3895" w:name="_Toc30234"/>
      <w:bookmarkStart w:id="3896" w:name="_Toc20851"/>
      <w:bookmarkStart w:id="3897" w:name="_Toc29429"/>
      <w:bookmarkStart w:id="3898" w:name="_Toc531"/>
      <w:bookmarkStart w:id="3899" w:name="_Toc19342"/>
      <w:bookmarkStart w:id="3900" w:name="_Toc24097"/>
      <w:bookmarkStart w:id="3901" w:name="_Toc2620"/>
      <w:bookmarkStart w:id="3902" w:name="_Toc21387"/>
      <w:r>
        <w:rPr>
          <w:rFonts w:hint="eastAsia" w:ascii="宋体" w:hAnsi="宋体" w:eastAsia="宋体" w:cs="宋体"/>
          <w:color w:val="auto"/>
          <w:kern w:val="0"/>
          <w:sz w:val="24"/>
          <w:szCs w:val="24"/>
          <w:highlight w:val="none"/>
        </w:rPr>
        <w:t>（2）工程竣工结算时一次性扣留质量保证金；</w:t>
      </w:r>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p>
    <w:p w14:paraId="6BDF2EBB">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（3）其他扣留方式</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124CF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D12B34A">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p w14:paraId="297B59D6">
      <w:pPr>
        <w:pageBreakBefore w:val="0"/>
        <w:widowControl/>
        <w:kinsoku/>
        <w:wordWrap/>
        <w:overflowPunct/>
        <w:topLinePunct w:val="0"/>
        <w:bidi w:val="0"/>
        <w:spacing w:line="360" w:lineRule="auto"/>
        <w:ind w:firstLine="468" w:firstLineChars="19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40DA07BB">
      <w:pPr>
        <w:pageBreakBefore w:val="0"/>
        <w:widowControl/>
        <w:kinsoku/>
        <w:wordWrap/>
        <w:overflowPunct/>
        <w:topLinePunct w:val="0"/>
        <w:bidi w:val="0"/>
        <w:spacing w:line="360" w:lineRule="auto"/>
        <w:ind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AA9653D">
      <w:pPr>
        <w:pageBreakBefore w:val="0"/>
        <w:widowControl/>
        <w:kinsoku/>
        <w:wordWrap/>
        <w:overflowPunct/>
        <w:topLinePunct w:val="0"/>
        <w:autoSpaceDE/>
        <w:autoSpaceDN/>
        <w:bidi w:val="0"/>
        <w:adjustRightInd/>
        <w:snapToGrid/>
        <w:spacing w:line="360" w:lineRule="auto"/>
        <w:ind w:left="0" w:firstLine="468" w:firstLineChars="19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508CB2D5">
      <w:pPr>
        <w:pageBreakBefore w:val="0"/>
        <w:widowControl/>
        <w:kinsoku/>
        <w:wordWrap/>
        <w:overflowPunct/>
        <w:topLinePunct w:val="0"/>
        <w:autoSpaceDE/>
        <w:autoSpaceDN/>
        <w:bidi w:val="0"/>
        <w:adjustRightInd/>
        <w:snapToGrid/>
        <w:spacing w:line="360" w:lineRule="auto"/>
        <w:ind w:left="0" w:firstLine="468" w:firstLineChars="195"/>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0399A08">
      <w:pPr>
        <w:pageBreakBefore w:val="0"/>
        <w:widowControl/>
        <w:tabs>
          <w:tab w:val="left" w:pos="864"/>
        </w:tabs>
        <w:kinsoku/>
        <w:wordWrap/>
        <w:overflowPunct/>
        <w:topLinePunct w:val="0"/>
        <w:autoSpaceDE/>
        <w:autoSpaceDN/>
        <w:bidi w:val="0"/>
        <w:adjustRightInd/>
        <w:snapToGrid/>
        <w:spacing w:before="0" w:after="0" w:line="360" w:lineRule="auto"/>
        <w:ind w:left="0"/>
        <w:textAlignment w:val="auto"/>
        <w:outlineLvl w:val="9"/>
        <w:rPr>
          <w:rFonts w:hint="eastAsia" w:ascii="宋体" w:hAnsi="宋体" w:eastAsia="宋体" w:cs="宋体"/>
          <w:b w:val="0"/>
          <w:bCs w:val="0"/>
          <w:color w:val="auto"/>
          <w:sz w:val="24"/>
          <w:szCs w:val="24"/>
          <w:highlight w:val="none"/>
        </w:rPr>
      </w:pPr>
      <w:bookmarkStart w:id="3903" w:name="_Toc280868718"/>
      <w:bookmarkEnd w:id="3903"/>
      <w:bookmarkStart w:id="3904" w:name="_Toc280868717"/>
      <w:bookmarkEnd w:id="3904"/>
      <w:bookmarkStart w:id="3905" w:name="_Toc351203648"/>
      <w:bookmarkEnd w:id="3905"/>
      <w:r>
        <w:rPr>
          <w:rFonts w:hint="eastAsia" w:ascii="宋体" w:hAnsi="宋体" w:eastAsia="宋体" w:cs="宋体"/>
          <w:b w:val="0"/>
          <w:bCs w:val="0"/>
          <w:color w:val="auto"/>
          <w:sz w:val="24"/>
          <w:szCs w:val="24"/>
          <w:highlight w:val="none"/>
        </w:rPr>
        <w:t>16. 违约</w:t>
      </w:r>
    </w:p>
    <w:p w14:paraId="6C05B766">
      <w:pPr>
        <w:pageBreakBefore w:val="0"/>
        <w:widowControl/>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宋体"/>
          <w:color w:val="auto"/>
          <w:sz w:val="24"/>
          <w:szCs w:val="24"/>
          <w:highlight w:val="none"/>
        </w:rPr>
      </w:pPr>
      <w:bookmarkStart w:id="3906" w:name="_Toc26679"/>
      <w:bookmarkStart w:id="3907" w:name="_Toc16349"/>
      <w:bookmarkStart w:id="3908" w:name="_Toc24336"/>
      <w:bookmarkStart w:id="3909" w:name="_Toc5380"/>
      <w:bookmarkStart w:id="3910" w:name="_Toc9547"/>
      <w:bookmarkStart w:id="3911" w:name="_Toc5665"/>
      <w:bookmarkStart w:id="3912" w:name="_Toc25625"/>
      <w:bookmarkStart w:id="3913" w:name="_Toc12358"/>
      <w:bookmarkStart w:id="3914" w:name="_Toc813"/>
      <w:bookmarkStart w:id="3915" w:name="_Toc7857"/>
      <w:bookmarkStart w:id="3916" w:name="_Toc22411"/>
      <w:bookmarkStart w:id="3917" w:name="_Toc11005"/>
      <w:bookmarkStart w:id="3918" w:name="_Toc8124"/>
      <w:bookmarkStart w:id="3919" w:name="_Toc17826"/>
      <w:bookmarkStart w:id="3920" w:name="_Toc29249"/>
      <w:bookmarkStart w:id="3921" w:name="_Toc14998"/>
      <w:r>
        <w:rPr>
          <w:rFonts w:hint="eastAsia" w:ascii="宋体" w:hAnsi="宋体" w:eastAsia="宋体" w:cs="宋体"/>
          <w:color w:val="auto"/>
          <w:sz w:val="24"/>
          <w:szCs w:val="24"/>
          <w:highlight w:val="none"/>
        </w:rPr>
        <w:t>16.1 发包人违约</w:t>
      </w:r>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p>
    <w:p w14:paraId="2BE6EE82">
      <w:pPr>
        <w:pageBreakBefore w:val="0"/>
        <w:widowControl/>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4DCC0B40">
      <w:pPr>
        <w:pageBreakBefore w:val="0"/>
        <w:widowControl/>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339B1BB">
      <w:pPr>
        <w:pageBreakBefore w:val="0"/>
        <w:widowControl/>
        <w:kinsoku/>
        <w:wordWrap/>
        <w:overflowPunct/>
        <w:topLinePunct w:val="0"/>
        <w:autoSpaceDE/>
        <w:autoSpaceDN/>
        <w:bidi w:val="0"/>
        <w:adjustRightInd/>
        <w:snapToGrid/>
        <w:spacing w:line="360" w:lineRule="auto"/>
        <w:ind w:left="0" w:hanging="1200" w:hangingChars="5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16.1.2 发包人违约的责任</w:t>
      </w:r>
    </w:p>
    <w:p w14:paraId="1E2A85E8">
      <w:pPr>
        <w:pageBreakBefore w:val="0"/>
        <w:widowControl/>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6675A37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14E62E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365863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C1A6F6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9F5357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352767A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84C3FF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50C701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016BFD37">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133BCC28">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922" w:name="_Toc24974"/>
      <w:bookmarkStart w:id="3923" w:name="_Toc20342"/>
      <w:bookmarkStart w:id="3924" w:name="_Toc22716"/>
      <w:bookmarkStart w:id="3925" w:name="_Toc17536"/>
      <w:bookmarkStart w:id="3926" w:name="_Toc13258"/>
      <w:bookmarkStart w:id="3927" w:name="_Toc6661"/>
      <w:bookmarkStart w:id="3928" w:name="_Toc25602"/>
      <w:bookmarkStart w:id="3929" w:name="_Toc11791"/>
      <w:bookmarkStart w:id="3930" w:name="_Toc5099"/>
      <w:bookmarkStart w:id="3931" w:name="_Toc12712"/>
      <w:bookmarkStart w:id="3932" w:name="_Toc10283"/>
      <w:bookmarkStart w:id="3933" w:name="_Toc25141"/>
      <w:bookmarkStart w:id="3934" w:name="_Toc8297"/>
      <w:bookmarkStart w:id="3935" w:name="_Toc32440"/>
      <w:bookmarkStart w:id="3936" w:name="_Toc20799"/>
      <w:bookmarkStart w:id="3937" w:name="_Toc14749"/>
      <w:r>
        <w:rPr>
          <w:rFonts w:hint="eastAsia" w:ascii="宋体" w:hAnsi="宋体" w:eastAsia="宋体" w:cs="宋体"/>
          <w:color w:val="auto"/>
          <w:sz w:val="24"/>
          <w:szCs w:val="24"/>
          <w:highlight w:val="none"/>
        </w:rPr>
        <w:t>16.2 承包人违约</w:t>
      </w:r>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p>
    <w:p w14:paraId="18D50FF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772BBE6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ED6916F">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16.2.2承包人违约的责任</w:t>
      </w:r>
    </w:p>
    <w:p w14:paraId="13FB72C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承包人违约责任的承担方式和计算方法：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 xml:space="preserve">    </w:t>
      </w:r>
    </w:p>
    <w:p w14:paraId="18306EB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59FF4FCA">
      <w:pPr>
        <w:pageBreakBefore w:val="0"/>
        <w:widowControl/>
        <w:kinsoku/>
        <w:wordWrap/>
        <w:overflowPunct/>
        <w:topLinePunct w:val="0"/>
        <w:bidi w:val="0"/>
        <w:spacing w:before="120" w:after="120"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6BBE349">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333811E">
      <w:pPr>
        <w:pageBreakBefore w:val="0"/>
        <w:widowControl/>
        <w:tabs>
          <w:tab w:val="left" w:pos="864"/>
        </w:tabs>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4"/>
          <w:szCs w:val="24"/>
          <w:highlight w:val="none"/>
        </w:rPr>
      </w:pPr>
      <w:bookmarkStart w:id="3938" w:name="_Toc351203649"/>
      <w:bookmarkEnd w:id="3938"/>
      <w:r>
        <w:rPr>
          <w:rFonts w:hint="eastAsia" w:ascii="宋体" w:hAnsi="宋体" w:eastAsia="宋体" w:cs="宋体"/>
          <w:b w:val="0"/>
          <w:bCs w:val="0"/>
          <w:color w:val="auto"/>
          <w:sz w:val="24"/>
          <w:szCs w:val="24"/>
          <w:highlight w:val="none"/>
        </w:rPr>
        <w:t xml:space="preserve">17. 不可抗力 </w:t>
      </w:r>
    </w:p>
    <w:p w14:paraId="5AFAF86E">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06EB8B9">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C9DE249">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939" w:name="_Toc11021"/>
      <w:bookmarkStart w:id="3940" w:name="_Toc7552"/>
      <w:bookmarkStart w:id="3941" w:name="_Toc25995"/>
      <w:bookmarkStart w:id="3942" w:name="_Toc9164"/>
      <w:bookmarkStart w:id="3943" w:name="_Toc4124"/>
      <w:bookmarkStart w:id="3944" w:name="_Toc25455"/>
      <w:bookmarkStart w:id="3945" w:name="_Toc16051"/>
      <w:bookmarkStart w:id="3946" w:name="_Toc6717"/>
      <w:bookmarkStart w:id="3947" w:name="_Toc29669"/>
      <w:bookmarkStart w:id="3948" w:name="_Toc7328"/>
      <w:bookmarkStart w:id="3949" w:name="_Toc6438"/>
      <w:bookmarkStart w:id="3950" w:name="_Toc5458"/>
      <w:bookmarkStart w:id="3951" w:name="_Toc3584"/>
      <w:bookmarkStart w:id="3952" w:name="_Toc4682"/>
      <w:bookmarkStart w:id="3953" w:name="_Toc12424"/>
      <w:bookmarkStart w:id="3954" w:name="_Toc32403"/>
      <w:r>
        <w:rPr>
          <w:rFonts w:hint="eastAsia" w:ascii="宋体" w:hAnsi="宋体" w:eastAsia="宋体" w:cs="宋体"/>
          <w:color w:val="auto"/>
          <w:sz w:val="24"/>
          <w:szCs w:val="24"/>
          <w:highlight w:val="none"/>
        </w:rPr>
        <w:t>17.4 因不可抗力解除合同</w:t>
      </w:r>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p>
    <w:p w14:paraId="0D318ABE">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1377B5F5">
      <w:pPr>
        <w:pageBreakBefore w:val="0"/>
        <w:widowControl/>
        <w:tabs>
          <w:tab w:val="left" w:pos="864"/>
        </w:tabs>
        <w:kinsoku/>
        <w:wordWrap/>
        <w:overflowPunct/>
        <w:topLinePunct w:val="0"/>
        <w:autoSpaceDE/>
        <w:autoSpaceDN/>
        <w:bidi w:val="0"/>
        <w:adjustRightInd/>
        <w:snapToGrid/>
        <w:spacing w:after="0" w:line="360" w:lineRule="auto"/>
        <w:textAlignment w:val="auto"/>
        <w:outlineLvl w:val="9"/>
        <w:rPr>
          <w:rFonts w:hint="eastAsia" w:ascii="宋体" w:hAnsi="宋体" w:eastAsia="宋体" w:cs="宋体"/>
          <w:b w:val="0"/>
          <w:bCs w:val="0"/>
          <w:color w:val="auto"/>
          <w:sz w:val="24"/>
          <w:szCs w:val="24"/>
          <w:highlight w:val="none"/>
        </w:rPr>
      </w:pPr>
      <w:bookmarkStart w:id="3955" w:name="_Toc351203650"/>
      <w:bookmarkEnd w:id="3955"/>
      <w:r>
        <w:rPr>
          <w:rFonts w:hint="eastAsia" w:ascii="宋体" w:hAnsi="宋体" w:eastAsia="宋体" w:cs="宋体"/>
          <w:b w:val="0"/>
          <w:bCs w:val="0"/>
          <w:color w:val="auto"/>
          <w:sz w:val="24"/>
          <w:szCs w:val="24"/>
          <w:highlight w:val="none"/>
        </w:rPr>
        <w:t>18. 保险</w:t>
      </w:r>
    </w:p>
    <w:p w14:paraId="22D68FDE">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6A0E1482">
      <w:pPr>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53DFEAF">
      <w:pPr>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3956" w:name="_Toc14025"/>
      <w:bookmarkStart w:id="3957" w:name="_Toc17861"/>
      <w:bookmarkStart w:id="3958" w:name="_Toc17141"/>
      <w:bookmarkStart w:id="3959" w:name="_Toc28483"/>
      <w:bookmarkStart w:id="3960" w:name="_Toc4363"/>
      <w:bookmarkStart w:id="3961" w:name="_Toc18889"/>
      <w:bookmarkStart w:id="3962" w:name="_Toc10561"/>
      <w:bookmarkStart w:id="3963" w:name="_Toc3715"/>
      <w:bookmarkStart w:id="3964" w:name="_Toc23323"/>
      <w:bookmarkStart w:id="3965" w:name="_Toc22276"/>
      <w:bookmarkStart w:id="3966" w:name="_Toc22893"/>
      <w:bookmarkStart w:id="3967" w:name="_Toc12529"/>
      <w:bookmarkStart w:id="3968" w:name="_Toc4035"/>
      <w:bookmarkStart w:id="3969" w:name="_Toc17889"/>
      <w:bookmarkStart w:id="3970" w:name="_Toc7157"/>
      <w:bookmarkStart w:id="3971" w:name="_Toc2232"/>
      <w:r>
        <w:rPr>
          <w:rFonts w:hint="eastAsia" w:ascii="宋体" w:hAnsi="宋体" w:eastAsia="宋体" w:cs="宋体"/>
          <w:color w:val="auto"/>
          <w:sz w:val="24"/>
          <w:szCs w:val="24"/>
          <w:highlight w:val="none"/>
        </w:rPr>
        <w:t>18.3 其他保险</w:t>
      </w:r>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p>
    <w:p w14:paraId="330C491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960D4F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139D53">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03B3951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EC3169">
      <w:pPr>
        <w:pageBreakBefore w:val="0"/>
        <w:widowControl/>
        <w:tabs>
          <w:tab w:val="left" w:pos="864"/>
        </w:tabs>
        <w:kinsoku/>
        <w:wordWrap/>
        <w:overflowPunct/>
        <w:topLinePunct w:val="0"/>
        <w:bidi w:val="0"/>
        <w:spacing w:line="360" w:lineRule="auto"/>
        <w:textAlignment w:val="auto"/>
        <w:outlineLvl w:val="9"/>
        <w:rPr>
          <w:rFonts w:hint="eastAsia" w:ascii="宋体" w:hAnsi="宋体" w:eastAsia="宋体" w:cs="宋体"/>
          <w:b w:val="0"/>
          <w:bCs w:val="0"/>
          <w:color w:val="auto"/>
          <w:sz w:val="24"/>
          <w:szCs w:val="24"/>
          <w:highlight w:val="none"/>
        </w:rPr>
      </w:pPr>
      <w:bookmarkStart w:id="3972" w:name="_Toc351203651"/>
      <w:bookmarkEnd w:id="3972"/>
      <w:r>
        <w:rPr>
          <w:rFonts w:hint="eastAsia" w:ascii="宋体" w:hAnsi="宋体" w:eastAsia="宋体" w:cs="宋体"/>
          <w:b w:val="0"/>
          <w:bCs w:val="0"/>
          <w:color w:val="auto"/>
          <w:sz w:val="24"/>
          <w:szCs w:val="24"/>
          <w:highlight w:val="none"/>
        </w:rPr>
        <w:t>20. 争议解决</w:t>
      </w:r>
    </w:p>
    <w:p w14:paraId="61FE880C">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3973" w:name="_Toc5998"/>
      <w:bookmarkStart w:id="3974" w:name="_Toc22779"/>
      <w:bookmarkStart w:id="3975" w:name="_Toc17159"/>
      <w:bookmarkStart w:id="3976" w:name="_Toc31967"/>
      <w:bookmarkStart w:id="3977" w:name="_Toc27943"/>
      <w:bookmarkStart w:id="3978" w:name="_Toc18892"/>
      <w:bookmarkStart w:id="3979" w:name="_Toc7327"/>
      <w:bookmarkStart w:id="3980" w:name="_Toc17035"/>
      <w:bookmarkStart w:id="3981" w:name="_Toc32635"/>
      <w:bookmarkStart w:id="3982" w:name="_Toc13661"/>
      <w:bookmarkStart w:id="3983" w:name="_Toc28232"/>
      <w:bookmarkStart w:id="3984" w:name="_Toc6782"/>
      <w:bookmarkStart w:id="3985" w:name="_Toc21441"/>
      <w:bookmarkStart w:id="3986" w:name="_Toc31389"/>
      <w:bookmarkStart w:id="3987" w:name="_Toc1500"/>
      <w:bookmarkStart w:id="3988" w:name="_Toc13326"/>
      <w:r>
        <w:rPr>
          <w:rFonts w:hint="eastAsia" w:ascii="宋体" w:hAnsi="宋体" w:eastAsia="宋体" w:cs="宋体"/>
          <w:color w:val="auto"/>
          <w:sz w:val="24"/>
          <w:szCs w:val="24"/>
          <w:highlight w:val="none"/>
        </w:rPr>
        <w:t>20.3 争议评审</w:t>
      </w:r>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p>
    <w:p w14:paraId="2C0D5D84">
      <w:pPr>
        <w:pageBreakBefore w:val="0"/>
        <w:widowControl/>
        <w:kinsoku/>
        <w:wordWrap/>
        <w:overflowPunct/>
        <w:topLinePunct w:val="0"/>
        <w:bidi w:val="0"/>
        <w:spacing w:line="360" w:lineRule="auto"/>
        <w:ind w:left="142" w:leftChars="71" w:firstLine="360" w:firstLineChars="15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B1DBF4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3989" w:name="_Toc9326"/>
      <w:bookmarkStart w:id="3990" w:name="_Toc1638"/>
      <w:bookmarkStart w:id="3991" w:name="_Toc28143"/>
      <w:bookmarkStart w:id="3992" w:name="_Toc11256"/>
      <w:bookmarkStart w:id="3993" w:name="_Toc16914"/>
      <w:bookmarkStart w:id="3994" w:name="_Toc26228"/>
      <w:bookmarkStart w:id="3995" w:name="_Toc4021"/>
      <w:bookmarkStart w:id="3996" w:name="_Toc26346"/>
      <w:bookmarkStart w:id="3997" w:name="_Toc1150"/>
      <w:bookmarkStart w:id="3998" w:name="_Toc2367"/>
      <w:bookmarkStart w:id="3999" w:name="_Toc30205"/>
      <w:bookmarkStart w:id="4000" w:name="_Toc23570"/>
      <w:bookmarkStart w:id="4001" w:name="_Toc20509"/>
      <w:bookmarkStart w:id="4002" w:name="_Toc9578"/>
      <w:bookmarkStart w:id="4003" w:name="_Toc16922"/>
      <w:bookmarkStart w:id="4004" w:name="_Toc11631"/>
      <w:r>
        <w:rPr>
          <w:rFonts w:hint="eastAsia" w:ascii="宋体" w:hAnsi="宋体" w:eastAsia="宋体" w:cs="宋体"/>
          <w:color w:val="auto"/>
          <w:sz w:val="24"/>
          <w:szCs w:val="24"/>
          <w:highlight w:val="none"/>
        </w:rPr>
        <w:t>20.3.1 争议评审小组的确定</w:t>
      </w:r>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p>
    <w:p w14:paraId="457F410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55F70D">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F94201">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51CD1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58BCE1">
      <w:pPr>
        <w:pageBreakBefore w:val="0"/>
        <w:widowControl/>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rPr>
      </w:pPr>
      <w:bookmarkStart w:id="4005" w:name="_Toc14449"/>
      <w:bookmarkStart w:id="4006" w:name="_Toc24961"/>
      <w:bookmarkStart w:id="4007" w:name="_Toc30778"/>
      <w:bookmarkStart w:id="4008" w:name="_Toc21716"/>
      <w:bookmarkStart w:id="4009" w:name="_Toc13577"/>
      <w:bookmarkStart w:id="4010" w:name="_Toc5365"/>
      <w:bookmarkStart w:id="4011" w:name="_Toc29261"/>
      <w:bookmarkStart w:id="4012" w:name="_Toc15646"/>
      <w:bookmarkStart w:id="4013" w:name="_Toc23494"/>
      <w:bookmarkStart w:id="4014" w:name="_Toc27733"/>
      <w:bookmarkStart w:id="4015" w:name="_Toc20544"/>
      <w:bookmarkStart w:id="4016" w:name="_Toc13165"/>
      <w:bookmarkStart w:id="4017" w:name="_Toc9038"/>
      <w:bookmarkStart w:id="4018" w:name="_Toc26862"/>
      <w:bookmarkStart w:id="4019" w:name="_Toc3856"/>
      <w:bookmarkStart w:id="4020" w:name="_Toc5445"/>
      <w:r>
        <w:rPr>
          <w:rFonts w:hint="eastAsia" w:ascii="宋体" w:hAnsi="宋体" w:eastAsia="宋体" w:cs="宋体"/>
          <w:color w:val="auto"/>
          <w:kern w:val="0"/>
          <w:sz w:val="24"/>
          <w:szCs w:val="24"/>
          <w:highlight w:val="none"/>
        </w:rPr>
        <w:t>20.3.2 争议评审小组的决定</w:t>
      </w:r>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p>
    <w:p w14:paraId="47334B6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w:t>
      </w:r>
      <w:r>
        <w:rPr>
          <w:rFonts w:hint="eastAsia" w:ascii="宋体" w:hAnsi="宋体" w:eastAsia="宋体" w:cs="宋体"/>
          <w:color w:val="auto"/>
          <w:sz w:val="24"/>
          <w:szCs w:val="24"/>
          <w:highlight w:val="none"/>
          <w:lang w:eastAsia="zh-CN"/>
        </w:rPr>
        <w:t>本事</w:t>
      </w:r>
      <w:r>
        <w:rPr>
          <w:rFonts w:hint="eastAsia" w:ascii="宋体" w:hAnsi="宋体" w:eastAsia="宋体" w:cs="宋体"/>
          <w:color w:val="auto"/>
          <w:sz w:val="24"/>
          <w:szCs w:val="24"/>
          <w:highlight w:val="none"/>
        </w:rPr>
        <w:t>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687C03">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bookmarkStart w:id="4021" w:name="_Toc19316"/>
      <w:bookmarkStart w:id="4022" w:name="_Toc878"/>
      <w:bookmarkStart w:id="4023" w:name="_Toc4614"/>
      <w:bookmarkStart w:id="4024" w:name="_Toc22594"/>
      <w:bookmarkStart w:id="4025" w:name="_Toc13975"/>
      <w:bookmarkStart w:id="4026" w:name="_Toc11582"/>
      <w:bookmarkStart w:id="4027" w:name="_Toc10329"/>
      <w:bookmarkStart w:id="4028" w:name="_Toc4031"/>
      <w:bookmarkStart w:id="4029" w:name="_Toc612"/>
      <w:bookmarkStart w:id="4030" w:name="_Toc32451"/>
      <w:bookmarkStart w:id="4031" w:name="_Toc15727"/>
      <w:bookmarkStart w:id="4032" w:name="_Toc11433"/>
      <w:bookmarkStart w:id="4033" w:name="_Toc2608"/>
      <w:bookmarkStart w:id="4034" w:name="_Toc30981"/>
      <w:bookmarkStart w:id="4035" w:name="_Toc1857"/>
      <w:bookmarkStart w:id="4036" w:name="_Toc4710"/>
      <w:r>
        <w:rPr>
          <w:rFonts w:hint="eastAsia" w:ascii="宋体" w:hAnsi="宋体" w:eastAsia="宋体" w:cs="宋体"/>
          <w:color w:val="auto"/>
          <w:sz w:val="24"/>
          <w:szCs w:val="24"/>
          <w:highlight w:val="none"/>
        </w:rPr>
        <w:t>20.4仲裁或诉讼</w:t>
      </w:r>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p>
    <w:p w14:paraId="63E098BE">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77BC926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2E93065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51FDFF81">
      <w:pPr>
        <w:pageBreakBefore w:val="0"/>
        <w:widowControl/>
        <w:kinsoku/>
        <w:wordWrap/>
        <w:overflowPunct/>
        <w:topLinePunct w:val="0"/>
        <w:bidi w:val="0"/>
        <w:spacing w:line="360" w:lineRule="auto"/>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bookmarkStart w:id="4037" w:name="_Toc351203652"/>
      <w:bookmarkEnd w:id="4037"/>
      <w:r>
        <w:rPr>
          <w:rFonts w:hint="eastAsia" w:ascii="宋体" w:hAnsi="宋体" w:eastAsia="宋体" w:cs="宋体"/>
          <w:b/>
          <w:bCs/>
          <w:color w:val="auto"/>
          <w:sz w:val="24"/>
          <w:szCs w:val="24"/>
          <w:highlight w:val="none"/>
        </w:rPr>
        <w:t>附件</w:t>
      </w:r>
    </w:p>
    <w:p w14:paraId="5E8BEE6E">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4D550BF5">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038" w:name="_Toc10893"/>
      <w:bookmarkStart w:id="4039" w:name="_Toc2056"/>
      <w:bookmarkStart w:id="4040" w:name="_Toc31630"/>
      <w:bookmarkStart w:id="4041" w:name="_Toc15605"/>
      <w:bookmarkStart w:id="4042" w:name="_Toc25201"/>
      <w:bookmarkStart w:id="4043" w:name="_Toc834"/>
      <w:bookmarkStart w:id="4044" w:name="_Toc10489"/>
      <w:bookmarkStart w:id="4045" w:name="_Toc2242"/>
      <w:bookmarkStart w:id="4046" w:name="_Toc19587"/>
      <w:bookmarkStart w:id="4047" w:name="_Toc23373"/>
      <w:bookmarkStart w:id="4048" w:name="_Toc24915"/>
      <w:bookmarkStart w:id="4049" w:name="_Toc13719"/>
      <w:bookmarkStart w:id="4050" w:name="_Toc29222"/>
      <w:bookmarkStart w:id="4051" w:name="_Toc10067"/>
      <w:bookmarkStart w:id="4052" w:name="_Toc30903"/>
      <w:r>
        <w:rPr>
          <w:rFonts w:hint="eastAsia" w:ascii="宋体" w:hAnsi="宋体" w:eastAsia="宋体" w:cs="宋体"/>
          <w:color w:val="auto"/>
          <w:sz w:val="24"/>
          <w:szCs w:val="24"/>
          <w:highlight w:val="none"/>
        </w:rPr>
        <w:t>附件1：承包人承揽工程项目一览表</w:t>
      </w:r>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p>
    <w:p w14:paraId="7F442955">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14:paraId="5A37218D">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053" w:name="_Toc13418"/>
      <w:bookmarkStart w:id="4054" w:name="_Toc24986"/>
      <w:bookmarkStart w:id="4055" w:name="_Toc32589"/>
      <w:bookmarkStart w:id="4056" w:name="_Toc7520"/>
      <w:bookmarkStart w:id="4057" w:name="_Toc31154"/>
      <w:bookmarkStart w:id="4058" w:name="_Toc23066"/>
      <w:bookmarkStart w:id="4059" w:name="_Toc18567"/>
      <w:bookmarkStart w:id="4060" w:name="_Toc12456"/>
      <w:bookmarkStart w:id="4061" w:name="_Toc20840"/>
      <w:bookmarkStart w:id="4062" w:name="_Toc16488"/>
      <w:bookmarkStart w:id="4063" w:name="_Toc26568"/>
      <w:bookmarkStart w:id="4064" w:name="_Toc7114"/>
      <w:bookmarkStart w:id="4065" w:name="_Toc3011"/>
      <w:bookmarkStart w:id="4066" w:name="_Toc2992"/>
      <w:bookmarkStart w:id="4067" w:name="_Toc15048"/>
      <w:r>
        <w:rPr>
          <w:rFonts w:hint="eastAsia" w:ascii="宋体" w:hAnsi="宋体" w:eastAsia="宋体" w:cs="宋体"/>
          <w:color w:val="auto"/>
          <w:sz w:val="24"/>
          <w:szCs w:val="24"/>
          <w:highlight w:val="none"/>
        </w:rPr>
        <w:t>附件2：发包人供应材料设备一览表</w:t>
      </w:r>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p>
    <w:p w14:paraId="72F7F6C9">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068" w:name="_Toc1750"/>
      <w:bookmarkStart w:id="4069" w:name="_Toc6527"/>
      <w:bookmarkStart w:id="4070" w:name="_Toc22073"/>
      <w:bookmarkStart w:id="4071" w:name="_Toc15470"/>
      <w:bookmarkStart w:id="4072" w:name="_Toc25323"/>
      <w:bookmarkStart w:id="4073" w:name="_Toc32270"/>
      <w:bookmarkStart w:id="4074" w:name="_Toc8374"/>
      <w:bookmarkStart w:id="4075" w:name="_Toc14084"/>
      <w:bookmarkStart w:id="4076" w:name="_Toc23325"/>
      <w:bookmarkStart w:id="4077" w:name="_Toc4846"/>
      <w:bookmarkStart w:id="4078" w:name="_Toc1389"/>
      <w:bookmarkStart w:id="4079" w:name="_Toc19289"/>
      <w:bookmarkStart w:id="4080" w:name="_Toc27931"/>
      <w:bookmarkStart w:id="4081" w:name="_Toc21808"/>
      <w:bookmarkStart w:id="4082" w:name="_Toc21292"/>
      <w:r>
        <w:rPr>
          <w:rFonts w:hint="eastAsia" w:ascii="宋体" w:hAnsi="宋体" w:eastAsia="宋体" w:cs="宋体"/>
          <w:color w:val="auto"/>
          <w:sz w:val="24"/>
          <w:szCs w:val="24"/>
          <w:highlight w:val="none"/>
        </w:rPr>
        <w:t>附件3：工程质量保修书</w:t>
      </w:r>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p>
    <w:p w14:paraId="7ED1C81A">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083" w:name="_Toc18529"/>
      <w:bookmarkStart w:id="4084" w:name="_Toc7756"/>
      <w:bookmarkStart w:id="4085" w:name="_Toc251"/>
      <w:bookmarkStart w:id="4086" w:name="_Toc9723"/>
      <w:bookmarkStart w:id="4087" w:name="_Toc30348"/>
      <w:bookmarkStart w:id="4088" w:name="_Toc16415"/>
      <w:bookmarkStart w:id="4089" w:name="_Toc25369"/>
      <w:bookmarkStart w:id="4090" w:name="_Toc22681"/>
      <w:bookmarkStart w:id="4091" w:name="_Toc8283"/>
      <w:bookmarkStart w:id="4092" w:name="_Toc11978"/>
      <w:bookmarkStart w:id="4093" w:name="_Toc5749"/>
      <w:bookmarkStart w:id="4094" w:name="_Toc3615"/>
      <w:bookmarkStart w:id="4095" w:name="_Toc23931"/>
      <w:bookmarkStart w:id="4096" w:name="_Toc12224"/>
      <w:bookmarkStart w:id="4097" w:name="_Toc27501"/>
      <w:r>
        <w:rPr>
          <w:rFonts w:hint="eastAsia" w:ascii="宋体" w:hAnsi="宋体" w:eastAsia="宋体" w:cs="宋体"/>
          <w:color w:val="auto"/>
          <w:sz w:val="24"/>
          <w:szCs w:val="24"/>
          <w:highlight w:val="none"/>
        </w:rPr>
        <w:t>附件4：主要建设工程文件目录</w:t>
      </w:r>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p>
    <w:p w14:paraId="6BF63478">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098" w:name="_Toc18439"/>
      <w:bookmarkStart w:id="4099" w:name="_Toc30768"/>
      <w:bookmarkStart w:id="4100" w:name="_Toc21263"/>
      <w:bookmarkStart w:id="4101" w:name="_Toc13915"/>
      <w:bookmarkStart w:id="4102" w:name="_Toc29287"/>
      <w:bookmarkStart w:id="4103" w:name="_Toc14073"/>
      <w:bookmarkStart w:id="4104" w:name="_Toc18428"/>
      <w:bookmarkStart w:id="4105" w:name="_Toc11969"/>
      <w:bookmarkStart w:id="4106" w:name="_Toc31035"/>
      <w:bookmarkStart w:id="4107" w:name="_Toc3972"/>
      <w:bookmarkStart w:id="4108" w:name="_Toc32234"/>
      <w:bookmarkStart w:id="4109" w:name="_Toc29822"/>
      <w:bookmarkStart w:id="4110" w:name="_Toc30009"/>
      <w:bookmarkStart w:id="4111" w:name="_Toc25501"/>
      <w:bookmarkStart w:id="4112" w:name="_Toc25098"/>
      <w:r>
        <w:rPr>
          <w:rFonts w:hint="eastAsia" w:ascii="宋体" w:hAnsi="宋体" w:eastAsia="宋体" w:cs="宋体"/>
          <w:color w:val="auto"/>
          <w:sz w:val="24"/>
          <w:szCs w:val="24"/>
          <w:highlight w:val="none"/>
        </w:rPr>
        <w:t>附件5：承包人用于本工程施工的机械设备表</w:t>
      </w:r>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p>
    <w:p w14:paraId="2781375D">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13" w:name="_Toc19409"/>
      <w:bookmarkStart w:id="4114" w:name="_Toc32760"/>
      <w:bookmarkStart w:id="4115" w:name="_Toc7027"/>
      <w:bookmarkStart w:id="4116" w:name="_Toc10605"/>
      <w:bookmarkStart w:id="4117" w:name="_Toc26931"/>
      <w:bookmarkStart w:id="4118" w:name="_Toc6261"/>
      <w:bookmarkStart w:id="4119" w:name="_Toc25399"/>
      <w:bookmarkStart w:id="4120" w:name="_Toc13065"/>
      <w:bookmarkStart w:id="4121" w:name="_Toc5252"/>
      <w:bookmarkStart w:id="4122" w:name="_Toc23948"/>
      <w:bookmarkStart w:id="4123" w:name="_Toc29441"/>
      <w:bookmarkStart w:id="4124" w:name="_Toc14802"/>
      <w:bookmarkStart w:id="4125" w:name="_Toc6593"/>
      <w:bookmarkStart w:id="4126" w:name="_Toc3411"/>
      <w:bookmarkStart w:id="4127" w:name="_Toc19935"/>
      <w:r>
        <w:rPr>
          <w:rFonts w:hint="eastAsia" w:ascii="宋体" w:hAnsi="宋体" w:eastAsia="宋体" w:cs="宋体"/>
          <w:color w:val="auto"/>
          <w:sz w:val="24"/>
          <w:szCs w:val="24"/>
          <w:highlight w:val="none"/>
        </w:rPr>
        <w:t>附件6：承包人主要施工管理人员表</w:t>
      </w:r>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p>
    <w:p w14:paraId="6E762644">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28" w:name="_Toc17465"/>
      <w:bookmarkStart w:id="4129" w:name="_Toc4495"/>
      <w:bookmarkStart w:id="4130" w:name="_Toc527"/>
      <w:bookmarkStart w:id="4131" w:name="_Toc20221"/>
      <w:bookmarkStart w:id="4132" w:name="_Toc32042"/>
      <w:bookmarkStart w:id="4133" w:name="_Toc31264"/>
      <w:bookmarkStart w:id="4134" w:name="_Toc6723"/>
      <w:bookmarkStart w:id="4135" w:name="_Toc1170"/>
      <w:bookmarkStart w:id="4136" w:name="_Toc14171"/>
      <w:bookmarkStart w:id="4137" w:name="_Toc10019"/>
      <w:bookmarkStart w:id="4138" w:name="_Toc23790"/>
      <w:bookmarkStart w:id="4139" w:name="_Toc20434"/>
      <w:bookmarkStart w:id="4140" w:name="_Toc24175"/>
      <w:bookmarkStart w:id="4141" w:name="_Toc13193"/>
      <w:bookmarkStart w:id="4142" w:name="_Toc23568"/>
      <w:r>
        <w:rPr>
          <w:rFonts w:hint="eastAsia" w:ascii="宋体" w:hAnsi="宋体" w:eastAsia="宋体" w:cs="宋体"/>
          <w:color w:val="auto"/>
          <w:sz w:val="24"/>
          <w:szCs w:val="24"/>
          <w:highlight w:val="none"/>
        </w:rPr>
        <w:t>附件7：分包人主要施工管理人员表</w:t>
      </w:r>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p>
    <w:p w14:paraId="16FBD160">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43" w:name="_Toc8497"/>
      <w:bookmarkStart w:id="4144" w:name="_Toc29614"/>
      <w:bookmarkStart w:id="4145" w:name="_Toc18500"/>
      <w:bookmarkStart w:id="4146" w:name="_Toc28404"/>
      <w:bookmarkStart w:id="4147" w:name="_Toc6012"/>
      <w:bookmarkStart w:id="4148" w:name="_Toc31042"/>
      <w:bookmarkStart w:id="4149" w:name="_Toc22351"/>
      <w:bookmarkStart w:id="4150" w:name="_Toc30290"/>
      <w:bookmarkStart w:id="4151" w:name="_Toc14744"/>
      <w:bookmarkStart w:id="4152" w:name="_Toc23997"/>
      <w:bookmarkStart w:id="4153" w:name="_Toc32019"/>
      <w:bookmarkStart w:id="4154" w:name="_Toc13674"/>
      <w:bookmarkStart w:id="4155" w:name="_Toc29833"/>
      <w:bookmarkStart w:id="4156" w:name="_Toc3628"/>
      <w:bookmarkStart w:id="4157" w:name="_Toc19780"/>
      <w:r>
        <w:rPr>
          <w:rFonts w:hint="eastAsia" w:ascii="宋体" w:hAnsi="宋体" w:eastAsia="宋体" w:cs="宋体"/>
          <w:color w:val="auto"/>
          <w:sz w:val="24"/>
          <w:szCs w:val="24"/>
          <w:highlight w:val="none"/>
        </w:rPr>
        <w:t>附件8：履约担保格式</w:t>
      </w:r>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p>
    <w:p w14:paraId="47D54FBD">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58" w:name="_Toc24390"/>
      <w:bookmarkStart w:id="4159" w:name="_Toc15938"/>
      <w:bookmarkStart w:id="4160" w:name="_Toc17340"/>
      <w:bookmarkStart w:id="4161" w:name="_Toc14829"/>
      <w:bookmarkStart w:id="4162" w:name="_Toc15350"/>
      <w:bookmarkStart w:id="4163" w:name="_Toc24611"/>
      <w:bookmarkStart w:id="4164" w:name="_Toc11315"/>
      <w:bookmarkStart w:id="4165" w:name="_Toc6843"/>
      <w:bookmarkStart w:id="4166" w:name="_Toc18946"/>
      <w:bookmarkStart w:id="4167" w:name="_Toc22243"/>
      <w:bookmarkStart w:id="4168" w:name="_Toc22132"/>
      <w:bookmarkStart w:id="4169" w:name="_Toc26316"/>
      <w:bookmarkStart w:id="4170" w:name="_Toc12690"/>
      <w:bookmarkStart w:id="4171" w:name="_Toc5801"/>
      <w:bookmarkStart w:id="4172" w:name="_Toc9171"/>
      <w:r>
        <w:rPr>
          <w:rFonts w:hint="eastAsia" w:ascii="宋体" w:hAnsi="宋体" w:eastAsia="宋体" w:cs="宋体"/>
          <w:color w:val="auto"/>
          <w:sz w:val="24"/>
          <w:szCs w:val="24"/>
          <w:highlight w:val="none"/>
        </w:rPr>
        <w:t>附件9：预付款担保格式</w:t>
      </w:r>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p>
    <w:p w14:paraId="2FB53669">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73" w:name="_Toc1379"/>
      <w:bookmarkStart w:id="4174" w:name="_Toc12172"/>
      <w:bookmarkStart w:id="4175" w:name="_Toc9695"/>
      <w:bookmarkStart w:id="4176" w:name="_Toc30146"/>
      <w:bookmarkStart w:id="4177" w:name="_Toc1047"/>
      <w:bookmarkStart w:id="4178" w:name="_Toc14134"/>
      <w:bookmarkStart w:id="4179" w:name="_Toc17306"/>
      <w:bookmarkStart w:id="4180" w:name="_Toc7091"/>
      <w:bookmarkStart w:id="4181" w:name="_Toc11201"/>
      <w:bookmarkStart w:id="4182" w:name="_Toc28426"/>
      <w:bookmarkStart w:id="4183" w:name="_Toc4793"/>
      <w:bookmarkStart w:id="4184" w:name="_Toc29772"/>
      <w:bookmarkStart w:id="4185" w:name="_Toc31046"/>
      <w:bookmarkStart w:id="4186" w:name="_Toc10872"/>
      <w:bookmarkStart w:id="4187" w:name="_Toc20071"/>
      <w:r>
        <w:rPr>
          <w:rFonts w:hint="eastAsia" w:ascii="宋体" w:hAnsi="宋体" w:eastAsia="宋体" w:cs="宋体"/>
          <w:color w:val="auto"/>
          <w:sz w:val="24"/>
          <w:szCs w:val="24"/>
          <w:highlight w:val="none"/>
        </w:rPr>
        <w:t>附件10：支付担保格式</w:t>
      </w:r>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p>
    <w:p w14:paraId="3F6A0394">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bookmarkStart w:id="4188" w:name="_Toc16275"/>
      <w:bookmarkStart w:id="4189" w:name="_Toc7037"/>
      <w:bookmarkStart w:id="4190" w:name="_Toc21914"/>
      <w:bookmarkStart w:id="4191" w:name="_Toc4516"/>
      <w:bookmarkStart w:id="4192" w:name="_Toc797"/>
      <w:bookmarkStart w:id="4193" w:name="_Toc19524"/>
      <w:bookmarkStart w:id="4194" w:name="_Toc24252"/>
      <w:bookmarkStart w:id="4195" w:name="_Toc20024"/>
      <w:bookmarkStart w:id="4196" w:name="_Toc20087"/>
      <w:bookmarkStart w:id="4197" w:name="_Toc21884"/>
      <w:bookmarkStart w:id="4198" w:name="_Toc20585"/>
      <w:bookmarkStart w:id="4199" w:name="_Toc1889"/>
      <w:bookmarkStart w:id="4200" w:name="_Toc29631"/>
      <w:bookmarkStart w:id="4201" w:name="_Toc12321"/>
      <w:bookmarkStart w:id="4202" w:name="_Toc26179"/>
      <w:r>
        <w:rPr>
          <w:rFonts w:hint="eastAsia" w:ascii="宋体" w:hAnsi="宋体" w:eastAsia="宋体" w:cs="宋体"/>
          <w:color w:val="auto"/>
          <w:sz w:val="24"/>
          <w:szCs w:val="24"/>
          <w:highlight w:val="none"/>
        </w:rPr>
        <w:t>附件11：暂估价一览表</w:t>
      </w:r>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p>
    <w:p w14:paraId="70E9D4F4">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sectPr>
          <w:pgSz w:w="11906" w:h="16838"/>
          <w:pgMar w:top="1418" w:right="1555" w:bottom="1418" w:left="1531" w:header="720" w:footer="720" w:gutter="0"/>
          <w:pgNumType w:fmt="decimal"/>
          <w:cols w:space="720" w:num="1"/>
          <w:docGrid w:type="lines" w:linePitch="312" w:charSpace="0"/>
        </w:sectPr>
      </w:pPr>
    </w:p>
    <w:p w14:paraId="4B87D05A">
      <w:pPr>
        <w:pageBreakBefore w:val="0"/>
        <w:widowControl/>
        <w:kinsoku/>
        <w:wordWrap/>
        <w:overflowPunct/>
        <w:topLinePunct w:val="0"/>
        <w:bidi w:val="0"/>
        <w:spacing w:before="156" w:beforeLines="50" w:after="156" w:afterLines="50" w:line="360" w:lineRule="auto"/>
        <w:jc w:val="center"/>
        <w:textAlignment w:val="auto"/>
        <w:outlineLvl w:val="9"/>
        <w:rPr>
          <w:rFonts w:hint="eastAsia" w:ascii="宋体" w:hAnsi="宋体" w:eastAsia="宋体" w:cs="宋体"/>
          <w:color w:val="auto"/>
          <w:sz w:val="24"/>
          <w:szCs w:val="24"/>
          <w:highlight w:val="none"/>
        </w:rPr>
      </w:pPr>
      <w:bookmarkStart w:id="4203" w:name="_Toc25333"/>
      <w:bookmarkStart w:id="4204" w:name="_Toc13589"/>
      <w:bookmarkStart w:id="4205" w:name="_Toc16184"/>
      <w:bookmarkStart w:id="4206" w:name="_Toc735"/>
      <w:bookmarkStart w:id="4207" w:name="_Toc5188"/>
      <w:bookmarkStart w:id="4208" w:name="_Toc30529"/>
      <w:bookmarkStart w:id="4209" w:name="_Toc26600"/>
      <w:bookmarkStart w:id="4210" w:name="_Toc30166"/>
      <w:bookmarkStart w:id="4211" w:name="_Toc12225"/>
      <w:bookmarkStart w:id="4212" w:name="_Toc32565"/>
      <w:bookmarkStart w:id="4213" w:name="_Toc13784"/>
      <w:bookmarkStart w:id="4214" w:name="_Toc8771"/>
      <w:bookmarkStart w:id="4215" w:name="_Toc464"/>
      <w:bookmarkStart w:id="4216" w:name="_Toc21583"/>
      <w:bookmarkStart w:id="4217" w:name="_Toc10966"/>
      <w:r>
        <w:rPr>
          <w:rFonts w:hint="eastAsia" w:ascii="宋体" w:hAnsi="宋体" w:eastAsia="宋体" w:cs="宋体"/>
          <w:color w:val="auto"/>
          <w:sz w:val="24"/>
          <w:szCs w:val="24"/>
          <w:highlight w:val="none"/>
        </w:rPr>
        <w:t>附件1：承包人承揽工程项目一览表</w:t>
      </w:r>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p>
    <w:tbl>
      <w:tblPr>
        <w:tblStyle w:val="27"/>
        <w:tblW w:w="14601" w:type="dxa"/>
        <w:tblInd w:w="-318" w:type="dxa"/>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668A86CD">
        <w:tblPrEx>
          <w:tblCellMar>
            <w:top w:w="0" w:type="dxa"/>
            <w:left w:w="28" w:type="dxa"/>
            <w:bottom w:w="0" w:type="dxa"/>
            <w:right w:w="28" w:type="dxa"/>
          </w:tblCellMar>
        </w:tblPrEx>
        <w:tc>
          <w:tcPr>
            <w:tcW w:w="1277" w:type="dxa"/>
            <w:tcBorders>
              <w:top w:val="single" w:color="auto" w:sz="12" w:space="0"/>
              <w:left w:val="single" w:color="auto" w:sz="12" w:space="0"/>
              <w:bottom w:val="double" w:color="auto" w:sz="2" w:space="0"/>
              <w:right w:val="single" w:color="auto" w:sz="6" w:space="0"/>
            </w:tcBorders>
            <w:noWrap w:val="0"/>
            <w:vAlign w:val="center"/>
          </w:tcPr>
          <w:p w14:paraId="1A77956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单位工程名称</w:t>
            </w:r>
          </w:p>
        </w:tc>
        <w:tc>
          <w:tcPr>
            <w:tcW w:w="1843" w:type="dxa"/>
            <w:tcBorders>
              <w:top w:val="single" w:color="auto" w:sz="12" w:space="0"/>
              <w:left w:val="single" w:color="auto" w:sz="6" w:space="0"/>
              <w:bottom w:val="double" w:color="auto" w:sz="2" w:space="0"/>
              <w:right w:val="single" w:color="auto" w:sz="6" w:space="0"/>
            </w:tcBorders>
            <w:noWrap w:val="0"/>
            <w:vAlign w:val="center"/>
          </w:tcPr>
          <w:p w14:paraId="2AFF14A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建设规模</w:t>
            </w:r>
          </w:p>
        </w:tc>
        <w:tc>
          <w:tcPr>
            <w:tcW w:w="1417" w:type="dxa"/>
            <w:tcBorders>
              <w:top w:val="single" w:color="auto" w:sz="12" w:space="0"/>
              <w:left w:val="single" w:color="auto" w:sz="6" w:space="0"/>
              <w:bottom w:val="double" w:color="auto" w:sz="2" w:space="0"/>
              <w:right w:val="single" w:color="auto" w:sz="6" w:space="0"/>
            </w:tcBorders>
            <w:noWrap w:val="0"/>
            <w:vAlign w:val="center"/>
          </w:tcPr>
          <w:p w14:paraId="2B855C1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建筑面积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平方米</w:t>
            </w:r>
            <w:r>
              <w:rPr>
                <w:rFonts w:hint="eastAsia" w:ascii="宋体" w:hAnsi="宋体" w:eastAsia="宋体" w:cs="宋体"/>
                <w:color w:val="auto"/>
                <w:sz w:val="24"/>
                <w:szCs w:val="24"/>
                <w:highlight w:val="none"/>
                <w:lang w:eastAsia="zh-CN"/>
              </w:rPr>
              <w:t>）</w:t>
            </w:r>
          </w:p>
        </w:tc>
        <w:tc>
          <w:tcPr>
            <w:tcW w:w="2410" w:type="dxa"/>
            <w:tcBorders>
              <w:top w:val="single" w:color="auto" w:sz="12" w:space="0"/>
              <w:left w:val="single" w:color="auto" w:sz="6" w:space="0"/>
              <w:bottom w:val="double" w:color="auto" w:sz="2" w:space="0"/>
              <w:right w:val="single" w:color="auto" w:sz="6" w:space="0"/>
            </w:tcBorders>
            <w:noWrap w:val="0"/>
            <w:vAlign w:val="center"/>
          </w:tcPr>
          <w:p w14:paraId="35273C3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结构形式</w:t>
            </w:r>
          </w:p>
        </w:tc>
        <w:tc>
          <w:tcPr>
            <w:tcW w:w="850" w:type="dxa"/>
            <w:tcBorders>
              <w:top w:val="single" w:color="auto" w:sz="12" w:space="0"/>
              <w:left w:val="single" w:color="auto" w:sz="6" w:space="0"/>
              <w:bottom w:val="double" w:color="auto" w:sz="2" w:space="0"/>
              <w:right w:val="single" w:color="auto" w:sz="6" w:space="0"/>
            </w:tcBorders>
            <w:noWrap w:val="0"/>
            <w:vAlign w:val="center"/>
          </w:tcPr>
          <w:p w14:paraId="6059D9A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层数</w:t>
            </w:r>
          </w:p>
        </w:tc>
        <w:tc>
          <w:tcPr>
            <w:tcW w:w="1560" w:type="dxa"/>
            <w:tcBorders>
              <w:top w:val="single" w:color="auto" w:sz="12" w:space="0"/>
              <w:left w:val="single" w:color="auto" w:sz="6" w:space="0"/>
              <w:bottom w:val="double" w:color="auto" w:sz="2" w:space="0"/>
              <w:right w:val="single" w:color="auto" w:sz="6" w:space="0"/>
            </w:tcBorders>
            <w:noWrap w:val="0"/>
            <w:vAlign w:val="center"/>
          </w:tcPr>
          <w:p w14:paraId="531459F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生产能力</w:t>
            </w:r>
          </w:p>
        </w:tc>
        <w:tc>
          <w:tcPr>
            <w:tcW w:w="2126" w:type="dxa"/>
            <w:tcBorders>
              <w:top w:val="single" w:color="auto" w:sz="12" w:space="0"/>
              <w:left w:val="single" w:color="auto" w:sz="6" w:space="0"/>
              <w:bottom w:val="double" w:color="auto" w:sz="2" w:space="0"/>
              <w:right w:val="single" w:color="auto" w:sz="6" w:space="0"/>
            </w:tcBorders>
            <w:noWrap w:val="0"/>
            <w:vAlign w:val="center"/>
          </w:tcPr>
          <w:p w14:paraId="27662A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设备安装内容</w:t>
            </w:r>
          </w:p>
        </w:tc>
        <w:tc>
          <w:tcPr>
            <w:tcW w:w="1417" w:type="dxa"/>
            <w:tcBorders>
              <w:top w:val="single" w:color="auto" w:sz="12" w:space="0"/>
              <w:left w:val="single" w:color="auto" w:sz="6" w:space="0"/>
              <w:bottom w:val="double" w:color="auto" w:sz="2" w:space="0"/>
              <w:right w:val="single" w:color="auto" w:sz="6" w:space="0"/>
            </w:tcBorders>
            <w:noWrap w:val="0"/>
            <w:vAlign w:val="center"/>
          </w:tcPr>
          <w:p w14:paraId="03FB3F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合同价格（元）</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404BB67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p>
        </w:tc>
        <w:tc>
          <w:tcPr>
            <w:tcW w:w="850" w:type="dxa"/>
            <w:tcBorders>
              <w:top w:val="single" w:color="auto" w:sz="12" w:space="0"/>
              <w:left w:val="single" w:color="auto" w:sz="6" w:space="0"/>
              <w:bottom w:val="double" w:color="auto" w:sz="2" w:space="0"/>
              <w:right w:val="single" w:color="auto" w:sz="12" w:space="0"/>
            </w:tcBorders>
            <w:noWrap w:val="0"/>
            <w:vAlign w:val="center"/>
          </w:tcPr>
          <w:p w14:paraId="4CA8EB2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竣工日期</w:t>
            </w:r>
          </w:p>
        </w:tc>
      </w:tr>
      <w:tr w14:paraId="3C3F3D03">
        <w:tblPrEx>
          <w:tblCellMar>
            <w:top w:w="0" w:type="dxa"/>
            <w:left w:w="28" w:type="dxa"/>
            <w:bottom w:w="0" w:type="dxa"/>
            <w:right w:w="28" w:type="dxa"/>
          </w:tblCellMar>
        </w:tblPrEx>
        <w:trPr>
          <w:trHeight w:val="567" w:hRule="atLeast"/>
        </w:trPr>
        <w:tc>
          <w:tcPr>
            <w:tcW w:w="1277" w:type="dxa"/>
            <w:tcBorders>
              <w:top w:val="double" w:color="auto" w:sz="2" w:space="0"/>
              <w:left w:val="single" w:color="auto" w:sz="12" w:space="0"/>
              <w:bottom w:val="single" w:color="auto" w:sz="6" w:space="0"/>
              <w:right w:val="single" w:color="auto" w:sz="6" w:space="0"/>
            </w:tcBorders>
            <w:noWrap w:val="0"/>
            <w:vAlign w:val="center"/>
          </w:tcPr>
          <w:p w14:paraId="7E73CE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double" w:color="auto" w:sz="2" w:space="0"/>
              <w:left w:val="single" w:color="auto" w:sz="6" w:space="0"/>
              <w:bottom w:val="single" w:color="auto" w:sz="6" w:space="0"/>
              <w:right w:val="single" w:color="auto" w:sz="6" w:space="0"/>
            </w:tcBorders>
            <w:noWrap w:val="0"/>
            <w:vAlign w:val="center"/>
          </w:tcPr>
          <w:p w14:paraId="15F6F7B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double" w:color="auto" w:sz="2" w:space="0"/>
              <w:left w:val="single" w:color="auto" w:sz="6" w:space="0"/>
              <w:bottom w:val="single" w:color="auto" w:sz="6" w:space="0"/>
              <w:right w:val="single" w:color="auto" w:sz="6" w:space="0"/>
            </w:tcBorders>
            <w:noWrap w:val="0"/>
            <w:vAlign w:val="center"/>
          </w:tcPr>
          <w:p w14:paraId="466E43E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double" w:color="auto" w:sz="2" w:space="0"/>
              <w:left w:val="single" w:color="auto" w:sz="6" w:space="0"/>
              <w:bottom w:val="single" w:color="auto" w:sz="6" w:space="0"/>
              <w:right w:val="single" w:color="auto" w:sz="6" w:space="0"/>
            </w:tcBorders>
            <w:noWrap w:val="0"/>
            <w:vAlign w:val="center"/>
          </w:tcPr>
          <w:p w14:paraId="5444034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6" w:space="0"/>
            </w:tcBorders>
            <w:noWrap w:val="0"/>
            <w:vAlign w:val="center"/>
          </w:tcPr>
          <w:p w14:paraId="26270D4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double" w:color="auto" w:sz="2" w:space="0"/>
              <w:left w:val="single" w:color="auto" w:sz="6" w:space="0"/>
              <w:bottom w:val="single" w:color="auto" w:sz="6" w:space="0"/>
              <w:right w:val="single" w:color="auto" w:sz="6" w:space="0"/>
            </w:tcBorders>
            <w:noWrap w:val="0"/>
            <w:vAlign w:val="center"/>
          </w:tcPr>
          <w:p w14:paraId="6855537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double" w:color="auto" w:sz="2" w:space="0"/>
              <w:left w:val="single" w:color="auto" w:sz="6" w:space="0"/>
              <w:bottom w:val="single" w:color="auto" w:sz="6" w:space="0"/>
              <w:right w:val="single" w:color="auto" w:sz="6" w:space="0"/>
            </w:tcBorders>
            <w:noWrap w:val="0"/>
            <w:vAlign w:val="center"/>
          </w:tcPr>
          <w:p w14:paraId="7B6281B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double" w:color="auto" w:sz="2" w:space="0"/>
              <w:left w:val="single" w:color="auto" w:sz="6" w:space="0"/>
              <w:bottom w:val="single" w:color="auto" w:sz="6" w:space="0"/>
              <w:right w:val="single" w:color="auto" w:sz="6" w:space="0"/>
            </w:tcBorders>
            <w:noWrap w:val="0"/>
            <w:vAlign w:val="center"/>
          </w:tcPr>
          <w:p w14:paraId="21D6A5D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7F4CF6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12" w:space="0"/>
            </w:tcBorders>
            <w:noWrap w:val="0"/>
            <w:vAlign w:val="center"/>
          </w:tcPr>
          <w:p w14:paraId="4A24DE7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CE4DCE9">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194645F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763F0E9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423A8EE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4078F45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33902AD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306D7A5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73C1CF8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2D5B60E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13A8880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09181E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E37BD68">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47A837B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7C0356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05E6A5A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6CFA1F4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74F717A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732092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3DB2867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6F73709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27904BF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4B4996E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474AE07">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2E3BE51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740CCF1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50A10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500423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8AB983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5AEDD2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60FAFBA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5188A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A2A1A1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2A393C2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CC6B55E">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4B15428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195101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1D0E5F5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435083E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234DA17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34BF704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0FC233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5A0D9E9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142F8EF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0DD323B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C815988">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7C7D51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45969E3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95DEAF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2FEABFB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0348AE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7C86B2C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5EE212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E71E8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268F93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6B9DBCB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96280FF">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10BBAB0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023AE97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548197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25E0C36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5168704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1FFC6FA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1BF5D96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1EF089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49BE53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03E816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8F60079">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34E2FC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1CEF3B3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7FB4240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5E760E3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21F0D43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478EBD1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6E33AA5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5069F5C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3A0FD30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3C72F81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D32842E">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12F7AE7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0230C1D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088A96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638373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C60056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2FC5322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40D520C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399B58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0C70E8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5EC8E0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754BE17">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0FC63D9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7D874A8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761D4C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02E07AD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2B3DE7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544DCC3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1EB850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2D3AEA0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59BAEB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40D6E87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3E9C242">
        <w:tblPrEx>
          <w:tblCellMar>
            <w:top w:w="0" w:type="dxa"/>
            <w:left w:w="28" w:type="dxa"/>
            <w:bottom w:w="0" w:type="dxa"/>
            <w:right w:w="28" w:type="dxa"/>
          </w:tblCellMar>
        </w:tblPrEx>
        <w:trPr>
          <w:trHeight w:val="333" w:hRule="atLeast"/>
        </w:trPr>
        <w:tc>
          <w:tcPr>
            <w:tcW w:w="1277" w:type="dxa"/>
            <w:tcBorders>
              <w:top w:val="single" w:color="auto" w:sz="6" w:space="0"/>
              <w:left w:val="single" w:color="auto" w:sz="12" w:space="0"/>
              <w:bottom w:val="single" w:color="auto" w:sz="12" w:space="0"/>
              <w:right w:val="single" w:color="auto" w:sz="6" w:space="0"/>
            </w:tcBorders>
            <w:noWrap w:val="0"/>
            <w:vAlign w:val="center"/>
          </w:tcPr>
          <w:p w14:paraId="365855B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12" w:space="0"/>
              <w:right w:val="single" w:color="auto" w:sz="6" w:space="0"/>
            </w:tcBorders>
            <w:noWrap w:val="0"/>
            <w:vAlign w:val="center"/>
          </w:tcPr>
          <w:p w14:paraId="5913E0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03C7A04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14:paraId="19EFC2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6" w:space="0"/>
            </w:tcBorders>
            <w:noWrap w:val="0"/>
            <w:vAlign w:val="center"/>
          </w:tcPr>
          <w:p w14:paraId="2BFB6E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12" w:space="0"/>
              <w:right w:val="single" w:color="auto" w:sz="6" w:space="0"/>
            </w:tcBorders>
            <w:noWrap w:val="0"/>
            <w:vAlign w:val="center"/>
          </w:tcPr>
          <w:p w14:paraId="2A6DE52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12" w:space="0"/>
              <w:right w:val="single" w:color="auto" w:sz="6" w:space="0"/>
            </w:tcBorders>
            <w:noWrap w:val="0"/>
            <w:vAlign w:val="center"/>
          </w:tcPr>
          <w:p w14:paraId="596E308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53A9B7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04E0BBE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12" w:space="0"/>
            </w:tcBorders>
            <w:noWrap w:val="0"/>
            <w:vAlign w:val="center"/>
          </w:tcPr>
          <w:p w14:paraId="40BCCF9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bl>
    <w:p w14:paraId="2B7F6BFE">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sectPr>
          <w:pgSz w:w="16838" w:h="11906" w:orient="landscape"/>
          <w:pgMar w:top="1554" w:right="1418" w:bottom="1531" w:left="1418" w:header="720" w:footer="720" w:gutter="0"/>
          <w:pgNumType w:fmt="decimal"/>
          <w:cols w:space="720" w:num="1"/>
          <w:docGrid w:type="lines" w:linePitch="312" w:charSpace="0"/>
        </w:sectPr>
      </w:pPr>
    </w:p>
    <w:p w14:paraId="7071A64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bookmarkStart w:id="4218" w:name="_Toc22053"/>
      <w:bookmarkStart w:id="4219" w:name="_Toc18643"/>
      <w:bookmarkStart w:id="4220" w:name="_Toc18028"/>
      <w:bookmarkStart w:id="4221" w:name="_Toc15454"/>
      <w:bookmarkStart w:id="4222" w:name="_Toc6936"/>
      <w:bookmarkStart w:id="4223" w:name="_Toc18798"/>
      <w:bookmarkStart w:id="4224" w:name="_Toc6928"/>
      <w:bookmarkStart w:id="4225" w:name="_Toc12339"/>
      <w:bookmarkStart w:id="4226" w:name="_Toc15486"/>
      <w:bookmarkStart w:id="4227" w:name="_Toc16632"/>
      <w:bookmarkStart w:id="4228" w:name="_Toc30355"/>
      <w:bookmarkStart w:id="4229" w:name="_Toc24658"/>
      <w:bookmarkStart w:id="4230" w:name="_Toc19308"/>
      <w:bookmarkStart w:id="4231" w:name="_Toc32373"/>
      <w:bookmarkStart w:id="4232" w:name="_Toc19465"/>
      <w:r>
        <w:rPr>
          <w:rFonts w:hint="eastAsia" w:ascii="宋体" w:hAnsi="宋体" w:eastAsia="宋体" w:cs="宋体"/>
          <w:color w:val="auto"/>
          <w:sz w:val="24"/>
          <w:szCs w:val="24"/>
          <w:highlight w:val="none"/>
        </w:rPr>
        <w:t>附</w:t>
      </w:r>
      <w:bookmarkStart w:id="4233" w:name="_Toc296891053"/>
      <w:bookmarkEnd w:id="4233"/>
      <w:bookmarkStart w:id="4234" w:name="_Toc296503225"/>
      <w:bookmarkEnd w:id="4234"/>
      <w:bookmarkStart w:id="4235" w:name="_Toc267261692"/>
      <w:bookmarkEnd w:id="4235"/>
      <w:bookmarkStart w:id="4236" w:name="_Toc296891265"/>
      <w:bookmarkEnd w:id="4236"/>
      <w:bookmarkStart w:id="4237" w:name="_Toc296347224"/>
      <w:bookmarkEnd w:id="4237"/>
      <w:bookmarkStart w:id="4238" w:name="_Toc296346726"/>
      <w:bookmarkEnd w:id="4238"/>
      <w:bookmarkStart w:id="4239" w:name="_Toc296944564"/>
      <w:r>
        <w:rPr>
          <w:rFonts w:hint="eastAsia" w:ascii="宋体" w:hAnsi="宋体" w:eastAsia="宋体" w:cs="宋体"/>
          <w:color w:val="auto"/>
          <w:sz w:val="24"/>
          <w:szCs w:val="24"/>
          <w:highlight w:val="none"/>
        </w:rPr>
        <w:t>件2：</w:t>
      </w:r>
      <w:bookmarkEnd w:id="4239"/>
      <w:r>
        <w:rPr>
          <w:rFonts w:hint="eastAsia" w:ascii="宋体" w:hAnsi="宋体" w:eastAsia="宋体" w:cs="宋体"/>
          <w:color w:val="auto"/>
          <w:sz w:val="24"/>
          <w:szCs w:val="24"/>
          <w:highlight w:val="none"/>
        </w:rPr>
        <w:t>发包人供应材料设备一览表</w:t>
      </w:r>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p>
    <w:tbl>
      <w:tblPr>
        <w:tblStyle w:val="27"/>
        <w:tblW w:w="10702" w:type="dxa"/>
        <w:jc w:val="center"/>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889C429">
        <w:tblPrEx>
          <w:tblCellMar>
            <w:top w:w="0" w:type="dxa"/>
            <w:left w:w="28" w:type="dxa"/>
            <w:bottom w:w="0" w:type="dxa"/>
            <w:right w:w="28" w:type="dxa"/>
          </w:tblCellMar>
        </w:tblPrEx>
        <w:trPr>
          <w:jc w:val="center"/>
        </w:trPr>
        <w:tc>
          <w:tcPr>
            <w:tcW w:w="851" w:type="dxa"/>
            <w:tcBorders>
              <w:top w:val="single" w:color="auto" w:sz="12" w:space="0"/>
              <w:left w:val="single" w:color="auto" w:sz="12" w:space="0"/>
              <w:bottom w:val="double" w:color="auto" w:sz="2" w:space="0"/>
              <w:right w:val="single" w:color="auto" w:sz="6" w:space="0"/>
            </w:tcBorders>
            <w:noWrap w:val="0"/>
            <w:vAlign w:val="center"/>
          </w:tcPr>
          <w:p w14:paraId="312B7B0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76" w:type="dxa"/>
            <w:tcBorders>
              <w:top w:val="single" w:color="auto" w:sz="12" w:space="0"/>
              <w:left w:val="single" w:color="auto" w:sz="6" w:space="0"/>
              <w:bottom w:val="double" w:color="auto" w:sz="2" w:space="0"/>
              <w:right w:val="single" w:color="auto" w:sz="6" w:space="0"/>
            </w:tcBorders>
            <w:noWrap w:val="0"/>
            <w:vAlign w:val="center"/>
          </w:tcPr>
          <w:p w14:paraId="39FFAF3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材料、</w:t>
            </w:r>
          </w:p>
          <w:p w14:paraId="142BF70E">
            <w:pPr>
              <w:pStyle w:val="9"/>
              <w:keepNext/>
              <w:pageBreakBefore w:val="0"/>
              <w:widowControl/>
              <w:kinsoku/>
              <w:wordWrap/>
              <w:overflowPunct/>
              <w:topLinePunct w:val="0"/>
              <w:bidi w:val="0"/>
              <w:spacing w:line="360" w:lineRule="auto"/>
              <w:ind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设备品种</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131B51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40" w:type="dxa"/>
            <w:tcBorders>
              <w:top w:val="single" w:color="auto" w:sz="12" w:space="0"/>
              <w:left w:val="single" w:color="auto" w:sz="6" w:space="0"/>
              <w:bottom w:val="double" w:color="auto" w:sz="2" w:space="0"/>
              <w:right w:val="single" w:color="auto" w:sz="6" w:space="0"/>
            </w:tcBorders>
            <w:noWrap w:val="0"/>
            <w:vAlign w:val="center"/>
          </w:tcPr>
          <w:p w14:paraId="4811B2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03FEF23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044" w:type="dxa"/>
            <w:tcBorders>
              <w:top w:val="single" w:color="auto" w:sz="12" w:space="0"/>
              <w:left w:val="single" w:color="auto" w:sz="6" w:space="0"/>
              <w:bottom w:val="double" w:color="auto" w:sz="2" w:space="0"/>
              <w:right w:val="single" w:color="auto" w:sz="6" w:space="0"/>
            </w:tcBorders>
            <w:noWrap w:val="0"/>
            <w:vAlign w:val="center"/>
          </w:tcPr>
          <w:p w14:paraId="533E183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992" w:type="dxa"/>
            <w:tcBorders>
              <w:top w:val="single" w:color="auto" w:sz="12" w:space="0"/>
              <w:left w:val="single" w:color="auto" w:sz="6" w:space="0"/>
              <w:bottom w:val="double" w:color="auto" w:sz="2" w:space="0"/>
              <w:right w:val="single" w:color="auto" w:sz="6" w:space="0"/>
            </w:tcBorders>
            <w:noWrap w:val="0"/>
            <w:vAlign w:val="center"/>
          </w:tcPr>
          <w:p w14:paraId="6416B24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7628433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供应时间</w:t>
            </w:r>
          </w:p>
        </w:tc>
        <w:tc>
          <w:tcPr>
            <w:tcW w:w="1487" w:type="dxa"/>
            <w:tcBorders>
              <w:top w:val="single" w:color="auto" w:sz="12" w:space="0"/>
              <w:left w:val="single" w:color="auto" w:sz="6" w:space="0"/>
              <w:bottom w:val="double" w:color="auto" w:sz="2" w:space="0"/>
              <w:right w:val="single" w:color="auto" w:sz="6" w:space="0"/>
            </w:tcBorders>
            <w:noWrap w:val="0"/>
            <w:vAlign w:val="center"/>
          </w:tcPr>
          <w:p w14:paraId="4706095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送达地点</w:t>
            </w:r>
          </w:p>
        </w:tc>
        <w:tc>
          <w:tcPr>
            <w:tcW w:w="992" w:type="dxa"/>
            <w:tcBorders>
              <w:top w:val="single" w:color="auto" w:sz="12" w:space="0"/>
              <w:left w:val="single" w:color="auto" w:sz="6" w:space="0"/>
              <w:bottom w:val="double" w:color="auto" w:sz="2" w:space="0"/>
              <w:right w:val="single" w:color="auto" w:sz="12" w:space="0"/>
            </w:tcBorders>
            <w:noWrap w:val="0"/>
            <w:vAlign w:val="center"/>
          </w:tcPr>
          <w:p w14:paraId="5A0959F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108C8E0">
        <w:tblPrEx>
          <w:tblCellMar>
            <w:top w:w="0" w:type="dxa"/>
            <w:left w:w="28" w:type="dxa"/>
            <w:bottom w:w="0" w:type="dxa"/>
            <w:right w:w="28" w:type="dxa"/>
          </w:tblCellMar>
        </w:tblPrEx>
        <w:trPr>
          <w:trHeight w:val="567" w:hRule="atLeast"/>
          <w:jc w:val="center"/>
        </w:trPr>
        <w:tc>
          <w:tcPr>
            <w:tcW w:w="851" w:type="dxa"/>
            <w:tcBorders>
              <w:top w:val="double" w:color="auto" w:sz="2" w:space="0"/>
              <w:left w:val="single" w:color="auto" w:sz="12" w:space="0"/>
              <w:bottom w:val="single" w:color="auto" w:sz="6" w:space="0"/>
              <w:right w:val="single" w:color="auto" w:sz="6" w:space="0"/>
            </w:tcBorders>
            <w:noWrap w:val="0"/>
            <w:vAlign w:val="center"/>
          </w:tcPr>
          <w:p w14:paraId="3E925CE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6" w:space="0"/>
            </w:tcBorders>
            <w:noWrap w:val="0"/>
            <w:vAlign w:val="center"/>
          </w:tcPr>
          <w:p w14:paraId="41E3473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center"/>
          </w:tcPr>
          <w:p w14:paraId="346DC87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double" w:color="auto" w:sz="2" w:space="0"/>
              <w:left w:val="single" w:color="auto" w:sz="6" w:space="0"/>
              <w:bottom w:val="single" w:color="auto" w:sz="6" w:space="0"/>
              <w:right w:val="single" w:color="auto" w:sz="6" w:space="0"/>
            </w:tcBorders>
            <w:noWrap w:val="0"/>
            <w:vAlign w:val="center"/>
          </w:tcPr>
          <w:p w14:paraId="59504BD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6E0CDDE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double" w:color="auto" w:sz="2" w:space="0"/>
              <w:left w:val="single" w:color="auto" w:sz="6" w:space="0"/>
              <w:bottom w:val="single" w:color="auto" w:sz="6" w:space="0"/>
              <w:right w:val="single" w:color="auto" w:sz="6" w:space="0"/>
            </w:tcBorders>
            <w:noWrap w:val="0"/>
            <w:vAlign w:val="center"/>
          </w:tcPr>
          <w:p w14:paraId="02FE7BF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double" w:color="auto" w:sz="2" w:space="0"/>
              <w:left w:val="single" w:color="auto" w:sz="6" w:space="0"/>
              <w:bottom w:val="single" w:color="auto" w:sz="6" w:space="0"/>
              <w:right w:val="single" w:color="auto" w:sz="6" w:space="0"/>
            </w:tcBorders>
            <w:noWrap w:val="0"/>
            <w:vAlign w:val="center"/>
          </w:tcPr>
          <w:p w14:paraId="1168BA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4900931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double" w:color="auto" w:sz="2" w:space="0"/>
              <w:left w:val="single" w:color="auto" w:sz="6" w:space="0"/>
              <w:bottom w:val="single" w:color="auto" w:sz="6" w:space="0"/>
              <w:right w:val="single" w:color="auto" w:sz="6" w:space="0"/>
            </w:tcBorders>
            <w:noWrap w:val="0"/>
            <w:vAlign w:val="center"/>
          </w:tcPr>
          <w:p w14:paraId="4F577E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double" w:color="auto" w:sz="2" w:space="0"/>
              <w:left w:val="single" w:color="auto" w:sz="6" w:space="0"/>
              <w:bottom w:val="single" w:color="auto" w:sz="6" w:space="0"/>
              <w:right w:val="single" w:color="auto" w:sz="12" w:space="0"/>
            </w:tcBorders>
            <w:noWrap w:val="0"/>
            <w:vAlign w:val="center"/>
          </w:tcPr>
          <w:p w14:paraId="3708D8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9CD44C3">
        <w:tblPrEx>
          <w:tblCellMar>
            <w:top w:w="0" w:type="dxa"/>
            <w:left w:w="28" w:type="dxa"/>
            <w:bottom w:w="0" w:type="dxa"/>
            <w:right w:w="28" w:type="dxa"/>
          </w:tblCellMar>
        </w:tblPrEx>
        <w:trPr>
          <w:trHeight w:val="567" w:hRule="atLeast"/>
          <w:jc w:val="center"/>
        </w:trPr>
        <w:tc>
          <w:tcPr>
            <w:tcW w:w="851" w:type="dxa"/>
            <w:tcBorders>
              <w:top w:val="nil"/>
              <w:left w:val="single" w:color="auto" w:sz="12" w:space="0"/>
              <w:bottom w:val="single" w:color="auto" w:sz="6" w:space="0"/>
              <w:right w:val="single" w:color="auto" w:sz="6" w:space="0"/>
            </w:tcBorders>
            <w:noWrap w:val="0"/>
            <w:vAlign w:val="center"/>
          </w:tcPr>
          <w:p w14:paraId="4955476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6" w:space="0"/>
            </w:tcBorders>
            <w:noWrap w:val="0"/>
            <w:vAlign w:val="center"/>
          </w:tcPr>
          <w:p w14:paraId="418486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center"/>
          </w:tcPr>
          <w:p w14:paraId="326ECE0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nil"/>
              <w:left w:val="single" w:color="auto" w:sz="6" w:space="0"/>
              <w:bottom w:val="single" w:color="auto" w:sz="6" w:space="0"/>
              <w:right w:val="single" w:color="auto" w:sz="6" w:space="0"/>
            </w:tcBorders>
            <w:noWrap w:val="0"/>
            <w:vAlign w:val="center"/>
          </w:tcPr>
          <w:p w14:paraId="3C62EF1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31745E3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nil"/>
              <w:left w:val="single" w:color="auto" w:sz="6" w:space="0"/>
              <w:bottom w:val="single" w:color="auto" w:sz="6" w:space="0"/>
              <w:right w:val="single" w:color="auto" w:sz="6" w:space="0"/>
            </w:tcBorders>
            <w:noWrap w:val="0"/>
            <w:vAlign w:val="center"/>
          </w:tcPr>
          <w:p w14:paraId="384B223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nil"/>
              <w:left w:val="single" w:color="auto" w:sz="6" w:space="0"/>
              <w:bottom w:val="single" w:color="auto" w:sz="6" w:space="0"/>
              <w:right w:val="single" w:color="auto" w:sz="6" w:space="0"/>
            </w:tcBorders>
            <w:noWrap w:val="0"/>
            <w:vAlign w:val="center"/>
          </w:tcPr>
          <w:p w14:paraId="79943C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1ADBF1C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nil"/>
              <w:left w:val="single" w:color="auto" w:sz="6" w:space="0"/>
              <w:bottom w:val="single" w:color="auto" w:sz="6" w:space="0"/>
              <w:right w:val="single" w:color="auto" w:sz="6" w:space="0"/>
            </w:tcBorders>
            <w:noWrap w:val="0"/>
            <w:vAlign w:val="center"/>
          </w:tcPr>
          <w:p w14:paraId="772399F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nil"/>
              <w:left w:val="single" w:color="auto" w:sz="6" w:space="0"/>
              <w:bottom w:val="single" w:color="auto" w:sz="6" w:space="0"/>
              <w:right w:val="single" w:color="auto" w:sz="12" w:space="0"/>
            </w:tcBorders>
            <w:noWrap w:val="0"/>
            <w:vAlign w:val="center"/>
          </w:tcPr>
          <w:p w14:paraId="15B6BB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B7A4AE8">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21B86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63762D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A756B6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0A20909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98DF0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432B75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8F887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99DF99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6F8A59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6D9FD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239949A">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3153FC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1095E0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715719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C3ADA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38A3AA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712C2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5248CBE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88766F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01EB899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484BE8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9163366">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0E686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99C3C8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8F7E9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254E49F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E75A42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08BB421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E25606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F704BB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6F3CA51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C37D09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CE4A5F8">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0D526C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EC37B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F818F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A49E35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6EE028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6CA4EF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645AD5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CED9A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7F65E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55D356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30F2A60">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1A5BA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F80206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15B37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29C9F8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A23A6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3E730B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B992EA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59A96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1419A1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D20B8B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CF942D6">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3226CF5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141BBD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0DAC74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68AA1A0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FB46B0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078478D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F5538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0594E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D593BA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7D1B0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4A219CA">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A46B0F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DF82A7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722886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0F69E54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B63645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A3CF2D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711D90A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ECA959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7189F0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0188832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675DBEB6">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14A5255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69F052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A71B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D1F713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FEFCCC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DE7F32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355240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E71395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505E9A9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085EDC8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B09E929">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A89EE0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84FE61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0812CB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6FA852A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6DF696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E1282D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562D37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E58D66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3BDC197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116832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4C672141">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D3CD6B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1476850">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3DEA62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0CD891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7E0796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147506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011179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A067CD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5E37855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81289A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6713E19C">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D4515E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99C7A5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F5EA3CC">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1EACC44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F31312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B1932C1">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5B274E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6B05CC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4C82C8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941564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597A7FE2">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37ED7C2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7FB979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15AF7C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1AEF84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8AD192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B3F1C5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975A06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D5380AC">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31C24C7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6AEAAF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1A1D5FDA">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126E67A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D789D2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43393D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45EA00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0236C7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C0C379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035324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4C9695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679CE1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782F793">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5AEC9CBE">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323488C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CC2782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81566A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4C1CA4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B496C1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29C5790">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2A2440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8BBC83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635783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58CCEEE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09570F93">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E372C7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67DFC7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44F0070">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2CE2C60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986A09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7CCB9E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1BEA40B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5D3AA2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06F7D55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5309231">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r w14:paraId="7615344A">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12" w:space="0"/>
              <w:right w:val="single" w:color="auto" w:sz="6" w:space="0"/>
            </w:tcBorders>
            <w:noWrap w:val="0"/>
            <w:vAlign w:val="center"/>
          </w:tcPr>
          <w:p w14:paraId="7EAF895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12" w:space="0"/>
              <w:right w:val="single" w:color="auto" w:sz="6" w:space="0"/>
            </w:tcBorders>
            <w:noWrap w:val="0"/>
            <w:vAlign w:val="center"/>
          </w:tcPr>
          <w:p w14:paraId="24CC8C0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4F7C16F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12" w:space="0"/>
              <w:right w:val="single" w:color="auto" w:sz="6" w:space="0"/>
            </w:tcBorders>
            <w:noWrap w:val="0"/>
            <w:vAlign w:val="center"/>
          </w:tcPr>
          <w:p w14:paraId="1C708C2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01D44FDE">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12" w:space="0"/>
              <w:right w:val="single" w:color="auto" w:sz="6" w:space="0"/>
            </w:tcBorders>
            <w:noWrap w:val="0"/>
            <w:vAlign w:val="center"/>
          </w:tcPr>
          <w:p w14:paraId="7589255C">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12" w:space="0"/>
              <w:right w:val="single" w:color="auto" w:sz="6" w:space="0"/>
            </w:tcBorders>
            <w:noWrap w:val="0"/>
            <w:vAlign w:val="center"/>
          </w:tcPr>
          <w:p w14:paraId="7D96316F">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07915354">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12" w:space="0"/>
              <w:right w:val="single" w:color="auto" w:sz="6" w:space="0"/>
            </w:tcBorders>
            <w:noWrap w:val="0"/>
            <w:vAlign w:val="center"/>
          </w:tcPr>
          <w:p w14:paraId="3CBBCA96">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12" w:space="0"/>
              <w:right w:val="single" w:color="auto" w:sz="12" w:space="0"/>
            </w:tcBorders>
            <w:noWrap w:val="0"/>
            <w:vAlign w:val="center"/>
          </w:tcPr>
          <w:p w14:paraId="13A6448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p>
        </w:tc>
      </w:tr>
    </w:tbl>
    <w:p w14:paraId="529436C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642F72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p w14:paraId="51275809">
      <w:pPr>
        <w:pStyle w:val="13"/>
        <w:pageBreakBefore w:val="0"/>
        <w:widowControl/>
        <w:kinsoku/>
        <w:wordWrap/>
        <w:overflowPunct/>
        <w:topLinePunct w:val="0"/>
        <w:bidi w:val="0"/>
        <w:spacing w:line="360" w:lineRule="auto"/>
        <w:textAlignment w:val="auto"/>
        <w:outlineLvl w:val="9"/>
        <w:rPr>
          <w:rFonts w:hint="eastAsia" w:ascii="宋体" w:hAnsi="宋体" w:eastAsia="宋体" w:cs="宋体"/>
          <w:color w:val="auto"/>
          <w:highlight w:val="none"/>
        </w:rPr>
      </w:pPr>
    </w:p>
    <w:p w14:paraId="1785BC5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p w14:paraId="6DA88D4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bookmarkStart w:id="4240" w:name="_Toc23387"/>
      <w:bookmarkStart w:id="4241" w:name="_Toc4521"/>
      <w:bookmarkStart w:id="4242" w:name="_Toc9094"/>
      <w:bookmarkStart w:id="4243" w:name="_Toc5562"/>
      <w:bookmarkStart w:id="4244" w:name="_Toc2067"/>
      <w:bookmarkStart w:id="4245" w:name="_Toc26518"/>
      <w:bookmarkStart w:id="4246" w:name="_Toc27980"/>
      <w:bookmarkStart w:id="4247" w:name="_Toc29484"/>
      <w:bookmarkStart w:id="4248" w:name="_Toc1655"/>
      <w:bookmarkStart w:id="4249" w:name="_Toc26849"/>
      <w:bookmarkStart w:id="4250" w:name="_Toc13200"/>
      <w:bookmarkStart w:id="4251" w:name="_Toc17591"/>
      <w:bookmarkStart w:id="4252" w:name="_Toc7736"/>
      <w:bookmarkStart w:id="4253" w:name="_Toc25956"/>
      <w:bookmarkStart w:id="4254" w:name="_Toc4092"/>
      <w:r>
        <w:rPr>
          <w:rFonts w:hint="eastAsia" w:ascii="宋体" w:hAnsi="宋体" w:eastAsia="宋体" w:cs="宋体"/>
          <w:color w:val="auto"/>
          <w:sz w:val="24"/>
          <w:szCs w:val="24"/>
          <w:highlight w:val="none"/>
        </w:rPr>
        <w:t>附</w:t>
      </w:r>
      <w:bookmarkStart w:id="4255" w:name="_Toc296503226"/>
      <w:bookmarkEnd w:id="4255"/>
      <w:bookmarkStart w:id="4256" w:name="_Toc296891266"/>
      <w:bookmarkEnd w:id="4256"/>
      <w:bookmarkStart w:id="4257" w:name="_Toc296346727"/>
      <w:bookmarkEnd w:id="4257"/>
      <w:bookmarkStart w:id="4258" w:name="_Toc267261693"/>
      <w:bookmarkEnd w:id="4258"/>
      <w:bookmarkStart w:id="4259" w:name="_Toc296347225"/>
      <w:bookmarkEnd w:id="4259"/>
      <w:bookmarkStart w:id="4260" w:name="_Toc296891054"/>
      <w:bookmarkEnd w:id="4260"/>
      <w:bookmarkStart w:id="4261" w:name="_Toc296944565"/>
      <w:r>
        <w:rPr>
          <w:rFonts w:hint="eastAsia" w:ascii="宋体" w:hAnsi="宋体" w:eastAsia="宋体" w:cs="宋体"/>
          <w:color w:val="auto"/>
          <w:sz w:val="24"/>
          <w:szCs w:val="24"/>
          <w:highlight w:val="none"/>
        </w:rPr>
        <w:t>件3：</w:t>
      </w:r>
      <w:bookmarkEnd w:id="4261"/>
      <w:r>
        <w:rPr>
          <w:rFonts w:hint="eastAsia" w:ascii="宋体" w:hAnsi="宋体" w:eastAsia="宋体" w:cs="宋体"/>
          <w:color w:val="auto"/>
          <w:sz w:val="24"/>
          <w:szCs w:val="24"/>
          <w:highlight w:val="none"/>
        </w:rPr>
        <w:t>工程质量保修书</w:t>
      </w:r>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p>
    <w:p w14:paraId="2A639BC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3E07B1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59585B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2A986D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（工程全称）签订工程质量保修书。</w:t>
      </w:r>
    </w:p>
    <w:p w14:paraId="3589AF2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262" w:name="_Toc24744"/>
      <w:bookmarkStart w:id="4263" w:name="_Toc6970"/>
      <w:bookmarkStart w:id="4264" w:name="_Toc30806"/>
      <w:bookmarkStart w:id="4265" w:name="_Toc11737"/>
      <w:bookmarkStart w:id="4266" w:name="_Toc28931"/>
      <w:bookmarkStart w:id="4267" w:name="_Toc30703"/>
      <w:bookmarkStart w:id="4268" w:name="_Toc10735"/>
      <w:bookmarkStart w:id="4269" w:name="_Toc7219"/>
      <w:bookmarkStart w:id="4270" w:name="_Toc12404"/>
      <w:bookmarkStart w:id="4271" w:name="_Toc2920"/>
      <w:bookmarkStart w:id="4272" w:name="_Toc32015"/>
      <w:bookmarkStart w:id="4273" w:name="_Toc25947"/>
      <w:bookmarkStart w:id="4274" w:name="_Toc13877"/>
      <w:bookmarkStart w:id="4275" w:name="_Toc7186"/>
      <w:bookmarkStart w:id="4276" w:name="_Toc28190"/>
      <w:bookmarkStart w:id="4277" w:name="_Toc20912"/>
      <w:r>
        <w:rPr>
          <w:rFonts w:hint="eastAsia" w:ascii="宋体" w:hAnsi="宋体" w:eastAsia="宋体" w:cs="宋体"/>
          <w:color w:val="auto"/>
          <w:sz w:val="24"/>
          <w:szCs w:val="24"/>
          <w:highlight w:val="none"/>
        </w:rPr>
        <w:t>一、工程质量保修范围和内容</w:t>
      </w:r>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p>
    <w:p w14:paraId="566CCCA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p>
    <w:p w14:paraId="6C38B45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D67F2E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4207322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bookmarkStart w:id="4278" w:name="_Toc9839"/>
      <w:bookmarkStart w:id="4279" w:name="_Toc19479"/>
      <w:bookmarkStart w:id="4280" w:name="_Toc2719"/>
      <w:bookmarkStart w:id="4281" w:name="_Toc14805"/>
      <w:bookmarkStart w:id="4282" w:name="_Toc23751"/>
      <w:bookmarkStart w:id="4283" w:name="_Toc22372"/>
      <w:bookmarkStart w:id="4284" w:name="_Toc10656"/>
      <w:bookmarkStart w:id="4285" w:name="_Toc10184"/>
      <w:bookmarkStart w:id="4286" w:name="_Toc17061"/>
      <w:bookmarkStart w:id="4287" w:name="_Toc13694"/>
      <w:bookmarkStart w:id="4288" w:name="_Toc20015"/>
      <w:bookmarkStart w:id="4289" w:name="_Toc8978"/>
      <w:bookmarkStart w:id="4290" w:name="_Toc7378"/>
      <w:bookmarkStart w:id="4291" w:name="_Toc13618"/>
      <w:bookmarkStart w:id="4292" w:name="_Toc18731"/>
      <w:bookmarkStart w:id="4293" w:name="_Toc24146"/>
      <w:r>
        <w:rPr>
          <w:rFonts w:hint="eastAsia" w:ascii="宋体" w:hAnsi="宋体" w:eastAsia="宋体" w:cs="宋体"/>
          <w:color w:val="auto"/>
          <w:sz w:val="24"/>
          <w:szCs w:val="24"/>
          <w:highlight w:val="none"/>
        </w:rPr>
        <w:t>二、质量保修期</w:t>
      </w:r>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p>
    <w:p w14:paraId="5B0876D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0A402BAD">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1．地基基础工程和主体结构工程为设计文件规定的工程合理使用年限；</w:t>
      </w:r>
    </w:p>
    <w:p w14:paraId="06586BC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     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5D206533">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12FBE117">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3CF72762">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val="en-US" w:eastAsia="zh-CN"/>
        </w:rPr>
        <w:t>个</w:t>
      </w:r>
      <w:r>
        <w:rPr>
          <w:rFonts w:hint="eastAsia" w:ascii="宋体" w:hAnsi="宋体" w:eastAsia="宋体" w:cs="宋体"/>
          <w:color w:val="auto"/>
          <w:sz w:val="24"/>
          <w:szCs w:val="24"/>
          <w:highlight w:val="none"/>
        </w:rPr>
        <w:t>采暖期、供冷期；</w:t>
      </w:r>
    </w:p>
    <w:p w14:paraId="436C67ED">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570CC096">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p>
    <w:p w14:paraId="29A0F95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3338BB6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p>
    <w:p w14:paraId="1E09FF4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4294" w:name="_Toc6977"/>
      <w:bookmarkStart w:id="4295" w:name="_Toc30301"/>
      <w:bookmarkStart w:id="4296" w:name="_Toc21073"/>
      <w:bookmarkStart w:id="4297" w:name="_Toc16370"/>
      <w:bookmarkStart w:id="4298" w:name="_Toc21813"/>
      <w:bookmarkStart w:id="4299" w:name="_Toc28675"/>
      <w:bookmarkStart w:id="4300" w:name="_Toc93"/>
      <w:bookmarkStart w:id="4301" w:name="_Toc8734"/>
      <w:bookmarkStart w:id="4302" w:name="_Toc679"/>
      <w:bookmarkStart w:id="4303" w:name="_Toc599"/>
      <w:bookmarkStart w:id="4304" w:name="_Toc14384"/>
      <w:bookmarkStart w:id="4305" w:name="_Toc15060"/>
      <w:bookmarkStart w:id="4306" w:name="_Toc30797"/>
      <w:bookmarkStart w:id="4307" w:name="_Toc711"/>
      <w:bookmarkStart w:id="4308" w:name="_Toc17585"/>
      <w:bookmarkStart w:id="4309" w:name="_Toc30990"/>
      <w:r>
        <w:rPr>
          <w:rFonts w:hint="eastAsia" w:ascii="宋体" w:hAnsi="宋体" w:eastAsia="宋体" w:cs="宋体"/>
          <w:color w:val="auto"/>
          <w:sz w:val="24"/>
          <w:szCs w:val="24"/>
          <w:highlight w:val="none"/>
        </w:rPr>
        <w:t>三、缺陷责任期</w:t>
      </w:r>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p>
    <w:p w14:paraId="5BB4C9AC">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14:paraId="29B7AC6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w:t>
      </w:r>
    </w:p>
    <w:p w14:paraId="3EC2579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310" w:name="_Toc31806"/>
      <w:bookmarkStart w:id="4311" w:name="_Toc8486"/>
      <w:bookmarkStart w:id="4312" w:name="_Toc9460"/>
      <w:bookmarkStart w:id="4313" w:name="_Toc10832"/>
      <w:bookmarkStart w:id="4314" w:name="_Toc6379"/>
      <w:bookmarkStart w:id="4315" w:name="_Toc12946"/>
      <w:bookmarkStart w:id="4316" w:name="_Toc11327"/>
      <w:bookmarkStart w:id="4317" w:name="_Toc7100"/>
      <w:bookmarkStart w:id="4318" w:name="_Toc23142"/>
      <w:bookmarkStart w:id="4319" w:name="_Toc20440"/>
      <w:bookmarkStart w:id="4320" w:name="_Toc4684"/>
      <w:bookmarkStart w:id="4321" w:name="_Toc7377"/>
      <w:bookmarkStart w:id="4322" w:name="_Toc25487"/>
      <w:bookmarkStart w:id="4323" w:name="_Toc5854"/>
      <w:bookmarkStart w:id="4324" w:name="_Toc3905"/>
      <w:bookmarkStart w:id="4325" w:name="_Toc6101"/>
      <w:r>
        <w:rPr>
          <w:rFonts w:hint="eastAsia" w:ascii="宋体" w:hAnsi="宋体" w:eastAsia="宋体" w:cs="宋体"/>
          <w:color w:val="auto"/>
          <w:sz w:val="24"/>
          <w:szCs w:val="24"/>
          <w:highlight w:val="none"/>
        </w:rPr>
        <w:t>四、质量保修责任</w:t>
      </w:r>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p>
    <w:p w14:paraId="05B6CFB7">
      <w:pPr>
        <w:pageBreakBefore w:val="0"/>
        <w:widowControl/>
        <w:kinsoku/>
        <w:wordWrap/>
        <w:overflowPunct/>
        <w:topLinePunct w:val="0"/>
        <w:bidi w:val="0"/>
        <w:spacing w:line="360" w:lineRule="auto"/>
        <w:ind w:left="100" w:leftChars="50" w:firstLine="491" w:firstLineChars="20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1．属于保修范围、内容的项目，承包人应当在接到保修通知之日起7天内派人保修。承包人不在约定期限内派人保修的，发包人可以委托他人修理。</w:t>
      </w:r>
    </w:p>
    <w:p w14:paraId="370F4496">
      <w:pPr>
        <w:pageBreakBefore w:val="0"/>
        <w:widowControl/>
        <w:kinsoku/>
        <w:wordWrap/>
        <w:overflowPunct/>
        <w:topLinePunct w:val="0"/>
        <w:bidi w:val="0"/>
        <w:spacing w:line="360" w:lineRule="auto"/>
        <w:ind w:left="100" w:leftChars="50" w:firstLine="491" w:firstLineChars="20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34C990BA">
      <w:pPr>
        <w:pageBreakBefore w:val="0"/>
        <w:widowControl/>
        <w:kinsoku/>
        <w:wordWrap/>
        <w:overflowPunct/>
        <w:topLinePunct w:val="0"/>
        <w:bidi w:val="0"/>
        <w:spacing w:line="360" w:lineRule="auto"/>
        <w:ind w:left="100" w:leftChars="50" w:firstLine="491" w:firstLineChars="205"/>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5670C39">
      <w:pPr>
        <w:pageBreakBefore w:val="0"/>
        <w:widowControl/>
        <w:kinsoku/>
        <w:wordWrap/>
        <w:overflowPunct/>
        <w:topLinePunct w:val="0"/>
        <w:bidi w:val="0"/>
        <w:spacing w:line="360" w:lineRule="auto"/>
        <w:ind w:left="400" w:leftChars="200" w:firstLine="120" w:firstLineChars="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5F87B1A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326" w:name="_Toc16775"/>
      <w:bookmarkStart w:id="4327" w:name="_Toc27166"/>
      <w:bookmarkStart w:id="4328" w:name="_Toc21438"/>
      <w:bookmarkStart w:id="4329" w:name="_Toc17558"/>
      <w:bookmarkStart w:id="4330" w:name="_Toc3800"/>
      <w:bookmarkStart w:id="4331" w:name="_Toc18074"/>
      <w:bookmarkStart w:id="4332" w:name="_Toc13135"/>
      <w:bookmarkStart w:id="4333" w:name="_Toc15837"/>
      <w:bookmarkStart w:id="4334" w:name="_Toc10279"/>
      <w:bookmarkStart w:id="4335" w:name="_Toc28291"/>
      <w:bookmarkStart w:id="4336" w:name="_Toc28355"/>
      <w:bookmarkStart w:id="4337" w:name="_Toc8899"/>
      <w:bookmarkStart w:id="4338" w:name="_Toc24382"/>
      <w:bookmarkStart w:id="4339" w:name="_Toc76"/>
      <w:bookmarkStart w:id="4340" w:name="_Toc20860"/>
      <w:bookmarkStart w:id="4341" w:name="_Toc30764"/>
      <w:r>
        <w:rPr>
          <w:rFonts w:hint="eastAsia" w:ascii="宋体" w:hAnsi="宋体" w:eastAsia="宋体" w:cs="宋体"/>
          <w:color w:val="auto"/>
          <w:sz w:val="24"/>
          <w:szCs w:val="24"/>
          <w:highlight w:val="none"/>
        </w:rPr>
        <w:t>五、保修费用</w:t>
      </w:r>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p>
    <w:p w14:paraId="30DF5AB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p>
    <w:p w14:paraId="325ACC27">
      <w:pPr>
        <w:pageBreakBefore w:val="0"/>
        <w:widowControl/>
        <w:kinsoku/>
        <w:wordWrap/>
        <w:overflowPunct/>
        <w:topLinePunct w:val="0"/>
        <w:bidi w:val="0"/>
        <w:spacing w:line="360" w:lineRule="auto"/>
        <w:ind w:firstLine="600"/>
        <w:jc w:val="left"/>
        <w:textAlignment w:val="auto"/>
        <w:outlineLvl w:val="9"/>
        <w:rPr>
          <w:rFonts w:hint="eastAsia" w:ascii="宋体" w:hAnsi="宋体" w:eastAsia="宋体" w:cs="宋体"/>
          <w:color w:val="auto"/>
          <w:sz w:val="24"/>
          <w:szCs w:val="24"/>
          <w:highlight w:val="none"/>
        </w:rPr>
      </w:pPr>
      <w:bookmarkStart w:id="4342" w:name="_Toc24567"/>
      <w:bookmarkStart w:id="4343" w:name="_Toc2401"/>
      <w:bookmarkStart w:id="4344" w:name="_Toc746"/>
      <w:bookmarkStart w:id="4345" w:name="_Toc7962"/>
      <w:bookmarkStart w:id="4346" w:name="_Toc6729"/>
      <w:bookmarkStart w:id="4347" w:name="_Toc21195"/>
      <w:bookmarkStart w:id="4348" w:name="_Toc4429"/>
      <w:bookmarkStart w:id="4349" w:name="_Toc24728"/>
      <w:bookmarkStart w:id="4350" w:name="_Toc15246"/>
      <w:bookmarkStart w:id="4351" w:name="_Toc30624"/>
      <w:bookmarkStart w:id="4352" w:name="_Toc28817"/>
      <w:bookmarkStart w:id="4353" w:name="_Toc11700"/>
      <w:bookmarkStart w:id="4354" w:name="_Toc20322"/>
      <w:bookmarkStart w:id="4355" w:name="_Toc13978"/>
      <w:bookmarkStart w:id="4356" w:name="_Toc16503"/>
      <w:bookmarkStart w:id="4357" w:name="_Toc7401"/>
      <w:r>
        <w:rPr>
          <w:rFonts w:hint="eastAsia" w:ascii="宋体" w:hAnsi="宋体" w:eastAsia="宋体" w:cs="宋体"/>
          <w:b/>
          <w:bCs/>
          <w:color w:val="auto"/>
          <w:sz w:val="24"/>
          <w:szCs w:val="24"/>
          <w:highlight w:val="none"/>
        </w:rPr>
        <w:t>六</w:t>
      </w:r>
      <w:r>
        <w:rPr>
          <w:rFonts w:hint="eastAsia" w:ascii="宋体" w:hAnsi="宋体" w:eastAsia="宋体" w:cs="宋体"/>
          <w:color w:val="auto"/>
          <w:sz w:val="24"/>
          <w:szCs w:val="24"/>
          <w:highlight w:val="none"/>
        </w:rPr>
        <w:t>、双方约定的其他工程质量保修事项：</w:t>
      </w:r>
      <w:bookmarkEnd w:id="434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p>
    <w:p w14:paraId="43A3614D">
      <w:pPr>
        <w:pageBreakBefore w:val="0"/>
        <w:widowControl/>
        <w:kinsoku/>
        <w:wordWrap/>
        <w:overflowPunct/>
        <w:topLinePunct w:val="0"/>
        <w:bidi w:val="0"/>
        <w:spacing w:line="360" w:lineRule="auto"/>
        <w:ind w:firstLine="456" w:firstLineChars="19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79DCDA79">
      <w:pPr>
        <w:pageBreakBefore w:val="0"/>
        <w:widowControl/>
        <w:kinsoku/>
        <w:wordWrap/>
        <w:overflowPunct/>
        <w:topLinePunct w:val="0"/>
        <w:bidi w:val="0"/>
        <w:spacing w:line="360" w:lineRule="auto"/>
        <w:ind w:firstLine="42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5CE138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承包人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w:t>
      </w:r>
    </w:p>
    <w:p w14:paraId="52710D6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w:t>
      </w:r>
    </w:p>
    <w:p w14:paraId="5D300B7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8A5D91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CF496B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1C809E7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288AB1A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3E10121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6D4D548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01743F1B">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bookmarkStart w:id="4358" w:name="_Toc16599"/>
      <w:bookmarkStart w:id="4359" w:name="_Toc5745"/>
      <w:bookmarkStart w:id="4360" w:name="_Toc14969"/>
      <w:bookmarkStart w:id="4361" w:name="_Toc21078"/>
      <w:bookmarkStart w:id="4362" w:name="_Toc18277"/>
      <w:bookmarkStart w:id="4363" w:name="_Toc20121"/>
      <w:bookmarkStart w:id="4364" w:name="_Toc12380"/>
      <w:bookmarkStart w:id="4365" w:name="_Toc21428"/>
      <w:bookmarkStart w:id="4366" w:name="_Toc20240"/>
      <w:bookmarkStart w:id="4367" w:name="_Toc23904"/>
      <w:bookmarkStart w:id="4368" w:name="_Toc11024"/>
      <w:bookmarkStart w:id="4369" w:name="_Toc19452"/>
      <w:bookmarkStart w:id="4370" w:name="_Toc4000"/>
      <w:bookmarkStart w:id="4371" w:name="_Toc19377"/>
      <w:bookmarkStart w:id="4372" w:name="_Toc17526"/>
      <w:r>
        <w:rPr>
          <w:rFonts w:hint="eastAsia" w:ascii="宋体" w:hAnsi="宋体" w:eastAsia="宋体" w:cs="宋体"/>
          <w:color w:val="auto"/>
          <w:sz w:val="24"/>
          <w:szCs w:val="24"/>
          <w:highlight w:val="none"/>
        </w:rPr>
        <w:t>附件4：主要建设工程文件目录</w:t>
      </w:r>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p>
    <w:tbl>
      <w:tblPr>
        <w:tblStyle w:val="27"/>
        <w:tblW w:w="9039" w:type="dxa"/>
        <w:jc w:val="center"/>
        <w:tblLayout w:type="fixed"/>
        <w:tblCellMar>
          <w:top w:w="0" w:type="dxa"/>
          <w:left w:w="28" w:type="dxa"/>
          <w:bottom w:w="0" w:type="dxa"/>
          <w:right w:w="28" w:type="dxa"/>
        </w:tblCellMar>
      </w:tblPr>
      <w:tblGrid>
        <w:gridCol w:w="1953"/>
        <w:gridCol w:w="1276"/>
        <w:gridCol w:w="1450"/>
        <w:gridCol w:w="1243"/>
        <w:gridCol w:w="1450"/>
        <w:gridCol w:w="1667"/>
      </w:tblGrid>
      <w:tr w14:paraId="5376A049">
        <w:tblPrEx>
          <w:tblCellMar>
            <w:top w:w="0" w:type="dxa"/>
            <w:left w:w="28" w:type="dxa"/>
            <w:bottom w:w="0" w:type="dxa"/>
            <w:right w:w="28" w:type="dxa"/>
          </w:tblCellMar>
        </w:tblPrEx>
        <w:trPr>
          <w:jc w:val="center"/>
        </w:trPr>
        <w:tc>
          <w:tcPr>
            <w:tcW w:w="1953" w:type="dxa"/>
            <w:tcBorders>
              <w:top w:val="single" w:color="auto" w:sz="12" w:space="0"/>
              <w:left w:val="single" w:color="auto" w:sz="12" w:space="0"/>
              <w:bottom w:val="double" w:color="auto" w:sz="2" w:space="0"/>
              <w:right w:val="single" w:color="auto" w:sz="6" w:space="0"/>
            </w:tcBorders>
            <w:noWrap w:val="0"/>
            <w:vAlign w:val="center"/>
          </w:tcPr>
          <w:p w14:paraId="2B6011D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文件名称</w:t>
            </w:r>
          </w:p>
        </w:tc>
        <w:tc>
          <w:tcPr>
            <w:tcW w:w="1276" w:type="dxa"/>
            <w:tcBorders>
              <w:top w:val="single" w:color="auto" w:sz="12" w:space="0"/>
              <w:left w:val="single" w:color="auto" w:sz="6" w:space="0"/>
              <w:bottom w:val="double" w:color="auto" w:sz="2" w:space="0"/>
              <w:right w:val="single" w:color="auto" w:sz="6" w:space="0"/>
            </w:tcBorders>
            <w:noWrap w:val="0"/>
            <w:vAlign w:val="center"/>
          </w:tcPr>
          <w:p w14:paraId="46CBF55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套数</w:t>
            </w:r>
          </w:p>
        </w:tc>
        <w:tc>
          <w:tcPr>
            <w:tcW w:w="1450" w:type="dxa"/>
            <w:tcBorders>
              <w:top w:val="single" w:color="auto" w:sz="12" w:space="0"/>
              <w:left w:val="single" w:color="auto" w:sz="6" w:space="0"/>
              <w:bottom w:val="double" w:color="auto" w:sz="2" w:space="0"/>
              <w:right w:val="single" w:color="auto" w:sz="6" w:space="0"/>
            </w:tcBorders>
            <w:noWrap w:val="0"/>
            <w:vAlign w:val="center"/>
          </w:tcPr>
          <w:p w14:paraId="5C64C75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费用（元）</w:t>
            </w:r>
          </w:p>
        </w:tc>
        <w:tc>
          <w:tcPr>
            <w:tcW w:w="1243" w:type="dxa"/>
            <w:tcBorders>
              <w:top w:val="single" w:color="auto" w:sz="12" w:space="0"/>
              <w:left w:val="single" w:color="auto" w:sz="6" w:space="0"/>
              <w:bottom w:val="double" w:color="auto" w:sz="2" w:space="0"/>
              <w:right w:val="single" w:color="auto" w:sz="6" w:space="0"/>
            </w:tcBorders>
            <w:noWrap w:val="0"/>
            <w:vAlign w:val="center"/>
          </w:tcPr>
          <w:p w14:paraId="24F4B73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w:t>
            </w:r>
          </w:p>
        </w:tc>
        <w:tc>
          <w:tcPr>
            <w:tcW w:w="1450" w:type="dxa"/>
            <w:tcBorders>
              <w:top w:val="single" w:color="auto" w:sz="12" w:space="0"/>
              <w:left w:val="single" w:color="auto" w:sz="6" w:space="0"/>
              <w:bottom w:val="double" w:color="auto" w:sz="2" w:space="0"/>
              <w:right w:val="single" w:color="auto" w:sz="6" w:space="0"/>
            </w:tcBorders>
            <w:noWrap w:val="0"/>
            <w:vAlign w:val="top"/>
          </w:tcPr>
          <w:p w14:paraId="3251A838">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移交时间</w:t>
            </w:r>
          </w:p>
        </w:tc>
        <w:tc>
          <w:tcPr>
            <w:tcW w:w="1667" w:type="dxa"/>
            <w:tcBorders>
              <w:top w:val="single" w:color="auto" w:sz="12" w:space="0"/>
              <w:left w:val="single" w:color="auto" w:sz="6" w:space="0"/>
              <w:bottom w:val="double" w:color="auto" w:sz="2" w:space="0"/>
              <w:right w:val="single" w:color="auto" w:sz="12" w:space="0"/>
            </w:tcBorders>
            <w:noWrap w:val="0"/>
            <w:vAlign w:val="top"/>
          </w:tcPr>
          <w:p w14:paraId="0CA27C52">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责任人</w:t>
            </w:r>
          </w:p>
        </w:tc>
      </w:tr>
      <w:tr w14:paraId="4E309194">
        <w:tblPrEx>
          <w:tblCellMar>
            <w:top w:w="0" w:type="dxa"/>
            <w:left w:w="28" w:type="dxa"/>
            <w:bottom w:w="0" w:type="dxa"/>
            <w:right w:w="28" w:type="dxa"/>
          </w:tblCellMar>
        </w:tblPrEx>
        <w:trPr>
          <w:trHeight w:val="567" w:hRule="atLeast"/>
          <w:jc w:val="center"/>
        </w:trPr>
        <w:tc>
          <w:tcPr>
            <w:tcW w:w="1953" w:type="dxa"/>
            <w:tcBorders>
              <w:top w:val="double" w:color="auto" w:sz="2" w:space="0"/>
              <w:left w:val="single" w:color="auto" w:sz="12" w:space="0"/>
              <w:bottom w:val="single" w:color="auto" w:sz="6" w:space="0"/>
              <w:right w:val="single" w:color="auto" w:sz="6" w:space="0"/>
            </w:tcBorders>
            <w:noWrap w:val="0"/>
            <w:vAlign w:val="center"/>
          </w:tcPr>
          <w:p w14:paraId="6A80294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6" w:space="0"/>
            </w:tcBorders>
            <w:noWrap w:val="0"/>
            <w:vAlign w:val="center"/>
          </w:tcPr>
          <w:p w14:paraId="75BEC2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18B431B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double" w:color="auto" w:sz="2" w:space="0"/>
              <w:left w:val="single" w:color="auto" w:sz="6" w:space="0"/>
              <w:bottom w:val="single" w:color="auto" w:sz="6" w:space="0"/>
              <w:right w:val="single" w:color="auto" w:sz="6" w:space="0"/>
            </w:tcBorders>
            <w:noWrap w:val="0"/>
            <w:vAlign w:val="center"/>
          </w:tcPr>
          <w:p w14:paraId="2E4C0AE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144DE3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double" w:color="auto" w:sz="2" w:space="0"/>
              <w:left w:val="single" w:color="auto" w:sz="6" w:space="0"/>
              <w:bottom w:val="single" w:color="auto" w:sz="6" w:space="0"/>
              <w:right w:val="single" w:color="auto" w:sz="12" w:space="0"/>
            </w:tcBorders>
            <w:noWrap w:val="0"/>
            <w:vAlign w:val="center"/>
          </w:tcPr>
          <w:p w14:paraId="5828AD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F3A6F6F">
        <w:tblPrEx>
          <w:tblCellMar>
            <w:top w:w="0" w:type="dxa"/>
            <w:left w:w="28" w:type="dxa"/>
            <w:bottom w:w="0" w:type="dxa"/>
            <w:right w:w="28" w:type="dxa"/>
          </w:tblCellMar>
        </w:tblPrEx>
        <w:trPr>
          <w:trHeight w:val="567" w:hRule="atLeast"/>
          <w:jc w:val="center"/>
        </w:trPr>
        <w:tc>
          <w:tcPr>
            <w:tcW w:w="1953" w:type="dxa"/>
            <w:tcBorders>
              <w:top w:val="nil"/>
              <w:left w:val="single" w:color="auto" w:sz="12" w:space="0"/>
              <w:bottom w:val="single" w:color="auto" w:sz="6" w:space="0"/>
              <w:right w:val="single" w:color="auto" w:sz="6" w:space="0"/>
            </w:tcBorders>
            <w:noWrap w:val="0"/>
            <w:vAlign w:val="center"/>
          </w:tcPr>
          <w:p w14:paraId="4D1462D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6" w:space="0"/>
            </w:tcBorders>
            <w:noWrap w:val="0"/>
            <w:vAlign w:val="center"/>
          </w:tcPr>
          <w:p w14:paraId="6E170A9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22CB29F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nil"/>
              <w:left w:val="single" w:color="auto" w:sz="6" w:space="0"/>
              <w:bottom w:val="single" w:color="auto" w:sz="6" w:space="0"/>
              <w:right w:val="single" w:color="auto" w:sz="6" w:space="0"/>
            </w:tcBorders>
            <w:noWrap w:val="0"/>
            <w:vAlign w:val="center"/>
          </w:tcPr>
          <w:p w14:paraId="2599C19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7C9BB93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nil"/>
              <w:left w:val="single" w:color="auto" w:sz="6" w:space="0"/>
              <w:bottom w:val="single" w:color="auto" w:sz="6" w:space="0"/>
              <w:right w:val="single" w:color="auto" w:sz="12" w:space="0"/>
            </w:tcBorders>
            <w:noWrap w:val="0"/>
            <w:vAlign w:val="center"/>
          </w:tcPr>
          <w:p w14:paraId="7BCA262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076B22D">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237BB1D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8BD1A9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1444D51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18E5B67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51EEC62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28EED7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F8C322E">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6264DC5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2924E9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C658AF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047DBE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5670776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18FD7A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6837BE6">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5646B8C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167F5E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0B21AB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06698C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FD3D1B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D1C22C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3AC1FCC">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45B3EEB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1A50C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53CB77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277E19B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2A29A6D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79F7683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EC91E2B">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19E4F76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56C3BB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63F88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455AB7D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178FE5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1146B32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90C9334">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6F4DCB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32C15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4AC1D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78D51D8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1A4340D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0E1413A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15EF63B">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0796F95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C1C818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6FFCF9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5E5DA2D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66EF6CB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633C51A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2C237DE3">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34FEEEF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5684D2C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141462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04FD64A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2BA7F7D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7BF7519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FF538D2">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574467E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96A300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67F5DC3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769D635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ECA439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6F94D04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0FEAB04">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0FEFD2E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E653D6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40753C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39FEA86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2F1CA1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1EFC270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1A7667A1">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708C26D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1B14D18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6377B1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D9EE3C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EC11DD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6A89422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DEA528F">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CFC950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D490D0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EDDAE6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38C69F7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43224A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2F6BCC5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0F495181">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4385CF5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168F3B9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512746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67ACD2F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7D0134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537709C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448FD1CD">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4C2772D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2146DE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FB28D9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061636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8760BB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5E6C3BE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B9A2D68">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240B408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6BC2941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CF870E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2919209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5ABCFD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1C67D60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34CA6C91">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D0FAF0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6E5C90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CCB5ED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2508DDE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75AE0E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180D660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7D488B26">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12" w:space="0"/>
              <w:right w:val="single" w:color="auto" w:sz="6" w:space="0"/>
            </w:tcBorders>
            <w:noWrap w:val="0"/>
            <w:vAlign w:val="top"/>
          </w:tcPr>
          <w:p w14:paraId="08B998B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12" w:space="0"/>
              <w:right w:val="single" w:color="auto" w:sz="6" w:space="0"/>
            </w:tcBorders>
            <w:noWrap w:val="0"/>
            <w:vAlign w:val="top"/>
          </w:tcPr>
          <w:p w14:paraId="3B0836D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08003B8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12" w:space="0"/>
              <w:right w:val="single" w:color="auto" w:sz="6" w:space="0"/>
            </w:tcBorders>
            <w:noWrap w:val="0"/>
            <w:vAlign w:val="top"/>
          </w:tcPr>
          <w:p w14:paraId="6F6350E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181FE77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12" w:space="0"/>
              <w:right w:val="single" w:color="auto" w:sz="12" w:space="0"/>
            </w:tcBorders>
            <w:noWrap w:val="0"/>
            <w:vAlign w:val="top"/>
          </w:tcPr>
          <w:p w14:paraId="6F680D1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bl>
    <w:p w14:paraId="6CB4DFD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1B54B1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373" w:name="_Toc29690"/>
      <w:bookmarkStart w:id="4374" w:name="_Toc20382"/>
      <w:bookmarkStart w:id="4375" w:name="_Toc28069"/>
      <w:bookmarkStart w:id="4376" w:name="_Toc22626"/>
      <w:bookmarkStart w:id="4377" w:name="_Toc10649"/>
      <w:bookmarkStart w:id="4378" w:name="_Toc26730"/>
      <w:bookmarkStart w:id="4379" w:name="_Toc10274"/>
      <w:bookmarkStart w:id="4380" w:name="_Toc11046"/>
      <w:bookmarkStart w:id="4381" w:name="_Toc9622"/>
      <w:bookmarkStart w:id="4382" w:name="_Toc29798"/>
      <w:bookmarkStart w:id="4383" w:name="_Toc3272"/>
      <w:bookmarkStart w:id="4384" w:name="_Toc7848"/>
      <w:bookmarkStart w:id="4385" w:name="_Toc6121"/>
      <w:bookmarkStart w:id="4386" w:name="_Toc23878"/>
      <w:bookmarkStart w:id="4387" w:name="_Toc2044"/>
      <w:r>
        <w:rPr>
          <w:rFonts w:hint="eastAsia" w:ascii="宋体" w:hAnsi="宋体" w:eastAsia="宋体" w:cs="宋体"/>
          <w:color w:val="auto"/>
          <w:sz w:val="24"/>
          <w:szCs w:val="24"/>
          <w:highlight w:val="none"/>
        </w:rPr>
        <w:t>附</w:t>
      </w:r>
      <w:bookmarkStart w:id="4388" w:name="_Toc296891267"/>
      <w:bookmarkEnd w:id="4388"/>
      <w:bookmarkStart w:id="4389" w:name="_Toc296347226"/>
      <w:bookmarkEnd w:id="4389"/>
      <w:bookmarkStart w:id="4390" w:name="_Toc267261698"/>
      <w:bookmarkEnd w:id="4390"/>
      <w:bookmarkStart w:id="4391" w:name="_Toc296891055"/>
      <w:bookmarkEnd w:id="4391"/>
      <w:bookmarkStart w:id="4392" w:name="_Toc296346728"/>
      <w:bookmarkEnd w:id="4392"/>
      <w:bookmarkStart w:id="4393" w:name="_Toc296503227"/>
      <w:bookmarkEnd w:id="4393"/>
      <w:bookmarkStart w:id="4394" w:name="_Toc296944566"/>
      <w:r>
        <w:rPr>
          <w:rFonts w:hint="eastAsia" w:ascii="宋体" w:hAnsi="宋体" w:eastAsia="宋体" w:cs="宋体"/>
          <w:color w:val="auto"/>
          <w:sz w:val="24"/>
          <w:szCs w:val="24"/>
          <w:highlight w:val="none"/>
        </w:rPr>
        <w:t>件5：</w:t>
      </w:r>
      <w:bookmarkEnd w:id="4394"/>
      <w:r>
        <w:rPr>
          <w:rFonts w:hint="eastAsia" w:ascii="宋体" w:hAnsi="宋体" w:eastAsia="宋体" w:cs="宋体"/>
          <w:color w:val="auto"/>
          <w:sz w:val="24"/>
          <w:szCs w:val="24"/>
          <w:highlight w:val="none"/>
        </w:rPr>
        <w:t>承包人用于本工程施工的机械设备表</w:t>
      </w:r>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p>
    <w:tbl>
      <w:tblPr>
        <w:tblStyle w:val="27"/>
        <w:tblW w:w="9809" w:type="dxa"/>
        <w:jc w:val="center"/>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AE5A66B">
        <w:tblPrEx>
          <w:tblCellMar>
            <w:top w:w="0" w:type="dxa"/>
            <w:left w:w="28" w:type="dxa"/>
            <w:bottom w:w="0" w:type="dxa"/>
            <w:right w:w="28" w:type="dxa"/>
          </w:tblCellMar>
        </w:tblPrEx>
        <w:trPr>
          <w:jc w:val="center"/>
        </w:trPr>
        <w:tc>
          <w:tcPr>
            <w:tcW w:w="1162" w:type="dxa"/>
            <w:tcBorders>
              <w:top w:val="single" w:color="auto" w:sz="12" w:space="0"/>
              <w:left w:val="single" w:color="auto" w:sz="12" w:space="0"/>
              <w:bottom w:val="double" w:color="auto" w:sz="2" w:space="0"/>
              <w:right w:val="single" w:color="auto" w:sz="6" w:space="0"/>
            </w:tcBorders>
            <w:noWrap w:val="0"/>
            <w:vAlign w:val="center"/>
          </w:tcPr>
          <w:p w14:paraId="755D336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4243460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机械或设备名称</w:t>
            </w:r>
          </w:p>
        </w:tc>
        <w:tc>
          <w:tcPr>
            <w:tcW w:w="850" w:type="dxa"/>
            <w:tcBorders>
              <w:top w:val="single" w:color="auto" w:sz="12" w:space="0"/>
              <w:left w:val="single" w:color="auto" w:sz="6" w:space="0"/>
              <w:bottom w:val="double" w:color="auto" w:sz="2" w:space="0"/>
              <w:right w:val="single" w:color="auto" w:sz="6" w:space="0"/>
            </w:tcBorders>
            <w:noWrap w:val="0"/>
            <w:vAlign w:val="center"/>
          </w:tcPr>
          <w:p w14:paraId="287ABD0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1058" w:type="dxa"/>
            <w:tcBorders>
              <w:top w:val="single" w:color="auto" w:sz="12" w:space="0"/>
              <w:left w:val="single" w:color="auto" w:sz="6" w:space="0"/>
              <w:bottom w:val="double" w:color="auto" w:sz="2" w:space="0"/>
              <w:right w:val="single" w:color="auto" w:sz="6" w:space="0"/>
            </w:tcBorders>
            <w:noWrap w:val="0"/>
            <w:vAlign w:val="center"/>
          </w:tcPr>
          <w:p w14:paraId="06DC0A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80" w:type="dxa"/>
            <w:tcBorders>
              <w:top w:val="single" w:color="auto" w:sz="12" w:space="0"/>
              <w:left w:val="single" w:color="auto" w:sz="6" w:space="0"/>
              <w:bottom w:val="double" w:color="auto" w:sz="2" w:space="0"/>
              <w:right w:val="single" w:color="auto" w:sz="6" w:space="0"/>
            </w:tcBorders>
            <w:noWrap w:val="0"/>
            <w:vAlign w:val="center"/>
          </w:tcPr>
          <w:p w14:paraId="031ABEC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020" w:type="dxa"/>
            <w:tcBorders>
              <w:top w:val="single" w:color="auto" w:sz="12" w:space="0"/>
              <w:left w:val="single" w:color="auto" w:sz="6" w:space="0"/>
              <w:bottom w:val="double" w:color="auto" w:sz="2" w:space="0"/>
              <w:right w:val="single" w:color="auto" w:sz="6" w:space="0"/>
            </w:tcBorders>
            <w:noWrap w:val="0"/>
            <w:vAlign w:val="center"/>
          </w:tcPr>
          <w:p w14:paraId="1A52683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制造年份</w:t>
            </w:r>
          </w:p>
        </w:tc>
        <w:tc>
          <w:tcPr>
            <w:tcW w:w="1480" w:type="dxa"/>
            <w:tcBorders>
              <w:top w:val="single" w:color="auto" w:sz="12" w:space="0"/>
              <w:left w:val="single" w:color="auto" w:sz="6" w:space="0"/>
              <w:bottom w:val="double" w:color="auto" w:sz="2" w:space="0"/>
              <w:right w:val="single" w:color="auto" w:sz="6" w:space="0"/>
            </w:tcBorders>
            <w:noWrap w:val="0"/>
            <w:vAlign w:val="center"/>
          </w:tcPr>
          <w:p w14:paraId="75CD2A5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额定功率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kW</w:t>
            </w:r>
            <w:r>
              <w:rPr>
                <w:rFonts w:hint="eastAsia" w:ascii="宋体" w:hAnsi="宋体" w:eastAsia="宋体" w:cs="宋体"/>
                <w:color w:val="auto"/>
                <w:sz w:val="24"/>
                <w:szCs w:val="24"/>
                <w:highlight w:val="none"/>
                <w:lang w:eastAsia="zh-CN"/>
              </w:rPr>
              <w:t>）</w:t>
            </w:r>
          </w:p>
        </w:tc>
        <w:tc>
          <w:tcPr>
            <w:tcW w:w="1020" w:type="dxa"/>
            <w:tcBorders>
              <w:top w:val="single" w:color="auto" w:sz="12" w:space="0"/>
              <w:left w:val="single" w:color="auto" w:sz="6" w:space="0"/>
              <w:bottom w:val="double" w:color="auto" w:sz="2" w:space="0"/>
              <w:right w:val="single" w:color="auto" w:sz="6" w:space="0"/>
            </w:tcBorders>
            <w:noWrap w:val="0"/>
            <w:vAlign w:val="center"/>
          </w:tcPr>
          <w:p w14:paraId="28DD84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生产能力</w:t>
            </w:r>
          </w:p>
        </w:tc>
        <w:tc>
          <w:tcPr>
            <w:tcW w:w="921" w:type="dxa"/>
            <w:tcBorders>
              <w:top w:val="single" w:color="auto" w:sz="12" w:space="0"/>
              <w:left w:val="single" w:color="auto" w:sz="6" w:space="0"/>
              <w:bottom w:val="double" w:color="auto" w:sz="2" w:space="0"/>
              <w:right w:val="single" w:color="auto" w:sz="12" w:space="0"/>
            </w:tcBorders>
            <w:noWrap w:val="0"/>
            <w:vAlign w:val="center"/>
          </w:tcPr>
          <w:p w14:paraId="5A46C8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48CF37D">
        <w:tblPrEx>
          <w:tblCellMar>
            <w:top w:w="0" w:type="dxa"/>
            <w:left w:w="28" w:type="dxa"/>
            <w:bottom w:w="0" w:type="dxa"/>
            <w:right w:w="28" w:type="dxa"/>
          </w:tblCellMar>
        </w:tblPrEx>
        <w:trPr>
          <w:trHeight w:val="567" w:hRule="atLeast"/>
          <w:jc w:val="center"/>
        </w:trPr>
        <w:tc>
          <w:tcPr>
            <w:tcW w:w="1162" w:type="dxa"/>
            <w:tcBorders>
              <w:top w:val="double" w:color="auto" w:sz="2" w:space="0"/>
              <w:left w:val="single" w:color="auto" w:sz="12" w:space="0"/>
              <w:bottom w:val="single" w:color="auto" w:sz="6" w:space="0"/>
              <w:right w:val="single" w:color="auto" w:sz="6" w:space="0"/>
            </w:tcBorders>
            <w:noWrap w:val="0"/>
            <w:vAlign w:val="center"/>
          </w:tcPr>
          <w:p w14:paraId="22CB4B9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center"/>
          </w:tcPr>
          <w:p w14:paraId="7FDA94B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6" w:space="0"/>
            </w:tcBorders>
            <w:noWrap w:val="0"/>
            <w:vAlign w:val="center"/>
          </w:tcPr>
          <w:p w14:paraId="568861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double" w:color="auto" w:sz="2" w:space="0"/>
              <w:left w:val="single" w:color="auto" w:sz="6" w:space="0"/>
              <w:bottom w:val="single" w:color="auto" w:sz="6" w:space="0"/>
              <w:right w:val="single" w:color="auto" w:sz="6" w:space="0"/>
            </w:tcBorders>
            <w:noWrap w:val="0"/>
            <w:vAlign w:val="center"/>
          </w:tcPr>
          <w:p w14:paraId="601E6B4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double" w:color="auto" w:sz="2" w:space="0"/>
              <w:left w:val="single" w:color="auto" w:sz="6" w:space="0"/>
              <w:bottom w:val="single" w:color="auto" w:sz="6" w:space="0"/>
              <w:right w:val="single" w:color="auto" w:sz="6" w:space="0"/>
            </w:tcBorders>
            <w:noWrap w:val="0"/>
            <w:vAlign w:val="center"/>
          </w:tcPr>
          <w:p w14:paraId="6CD482E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double" w:color="auto" w:sz="2" w:space="0"/>
              <w:left w:val="single" w:color="auto" w:sz="6" w:space="0"/>
              <w:bottom w:val="single" w:color="auto" w:sz="6" w:space="0"/>
              <w:right w:val="single" w:color="auto" w:sz="6" w:space="0"/>
            </w:tcBorders>
            <w:noWrap w:val="0"/>
            <w:vAlign w:val="center"/>
          </w:tcPr>
          <w:p w14:paraId="3D2F1F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double" w:color="auto" w:sz="2" w:space="0"/>
              <w:left w:val="single" w:color="auto" w:sz="6" w:space="0"/>
              <w:bottom w:val="single" w:color="auto" w:sz="6" w:space="0"/>
              <w:right w:val="single" w:color="auto" w:sz="6" w:space="0"/>
            </w:tcBorders>
            <w:noWrap w:val="0"/>
            <w:vAlign w:val="center"/>
          </w:tcPr>
          <w:p w14:paraId="63CA642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double" w:color="auto" w:sz="2" w:space="0"/>
              <w:left w:val="single" w:color="auto" w:sz="6" w:space="0"/>
              <w:bottom w:val="single" w:color="auto" w:sz="6" w:space="0"/>
              <w:right w:val="single" w:color="auto" w:sz="6" w:space="0"/>
            </w:tcBorders>
            <w:noWrap w:val="0"/>
            <w:vAlign w:val="center"/>
          </w:tcPr>
          <w:p w14:paraId="6AA29E3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double" w:color="auto" w:sz="2" w:space="0"/>
              <w:left w:val="single" w:color="auto" w:sz="6" w:space="0"/>
              <w:bottom w:val="single" w:color="auto" w:sz="6" w:space="0"/>
              <w:right w:val="single" w:color="auto" w:sz="12" w:space="0"/>
            </w:tcBorders>
            <w:noWrap w:val="0"/>
            <w:vAlign w:val="center"/>
          </w:tcPr>
          <w:p w14:paraId="6903DF3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103F32E">
        <w:tblPrEx>
          <w:tblCellMar>
            <w:top w:w="0" w:type="dxa"/>
            <w:left w:w="28" w:type="dxa"/>
            <w:bottom w:w="0" w:type="dxa"/>
            <w:right w:w="28" w:type="dxa"/>
          </w:tblCellMar>
        </w:tblPrEx>
        <w:trPr>
          <w:trHeight w:val="567" w:hRule="atLeast"/>
          <w:jc w:val="center"/>
        </w:trPr>
        <w:tc>
          <w:tcPr>
            <w:tcW w:w="1162" w:type="dxa"/>
            <w:tcBorders>
              <w:top w:val="nil"/>
              <w:left w:val="single" w:color="auto" w:sz="12" w:space="0"/>
              <w:bottom w:val="single" w:color="auto" w:sz="6" w:space="0"/>
              <w:right w:val="single" w:color="auto" w:sz="6" w:space="0"/>
            </w:tcBorders>
            <w:noWrap w:val="0"/>
            <w:vAlign w:val="center"/>
          </w:tcPr>
          <w:p w14:paraId="4970721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center"/>
          </w:tcPr>
          <w:p w14:paraId="15B70CB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0EBFFFE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nil"/>
              <w:left w:val="single" w:color="auto" w:sz="6" w:space="0"/>
              <w:bottom w:val="single" w:color="auto" w:sz="6" w:space="0"/>
              <w:right w:val="single" w:color="auto" w:sz="6" w:space="0"/>
            </w:tcBorders>
            <w:noWrap w:val="0"/>
            <w:vAlign w:val="center"/>
          </w:tcPr>
          <w:p w14:paraId="133D7E2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nil"/>
              <w:left w:val="single" w:color="auto" w:sz="6" w:space="0"/>
              <w:bottom w:val="single" w:color="auto" w:sz="6" w:space="0"/>
              <w:right w:val="single" w:color="auto" w:sz="6" w:space="0"/>
            </w:tcBorders>
            <w:noWrap w:val="0"/>
            <w:vAlign w:val="center"/>
          </w:tcPr>
          <w:p w14:paraId="0D592CA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nil"/>
              <w:left w:val="single" w:color="auto" w:sz="6" w:space="0"/>
              <w:bottom w:val="single" w:color="auto" w:sz="6" w:space="0"/>
              <w:right w:val="single" w:color="auto" w:sz="6" w:space="0"/>
            </w:tcBorders>
            <w:noWrap w:val="0"/>
            <w:vAlign w:val="center"/>
          </w:tcPr>
          <w:p w14:paraId="40437FA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nil"/>
              <w:left w:val="single" w:color="auto" w:sz="6" w:space="0"/>
              <w:bottom w:val="single" w:color="auto" w:sz="6" w:space="0"/>
              <w:right w:val="single" w:color="auto" w:sz="6" w:space="0"/>
            </w:tcBorders>
            <w:noWrap w:val="0"/>
            <w:vAlign w:val="center"/>
          </w:tcPr>
          <w:p w14:paraId="0ACE6A5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nil"/>
              <w:left w:val="single" w:color="auto" w:sz="6" w:space="0"/>
              <w:bottom w:val="single" w:color="auto" w:sz="6" w:space="0"/>
              <w:right w:val="single" w:color="auto" w:sz="6" w:space="0"/>
            </w:tcBorders>
            <w:noWrap w:val="0"/>
            <w:vAlign w:val="center"/>
          </w:tcPr>
          <w:p w14:paraId="02CFEC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nil"/>
              <w:left w:val="single" w:color="auto" w:sz="6" w:space="0"/>
              <w:bottom w:val="single" w:color="auto" w:sz="6" w:space="0"/>
              <w:right w:val="single" w:color="auto" w:sz="12" w:space="0"/>
            </w:tcBorders>
            <w:noWrap w:val="0"/>
            <w:vAlign w:val="center"/>
          </w:tcPr>
          <w:p w14:paraId="46D78F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325105A">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0B0A380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B3B8D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5BFB5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505ABA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50B6A88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57B3E5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21F736F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0035B7E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4013752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B65A6CE">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2C56F6A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690C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426EF7B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6162FEC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D33898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D2F12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6E4CE59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F77615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5C285D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63E0049">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6E913E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2C349F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DE3DBE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5B56FF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753411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FC7B0C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35D0682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0F02375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5E1F00B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C523FA6">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01C40A0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BBCD77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EB464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4329E1E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39948A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005BDF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0BFAFC9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F60DF5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81AFA9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FA4DF31">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4D7F3B3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DD74C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164DF5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2D65E8D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761097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F7DD24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1536561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0DF4F09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178663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BD75EB5">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43F890A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41B85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5930021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1A413D0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3F6635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1186DC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2D32217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20ED53F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66BDAFF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800A779">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0DC51FA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3066EA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719B001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1C30534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B9A4E3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00F4F22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7F08EB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AB5C29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0688776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66114858">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476726F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3CC76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251FE4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0D5E92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673386E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44E42CD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3146FD9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9C2A0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70910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CEE6E20">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4FEBF33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94B841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1EEDC04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2EA3DA2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67547F4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50A8D1C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646D336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1957A2A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5B386F7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6F3FD2D">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765B662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E327C7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7FD92C7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4E2A8AA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22CFDA1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68C7152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3E50B59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C955F4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24C3700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3739A0A">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2B87A8D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DF5494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77ACE6C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0EDA721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9A332D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122343D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19F3BCA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55A134F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683C33E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7BAF83CB">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6845F44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AE8130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405A3AB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3C1B315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3850B3F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578593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456BCC9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69C607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4658296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043DB1F1">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54CD870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FD2A7B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48F0669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6410190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3B51FF7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0E0B6A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5CCCA62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10AB4F8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1A80060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0E41E625">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3E25E37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36C09A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19312AD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4984AB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40A786E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6197107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033CE10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3283A3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7E81471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6A91CF60">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2E3A4FC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AC24F1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3DA10F7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3F17D25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694681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A7C3B5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1B8EEA2E">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2CB2FE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432680C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5FF69179">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33CEDE7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A67D32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5704573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2EB36CC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7172EC2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5A04749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1D78229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D80775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4CDB027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r w14:paraId="10BE8410">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12" w:space="0"/>
              <w:right w:val="single" w:color="auto" w:sz="6" w:space="0"/>
            </w:tcBorders>
            <w:noWrap w:val="0"/>
            <w:vAlign w:val="top"/>
          </w:tcPr>
          <w:p w14:paraId="1D2F043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524010E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6" w:space="0"/>
            </w:tcBorders>
            <w:noWrap w:val="0"/>
            <w:vAlign w:val="top"/>
          </w:tcPr>
          <w:p w14:paraId="6DA0EF2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12" w:space="0"/>
              <w:right w:val="single" w:color="auto" w:sz="6" w:space="0"/>
            </w:tcBorders>
            <w:noWrap w:val="0"/>
            <w:vAlign w:val="top"/>
          </w:tcPr>
          <w:p w14:paraId="39FEDCFF">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12" w:space="0"/>
              <w:right w:val="single" w:color="auto" w:sz="6" w:space="0"/>
            </w:tcBorders>
            <w:noWrap w:val="0"/>
            <w:vAlign w:val="top"/>
          </w:tcPr>
          <w:p w14:paraId="37E50C6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25941E2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12" w:space="0"/>
              <w:right w:val="single" w:color="auto" w:sz="6" w:space="0"/>
            </w:tcBorders>
            <w:noWrap w:val="0"/>
            <w:vAlign w:val="top"/>
          </w:tcPr>
          <w:p w14:paraId="5544BFD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7C921D0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12" w:space="0"/>
              <w:right w:val="single" w:color="auto" w:sz="12" w:space="0"/>
            </w:tcBorders>
            <w:noWrap w:val="0"/>
            <w:vAlign w:val="top"/>
          </w:tcPr>
          <w:p w14:paraId="19C9C4D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tc>
      </w:tr>
    </w:tbl>
    <w:p w14:paraId="4F3939E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sectPr>
          <w:pgSz w:w="11920" w:h="16840"/>
          <w:pgMar w:top="1588" w:right="1531" w:bottom="1588" w:left="1531" w:header="720" w:footer="720" w:gutter="0"/>
          <w:pgNumType w:fmt="decimal"/>
          <w:cols w:space="720" w:num="1"/>
          <w:titlePg/>
          <w:docGrid w:linePitch="286" w:charSpace="0"/>
        </w:sectPr>
      </w:pPr>
      <w:bookmarkStart w:id="4395" w:name="_Toc7018"/>
      <w:bookmarkStart w:id="4396" w:name="_Toc25188"/>
      <w:bookmarkStart w:id="4397" w:name="_Toc29220"/>
      <w:bookmarkStart w:id="4398" w:name="_Toc14210"/>
    </w:p>
    <w:p w14:paraId="6A9711BD">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bookmarkStart w:id="4399" w:name="_Toc21151"/>
      <w:bookmarkStart w:id="4400" w:name="_Toc10044"/>
      <w:bookmarkStart w:id="4401" w:name="_Toc26799"/>
      <w:bookmarkStart w:id="4402" w:name="_Toc19646"/>
      <w:bookmarkStart w:id="4403" w:name="_Toc1393"/>
      <w:bookmarkStart w:id="4404" w:name="_Toc11953"/>
      <w:bookmarkStart w:id="4405" w:name="_Toc26627"/>
      <w:bookmarkStart w:id="4406" w:name="_Toc8924"/>
      <w:bookmarkStart w:id="4407" w:name="_Toc29753"/>
      <w:bookmarkStart w:id="4408" w:name="_Toc24269"/>
      <w:bookmarkStart w:id="4409" w:name="_Toc11440"/>
      <w:r>
        <w:rPr>
          <w:rFonts w:hint="eastAsia" w:ascii="宋体" w:hAnsi="宋体" w:eastAsia="宋体" w:cs="宋体"/>
          <w:color w:val="auto"/>
          <w:sz w:val="24"/>
          <w:szCs w:val="24"/>
          <w:highlight w:val="none"/>
        </w:rPr>
        <w:t>附</w:t>
      </w:r>
      <w:bookmarkStart w:id="4410" w:name="_Toc296891268"/>
      <w:bookmarkEnd w:id="4410"/>
      <w:bookmarkStart w:id="4411" w:name="_Toc296347227"/>
      <w:bookmarkEnd w:id="4411"/>
      <w:bookmarkStart w:id="4412" w:name="_Toc296891056"/>
      <w:bookmarkEnd w:id="4412"/>
      <w:bookmarkStart w:id="4413" w:name="_Toc296503228"/>
      <w:bookmarkEnd w:id="4413"/>
      <w:bookmarkStart w:id="4414" w:name="_Toc267261699"/>
      <w:bookmarkEnd w:id="4414"/>
      <w:bookmarkStart w:id="4415" w:name="_Toc296346729"/>
      <w:bookmarkEnd w:id="4415"/>
      <w:bookmarkStart w:id="4416" w:name="_Toc296944567"/>
      <w:r>
        <w:rPr>
          <w:rFonts w:hint="eastAsia" w:ascii="宋体" w:hAnsi="宋体" w:eastAsia="宋体" w:cs="宋体"/>
          <w:color w:val="auto"/>
          <w:sz w:val="24"/>
          <w:szCs w:val="24"/>
          <w:highlight w:val="none"/>
        </w:rPr>
        <w:t>件6：</w:t>
      </w:r>
      <w:bookmarkEnd w:id="4416"/>
      <w:r>
        <w:rPr>
          <w:rFonts w:hint="eastAsia" w:ascii="宋体" w:hAnsi="宋体" w:eastAsia="宋体" w:cs="宋体"/>
          <w:color w:val="auto"/>
          <w:sz w:val="24"/>
          <w:szCs w:val="24"/>
          <w:highlight w:val="none"/>
        </w:rPr>
        <w:t>承包人主要施工管理人员表</w:t>
      </w:r>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p>
    <w:tbl>
      <w:tblPr>
        <w:tblStyle w:val="27"/>
        <w:tblW w:w="9809" w:type="dxa"/>
        <w:jc w:val="center"/>
        <w:tblLayout w:type="fixed"/>
        <w:tblCellMar>
          <w:top w:w="0" w:type="dxa"/>
          <w:left w:w="28" w:type="dxa"/>
          <w:bottom w:w="0" w:type="dxa"/>
          <w:right w:w="28" w:type="dxa"/>
        </w:tblCellMar>
      </w:tblPr>
      <w:tblGrid>
        <w:gridCol w:w="1871"/>
        <w:gridCol w:w="1418"/>
        <w:gridCol w:w="1134"/>
        <w:gridCol w:w="1134"/>
        <w:gridCol w:w="4252"/>
      </w:tblGrid>
      <w:tr w14:paraId="54D0974A">
        <w:tblPrEx>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2" w:space="0"/>
              <w:right w:val="single" w:color="auto" w:sz="6" w:space="0"/>
            </w:tcBorders>
            <w:noWrap w:val="0"/>
            <w:vAlign w:val="center"/>
          </w:tcPr>
          <w:p w14:paraId="5D06DE0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718D3C9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65EB622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08C46D9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4252" w:type="dxa"/>
            <w:tcBorders>
              <w:top w:val="single" w:color="auto" w:sz="12" w:space="0"/>
              <w:left w:val="single" w:color="auto" w:sz="6" w:space="0"/>
              <w:bottom w:val="double" w:color="auto" w:sz="2" w:space="0"/>
              <w:right w:val="single" w:color="auto" w:sz="12" w:space="0"/>
            </w:tcBorders>
            <w:noWrap w:val="0"/>
            <w:vAlign w:val="center"/>
          </w:tcPr>
          <w:p w14:paraId="3FBCD03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r>
      <w:tr w14:paraId="21079163">
        <w:tblPrEx>
          <w:tblCellMar>
            <w:top w:w="0" w:type="dxa"/>
            <w:left w:w="28" w:type="dxa"/>
            <w:bottom w:w="0" w:type="dxa"/>
            <w:right w:w="28" w:type="dxa"/>
          </w:tblCellMar>
        </w:tblPrEx>
        <w:trPr>
          <w:jc w:val="center"/>
        </w:trPr>
        <w:tc>
          <w:tcPr>
            <w:tcW w:w="9809" w:type="dxa"/>
            <w:gridSpan w:val="5"/>
            <w:tcBorders>
              <w:top w:val="double" w:color="auto" w:sz="2" w:space="0"/>
              <w:left w:val="single" w:color="auto" w:sz="12" w:space="0"/>
              <w:bottom w:val="single" w:color="auto" w:sz="6" w:space="0"/>
              <w:right w:val="single" w:color="auto" w:sz="12" w:space="0"/>
            </w:tcBorders>
            <w:noWrap w:val="0"/>
            <w:vAlign w:val="center"/>
          </w:tcPr>
          <w:p w14:paraId="6245F3B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一、总部人员</w:t>
            </w:r>
          </w:p>
        </w:tc>
      </w:tr>
      <w:tr w14:paraId="28180B4C">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16667BC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项目主管</w:t>
            </w:r>
          </w:p>
        </w:tc>
        <w:tc>
          <w:tcPr>
            <w:tcW w:w="1418" w:type="dxa"/>
            <w:tcBorders>
              <w:top w:val="nil"/>
              <w:left w:val="single" w:color="auto" w:sz="6" w:space="0"/>
              <w:bottom w:val="single" w:color="auto" w:sz="6" w:space="0"/>
              <w:right w:val="single" w:color="auto" w:sz="6" w:space="0"/>
            </w:tcBorders>
            <w:noWrap w:val="0"/>
            <w:vAlign w:val="center"/>
          </w:tcPr>
          <w:p w14:paraId="3EF56A2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03C6844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39886A2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nil"/>
              <w:left w:val="single" w:color="auto" w:sz="6" w:space="0"/>
              <w:bottom w:val="single" w:color="auto" w:sz="6" w:space="0"/>
              <w:right w:val="single" w:color="auto" w:sz="12" w:space="0"/>
            </w:tcBorders>
            <w:noWrap w:val="0"/>
            <w:vAlign w:val="center"/>
          </w:tcPr>
          <w:p w14:paraId="2240022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A180A8D">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1A03CCC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232BE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335D0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DC616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E02161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13EDD42">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0A2C2A3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21C020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B39B4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4E1120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103EA7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AF3EB78">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17AEC1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26AAA7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B8EA02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B97654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E32B09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86C1D28">
        <w:tblPrEx>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4D5571C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二、现场人员</w:t>
            </w:r>
          </w:p>
        </w:tc>
      </w:tr>
      <w:tr w14:paraId="239BDCFE">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F1693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3FA6C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4934F9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DD1C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27D2C3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4ED8A5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363EB5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8E4970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2492BA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9DA33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FD5F9C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58E9EB0">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27800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1A16F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7791EB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4CA046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F3E35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A2E0328">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994971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C8CFF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906B7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3A6FC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127677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C3D7CBD">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6240509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61F59D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367E92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1A5CC0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F7A6BB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BAB99C2">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3CE840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79A5A8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97A3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9D0E7E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A4CB46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34D75C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761E3E0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F40643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73B5C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514EE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BFE13C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842924A">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32CCBB8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120CEA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20A9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E27014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731B96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06A81ED">
        <w:tblPrEx>
          <w:tblCellMar>
            <w:top w:w="0" w:type="dxa"/>
            <w:left w:w="28" w:type="dxa"/>
            <w:bottom w:w="0" w:type="dxa"/>
            <w:right w:w="28" w:type="dxa"/>
          </w:tblCellMar>
        </w:tblPrEx>
        <w:trPr>
          <w:jc w:val="center"/>
        </w:trPr>
        <w:tc>
          <w:tcPr>
            <w:tcW w:w="1871" w:type="dxa"/>
            <w:vMerge w:val="restart"/>
            <w:tcBorders>
              <w:top w:val="nil"/>
              <w:left w:val="single" w:color="auto" w:sz="12" w:space="0"/>
              <w:bottom w:val="single" w:color="auto" w:sz="6" w:space="0"/>
              <w:right w:val="single" w:color="auto" w:sz="6" w:space="0"/>
            </w:tcBorders>
            <w:noWrap w:val="0"/>
            <w:vAlign w:val="center"/>
          </w:tcPr>
          <w:p w14:paraId="634516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52AE35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E66C0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86D6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143BBC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5E4545C">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4C2F7E93">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nil"/>
              <w:right w:val="single" w:color="auto" w:sz="6" w:space="0"/>
            </w:tcBorders>
            <w:noWrap w:val="0"/>
            <w:vAlign w:val="center"/>
          </w:tcPr>
          <w:p w14:paraId="7AC1DB9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1CE0B4C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53664F2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nil"/>
              <w:right w:val="single" w:color="auto" w:sz="12" w:space="0"/>
            </w:tcBorders>
            <w:noWrap w:val="0"/>
            <w:vAlign w:val="center"/>
          </w:tcPr>
          <w:p w14:paraId="36D348F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63ED6B8">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2C3A3E34">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02CC8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1AF8C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87B71C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2CEED2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1B5462B">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681848C7">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B61EF1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91CF03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3403F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9BF7C6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1D608BB">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6B7C6D67">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D49D26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CB90BD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317B0B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C2265A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11F631A">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60BCAAE7">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1CF5061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36ECA0D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3622A8D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64759A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bl>
    <w:p w14:paraId="1FFFB01A">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417" w:name="_Toc30328"/>
      <w:bookmarkStart w:id="4418" w:name="_Toc9377"/>
      <w:bookmarkStart w:id="4419" w:name="_Toc16313"/>
      <w:bookmarkStart w:id="4420" w:name="_Toc2832"/>
      <w:bookmarkStart w:id="4421" w:name="_Toc7557"/>
      <w:bookmarkStart w:id="4422" w:name="_Toc19102"/>
      <w:bookmarkStart w:id="4423" w:name="_Toc29597"/>
      <w:bookmarkStart w:id="4424" w:name="_Toc7249"/>
      <w:bookmarkStart w:id="4425" w:name="_Toc4131"/>
      <w:bookmarkStart w:id="4426" w:name="_Toc31628"/>
      <w:bookmarkStart w:id="4427" w:name="_Toc29214"/>
      <w:bookmarkStart w:id="4428" w:name="_Toc7530"/>
      <w:bookmarkStart w:id="4429" w:name="_Toc8289"/>
      <w:bookmarkStart w:id="4430" w:name="_Toc23548"/>
      <w:bookmarkStart w:id="4431" w:name="_Toc29832"/>
      <w:r>
        <w:rPr>
          <w:rFonts w:hint="eastAsia" w:ascii="宋体" w:hAnsi="宋体" w:eastAsia="宋体" w:cs="宋体"/>
          <w:color w:val="auto"/>
          <w:sz w:val="24"/>
          <w:szCs w:val="24"/>
          <w:highlight w:val="none"/>
        </w:rPr>
        <w:t>附</w:t>
      </w:r>
      <w:bookmarkStart w:id="4432" w:name="_Toc296347228"/>
      <w:bookmarkEnd w:id="4432"/>
      <w:bookmarkStart w:id="4433" w:name="_Toc296346730"/>
      <w:bookmarkEnd w:id="4433"/>
      <w:bookmarkStart w:id="4434" w:name="_Toc296891057"/>
      <w:bookmarkEnd w:id="4434"/>
      <w:bookmarkStart w:id="4435" w:name="_Toc296503229"/>
      <w:bookmarkEnd w:id="4435"/>
      <w:bookmarkStart w:id="4436" w:name="_Toc296891269"/>
      <w:bookmarkEnd w:id="4436"/>
      <w:bookmarkStart w:id="4437" w:name="_Toc296944568"/>
      <w:r>
        <w:rPr>
          <w:rFonts w:hint="eastAsia" w:ascii="宋体" w:hAnsi="宋体" w:eastAsia="宋体" w:cs="宋体"/>
          <w:color w:val="auto"/>
          <w:sz w:val="24"/>
          <w:szCs w:val="24"/>
          <w:highlight w:val="none"/>
        </w:rPr>
        <w:t>件7：</w:t>
      </w:r>
      <w:bookmarkEnd w:id="4437"/>
      <w:r>
        <w:rPr>
          <w:rFonts w:hint="eastAsia" w:ascii="宋体" w:hAnsi="宋体" w:eastAsia="宋体" w:cs="宋体"/>
          <w:color w:val="auto"/>
          <w:sz w:val="24"/>
          <w:szCs w:val="24"/>
          <w:highlight w:val="none"/>
        </w:rPr>
        <w:t>分包人主要施工管理人员表</w:t>
      </w:r>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p>
    <w:tbl>
      <w:tblPr>
        <w:tblStyle w:val="27"/>
        <w:tblW w:w="9809" w:type="dxa"/>
        <w:jc w:val="center"/>
        <w:tblLayout w:type="fixed"/>
        <w:tblCellMar>
          <w:top w:w="0" w:type="dxa"/>
          <w:left w:w="28" w:type="dxa"/>
          <w:bottom w:w="0" w:type="dxa"/>
          <w:right w:w="28" w:type="dxa"/>
        </w:tblCellMar>
      </w:tblPr>
      <w:tblGrid>
        <w:gridCol w:w="1871"/>
        <w:gridCol w:w="1418"/>
        <w:gridCol w:w="1134"/>
        <w:gridCol w:w="1134"/>
        <w:gridCol w:w="4252"/>
      </w:tblGrid>
      <w:tr w14:paraId="6F348D71">
        <w:tblPrEx>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2" w:space="0"/>
              <w:right w:val="single" w:color="auto" w:sz="6" w:space="0"/>
            </w:tcBorders>
            <w:noWrap w:val="0"/>
            <w:vAlign w:val="center"/>
          </w:tcPr>
          <w:p w14:paraId="48F9703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718E925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4A52407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6C1E192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4252" w:type="dxa"/>
            <w:tcBorders>
              <w:top w:val="single" w:color="auto" w:sz="12" w:space="0"/>
              <w:left w:val="single" w:color="auto" w:sz="6" w:space="0"/>
              <w:bottom w:val="double" w:color="auto" w:sz="2" w:space="0"/>
              <w:right w:val="single" w:color="auto" w:sz="12" w:space="0"/>
            </w:tcBorders>
            <w:noWrap w:val="0"/>
            <w:vAlign w:val="center"/>
          </w:tcPr>
          <w:p w14:paraId="496A4C6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r>
      <w:tr w14:paraId="52DFDB44">
        <w:tblPrEx>
          <w:tblCellMar>
            <w:top w:w="0" w:type="dxa"/>
            <w:left w:w="28" w:type="dxa"/>
            <w:bottom w:w="0" w:type="dxa"/>
            <w:right w:w="28" w:type="dxa"/>
          </w:tblCellMar>
        </w:tblPrEx>
        <w:trPr>
          <w:jc w:val="center"/>
        </w:trPr>
        <w:tc>
          <w:tcPr>
            <w:tcW w:w="9809" w:type="dxa"/>
            <w:gridSpan w:val="5"/>
            <w:tcBorders>
              <w:top w:val="double" w:color="auto" w:sz="2" w:space="0"/>
              <w:left w:val="single" w:color="auto" w:sz="12" w:space="0"/>
              <w:bottom w:val="single" w:color="auto" w:sz="6" w:space="0"/>
              <w:right w:val="single" w:color="auto" w:sz="12" w:space="0"/>
            </w:tcBorders>
            <w:noWrap w:val="0"/>
            <w:vAlign w:val="center"/>
          </w:tcPr>
          <w:p w14:paraId="4AA8632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一、总部人员</w:t>
            </w:r>
          </w:p>
        </w:tc>
      </w:tr>
      <w:tr w14:paraId="0EA93947">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7647F7F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项目主管</w:t>
            </w:r>
          </w:p>
        </w:tc>
        <w:tc>
          <w:tcPr>
            <w:tcW w:w="1418" w:type="dxa"/>
            <w:tcBorders>
              <w:top w:val="nil"/>
              <w:left w:val="single" w:color="auto" w:sz="6" w:space="0"/>
              <w:bottom w:val="single" w:color="auto" w:sz="6" w:space="0"/>
              <w:right w:val="single" w:color="auto" w:sz="6" w:space="0"/>
            </w:tcBorders>
            <w:noWrap w:val="0"/>
            <w:vAlign w:val="center"/>
          </w:tcPr>
          <w:p w14:paraId="4D4D48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3C50817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286505C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nil"/>
              <w:left w:val="single" w:color="auto" w:sz="6" w:space="0"/>
              <w:bottom w:val="single" w:color="auto" w:sz="6" w:space="0"/>
              <w:right w:val="single" w:color="auto" w:sz="12" w:space="0"/>
            </w:tcBorders>
            <w:noWrap w:val="0"/>
            <w:vAlign w:val="center"/>
          </w:tcPr>
          <w:p w14:paraId="623CE41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2B2EE69">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0A828D4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97EC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0970A0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D39947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7E215A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C54259C">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5F0BFA5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2F50CE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576C94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611BBD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634292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3FA4ABE">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2FCC2D1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37FF21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66A074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1A5EF5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CE1E90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793F7E6">
        <w:tblPrEx>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70BCDDB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二、现场人员</w:t>
            </w:r>
          </w:p>
        </w:tc>
      </w:tr>
      <w:tr w14:paraId="220870FE">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03807B7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45A5E0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FA4B6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B39700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A92A9A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59F9EA5">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8F5D8C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B89ABC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FBDD9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8D2EC8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11B611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A556538">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735FD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BE6A3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C7A57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AF7BF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1B2C46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6DF9B5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8DE7F1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9548DD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CB92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F5D434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49AE3E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62D8E5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9204BC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18A9C0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1272A7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7B28F0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89215B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38C6364">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7FB0516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475D3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F5CD6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634DC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EBDF7F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9344711">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6C4089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6F04E6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80D7C8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CEE672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9B2A4D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DD61894">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2A0402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824016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A3438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A3224D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44DA164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38CFC30">
        <w:tblPrEx>
          <w:tblCellMar>
            <w:top w:w="0" w:type="dxa"/>
            <w:left w:w="28" w:type="dxa"/>
            <w:bottom w:w="0" w:type="dxa"/>
            <w:right w:w="28" w:type="dxa"/>
          </w:tblCellMar>
        </w:tblPrEx>
        <w:trPr>
          <w:jc w:val="center"/>
        </w:trPr>
        <w:tc>
          <w:tcPr>
            <w:tcW w:w="1871" w:type="dxa"/>
            <w:vMerge w:val="restart"/>
            <w:tcBorders>
              <w:top w:val="nil"/>
              <w:left w:val="single" w:color="auto" w:sz="12" w:space="0"/>
              <w:bottom w:val="single" w:color="auto" w:sz="6" w:space="0"/>
              <w:right w:val="single" w:color="auto" w:sz="6" w:space="0"/>
            </w:tcBorders>
            <w:noWrap w:val="0"/>
            <w:vAlign w:val="center"/>
          </w:tcPr>
          <w:p w14:paraId="1B3A0D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573237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D5FD64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14EC81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9ADCBF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7DCB48D">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79FE8AD5">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nil"/>
              <w:right w:val="single" w:color="auto" w:sz="6" w:space="0"/>
            </w:tcBorders>
            <w:noWrap w:val="0"/>
            <w:vAlign w:val="center"/>
          </w:tcPr>
          <w:p w14:paraId="32A8A87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618B099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4C5722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nil"/>
              <w:right w:val="single" w:color="auto" w:sz="12" w:space="0"/>
            </w:tcBorders>
            <w:noWrap w:val="0"/>
            <w:vAlign w:val="center"/>
          </w:tcPr>
          <w:p w14:paraId="73907F9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0578C29">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4F0765C6">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417A6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7CFFDD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8C26F9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C1D55F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39CB54D">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270267D3">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526E9A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16A086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A010F7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6E6A28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BD7A09F">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716E5213">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5C715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E740B5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B76E10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971E6B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1100906">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7841341E">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683280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2274BE9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6CF95A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16E77C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bl>
    <w:p w14:paraId="287946D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438" w:name="_Toc267261701"/>
      <w:bookmarkEnd w:id="4438"/>
      <w:bookmarkStart w:id="4439" w:name="_Toc5530"/>
      <w:bookmarkStart w:id="4440" w:name="_Toc31420"/>
      <w:bookmarkStart w:id="4441" w:name="_Toc18366"/>
      <w:bookmarkStart w:id="4442" w:name="_Toc1554"/>
      <w:bookmarkStart w:id="4443" w:name="_Toc10748"/>
      <w:bookmarkStart w:id="4444" w:name="_Toc32311"/>
      <w:bookmarkStart w:id="4445" w:name="_Toc31924"/>
      <w:bookmarkStart w:id="4446" w:name="_Toc19555"/>
      <w:bookmarkStart w:id="4447" w:name="_Toc21687"/>
      <w:bookmarkStart w:id="4448" w:name="_Toc25107"/>
      <w:bookmarkStart w:id="4449" w:name="_Toc10407"/>
      <w:bookmarkStart w:id="4450" w:name="_Toc5764"/>
      <w:bookmarkStart w:id="4451" w:name="_Toc11157"/>
      <w:bookmarkStart w:id="4452" w:name="_Toc1906"/>
      <w:bookmarkStart w:id="4453" w:name="_Toc14452"/>
      <w:r>
        <w:rPr>
          <w:rFonts w:hint="eastAsia" w:ascii="宋体" w:hAnsi="宋体" w:eastAsia="宋体" w:cs="宋体"/>
          <w:color w:val="auto"/>
          <w:sz w:val="24"/>
          <w:szCs w:val="24"/>
          <w:highlight w:val="none"/>
        </w:rPr>
        <w:t>附</w:t>
      </w:r>
      <w:bookmarkStart w:id="4454" w:name="_Toc296503231"/>
      <w:bookmarkEnd w:id="4454"/>
      <w:bookmarkStart w:id="4455" w:name="_Toc296891271"/>
      <w:bookmarkEnd w:id="4455"/>
      <w:bookmarkStart w:id="4456" w:name="_Toc296891059"/>
      <w:bookmarkEnd w:id="4456"/>
      <w:bookmarkStart w:id="4457" w:name="_Toc296347230"/>
      <w:bookmarkEnd w:id="4457"/>
      <w:bookmarkStart w:id="4458" w:name="_Toc296346732"/>
      <w:bookmarkEnd w:id="4458"/>
      <w:bookmarkStart w:id="4459" w:name="_Toc296944570"/>
      <w:r>
        <w:rPr>
          <w:rFonts w:hint="eastAsia" w:ascii="宋体" w:hAnsi="宋体" w:eastAsia="宋体" w:cs="宋体"/>
          <w:color w:val="auto"/>
          <w:sz w:val="24"/>
          <w:szCs w:val="24"/>
          <w:highlight w:val="none"/>
        </w:rPr>
        <w:t>件8：</w:t>
      </w:r>
      <w:bookmarkEnd w:id="4459"/>
      <w:r>
        <w:rPr>
          <w:rFonts w:hint="eastAsia" w:ascii="宋体" w:hAnsi="宋体" w:eastAsia="宋体" w:cs="宋体"/>
          <w:color w:val="auto"/>
          <w:sz w:val="24"/>
          <w:szCs w:val="24"/>
          <w:highlight w:val="none"/>
        </w:rPr>
        <w:t>履约担保</w:t>
      </w:r>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p>
    <w:p w14:paraId="58B3E7A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（发包人名称）：</w:t>
      </w:r>
    </w:p>
    <w:p w14:paraId="7395F8C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631D07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（发包人名称，以下简称“发包人”）与</w:t>
      </w:r>
    </w:p>
    <w:p w14:paraId="13670E6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（承包人名称）（以下称“承包人”）于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20655E31">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2EA34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担保有效期自你方与承包人签订的合同生效之日起至你方签发或应签发工程接收证书之日止。</w:t>
      </w:r>
    </w:p>
    <w:p w14:paraId="12CA8F3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3A51DE43">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你方和承包人按合同约定变更合同时，我方承担本担保规定的义务不变。</w:t>
      </w:r>
    </w:p>
    <w:p w14:paraId="73AC5D44">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04FF3C4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本保函自我方法定代表人（或其授权代理人）签字并加盖公章之日起生效。</w:t>
      </w:r>
    </w:p>
    <w:p w14:paraId="0563D85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3945C40">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 保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1348A65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07A12F9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7E6F3C4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459F8B15">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004728C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07D61E4C">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4FF41DB5">
      <w:pPr>
        <w:pageBreakBefore w:val="0"/>
        <w:widowControl/>
        <w:kinsoku/>
        <w:wordWrap/>
        <w:overflowPunct/>
        <w:topLinePunct w:val="0"/>
        <w:bidi w:val="0"/>
        <w:spacing w:line="360" w:lineRule="auto"/>
        <w:ind w:left="1899" w:hanging="1519" w:hangingChars="63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9B4ECD3">
      <w:pPr>
        <w:pageBreakBefore w:val="0"/>
        <w:widowControl/>
        <w:kinsoku/>
        <w:wordWrap/>
        <w:overflowPunct/>
        <w:topLinePunct w:val="0"/>
        <w:bidi w:val="0"/>
        <w:spacing w:line="360" w:lineRule="auto"/>
        <w:ind w:left="1899" w:hanging="1519" w:hangingChars="63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028014E">
      <w:pPr>
        <w:pageBreakBefore w:val="0"/>
        <w:widowControl/>
        <w:kinsoku/>
        <w:wordWrap/>
        <w:overflowPunct/>
        <w:topLinePunct w:val="0"/>
        <w:bidi w:val="0"/>
        <w:spacing w:line="360" w:lineRule="auto"/>
        <w:ind w:left="1899" w:hanging="1519" w:hangingChars="63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59F803F">
      <w:pPr>
        <w:pageBreakBefore w:val="0"/>
        <w:widowControl/>
        <w:kinsoku/>
        <w:wordWrap/>
        <w:overflowPunct/>
        <w:topLinePunct w:val="0"/>
        <w:bidi w:val="0"/>
        <w:spacing w:line="360" w:lineRule="auto"/>
        <w:ind w:left="1899" w:hanging="1519" w:hangingChars="63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163C82F">
      <w:pPr>
        <w:pStyle w:val="13"/>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p w14:paraId="4E787A71">
      <w:pPr>
        <w:pStyle w:val="13"/>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p>
    <w:p w14:paraId="23DDFAC7">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bookmarkStart w:id="4460" w:name="_Toc12611"/>
      <w:bookmarkStart w:id="4461" w:name="_Toc17150"/>
      <w:bookmarkStart w:id="4462" w:name="_Toc10070"/>
      <w:bookmarkStart w:id="4463" w:name="_Toc25854"/>
      <w:bookmarkStart w:id="4464" w:name="_Toc8997"/>
      <w:bookmarkStart w:id="4465" w:name="_Toc3679"/>
      <w:bookmarkStart w:id="4466" w:name="_Toc4654"/>
      <w:bookmarkStart w:id="4467" w:name="_Toc23818"/>
      <w:bookmarkStart w:id="4468" w:name="_Toc20415"/>
      <w:bookmarkStart w:id="4469" w:name="_Toc26984"/>
      <w:bookmarkStart w:id="4470" w:name="_Toc29306"/>
      <w:bookmarkStart w:id="4471" w:name="_Toc30276"/>
      <w:bookmarkStart w:id="4472" w:name="_Toc31051"/>
      <w:bookmarkStart w:id="4473" w:name="_Toc8749"/>
      <w:bookmarkStart w:id="4474" w:name="_Toc13670"/>
      <w:r>
        <w:rPr>
          <w:rFonts w:hint="eastAsia" w:ascii="宋体" w:hAnsi="宋体" w:eastAsia="宋体" w:cs="宋体"/>
          <w:color w:val="auto"/>
          <w:sz w:val="24"/>
          <w:szCs w:val="24"/>
          <w:highlight w:val="none"/>
        </w:rPr>
        <w:t>附</w:t>
      </w:r>
      <w:bookmarkStart w:id="4475" w:name="_Toc296346733"/>
      <w:bookmarkEnd w:id="4475"/>
      <w:bookmarkStart w:id="4476" w:name="_Toc296891060"/>
      <w:bookmarkEnd w:id="4476"/>
      <w:bookmarkStart w:id="4477" w:name="_Toc267261702"/>
      <w:bookmarkEnd w:id="4477"/>
      <w:bookmarkStart w:id="4478" w:name="_Toc296891272"/>
      <w:bookmarkEnd w:id="4478"/>
      <w:bookmarkStart w:id="4479" w:name="_Toc296503232"/>
      <w:bookmarkEnd w:id="4479"/>
      <w:bookmarkStart w:id="4480" w:name="_Toc296347231"/>
      <w:bookmarkEnd w:id="4480"/>
      <w:bookmarkStart w:id="4481" w:name="_Toc296944571"/>
      <w:r>
        <w:rPr>
          <w:rFonts w:hint="eastAsia" w:ascii="宋体" w:hAnsi="宋体" w:eastAsia="宋体" w:cs="宋体"/>
          <w:color w:val="auto"/>
          <w:sz w:val="24"/>
          <w:szCs w:val="24"/>
          <w:highlight w:val="none"/>
        </w:rPr>
        <w:t>件9 ：</w:t>
      </w:r>
      <w:bookmarkEnd w:id="4481"/>
      <w:r>
        <w:rPr>
          <w:rFonts w:hint="eastAsia" w:ascii="宋体" w:hAnsi="宋体" w:eastAsia="宋体" w:cs="宋体"/>
          <w:color w:val="auto"/>
          <w:sz w:val="24"/>
          <w:szCs w:val="24"/>
          <w:highlight w:val="none"/>
        </w:rPr>
        <w:t>预付款担保</w:t>
      </w:r>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p>
    <w:p w14:paraId="692B749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（发包人名称）：</w:t>
      </w:r>
    </w:p>
    <w:p w14:paraId="50044114">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B5327FB">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（承包人名称）（以下称“承包人”）与</w:t>
      </w:r>
    </w:p>
    <w:p w14:paraId="4E1D555D">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bookmarkStart w:id="4482" w:name="_Toc3525"/>
      <w:bookmarkStart w:id="4483" w:name="_Toc17254"/>
      <w:bookmarkStart w:id="4484" w:name="_Toc4427"/>
      <w:bookmarkStart w:id="4485" w:name="_Toc21342"/>
      <w:bookmarkStart w:id="4486" w:name="_Toc27002"/>
      <w:bookmarkStart w:id="4487" w:name="_Toc22387"/>
      <w:bookmarkStart w:id="4488" w:name="_Toc20589"/>
      <w:bookmarkStart w:id="4489" w:name="_Toc24610"/>
      <w:bookmarkStart w:id="4490" w:name="_Toc4484"/>
      <w:bookmarkStart w:id="4491" w:name="_Toc16921"/>
      <w:bookmarkStart w:id="4492" w:name="_Toc21139"/>
      <w:bookmarkStart w:id="4493" w:name="_Toc564"/>
      <w:bookmarkStart w:id="4494" w:name="_Toc3282"/>
      <w:bookmarkStart w:id="4495" w:name="_Toc3935"/>
      <w:bookmarkStart w:id="4496" w:name="_Toc30783"/>
      <w:bookmarkStart w:id="4497" w:name="_Toc11010"/>
      <w:r>
        <w:rPr>
          <w:rFonts w:hint="eastAsia" w:ascii="宋体" w:hAnsi="宋体" w:eastAsia="宋体" w:cs="宋体"/>
          <w:color w:val="auto"/>
          <w:sz w:val="24"/>
          <w:szCs w:val="24"/>
          <w:highlight w:val="none"/>
        </w:rPr>
        <w:t>（发包人名称）（以下简称“发包人”）</w:t>
      </w:r>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p>
    <w:p w14:paraId="19D1359A">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79416D2E">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31DC5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担保有效期自预付款支付给承包人起生效，至你方签发的进度款支付证书说明已完全扣清止。</w:t>
      </w:r>
    </w:p>
    <w:p w14:paraId="48B4EAE6">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2B68B28">
      <w:pPr>
        <w:pageBreakBefore w:val="0"/>
        <w:widowControl/>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你方和承包人按合同约定变更合同时，我方承担本保函规定的义务不变。</w:t>
      </w:r>
    </w:p>
    <w:p w14:paraId="7DA6D068">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27F31710">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本保函自我方法定代表人（或其授权代理人）签字并加盖公章之日起生效。</w:t>
      </w:r>
    </w:p>
    <w:p w14:paraId="27A330A2">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EAA82A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404180CC">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7AB190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791D4FA7">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59ED8D1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38A0E98B">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7CEC9A68">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7919039">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u w:val="single"/>
        </w:rPr>
      </w:pPr>
    </w:p>
    <w:p w14:paraId="34A73D91">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C629635">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bookmarkStart w:id="4498" w:name="_Toc18660"/>
      <w:bookmarkStart w:id="4499" w:name="_Toc8707"/>
      <w:bookmarkStart w:id="4500" w:name="_Toc24965"/>
      <w:bookmarkStart w:id="4501" w:name="_Toc18025"/>
      <w:bookmarkStart w:id="4502" w:name="_Toc29712"/>
      <w:bookmarkStart w:id="4503" w:name="_Toc2128"/>
      <w:bookmarkStart w:id="4504" w:name="_Toc5839"/>
      <w:bookmarkStart w:id="4505" w:name="_Toc2979"/>
      <w:bookmarkStart w:id="4506" w:name="_Toc11446"/>
      <w:bookmarkStart w:id="4507" w:name="_Toc26564"/>
      <w:bookmarkStart w:id="4508" w:name="_Toc23300"/>
      <w:bookmarkStart w:id="4509" w:name="_Toc13290"/>
      <w:bookmarkStart w:id="4510" w:name="_Toc16716"/>
      <w:bookmarkStart w:id="4511" w:name="_Toc30814"/>
      <w:bookmarkStart w:id="4512" w:name="_Toc2341"/>
      <w:r>
        <w:rPr>
          <w:rFonts w:hint="eastAsia" w:ascii="宋体" w:hAnsi="宋体" w:eastAsia="宋体" w:cs="宋体"/>
          <w:color w:val="auto"/>
          <w:sz w:val="24"/>
          <w:szCs w:val="24"/>
          <w:highlight w:val="none"/>
        </w:rPr>
        <w:t>附</w:t>
      </w:r>
      <w:bookmarkStart w:id="4513" w:name="_Toc296891061"/>
      <w:bookmarkEnd w:id="4513"/>
      <w:bookmarkStart w:id="4514" w:name="_Toc296346734"/>
      <w:bookmarkEnd w:id="4514"/>
      <w:bookmarkStart w:id="4515" w:name="_Toc296891273"/>
      <w:bookmarkEnd w:id="4515"/>
      <w:bookmarkStart w:id="4516" w:name="_Toc296503233"/>
      <w:bookmarkEnd w:id="4516"/>
      <w:bookmarkStart w:id="4517" w:name="_Toc296347232"/>
      <w:bookmarkEnd w:id="4517"/>
      <w:bookmarkStart w:id="4518" w:name="_Toc296944572"/>
      <w:r>
        <w:rPr>
          <w:rFonts w:hint="eastAsia" w:ascii="宋体" w:hAnsi="宋体" w:eastAsia="宋体" w:cs="宋体"/>
          <w:color w:val="auto"/>
          <w:sz w:val="24"/>
          <w:szCs w:val="24"/>
          <w:highlight w:val="none"/>
        </w:rPr>
        <w:t xml:space="preserve">件10: </w:t>
      </w:r>
      <w:bookmarkEnd w:id="4518"/>
      <w:r>
        <w:rPr>
          <w:rFonts w:hint="eastAsia" w:ascii="宋体" w:hAnsi="宋体" w:eastAsia="宋体" w:cs="宋体"/>
          <w:color w:val="auto"/>
          <w:sz w:val="24"/>
          <w:szCs w:val="24"/>
          <w:highlight w:val="none"/>
        </w:rPr>
        <w:t>支付担保</w:t>
      </w:r>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p>
    <w:p w14:paraId="2A796C47">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w:t>
      </w:r>
    </w:p>
    <w:p w14:paraId="6B2B99F1">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（工程名称）《建设工程施工合同》（以下称“主合同”），应发包人的申请，我方愿就发包人履行主合同约定的工程款支付义务以保证的方式向你方提供如下担保：</w:t>
      </w:r>
    </w:p>
    <w:p w14:paraId="580C1D2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19" w:name="_Toc28591"/>
      <w:bookmarkStart w:id="4520" w:name="_Toc8308"/>
      <w:bookmarkStart w:id="4521" w:name="_Toc1835"/>
      <w:bookmarkStart w:id="4522" w:name="_Toc24226"/>
      <w:bookmarkStart w:id="4523" w:name="_Toc13808"/>
      <w:bookmarkStart w:id="4524" w:name="_Toc30005"/>
      <w:bookmarkStart w:id="4525" w:name="_Toc26343"/>
      <w:bookmarkStart w:id="4526" w:name="_Toc23970"/>
      <w:bookmarkStart w:id="4527" w:name="_Toc10217"/>
      <w:bookmarkStart w:id="4528" w:name="_Toc20853"/>
      <w:bookmarkStart w:id="4529" w:name="_Toc22246"/>
      <w:bookmarkStart w:id="4530" w:name="_Toc28527"/>
      <w:bookmarkStart w:id="4531" w:name="_Toc848"/>
      <w:bookmarkStart w:id="4532" w:name="_Toc25984"/>
      <w:bookmarkStart w:id="4533" w:name="_Toc18171"/>
      <w:bookmarkStart w:id="4534" w:name="_Toc20196"/>
      <w:r>
        <w:rPr>
          <w:rFonts w:hint="eastAsia" w:ascii="宋体" w:hAnsi="宋体" w:eastAsia="宋体" w:cs="宋体"/>
          <w:color w:val="auto"/>
          <w:sz w:val="24"/>
          <w:szCs w:val="24"/>
          <w:highlight w:val="none"/>
        </w:rPr>
        <w:t>一、保证的范围及保证金额</w:t>
      </w:r>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p>
    <w:p w14:paraId="4AFB3C1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我方的保证范围是主合同约定的工程款。</w:t>
      </w:r>
    </w:p>
    <w:p w14:paraId="57ABFA84">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本保函所称主合同约定的工程款是指主合同约定的除工程质量保证金以外的合同价款。</w:t>
      </w:r>
    </w:p>
    <w:p w14:paraId="42AE87C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A63063">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35" w:name="_Toc13770"/>
      <w:bookmarkStart w:id="4536" w:name="_Toc27726"/>
      <w:bookmarkStart w:id="4537" w:name="_Toc18080"/>
      <w:bookmarkStart w:id="4538" w:name="_Toc20254"/>
      <w:bookmarkStart w:id="4539" w:name="_Toc17108"/>
      <w:bookmarkStart w:id="4540" w:name="_Toc25907"/>
      <w:bookmarkStart w:id="4541" w:name="_Toc2959"/>
      <w:bookmarkStart w:id="4542" w:name="_Toc12637"/>
      <w:bookmarkStart w:id="4543" w:name="_Toc4580"/>
      <w:bookmarkStart w:id="4544" w:name="_Toc15651"/>
      <w:bookmarkStart w:id="4545" w:name="_Toc3964"/>
      <w:bookmarkStart w:id="4546" w:name="_Toc3688"/>
      <w:bookmarkStart w:id="4547" w:name="_Toc24367"/>
      <w:bookmarkStart w:id="4548" w:name="_Toc13036"/>
      <w:bookmarkStart w:id="4549" w:name="_Toc6627"/>
      <w:bookmarkStart w:id="4550" w:name="_Toc19177"/>
      <w:r>
        <w:rPr>
          <w:rFonts w:hint="eastAsia" w:ascii="宋体" w:hAnsi="宋体" w:eastAsia="宋体" w:cs="宋体"/>
          <w:color w:val="auto"/>
          <w:sz w:val="24"/>
          <w:szCs w:val="24"/>
          <w:highlight w:val="none"/>
        </w:rPr>
        <w:t>二、保证的方式及保证期间</w:t>
      </w:r>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p>
    <w:p w14:paraId="5324E87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我方保证的方式为：连带责任保证。</w:t>
      </w:r>
    </w:p>
    <w:p w14:paraId="11159DB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我方保证的期间为：自本合同生效之日起至主合同约定的工程款支付完毕之</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w:t>
      </w:r>
    </w:p>
    <w:p w14:paraId="3F8130A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你方与发包人协议变更工程款支付日期的，经我方书面同意后，保证期间按照变更后的支付日期做相应调整。</w:t>
      </w:r>
    </w:p>
    <w:p w14:paraId="79226D8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51" w:name="_Toc2889"/>
      <w:bookmarkStart w:id="4552" w:name="_Toc11041"/>
      <w:bookmarkStart w:id="4553" w:name="_Toc22367"/>
      <w:bookmarkStart w:id="4554" w:name="_Toc21774"/>
      <w:bookmarkStart w:id="4555" w:name="_Toc14236"/>
      <w:bookmarkStart w:id="4556" w:name="_Toc10728"/>
      <w:bookmarkStart w:id="4557" w:name="_Toc24769"/>
      <w:bookmarkStart w:id="4558" w:name="_Toc9790"/>
      <w:bookmarkStart w:id="4559" w:name="_Toc23752"/>
      <w:bookmarkStart w:id="4560" w:name="_Toc10817"/>
      <w:bookmarkStart w:id="4561" w:name="_Toc29147"/>
      <w:bookmarkStart w:id="4562" w:name="_Toc3038"/>
      <w:bookmarkStart w:id="4563" w:name="_Toc22217"/>
      <w:bookmarkStart w:id="4564" w:name="_Toc5006"/>
      <w:bookmarkStart w:id="4565" w:name="_Toc14254"/>
      <w:bookmarkStart w:id="4566" w:name="_Toc20979"/>
      <w:r>
        <w:rPr>
          <w:rFonts w:hint="eastAsia" w:ascii="宋体" w:hAnsi="宋体" w:eastAsia="宋体" w:cs="宋体"/>
          <w:color w:val="auto"/>
          <w:sz w:val="24"/>
          <w:szCs w:val="24"/>
          <w:highlight w:val="none"/>
        </w:rPr>
        <w:t>三、承担保证责任的形式</w:t>
      </w:r>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p>
    <w:p w14:paraId="7088EB6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我方承担保证责任的形式是代为支付。发包人未按主合同约定向你方支付工程款的，由我方在保证金额内代为支付。</w:t>
      </w:r>
    </w:p>
    <w:p w14:paraId="1A5EF58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67" w:name="_Toc32435"/>
      <w:bookmarkStart w:id="4568" w:name="_Toc15364"/>
      <w:bookmarkStart w:id="4569" w:name="_Toc11455"/>
      <w:bookmarkStart w:id="4570" w:name="_Toc10419"/>
      <w:bookmarkStart w:id="4571" w:name="_Toc7360"/>
      <w:bookmarkStart w:id="4572" w:name="_Toc30449"/>
      <w:bookmarkStart w:id="4573" w:name="_Toc21911"/>
      <w:bookmarkStart w:id="4574" w:name="_Toc18635"/>
      <w:bookmarkStart w:id="4575" w:name="_Toc8833"/>
      <w:bookmarkStart w:id="4576" w:name="_Toc12194"/>
      <w:bookmarkStart w:id="4577" w:name="_Toc14296"/>
      <w:bookmarkStart w:id="4578" w:name="_Toc7138"/>
      <w:bookmarkStart w:id="4579" w:name="_Toc10232"/>
      <w:bookmarkStart w:id="4580" w:name="_Toc10268"/>
      <w:bookmarkStart w:id="4581" w:name="_Toc24538"/>
      <w:bookmarkStart w:id="4582" w:name="_Toc22666"/>
      <w:r>
        <w:rPr>
          <w:rFonts w:hint="eastAsia" w:ascii="宋体" w:hAnsi="宋体" w:eastAsia="宋体" w:cs="宋体"/>
          <w:color w:val="auto"/>
          <w:sz w:val="24"/>
          <w:szCs w:val="24"/>
          <w:highlight w:val="none"/>
        </w:rPr>
        <w:t>四、代偿的安排</w:t>
      </w:r>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p>
    <w:p w14:paraId="45026AB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2B350FC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0826F0D5">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我方收到你方的书面索赔通知及相应的证明材料后７天内无条件支付。</w:t>
      </w:r>
    </w:p>
    <w:p w14:paraId="253AA00A">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83" w:name="_Toc25836"/>
      <w:bookmarkStart w:id="4584" w:name="_Toc16608"/>
      <w:bookmarkStart w:id="4585" w:name="_Toc31327"/>
      <w:bookmarkStart w:id="4586" w:name="_Toc32163"/>
      <w:bookmarkStart w:id="4587" w:name="_Toc30358"/>
      <w:bookmarkStart w:id="4588" w:name="_Toc29208"/>
      <w:bookmarkStart w:id="4589" w:name="_Toc8593"/>
      <w:bookmarkStart w:id="4590" w:name="_Toc19614"/>
      <w:bookmarkStart w:id="4591" w:name="_Toc16308"/>
      <w:bookmarkStart w:id="4592" w:name="_Toc11863"/>
      <w:bookmarkStart w:id="4593" w:name="_Toc21181"/>
      <w:bookmarkStart w:id="4594" w:name="_Toc15381"/>
      <w:bookmarkStart w:id="4595" w:name="_Toc4570"/>
      <w:bookmarkStart w:id="4596" w:name="_Toc26393"/>
      <w:bookmarkStart w:id="4597" w:name="_Toc25916"/>
      <w:bookmarkStart w:id="4598" w:name="_Toc29530"/>
      <w:r>
        <w:rPr>
          <w:rFonts w:hint="eastAsia" w:ascii="宋体" w:hAnsi="宋体" w:eastAsia="宋体" w:cs="宋体"/>
          <w:color w:val="auto"/>
          <w:sz w:val="24"/>
          <w:szCs w:val="24"/>
          <w:highlight w:val="none"/>
        </w:rPr>
        <w:t>五、保证责任的解除</w:t>
      </w:r>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p>
    <w:p w14:paraId="2A24EDC2">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在本保函承诺的保证期间内，你方未书面向我方主张保证责任的，自保证期间届满次日起，我方保证责任解除。</w:t>
      </w:r>
    </w:p>
    <w:p w14:paraId="12F5B00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发包人按主合同约定履行了工程款的全部支付义务的，自本保函承诺的保证期间届满次日起，我方保证责任解除。</w:t>
      </w:r>
    </w:p>
    <w:p w14:paraId="68D27B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我方按照本保函向你方履行保证责任所支付金额达到本保函保证金额时，自我方向你方支付（支付款项从我方账户划出）之日起，保证责任即解除。</w:t>
      </w:r>
    </w:p>
    <w:p w14:paraId="3CFE1BC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按照法律法规的规定或出现应解除我方保证责任的其他情形的，我方在本保函项下的保证责任亦解除。</w:t>
      </w:r>
    </w:p>
    <w:p w14:paraId="70FB2276">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个工作日内，将本保函原件返还我方。</w:t>
      </w:r>
    </w:p>
    <w:p w14:paraId="570D76A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599" w:name="_Toc18722"/>
      <w:bookmarkStart w:id="4600" w:name="_Toc2551"/>
      <w:bookmarkStart w:id="4601" w:name="_Toc18679"/>
      <w:bookmarkStart w:id="4602" w:name="_Toc25702"/>
      <w:bookmarkStart w:id="4603" w:name="_Toc23595"/>
      <w:bookmarkStart w:id="4604" w:name="_Toc5533"/>
      <w:bookmarkStart w:id="4605" w:name="_Toc6872"/>
      <w:bookmarkStart w:id="4606" w:name="_Toc17365"/>
      <w:bookmarkStart w:id="4607" w:name="_Toc27099"/>
      <w:bookmarkStart w:id="4608" w:name="_Toc23601"/>
      <w:bookmarkStart w:id="4609" w:name="_Toc3172"/>
      <w:bookmarkStart w:id="4610" w:name="_Toc21060"/>
      <w:bookmarkStart w:id="4611" w:name="_Toc8915"/>
      <w:bookmarkStart w:id="4612" w:name="_Toc13316"/>
      <w:bookmarkStart w:id="4613" w:name="_Toc29065"/>
      <w:bookmarkStart w:id="4614" w:name="_Toc6587"/>
      <w:r>
        <w:rPr>
          <w:rFonts w:hint="eastAsia" w:ascii="宋体" w:hAnsi="宋体" w:eastAsia="宋体" w:cs="宋体"/>
          <w:color w:val="auto"/>
          <w:sz w:val="24"/>
          <w:szCs w:val="24"/>
          <w:highlight w:val="none"/>
        </w:rPr>
        <w:t>六、免责条款</w:t>
      </w:r>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p>
    <w:p w14:paraId="5624761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因你方违约致使发包人不能履行义务的，我方不承担保证责任。</w:t>
      </w:r>
    </w:p>
    <w:p w14:paraId="53D9B6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依照法律法规的规定或你方与发包人的另行约定，免除发包人部分或全部义务的，我方亦免除其相应的保证责任。</w:t>
      </w:r>
    </w:p>
    <w:p w14:paraId="48DD0BF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13AB3B4E">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因不可抗力造成发包人不能履行义务的，我方不承担保证责任。</w:t>
      </w:r>
    </w:p>
    <w:p w14:paraId="30ECA789">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615" w:name="_Toc21282"/>
      <w:bookmarkStart w:id="4616" w:name="_Toc21404"/>
      <w:bookmarkStart w:id="4617" w:name="_Toc16598"/>
      <w:bookmarkStart w:id="4618" w:name="_Toc17703"/>
      <w:bookmarkStart w:id="4619" w:name="_Toc11658"/>
      <w:bookmarkStart w:id="4620" w:name="_Toc24041"/>
      <w:bookmarkStart w:id="4621" w:name="_Toc2444"/>
      <w:bookmarkStart w:id="4622" w:name="_Toc4220"/>
      <w:bookmarkStart w:id="4623" w:name="_Toc14466"/>
      <w:bookmarkStart w:id="4624" w:name="_Toc11175"/>
      <w:bookmarkStart w:id="4625" w:name="_Toc32214"/>
      <w:bookmarkStart w:id="4626" w:name="_Toc2779"/>
      <w:bookmarkStart w:id="4627" w:name="_Toc16643"/>
      <w:bookmarkStart w:id="4628" w:name="_Toc17248"/>
      <w:bookmarkStart w:id="4629" w:name="_Toc19448"/>
      <w:bookmarkStart w:id="4630" w:name="_Toc9938"/>
      <w:r>
        <w:rPr>
          <w:rFonts w:hint="eastAsia" w:ascii="宋体" w:hAnsi="宋体" w:eastAsia="宋体" w:cs="宋体"/>
          <w:color w:val="auto"/>
          <w:sz w:val="24"/>
          <w:szCs w:val="24"/>
          <w:highlight w:val="none"/>
        </w:rPr>
        <w:t>七、争议解决</w:t>
      </w:r>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p>
    <w:p w14:paraId="0B20581B">
      <w:pPr>
        <w:pageBreakBefore w:val="0"/>
        <w:widowControl/>
        <w:kinsoku/>
        <w:wordWrap/>
        <w:overflowPunct/>
        <w:topLinePunct w:val="0"/>
        <w:bidi w:val="0"/>
        <w:spacing w:after="12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62B92B96">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4836A727">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bookmarkStart w:id="4631" w:name="_Toc10262"/>
      <w:bookmarkStart w:id="4632" w:name="_Toc6889"/>
      <w:bookmarkStart w:id="4633" w:name="_Toc24306"/>
      <w:bookmarkStart w:id="4634" w:name="_Toc17145"/>
      <w:bookmarkStart w:id="4635" w:name="_Toc16265"/>
      <w:bookmarkStart w:id="4636" w:name="_Toc28315"/>
      <w:bookmarkStart w:id="4637" w:name="_Toc20153"/>
      <w:bookmarkStart w:id="4638" w:name="_Toc29203"/>
      <w:bookmarkStart w:id="4639" w:name="_Toc22374"/>
      <w:bookmarkStart w:id="4640" w:name="_Toc24143"/>
      <w:bookmarkStart w:id="4641" w:name="_Toc4280"/>
      <w:bookmarkStart w:id="4642" w:name="_Toc24205"/>
      <w:bookmarkStart w:id="4643" w:name="_Toc26966"/>
      <w:bookmarkStart w:id="4644" w:name="_Toc9403"/>
      <w:bookmarkStart w:id="4645" w:name="_Toc10608"/>
      <w:bookmarkStart w:id="4646" w:name="_Toc15803"/>
      <w:r>
        <w:rPr>
          <w:rFonts w:hint="eastAsia" w:ascii="宋体" w:hAnsi="宋体" w:eastAsia="宋体" w:cs="宋体"/>
          <w:color w:val="auto"/>
          <w:sz w:val="24"/>
          <w:szCs w:val="24"/>
          <w:highlight w:val="none"/>
        </w:rPr>
        <w:t>八、保函的生效</w:t>
      </w:r>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p>
    <w:p w14:paraId="53E88EDB">
      <w:pPr>
        <w:pageBreakBefore w:val="0"/>
        <w:widowControl/>
        <w:kinsoku/>
        <w:wordWrap/>
        <w:overflowPunct/>
        <w:topLinePunct w:val="0"/>
        <w:bidi w:val="0"/>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本保函自我方法定代表人（或其授权代理人）签字并加盖公章之日起生效。</w:t>
      </w:r>
    </w:p>
    <w:p w14:paraId="7BE431A5">
      <w:pPr>
        <w:pageBreakBefore w:val="0"/>
        <w:widowControl/>
        <w:kinsoku/>
        <w:wordWrap/>
        <w:overflowPunct/>
        <w:topLinePunct w:val="0"/>
        <w:bidi w:val="0"/>
        <w:spacing w:line="360" w:lineRule="auto"/>
        <w:ind w:right="6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5C195984">
      <w:pPr>
        <w:pageBreakBefore w:val="0"/>
        <w:widowControl/>
        <w:kinsoku/>
        <w:wordWrap/>
        <w:overflowPunct/>
        <w:topLinePunct w:val="0"/>
        <w:bidi w:val="0"/>
        <w:spacing w:line="360" w:lineRule="auto"/>
        <w:ind w:right="1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2A88FE52">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053B434E">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4CA4A7D0">
      <w:pPr>
        <w:pageBreakBefore w:val="0"/>
        <w:widowControl/>
        <w:kinsoku/>
        <w:wordWrap/>
        <w:overflowPunct/>
        <w:topLinePunct w:val="0"/>
        <w:bidi w:val="0"/>
        <w:spacing w:line="360" w:lineRule="auto"/>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11FA5CFA">
      <w:pPr>
        <w:pageBreakBefore w:val="0"/>
        <w:widowControl/>
        <w:kinsoku/>
        <w:wordWrap/>
        <w:overflowPunct/>
        <w:topLinePunct w:val="0"/>
        <w:bidi w:val="0"/>
        <w:spacing w:line="360" w:lineRule="auto"/>
        <w:ind w:right="15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7E42399">
      <w:pPr>
        <w:pageBreakBefore w:val="0"/>
        <w:widowControl/>
        <w:kinsoku/>
        <w:wordWrap/>
        <w:overflowPunct/>
        <w:topLinePunct w:val="0"/>
        <w:bidi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647" w:name="_Toc22136"/>
      <w:bookmarkStart w:id="4648" w:name="_Toc28723"/>
      <w:bookmarkStart w:id="4649" w:name="_Toc1043"/>
      <w:bookmarkStart w:id="4650" w:name="_Toc22"/>
      <w:bookmarkStart w:id="4651" w:name="_Toc26390"/>
      <w:bookmarkStart w:id="4652" w:name="_Toc24419"/>
      <w:bookmarkStart w:id="4653" w:name="_Toc530"/>
      <w:bookmarkStart w:id="4654" w:name="_Toc21805"/>
      <w:bookmarkStart w:id="4655" w:name="_Toc26166"/>
      <w:bookmarkStart w:id="4656" w:name="_Toc15349"/>
      <w:bookmarkStart w:id="4657" w:name="_Toc12622"/>
      <w:bookmarkStart w:id="4658" w:name="_Toc7607"/>
      <w:bookmarkStart w:id="4659" w:name="_Toc9962"/>
      <w:bookmarkStart w:id="4660" w:name="_Toc14445"/>
      <w:bookmarkStart w:id="4661" w:name="_Toc17346"/>
      <w:r>
        <w:rPr>
          <w:rFonts w:hint="eastAsia" w:ascii="宋体" w:hAnsi="宋体" w:eastAsia="宋体" w:cs="宋体"/>
          <w:color w:val="auto"/>
          <w:sz w:val="24"/>
          <w:szCs w:val="24"/>
          <w:highlight w:val="none"/>
        </w:rPr>
        <w:t>附件11：</w:t>
      </w:r>
      <w:bookmarkStart w:id="4662" w:name="_Toc4586"/>
      <w:r>
        <w:rPr>
          <w:rFonts w:hint="eastAsia" w:ascii="宋体" w:hAnsi="宋体" w:eastAsia="宋体" w:cs="宋体"/>
          <w:color w:val="auto"/>
          <w:sz w:val="24"/>
          <w:szCs w:val="24"/>
          <w:highlight w:val="none"/>
        </w:rPr>
        <w:t>11-1：材料暂估价表</w:t>
      </w:r>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p>
    <w:tbl>
      <w:tblPr>
        <w:tblStyle w:val="27"/>
        <w:tblW w:w="9073" w:type="dxa"/>
        <w:tblInd w:w="-34" w:type="dxa"/>
        <w:tblLayout w:type="fixed"/>
        <w:tblCellMar>
          <w:top w:w="0" w:type="dxa"/>
          <w:left w:w="28" w:type="dxa"/>
          <w:bottom w:w="0" w:type="dxa"/>
          <w:right w:w="28" w:type="dxa"/>
        </w:tblCellMar>
      </w:tblPr>
      <w:tblGrid>
        <w:gridCol w:w="993"/>
        <w:gridCol w:w="1984"/>
        <w:gridCol w:w="851"/>
        <w:gridCol w:w="774"/>
        <w:gridCol w:w="1352"/>
        <w:gridCol w:w="1418"/>
        <w:gridCol w:w="1701"/>
      </w:tblGrid>
      <w:tr w14:paraId="5F247FD2">
        <w:tblPrEx>
          <w:tblCellMar>
            <w:top w:w="0" w:type="dxa"/>
            <w:left w:w="28" w:type="dxa"/>
            <w:bottom w:w="0" w:type="dxa"/>
            <w:right w:w="28" w:type="dxa"/>
          </w:tblCellMar>
        </w:tblPrEx>
        <w:tc>
          <w:tcPr>
            <w:tcW w:w="993" w:type="dxa"/>
            <w:tcBorders>
              <w:top w:val="single" w:color="auto" w:sz="12" w:space="0"/>
              <w:left w:val="single" w:color="auto" w:sz="12" w:space="0"/>
              <w:bottom w:val="double" w:color="auto" w:sz="2" w:space="0"/>
              <w:right w:val="single" w:color="auto" w:sz="6" w:space="0"/>
            </w:tcBorders>
            <w:noWrap w:val="0"/>
            <w:vAlign w:val="top"/>
          </w:tcPr>
          <w:p w14:paraId="1686B44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18DB38C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851" w:type="dxa"/>
            <w:tcBorders>
              <w:top w:val="single" w:color="auto" w:sz="12" w:space="0"/>
              <w:left w:val="single" w:color="auto" w:sz="6" w:space="0"/>
              <w:bottom w:val="double" w:color="auto" w:sz="2" w:space="0"/>
              <w:right w:val="single" w:color="auto" w:sz="6" w:space="0"/>
            </w:tcBorders>
            <w:noWrap w:val="0"/>
            <w:vAlign w:val="top"/>
          </w:tcPr>
          <w:p w14:paraId="25FB5E0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774" w:type="dxa"/>
            <w:tcBorders>
              <w:top w:val="single" w:color="auto" w:sz="12" w:space="0"/>
              <w:left w:val="single" w:color="auto" w:sz="6" w:space="0"/>
              <w:bottom w:val="double" w:color="auto" w:sz="2" w:space="0"/>
              <w:right w:val="single" w:color="auto" w:sz="6" w:space="0"/>
            </w:tcBorders>
            <w:noWrap w:val="0"/>
            <w:vAlign w:val="top"/>
          </w:tcPr>
          <w:p w14:paraId="2D8F4A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2" w:type="dxa"/>
            <w:tcBorders>
              <w:top w:val="single" w:color="auto" w:sz="12" w:space="0"/>
              <w:left w:val="single" w:color="auto" w:sz="6" w:space="0"/>
              <w:bottom w:val="double" w:color="auto" w:sz="2" w:space="0"/>
              <w:right w:val="single" w:color="auto" w:sz="6" w:space="0"/>
            </w:tcBorders>
            <w:noWrap w:val="0"/>
            <w:vAlign w:val="top"/>
          </w:tcPr>
          <w:p w14:paraId="421F085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418" w:type="dxa"/>
            <w:tcBorders>
              <w:top w:val="single" w:color="auto" w:sz="12" w:space="0"/>
              <w:left w:val="single" w:color="auto" w:sz="6" w:space="0"/>
              <w:bottom w:val="double" w:color="auto" w:sz="2" w:space="0"/>
              <w:right w:val="single" w:color="auto" w:sz="6" w:space="0"/>
            </w:tcBorders>
            <w:noWrap w:val="0"/>
            <w:vAlign w:val="top"/>
          </w:tcPr>
          <w:p w14:paraId="78EA1D6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701" w:type="dxa"/>
            <w:tcBorders>
              <w:top w:val="single" w:color="auto" w:sz="12" w:space="0"/>
              <w:left w:val="single" w:color="auto" w:sz="6" w:space="0"/>
              <w:bottom w:val="double" w:color="auto" w:sz="2" w:space="0"/>
              <w:right w:val="single" w:color="auto" w:sz="12" w:space="0"/>
            </w:tcBorders>
            <w:noWrap w:val="0"/>
            <w:vAlign w:val="top"/>
          </w:tcPr>
          <w:p w14:paraId="4029F2D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60DD9C1">
        <w:tblPrEx>
          <w:tblCellMar>
            <w:top w:w="0" w:type="dxa"/>
            <w:left w:w="28" w:type="dxa"/>
            <w:bottom w:w="0" w:type="dxa"/>
            <w:right w:w="28" w:type="dxa"/>
          </w:tblCellMar>
        </w:tblPrEx>
        <w:tc>
          <w:tcPr>
            <w:tcW w:w="993" w:type="dxa"/>
            <w:tcBorders>
              <w:top w:val="double" w:color="auto" w:sz="2" w:space="0"/>
              <w:left w:val="single" w:color="auto" w:sz="12" w:space="0"/>
              <w:bottom w:val="single" w:color="auto" w:sz="6" w:space="0"/>
              <w:right w:val="single" w:color="auto" w:sz="6" w:space="0"/>
            </w:tcBorders>
            <w:noWrap w:val="0"/>
            <w:vAlign w:val="top"/>
          </w:tcPr>
          <w:p w14:paraId="2758C91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455667D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top"/>
          </w:tcPr>
          <w:p w14:paraId="357A03C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double" w:color="auto" w:sz="2" w:space="0"/>
              <w:left w:val="single" w:color="auto" w:sz="6" w:space="0"/>
              <w:bottom w:val="single" w:color="auto" w:sz="6" w:space="0"/>
              <w:right w:val="single" w:color="auto" w:sz="6" w:space="0"/>
            </w:tcBorders>
            <w:noWrap w:val="0"/>
            <w:vAlign w:val="top"/>
          </w:tcPr>
          <w:p w14:paraId="5C7C71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double" w:color="auto" w:sz="2" w:space="0"/>
              <w:left w:val="single" w:color="auto" w:sz="6" w:space="0"/>
              <w:bottom w:val="single" w:color="auto" w:sz="6" w:space="0"/>
              <w:right w:val="single" w:color="auto" w:sz="6" w:space="0"/>
            </w:tcBorders>
            <w:noWrap w:val="0"/>
            <w:vAlign w:val="top"/>
          </w:tcPr>
          <w:p w14:paraId="69A34C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top"/>
          </w:tcPr>
          <w:p w14:paraId="08A846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double" w:color="auto" w:sz="2" w:space="0"/>
              <w:left w:val="single" w:color="auto" w:sz="6" w:space="0"/>
              <w:bottom w:val="single" w:color="auto" w:sz="6" w:space="0"/>
              <w:right w:val="single" w:color="auto" w:sz="12" w:space="0"/>
            </w:tcBorders>
            <w:noWrap w:val="0"/>
            <w:vAlign w:val="top"/>
          </w:tcPr>
          <w:p w14:paraId="4F2750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69D0A8C">
        <w:tblPrEx>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noWrap w:val="0"/>
            <w:vAlign w:val="top"/>
          </w:tcPr>
          <w:p w14:paraId="280AF75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233ACD7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top"/>
          </w:tcPr>
          <w:p w14:paraId="7858D36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nil"/>
              <w:left w:val="single" w:color="auto" w:sz="6" w:space="0"/>
              <w:bottom w:val="single" w:color="auto" w:sz="6" w:space="0"/>
              <w:right w:val="single" w:color="auto" w:sz="6" w:space="0"/>
            </w:tcBorders>
            <w:noWrap w:val="0"/>
            <w:vAlign w:val="top"/>
          </w:tcPr>
          <w:p w14:paraId="69BD13F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nil"/>
              <w:left w:val="single" w:color="auto" w:sz="6" w:space="0"/>
              <w:bottom w:val="single" w:color="auto" w:sz="6" w:space="0"/>
              <w:right w:val="single" w:color="auto" w:sz="6" w:space="0"/>
            </w:tcBorders>
            <w:noWrap w:val="0"/>
            <w:vAlign w:val="top"/>
          </w:tcPr>
          <w:p w14:paraId="2AE24DA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top"/>
          </w:tcPr>
          <w:p w14:paraId="7B52421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nil"/>
              <w:left w:val="single" w:color="auto" w:sz="6" w:space="0"/>
              <w:bottom w:val="single" w:color="auto" w:sz="6" w:space="0"/>
              <w:right w:val="single" w:color="auto" w:sz="12" w:space="0"/>
            </w:tcBorders>
            <w:noWrap w:val="0"/>
            <w:vAlign w:val="top"/>
          </w:tcPr>
          <w:p w14:paraId="6EBC42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2E83E89">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978D0F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2EE08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19D964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06989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6298CA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1A7C3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25C10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19F18C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383F2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8CEAE9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CA6718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725E11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F32C00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45FEAA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D25325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DA6549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EBD81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E08868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8C5AE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FA5B02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A7E2F8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039A2C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DACD6E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8D296C7">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FE9C00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4F7222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4D0C75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A3545A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B5B1FA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B66E3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13C5F2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F392EDB">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E326B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0C903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A115C5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60AE3C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398AB3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80A119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FB97E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E5CA2A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AD60F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2C07AB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31D933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034920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AE4694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E8037E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4DE8E0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226C1F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E7619C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1E9908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1F51B5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4AD6AF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1B73CF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725548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EF597F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B031528">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11367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41A079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C5997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8DC87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2E7A23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C01826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B3D79F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236254C">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2FCEF5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3E2A3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C58940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6E8B52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EF813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A7723B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E4A52B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B70A81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2C600C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AA7A5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D25D80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6944A4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6B4974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C7C5C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3F32E2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D2B37C0">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203F06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9E852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528290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C6A05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AC0DFA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F8B427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E4567E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62ED65A">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EAD6B5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9DCBAA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D3049D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9C8EFE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52B50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F65376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433942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A73DD9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CF68F1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9B4277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03C50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C74F3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B9F899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3AE87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1F127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E30D4F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18C27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6A5FF9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C1DCB9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96C3F9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90361A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C9E5E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E12F3E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53ECC4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4F259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922895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A81BFD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0B07E6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A8F278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07F78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D59C68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6AAF7B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730A84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549C84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87426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8595A4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632F3E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36090C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489D9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0090E79">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895E24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00978A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16C538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C9A72F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5006E3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DA3BC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AF803E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1BA619D">
        <w:tblPrEx>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noWrap w:val="0"/>
            <w:vAlign w:val="top"/>
          </w:tcPr>
          <w:p w14:paraId="034E5B3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12" w:space="0"/>
              <w:right w:val="single" w:color="auto" w:sz="6" w:space="0"/>
            </w:tcBorders>
            <w:noWrap w:val="0"/>
            <w:vAlign w:val="top"/>
          </w:tcPr>
          <w:p w14:paraId="54FF78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top"/>
          </w:tcPr>
          <w:p w14:paraId="04AD186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12" w:space="0"/>
              <w:right w:val="single" w:color="auto" w:sz="6" w:space="0"/>
            </w:tcBorders>
            <w:noWrap w:val="0"/>
            <w:vAlign w:val="top"/>
          </w:tcPr>
          <w:p w14:paraId="76EA70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12" w:space="0"/>
              <w:right w:val="single" w:color="auto" w:sz="6" w:space="0"/>
            </w:tcBorders>
            <w:noWrap w:val="0"/>
            <w:vAlign w:val="top"/>
          </w:tcPr>
          <w:p w14:paraId="5A36054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4975EA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12" w:space="0"/>
              <w:right w:val="single" w:color="auto" w:sz="12" w:space="0"/>
            </w:tcBorders>
            <w:noWrap w:val="0"/>
            <w:vAlign w:val="top"/>
          </w:tcPr>
          <w:p w14:paraId="01E6BF7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bl>
    <w:p w14:paraId="4E4AC57D">
      <w:pPr>
        <w:pageBreakBefore w:val="0"/>
        <w:widowControl/>
        <w:kinsoku/>
        <w:wordWrap/>
        <w:overflowPunct/>
        <w:topLinePunct w:val="0"/>
        <w:bidi w:val="0"/>
        <w:spacing w:before="156" w:beforeLines="50" w:after="156" w:afterLines="50" w:line="360" w:lineRule="auto"/>
        <w:textAlignment w:val="auto"/>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p>
    <w:p w14:paraId="61C37C56">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bookmarkStart w:id="4663" w:name="_Toc6120"/>
      <w:bookmarkStart w:id="4664" w:name="_Toc25649"/>
      <w:bookmarkStart w:id="4665" w:name="_Toc21029"/>
      <w:bookmarkStart w:id="4666" w:name="_Toc27907"/>
      <w:bookmarkStart w:id="4667" w:name="_Toc18971"/>
      <w:bookmarkStart w:id="4668" w:name="_Toc31313"/>
      <w:bookmarkStart w:id="4669" w:name="_Toc14558"/>
      <w:bookmarkStart w:id="4670" w:name="_Toc1154"/>
      <w:bookmarkStart w:id="4671" w:name="_Toc26299"/>
      <w:bookmarkStart w:id="4672" w:name="_Toc6551"/>
      <w:bookmarkStart w:id="4673" w:name="_Toc19808"/>
      <w:bookmarkStart w:id="4674" w:name="_Toc16127"/>
      <w:r>
        <w:rPr>
          <w:rFonts w:hint="eastAsia" w:ascii="宋体" w:hAnsi="宋体" w:eastAsia="宋体" w:cs="宋体"/>
          <w:color w:val="auto"/>
          <w:sz w:val="24"/>
          <w:szCs w:val="24"/>
          <w:highlight w:val="none"/>
        </w:rPr>
        <w:br w:type="page"/>
      </w:r>
    </w:p>
    <w:p w14:paraId="77D76A36">
      <w:pPr>
        <w:pageBreakBefore w:val="0"/>
        <w:widowControl/>
        <w:kinsoku/>
        <w:wordWrap/>
        <w:overflowPunct/>
        <w:topLinePunct w:val="0"/>
        <w:bidi w:val="0"/>
        <w:spacing w:before="156" w:beforeLines="50" w:after="156" w:afterLines="50" w:line="360" w:lineRule="auto"/>
        <w:jc w:val="center"/>
        <w:textAlignment w:val="auto"/>
        <w:outlineLvl w:val="9"/>
        <w:rPr>
          <w:rFonts w:hint="eastAsia"/>
          <w:color w:val="auto"/>
          <w:highlight w:val="none"/>
        </w:rPr>
      </w:pPr>
      <w:bookmarkStart w:id="4675" w:name="_Toc10105"/>
      <w:bookmarkStart w:id="4676" w:name="_Toc32116"/>
      <w:bookmarkStart w:id="4677" w:name="_Toc21167"/>
      <w:r>
        <w:rPr>
          <w:rFonts w:hint="eastAsia" w:ascii="宋体" w:hAnsi="宋体" w:eastAsia="宋体" w:cs="宋体"/>
          <w:color w:val="auto"/>
          <w:sz w:val="24"/>
          <w:szCs w:val="24"/>
          <w:highlight w:val="none"/>
        </w:rPr>
        <w:t>11-2：工程设备暂估价表</w:t>
      </w:r>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p>
    <w:tbl>
      <w:tblPr>
        <w:tblStyle w:val="27"/>
        <w:tblW w:w="9073" w:type="dxa"/>
        <w:tblInd w:w="-34" w:type="dxa"/>
        <w:tblLayout w:type="fixed"/>
        <w:tblCellMar>
          <w:top w:w="0" w:type="dxa"/>
          <w:left w:w="28" w:type="dxa"/>
          <w:bottom w:w="0" w:type="dxa"/>
          <w:right w:w="28" w:type="dxa"/>
        </w:tblCellMar>
      </w:tblPr>
      <w:tblGrid>
        <w:gridCol w:w="993"/>
        <w:gridCol w:w="1984"/>
        <w:gridCol w:w="851"/>
        <w:gridCol w:w="774"/>
        <w:gridCol w:w="1352"/>
        <w:gridCol w:w="1418"/>
        <w:gridCol w:w="1701"/>
      </w:tblGrid>
      <w:tr w14:paraId="00231F58">
        <w:tblPrEx>
          <w:tblCellMar>
            <w:top w:w="0" w:type="dxa"/>
            <w:left w:w="28" w:type="dxa"/>
            <w:bottom w:w="0" w:type="dxa"/>
            <w:right w:w="28" w:type="dxa"/>
          </w:tblCellMar>
        </w:tblPrEx>
        <w:tc>
          <w:tcPr>
            <w:tcW w:w="993" w:type="dxa"/>
            <w:tcBorders>
              <w:top w:val="single" w:color="auto" w:sz="12" w:space="0"/>
              <w:left w:val="single" w:color="auto" w:sz="12" w:space="0"/>
              <w:bottom w:val="double" w:color="auto" w:sz="2" w:space="0"/>
              <w:right w:val="single" w:color="auto" w:sz="6" w:space="0"/>
            </w:tcBorders>
            <w:noWrap w:val="0"/>
            <w:vAlign w:val="top"/>
          </w:tcPr>
          <w:p w14:paraId="514373F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67026C7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851" w:type="dxa"/>
            <w:tcBorders>
              <w:top w:val="single" w:color="auto" w:sz="12" w:space="0"/>
              <w:left w:val="single" w:color="auto" w:sz="6" w:space="0"/>
              <w:bottom w:val="double" w:color="auto" w:sz="2" w:space="0"/>
              <w:right w:val="single" w:color="auto" w:sz="6" w:space="0"/>
            </w:tcBorders>
            <w:noWrap w:val="0"/>
            <w:vAlign w:val="top"/>
          </w:tcPr>
          <w:p w14:paraId="15EFE9D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774" w:type="dxa"/>
            <w:tcBorders>
              <w:top w:val="single" w:color="auto" w:sz="12" w:space="0"/>
              <w:left w:val="single" w:color="auto" w:sz="6" w:space="0"/>
              <w:bottom w:val="double" w:color="auto" w:sz="2" w:space="0"/>
              <w:right w:val="single" w:color="auto" w:sz="6" w:space="0"/>
            </w:tcBorders>
            <w:noWrap w:val="0"/>
            <w:vAlign w:val="top"/>
          </w:tcPr>
          <w:p w14:paraId="418BCB6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2" w:type="dxa"/>
            <w:tcBorders>
              <w:top w:val="single" w:color="auto" w:sz="12" w:space="0"/>
              <w:left w:val="single" w:color="auto" w:sz="6" w:space="0"/>
              <w:bottom w:val="double" w:color="auto" w:sz="2" w:space="0"/>
              <w:right w:val="single" w:color="auto" w:sz="6" w:space="0"/>
            </w:tcBorders>
            <w:noWrap w:val="0"/>
            <w:vAlign w:val="top"/>
          </w:tcPr>
          <w:p w14:paraId="361D9A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418" w:type="dxa"/>
            <w:tcBorders>
              <w:top w:val="single" w:color="auto" w:sz="12" w:space="0"/>
              <w:left w:val="single" w:color="auto" w:sz="6" w:space="0"/>
              <w:bottom w:val="double" w:color="auto" w:sz="2" w:space="0"/>
              <w:right w:val="single" w:color="auto" w:sz="6" w:space="0"/>
            </w:tcBorders>
            <w:noWrap w:val="0"/>
            <w:vAlign w:val="top"/>
          </w:tcPr>
          <w:p w14:paraId="094544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701" w:type="dxa"/>
            <w:tcBorders>
              <w:top w:val="single" w:color="auto" w:sz="12" w:space="0"/>
              <w:left w:val="single" w:color="auto" w:sz="6" w:space="0"/>
              <w:bottom w:val="double" w:color="auto" w:sz="2" w:space="0"/>
              <w:right w:val="single" w:color="auto" w:sz="12" w:space="0"/>
            </w:tcBorders>
            <w:noWrap w:val="0"/>
            <w:vAlign w:val="top"/>
          </w:tcPr>
          <w:p w14:paraId="783638C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E6DB22C">
        <w:tblPrEx>
          <w:tblCellMar>
            <w:top w:w="0" w:type="dxa"/>
            <w:left w:w="28" w:type="dxa"/>
            <w:bottom w:w="0" w:type="dxa"/>
            <w:right w:w="28" w:type="dxa"/>
          </w:tblCellMar>
        </w:tblPrEx>
        <w:tc>
          <w:tcPr>
            <w:tcW w:w="993" w:type="dxa"/>
            <w:tcBorders>
              <w:top w:val="double" w:color="auto" w:sz="2" w:space="0"/>
              <w:left w:val="single" w:color="auto" w:sz="12" w:space="0"/>
              <w:bottom w:val="single" w:color="auto" w:sz="6" w:space="0"/>
              <w:right w:val="single" w:color="auto" w:sz="6" w:space="0"/>
            </w:tcBorders>
            <w:noWrap w:val="0"/>
            <w:vAlign w:val="top"/>
          </w:tcPr>
          <w:p w14:paraId="1A41DBE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320FB91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top"/>
          </w:tcPr>
          <w:p w14:paraId="60E0B51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double" w:color="auto" w:sz="2" w:space="0"/>
              <w:left w:val="single" w:color="auto" w:sz="6" w:space="0"/>
              <w:bottom w:val="single" w:color="auto" w:sz="6" w:space="0"/>
              <w:right w:val="single" w:color="auto" w:sz="6" w:space="0"/>
            </w:tcBorders>
            <w:noWrap w:val="0"/>
            <w:vAlign w:val="top"/>
          </w:tcPr>
          <w:p w14:paraId="4798DF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double" w:color="auto" w:sz="2" w:space="0"/>
              <w:left w:val="single" w:color="auto" w:sz="6" w:space="0"/>
              <w:bottom w:val="single" w:color="auto" w:sz="6" w:space="0"/>
              <w:right w:val="single" w:color="auto" w:sz="6" w:space="0"/>
            </w:tcBorders>
            <w:noWrap w:val="0"/>
            <w:vAlign w:val="top"/>
          </w:tcPr>
          <w:p w14:paraId="1D3B615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top"/>
          </w:tcPr>
          <w:p w14:paraId="131573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double" w:color="auto" w:sz="2" w:space="0"/>
              <w:left w:val="single" w:color="auto" w:sz="6" w:space="0"/>
              <w:bottom w:val="single" w:color="auto" w:sz="6" w:space="0"/>
              <w:right w:val="single" w:color="auto" w:sz="12" w:space="0"/>
            </w:tcBorders>
            <w:noWrap w:val="0"/>
            <w:vAlign w:val="top"/>
          </w:tcPr>
          <w:p w14:paraId="46DC0E3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06AE764">
        <w:tblPrEx>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noWrap w:val="0"/>
            <w:vAlign w:val="top"/>
          </w:tcPr>
          <w:p w14:paraId="11E4C7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7544171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top"/>
          </w:tcPr>
          <w:p w14:paraId="258498C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nil"/>
              <w:left w:val="single" w:color="auto" w:sz="6" w:space="0"/>
              <w:bottom w:val="single" w:color="auto" w:sz="6" w:space="0"/>
              <w:right w:val="single" w:color="auto" w:sz="6" w:space="0"/>
            </w:tcBorders>
            <w:noWrap w:val="0"/>
            <w:vAlign w:val="top"/>
          </w:tcPr>
          <w:p w14:paraId="3FDE935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nil"/>
              <w:left w:val="single" w:color="auto" w:sz="6" w:space="0"/>
              <w:bottom w:val="single" w:color="auto" w:sz="6" w:space="0"/>
              <w:right w:val="single" w:color="auto" w:sz="6" w:space="0"/>
            </w:tcBorders>
            <w:noWrap w:val="0"/>
            <w:vAlign w:val="top"/>
          </w:tcPr>
          <w:p w14:paraId="0F73063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top"/>
          </w:tcPr>
          <w:p w14:paraId="375B6D9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nil"/>
              <w:left w:val="single" w:color="auto" w:sz="6" w:space="0"/>
              <w:bottom w:val="single" w:color="auto" w:sz="6" w:space="0"/>
              <w:right w:val="single" w:color="auto" w:sz="12" w:space="0"/>
            </w:tcBorders>
            <w:noWrap w:val="0"/>
            <w:vAlign w:val="top"/>
          </w:tcPr>
          <w:p w14:paraId="35FC50A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D449689">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4F4BDF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7788C0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8351B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E3FE76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2CC8DC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CAE3DE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017D5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4DE4F6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1213D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89024B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36F680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2388C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2EC8C2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673BE1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1A8371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772426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C577B1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133085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FFACA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7CEABD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AFE505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D06219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13DE15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279F93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10CBD9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0E8B98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3E5C41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215AA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8898BA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6F3294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3BDB19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71CF54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A9EF9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44DEC2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9C2742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D4D50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3A5C7A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2E5767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2C0573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6185B1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6F891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D95547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7B518A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71F615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2822F2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F3D940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68E935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8361D7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7152D1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B8B4E3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AF72D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1E5D9A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9B483A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BD3009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CD67E3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224547F">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982A32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56DB49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957F27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83E269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88119C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59EBC3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892F71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7C48815">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E9FEB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B905EE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34CE4E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BF9A63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B5167A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7C5A6A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B9CD7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26E20D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1404A4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796B9C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27CE5E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3C309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274D54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EABC70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9698F9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8E7092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8FA477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792F3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FDB9D8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3EF96B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93F485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F8D8A4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FC4E93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3DB71D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EBEFBF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151A8E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0D3E9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1D305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94AC6C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16C18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054B5E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B65BFB5">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FDB20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4FBFBF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A219EB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B2F3AE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649BFE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88855F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94C428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8C54DFC">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838BE4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97703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A88C5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9B4975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2569F8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CCD670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8D9B65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C549195">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179791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B7A0E4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1430F7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71860E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546D2B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E359FF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883C48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F577F0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B1DB3B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9A5A3F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D0C28E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FAC386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3C2CCC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0BBE12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414CDA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01DACEB">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45D5A6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DA8351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C65C41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2B88CB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28B87F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BBD4D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DB1BA0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8B8068B">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870B96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A286D3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289D43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6F65F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87DCB5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53D4BA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FB2882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ECCECAC">
        <w:tblPrEx>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noWrap w:val="0"/>
            <w:vAlign w:val="top"/>
          </w:tcPr>
          <w:p w14:paraId="238AADD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12" w:space="0"/>
              <w:right w:val="single" w:color="auto" w:sz="6" w:space="0"/>
            </w:tcBorders>
            <w:noWrap w:val="0"/>
            <w:vAlign w:val="top"/>
          </w:tcPr>
          <w:p w14:paraId="21F9DC4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top"/>
          </w:tcPr>
          <w:p w14:paraId="5E32B9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12" w:space="0"/>
              <w:right w:val="single" w:color="auto" w:sz="6" w:space="0"/>
            </w:tcBorders>
            <w:noWrap w:val="0"/>
            <w:vAlign w:val="top"/>
          </w:tcPr>
          <w:p w14:paraId="5B4A171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12" w:space="0"/>
              <w:right w:val="single" w:color="auto" w:sz="6" w:space="0"/>
            </w:tcBorders>
            <w:noWrap w:val="0"/>
            <w:vAlign w:val="top"/>
          </w:tcPr>
          <w:p w14:paraId="29E096F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6D888FE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12" w:space="0"/>
              <w:right w:val="single" w:color="auto" w:sz="12" w:space="0"/>
            </w:tcBorders>
            <w:noWrap w:val="0"/>
            <w:vAlign w:val="top"/>
          </w:tcPr>
          <w:p w14:paraId="1DE6AD0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bl>
    <w:p w14:paraId="22DA2D93">
      <w:pPr>
        <w:pageBreakBefore w:val="0"/>
        <w:widowControl/>
        <w:kinsoku/>
        <w:wordWrap/>
        <w:overflowPunct/>
        <w:topLinePunct w:val="0"/>
        <w:bidi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2918041">
      <w:pPr>
        <w:pageBreakBefore w:val="0"/>
        <w:widowControl/>
        <w:kinsoku/>
        <w:wordWrap/>
        <w:overflowPunct/>
        <w:topLinePunct w:val="0"/>
        <w:bidi w:val="0"/>
        <w:spacing w:before="156" w:beforeLines="50" w:after="156" w:afterLines="50"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678" w:name="_Toc18330"/>
      <w:bookmarkStart w:id="4679" w:name="_Toc537"/>
      <w:bookmarkStart w:id="4680" w:name="_Toc17429"/>
      <w:bookmarkStart w:id="4681" w:name="_Toc26805"/>
      <w:bookmarkStart w:id="4682" w:name="_Toc18335"/>
      <w:bookmarkStart w:id="4683" w:name="_Toc29378"/>
      <w:bookmarkStart w:id="4684" w:name="_Toc15967"/>
      <w:bookmarkStart w:id="4685" w:name="_Toc14046"/>
      <w:bookmarkStart w:id="4686" w:name="_Toc29957"/>
      <w:bookmarkStart w:id="4687" w:name="_Toc10486"/>
      <w:bookmarkStart w:id="4688" w:name="_Toc12181"/>
      <w:bookmarkStart w:id="4689" w:name="_Toc20112"/>
      <w:bookmarkStart w:id="4690" w:name="_Toc20378"/>
      <w:bookmarkStart w:id="4691" w:name="_Toc19464"/>
      <w:bookmarkStart w:id="4692" w:name="_Toc19002"/>
      <w:r>
        <w:rPr>
          <w:rFonts w:hint="eastAsia" w:ascii="宋体" w:hAnsi="宋体" w:eastAsia="宋体" w:cs="宋体"/>
          <w:color w:val="auto"/>
          <w:sz w:val="24"/>
          <w:szCs w:val="24"/>
          <w:highlight w:val="none"/>
        </w:rPr>
        <w:t>11-3：专业工程暂估价表</w:t>
      </w:r>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p>
    <w:tbl>
      <w:tblPr>
        <w:tblStyle w:val="27"/>
        <w:tblW w:w="8817" w:type="dxa"/>
        <w:tblInd w:w="80" w:type="dxa"/>
        <w:tblLayout w:type="fixed"/>
        <w:tblCellMar>
          <w:top w:w="0" w:type="dxa"/>
          <w:left w:w="28" w:type="dxa"/>
          <w:bottom w:w="0" w:type="dxa"/>
          <w:right w:w="28" w:type="dxa"/>
        </w:tblCellMar>
      </w:tblPr>
      <w:tblGrid>
        <w:gridCol w:w="879"/>
        <w:gridCol w:w="1984"/>
        <w:gridCol w:w="4678"/>
        <w:gridCol w:w="1276"/>
      </w:tblGrid>
      <w:tr w14:paraId="381FAD6C">
        <w:tblPrEx>
          <w:tblCellMar>
            <w:top w:w="0" w:type="dxa"/>
            <w:left w:w="28" w:type="dxa"/>
            <w:bottom w:w="0" w:type="dxa"/>
            <w:right w:w="28" w:type="dxa"/>
          </w:tblCellMar>
        </w:tblPrEx>
        <w:tc>
          <w:tcPr>
            <w:tcW w:w="879" w:type="dxa"/>
            <w:tcBorders>
              <w:top w:val="single" w:color="auto" w:sz="12" w:space="0"/>
              <w:left w:val="single" w:color="auto" w:sz="12" w:space="0"/>
              <w:bottom w:val="double" w:color="auto" w:sz="2" w:space="0"/>
              <w:right w:val="single" w:color="auto" w:sz="6" w:space="0"/>
            </w:tcBorders>
            <w:noWrap w:val="0"/>
            <w:vAlign w:val="top"/>
          </w:tcPr>
          <w:p w14:paraId="185BEF1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38F45AC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专业工程名称</w:t>
            </w:r>
          </w:p>
        </w:tc>
        <w:tc>
          <w:tcPr>
            <w:tcW w:w="4678" w:type="dxa"/>
            <w:tcBorders>
              <w:top w:val="single" w:color="auto" w:sz="12" w:space="0"/>
              <w:left w:val="single" w:color="auto" w:sz="6" w:space="0"/>
              <w:bottom w:val="double" w:color="auto" w:sz="2" w:space="0"/>
              <w:right w:val="single" w:color="auto" w:sz="6" w:space="0"/>
            </w:tcBorders>
            <w:noWrap w:val="0"/>
            <w:vAlign w:val="top"/>
          </w:tcPr>
          <w:p w14:paraId="02C6038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工程内容</w:t>
            </w:r>
          </w:p>
        </w:tc>
        <w:tc>
          <w:tcPr>
            <w:tcW w:w="1276" w:type="dxa"/>
            <w:tcBorders>
              <w:top w:val="single" w:color="auto" w:sz="12" w:space="0"/>
              <w:left w:val="single" w:color="auto" w:sz="6" w:space="0"/>
              <w:bottom w:val="double" w:color="auto" w:sz="2" w:space="0"/>
              <w:right w:val="single" w:color="auto" w:sz="12" w:space="0"/>
            </w:tcBorders>
            <w:noWrap w:val="0"/>
            <w:vAlign w:val="top"/>
          </w:tcPr>
          <w:p w14:paraId="2CDC0F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r>
      <w:tr w14:paraId="1B425E9B">
        <w:tblPrEx>
          <w:tblCellMar>
            <w:top w:w="0" w:type="dxa"/>
            <w:left w:w="28" w:type="dxa"/>
            <w:bottom w:w="0" w:type="dxa"/>
            <w:right w:w="28" w:type="dxa"/>
          </w:tblCellMar>
        </w:tblPrEx>
        <w:tc>
          <w:tcPr>
            <w:tcW w:w="879" w:type="dxa"/>
            <w:tcBorders>
              <w:top w:val="double" w:color="auto" w:sz="2" w:space="0"/>
              <w:left w:val="single" w:color="auto" w:sz="12" w:space="0"/>
              <w:bottom w:val="single" w:color="auto" w:sz="6" w:space="0"/>
              <w:right w:val="single" w:color="auto" w:sz="6" w:space="0"/>
            </w:tcBorders>
            <w:noWrap w:val="0"/>
            <w:vAlign w:val="top"/>
          </w:tcPr>
          <w:p w14:paraId="669AFF5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2094EE4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double" w:color="auto" w:sz="2" w:space="0"/>
              <w:left w:val="single" w:color="auto" w:sz="6" w:space="0"/>
              <w:bottom w:val="single" w:color="auto" w:sz="6" w:space="0"/>
              <w:right w:val="single" w:color="auto" w:sz="6" w:space="0"/>
            </w:tcBorders>
            <w:noWrap w:val="0"/>
            <w:vAlign w:val="top"/>
          </w:tcPr>
          <w:p w14:paraId="3C79954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12" w:space="0"/>
            </w:tcBorders>
            <w:noWrap w:val="0"/>
            <w:vAlign w:val="top"/>
          </w:tcPr>
          <w:p w14:paraId="22D09DA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6D0B5BA">
        <w:tblPrEx>
          <w:tblCellMar>
            <w:top w:w="0" w:type="dxa"/>
            <w:left w:w="28" w:type="dxa"/>
            <w:bottom w:w="0" w:type="dxa"/>
            <w:right w:w="28" w:type="dxa"/>
          </w:tblCellMar>
        </w:tblPrEx>
        <w:tc>
          <w:tcPr>
            <w:tcW w:w="879" w:type="dxa"/>
            <w:tcBorders>
              <w:top w:val="nil"/>
              <w:left w:val="single" w:color="auto" w:sz="12" w:space="0"/>
              <w:bottom w:val="single" w:color="auto" w:sz="6" w:space="0"/>
              <w:right w:val="single" w:color="auto" w:sz="6" w:space="0"/>
            </w:tcBorders>
            <w:noWrap w:val="0"/>
            <w:vAlign w:val="top"/>
          </w:tcPr>
          <w:p w14:paraId="5F3B339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6B02649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nil"/>
              <w:left w:val="single" w:color="auto" w:sz="6" w:space="0"/>
              <w:bottom w:val="single" w:color="auto" w:sz="6" w:space="0"/>
              <w:right w:val="single" w:color="auto" w:sz="6" w:space="0"/>
            </w:tcBorders>
            <w:noWrap w:val="0"/>
            <w:vAlign w:val="top"/>
          </w:tcPr>
          <w:p w14:paraId="67A001A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12" w:space="0"/>
            </w:tcBorders>
            <w:noWrap w:val="0"/>
            <w:vAlign w:val="top"/>
          </w:tcPr>
          <w:p w14:paraId="0ACC813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CCCF91A">
        <w:tblPrEx>
          <w:tblCellMar>
            <w:top w:w="0" w:type="dxa"/>
            <w:left w:w="28" w:type="dxa"/>
            <w:bottom w:w="0" w:type="dxa"/>
            <w:right w:w="28" w:type="dxa"/>
          </w:tblCellMar>
        </w:tblPrEx>
        <w:tc>
          <w:tcPr>
            <w:tcW w:w="879" w:type="dxa"/>
            <w:tcBorders>
              <w:top w:val="nil"/>
              <w:left w:val="single" w:color="auto" w:sz="12" w:space="0"/>
              <w:bottom w:val="single" w:color="auto" w:sz="6" w:space="0"/>
              <w:right w:val="single" w:color="auto" w:sz="6" w:space="0"/>
            </w:tcBorders>
            <w:noWrap w:val="0"/>
            <w:vAlign w:val="top"/>
          </w:tcPr>
          <w:p w14:paraId="0723456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0885576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nil"/>
              <w:left w:val="single" w:color="auto" w:sz="6" w:space="0"/>
              <w:bottom w:val="single" w:color="auto" w:sz="6" w:space="0"/>
              <w:right w:val="single" w:color="auto" w:sz="6" w:space="0"/>
            </w:tcBorders>
            <w:noWrap w:val="0"/>
            <w:vAlign w:val="top"/>
          </w:tcPr>
          <w:p w14:paraId="48116A7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12" w:space="0"/>
            </w:tcBorders>
            <w:noWrap w:val="0"/>
            <w:vAlign w:val="top"/>
          </w:tcPr>
          <w:p w14:paraId="468AF84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489BAB5F">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1AC98B0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687C4E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7D1DEC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7A6E546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8749D25">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76C88D6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86A0EF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0C39787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0C6695D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310930E">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71DC4C5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4C9080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561C0AF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33AA9E7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6AF4CA1">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1754ECF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73674E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63EA45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56EF64E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E6F4F33">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17FE7D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84A473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3D4657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414BA34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0EFA4AC6">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2EC6281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5D35D7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28C9DD0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0DDBFE4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76E50005">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65ADA12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EEF629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58967D4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DED2D1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33902E9E">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2A1F7B8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088EBE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044514C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C686C42">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6BA40AE">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7756E1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957AD4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5C40869">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1D19933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6238D827">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62A4A21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84E566E">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569650A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36F153F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622BFA1">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6CD25C9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545D92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42B7DD9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5CAE5AB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CBE8EAC">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E2FD9F5">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CDCBB9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72E31ADD">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0904A654">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10BAB658">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2BE2407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12F728A">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67D16F06">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04589C0">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1020138">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09D2021">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3150303">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6656F68B">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005D28A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53E8CCC5">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6AC376BC">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A259FA7">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3D192D6F">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1D264508">
            <w:pPr>
              <w:pStyle w:val="9"/>
              <w:keepNext/>
              <w:pageBreakBefore w:val="0"/>
              <w:widowControl/>
              <w:kinsoku/>
              <w:wordWrap/>
              <w:overflowPunct/>
              <w:topLinePunct w:val="0"/>
              <w:bidi w:val="0"/>
              <w:spacing w:line="360" w:lineRule="auto"/>
              <w:ind w:left="63" w:right="63"/>
              <w:textAlignment w:val="auto"/>
              <w:outlineLvl w:val="9"/>
              <w:rPr>
                <w:rFonts w:hint="eastAsia" w:ascii="宋体" w:hAnsi="宋体" w:eastAsia="宋体" w:cs="宋体"/>
                <w:color w:val="auto"/>
                <w:sz w:val="24"/>
                <w:szCs w:val="24"/>
                <w:highlight w:val="none"/>
              </w:rPr>
            </w:pPr>
          </w:p>
        </w:tc>
      </w:tr>
      <w:tr w14:paraId="20768C1D">
        <w:tblPrEx>
          <w:tblCellMar>
            <w:top w:w="0" w:type="dxa"/>
            <w:left w:w="28" w:type="dxa"/>
            <w:bottom w:w="0" w:type="dxa"/>
            <w:right w:w="28" w:type="dxa"/>
          </w:tblCellMar>
        </w:tblPrEx>
        <w:tc>
          <w:tcPr>
            <w:tcW w:w="8817" w:type="dxa"/>
            <w:gridSpan w:val="4"/>
            <w:tcBorders>
              <w:top w:val="single" w:color="auto" w:sz="6" w:space="0"/>
              <w:left w:val="single" w:color="auto" w:sz="12" w:space="0"/>
              <w:bottom w:val="single" w:color="auto" w:sz="12" w:space="0"/>
              <w:right w:val="single" w:color="auto" w:sz="12" w:space="0"/>
            </w:tcBorders>
            <w:noWrap w:val="0"/>
            <w:vAlign w:val="top"/>
          </w:tcPr>
          <w:p w14:paraId="6DD4255F">
            <w:pPr>
              <w:pStyle w:val="9"/>
              <w:keepNext/>
              <w:spacing w:line="36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r>
    </w:tbl>
    <w:p w14:paraId="423832D2">
      <w:pPr>
        <w:spacing w:line="360" w:lineRule="auto"/>
        <w:rPr>
          <w:rFonts w:hint="eastAsia" w:ascii="宋体" w:hAnsi="宋体" w:eastAsia="宋体" w:cs="宋体"/>
          <w:color w:val="auto"/>
          <w:highlight w:val="none"/>
        </w:rPr>
      </w:pPr>
    </w:p>
    <w:p w14:paraId="0C228D62">
      <w:pPr>
        <w:spacing w:line="360" w:lineRule="auto"/>
        <w:rPr>
          <w:rFonts w:hint="eastAsia" w:ascii="宋体" w:hAnsi="宋体" w:eastAsia="宋体" w:cs="宋体"/>
          <w:color w:val="auto"/>
          <w:highlight w:val="none"/>
        </w:rPr>
      </w:pPr>
    </w:p>
    <w:p w14:paraId="0583BD40">
      <w:pPr>
        <w:pStyle w:val="2"/>
        <w:adjustRightInd w:val="0"/>
        <w:snapToGrid w:val="0"/>
        <w:spacing w:line="360" w:lineRule="auto"/>
        <w:jc w:val="center"/>
        <w:rPr>
          <w:rFonts w:hint="eastAsia" w:ascii="宋体" w:hAnsi="宋体" w:eastAsia="宋体" w:cs="宋体"/>
          <w:color w:val="auto"/>
          <w:highlight w:val="none"/>
        </w:rPr>
      </w:pPr>
      <w:bookmarkStart w:id="4693" w:name="_Toc17755"/>
      <w:r>
        <w:rPr>
          <w:rFonts w:hint="eastAsia" w:ascii="宋体" w:hAnsi="宋体" w:eastAsia="宋体" w:cs="宋体"/>
          <w:color w:val="auto"/>
          <w:highlight w:val="none"/>
        </w:rPr>
        <w:t>第五章  采购需求</w:t>
      </w:r>
      <w:bookmarkEnd w:id="4693"/>
    </w:p>
    <w:p w14:paraId="12E1132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 、项目名称：</w:t>
      </w:r>
      <w:r>
        <w:rPr>
          <w:rFonts w:hint="eastAsia" w:ascii="宋体" w:hAnsi="宋体" w:cs="宋体"/>
          <w:color w:val="auto"/>
          <w:kern w:val="2"/>
          <w:sz w:val="24"/>
          <w:szCs w:val="21"/>
          <w:highlight w:val="none"/>
          <w:lang w:val="en-US" w:eastAsia="zh-CN" w:bidi="zh-CN"/>
        </w:rPr>
        <w:t>新街镇闪桥村及桥边易迁安置点基础设施及公共服务设施提升项目</w:t>
      </w:r>
      <w:r>
        <w:rPr>
          <w:rFonts w:hint="eastAsia" w:ascii="宋体" w:hAnsi="宋体" w:eastAsia="宋体" w:cs="宋体"/>
          <w:b w:val="0"/>
          <w:bCs w:val="0"/>
          <w:color w:val="auto"/>
          <w:sz w:val="24"/>
          <w:szCs w:val="24"/>
          <w:highlight w:val="none"/>
          <w:lang w:val="en-US" w:eastAsia="zh-CN"/>
        </w:rPr>
        <w:t>；</w:t>
      </w:r>
    </w:p>
    <w:p w14:paraId="4EF8F2A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 招标预算金额：</w:t>
      </w:r>
      <w:r>
        <w:rPr>
          <w:rFonts w:hint="eastAsia" w:ascii="宋体" w:hAnsi="宋体" w:cs="宋体"/>
          <w:b w:val="0"/>
          <w:bCs w:val="0"/>
          <w:color w:val="auto"/>
          <w:sz w:val="24"/>
          <w:szCs w:val="24"/>
          <w:highlight w:val="none"/>
          <w:lang w:val="en-US" w:eastAsia="zh-CN"/>
        </w:rPr>
        <w:t>126.1</w:t>
      </w:r>
      <w:r>
        <w:rPr>
          <w:rFonts w:hint="eastAsia" w:ascii="宋体" w:hAnsi="宋体" w:eastAsia="宋体" w:cs="宋体"/>
          <w:b w:val="0"/>
          <w:bCs w:val="0"/>
          <w:color w:val="auto"/>
          <w:kern w:val="2"/>
          <w:sz w:val="24"/>
          <w:szCs w:val="21"/>
          <w:highlight w:val="none"/>
          <w:lang w:val="en-US" w:bidi="zh-CN"/>
        </w:rPr>
        <w:t>万元</w:t>
      </w:r>
      <w:r>
        <w:rPr>
          <w:rFonts w:hint="eastAsia" w:ascii="宋体" w:hAnsi="宋体" w:eastAsia="宋体" w:cs="宋体"/>
          <w:b w:val="0"/>
          <w:bCs w:val="0"/>
          <w:color w:val="auto"/>
          <w:sz w:val="24"/>
          <w:szCs w:val="24"/>
          <w:highlight w:val="none"/>
          <w:lang w:val="en-US" w:eastAsia="zh-CN"/>
        </w:rPr>
        <w:t>。</w:t>
      </w:r>
    </w:p>
    <w:p w14:paraId="277E9F77">
      <w:pPr>
        <w:widowControl w:val="0"/>
        <w:adjustRightInd w:val="0"/>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 工程建设地点：</w:t>
      </w:r>
      <w:bookmarkStart w:id="4694" w:name="_Toc17413"/>
      <w:r>
        <w:rPr>
          <w:rFonts w:hint="eastAsia" w:ascii="宋体" w:hAnsi="宋体" w:cs="宋体"/>
          <w:b/>
          <w:bCs/>
          <w:color w:val="auto"/>
          <w:sz w:val="24"/>
          <w:szCs w:val="24"/>
          <w:highlight w:val="none"/>
          <w:lang w:val="en-US" w:eastAsia="zh-CN"/>
        </w:rPr>
        <w:t>鲁甸县新街镇闪桥村委会</w:t>
      </w:r>
    </w:p>
    <w:p w14:paraId="039C2B0F">
      <w:pPr>
        <w:widowControl w:val="0"/>
        <w:adjustRightInd w:val="0"/>
        <w:snapToGrid w:val="0"/>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 xml:space="preserve"> 、具体建设内容</w:t>
      </w:r>
      <w:bookmarkEnd w:id="4694"/>
      <w:r>
        <w:rPr>
          <w:rFonts w:hint="eastAsia" w:ascii="宋体" w:hAnsi="宋体" w:cs="宋体"/>
          <w:b/>
          <w:bCs/>
          <w:color w:val="auto"/>
          <w:sz w:val="24"/>
          <w:szCs w:val="24"/>
          <w:highlight w:val="none"/>
          <w:lang w:val="en-US" w:eastAsia="zh-CN"/>
        </w:rPr>
        <w:t>：</w:t>
      </w:r>
    </w:p>
    <w:p w14:paraId="04CD8950">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（一）闪桥村易地扶贫搬迁安置点 </w:t>
      </w:r>
    </w:p>
    <w:p w14:paraId="10BF5129">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1.供水设施工程：修缮现有 5 立方米砖砌取水池 1 座； 2.晾晒场地工程：在安置户前院硬化晾晒场地，面积合计 1000 平方米； 3.道路硬化工程：硬化连接安置点和农业种植区的 100 平方米 土石路硬化； 4.排污工程：新建 20 米污水管（直径 30 公分波纹管），提升污水排放能力； 5.安全防护工程：安装 30 米道路安全防护设施； </w:t>
      </w:r>
    </w:p>
    <w:p w14:paraId="2CAF9AFF">
      <w:pPr>
        <w:widowControl w:val="0"/>
        <w:adjustRightInd w:val="0"/>
        <w:snapToGrid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6.照明工程：新建 10 盏 6 米高照明路灯，维修更换 10 盏现有照明路灯。 </w:t>
      </w:r>
    </w:p>
    <w:p w14:paraId="45D3FA15">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（二）桥边易地扶贫搬迁安置点 </w:t>
      </w:r>
    </w:p>
    <w:p w14:paraId="490CFD53">
      <w:pPr>
        <w:widowControl w:val="0"/>
        <w:adjustRightInd w:val="0"/>
        <w:snapToGri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1.供水工程：修缮现有 5 立方米砖砌取水池 1 座，新增埋设PE50 给水管 400 米； </w:t>
      </w:r>
    </w:p>
    <w:p w14:paraId="052D1565">
      <w:pPr>
        <w:widowControl w:val="0"/>
        <w:adjustRightInd w:val="0"/>
        <w:snapToGrid w:val="0"/>
        <w:spacing w:line="360" w:lineRule="auto"/>
        <w:ind w:firstLine="480" w:firstLineChars="200"/>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2.农机场地工程：结合安置户农业生产需求在安置户山墙两侧新建农机摆放场地，兼顾停车需求，面积合计 3675.9 平方米； 3.道路硬化工程：硬化安置点入口处破损严重路面，面积167.9 平方米；4.晾晒场地工程：在安置户前院新建晾晒场地，面积合计 1100 平方米；配套安装 100 米路沿石； 5.安全防护工程：维修桥两侧安全防护设施 75.5 米；新安装镀锌钢管防护设施 90 米；河边、护堤处完成 75 立方米零星砖砌体防护设施施工； 6.排污工程：更换 60 个破损污水井盖；新建 20 立方米污水池 1 座；安装 380 米 DN100 镀锌管；配备 1 套污水自动抽水系统（含两套水泵，一备一用）； 7.照明工程：新建 20 盏 6 米高照明路灯； 8.土方工程：上述各项工程产生的废弃土方外运 750 立方米</w:t>
      </w:r>
      <w:r>
        <w:rPr>
          <w:rFonts w:hint="eastAsia" w:ascii="宋体" w:hAnsi="宋体" w:cs="宋体"/>
          <w:color w:val="auto"/>
          <w:kern w:val="2"/>
          <w:sz w:val="24"/>
          <w:szCs w:val="21"/>
          <w:highlight w:val="none"/>
          <w:lang w:bidi="zh-CN"/>
        </w:rPr>
        <w:t>（</w:t>
      </w:r>
      <w:r>
        <w:rPr>
          <w:rFonts w:hint="eastAsia" w:ascii="宋体" w:hAnsi="宋体" w:cs="宋体"/>
          <w:color w:val="auto"/>
          <w:kern w:val="2"/>
          <w:sz w:val="24"/>
          <w:szCs w:val="21"/>
          <w:highlight w:val="none"/>
          <w:lang w:val="en-US" w:bidi="zh-CN"/>
        </w:rPr>
        <w:t>具体内容详见工程量清单以及图纸要求</w:t>
      </w:r>
      <w:r>
        <w:rPr>
          <w:rFonts w:hint="eastAsia" w:ascii="宋体" w:hAnsi="宋体" w:cs="宋体"/>
          <w:color w:val="auto"/>
          <w:kern w:val="2"/>
          <w:sz w:val="24"/>
          <w:szCs w:val="21"/>
          <w:highlight w:val="none"/>
          <w:lang w:bidi="zh-CN"/>
        </w:rPr>
        <w:t>）</w:t>
      </w:r>
    </w:p>
    <w:p w14:paraId="74762E7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五、计划工期：</w:t>
      </w:r>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120日历天</w:t>
      </w:r>
      <w:r>
        <w:rPr>
          <w:rFonts w:hint="eastAsia" w:ascii="宋体" w:hAnsi="宋体" w:eastAsia="宋体" w:cs="宋体"/>
          <w:color w:val="auto"/>
          <w:sz w:val="24"/>
          <w:szCs w:val="24"/>
          <w:highlight w:val="none"/>
          <w:lang w:val="en-US" w:eastAsia="zh-CN"/>
        </w:rPr>
        <w:t>。</w:t>
      </w:r>
    </w:p>
    <w:p w14:paraId="19CE347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六、质量标准：</w:t>
      </w:r>
      <w:r>
        <w:rPr>
          <w:rFonts w:hint="eastAsia" w:ascii="宋体" w:hAnsi="宋体" w:eastAsia="宋体" w:cs="宋体"/>
          <w:color w:val="auto"/>
          <w:sz w:val="24"/>
          <w:szCs w:val="24"/>
          <w:highlight w:val="none"/>
          <w:lang w:val="en-US" w:eastAsia="zh-CN"/>
        </w:rPr>
        <w:t>符合国家、行业及地方现行的相关标准及规范，并一次性验收合格。</w:t>
      </w:r>
    </w:p>
    <w:p w14:paraId="6DC22F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664B2BD7">
      <w:pPr>
        <w:spacing w:line="360" w:lineRule="auto"/>
        <w:rPr>
          <w:rFonts w:hint="eastAsia" w:ascii="宋体" w:hAnsi="宋体" w:eastAsia="宋体" w:cs="宋体"/>
          <w:b w:val="0"/>
          <w:bCs w:val="0"/>
          <w:color w:val="auto"/>
          <w:sz w:val="24"/>
          <w:szCs w:val="24"/>
          <w:highlight w:val="none"/>
        </w:rPr>
      </w:pPr>
    </w:p>
    <w:bookmarkEnd w:id="130"/>
    <w:bookmarkEnd w:id="131"/>
    <w:bookmarkEnd w:id="132"/>
    <w:bookmarkEnd w:id="133"/>
    <w:p w14:paraId="76F6C023">
      <w:pPr>
        <w:widowControl w:val="0"/>
        <w:adjustRightInd w:val="0"/>
        <w:snapToGrid w:val="0"/>
        <w:spacing w:line="360" w:lineRule="auto"/>
        <w:rPr>
          <w:rFonts w:hint="eastAsia" w:ascii="宋体" w:hAnsi="宋体" w:eastAsia="宋体" w:cs="宋体"/>
          <w:iCs/>
          <w:color w:val="auto"/>
          <w:sz w:val="32"/>
          <w:szCs w:val="32"/>
          <w:highlight w:val="none"/>
        </w:rPr>
      </w:pPr>
    </w:p>
    <w:p w14:paraId="490D976C">
      <w:pPr>
        <w:jc w:val="center"/>
        <w:rPr>
          <w:rFonts w:hint="eastAsia" w:ascii="宋体" w:hAnsi="宋体" w:cs="宋体"/>
          <w:b/>
          <w:bCs/>
          <w:iCs/>
          <w:color w:val="auto"/>
          <w:sz w:val="32"/>
          <w:szCs w:val="32"/>
          <w:highlight w:val="none"/>
          <w:lang w:val="en-US" w:eastAsia="zh-CN"/>
        </w:rPr>
      </w:pPr>
      <w:r>
        <w:rPr>
          <w:rFonts w:hint="eastAsia" w:ascii="宋体" w:hAnsi="宋体" w:eastAsia="宋体" w:cs="宋体"/>
          <w:b/>
          <w:bCs/>
          <w:iCs/>
          <w:color w:val="auto"/>
          <w:sz w:val="32"/>
          <w:szCs w:val="32"/>
          <w:highlight w:val="none"/>
          <w:lang w:val="en-US" w:eastAsia="zh-CN"/>
        </w:rPr>
        <w:br w:type="page"/>
      </w:r>
      <w:r>
        <w:rPr>
          <w:rFonts w:hint="eastAsia" w:ascii="宋体" w:hAnsi="宋体" w:cs="宋体"/>
          <w:b/>
          <w:bCs/>
          <w:iCs/>
          <w:color w:val="auto"/>
          <w:sz w:val="32"/>
          <w:szCs w:val="32"/>
          <w:highlight w:val="none"/>
          <w:lang w:val="en-US" w:eastAsia="zh-CN"/>
        </w:rPr>
        <w:t>七、附件-招标工程量清单</w:t>
      </w:r>
    </w:p>
    <w:p w14:paraId="0201AB81">
      <w:pPr>
        <w:rPr>
          <w:rFonts w:hint="default" w:ascii="宋体" w:hAnsi="宋体" w:cs="宋体"/>
          <w:b/>
          <w:bCs/>
          <w:iCs/>
          <w:color w:val="auto"/>
          <w:sz w:val="32"/>
          <w:szCs w:val="32"/>
          <w:highlight w:val="none"/>
          <w:lang w:val="en-US" w:eastAsia="zh-CN"/>
        </w:rPr>
      </w:pPr>
    </w:p>
    <w:p w14:paraId="285FF18B">
      <w:pPr>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lang w:val="en-US" w:eastAsia="zh-CN"/>
        </w:rPr>
        <w:br w:type="page"/>
      </w:r>
      <w:r>
        <w:rPr>
          <w:rFonts w:hint="eastAsia" w:ascii="宋体" w:hAnsi="宋体" w:eastAsia="宋体" w:cs="宋体"/>
          <w:b/>
          <w:bCs/>
          <w:iCs/>
          <w:color w:val="auto"/>
          <w:sz w:val="32"/>
          <w:szCs w:val="32"/>
          <w:highlight w:val="none"/>
        </w:rPr>
        <w:drawing>
          <wp:inline distT="0" distB="0" distL="114300" distR="114300">
            <wp:extent cx="5707380" cy="8070215"/>
            <wp:effectExtent l="0" t="0" r="7620" b="6985"/>
            <wp:docPr id="79" name="图片 79" descr="新街镇闪桥村及桥边易迁安置点基础设施及公共服务设施提升项目-清单扫描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新街镇闪桥村及桥边易迁安置点基础设施及公共服务设施提升项目-清单扫描件_01"/>
                    <pic:cNvPicPr>
                      <a:picLocks noChangeAspect="1"/>
                    </pic:cNvPicPr>
                  </pic:nvPicPr>
                  <pic:blipFill>
                    <a:blip r:embed="rId21"/>
                    <a:stretch>
                      <a:fillRect/>
                    </a:stretch>
                  </pic:blipFill>
                  <pic:spPr>
                    <a:xfrm>
                      <a:off x="0" y="0"/>
                      <a:ext cx="5707380" cy="807021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7380" cy="8070215"/>
            <wp:effectExtent l="0" t="0" r="7620" b="6985"/>
            <wp:docPr id="78" name="图片 78" descr="新街镇闪桥村及桥边易迁安置点基础设施及公共服务设施提升项目-清单扫描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新街镇闪桥村及桥边易迁安置点基础设施及公共服务设施提升项目-清单扫描件_02"/>
                    <pic:cNvPicPr>
                      <a:picLocks noChangeAspect="1"/>
                    </pic:cNvPicPr>
                  </pic:nvPicPr>
                  <pic:blipFill>
                    <a:blip r:embed="rId22"/>
                    <a:stretch>
                      <a:fillRect/>
                    </a:stretch>
                  </pic:blipFill>
                  <pic:spPr>
                    <a:xfrm>
                      <a:off x="0" y="0"/>
                      <a:ext cx="5707380" cy="807021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8650" cy="8072755"/>
            <wp:effectExtent l="0" t="0" r="6350" b="4445"/>
            <wp:docPr id="77" name="图片 77" descr="新街镇闪桥村及桥边易迁安置点基础设施及公共服务设施提升项目-清单扫描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新街镇闪桥村及桥边易迁安置点基础设施及公共服务设施提升项目-清单扫描件_03"/>
                    <pic:cNvPicPr>
                      <a:picLocks noChangeAspect="1"/>
                    </pic:cNvPicPr>
                  </pic:nvPicPr>
                  <pic:blipFill>
                    <a:blip r:embed="rId23"/>
                    <a:stretch>
                      <a:fillRect/>
                    </a:stretch>
                  </pic:blipFill>
                  <pic:spPr>
                    <a:xfrm>
                      <a:off x="0" y="0"/>
                      <a:ext cx="5708650"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8650" cy="8072755"/>
            <wp:effectExtent l="0" t="0" r="6350" b="4445"/>
            <wp:docPr id="76" name="图片 76" descr="新街镇闪桥村及桥边易迁安置点基础设施及公共服务设施提升项目-清单扫描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新街镇闪桥村及桥边易迁安置点基础设施及公共服务设施提升项目-清单扫描件_04"/>
                    <pic:cNvPicPr>
                      <a:picLocks noChangeAspect="1"/>
                    </pic:cNvPicPr>
                  </pic:nvPicPr>
                  <pic:blipFill>
                    <a:blip r:embed="rId24"/>
                    <a:stretch>
                      <a:fillRect/>
                    </a:stretch>
                  </pic:blipFill>
                  <pic:spPr>
                    <a:xfrm>
                      <a:off x="0" y="0"/>
                      <a:ext cx="5708650"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8650" cy="8072755"/>
            <wp:effectExtent l="0" t="0" r="6350" b="4445"/>
            <wp:docPr id="75" name="图片 75" descr="新街镇闪桥村及桥边易迁安置点基础设施及公共服务设施提升项目-清单扫描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新街镇闪桥村及桥边易迁安置点基础设施及公共服务设施提升项目-清单扫描件_05"/>
                    <pic:cNvPicPr>
                      <a:picLocks noChangeAspect="1"/>
                    </pic:cNvPicPr>
                  </pic:nvPicPr>
                  <pic:blipFill>
                    <a:blip r:embed="rId25"/>
                    <a:stretch>
                      <a:fillRect/>
                    </a:stretch>
                  </pic:blipFill>
                  <pic:spPr>
                    <a:xfrm>
                      <a:off x="0" y="0"/>
                      <a:ext cx="5708650"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8650" cy="8072755"/>
            <wp:effectExtent l="0" t="0" r="6350" b="4445"/>
            <wp:docPr id="74" name="图片 74" descr="新街镇闪桥村及桥边易迁安置点基础设施及公共服务设施提升项目-清单扫描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新街镇闪桥村及桥边易迁安置点基础设施及公共服务设施提升项目-清单扫描件_06"/>
                    <pic:cNvPicPr>
                      <a:picLocks noChangeAspect="1"/>
                    </pic:cNvPicPr>
                  </pic:nvPicPr>
                  <pic:blipFill>
                    <a:blip r:embed="rId26"/>
                    <a:stretch>
                      <a:fillRect/>
                    </a:stretch>
                  </pic:blipFill>
                  <pic:spPr>
                    <a:xfrm>
                      <a:off x="0" y="0"/>
                      <a:ext cx="5708650"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7380" cy="8070215"/>
            <wp:effectExtent l="0" t="0" r="7620" b="6985"/>
            <wp:docPr id="73" name="图片 73" descr="新街镇闪桥村及桥边易迁安置点基础设施及公共服务设施提升项目-清单扫描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新街镇闪桥村及桥边易迁安置点基础设施及公共服务设施提升项目-清单扫描件_07"/>
                    <pic:cNvPicPr>
                      <a:picLocks noChangeAspect="1"/>
                    </pic:cNvPicPr>
                  </pic:nvPicPr>
                  <pic:blipFill>
                    <a:blip r:embed="rId27"/>
                    <a:stretch>
                      <a:fillRect/>
                    </a:stretch>
                  </pic:blipFill>
                  <pic:spPr>
                    <a:xfrm>
                      <a:off x="0" y="0"/>
                      <a:ext cx="5707380" cy="807021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72" name="图片 72" descr="新街镇闪桥村及桥边易迁安置点基础设施及公共服务设施提升项目-清单扫描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新街镇闪桥村及桥边易迁安置点基础设施及公共服务设施提升项目-清单扫描件_08"/>
                    <pic:cNvPicPr>
                      <a:picLocks noChangeAspect="1"/>
                    </pic:cNvPicPr>
                  </pic:nvPicPr>
                  <pic:blipFill>
                    <a:blip r:embed="rId2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71" name="图片 71" descr="新街镇闪桥村及桥边易迁安置点基础设施及公共服务设施提升项目-清单扫描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新街镇闪桥村及桥边易迁安置点基础设施及公共服务设施提升项目-清单扫描件_09"/>
                    <pic:cNvPicPr>
                      <a:picLocks noChangeAspect="1"/>
                    </pic:cNvPicPr>
                  </pic:nvPicPr>
                  <pic:blipFill>
                    <a:blip r:embed="rId2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70" name="图片 70" descr="新街镇闪桥村及桥边易迁安置点基础设施及公共服务设施提升项目-清单扫描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新街镇闪桥村及桥边易迁安置点基础设施及公共服务设施提升项目-清单扫描件_10"/>
                    <pic:cNvPicPr>
                      <a:picLocks noChangeAspect="1"/>
                    </pic:cNvPicPr>
                  </pic:nvPicPr>
                  <pic:blipFill>
                    <a:blip r:embed="rId3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9" name="图片 69" descr="新街镇闪桥村及桥边易迁安置点基础设施及公共服务设施提升项目-清单扫描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新街镇闪桥村及桥边易迁安置点基础设施及公共服务设施提升项目-清单扫描件_11"/>
                    <pic:cNvPicPr>
                      <a:picLocks noChangeAspect="1"/>
                    </pic:cNvPicPr>
                  </pic:nvPicPr>
                  <pic:blipFill>
                    <a:blip r:embed="rId3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8" name="图片 68" descr="新街镇闪桥村及桥边易迁安置点基础设施及公共服务设施提升项目-清单扫描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新街镇闪桥村及桥边易迁安置点基础设施及公共服务设施提升项目-清单扫描件_12"/>
                    <pic:cNvPicPr>
                      <a:picLocks noChangeAspect="1"/>
                    </pic:cNvPicPr>
                  </pic:nvPicPr>
                  <pic:blipFill>
                    <a:blip r:embed="rId3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7" name="图片 67" descr="新街镇闪桥村及桥边易迁安置点基础设施及公共服务设施提升项目-清单扫描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新街镇闪桥村及桥边易迁安置点基础设施及公共服务设施提升项目-清单扫描件_13"/>
                    <pic:cNvPicPr>
                      <a:picLocks noChangeAspect="1"/>
                    </pic:cNvPicPr>
                  </pic:nvPicPr>
                  <pic:blipFill>
                    <a:blip r:embed="rId3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6" name="图片 66" descr="新街镇闪桥村及桥边易迁安置点基础设施及公共服务设施提升项目-清单扫描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新街镇闪桥村及桥边易迁安置点基础设施及公共服务设施提升项目-清单扫描件_14"/>
                    <pic:cNvPicPr>
                      <a:picLocks noChangeAspect="1"/>
                    </pic:cNvPicPr>
                  </pic:nvPicPr>
                  <pic:blipFill>
                    <a:blip r:embed="rId3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5" name="图片 65" descr="新街镇闪桥村及桥边易迁安置点基础设施及公共服务设施提升项目-清单扫描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新街镇闪桥村及桥边易迁安置点基础设施及公共服务设施提升项目-清单扫描件_15"/>
                    <pic:cNvPicPr>
                      <a:picLocks noChangeAspect="1"/>
                    </pic:cNvPicPr>
                  </pic:nvPicPr>
                  <pic:blipFill>
                    <a:blip r:embed="rId3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4" name="图片 64" descr="新街镇闪桥村及桥边易迁安置点基础设施及公共服务设施提升项目-清单扫描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新街镇闪桥村及桥边易迁安置点基础设施及公共服务设施提升项目-清单扫描件_16"/>
                    <pic:cNvPicPr>
                      <a:picLocks noChangeAspect="1"/>
                    </pic:cNvPicPr>
                  </pic:nvPicPr>
                  <pic:blipFill>
                    <a:blip r:embed="rId3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3" name="图片 63" descr="新街镇闪桥村及桥边易迁安置点基础设施及公共服务设施提升项目-清单扫描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新街镇闪桥村及桥边易迁安置点基础设施及公共服务设施提升项目-清单扫描件_17"/>
                    <pic:cNvPicPr>
                      <a:picLocks noChangeAspect="1"/>
                    </pic:cNvPicPr>
                  </pic:nvPicPr>
                  <pic:blipFill>
                    <a:blip r:embed="rId37"/>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2" name="图片 62" descr="新街镇闪桥村及桥边易迁安置点基础设施及公共服务设施提升项目-清单扫描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新街镇闪桥村及桥边易迁安置点基础设施及公共服务设施提升项目-清单扫描件_18"/>
                    <pic:cNvPicPr>
                      <a:picLocks noChangeAspect="1"/>
                    </pic:cNvPicPr>
                  </pic:nvPicPr>
                  <pic:blipFill>
                    <a:blip r:embed="rId3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1" name="图片 61" descr="新街镇闪桥村及桥边易迁安置点基础设施及公共服务设施提升项目-清单扫描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新街镇闪桥村及桥边易迁安置点基础设施及公共服务设施提升项目-清单扫描件_19"/>
                    <pic:cNvPicPr>
                      <a:picLocks noChangeAspect="1"/>
                    </pic:cNvPicPr>
                  </pic:nvPicPr>
                  <pic:blipFill>
                    <a:blip r:embed="rId3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60" name="图片 60" descr="新街镇闪桥村及桥边易迁安置点基础设施及公共服务设施提升项目-清单扫描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新街镇闪桥村及桥边易迁安置点基础设施及公共服务设施提升项目-清单扫描件_20"/>
                    <pic:cNvPicPr>
                      <a:picLocks noChangeAspect="1"/>
                    </pic:cNvPicPr>
                  </pic:nvPicPr>
                  <pic:blipFill>
                    <a:blip r:embed="rId4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9" name="图片 59" descr="新街镇闪桥村及桥边易迁安置点基础设施及公共服务设施提升项目-清单扫描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新街镇闪桥村及桥边易迁安置点基础设施及公共服务设施提升项目-清单扫描件_21"/>
                    <pic:cNvPicPr>
                      <a:picLocks noChangeAspect="1"/>
                    </pic:cNvPicPr>
                  </pic:nvPicPr>
                  <pic:blipFill>
                    <a:blip r:embed="rId4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8" name="图片 58" descr="新街镇闪桥村及桥边易迁安置点基础设施及公共服务设施提升项目-清单扫描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新街镇闪桥村及桥边易迁安置点基础设施及公共服务设施提升项目-清单扫描件_22"/>
                    <pic:cNvPicPr>
                      <a:picLocks noChangeAspect="1"/>
                    </pic:cNvPicPr>
                  </pic:nvPicPr>
                  <pic:blipFill>
                    <a:blip r:embed="rId4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7" name="图片 57" descr="新街镇闪桥村及桥边易迁安置点基础设施及公共服务设施提升项目-清单扫描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新街镇闪桥村及桥边易迁安置点基础设施及公共服务设施提升项目-清单扫描件_23"/>
                    <pic:cNvPicPr>
                      <a:picLocks noChangeAspect="1"/>
                    </pic:cNvPicPr>
                  </pic:nvPicPr>
                  <pic:blipFill>
                    <a:blip r:embed="rId4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6" name="图片 56" descr="新街镇闪桥村及桥边易迁安置点基础设施及公共服务设施提升项目-清单扫描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新街镇闪桥村及桥边易迁安置点基础设施及公共服务设施提升项目-清单扫描件_24"/>
                    <pic:cNvPicPr>
                      <a:picLocks noChangeAspect="1"/>
                    </pic:cNvPicPr>
                  </pic:nvPicPr>
                  <pic:blipFill>
                    <a:blip r:embed="rId4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5" name="图片 55" descr="新街镇闪桥村及桥边易迁安置点基础设施及公共服务设施提升项目-清单扫描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新街镇闪桥村及桥边易迁安置点基础设施及公共服务设施提升项目-清单扫描件_25"/>
                    <pic:cNvPicPr>
                      <a:picLocks noChangeAspect="1"/>
                    </pic:cNvPicPr>
                  </pic:nvPicPr>
                  <pic:blipFill>
                    <a:blip r:embed="rId4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4" name="图片 54" descr="新街镇闪桥村及桥边易迁安置点基础设施及公共服务设施提升项目-清单扫描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新街镇闪桥村及桥边易迁安置点基础设施及公共服务设施提升项目-清单扫描件_26"/>
                    <pic:cNvPicPr>
                      <a:picLocks noChangeAspect="1"/>
                    </pic:cNvPicPr>
                  </pic:nvPicPr>
                  <pic:blipFill>
                    <a:blip r:embed="rId4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3" name="图片 53" descr="新街镇闪桥村及桥边易迁安置点基础设施及公共服务设施提升项目-清单扫描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新街镇闪桥村及桥边易迁安置点基础设施及公共服务设施提升项目-清单扫描件_27"/>
                    <pic:cNvPicPr>
                      <a:picLocks noChangeAspect="1"/>
                    </pic:cNvPicPr>
                  </pic:nvPicPr>
                  <pic:blipFill>
                    <a:blip r:embed="rId47"/>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2" name="图片 52" descr="新街镇闪桥村及桥边易迁安置点基础设施及公共服务设施提升项目-清单扫描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新街镇闪桥村及桥边易迁安置点基础设施及公共服务设施提升项目-清单扫描件_28"/>
                    <pic:cNvPicPr>
                      <a:picLocks noChangeAspect="1"/>
                    </pic:cNvPicPr>
                  </pic:nvPicPr>
                  <pic:blipFill>
                    <a:blip r:embed="rId4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1" name="图片 51" descr="新街镇闪桥村及桥边易迁安置点基础设施及公共服务设施提升项目-清单扫描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新街镇闪桥村及桥边易迁安置点基础设施及公共服务设施提升项目-清单扫描件_29"/>
                    <pic:cNvPicPr>
                      <a:picLocks noChangeAspect="1"/>
                    </pic:cNvPicPr>
                  </pic:nvPicPr>
                  <pic:blipFill>
                    <a:blip r:embed="rId4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0" name="图片 50" descr="新街镇闪桥村及桥边易迁安置点基础设施及公共服务设施提升项目-清单扫描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新街镇闪桥村及桥边易迁安置点基础设施及公共服务设施提升项目-清单扫描件_30"/>
                    <pic:cNvPicPr>
                      <a:picLocks noChangeAspect="1"/>
                    </pic:cNvPicPr>
                  </pic:nvPicPr>
                  <pic:blipFill>
                    <a:blip r:embed="rId5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9" name="图片 49" descr="新街镇闪桥村及桥边易迁安置点基础设施及公共服务设施提升项目-清单扫描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新街镇闪桥村及桥边易迁安置点基础设施及公共服务设施提升项目-清单扫描件_31"/>
                    <pic:cNvPicPr>
                      <a:picLocks noChangeAspect="1"/>
                    </pic:cNvPicPr>
                  </pic:nvPicPr>
                  <pic:blipFill>
                    <a:blip r:embed="rId5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8" name="图片 48" descr="新街镇闪桥村及桥边易迁安置点基础设施及公共服务设施提升项目-清单扫描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新街镇闪桥村及桥边易迁安置点基础设施及公共服务设施提升项目-清单扫描件_32"/>
                    <pic:cNvPicPr>
                      <a:picLocks noChangeAspect="1"/>
                    </pic:cNvPicPr>
                  </pic:nvPicPr>
                  <pic:blipFill>
                    <a:blip r:embed="rId5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7" name="图片 47" descr="新街镇闪桥村及桥边易迁安置点基础设施及公共服务设施提升项目-清单扫描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新街镇闪桥村及桥边易迁安置点基础设施及公共服务设施提升项目-清单扫描件_33"/>
                    <pic:cNvPicPr>
                      <a:picLocks noChangeAspect="1"/>
                    </pic:cNvPicPr>
                  </pic:nvPicPr>
                  <pic:blipFill>
                    <a:blip r:embed="rId5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6" name="图片 46" descr="新街镇闪桥村及桥边易迁安置点基础设施及公共服务设施提升项目-清单扫描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新街镇闪桥村及桥边易迁安置点基础设施及公共服务设施提升项目-清单扫描件_34"/>
                    <pic:cNvPicPr>
                      <a:picLocks noChangeAspect="1"/>
                    </pic:cNvPicPr>
                  </pic:nvPicPr>
                  <pic:blipFill>
                    <a:blip r:embed="rId5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5" name="图片 45" descr="新街镇闪桥村及桥边易迁安置点基础设施及公共服务设施提升项目-清单扫描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新街镇闪桥村及桥边易迁安置点基础设施及公共服务设施提升项目-清单扫描件_35"/>
                    <pic:cNvPicPr>
                      <a:picLocks noChangeAspect="1"/>
                    </pic:cNvPicPr>
                  </pic:nvPicPr>
                  <pic:blipFill>
                    <a:blip r:embed="rId5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4" name="图片 44" descr="新街镇闪桥村及桥边易迁安置点基础设施及公共服务设施提升项目-清单扫描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新街镇闪桥村及桥边易迁安置点基础设施及公共服务设施提升项目-清单扫描件_36"/>
                    <pic:cNvPicPr>
                      <a:picLocks noChangeAspect="1"/>
                    </pic:cNvPicPr>
                  </pic:nvPicPr>
                  <pic:blipFill>
                    <a:blip r:embed="rId5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3" name="图片 43" descr="新街镇闪桥村及桥边易迁安置点基础设施及公共服务设施提升项目-清单扫描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新街镇闪桥村及桥边易迁安置点基础设施及公共服务设施提升项目-清单扫描件_37"/>
                    <pic:cNvPicPr>
                      <a:picLocks noChangeAspect="1"/>
                    </pic:cNvPicPr>
                  </pic:nvPicPr>
                  <pic:blipFill>
                    <a:blip r:embed="rId57"/>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2" name="图片 42" descr="新街镇闪桥村及桥边易迁安置点基础设施及公共服务设施提升项目-清单扫描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新街镇闪桥村及桥边易迁安置点基础设施及公共服务设施提升项目-清单扫描件_38"/>
                    <pic:cNvPicPr>
                      <a:picLocks noChangeAspect="1"/>
                    </pic:cNvPicPr>
                  </pic:nvPicPr>
                  <pic:blipFill>
                    <a:blip r:embed="rId5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1" name="图片 41" descr="新街镇闪桥村及桥边易迁安置点基础设施及公共服务设施提升项目-清单扫描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新街镇闪桥村及桥边易迁安置点基础设施及公共服务设施提升项目-清单扫描件_39"/>
                    <pic:cNvPicPr>
                      <a:picLocks noChangeAspect="1"/>
                    </pic:cNvPicPr>
                  </pic:nvPicPr>
                  <pic:blipFill>
                    <a:blip r:embed="rId5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40" name="图片 40" descr="新街镇闪桥村及桥边易迁安置点基础设施及公共服务设施提升项目-清单扫描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新街镇闪桥村及桥边易迁安置点基础设施及公共服务设施提升项目-清单扫描件_40"/>
                    <pic:cNvPicPr>
                      <a:picLocks noChangeAspect="1"/>
                    </pic:cNvPicPr>
                  </pic:nvPicPr>
                  <pic:blipFill>
                    <a:blip r:embed="rId6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39" name="图片 39" descr="新街镇闪桥村及桥边易迁安置点基础设施及公共服务设施提升项目-清单扫描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新街镇闪桥村及桥边易迁安置点基础设施及公共服务设施提升项目-清单扫描件_41"/>
                    <pic:cNvPicPr>
                      <a:picLocks noChangeAspect="1"/>
                    </pic:cNvPicPr>
                  </pic:nvPicPr>
                  <pic:blipFill>
                    <a:blip r:embed="rId6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38" name="图片 38" descr="新街镇闪桥村及桥边易迁安置点基础设施及公共服务设施提升项目-清单扫描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新街镇闪桥村及桥边易迁安置点基础设施及公共服务设施提升项目-清单扫描件_42"/>
                    <pic:cNvPicPr>
                      <a:picLocks noChangeAspect="1"/>
                    </pic:cNvPicPr>
                  </pic:nvPicPr>
                  <pic:blipFill>
                    <a:blip r:embed="rId6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37" name="图片 37" descr="新街镇闪桥村及桥边易迁安置点基础设施及公共服务设施提升项目-清单扫描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新街镇闪桥村及桥边易迁安置点基础设施及公共服务设施提升项目-清单扫描件_43"/>
                    <pic:cNvPicPr>
                      <a:picLocks noChangeAspect="1"/>
                    </pic:cNvPicPr>
                  </pic:nvPicPr>
                  <pic:blipFill>
                    <a:blip r:embed="rId6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36" name="图片 36" descr="新街镇闪桥村及桥边易迁安置点基础设施及公共服务设施提升项目-清单扫描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新街镇闪桥村及桥边易迁安置点基础设施及公共服务设施提升项目-清单扫描件_44"/>
                    <pic:cNvPicPr>
                      <a:picLocks noChangeAspect="1"/>
                    </pic:cNvPicPr>
                  </pic:nvPicPr>
                  <pic:blipFill>
                    <a:blip r:embed="rId6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35" name="图片 35" descr="新街镇闪桥村及桥边易迁安置点基础设施及公共服务设施提升项目-清单扫描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新街镇闪桥村及桥边易迁安置点基础设施及公共服务设施提升项目-清单扫描件_45"/>
                    <pic:cNvPicPr>
                      <a:picLocks noChangeAspect="1"/>
                    </pic:cNvPicPr>
                  </pic:nvPicPr>
                  <pic:blipFill>
                    <a:blip r:embed="rId6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8" name="图片 28" descr="新街镇闪桥村及桥边易迁安置点基础设施及公共服务设施提升项目-清单扫描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新街镇闪桥村及桥边易迁安置点基础设施及公共服务设施提升项目-清单扫描件_46"/>
                    <pic:cNvPicPr>
                      <a:picLocks noChangeAspect="1"/>
                    </pic:cNvPicPr>
                  </pic:nvPicPr>
                  <pic:blipFill>
                    <a:blip r:embed="rId6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6" name="图片 26" descr="新街镇闪桥村及桥边易迁安置点基础设施及公共服务设施提升项目-清单扫描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新街镇闪桥村及桥边易迁安置点基础设施及公共服务设施提升项目-清单扫描件_47"/>
                    <pic:cNvPicPr>
                      <a:picLocks noChangeAspect="1"/>
                    </pic:cNvPicPr>
                  </pic:nvPicPr>
                  <pic:blipFill>
                    <a:blip r:embed="rId67"/>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5" name="图片 25" descr="新街镇闪桥村及桥边易迁安置点基础设施及公共服务设施提升项目-清单扫描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新街镇闪桥村及桥边易迁安置点基础设施及公共服务设施提升项目-清单扫描件_48"/>
                    <pic:cNvPicPr>
                      <a:picLocks noChangeAspect="1"/>
                    </pic:cNvPicPr>
                  </pic:nvPicPr>
                  <pic:blipFill>
                    <a:blip r:embed="rId6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3" name="图片 23" descr="新街镇闪桥村及桥边易迁安置点基础设施及公共服务设施提升项目-清单扫描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新街镇闪桥村及桥边易迁安置点基础设施及公共服务设施提升项目-清单扫描件_49"/>
                    <pic:cNvPicPr>
                      <a:picLocks noChangeAspect="1"/>
                    </pic:cNvPicPr>
                  </pic:nvPicPr>
                  <pic:blipFill>
                    <a:blip r:embed="rId6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2" name="图片 22" descr="新街镇闪桥村及桥边易迁安置点基础设施及公共服务设施提升项目-清单扫描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新街镇闪桥村及桥边易迁安置点基础设施及公共服务设施提升项目-清单扫描件_50"/>
                    <pic:cNvPicPr>
                      <a:picLocks noChangeAspect="1"/>
                    </pic:cNvPicPr>
                  </pic:nvPicPr>
                  <pic:blipFill>
                    <a:blip r:embed="rId7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1" name="图片 21" descr="新街镇闪桥村及桥边易迁安置点基础设施及公共服务设施提升项目-清单扫描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新街镇闪桥村及桥边易迁安置点基础设施及公共服务设施提升项目-清单扫描件_51"/>
                    <pic:cNvPicPr>
                      <a:picLocks noChangeAspect="1"/>
                    </pic:cNvPicPr>
                  </pic:nvPicPr>
                  <pic:blipFill>
                    <a:blip r:embed="rId7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0" name="图片 20" descr="新街镇闪桥村及桥边易迁安置点基础设施及公共服务设施提升项目-清单扫描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新街镇闪桥村及桥边易迁安置点基础设施及公共服务设施提升项目-清单扫描件_52"/>
                    <pic:cNvPicPr>
                      <a:picLocks noChangeAspect="1"/>
                    </pic:cNvPicPr>
                  </pic:nvPicPr>
                  <pic:blipFill>
                    <a:blip r:embed="rId7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9" name="图片 19" descr="新街镇闪桥村及桥边易迁安置点基础设施及公共服务设施提升项目-清单扫描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新街镇闪桥村及桥边易迁安置点基础设施及公共服务设施提升项目-清单扫描件_53"/>
                    <pic:cNvPicPr>
                      <a:picLocks noChangeAspect="1"/>
                    </pic:cNvPicPr>
                  </pic:nvPicPr>
                  <pic:blipFill>
                    <a:blip r:embed="rId7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8" name="图片 18" descr="新街镇闪桥村及桥边易迁安置点基础设施及公共服务设施提升项目-清单扫描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新街镇闪桥村及桥边易迁安置点基础设施及公共服务设施提升项目-清单扫描件_54"/>
                    <pic:cNvPicPr>
                      <a:picLocks noChangeAspect="1"/>
                    </pic:cNvPicPr>
                  </pic:nvPicPr>
                  <pic:blipFill>
                    <a:blip r:embed="rId7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7" name="图片 17" descr="新街镇闪桥村及桥边易迁安置点基础设施及公共服务设施提升项目-清单扫描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新街镇闪桥村及桥边易迁安置点基础设施及公共服务设施提升项目-清单扫描件_55"/>
                    <pic:cNvPicPr>
                      <a:picLocks noChangeAspect="1"/>
                    </pic:cNvPicPr>
                  </pic:nvPicPr>
                  <pic:blipFill>
                    <a:blip r:embed="rId7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6" name="图片 16" descr="新街镇闪桥村及桥边易迁安置点基础设施及公共服务设施提升项目-清单扫描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新街镇闪桥村及桥边易迁安置点基础设施及公共服务设施提升项目-清单扫描件_56"/>
                    <pic:cNvPicPr>
                      <a:picLocks noChangeAspect="1"/>
                    </pic:cNvPicPr>
                  </pic:nvPicPr>
                  <pic:blipFill>
                    <a:blip r:embed="rId7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5" name="图片 15" descr="新街镇闪桥村及桥边易迁安置点基础设施及公共服务设施提升项目-清单扫描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新街镇闪桥村及桥边易迁安置点基础设施及公共服务设施提升项目-清单扫描件_57"/>
                    <pic:cNvPicPr>
                      <a:picLocks noChangeAspect="1"/>
                    </pic:cNvPicPr>
                  </pic:nvPicPr>
                  <pic:blipFill>
                    <a:blip r:embed="rId77"/>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4" name="图片 14" descr="新街镇闪桥村及桥边易迁安置点基础设施及公共服务设施提升项目-清单扫描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新街镇闪桥村及桥边易迁安置点基础设施及公共服务设施提升项目-清单扫描件_58"/>
                    <pic:cNvPicPr>
                      <a:picLocks noChangeAspect="1"/>
                    </pic:cNvPicPr>
                  </pic:nvPicPr>
                  <pic:blipFill>
                    <a:blip r:embed="rId78"/>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3" name="图片 13" descr="新街镇闪桥村及桥边易迁安置点基础设施及公共服务设施提升项目-清单扫描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新街镇闪桥村及桥边易迁安置点基础设施及公共服务设施提升项目-清单扫描件_59"/>
                    <pic:cNvPicPr>
                      <a:picLocks noChangeAspect="1"/>
                    </pic:cNvPicPr>
                  </pic:nvPicPr>
                  <pic:blipFill>
                    <a:blip r:embed="rId79"/>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2" name="图片 12" descr="新街镇闪桥村及桥边易迁安置点基础设施及公共服务设施提升项目-清单扫描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新街镇闪桥村及桥边易迁安置点基础设施及公共服务设施提升项目-清单扫描件_60"/>
                    <pic:cNvPicPr>
                      <a:picLocks noChangeAspect="1"/>
                    </pic:cNvPicPr>
                  </pic:nvPicPr>
                  <pic:blipFill>
                    <a:blip r:embed="rId80"/>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1" name="图片 11" descr="新街镇闪桥村及桥边易迁安置点基础设施及公共服务设施提升项目-清单扫描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新街镇闪桥村及桥边易迁安置点基础设施及公共服务设施提升项目-清单扫描件_61"/>
                    <pic:cNvPicPr>
                      <a:picLocks noChangeAspect="1"/>
                    </pic:cNvPicPr>
                  </pic:nvPicPr>
                  <pic:blipFill>
                    <a:blip r:embed="rId81"/>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10" name="图片 10" descr="新街镇闪桥村及桥边易迁安置点基础设施及公共服务设施提升项目-清单扫描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新街镇闪桥村及桥边易迁安置点基础设施及公共服务设施提升项目-清单扫描件_62"/>
                    <pic:cNvPicPr>
                      <a:picLocks noChangeAspect="1"/>
                    </pic:cNvPicPr>
                  </pic:nvPicPr>
                  <pic:blipFill>
                    <a:blip r:embed="rId82"/>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9" name="图片 9" descr="新街镇闪桥村及桥边易迁安置点基础设施及公共服务设施提升项目-清单扫描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新街镇闪桥村及桥边易迁安置点基础设施及公共服务设施提升项目-清单扫描件_63"/>
                    <pic:cNvPicPr>
                      <a:picLocks noChangeAspect="1"/>
                    </pic:cNvPicPr>
                  </pic:nvPicPr>
                  <pic:blipFill>
                    <a:blip r:embed="rId83"/>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8" name="图片 8" descr="新街镇闪桥村及桥边易迁安置点基础设施及公共服务设施提升项目-清单扫描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新街镇闪桥村及桥边易迁安置点基础设施及公共服务设施提升项目-清单扫描件_64"/>
                    <pic:cNvPicPr>
                      <a:picLocks noChangeAspect="1"/>
                    </pic:cNvPicPr>
                  </pic:nvPicPr>
                  <pic:blipFill>
                    <a:blip r:embed="rId84"/>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7" name="图片 7" descr="新街镇闪桥村及桥边易迁安置点基础设施及公共服务设施提升项目-清单扫描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新街镇闪桥村及桥边易迁安置点基础设施及公共服务设施提升项目-清单扫描件_65"/>
                    <pic:cNvPicPr>
                      <a:picLocks noChangeAspect="1"/>
                    </pic:cNvPicPr>
                  </pic:nvPicPr>
                  <pic:blipFill>
                    <a:blip r:embed="rId85"/>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5" name="图片 5" descr="新街镇闪桥村及桥边易迁安置点基础设施及公共服务设施提升项目-清单扫描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新街镇闪桥村及桥边易迁安置点基础设施及公共服务设施提升项目-清单扫描件_66"/>
                    <pic:cNvPicPr>
                      <a:picLocks noChangeAspect="1"/>
                    </pic:cNvPicPr>
                  </pic:nvPicPr>
                  <pic:blipFill>
                    <a:blip r:embed="rId86"/>
                    <a:stretch>
                      <a:fillRect/>
                    </a:stretch>
                  </pic:blipFill>
                  <pic:spPr>
                    <a:xfrm>
                      <a:off x="0" y="0"/>
                      <a:ext cx="5705475" cy="8072755"/>
                    </a:xfrm>
                    <a:prstGeom prst="rect">
                      <a:avLst/>
                    </a:prstGeom>
                  </pic:spPr>
                </pic:pic>
              </a:graphicData>
            </a:graphic>
          </wp:inline>
        </w:drawing>
      </w:r>
      <w:r>
        <w:rPr>
          <w:rFonts w:hint="eastAsia" w:ascii="宋体" w:hAnsi="宋体" w:eastAsia="宋体" w:cs="宋体"/>
          <w:b/>
          <w:bCs/>
          <w:iCs/>
          <w:color w:val="auto"/>
          <w:sz w:val="32"/>
          <w:szCs w:val="32"/>
          <w:highlight w:val="none"/>
        </w:rPr>
        <w:drawing>
          <wp:inline distT="0" distB="0" distL="114300" distR="114300">
            <wp:extent cx="5705475" cy="8072755"/>
            <wp:effectExtent l="0" t="0" r="9525" b="4445"/>
            <wp:docPr id="2" name="图片 2" descr="新街镇闪桥村及桥边易迁安置点基础设施及公共服务设施提升项目-清单扫描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新街镇闪桥村及桥边易迁安置点基础设施及公共服务设施提升项目-清单扫描件_67"/>
                    <pic:cNvPicPr>
                      <a:picLocks noChangeAspect="1"/>
                    </pic:cNvPicPr>
                  </pic:nvPicPr>
                  <pic:blipFill>
                    <a:blip r:embed="rId87"/>
                    <a:stretch>
                      <a:fillRect/>
                    </a:stretch>
                  </pic:blipFill>
                  <pic:spPr>
                    <a:xfrm>
                      <a:off x="0" y="0"/>
                      <a:ext cx="5705475" cy="8072755"/>
                    </a:xfrm>
                    <a:prstGeom prst="rect">
                      <a:avLst/>
                    </a:prstGeom>
                  </pic:spPr>
                </pic:pic>
              </a:graphicData>
            </a:graphic>
          </wp:inline>
        </w:drawing>
      </w:r>
    </w:p>
    <w:p w14:paraId="17A14CA8">
      <w:pPr>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lang w:val="en-US" w:eastAsia="zh-CN"/>
        </w:rPr>
        <w:br w:type="page"/>
      </w:r>
    </w:p>
    <w:p w14:paraId="5CAFBF5B">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b/>
          <w:bCs/>
          <w:iCs/>
          <w:color w:val="auto"/>
          <w:sz w:val="32"/>
          <w:szCs w:val="32"/>
          <w:highlight w:val="none"/>
        </w:rPr>
      </w:pPr>
      <w:r>
        <w:rPr>
          <w:rFonts w:hint="eastAsia" w:ascii="宋体" w:hAnsi="宋体" w:eastAsia="宋体" w:cs="宋体"/>
          <w:b/>
          <w:bCs/>
          <w:iCs/>
          <w:color w:val="auto"/>
          <w:sz w:val="32"/>
          <w:szCs w:val="32"/>
          <w:highlight w:val="none"/>
          <w:lang w:val="en-US" w:eastAsia="zh-CN"/>
        </w:rPr>
        <w:t xml:space="preserve"> </w:t>
      </w:r>
      <w:bookmarkStart w:id="4695" w:name="_Toc12567"/>
      <w:r>
        <w:rPr>
          <w:rFonts w:hint="eastAsia" w:ascii="宋体" w:hAnsi="宋体" w:eastAsia="宋体" w:cs="宋体"/>
          <w:b/>
          <w:bCs/>
          <w:iCs/>
          <w:color w:val="auto"/>
          <w:sz w:val="32"/>
          <w:szCs w:val="32"/>
          <w:highlight w:val="none"/>
        </w:rPr>
        <w:t>响应文件格式</w:t>
      </w:r>
      <w:bookmarkEnd w:id="4695"/>
    </w:p>
    <w:p w14:paraId="0AF8CD18">
      <w:pPr>
        <w:widowControl w:val="0"/>
        <w:numPr>
          <w:ilvl w:val="0"/>
          <w:numId w:val="0"/>
        </w:numPr>
        <w:adjustRightInd w:val="0"/>
        <w:snapToGrid w:val="0"/>
        <w:spacing w:line="360" w:lineRule="auto"/>
        <w:jc w:val="both"/>
        <w:rPr>
          <w:rFonts w:hint="eastAsia" w:ascii="宋体" w:hAnsi="宋体" w:eastAsia="宋体" w:cs="宋体"/>
          <w:b/>
          <w:bCs/>
          <w:iCs/>
          <w:color w:val="auto"/>
          <w:sz w:val="32"/>
          <w:szCs w:val="32"/>
          <w:highlight w:val="none"/>
        </w:rPr>
      </w:pPr>
    </w:p>
    <w:p w14:paraId="65C9CA29">
      <w:pPr>
        <w:spacing w:line="360" w:lineRule="auto"/>
        <w:ind w:hanging="8"/>
        <w:jc w:val="center"/>
        <w:rPr>
          <w:rFonts w:hint="eastAsia" w:ascii="黑体" w:hAnsi="黑体" w:eastAsia="黑体" w:cs="黑体"/>
          <w:b/>
          <w:color w:val="auto"/>
          <w:sz w:val="48"/>
          <w:szCs w:val="48"/>
          <w:highlight w:val="none"/>
        </w:rPr>
      </w:pPr>
      <w:r>
        <w:rPr>
          <w:rFonts w:hint="eastAsia" w:ascii="黑体" w:hAnsi="黑体" w:eastAsia="黑体" w:cs="黑体"/>
          <w:b/>
          <w:bCs/>
          <w:color w:val="auto"/>
          <w:sz w:val="48"/>
          <w:szCs w:val="48"/>
          <w:highlight w:val="none"/>
          <w:lang w:val="en-US" w:eastAsia="zh-CN"/>
        </w:rPr>
        <w:t>新街镇闪桥村及桥边易迁安置点基础设施及公共服务设施提升项目</w:t>
      </w:r>
    </w:p>
    <w:p w14:paraId="35A06F1D">
      <w:pPr>
        <w:spacing w:line="360" w:lineRule="auto"/>
        <w:ind w:firstLine="437"/>
        <w:rPr>
          <w:rFonts w:hint="eastAsia" w:ascii="宋体" w:hAnsi="宋体" w:eastAsia="宋体" w:cs="宋体"/>
          <w:color w:val="auto"/>
          <w:szCs w:val="21"/>
          <w:highlight w:val="none"/>
        </w:rPr>
      </w:pPr>
    </w:p>
    <w:p w14:paraId="7E2BF9DE">
      <w:pPr>
        <w:spacing w:line="360" w:lineRule="auto"/>
        <w:ind w:firstLine="437"/>
        <w:rPr>
          <w:rFonts w:hint="eastAsia" w:ascii="宋体" w:hAnsi="宋体" w:eastAsia="宋体" w:cs="宋体"/>
          <w:color w:val="auto"/>
          <w:szCs w:val="21"/>
          <w:highlight w:val="none"/>
        </w:rPr>
      </w:pPr>
    </w:p>
    <w:p w14:paraId="0B393FB2">
      <w:pPr>
        <w:spacing w:line="360" w:lineRule="auto"/>
        <w:ind w:firstLine="437"/>
        <w:rPr>
          <w:rFonts w:hint="eastAsia" w:ascii="宋体" w:hAnsi="宋体" w:eastAsia="宋体" w:cs="宋体"/>
          <w:color w:val="auto"/>
          <w:szCs w:val="21"/>
          <w:highlight w:val="none"/>
        </w:rPr>
      </w:pPr>
    </w:p>
    <w:p w14:paraId="1EB5A847">
      <w:pPr>
        <w:spacing w:line="360" w:lineRule="auto"/>
        <w:rPr>
          <w:rFonts w:hint="eastAsia" w:ascii="宋体" w:hAnsi="宋体" w:eastAsia="宋体" w:cs="宋体"/>
          <w:color w:val="auto"/>
          <w:szCs w:val="21"/>
          <w:highlight w:val="none"/>
        </w:rPr>
      </w:pPr>
    </w:p>
    <w:p w14:paraId="7B332C81">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响应文件</w:t>
      </w:r>
    </w:p>
    <w:p w14:paraId="678E1EB1">
      <w:pPr>
        <w:spacing w:line="360" w:lineRule="auto"/>
        <w:jc w:val="center"/>
        <w:rPr>
          <w:rFonts w:hint="eastAsia" w:ascii="宋体" w:hAnsi="宋体" w:eastAsia="宋体" w:cs="宋体"/>
          <w:color w:val="auto"/>
          <w:sz w:val="32"/>
          <w:szCs w:val="32"/>
          <w:highlight w:val="none"/>
        </w:rPr>
      </w:pPr>
    </w:p>
    <w:p w14:paraId="1024FF50">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p>
    <w:p w14:paraId="74A54D19">
      <w:pPr>
        <w:spacing w:line="360" w:lineRule="auto"/>
        <w:ind w:firstLine="437"/>
        <w:rPr>
          <w:rFonts w:hint="eastAsia" w:ascii="宋体" w:hAnsi="宋体" w:eastAsia="宋体" w:cs="宋体"/>
          <w:color w:val="auto"/>
          <w:szCs w:val="21"/>
          <w:highlight w:val="none"/>
        </w:rPr>
      </w:pPr>
    </w:p>
    <w:p w14:paraId="6CD5A607">
      <w:pPr>
        <w:spacing w:line="360" w:lineRule="auto"/>
        <w:ind w:firstLine="437"/>
        <w:rPr>
          <w:rFonts w:hint="eastAsia" w:ascii="宋体" w:hAnsi="宋体" w:eastAsia="宋体" w:cs="宋体"/>
          <w:color w:val="auto"/>
          <w:szCs w:val="21"/>
          <w:highlight w:val="none"/>
        </w:rPr>
      </w:pPr>
    </w:p>
    <w:p w14:paraId="0AB7545E">
      <w:pPr>
        <w:spacing w:line="360" w:lineRule="auto"/>
        <w:ind w:firstLine="437"/>
        <w:rPr>
          <w:rFonts w:hint="eastAsia" w:ascii="宋体" w:hAnsi="宋体" w:eastAsia="宋体" w:cs="宋体"/>
          <w:color w:val="auto"/>
          <w:szCs w:val="21"/>
          <w:highlight w:val="none"/>
        </w:rPr>
      </w:pPr>
    </w:p>
    <w:p w14:paraId="0238C7D5">
      <w:pPr>
        <w:pStyle w:val="9"/>
        <w:spacing w:line="360" w:lineRule="auto"/>
        <w:rPr>
          <w:rFonts w:hint="eastAsia" w:ascii="宋体" w:hAnsi="宋体" w:eastAsia="宋体" w:cs="宋体"/>
          <w:color w:val="auto"/>
          <w:highlight w:val="none"/>
        </w:rPr>
      </w:pPr>
    </w:p>
    <w:p w14:paraId="73FEE4E9">
      <w:pPr>
        <w:spacing w:line="360" w:lineRule="auto"/>
        <w:ind w:firstLine="437"/>
        <w:rPr>
          <w:rFonts w:hint="eastAsia" w:ascii="宋体" w:hAnsi="宋体" w:eastAsia="宋体" w:cs="宋体"/>
          <w:color w:val="auto"/>
          <w:szCs w:val="21"/>
          <w:highlight w:val="none"/>
        </w:rPr>
      </w:pPr>
    </w:p>
    <w:p w14:paraId="253F51FB">
      <w:pPr>
        <w:spacing w:line="360" w:lineRule="auto"/>
        <w:ind w:firstLine="43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供应商（电子签章）:</w:t>
      </w:r>
      <w:r>
        <w:rPr>
          <w:rFonts w:hint="eastAsia" w:ascii="宋体" w:hAnsi="宋体" w:eastAsia="宋体" w:cs="宋体"/>
          <w:color w:val="auto"/>
          <w:sz w:val="28"/>
          <w:szCs w:val="28"/>
          <w:highlight w:val="none"/>
          <w:u w:val="single"/>
        </w:rPr>
        <w:t xml:space="preserve">                               </w:t>
      </w:r>
    </w:p>
    <w:p w14:paraId="6DE2450B">
      <w:pPr>
        <w:spacing w:line="360" w:lineRule="auto"/>
        <w:ind w:firstLine="437"/>
        <w:rPr>
          <w:rFonts w:hint="eastAsia" w:ascii="宋体" w:hAnsi="宋体" w:eastAsia="宋体" w:cs="宋体"/>
          <w:b/>
          <w:color w:val="auto"/>
          <w:sz w:val="28"/>
          <w:szCs w:val="28"/>
          <w:highlight w:val="none"/>
          <w:u w:val="single"/>
        </w:rPr>
      </w:pPr>
      <w:r>
        <w:rPr>
          <w:rFonts w:hint="eastAsia" w:ascii="宋体" w:hAnsi="宋体" w:eastAsia="宋体" w:cs="宋体"/>
          <w:color w:val="auto"/>
          <w:sz w:val="28"/>
          <w:szCs w:val="28"/>
          <w:highlight w:val="none"/>
        </w:rPr>
        <w:t>法定代表人或其委托代理人（电子签章</w:t>
      </w:r>
      <w:r>
        <w:rPr>
          <w:rFonts w:hint="eastAsia" w:ascii="宋体" w:hAnsi="宋体" w:cs="宋体"/>
          <w:color w:val="auto"/>
          <w:sz w:val="28"/>
          <w:szCs w:val="28"/>
          <w:highlight w:val="none"/>
          <w:lang w:val="en-US" w:eastAsia="zh-CN"/>
        </w:rPr>
        <w:t>或签字</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p>
    <w:p w14:paraId="3E1EBA0F">
      <w:pPr>
        <w:spacing w:line="360" w:lineRule="auto"/>
        <w:ind w:firstLine="1918" w:firstLineChars="68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66A54B7">
      <w:pPr>
        <w:spacing w:line="360" w:lineRule="auto"/>
        <w:ind w:firstLine="514" w:firstLineChars="257"/>
        <w:rPr>
          <w:rFonts w:hint="eastAsia" w:ascii="宋体" w:hAnsi="宋体" w:eastAsia="宋体" w:cs="宋体"/>
          <w:color w:val="auto"/>
          <w:szCs w:val="21"/>
          <w:highlight w:val="none"/>
        </w:rPr>
      </w:pPr>
    </w:p>
    <w:p w14:paraId="555A3092">
      <w:pPr>
        <w:spacing w:line="360" w:lineRule="auto"/>
        <w:rPr>
          <w:rFonts w:hint="eastAsia" w:ascii="宋体" w:hAnsi="宋体" w:eastAsia="宋体" w:cs="宋体"/>
          <w:color w:val="auto"/>
          <w:highlight w:val="none"/>
        </w:rPr>
        <w:sectPr>
          <w:headerReference r:id="rId7" w:type="default"/>
          <w:footerReference r:id="rId8" w:type="default"/>
          <w:pgSz w:w="11906" w:h="16838"/>
          <w:pgMar w:top="1440" w:right="1306" w:bottom="1440" w:left="1600" w:header="851" w:footer="992" w:gutter="0"/>
          <w:pgNumType w:fmt="decimal"/>
          <w:cols w:space="720" w:num="1"/>
          <w:docGrid w:linePitch="312" w:charSpace="0"/>
        </w:sectPr>
      </w:pPr>
    </w:p>
    <w:p w14:paraId="6D914F32">
      <w:pPr>
        <w:pStyle w:val="3"/>
        <w:spacing w:line="360" w:lineRule="auto"/>
        <w:rPr>
          <w:rFonts w:hint="eastAsia" w:ascii="宋体" w:hAnsi="宋体" w:eastAsia="宋体" w:cs="宋体"/>
          <w:color w:val="auto"/>
          <w:highlight w:val="none"/>
        </w:rPr>
      </w:pPr>
      <w:bookmarkStart w:id="4696" w:name="_Toc23827"/>
      <w:bookmarkStart w:id="4697" w:name="_Toc19455"/>
      <w:bookmarkStart w:id="4698" w:name="_Toc24163"/>
      <w:bookmarkStart w:id="4699" w:name="_Toc7444"/>
      <w:bookmarkStart w:id="4700" w:name="_Toc11868"/>
      <w:bookmarkStart w:id="4701" w:name="_Toc6204"/>
      <w:r>
        <w:rPr>
          <w:rFonts w:hint="eastAsia" w:ascii="宋体" w:hAnsi="宋体" w:eastAsia="宋体" w:cs="宋体"/>
          <w:color w:val="auto"/>
          <w:highlight w:val="none"/>
        </w:rPr>
        <w:t>一、响应文件资格审查部分格式</w:t>
      </w:r>
      <w:bookmarkEnd w:id="4696"/>
      <w:bookmarkEnd w:id="4697"/>
      <w:bookmarkEnd w:id="4698"/>
      <w:bookmarkEnd w:id="4699"/>
      <w:bookmarkEnd w:id="4700"/>
      <w:bookmarkEnd w:id="4701"/>
    </w:p>
    <w:p w14:paraId="34597EC3">
      <w:pPr>
        <w:spacing w:line="360" w:lineRule="auto"/>
        <w:ind w:firstLine="616" w:firstLineChars="257"/>
        <w:rPr>
          <w:rFonts w:hint="eastAsia" w:ascii="宋体" w:hAnsi="宋体" w:eastAsia="宋体" w:cs="宋体"/>
          <w:color w:val="auto"/>
          <w:sz w:val="24"/>
          <w:szCs w:val="24"/>
          <w:highlight w:val="none"/>
        </w:rPr>
      </w:pPr>
    </w:p>
    <w:p w14:paraId="129E3BE2">
      <w:pPr>
        <w:spacing w:line="360" w:lineRule="auto"/>
        <w:ind w:firstLine="616" w:firstLineChars="257"/>
        <w:rPr>
          <w:rFonts w:hint="eastAsia" w:ascii="宋体" w:hAnsi="宋体" w:eastAsia="宋体" w:cs="宋体"/>
          <w:color w:val="auto"/>
          <w:sz w:val="24"/>
          <w:szCs w:val="24"/>
          <w:highlight w:val="none"/>
        </w:rPr>
      </w:pPr>
    </w:p>
    <w:p w14:paraId="695FC17F">
      <w:pPr>
        <w:spacing w:line="360" w:lineRule="auto"/>
        <w:ind w:firstLine="616" w:firstLineChars="257"/>
        <w:rPr>
          <w:rFonts w:hint="eastAsia" w:ascii="宋体" w:hAnsi="宋体" w:eastAsia="宋体" w:cs="宋体"/>
          <w:color w:val="auto"/>
          <w:sz w:val="24"/>
          <w:szCs w:val="24"/>
          <w:highlight w:val="none"/>
        </w:rPr>
      </w:pPr>
    </w:p>
    <w:p w14:paraId="1A469589">
      <w:pPr>
        <w:spacing w:line="360" w:lineRule="auto"/>
        <w:ind w:firstLine="616" w:firstLineChars="257"/>
        <w:rPr>
          <w:rFonts w:hint="eastAsia" w:ascii="宋体" w:hAnsi="宋体" w:eastAsia="宋体" w:cs="宋体"/>
          <w:color w:val="auto"/>
          <w:sz w:val="24"/>
          <w:szCs w:val="24"/>
          <w:highlight w:val="none"/>
        </w:rPr>
      </w:pPr>
    </w:p>
    <w:p w14:paraId="02348AF6">
      <w:pPr>
        <w:spacing w:line="360" w:lineRule="auto"/>
        <w:ind w:firstLine="616" w:firstLineChars="257"/>
        <w:rPr>
          <w:rFonts w:hint="eastAsia" w:ascii="宋体" w:hAnsi="宋体" w:eastAsia="宋体" w:cs="宋体"/>
          <w:color w:val="auto"/>
          <w:sz w:val="24"/>
          <w:szCs w:val="24"/>
          <w:highlight w:val="none"/>
        </w:rPr>
      </w:pPr>
    </w:p>
    <w:p w14:paraId="19AAB35A">
      <w:pPr>
        <w:pStyle w:val="3"/>
        <w:spacing w:line="360" w:lineRule="auto"/>
        <w:rPr>
          <w:rFonts w:hint="eastAsia" w:ascii="宋体" w:hAnsi="宋体" w:eastAsia="宋体" w:cs="宋体"/>
          <w:color w:val="auto"/>
          <w:sz w:val="24"/>
          <w:highlight w:val="none"/>
        </w:rPr>
        <w:sectPr>
          <w:pgSz w:w="11906" w:h="16838"/>
          <w:pgMar w:top="1134" w:right="1247" w:bottom="1134" w:left="1247" w:header="851" w:footer="992" w:gutter="0"/>
          <w:pgNumType w:fmt="decimal"/>
          <w:cols w:space="720" w:num="1"/>
          <w:docGrid w:linePitch="312" w:charSpace="0"/>
        </w:sectPr>
      </w:pPr>
    </w:p>
    <w:p w14:paraId="7AE329A9">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color w:val="auto"/>
          <w:highlight w:val="none"/>
          <w:lang w:val="en-US" w:eastAsia="zh-CN"/>
        </w:rPr>
      </w:pPr>
      <w:bookmarkStart w:id="4702" w:name="_Toc19346"/>
      <w:bookmarkStart w:id="4703" w:name="_Toc17099"/>
      <w:bookmarkStart w:id="4704" w:name="_Toc20021"/>
      <w:r>
        <w:rPr>
          <w:rFonts w:hint="eastAsia" w:ascii="宋体" w:hAnsi="宋体" w:cs="宋体"/>
          <w:b/>
          <w:bCs/>
          <w:color w:val="auto"/>
          <w:sz w:val="24"/>
          <w:highlight w:val="none"/>
          <w:lang w:val="en-US" w:eastAsia="zh-CN"/>
        </w:rPr>
        <w:t>（一 ）</w:t>
      </w:r>
      <w:r>
        <w:rPr>
          <w:rFonts w:hint="eastAsia" w:ascii="宋体" w:hAnsi="宋体" w:eastAsia="宋体" w:cs="宋体"/>
          <w:b/>
          <w:bCs/>
          <w:color w:val="auto"/>
          <w:sz w:val="24"/>
          <w:highlight w:val="none"/>
          <w:lang w:val="en-US" w:eastAsia="zh-CN"/>
        </w:rPr>
        <w:t>具备有效的营业执照或事业单位法人证书或其他组织证明材料</w:t>
      </w:r>
      <w:bookmarkEnd w:id="4702"/>
      <w:bookmarkEnd w:id="4703"/>
      <w:bookmarkEnd w:id="4704"/>
    </w:p>
    <w:p w14:paraId="747D0E1F">
      <w:pPr>
        <w:pStyle w:val="9"/>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附扫描件加盖单位电子签章</w:t>
      </w:r>
    </w:p>
    <w:p w14:paraId="04F488E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BC5AF6B">
      <w:pPr>
        <w:pStyle w:val="8"/>
        <w:spacing w:line="360" w:lineRule="auto"/>
        <w:rPr>
          <w:rFonts w:hint="eastAsia" w:ascii="宋体" w:hAnsi="宋体" w:eastAsia="宋体" w:cs="宋体"/>
          <w:color w:val="auto"/>
          <w:highlight w:val="none"/>
        </w:rPr>
        <w:sectPr>
          <w:pgSz w:w="11906" w:h="16838"/>
          <w:pgMar w:top="1134" w:right="1247" w:bottom="1134" w:left="1247" w:header="851" w:footer="992" w:gutter="0"/>
          <w:pgNumType w:fmt="decimal"/>
          <w:cols w:space="720" w:num="1"/>
          <w:docGrid w:linePitch="312" w:charSpace="0"/>
        </w:sectPr>
      </w:pPr>
    </w:p>
    <w:p w14:paraId="09384915">
      <w:pPr>
        <w:pStyle w:val="9"/>
        <w:keepNext w:val="0"/>
        <w:keepLines w:val="0"/>
        <w:pageBreakBefore w:val="0"/>
        <w:widowControl/>
        <w:kinsoku/>
        <w:wordWrap/>
        <w:overflowPunct/>
        <w:topLinePunct w:val="0"/>
        <w:autoSpaceDE/>
        <w:autoSpaceDN/>
        <w:bidi w:val="0"/>
        <w:adjustRightInd/>
        <w:snapToGrid/>
        <w:spacing w:before="5" w:line="360" w:lineRule="auto"/>
        <w:textAlignment w:val="auto"/>
        <w:outlineLvl w:val="1"/>
        <w:rPr>
          <w:rFonts w:hint="eastAsia" w:ascii="宋体" w:hAnsi="宋体" w:eastAsia="宋体" w:cs="宋体"/>
          <w:b/>
          <w:bCs/>
          <w:color w:val="auto"/>
          <w:sz w:val="28"/>
          <w:szCs w:val="28"/>
          <w:highlight w:val="none"/>
        </w:rPr>
        <w:sectPr>
          <w:pgSz w:w="11910" w:h="16840"/>
          <w:pgMar w:top="1340" w:right="560" w:bottom="1080" w:left="1160" w:header="879" w:footer="892" w:gutter="0"/>
          <w:pgNumType w:fmt="decimal"/>
          <w:cols w:equalWidth="0" w:num="2">
            <w:col w:w="3014" w:space="78"/>
            <w:col w:w="7098"/>
          </w:cols>
        </w:sectPr>
      </w:pPr>
      <w:bookmarkStart w:id="4705" w:name="_Toc1218"/>
      <w:bookmarkStart w:id="4706" w:name="_Toc11766"/>
      <w:bookmarkStart w:id="4707" w:name="_Toc27328"/>
      <w:bookmarkStart w:id="4708" w:name="_Toc7403"/>
      <w:r>
        <w:rPr>
          <w:rFonts w:hint="eastAsia" w:ascii="宋体" w:hAnsi="宋体" w:eastAsia="宋体" w:cs="宋体"/>
          <w:b/>
          <w:bCs/>
          <w:color w:val="auto"/>
          <w:sz w:val="28"/>
          <w:szCs w:val="28"/>
          <w:highlight w:val="none"/>
        </w:rPr>
        <w:br w:type="column"/>
      </w:r>
      <w:bookmarkStart w:id="4709" w:name="_Toc160018033"/>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供应商资格声明书</w:t>
      </w:r>
      <w:bookmarkEnd w:id="4705"/>
      <w:bookmarkEnd w:id="4706"/>
      <w:bookmarkEnd w:id="4707"/>
      <w:bookmarkEnd w:id="4709"/>
    </w:p>
    <w:p w14:paraId="309391C9">
      <w:pPr>
        <w:pStyle w:val="9"/>
        <w:spacing w:before="12" w:line="360" w:lineRule="auto"/>
        <w:rPr>
          <w:rFonts w:hint="eastAsia" w:ascii="宋体" w:hAnsi="宋体" w:eastAsia="宋体" w:cs="宋体"/>
          <w:color w:val="auto"/>
          <w:sz w:val="27"/>
          <w:highlight w:val="none"/>
        </w:rPr>
      </w:pPr>
    </w:p>
    <w:p w14:paraId="350B5DF7">
      <w:pPr>
        <w:pStyle w:val="9"/>
        <w:spacing w:before="66" w:line="360" w:lineRule="auto"/>
        <w:ind w:left="5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致：</w:t>
      </w:r>
      <w:r>
        <w:rPr>
          <w:rFonts w:hint="eastAsia" w:ascii="宋体" w:hAnsi="宋体" w:eastAsia="宋体" w:cs="宋体"/>
          <w:color w:val="auto"/>
          <w:sz w:val="24"/>
          <w:szCs w:val="24"/>
          <w:highlight w:val="none"/>
          <w:u w:val="single"/>
          <w:lang w:eastAsia="zh-CN"/>
        </w:rPr>
        <w:t>采购人或采购代理机构</w:t>
      </w:r>
    </w:p>
    <w:p w14:paraId="5E79513A">
      <w:pPr>
        <w:pStyle w:val="9"/>
        <w:spacing w:before="161" w:line="360" w:lineRule="auto"/>
        <w:ind w:left="102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在参与本次项目磋商中，我单位承诺：</w:t>
      </w:r>
    </w:p>
    <w:p w14:paraId="2C0E9A89">
      <w:pPr>
        <w:pStyle w:val="9"/>
        <w:spacing w:before="159" w:line="360" w:lineRule="auto"/>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（一）具有良好的商业信誉和健全的财务会计制度；</w:t>
      </w:r>
    </w:p>
    <w:p w14:paraId="6C931826">
      <w:pPr>
        <w:pStyle w:val="9"/>
        <w:spacing w:before="158" w:line="360" w:lineRule="auto"/>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（二）具有履行合同所必需的设备和专业技术能力；</w:t>
      </w:r>
    </w:p>
    <w:p w14:paraId="3007C370">
      <w:pPr>
        <w:pStyle w:val="9"/>
        <w:spacing w:before="160" w:line="360" w:lineRule="auto"/>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（三）有依法缴纳税收和社会保障资金的良好记录；</w:t>
      </w:r>
    </w:p>
    <w:p w14:paraId="104BC899">
      <w:pPr>
        <w:pStyle w:val="9"/>
        <w:spacing w:before="158" w:line="360" w:lineRule="auto"/>
        <w:ind w:left="1674" w:right="572" w:hanging="721"/>
        <w:jc w:val="both"/>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z w:val="24"/>
          <w:szCs w:val="24"/>
          <w:highlight w:val="none"/>
          <w:lang w:eastAsia="zh-CN"/>
        </w:rPr>
        <w:t>（四）参加政府采购活动前三年内，在经营活动中没有重大违法记录（</w:t>
      </w:r>
      <w:r>
        <w:rPr>
          <w:rFonts w:hint="eastAsia" w:ascii="宋体" w:hAnsi="宋体" w:eastAsia="宋体" w:cs="宋体"/>
          <w:color w:val="auto"/>
          <w:spacing w:val="-3"/>
          <w:sz w:val="24"/>
          <w:szCs w:val="24"/>
          <w:highlight w:val="none"/>
          <w:lang w:eastAsia="zh-CN"/>
        </w:rPr>
        <w:t>重大违法记</w:t>
      </w:r>
    </w:p>
    <w:p w14:paraId="10AE04D8">
      <w:pPr>
        <w:pStyle w:val="9"/>
        <w:spacing w:before="158" w:line="360" w:lineRule="auto"/>
        <w:ind w:right="57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录指因违法经营受到刑事处罚或者责令停产停业、吊销许可证或者执照、较大数额罚款等行政处罚，不包括因违法经营被禁止在一定期限内参加政府采</w:t>
      </w:r>
      <w:r>
        <w:rPr>
          <w:rFonts w:hint="eastAsia" w:ascii="宋体" w:hAnsi="宋体" w:eastAsia="宋体" w:cs="宋体"/>
          <w:color w:val="auto"/>
          <w:sz w:val="24"/>
          <w:szCs w:val="24"/>
          <w:highlight w:val="none"/>
          <w:lang w:eastAsia="zh-CN"/>
        </w:rPr>
        <w:t>购活动，但期限已经届满的情形</w:t>
      </w:r>
      <w:r>
        <w:rPr>
          <w:rFonts w:hint="eastAsia" w:ascii="宋体" w:hAnsi="宋体" w:eastAsia="宋体" w:cs="宋体"/>
          <w:color w:val="auto"/>
          <w:spacing w:val="-121"/>
          <w:sz w:val="24"/>
          <w:szCs w:val="24"/>
          <w:highlight w:val="none"/>
          <w:lang w:eastAsia="zh-CN"/>
        </w:rPr>
        <w:t>）；</w:t>
      </w:r>
    </w:p>
    <w:p w14:paraId="5C3F966A">
      <w:pPr>
        <w:pStyle w:val="9"/>
        <w:numPr>
          <w:ilvl w:val="0"/>
          <w:numId w:val="7"/>
        </w:numPr>
        <w:spacing w:line="360" w:lineRule="auto"/>
        <w:ind w:left="1674" w:right="572" w:hanging="72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我单位不属于政府采购法律、行政法规规定的公益一类事业单位、或使用事</w:t>
      </w:r>
    </w:p>
    <w:p w14:paraId="599CEABA">
      <w:pPr>
        <w:pStyle w:val="9"/>
        <w:numPr>
          <w:ilvl w:val="0"/>
          <w:numId w:val="0"/>
        </w:numPr>
        <w:spacing w:line="360" w:lineRule="auto"/>
        <w:ind w:right="572"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业编制且由财政拨款保障的群团组织（仅适用于政府购买服务项目</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p w14:paraId="34529C82">
      <w:pPr>
        <w:pStyle w:val="9"/>
        <w:numPr>
          <w:ilvl w:val="0"/>
          <w:numId w:val="7"/>
        </w:numPr>
        <w:spacing w:before="5" w:line="360" w:lineRule="auto"/>
        <w:ind w:left="1674" w:leftChars="0" w:right="572" w:hanging="721" w:firstLineChars="0"/>
        <w:jc w:val="both"/>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我单位不存在为采购项目提供整体设计、规范编制或者项目管理、监理、检</w:t>
      </w:r>
    </w:p>
    <w:p w14:paraId="04D08DA9">
      <w:pPr>
        <w:pStyle w:val="9"/>
        <w:numPr>
          <w:ilvl w:val="0"/>
          <w:numId w:val="0"/>
        </w:numPr>
        <w:spacing w:before="5" w:line="360" w:lineRule="auto"/>
        <w:ind w:right="572"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测等服务后，再参加该采购项目的其他采购活动的情形（</w:t>
      </w:r>
      <w:r>
        <w:rPr>
          <w:rFonts w:hint="eastAsia" w:ascii="宋体" w:hAnsi="宋体" w:eastAsia="宋体" w:cs="宋体"/>
          <w:color w:val="auto"/>
          <w:spacing w:val="-2"/>
          <w:sz w:val="24"/>
          <w:szCs w:val="24"/>
          <w:highlight w:val="none"/>
          <w:lang w:eastAsia="zh-CN"/>
        </w:rPr>
        <w:t>单一来源采购项目</w:t>
      </w:r>
      <w:r>
        <w:rPr>
          <w:rFonts w:hint="eastAsia" w:ascii="宋体" w:hAnsi="宋体" w:eastAsia="宋体" w:cs="宋体"/>
          <w:color w:val="auto"/>
          <w:sz w:val="24"/>
          <w:szCs w:val="24"/>
          <w:highlight w:val="none"/>
          <w:lang w:eastAsia="zh-CN"/>
        </w:rPr>
        <w:t>除外</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p w14:paraId="72F39E5C">
      <w:pPr>
        <w:pStyle w:val="9"/>
        <w:numPr>
          <w:ilvl w:val="0"/>
          <w:numId w:val="7"/>
        </w:numPr>
        <w:spacing w:line="360" w:lineRule="auto"/>
        <w:ind w:left="1674" w:leftChars="0" w:right="572" w:hanging="721" w:firstLineChars="0"/>
        <w:jc w:val="both"/>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z w:val="24"/>
          <w:szCs w:val="24"/>
          <w:highlight w:val="none"/>
          <w:lang w:eastAsia="zh-CN"/>
        </w:rPr>
        <w:t>与我单位存在“单位负责人为同一人或者存在直接控股、管理关系”</w:t>
      </w:r>
      <w:r>
        <w:rPr>
          <w:rFonts w:hint="eastAsia" w:ascii="宋体" w:hAnsi="宋体" w:eastAsia="宋体" w:cs="宋体"/>
          <w:color w:val="auto"/>
          <w:spacing w:val="-3"/>
          <w:sz w:val="24"/>
          <w:szCs w:val="24"/>
          <w:highlight w:val="none"/>
          <w:lang w:eastAsia="zh-CN"/>
        </w:rPr>
        <w:t>的其他</w:t>
      </w:r>
    </w:p>
    <w:p w14:paraId="7C0BC635">
      <w:pPr>
        <w:pStyle w:val="9"/>
        <w:numPr>
          <w:ilvl w:val="0"/>
          <w:numId w:val="0"/>
        </w:numPr>
        <w:spacing w:line="360" w:lineRule="auto"/>
        <w:ind w:right="572" w:right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法</w:t>
      </w:r>
      <w:r>
        <w:rPr>
          <w:rFonts w:hint="eastAsia" w:ascii="宋体" w:hAnsi="宋体" w:eastAsia="宋体" w:cs="宋体"/>
          <w:color w:val="auto"/>
          <w:sz w:val="24"/>
          <w:szCs w:val="24"/>
          <w:highlight w:val="none"/>
          <w:lang w:eastAsia="zh-CN"/>
        </w:rPr>
        <w:t>人单位信息如下（</w:t>
      </w:r>
      <w:r>
        <w:rPr>
          <w:rFonts w:hint="eastAsia" w:ascii="宋体" w:hAnsi="宋体" w:eastAsia="宋体" w:cs="宋体"/>
          <w:color w:val="auto"/>
          <w:spacing w:val="-1"/>
          <w:sz w:val="24"/>
          <w:szCs w:val="24"/>
          <w:highlight w:val="none"/>
          <w:lang w:eastAsia="zh-CN"/>
        </w:rPr>
        <w:t>如有，不论其是否参加同一合同项下的政府采购活动均须</w:t>
      </w:r>
      <w:r>
        <w:rPr>
          <w:rFonts w:hint="eastAsia" w:ascii="宋体" w:hAnsi="宋体" w:eastAsia="宋体" w:cs="宋体"/>
          <w:color w:val="auto"/>
          <w:sz w:val="24"/>
          <w:szCs w:val="24"/>
          <w:highlight w:val="none"/>
          <w:lang w:eastAsia="zh-CN"/>
        </w:rPr>
        <w:t>填写</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tbl>
      <w:tblPr>
        <w:tblStyle w:val="47"/>
        <w:tblW w:w="0" w:type="auto"/>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1F4D9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6F7FE116">
            <w:pPr>
              <w:pStyle w:val="49"/>
              <w:spacing w:before="56" w:line="360" w:lineRule="auto"/>
              <w:ind w:left="215" w:right="2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574" w:type="dxa"/>
          </w:tcPr>
          <w:p w14:paraId="1FA6CB73">
            <w:pPr>
              <w:pStyle w:val="49"/>
              <w:spacing w:before="56" w:line="360" w:lineRule="auto"/>
              <w:ind w:left="1787" w:right="177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tc>
        <w:tc>
          <w:tcPr>
            <w:tcW w:w="2976" w:type="dxa"/>
          </w:tcPr>
          <w:p w14:paraId="4C5176EB">
            <w:pPr>
              <w:pStyle w:val="49"/>
              <w:spacing w:before="56" w:line="360" w:lineRule="auto"/>
              <w:ind w:left="989" w:right="97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相互关系</w:t>
            </w:r>
          </w:p>
        </w:tc>
      </w:tr>
      <w:tr w14:paraId="3E4CA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14:paraId="1A5453DF">
            <w:pPr>
              <w:pStyle w:val="49"/>
              <w:spacing w:before="66" w:line="360" w:lineRule="auto"/>
              <w:ind w:left="9"/>
              <w:jc w:val="center"/>
              <w:rPr>
                <w:rFonts w:hint="eastAsia" w:ascii="宋体" w:hAnsi="宋体" w:eastAsia="宋体" w:cs="宋体"/>
                <w:color w:val="auto"/>
                <w:sz w:val="24"/>
                <w:szCs w:val="24"/>
                <w:highlight w:val="none"/>
              </w:rPr>
            </w:pPr>
            <w:r>
              <w:rPr>
                <w:rFonts w:hint="eastAsia" w:ascii="宋体" w:hAnsi="宋体" w:eastAsia="宋体" w:cs="宋体"/>
                <w:color w:val="auto"/>
                <w:w w:val="139"/>
                <w:sz w:val="24"/>
                <w:szCs w:val="24"/>
                <w:highlight w:val="none"/>
              </w:rPr>
              <w:t>1</w:t>
            </w:r>
          </w:p>
        </w:tc>
        <w:tc>
          <w:tcPr>
            <w:tcW w:w="4574" w:type="dxa"/>
          </w:tcPr>
          <w:p w14:paraId="62C40DBA">
            <w:pPr>
              <w:pStyle w:val="49"/>
              <w:spacing w:line="360" w:lineRule="auto"/>
              <w:rPr>
                <w:rFonts w:hint="eastAsia" w:ascii="宋体" w:hAnsi="宋体" w:eastAsia="宋体" w:cs="宋体"/>
                <w:color w:val="auto"/>
                <w:sz w:val="24"/>
                <w:szCs w:val="24"/>
                <w:highlight w:val="none"/>
              </w:rPr>
            </w:pPr>
          </w:p>
        </w:tc>
        <w:tc>
          <w:tcPr>
            <w:tcW w:w="2976" w:type="dxa"/>
          </w:tcPr>
          <w:p w14:paraId="5186E5B3">
            <w:pPr>
              <w:pStyle w:val="49"/>
              <w:spacing w:line="360" w:lineRule="auto"/>
              <w:rPr>
                <w:rFonts w:hint="eastAsia" w:ascii="宋体" w:hAnsi="宋体" w:eastAsia="宋体" w:cs="宋体"/>
                <w:color w:val="auto"/>
                <w:sz w:val="24"/>
                <w:szCs w:val="24"/>
                <w:highlight w:val="none"/>
              </w:rPr>
            </w:pPr>
          </w:p>
        </w:tc>
      </w:tr>
      <w:tr w14:paraId="22819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4025BBFF">
            <w:pPr>
              <w:pStyle w:val="49"/>
              <w:spacing w:before="67" w:line="360" w:lineRule="auto"/>
              <w:ind w:left="9"/>
              <w:jc w:val="center"/>
              <w:rPr>
                <w:rFonts w:hint="eastAsia" w:ascii="宋体" w:hAnsi="宋体" w:eastAsia="宋体" w:cs="宋体"/>
                <w:color w:val="auto"/>
                <w:sz w:val="24"/>
                <w:szCs w:val="24"/>
                <w:highlight w:val="none"/>
              </w:rPr>
            </w:pPr>
            <w:r>
              <w:rPr>
                <w:rFonts w:hint="eastAsia" w:ascii="宋体" w:hAnsi="宋体" w:eastAsia="宋体" w:cs="宋体"/>
                <w:color w:val="auto"/>
                <w:w w:val="139"/>
                <w:sz w:val="24"/>
                <w:szCs w:val="24"/>
                <w:highlight w:val="none"/>
              </w:rPr>
              <w:t>2</w:t>
            </w:r>
          </w:p>
        </w:tc>
        <w:tc>
          <w:tcPr>
            <w:tcW w:w="4574" w:type="dxa"/>
          </w:tcPr>
          <w:p w14:paraId="4CB1305A">
            <w:pPr>
              <w:pStyle w:val="49"/>
              <w:spacing w:line="360" w:lineRule="auto"/>
              <w:rPr>
                <w:rFonts w:hint="eastAsia" w:ascii="宋体" w:hAnsi="宋体" w:eastAsia="宋体" w:cs="宋体"/>
                <w:color w:val="auto"/>
                <w:sz w:val="24"/>
                <w:szCs w:val="24"/>
                <w:highlight w:val="none"/>
              </w:rPr>
            </w:pPr>
          </w:p>
        </w:tc>
        <w:tc>
          <w:tcPr>
            <w:tcW w:w="2976" w:type="dxa"/>
          </w:tcPr>
          <w:p w14:paraId="54C40BAB">
            <w:pPr>
              <w:pStyle w:val="49"/>
              <w:spacing w:line="360" w:lineRule="auto"/>
              <w:rPr>
                <w:rFonts w:hint="eastAsia" w:ascii="宋体" w:hAnsi="宋体" w:eastAsia="宋体" w:cs="宋体"/>
                <w:color w:val="auto"/>
                <w:sz w:val="24"/>
                <w:szCs w:val="24"/>
                <w:highlight w:val="none"/>
              </w:rPr>
            </w:pPr>
          </w:p>
        </w:tc>
      </w:tr>
      <w:tr w14:paraId="40EFF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6A3D7EE7">
            <w:pPr>
              <w:pStyle w:val="49"/>
              <w:spacing w:before="66" w:line="360" w:lineRule="auto"/>
              <w:ind w:left="10"/>
              <w:jc w:val="center"/>
              <w:rPr>
                <w:rFonts w:hint="eastAsia" w:ascii="宋体" w:hAnsi="宋体" w:eastAsia="宋体" w:cs="宋体"/>
                <w:color w:val="auto"/>
                <w:sz w:val="24"/>
                <w:szCs w:val="24"/>
                <w:highlight w:val="none"/>
              </w:rPr>
            </w:pPr>
            <w:r>
              <w:rPr>
                <w:rFonts w:hint="eastAsia" w:ascii="宋体" w:hAnsi="宋体" w:eastAsia="宋体" w:cs="宋体"/>
                <w:color w:val="auto"/>
                <w:w w:val="121"/>
                <w:sz w:val="24"/>
                <w:szCs w:val="24"/>
                <w:highlight w:val="none"/>
              </w:rPr>
              <w:t>…</w:t>
            </w:r>
          </w:p>
        </w:tc>
        <w:tc>
          <w:tcPr>
            <w:tcW w:w="4574" w:type="dxa"/>
          </w:tcPr>
          <w:p w14:paraId="05A4F320">
            <w:pPr>
              <w:pStyle w:val="49"/>
              <w:spacing w:line="360" w:lineRule="auto"/>
              <w:rPr>
                <w:rFonts w:hint="eastAsia" w:ascii="宋体" w:hAnsi="宋体" w:eastAsia="宋体" w:cs="宋体"/>
                <w:color w:val="auto"/>
                <w:sz w:val="24"/>
                <w:szCs w:val="24"/>
                <w:highlight w:val="none"/>
              </w:rPr>
            </w:pPr>
          </w:p>
        </w:tc>
        <w:tc>
          <w:tcPr>
            <w:tcW w:w="2976" w:type="dxa"/>
          </w:tcPr>
          <w:p w14:paraId="7E139009">
            <w:pPr>
              <w:pStyle w:val="49"/>
              <w:spacing w:line="360" w:lineRule="auto"/>
              <w:rPr>
                <w:rFonts w:hint="eastAsia" w:ascii="宋体" w:hAnsi="宋体" w:eastAsia="宋体" w:cs="宋体"/>
                <w:color w:val="auto"/>
                <w:sz w:val="24"/>
                <w:szCs w:val="24"/>
                <w:highlight w:val="none"/>
              </w:rPr>
            </w:pPr>
          </w:p>
        </w:tc>
      </w:tr>
    </w:tbl>
    <w:p w14:paraId="1769BF7E">
      <w:pPr>
        <w:pStyle w:val="9"/>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上述声明真实有效，否则我方负全部责任。</w:t>
      </w:r>
    </w:p>
    <w:p w14:paraId="723942AC">
      <w:pPr>
        <w:pStyle w:val="9"/>
        <w:tabs>
          <w:tab w:val="left" w:pos="7573"/>
          <w:tab w:val="left" w:pos="8293"/>
          <w:tab w:val="left" w:pos="9013"/>
          <w:tab w:val="left" w:pos="9306"/>
        </w:tabs>
        <w:spacing w:line="360" w:lineRule="auto"/>
        <w:ind w:right="878" w:firstLine="5520" w:firstLineChars="23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供应商名称（电子签章</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ab/>
      </w:r>
    </w:p>
    <w:p w14:paraId="38F7A61D">
      <w:pPr>
        <w:pStyle w:val="9"/>
        <w:tabs>
          <w:tab w:val="left" w:pos="7573"/>
          <w:tab w:val="left" w:pos="8293"/>
          <w:tab w:val="left" w:pos="9013"/>
          <w:tab w:val="left" w:pos="9306"/>
        </w:tabs>
        <w:spacing w:line="360" w:lineRule="auto"/>
        <w:ind w:right="878" w:firstLine="5520" w:firstLineChars="2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日</w:t>
      </w:r>
    </w:p>
    <w:p w14:paraId="1AC5E9CB">
      <w:pPr>
        <w:pStyle w:val="9"/>
        <w:spacing w:line="360" w:lineRule="auto"/>
        <w:ind w:left="541"/>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lang w:eastAsia="zh-CN"/>
        </w:rPr>
        <w:t>说明：</w:t>
      </w:r>
      <w:r>
        <w:rPr>
          <w:rFonts w:hint="eastAsia" w:ascii="宋体" w:hAnsi="宋体" w:eastAsia="宋体" w:cs="宋体"/>
          <w:color w:val="auto"/>
          <w:sz w:val="21"/>
          <w:szCs w:val="21"/>
          <w:highlight w:val="none"/>
          <w:lang w:eastAsia="zh-CN"/>
        </w:rPr>
        <w:t>供应商承诺不实的，依据《政府采购法》第七十七条“提供虚假材料谋取中标、</w:t>
      </w:r>
    </w:p>
    <w:p w14:paraId="50D410BC">
      <w:pPr>
        <w:pStyle w:val="9"/>
        <w:spacing w:before="160" w:line="360" w:lineRule="auto"/>
        <w:ind w:left="541"/>
        <w:rPr>
          <w:rFonts w:hint="eastAsia" w:ascii="宋体" w:hAnsi="宋体" w:eastAsia="宋体" w:cs="宋体"/>
          <w:color w:val="auto"/>
          <w:sz w:val="24"/>
          <w:szCs w:val="24"/>
          <w:highlight w:val="none"/>
          <w:lang w:eastAsia="zh-CN"/>
        </w:rPr>
        <w:sectPr>
          <w:type w:val="continuous"/>
          <w:pgSz w:w="11910" w:h="16840"/>
          <w:pgMar w:top="1380" w:right="560" w:bottom="280" w:left="1160" w:header="720" w:footer="720" w:gutter="0"/>
          <w:pgNumType w:fmt="decimal"/>
          <w:cols w:space="720" w:num="1"/>
        </w:sectPr>
      </w:pPr>
      <w:r>
        <w:rPr>
          <w:rFonts w:hint="eastAsia" w:ascii="宋体" w:hAnsi="宋体" w:eastAsia="宋体" w:cs="宋体"/>
          <w:color w:val="auto"/>
          <w:w w:val="105"/>
          <w:sz w:val="21"/>
          <w:szCs w:val="21"/>
          <w:highlight w:val="none"/>
          <w:lang w:eastAsia="zh-CN"/>
        </w:rPr>
        <w:t>成交的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w w:val="105"/>
          <w:sz w:val="21"/>
          <w:szCs w:val="21"/>
          <w:highlight w:val="none"/>
          <w:lang w:eastAsia="zh-CN"/>
        </w:rPr>
        <w:t>有关规定予以处理。</w:t>
      </w:r>
    </w:p>
    <w:p w14:paraId="644FE531">
      <w:pPr>
        <w:pStyle w:val="9"/>
        <w:keepNext w:val="0"/>
        <w:keepLines w:val="0"/>
        <w:pageBreakBefore w:val="0"/>
        <w:widowControl/>
        <w:kinsoku/>
        <w:wordWrap/>
        <w:overflowPunct/>
        <w:topLinePunct w:val="0"/>
        <w:autoSpaceDE/>
        <w:autoSpaceDN/>
        <w:bidi w:val="0"/>
        <w:adjustRightInd/>
        <w:snapToGrid/>
        <w:spacing w:before="5" w:line="360" w:lineRule="auto"/>
        <w:jc w:val="center"/>
        <w:textAlignment w:val="auto"/>
        <w:outlineLvl w:val="1"/>
        <w:rPr>
          <w:rFonts w:hint="eastAsia" w:ascii="宋体" w:hAnsi="宋体" w:eastAsia="宋体" w:cs="宋体"/>
          <w:b/>
          <w:bCs/>
          <w:color w:val="auto"/>
          <w:sz w:val="28"/>
          <w:szCs w:val="28"/>
          <w:highlight w:val="none"/>
        </w:rPr>
      </w:pPr>
      <w:bookmarkStart w:id="4710" w:name="_Toc12827"/>
      <w:bookmarkStart w:id="4711" w:name="_Toc6528"/>
      <w:bookmarkStart w:id="4712" w:name="_Toc6059"/>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w:t>
      </w:r>
      <w:bookmarkEnd w:id="4708"/>
      <w:bookmarkStart w:id="4713" w:name="_Toc488434368"/>
      <w:bookmarkStart w:id="4714" w:name="_Toc498357763"/>
      <w:r>
        <w:rPr>
          <w:rFonts w:hint="eastAsia" w:ascii="宋体" w:hAnsi="宋体" w:eastAsia="宋体" w:cs="宋体"/>
          <w:b/>
          <w:bCs/>
          <w:color w:val="auto"/>
          <w:sz w:val="28"/>
          <w:szCs w:val="28"/>
          <w:highlight w:val="none"/>
        </w:rPr>
        <w:t>信誉</w:t>
      </w:r>
      <w:bookmarkEnd w:id="4713"/>
      <w:bookmarkEnd w:id="4714"/>
      <w:r>
        <w:rPr>
          <w:rFonts w:hint="eastAsia" w:ascii="宋体" w:hAnsi="宋体" w:eastAsia="宋体" w:cs="宋体"/>
          <w:b/>
          <w:bCs/>
          <w:color w:val="auto"/>
          <w:sz w:val="28"/>
          <w:szCs w:val="28"/>
          <w:highlight w:val="none"/>
        </w:rPr>
        <w:t>承诺函</w:t>
      </w:r>
      <w:bookmarkEnd w:id="4710"/>
      <w:bookmarkEnd w:id="4711"/>
      <w:bookmarkEnd w:id="4712"/>
    </w:p>
    <w:p w14:paraId="48E1EF0F">
      <w:pPr>
        <w:pStyle w:val="9"/>
        <w:spacing w:after="0" w:line="24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根据第一章 供应商应具备的资格要求信誉要求</w:t>
      </w:r>
      <w:r>
        <w:rPr>
          <w:rFonts w:hint="eastAsia" w:ascii="宋体" w:hAnsi="宋体" w:eastAsia="宋体" w:cs="宋体"/>
          <w:color w:val="auto"/>
          <w:sz w:val="24"/>
          <w:szCs w:val="24"/>
          <w:highlight w:val="none"/>
        </w:rPr>
        <w:t>自行承诺，格式自理。</w:t>
      </w:r>
    </w:p>
    <w:p w14:paraId="0B06AED8">
      <w:pPr>
        <w:pStyle w:val="10"/>
        <w:spacing w:line="360" w:lineRule="auto"/>
        <w:rPr>
          <w:rFonts w:hint="eastAsia" w:ascii="宋体" w:hAnsi="宋体" w:eastAsia="宋体" w:cs="宋体"/>
          <w:color w:val="auto"/>
          <w:sz w:val="24"/>
          <w:szCs w:val="24"/>
          <w:highlight w:val="none"/>
        </w:rPr>
      </w:pPr>
    </w:p>
    <w:p w14:paraId="149014C2">
      <w:pPr>
        <w:spacing w:line="360" w:lineRule="auto"/>
        <w:rPr>
          <w:rFonts w:hint="eastAsia" w:ascii="宋体" w:hAnsi="宋体" w:eastAsia="宋体" w:cs="宋体"/>
          <w:color w:val="auto"/>
          <w:sz w:val="24"/>
          <w:szCs w:val="24"/>
          <w:highlight w:val="none"/>
        </w:rPr>
      </w:pPr>
    </w:p>
    <w:p w14:paraId="39C3955F">
      <w:pPr>
        <w:pStyle w:val="9"/>
        <w:spacing w:line="360" w:lineRule="auto"/>
        <w:rPr>
          <w:rFonts w:hint="eastAsia" w:ascii="宋体" w:hAnsi="宋体" w:eastAsia="宋体" w:cs="宋体"/>
          <w:color w:val="auto"/>
          <w:sz w:val="24"/>
          <w:szCs w:val="24"/>
          <w:highlight w:val="none"/>
        </w:rPr>
      </w:pPr>
    </w:p>
    <w:p w14:paraId="66FE888C">
      <w:pPr>
        <w:pStyle w:val="10"/>
        <w:spacing w:line="360" w:lineRule="auto"/>
        <w:rPr>
          <w:rFonts w:hint="eastAsia" w:ascii="宋体" w:hAnsi="宋体" w:eastAsia="宋体" w:cs="宋体"/>
          <w:color w:val="auto"/>
          <w:sz w:val="24"/>
          <w:szCs w:val="24"/>
          <w:highlight w:val="none"/>
        </w:rPr>
      </w:pPr>
    </w:p>
    <w:p w14:paraId="67B00BA2">
      <w:pPr>
        <w:spacing w:line="360" w:lineRule="auto"/>
        <w:rPr>
          <w:rFonts w:hint="eastAsia" w:ascii="宋体" w:hAnsi="宋体" w:eastAsia="宋体" w:cs="宋体"/>
          <w:color w:val="auto"/>
          <w:highlight w:val="none"/>
        </w:rPr>
      </w:pPr>
    </w:p>
    <w:p w14:paraId="7FC9BF76">
      <w:pPr>
        <w:spacing w:line="360" w:lineRule="auto"/>
        <w:rPr>
          <w:rFonts w:hint="eastAsia" w:ascii="宋体" w:hAnsi="宋体" w:eastAsia="宋体" w:cs="宋体"/>
          <w:color w:val="auto"/>
          <w:highlight w:val="none"/>
        </w:rPr>
      </w:pPr>
    </w:p>
    <w:p w14:paraId="4129A018">
      <w:pPr>
        <w:spacing w:line="360" w:lineRule="auto"/>
        <w:rPr>
          <w:rFonts w:hint="eastAsia" w:ascii="宋体" w:hAnsi="宋体" w:eastAsia="宋体" w:cs="宋体"/>
          <w:color w:val="auto"/>
          <w:highlight w:val="none"/>
        </w:rPr>
      </w:pPr>
    </w:p>
    <w:p w14:paraId="71437024">
      <w:pPr>
        <w:spacing w:line="360" w:lineRule="auto"/>
        <w:rPr>
          <w:rFonts w:hint="eastAsia" w:ascii="宋体" w:hAnsi="宋体" w:eastAsia="宋体" w:cs="宋体"/>
          <w:color w:val="auto"/>
          <w:highlight w:val="none"/>
        </w:rPr>
      </w:pPr>
    </w:p>
    <w:p w14:paraId="0102C21D">
      <w:pPr>
        <w:spacing w:line="360" w:lineRule="auto"/>
        <w:rPr>
          <w:rFonts w:hint="eastAsia" w:ascii="宋体" w:hAnsi="宋体" w:eastAsia="宋体" w:cs="宋体"/>
          <w:color w:val="auto"/>
          <w:highlight w:val="none"/>
        </w:rPr>
      </w:pPr>
    </w:p>
    <w:p w14:paraId="73904CBC">
      <w:pPr>
        <w:spacing w:line="360" w:lineRule="auto"/>
        <w:rPr>
          <w:rFonts w:hint="eastAsia" w:ascii="宋体" w:hAnsi="宋体" w:eastAsia="宋体" w:cs="宋体"/>
          <w:color w:val="auto"/>
          <w:highlight w:val="none"/>
        </w:rPr>
      </w:pPr>
    </w:p>
    <w:p w14:paraId="4BAAD180">
      <w:pPr>
        <w:spacing w:line="360" w:lineRule="auto"/>
        <w:rPr>
          <w:rFonts w:hint="eastAsia" w:ascii="宋体" w:hAnsi="宋体" w:eastAsia="宋体" w:cs="宋体"/>
          <w:color w:val="auto"/>
          <w:highlight w:val="none"/>
        </w:rPr>
      </w:pPr>
    </w:p>
    <w:p w14:paraId="2618437F">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r>
        <w:rPr>
          <w:rFonts w:hint="eastAsia" w:ascii="宋体" w:hAnsi="宋体" w:eastAsia="宋体" w:cs="宋体"/>
          <w:color w:val="auto"/>
          <w:sz w:val="24"/>
          <w:szCs w:val="24"/>
          <w:highlight w:val="none"/>
          <w:u w:val="single"/>
        </w:rPr>
        <w:t xml:space="preserve">                               </w:t>
      </w:r>
    </w:p>
    <w:p w14:paraId="4D5D871E">
      <w:pPr>
        <w:pStyle w:val="21"/>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法定代表人（电子签章</w:t>
      </w:r>
      <w:r>
        <w:rPr>
          <w:rFonts w:hint="eastAsia" w:ascii="宋体" w:hAnsi="宋体" w:cs="宋体"/>
          <w:color w:val="auto"/>
          <w:sz w:val="24"/>
          <w:szCs w:val="24"/>
          <w:highlight w:val="none"/>
          <w:lang w:val="en-US" w:eastAsia="zh-CN"/>
        </w:rPr>
        <w:t>或签字</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2821E7C">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3BE3D30">
      <w:pPr>
        <w:spacing w:line="360" w:lineRule="auto"/>
        <w:ind w:right="420" w:firstLine="5464" w:firstLineChars="2277"/>
        <w:rPr>
          <w:rFonts w:hint="eastAsia" w:ascii="宋体" w:hAnsi="宋体" w:eastAsia="宋体" w:cs="宋体"/>
          <w:color w:val="auto"/>
          <w:sz w:val="24"/>
          <w:szCs w:val="24"/>
          <w:highlight w:val="none"/>
        </w:rPr>
      </w:pPr>
    </w:p>
    <w:p w14:paraId="037DE706">
      <w:pPr>
        <w:spacing w:line="360" w:lineRule="auto"/>
        <w:jc w:val="center"/>
        <w:rPr>
          <w:rFonts w:hint="eastAsia" w:ascii="宋体" w:hAnsi="宋体" w:eastAsia="宋体" w:cs="宋体"/>
          <w:color w:val="auto"/>
          <w:sz w:val="24"/>
          <w:szCs w:val="24"/>
          <w:highlight w:val="none"/>
        </w:rPr>
      </w:pPr>
    </w:p>
    <w:p w14:paraId="48B5AC3E">
      <w:pPr>
        <w:pStyle w:val="21"/>
        <w:spacing w:before="120" w:line="360" w:lineRule="auto"/>
        <w:ind w:left="80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p>
    <w:p w14:paraId="0255E8E0">
      <w:pPr>
        <w:pStyle w:val="21"/>
        <w:spacing w:before="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（实质性格式要求）</w:t>
      </w:r>
    </w:p>
    <w:p w14:paraId="646A9D45">
      <w:pPr>
        <w:pStyle w:val="3"/>
        <w:keepNext/>
        <w:keepLines/>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z w:val="28"/>
          <w:szCs w:val="28"/>
          <w:highlight w:val="none"/>
        </w:rPr>
      </w:pPr>
      <w:bookmarkStart w:id="4715" w:name="_Toc7279"/>
      <w:bookmarkStart w:id="4716" w:name="_Toc10886"/>
      <w:bookmarkStart w:id="4717" w:name="_Toc9273"/>
      <w:bookmarkStart w:id="4718" w:name="_Toc3957"/>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四</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中小企业声明函（</w:t>
      </w:r>
      <w:r>
        <w:rPr>
          <w:rFonts w:hint="eastAsia" w:ascii="宋体" w:hAnsi="宋体" w:eastAsia="宋体" w:cs="宋体"/>
          <w:color w:val="auto"/>
          <w:sz w:val="28"/>
          <w:szCs w:val="28"/>
          <w:highlight w:val="none"/>
          <w:lang w:val="en-US" w:eastAsia="zh-CN"/>
        </w:rPr>
        <w:t>工程</w:t>
      </w:r>
      <w:r>
        <w:rPr>
          <w:rFonts w:hint="eastAsia" w:ascii="宋体" w:hAnsi="宋体" w:eastAsia="宋体" w:cs="宋体"/>
          <w:color w:val="auto"/>
          <w:sz w:val="28"/>
          <w:szCs w:val="28"/>
          <w:highlight w:val="none"/>
        </w:rPr>
        <w:t>）</w:t>
      </w:r>
      <w:bookmarkEnd w:id="4715"/>
      <w:bookmarkEnd w:id="4716"/>
      <w:bookmarkEnd w:id="4717"/>
      <w:bookmarkEnd w:id="4718"/>
    </w:p>
    <w:p w14:paraId="0DCBCDB5">
      <w:pPr>
        <w:pStyle w:val="9"/>
        <w:spacing w:line="360" w:lineRule="auto"/>
        <w:ind w:right="212" w:rightChars="0" w:firstLine="492"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本公司</w:t>
      </w:r>
      <w:r>
        <w:rPr>
          <w:rFonts w:hint="eastAsia" w:ascii="宋体" w:hAnsi="宋体" w:eastAsia="宋体" w:cs="宋体"/>
          <w:color w:val="auto"/>
          <w:spacing w:val="12"/>
          <w:sz w:val="24"/>
          <w:szCs w:val="24"/>
          <w:highlight w:val="none"/>
          <w:u w:val="single"/>
          <w:lang w:eastAsia="zh-CN"/>
        </w:rPr>
        <w:t>（企业</w:t>
      </w:r>
      <w:r>
        <w:rPr>
          <w:rFonts w:hint="eastAsia" w:ascii="宋体" w:hAnsi="宋体" w:eastAsia="宋体" w:cs="宋体"/>
          <w:color w:val="auto"/>
          <w:spacing w:val="12"/>
          <w:sz w:val="24"/>
          <w:szCs w:val="24"/>
          <w:highlight w:val="none"/>
          <w:u w:val="single"/>
          <w:lang w:val="en-US" w:eastAsia="zh-CN"/>
        </w:rPr>
        <w:t>名称/</w:t>
      </w:r>
      <w:r>
        <w:rPr>
          <w:rFonts w:hint="default" w:ascii="宋体" w:hAnsi="宋体" w:eastAsia="宋体" w:cs="宋体"/>
          <w:color w:val="auto"/>
          <w:spacing w:val="12"/>
          <w:sz w:val="24"/>
          <w:szCs w:val="24"/>
          <w:highlight w:val="none"/>
          <w:u w:val="single"/>
          <w:lang w:val="en-US" w:eastAsia="zh-CN"/>
        </w:rPr>
        <w:t>联合体</w:t>
      </w:r>
      <w:r>
        <w:rPr>
          <w:rFonts w:hint="eastAsia" w:ascii="宋体" w:hAnsi="宋体" w:eastAsia="宋体" w:cs="宋体"/>
          <w:color w:val="auto"/>
          <w:spacing w:val="-12"/>
          <w:sz w:val="24"/>
          <w:szCs w:val="24"/>
          <w:highlight w:val="none"/>
          <w:u w:val="single"/>
          <w:lang w:eastAsia="zh-CN"/>
        </w:rPr>
        <w:t>）</w:t>
      </w:r>
      <w:r>
        <w:rPr>
          <w:rFonts w:hint="eastAsia" w:ascii="宋体" w:hAnsi="宋体" w:eastAsia="宋体" w:cs="宋体"/>
          <w:color w:val="auto"/>
          <w:spacing w:val="5"/>
          <w:sz w:val="24"/>
          <w:szCs w:val="24"/>
          <w:highlight w:val="none"/>
          <w:lang w:eastAsia="zh-CN"/>
        </w:rPr>
        <w:t>郑重声明，根据《政府采购促进中小企业发展管理办法</w:t>
      </w:r>
      <w:r>
        <w:rPr>
          <w:rFonts w:hint="eastAsia" w:ascii="宋体" w:hAnsi="宋体" w:eastAsia="宋体" w:cs="宋体"/>
          <w:color w:val="auto"/>
          <w:spacing w:val="-139"/>
          <w:sz w:val="24"/>
          <w:szCs w:val="24"/>
          <w:highlight w:val="none"/>
          <w:lang w:eastAsia="zh-CN"/>
        </w:rPr>
        <w:t>》</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z w:val="24"/>
          <w:szCs w:val="24"/>
          <w:highlight w:val="none"/>
          <w:lang w:eastAsia="zh-CN"/>
        </w:rPr>
        <w:t>财</w:t>
      </w:r>
      <w:r>
        <w:rPr>
          <w:rFonts w:hint="eastAsia" w:ascii="宋体" w:hAnsi="宋体" w:eastAsia="宋体" w:cs="宋体"/>
          <w:color w:val="auto"/>
          <w:spacing w:val="12"/>
          <w:sz w:val="24"/>
          <w:szCs w:val="24"/>
          <w:highlight w:val="none"/>
          <w:lang w:eastAsia="zh-CN"/>
        </w:rPr>
        <w:t>库</w:t>
      </w:r>
      <w:r>
        <w:rPr>
          <w:rFonts w:hint="eastAsia" w:ascii="宋体" w:hAnsi="宋体" w:eastAsia="宋体" w:cs="宋体"/>
          <w:color w:val="auto"/>
          <w:spacing w:val="5"/>
          <w:sz w:val="24"/>
          <w:szCs w:val="24"/>
          <w:highlight w:val="none"/>
          <w:lang w:eastAsia="zh-CN"/>
        </w:rPr>
        <w:t>﹝2020﹞46</w:t>
      </w:r>
      <w:r>
        <w:rPr>
          <w:rFonts w:hint="eastAsia" w:ascii="宋体" w:hAnsi="宋体" w:eastAsia="宋体" w:cs="宋体"/>
          <w:color w:val="auto"/>
          <w:spacing w:val="19"/>
          <w:sz w:val="24"/>
          <w:szCs w:val="24"/>
          <w:highlight w:val="none"/>
          <w:lang w:eastAsia="zh-CN"/>
        </w:rPr>
        <w:t xml:space="preserve"> </w:t>
      </w:r>
      <w:r>
        <w:rPr>
          <w:rFonts w:hint="eastAsia" w:ascii="宋体" w:hAnsi="宋体" w:eastAsia="宋体" w:cs="宋体"/>
          <w:color w:val="auto"/>
          <w:spacing w:val="12"/>
          <w:sz w:val="24"/>
          <w:szCs w:val="24"/>
          <w:highlight w:val="none"/>
          <w:lang w:eastAsia="zh-CN"/>
        </w:rPr>
        <w:t>号）的规定，本公司</w:t>
      </w:r>
      <w:r>
        <w:rPr>
          <w:rFonts w:hint="eastAsia" w:ascii="宋体" w:hAnsi="宋体" w:eastAsia="宋体" w:cs="宋体"/>
          <w:color w:val="auto"/>
          <w:spacing w:val="12"/>
          <w:sz w:val="24"/>
          <w:szCs w:val="24"/>
          <w:highlight w:val="none"/>
          <w:u w:val="single"/>
          <w:lang w:eastAsia="zh-CN"/>
        </w:rPr>
        <w:t>（企业</w:t>
      </w:r>
      <w:r>
        <w:rPr>
          <w:rFonts w:hint="eastAsia" w:ascii="宋体" w:hAnsi="宋体" w:eastAsia="宋体" w:cs="宋体"/>
          <w:color w:val="auto"/>
          <w:spacing w:val="12"/>
          <w:sz w:val="24"/>
          <w:szCs w:val="24"/>
          <w:highlight w:val="none"/>
          <w:u w:val="single"/>
          <w:lang w:val="en-US" w:eastAsia="zh-CN"/>
        </w:rPr>
        <w:t>名称/</w:t>
      </w:r>
      <w:r>
        <w:rPr>
          <w:rFonts w:hint="default" w:ascii="宋体" w:hAnsi="宋体" w:eastAsia="宋体" w:cs="宋体"/>
          <w:color w:val="auto"/>
          <w:spacing w:val="12"/>
          <w:sz w:val="24"/>
          <w:szCs w:val="24"/>
          <w:highlight w:val="none"/>
          <w:u w:val="single"/>
          <w:lang w:val="en-US" w:eastAsia="zh-CN"/>
        </w:rPr>
        <w:t>联合体</w:t>
      </w:r>
      <w:r>
        <w:rPr>
          <w:rFonts w:hint="eastAsia" w:ascii="宋体" w:hAnsi="宋体" w:eastAsia="宋体" w:cs="宋体"/>
          <w:color w:val="auto"/>
          <w:spacing w:val="12"/>
          <w:sz w:val="24"/>
          <w:szCs w:val="24"/>
          <w:highlight w:val="none"/>
          <w:u w:val="single"/>
          <w:lang w:eastAsia="zh-CN"/>
        </w:rPr>
        <w:t>）</w:t>
      </w:r>
      <w:r>
        <w:rPr>
          <w:rFonts w:hint="eastAsia" w:ascii="宋体" w:hAnsi="宋体" w:eastAsia="宋体" w:cs="宋体"/>
          <w:color w:val="auto"/>
          <w:spacing w:val="12"/>
          <w:sz w:val="24"/>
          <w:szCs w:val="24"/>
          <w:highlight w:val="none"/>
          <w:lang w:eastAsia="zh-CN"/>
        </w:rPr>
        <w:t>参加（单位名称）的</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2"/>
          <w:sz w:val="24"/>
          <w:szCs w:val="24"/>
          <w:highlight w:val="none"/>
          <w:u w:val="single"/>
          <w:lang w:eastAsia="zh-CN"/>
        </w:rPr>
        <w:t>项目名称</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12"/>
          <w:sz w:val="24"/>
          <w:szCs w:val="24"/>
          <w:highlight w:val="none"/>
          <w:lang w:eastAsia="zh-CN"/>
        </w:rPr>
        <w:t>采购活动，工程的施工单位全部为符合政策要求的中小企业（</w:t>
      </w:r>
      <w:r>
        <w:rPr>
          <w:rFonts w:hint="eastAsia" w:ascii="宋体" w:hAnsi="宋体" w:eastAsia="宋体" w:cs="宋体"/>
          <w:color w:val="auto"/>
          <w:spacing w:val="10"/>
          <w:sz w:val="24"/>
          <w:szCs w:val="24"/>
          <w:highlight w:val="none"/>
          <w:lang w:eastAsia="zh-CN"/>
        </w:rPr>
        <w:t>或者：服务全部由符</w:t>
      </w:r>
      <w:r>
        <w:rPr>
          <w:rFonts w:hint="eastAsia" w:ascii="宋体" w:hAnsi="宋体" w:eastAsia="宋体" w:cs="宋体"/>
          <w:color w:val="auto"/>
          <w:spacing w:val="12"/>
          <w:sz w:val="24"/>
          <w:szCs w:val="24"/>
          <w:highlight w:val="none"/>
          <w:lang w:eastAsia="zh-CN"/>
        </w:rPr>
        <w:t>合政策要求的中小企业承接</w:t>
      </w:r>
      <w:r>
        <w:rPr>
          <w:rFonts w:hint="eastAsia" w:ascii="宋体" w:hAnsi="宋体" w:eastAsia="宋体" w:cs="宋体"/>
          <w:color w:val="auto"/>
          <w:spacing w:val="-115"/>
          <w:sz w:val="24"/>
          <w:szCs w:val="24"/>
          <w:highlight w:val="none"/>
          <w:lang w:eastAsia="zh-CN"/>
        </w:rPr>
        <w:t>）</w:t>
      </w:r>
      <w:r>
        <w:rPr>
          <w:rFonts w:hint="eastAsia" w:ascii="宋体" w:hAnsi="宋体" w:eastAsia="宋体" w:cs="宋体"/>
          <w:color w:val="auto"/>
          <w:spacing w:val="-6"/>
          <w:sz w:val="24"/>
          <w:szCs w:val="24"/>
          <w:highlight w:val="none"/>
          <w:lang w:eastAsia="zh-CN"/>
        </w:rPr>
        <w:t>。相关企业</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7"/>
          <w:sz w:val="24"/>
          <w:szCs w:val="24"/>
          <w:highlight w:val="none"/>
          <w:lang w:eastAsia="zh-CN"/>
        </w:rPr>
        <w:t>含联合体中的中小企业、签订分包意向协</w:t>
      </w:r>
      <w:r>
        <w:rPr>
          <w:rFonts w:hint="eastAsia" w:ascii="宋体" w:hAnsi="宋体" w:eastAsia="宋体" w:cs="宋体"/>
          <w:color w:val="auto"/>
          <w:spacing w:val="12"/>
          <w:w w:val="110"/>
          <w:sz w:val="24"/>
          <w:szCs w:val="24"/>
          <w:highlight w:val="none"/>
          <w:lang w:eastAsia="zh-CN"/>
        </w:rPr>
        <w:t>议的中小企业）</w:t>
      </w:r>
      <w:r>
        <w:rPr>
          <w:rFonts w:hint="eastAsia" w:ascii="宋体" w:hAnsi="宋体" w:eastAsia="宋体" w:cs="宋体"/>
          <w:color w:val="auto"/>
          <w:spacing w:val="10"/>
          <w:w w:val="110"/>
          <w:sz w:val="24"/>
          <w:szCs w:val="24"/>
          <w:highlight w:val="none"/>
          <w:lang w:eastAsia="zh-CN"/>
        </w:rPr>
        <w:t>的具体情况如下：</w:t>
      </w:r>
    </w:p>
    <w:p w14:paraId="7293A913">
      <w:pPr>
        <w:pStyle w:val="42"/>
        <w:numPr>
          <w:ilvl w:val="0"/>
          <w:numId w:val="0"/>
        </w:numPr>
        <w:tabs>
          <w:tab w:val="left" w:pos="1285"/>
          <w:tab w:val="left" w:pos="4528"/>
          <w:tab w:val="left" w:pos="6945"/>
          <w:tab w:val="left" w:pos="9666"/>
        </w:tabs>
        <w:spacing w:line="360" w:lineRule="auto"/>
        <w:ind w:right="518" w:rightChars="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rPr>
        <mc:AlternateContent>
          <mc:Choice Requires="wps">
            <w:drawing>
              <wp:anchor distT="0" distB="0" distL="114300" distR="114300" simplePos="0" relativeHeight="251663360" behindDoc="1" locked="0" layoutInCell="1" allowOverlap="1">
                <wp:simplePos x="0" y="0"/>
                <wp:positionH relativeFrom="page">
                  <wp:posOffset>1560195</wp:posOffset>
                </wp:positionH>
                <wp:positionV relativeFrom="paragraph">
                  <wp:posOffset>466090</wp:posOffset>
                </wp:positionV>
                <wp:extent cx="836930"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22.85pt;margin-top:36.7pt;height:0pt;width:65.9pt;mso-position-horizontal-relative:page;z-index:-251653120;mso-width-relative:page;mso-height-relative:page;" filled="f" stroked="t" coordsize="21600,21600" o:gfxdata="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LyDd3YAAAACQEAAA8AAAAAAAAAAQAgAAAAIgAAAGRycy9kb3ducmV2LnhtbFBLAQIU&#10;ABQAAAAIAIdO4kCNAwk98wEAAOMDAAAOAAAAAAAAAAEAIAAAACcBAABkcnMvZTJvRG9jLnhtbFBL&#10;BQYAAAAABgAGAFkBAACMBQAAAAA=&#10;">
                <v:fill on="f" focussize="0,0"/>
                <v:stroke weight="0.6pt" color="#000000" joinstyle="round"/>
                <v:imagedata o:title=""/>
                <o:lock v:ext="edit" aspectratio="f"/>
              </v:line>
            </w:pict>
          </mc:Fallback>
        </mc:AlternateContent>
      </w:r>
      <w:r>
        <w:rPr>
          <w:rFonts w:hint="eastAsia" w:cs="宋体"/>
          <w:color w:val="auto"/>
          <w:sz w:val="24"/>
          <w:szCs w:val="24"/>
          <w:highlight w:val="none"/>
          <w:u w:val="none"/>
          <w:lang w:val="en-US" w:eastAsia="zh-CN"/>
        </w:rPr>
        <w:t xml:space="preserve">1.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pacing w:val="12"/>
          <w:sz w:val="24"/>
          <w:szCs w:val="24"/>
          <w:highlight w:val="none"/>
          <w:u w:val="single"/>
          <w:lang w:eastAsia="zh-CN"/>
        </w:rPr>
        <w:t xml:space="preserve"> （标的名称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12"/>
          <w:sz w:val="24"/>
          <w:szCs w:val="24"/>
          <w:highlight w:val="none"/>
          <w:lang w:eastAsia="zh-CN"/>
        </w:rPr>
        <w:t>，属于</w:t>
      </w:r>
      <w:r>
        <w:rPr>
          <w:rFonts w:hint="eastAsia" w:ascii="宋体" w:hAnsi="宋体" w:eastAsia="宋体" w:cs="宋体"/>
          <w:color w:val="auto"/>
          <w:spacing w:val="12"/>
          <w:sz w:val="24"/>
          <w:szCs w:val="24"/>
          <w:highlight w:val="none"/>
          <w:u w:val="single"/>
          <w:lang w:eastAsia="zh-CN"/>
        </w:rPr>
        <w:t>（采购文件中明确的所属行业</w:t>
      </w:r>
      <w:r>
        <w:rPr>
          <w:rFonts w:hint="eastAsia" w:ascii="宋体" w:hAnsi="宋体" w:eastAsia="宋体" w:cs="宋体"/>
          <w:color w:val="auto"/>
          <w:spacing w:val="9"/>
          <w:sz w:val="24"/>
          <w:szCs w:val="24"/>
          <w:highlight w:val="none"/>
          <w:u w:val="single"/>
          <w:lang w:eastAsia="zh-CN"/>
        </w:rPr>
        <w:t>）</w:t>
      </w:r>
      <w:r>
        <w:rPr>
          <w:rFonts w:hint="eastAsia" w:ascii="宋体" w:hAnsi="宋体" w:eastAsia="宋体" w:cs="宋体"/>
          <w:color w:val="auto"/>
          <w:spacing w:val="12"/>
          <w:sz w:val="24"/>
          <w:szCs w:val="24"/>
          <w:highlight w:val="none"/>
          <w:lang w:eastAsia="zh-CN"/>
        </w:rPr>
        <w:t>行业；承建（承接）企业</w:t>
      </w:r>
      <w:r>
        <w:rPr>
          <w:rFonts w:hint="eastAsia" w:ascii="宋体" w:hAnsi="宋体" w:eastAsia="宋体" w:cs="宋体"/>
          <w:color w:val="auto"/>
          <w:spacing w:val="-55"/>
          <w:sz w:val="24"/>
          <w:szCs w:val="24"/>
          <w:highlight w:val="none"/>
          <w:lang w:eastAsia="zh-CN"/>
        </w:rPr>
        <w:t>为</w:t>
      </w:r>
      <w:r>
        <w:rPr>
          <w:rFonts w:hint="eastAsia" w:ascii="宋体" w:hAnsi="宋体" w:eastAsia="宋体" w:cs="宋体"/>
          <w:color w:val="auto"/>
          <w:spacing w:val="9"/>
          <w:sz w:val="24"/>
          <w:szCs w:val="24"/>
          <w:highlight w:val="none"/>
          <w:u w:val="none"/>
          <w:lang w:eastAsia="zh-CN"/>
        </w:rPr>
        <w:t>（</w:t>
      </w:r>
      <w:r>
        <w:rPr>
          <w:rFonts w:hint="eastAsia" w:ascii="宋体" w:hAnsi="宋体" w:eastAsia="宋体" w:cs="宋体"/>
          <w:color w:val="auto"/>
          <w:spacing w:val="12"/>
          <w:sz w:val="24"/>
          <w:szCs w:val="24"/>
          <w:highlight w:val="none"/>
          <w:u w:val="none"/>
          <w:lang w:eastAsia="zh-CN"/>
        </w:rPr>
        <w:t>企业名</w:t>
      </w:r>
      <w:r>
        <w:rPr>
          <w:rFonts w:hint="eastAsia" w:ascii="宋体" w:hAnsi="宋体" w:eastAsia="宋体" w:cs="宋体"/>
          <w:color w:val="auto"/>
          <w:spacing w:val="14"/>
          <w:sz w:val="24"/>
          <w:szCs w:val="24"/>
          <w:highlight w:val="none"/>
          <w:u w:val="none"/>
          <w:lang w:eastAsia="zh-CN"/>
        </w:rPr>
        <w:t>称</w:t>
      </w:r>
      <w:r>
        <w:rPr>
          <w:rFonts w:hint="eastAsia" w:ascii="宋体" w:hAnsi="宋体" w:eastAsia="宋体" w:cs="宋体"/>
          <w:color w:val="auto"/>
          <w:spacing w:val="14"/>
          <w:sz w:val="24"/>
          <w:szCs w:val="24"/>
          <w:highlight w:val="none"/>
          <w:u w:val="single"/>
          <w:lang w:val="en-US" w:eastAsia="zh-CN"/>
        </w:rPr>
        <w:t xml:space="preserve">    </w:t>
      </w:r>
      <w:r>
        <w:rPr>
          <w:rFonts w:hint="eastAsia" w:ascii="宋体" w:hAnsi="宋体" w:eastAsia="宋体" w:cs="宋体"/>
          <w:color w:val="auto"/>
          <w:spacing w:val="-86"/>
          <w:sz w:val="24"/>
          <w:szCs w:val="24"/>
          <w:highlight w:val="none"/>
          <w:lang w:eastAsia="zh-CN"/>
        </w:rPr>
        <w:t>），</w:t>
      </w:r>
      <w:r>
        <w:rPr>
          <w:rFonts w:hint="eastAsia" w:ascii="宋体" w:hAnsi="宋体" w:eastAsia="宋体" w:cs="宋体"/>
          <w:color w:val="auto"/>
          <w:spacing w:val="12"/>
          <w:sz w:val="24"/>
          <w:szCs w:val="24"/>
          <w:highlight w:val="none"/>
          <w:lang w:eastAsia="zh-CN"/>
        </w:rPr>
        <w:t>从业人</w:t>
      </w:r>
      <w:r>
        <w:rPr>
          <w:rFonts w:hint="eastAsia" w:ascii="宋体" w:hAnsi="宋体" w:eastAsia="宋体" w:cs="宋体"/>
          <w:color w:val="auto"/>
          <w:spacing w:val="11"/>
          <w:sz w:val="24"/>
          <w:szCs w:val="24"/>
          <w:highlight w:val="none"/>
          <w:lang w:eastAsia="zh-CN"/>
        </w:rPr>
        <w:t>员</w:t>
      </w:r>
      <w:r>
        <w:rPr>
          <w:rFonts w:hint="eastAsia" w:ascii="宋体" w:hAnsi="宋体" w:eastAsia="宋体" w:cs="宋体"/>
          <w:color w:val="auto"/>
          <w:spacing w:val="11"/>
          <w:sz w:val="24"/>
          <w:szCs w:val="24"/>
          <w:highlight w:val="none"/>
          <w:u w:val="single"/>
          <w:lang w:eastAsia="zh-CN"/>
        </w:rPr>
        <w:t xml:space="preserve"> </w:t>
      </w:r>
      <w:r>
        <w:rPr>
          <w:rFonts w:hint="eastAsia" w:ascii="宋体" w:hAnsi="宋体" w:eastAsia="宋体" w:cs="宋体"/>
          <w:color w:val="auto"/>
          <w:spacing w:val="11"/>
          <w:sz w:val="24"/>
          <w:szCs w:val="24"/>
          <w:highlight w:val="none"/>
          <w:u w:val="single"/>
          <w:lang w:eastAsia="zh-CN"/>
        </w:rPr>
        <w:tab/>
      </w:r>
      <w:r>
        <w:rPr>
          <w:rFonts w:hint="eastAsia" w:ascii="宋体" w:hAnsi="宋体" w:eastAsia="宋体" w:cs="宋体"/>
          <w:color w:val="auto"/>
          <w:spacing w:val="12"/>
          <w:sz w:val="24"/>
          <w:szCs w:val="24"/>
          <w:highlight w:val="none"/>
          <w:lang w:eastAsia="zh-CN"/>
        </w:rPr>
        <w:t>人</w:t>
      </w:r>
      <w:r>
        <w:rPr>
          <w:rFonts w:hint="eastAsia" w:ascii="宋体" w:hAnsi="宋体" w:eastAsia="宋体" w:cs="宋体"/>
          <w:color w:val="auto"/>
          <w:spacing w:val="-56"/>
          <w:sz w:val="24"/>
          <w:szCs w:val="24"/>
          <w:highlight w:val="none"/>
          <w:lang w:eastAsia="zh-CN"/>
        </w:rPr>
        <w:t>，</w:t>
      </w:r>
      <w:r>
        <w:rPr>
          <w:rFonts w:hint="eastAsia" w:ascii="宋体" w:hAnsi="宋体" w:eastAsia="宋体" w:cs="宋体"/>
          <w:color w:val="auto"/>
          <w:spacing w:val="12"/>
          <w:sz w:val="24"/>
          <w:szCs w:val="24"/>
          <w:highlight w:val="none"/>
          <w:lang w:eastAsia="zh-CN"/>
        </w:rPr>
        <w:t>营业收入</w:t>
      </w:r>
      <w:r>
        <w:rPr>
          <w:rFonts w:hint="eastAsia" w:ascii="宋体" w:hAnsi="宋体" w:eastAsia="宋体" w:cs="宋体"/>
          <w:color w:val="auto"/>
          <w:spacing w:val="11"/>
          <w:sz w:val="24"/>
          <w:szCs w:val="24"/>
          <w:highlight w:val="none"/>
          <w:lang w:eastAsia="zh-CN"/>
        </w:rPr>
        <w:t>为</w:t>
      </w:r>
      <w:r>
        <w:rPr>
          <w:rFonts w:hint="eastAsia" w:ascii="宋体" w:hAnsi="宋体" w:eastAsia="宋体" w:cs="宋体"/>
          <w:color w:val="auto"/>
          <w:spacing w:val="11"/>
          <w:sz w:val="24"/>
          <w:szCs w:val="24"/>
          <w:highlight w:val="none"/>
          <w:u w:val="single"/>
          <w:lang w:eastAsia="zh-CN"/>
        </w:rPr>
        <w:t xml:space="preserve"> </w:t>
      </w:r>
      <w:r>
        <w:rPr>
          <w:rFonts w:hint="eastAsia" w:ascii="宋体" w:hAnsi="宋体" w:eastAsia="宋体" w:cs="宋体"/>
          <w:color w:val="auto"/>
          <w:spacing w:val="11"/>
          <w:sz w:val="24"/>
          <w:szCs w:val="24"/>
          <w:highlight w:val="none"/>
          <w:u w:val="single"/>
          <w:lang w:eastAsia="zh-CN"/>
        </w:rPr>
        <w:tab/>
      </w:r>
      <w:r>
        <w:rPr>
          <w:rFonts w:hint="eastAsia" w:ascii="宋体" w:hAnsi="宋体" w:eastAsia="宋体" w:cs="宋体"/>
          <w:color w:val="auto"/>
          <w:spacing w:val="12"/>
          <w:sz w:val="24"/>
          <w:szCs w:val="24"/>
          <w:highlight w:val="none"/>
          <w:lang w:eastAsia="zh-CN"/>
        </w:rPr>
        <w:t>万元</w:t>
      </w:r>
      <w:r>
        <w:rPr>
          <w:rFonts w:hint="eastAsia" w:ascii="宋体" w:hAnsi="宋体" w:eastAsia="宋体" w:cs="宋体"/>
          <w:color w:val="auto"/>
          <w:spacing w:val="-55"/>
          <w:sz w:val="24"/>
          <w:szCs w:val="24"/>
          <w:highlight w:val="none"/>
          <w:lang w:eastAsia="zh-CN"/>
        </w:rPr>
        <w:t>，</w:t>
      </w:r>
      <w:r>
        <w:rPr>
          <w:rFonts w:hint="eastAsia" w:ascii="宋体" w:hAnsi="宋体" w:eastAsia="宋体" w:cs="宋体"/>
          <w:color w:val="auto"/>
          <w:spacing w:val="12"/>
          <w:sz w:val="24"/>
          <w:szCs w:val="24"/>
          <w:highlight w:val="none"/>
          <w:lang w:eastAsia="zh-CN"/>
        </w:rPr>
        <w:t>资产总额</w:t>
      </w:r>
      <w:r>
        <w:rPr>
          <w:rFonts w:hint="eastAsia" w:ascii="宋体" w:hAnsi="宋体" w:eastAsia="宋体" w:cs="宋体"/>
          <w:color w:val="auto"/>
          <w:spacing w:val="11"/>
          <w:sz w:val="24"/>
          <w:szCs w:val="24"/>
          <w:highlight w:val="none"/>
          <w:lang w:eastAsia="zh-CN"/>
        </w:rPr>
        <w:t>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12"/>
          <w:sz w:val="24"/>
          <w:szCs w:val="24"/>
          <w:highlight w:val="none"/>
          <w:lang w:eastAsia="zh-CN"/>
        </w:rPr>
        <w:t>万</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pacing w:val="-46"/>
          <w:sz w:val="24"/>
          <w:szCs w:val="24"/>
          <w:highlight w:val="none"/>
          <w:lang w:eastAsia="zh-CN"/>
        </w:rPr>
        <w:t xml:space="preserve"> </w:t>
      </w:r>
      <w:r>
        <w:rPr>
          <w:rFonts w:hint="eastAsia" w:ascii="宋体" w:hAnsi="宋体" w:eastAsia="宋体" w:cs="宋体"/>
          <w:color w:val="auto"/>
          <w:spacing w:val="5"/>
          <w:w w:val="137"/>
          <w:position w:val="7"/>
          <w:sz w:val="24"/>
          <w:szCs w:val="24"/>
          <w:highlight w:val="none"/>
          <w:lang w:eastAsia="zh-CN"/>
        </w:rPr>
        <w:t>1</w:t>
      </w:r>
      <w:r>
        <w:rPr>
          <w:rFonts w:hint="eastAsia" w:ascii="宋体" w:hAnsi="宋体" w:eastAsia="宋体" w:cs="宋体"/>
          <w:color w:val="auto"/>
          <w:spacing w:val="12"/>
          <w:sz w:val="24"/>
          <w:szCs w:val="24"/>
          <w:highlight w:val="none"/>
          <w:lang w:eastAsia="zh-CN"/>
        </w:rPr>
        <w:t>，属于（中型企业、小型企业、微型企业</w:t>
      </w:r>
      <w:r>
        <w:rPr>
          <w:rFonts w:hint="eastAsia" w:ascii="宋体" w:hAnsi="宋体" w:eastAsia="宋体" w:cs="宋体"/>
          <w:color w:val="auto"/>
          <w:spacing w:val="-115"/>
          <w:sz w:val="24"/>
          <w:szCs w:val="24"/>
          <w:highlight w:val="none"/>
          <w:lang w:eastAsia="zh-CN"/>
        </w:rPr>
        <w:t>）</w:t>
      </w:r>
    </w:p>
    <w:p w14:paraId="3CDA5CF4">
      <w:pPr>
        <w:pStyle w:val="42"/>
        <w:numPr>
          <w:ilvl w:val="0"/>
          <w:numId w:val="0"/>
        </w:numPr>
        <w:tabs>
          <w:tab w:val="left" w:pos="1418"/>
          <w:tab w:val="left" w:pos="4528"/>
          <w:tab w:val="left" w:pos="6945"/>
          <w:tab w:val="left" w:pos="9666"/>
        </w:tabs>
        <w:spacing w:line="360" w:lineRule="auto"/>
        <w:ind w:right="518" w:rightChars="0" w:firstLine="480" w:firstLineChars="200"/>
        <w:jc w:val="both"/>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u w:val="none"/>
          <w:lang w:val="en-US"/>
        </w:rPr>
        <mc:AlternateContent>
          <mc:Choice Requires="wps">
            <w:drawing>
              <wp:anchor distT="0" distB="0" distL="114300" distR="114300" simplePos="0" relativeHeight="251664384" behindDoc="1" locked="0" layoutInCell="1" allowOverlap="1">
                <wp:simplePos x="0" y="0"/>
                <wp:positionH relativeFrom="page">
                  <wp:posOffset>1560195</wp:posOffset>
                </wp:positionH>
                <wp:positionV relativeFrom="paragraph">
                  <wp:posOffset>464820</wp:posOffset>
                </wp:positionV>
                <wp:extent cx="836930" cy="0"/>
                <wp:effectExtent l="0" t="4445" r="0" b="5080"/>
                <wp:wrapNone/>
                <wp:docPr id="6" name="直接连接符 6"/>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22.85pt;margin-top:36.6pt;height:0pt;width:65.9pt;mso-position-horizontal-relative:page;z-index:-251652096;mso-width-relative:page;mso-height-relative:page;" filled="f" stroked="t" coordsize="21600,21600" o:gfxdata="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Q4RidcAAAAJAQAADwAAAAAAAAABACAAAAAiAAAAZHJzL2Rvd25yZXYueG1sUEsBAhQA&#10;FAAAAAgAh07iQA8bKg/zAQAA4wMAAA4AAAAAAAAAAQAgAAAAJgEAAGRycy9lMm9Eb2MueG1sUEsF&#10;BgAAAAAGAAYAWQEAAIsFAAAAAA==&#10;">
                <v:fill on="f" focussize="0,0"/>
                <v:stroke weight="0.6pt" color="#000000" joinstyle="round"/>
                <v:imagedata o:title=""/>
                <o:lock v:ext="edit" aspectratio="f"/>
              </v:line>
            </w:pict>
          </mc:Fallback>
        </mc:AlternateContent>
      </w:r>
      <w:r>
        <w:rPr>
          <w:rFonts w:hint="eastAsia" w:cs="宋体"/>
          <w:color w:val="auto"/>
          <w:spacing w:val="12"/>
          <w:sz w:val="24"/>
          <w:szCs w:val="24"/>
          <w:highlight w:val="none"/>
          <w:u w:val="none"/>
          <w:lang w:val="en-US" w:eastAsia="zh-CN"/>
        </w:rPr>
        <w:t>2.</w:t>
      </w:r>
      <w:r>
        <w:rPr>
          <w:rFonts w:hint="default" w:cs="宋体"/>
          <w:color w:val="auto"/>
          <w:spacing w:val="12"/>
          <w:sz w:val="24"/>
          <w:szCs w:val="24"/>
          <w:highlight w:val="none"/>
          <w:u w:val="none"/>
          <w:lang w:val="en-US" w:eastAsia="zh-CN"/>
        </w:rPr>
        <w:t xml:space="preserve"> </w:t>
      </w:r>
      <w:r>
        <w:rPr>
          <w:rFonts w:hint="eastAsia" w:ascii="宋体" w:hAnsi="宋体" w:eastAsia="宋体" w:cs="宋体"/>
          <w:color w:val="auto"/>
          <w:spacing w:val="12"/>
          <w:sz w:val="24"/>
          <w:szCs w:val="24"/>
          <w:highlight w:val="none"/>
          <w:u w:val="single"/>
          <w:lang w:eastAsia="zh-CN"/>
        </w:rPr>
        <w:t>（标的名称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12"/>
          <w:sz w:val="24"/>
          <w:szCs w:val="24"/>
          <w:highlight w:val="none"/>
          <w:lang w:eastAsia="zh-CN"/>
        </w:rPr>
        <w:t>，属于</w:t>
      </w:r>
      <w:r>
        <w:rPr>
          <w:rFonts w:hint="eastAsia" w:ascii="宋体" w:hAnsi="宋体" w:eastAsia="宋体" w:cs="宋体"/>
          <w:color w:val="auto"/>
          <w:spacing w:val="12"/>
          <w:sz w:val="24"/>
          <w:szCs w:val="24"/>
          <w:highlight w:val="none"/>
          <w:u w:val="single"/>
          <w:lang w:eastAsia="zh-CN"/>
        </w:rPr>
        <w:t>（采购文件中明确的所属行业</w:t>
      </w:r>
      <w:r>
        <w:rPr>
          <w:rFonts w:hint="eastAsia" w:ascii="宋体" w:hAnsi="宋体" w:eastAsia="宋体" w:cs="宋体"/>
          <w:color w:val="auto"/>
          <w:spacing w:val="9"/>
          <w:sz w:val="24"/>
          <w:szCs w:val="24"/>
          <w:highlight w:val="none"/>
          <w:u w:val="single"/>
          <w:lang w:eastAsia="zh-CN"/>
        </w:rPr>
        <w:t>）</w:t>
      </w:r>
      <w:r>
        <w:rPr>
          <w:rFonts w:hint="eastAsia" w:ascii="宋体" w:hAnsi="宋体" w:eastAsia="宋体" w:cs="宋体"/>
          <w:color w:val="auto"/>
          <w:spacing w:val="12"/>
          <w:sz w:val="24"/>
          <w:szCs w:val="24"/>
          <w:highlight w:val="none"/>
          <w:lang w:eastAsia="zh-CN"/>
        </w:rPr>
        <w:t>行业；承建（承接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12"/>
          <w:sz w:val="24"/>
          <w:szCs w:val="24"/>
          <w:highlight w:val="none"/>
          <w:lang w:eastAsia="zh-CN"/>
        </w:rPr>
        <w:t>企业</w:t>
      </w:r>
      <w:r>
        <w:rPr>
          <w:rFonts w:hint="eastAsia" w:ascii="宋体" w:hAnsi="宋体" w:eastAsia="宋体" w:cs="宋体"/>
          <w:color w:val="auto"/>
          <w:spacing w:val="-55"/>
          <w:sz w:val="24"/>
          <w:szCs w:val="24"/>
          <w:highlight w:val="none"/>
          <w:u w:val="none"/>
          <w:lang w:eastAsia="zh-CN"/>
        </w:rPr>
        <w:t>为</w:t>
      </w:r>
      <w:r>
        <w:rPr>
          <w:rFonts w:hint="eastAsia" w:ascii="宋体" w:hAnsi="宋体" w:eastAsia="宋体" w:cs="宋体"/>
          <w:color w:val="auto"/>
          <w:spacing w:val="9"/>
          <w:sz w:val="24"/>
          <w:szCs w:val="24"/>
          <w:highlight w:val="none"/>
          <w:u w:val="none"/>
          <w:lang w:eastAsia="zh-CN"/>
        </w:rPr>
        <w:t>（</w:t>
      </w:r>
      <w:r>
        <w:rPr>
          <w:rFonts w:hint="eastAsia" w:ascii="宋体" w:hAnsi="宋体" w:eastAsia="宋体" w:cs="宋体"/>
          <w:color w:val="auto"/>
          <w:spacing w:val="9"/>
          <w:sz w:val="24"/>
          <w:szCs w:val="24"/>
          <w:highlight w:val="none"/>
          <w:u w:val="none"/>
          <w:lang w:val="en-US" w:eastAsia="zh-CN"/>
        </w:rPr>
        <w:t xml:space="preserve">  </w:t>
      </w:r>
      <w:r>
        <w:rPr>
          <w:rFonts w:hint="eastAsia" w:ascii="宋体" w:hAnsi="宋体" w:eastAsia="宋体" w:cs="宋体"/>
          <w:color w:val="auto"/>
          <w:spacing w:val="12"/>
          <w:sz w:val="24"/>
          <w:szCs w:val="24"/>
          <w:highlight w:val="none"/>
          <w:u w:val="none"/>
          <w:lang w:eastAsia="zh-CN"/>
        </w:rPr>
        <w:t>企业名</w:t>
      </w:r>
      <w:r>
        <w:rPr>
          <w:rFonts w:hint="eastAsia" w:ascii="宋体" w:hAnsi="宋体" w:eastAsia="宋体" w:cs="宋体"/>
          <w:color w:val="auto"/>
          <w:spacing w:val="14"/>
          <w:sz w:val="24"/>
          <w:szCs w:val="24"/>
          <w:highlight w:val="none"/>
          <w:u w:val="none"/>
          <w:lang w:eastAsia="zh-CN"/>
        </w:rPr>
        <w:t>称</w:t>
      </w:r>
      <w:r>
        <w:rPr>
          <w:rFonts w:hint="eastAsia" w:ascii="宋体" w:hAnsi="宋体" w:eastAsia="宋体" w:cs="宋体"/>
          <w:color w:val="auto"/>
          <w:spacing w:val="14"/>
          <w:sz w:val="24"/>
          <w:szCs w:val="24"/>
          <w:highlight w:val="none"/>
          <w:u w:val="single"/>
          <w:lang w:val="en-US" w:eastAsia="zh-CN"/>
        </w:rPr>
        <w:t xml:space="preserve">  </w:t>
      </w:r>
      <w:r>
        <w:rPr>
          <w:rFonts w:hint="eastAsia" w:ascii="宋体" w:hAnsi="宋体" w:eastAsia="宋体" w:cs="宋体"/>
          <w:color w:val="auto"/>
          <w:spacing w:val="-86"/>
          <w:sz w:val="24"/>
          <w:szCs w:val="24"/>
          <w:highlight w:val="none"/>
          <w:lang w:eastAsia="zh-CN"/>
        </w:rPr>
        <w:t>）</w:t>
      </w:r>
      <w:r>
        <w:rPr>
          <w:rFonts w:hint="eastAsia" w:ascii="宋体" w:hAnsi="宋体" w:eastAsia="宋体" w:cs="宋体"/>
          <w:color w:val="auto"/>
          <w:spacing w:val="-86"/>
          <w:sz w:val="24"/>
          <w:szCs w:val="24"/>
          <w:highlight w:val="none"/>
          <w:lang w:val="en-US" w:eastAsia="zh-CN"/>
        </w:rPr>
        <w:t xml:space="preserve">     </w:t>
      </w:r>
      <w:r>
        <w:rPr>
          <w:rFonts w:hint="eastAsia" w:ascii="宋体" w:hAnsi="宋体" w:eastAsia="宋体" w:cs="宋体"/>
          <w:color w:val="auto"/>
          <w:spacing w:val="-86"/>
          <w:sz w:val="24"/>
          <w:szCs w:val="24"/>
          <w:highlight w:val="none"/>
          <w:lang w:eastAsia="zh-CN"/>
        </w:rPr>
        <w:t>，</w:t>
      </w:r>
      <w:r>
        <w:rPr>
          <w:rFonts w:hint="eastAsia" w:ascii="宋体" w:hAnsi="宋体" w:eastAsia="宋体" w:cs="宋体"/>
          <w:color w:val="auto"/>
          <w:spacing w:val="12"/>
          <w:sz w:val="24"/>
          <w:szCs w:val="24"/>
          <w:highlight w:val="none"/>
          <w:lang w:eastAsia="zh-CN"/>
        </w:rPr>
        <w:t>从业人</w:t>
      </w:r>
      <w:r>
        <w:rPr>
          <w:rFonts w:hint="eastAsia" w:ascii="宋体" w:hAnsi="宋体" w:eastAsia="宋体" w:cs="宋体"/>
          <w:color w:val="auto"/>
          <w:spacing w:val="11"/>
          <w:sz w:val="24"/>
          <w:szCs w:val="24"/>
          <w:highlight w:val="none"/>
          <w:lang w:eastAsia="zh-CN"/>
        </w:rPr>
        <w:t>员</w:t>
      </w:r>
      <w:r>
        <w:rPr>
          <w:rFonts w:hint="eastAsia" w:ascii="宋体" w:hAnsi="宋体" w:eastAsia="宋体" w:cs="宋体"/>
          <w:color w:val="auto"/>
          <w:spacing w:val="11"/>
          <w:sz w:val="24"/>
          <w:szCs w:val="24"/>
          <w:highlight w:val="none"/>
          <w:u w:val="single"/>
          <w:lang w:eastAsia="zh-CN"/>
        </w:rPr>
        <w:t xml:space="preserve"> </w:t>
      </w:r>
      <w:r>
        <w:rPr>
          <w:rFonts w:hint="eastAsia" w:ascii="宋体" w:hAnsi="宋体" w:eastAsia="宋体" w:cs="宋体"/>
          <w:color w:val="auto"/>
          <w:spacing w:val="11"/>
          <w:sz w:val="24"/>
          <w:szCs w:val="24"/>
          <w:highlight w:val="none"/>
          <w:u w:val="single"/>
          <w:lang w:val="en-US" w:eastAsia="zh-CN"/>
        </w:rPr>
        <w:t xml:space="preserve"> </w:t>
      </w:r>
      <w:r>
        <w:rPr>
          <w:rFonts w:hint="eastAsia" w:ascii="宋体" w:hAnsi="宋体" w:eastAsia="宋体" w:cs="宋体"/>
          <w:color w:val="auto"/>
          <w:spacing w:val="12"/>
          <w:sz w:val="24"/>
          <w:szCs w:val="24"/>
          <w:highlight w:val="none"/>
          <w:lang w:eastAsia="zh-CN"/>
        </w:rPr>
        <w:t>人</w:t>
      </w:r>
      <w:r>
        <w:rPr>
          <w:rFonts w:hint="eastAsia" w:ascii="宋体" w:hAnsi="宋体" w:eastAsia="宋体" w:cs="宋体"/>
          <w:color w:val="auto"/>
          <w:spacing w:val="-56"/>
          <w:sz w:val="24"/>
          <w:szCs w:val="24"/>
          <w:highlight w:val="none"/>
          <w:lang w:eastAsia="zh-CN"/>
        </w:rPr>
        <w:t>，</w:t>
      </w:r>
      <w:r>
        <w:rPr>
          <w:rFonts w:hint="eastAsia" w:ascii="宋体" w:hAnsi="宋体" w:eastAsia="宋体" w:cs="宋体"/>
          <w:color w:val="auto"/>
          <w:spacing w:val="12"/>
          <w:sz w:val="24"/>
          <w:szCs w:val="24"/>
          <w:highlight w:val="none"/>
          <w:lang w:eastAsia="zh-CN"/>
        </w:rPr>
        <w:t>营业收入</w:t>
      </w:r>
      <w:r>
        <w:rPr>
          <w:rFonts w:hint="eastAsia" w:ascii="宋体" w:hAnsi="宋体" w:eastAsia="宋体" w:cs="宋体"/>
          <w:color w:val="auto"/>
          <w:spacing w:val="11"/>
          <w:sz w:val="24"/>
          <w:szCs w:val="24"/>
          <w:highlight w:val="none"/>
          <w:lang w:eastAsia="zh-CN"/>
        </w:rPr>
        <w:t>为</w:t>
      </w:r>
      <w:r>
        <w:rPr>
          <w:rFonts w:hint="eastAsia" w:ascii="宋体" w:hAnsi="宋体" w:eastAsia="宋体" w:cs="宋体"/>
          <w:color w:val="auto"/>
          <w:spacing w:val="11"/>
          <w:sz w:val="24"/>
          <w:szCs w:val="24"/>
          <w:highlight w:val="none"/>
          <w:u w:val="single"/>
          <w:lang w:eastAsia="zh-CN"/>
        </w:rPr>
        <w:t xml:space="preserve"> </w:t>
      </w:r>
      <w:r>
        <w:rPr>
          <w:rFonts w:hint="eastAsia" w:ascii="宋体" w:hAnsi="宋体" w:eastAsia="宋体" w:cs="宋体"/>
          <w:color w:val="auto"/>
          <w:spacing w:val="11"/>
          <w:sz w:val="24"/>
          <w:szCs w:val="24"/>
          <w:highlight w:val="none"/>
          <w:u w:val="single"/>
          <w:lang w:eastAsia="zh-CN"/>
        </w:rPr>
        <w:tab/>
      </w:r>
      <w:r>
        <w:rPr>
          <w:rFonts w:hint="eastAsia" w:ascii="宋体" w:hAnsi="宋体" w:eastAsia="宋体" w:cs="宋体"/>
          <w:color w:val="auto"/>
          <w:spacing w:val="12"/>
          <w:sz w:val="24"/>
          <w:szCs w:val="24"/>
          <w:highlight w:val="none"/>
          <w:lang w:eastAsia="zh-CN"/>
        </w:rPr>
        <w:t>万元</w:t>
      </w:r>
      <w:r>
        <w:rPr>
          <w:rFonts w:hint="eastAsia" w:ascii="宋体" w:hAnsi="宋体" w:eastAsia="宋体" w:cs="宋体"/>
          <w:color w:val="auto"/>
          <w:spacing w:val="-55"/>
          <w:sz w:val="24"/>
          <w:szCs w:val="24"/>
          <w:highlight w:val="none"/>
          <w:lang w:eastAsia="zh-CN"/>
        </w:rPr>
        <w:t>，</w:t>
      </w:r>
      <w:r>
        <w:rPr>
          <w:rFonts w:hint="eastAsia" w:ascii="宋体" w:hAnsi="宋体" w:eastAsia="宋体" w:cs="宋体"/>
          <w:color w:val="auto"/>
          <w:spacing w:val="12"/>
          <w:sz w:val="24"/>
          <w:szCs w:val="24"/>
          <w:highlight w:val="none"/>
          <w:lang w:eastAsia="zh-CN"/>
        </w:rPr>
        <w:t>资产总额</w:t>
      </w:r>
      <w:r>
        <w:rPr>
          <w:rFonts w:hint="eastAsia" w:ascii="宋体" w:hAnsi="宋体" w:eastAsia="宋体" w:cs="宋体"/>
          <w:color w:val="auto"/>
          <w:spacing w:val="11"/>
          <w:sz w:val="24"/>
          <w:szCs w:val="24"/>
          <w:highlight w:val="none"/>
          <w:lang w:eastAsia="zh-CN"/>
        </w:rPr>
        <w:t>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12"/>
          <w:sz w:val="24"/>
          <w:szCs w:val="24"/>
          <w:highlight w:val="none"/>
          <w:lang w:eastAsia="zh-CN"/>
        </w:rPr>
        <w:t>万元，属于</w:t>
      </w:r>
      <w:r>
        <w:rPr>
          <w:rFonts w:hint="eastAsia" w:ascii="宋体" w:hAnsi="宋体" w:eastAsia="宋体" w:cs="宋体"/>
          <w:color w:val="auto"/>
          <w:spacing w:val="12"/>
          <w:sz w:val="24"/>
          <w:szCs w:val="24"/>
          <w:highlight w:val="none"/>
          <w:u w:val="single"/>
          <w:lang w:eastAsia="zh-CN"/>
        </w:rPr>
        <w:t>（中型企业、小型企业、微型企业</w:t>
      </w:r>
      <w:r>
        <w:rPr>
          <w:rFonts w:hint="eastAsia" w:ascii="宋体" w:hAnsi="宋体" w:eastAsia="宋体" w:cs="宋体"/>
          <w:color w:val="auto"/>
          <w:spacing w:val="-119"/>
          <w:sz w:val="24"/>
          <w:szCs w:val="24"/>
          <w:highlight w:val="none"/>
          <w:u w:val="single"/>
          <w:lang w:eastAsia="zh-CN"/>
        </w:rPr>
        <w:t>）</w:t>
      </w:r>
    </w:p>
    <w:p w14:paraId="51E06F87">
      <w:pPr>
        <w:pStyle w:val="9"/>
        <w:spacing w:before="11" w:line="360" w:lineRule="auto"/>
        <w:rPr>
          <w:rFonts w:hint="eastAsia" w:ascii="宋体" w:hAnsi="宋体" w:eastAsia="宋体" w:cs="宋体"/>
          <w:color w:val="auto"/>
          <w:sz w:val="24"/>
          <w:szCs w:val="24"/>
          <w:highlight w:val="none"/>
          <w:lang w:eastAsia="zh-CN"/>
        </w:rPr>
      </w:pPr>
    </w:p>
    <w:p w14:paraId="1E9D8F65">
      <w:pPr>
        <w:pStyle w:val="9"/>
        <w:spacing w:line="360" w:lineRule="auto"/>
        <w:ind w:left="1045"/>
        <w:rPr>
          <w:rFonts w:hint="eastAsia" w:ascii="宋体" w:hAnsi="宋体" w:eastAsia="宋体" w:cs="宋体"/>
          <w:color w:val="auto"/>
          <w:sz w:val="24"/>
          <w:szCs w:val="24"/>
          <w:highlight w:val="none"/>
          <w:lang w:eastAsia="zh-CN"/>
        </w:rPr>
      </w:pPr>
      <w:r>
        <w:rPr>
          <w:rFonts w:hint="eastAsia" w:ascii="宋体" w:hAnsi="宋体" w:eastAsia="宋体" w:cs="宋体"/>
          <w:color w:val="auto"/>
          <w:w w:val="120"/>
          <w:sz w:val="24"/>
          <w:szCs w:val="24"/>
          <w:highlight w:val="none"/>
          <w:lang w:eastAsia="zh-CN"/>
        </w:rPr>
        <w:t>……</w:t>
      </w:r>
    </w:p>
    <w:p w14:paraId="24824CE9">
      <w:pPr>
        <w:pStyle w:val="9"/>
        <w:spacing w:before="149" w:line="360" w:lineRule="auto"/>
        <w:ind w:left="541" w:right="576" w:firstLine="50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以上企业，不属于大企业的分支机构，不存在控股股东为大企业的情形，也不存在与大企业的负责人为同一人的情形。</w:t>
      </w:r>
    </w:p>
    <w:p w14:paraId="4DC4B8D2">
      <w:pPr>
        <w:pStyle w:val="9"/>
        <w:spacing w:before="5" w:line="360" w:lineRule="auto"/>
        <w:ind w:left="104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26163143">
      <w:pPr>
        <w:pStyle w:val="9"/>
        <w:spacing w:line="360" w:lineRule="auto"/>
        <w:rPr>
          <w:rFonts w:hint="eastAsia" w:ascii="宋体" w:hAnsi="宋体" w:eastAsia="宋体" w:cs="宋体"/>
          <w:color w:val="auto"/>
          <w:sz w:val="24"/>
          <w:szCs w:val="24"/>
          <w:highlight w:val="none"/>
          <w:lang w:eastAsia="zh-CN"/>
        </w:rPr>
      </w:pPr>
    </w:p>
    <w:p w14:paraId="08C0A6E8">
      <w:pPr>
        <w:pStyle w:val="9"/>
        <w:spacing w:before="1" w:line="360" w:lineRule="auto"/>
        <w:rPr>
          <w:rFonts w:hint="eastAsia" w:ascii="宋体" w:hAnsi="宋体" w:eastAsia="宋体" w:cs="宋体"/>
          <w:color w:val="auto"/>
          <w:sz w:val="24"/>
          <w:szCs w:val="24"/>
          <w:highlight w:val="none"/>
          <w:lang w:eastAsia="zh-CN"/>
        </w:rPr>
      </w:pPr>
    </w:p>
    <w:p w14:paraId="5B575305">
      <w:pPr>
        <w:pStyle w:val="9"/>
        <w:tabs>
          <w:tab w:val="left" w:pos="2812"/>
        </w:tabs>
        <w:spacing w:line="360" w:lineRule="auto"/>
        <w:ind w:right="878"/>
        <w:jc w:val="center"/>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企业名称（盖章</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u w:val="none"/>
          <w:lang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val="en-US" w:eastAsia="zh-CN"/>
        </w:rPr>
        <w:t xml:space="preserve">     </w:t>
      </w:r>
    </w:p>
    <w:p w14:paraId="0CAEA7DC">
      <w:pPr>
        <w:pStyle w:val="9"/>
        <w:spacing w:line="360" w:lineRule="auto"/>
        <w:jc w:val="center"/>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1"/>
          <w:sz w:val="24"/>
          <w:szCs w:val="24"/>
          <w:highlight w:val="none"/>
          <w:lang w:eastAsia="zh-CN"/>
        </w:rPr>
        <w:t xml:space="preserve"> </w:t>
      </w:r>
      <w:r>
        <w:rPr>
          <w:rFonts w:hint="eastAsia" w:ascii="宋体" w:hAnsi="宋体" w:eastAsia="宋体" w:cs="宋体"/>
          <w:color w:val="auto"/>
          <w:sz w:val="24"/>
          <w:szCs w:val="24"/>
          <w:highlight w:val="none"/>
          <w:lang w:eastAsia="zh-CN"/>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p>
    <w:p w14:paraId="3AD8E79A">
      <w:pPr>
        <w:pStyle w:val="9"/>
        <w:spacing w:line="360" w:lineRule="auto"/>
        <w:rPr>
          <w:rFonts w:hint="eastAsia" w:ascii="宋体" w:hAnsi="宋体" w:eastAsia="宋体" w:cs="宋体"/>
          <w:color w:val="auto"/>
          <w:sz w:val="20"/>
          <w:highlight w:val="none"/>
          <w:lang w:eastAsia="zh-CN"/>
        </w:rPr>
      </w:pPr>
    </w:p>
    <w:p w14:paraId="61F93B87">
      <w:pPr>
        <w:pStyle w:val="9"/>
        <w:spacing w:before="8" w:line="360" w:lineRule="auto"/>
        <w:rPr>
          <w:rFonts w:hint="eastAsia" w:ascii="宋体" w:hAnsi="宋体" w:eastAsia="宋体" w:cs="宋体"/>
          <w:color w:val="auto"/>
          <w:sz w:val="18"/>
          <w:highlight w:val="none"/>
          <w:lang w:eastAsia="zh-CN"/>
        </w:rPr>
      </w:pPr>
      <w:r>
        <w:rPr>
          <w:rFonts w:hint="eastAsia" w:ascii="宋体" w:hAnsi="宋体" w:eastAsia="宋体" w:cs="宋体"/>
          <w:color w:val="auto"/>
          <w:highlight w:val="none"/>
        </w:rPr>
        <mc:AlternateContent>
          <mc:Choice Requires="wps">
            <w:drawing>
              <wp:anchor distT="0" distB="0" distL="114300" distR="114300" simplePos="0" relativeHeight="251660288"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27" name="任意多边形 27"/>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9.65pt;margin-top:13pt;height:0.1pt;width:447.35pt;mso-position-horizontal-relative:page;mso-wrap-distance-bottom:0pt;mso-wrap-distance-top:0pt;z-index:-251656192;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kBZB2AAAAAoBAAAPAAAAAAAAAAEAIAAAACIAAABkcnMvZG93bnJldi54&#10;bWxQSwECFAAUAAAACACHTuJAAmGo5DMCAACHBAAADgAAAAAAAAABACAAAAAnAQAAZHJzL2Uyb0Rv&#10;Yy54bWxQSwUGAAAAAAYABgBZAQAAzAUAAAAA&#10;" path="m0,0l8946,0e">
                <v:fill on="f" focussize="0,0"/>
                <v:stroke weight="0.48pt" color="#000000" joinstyle="round"/>
                <v:imagedata o:title=""/>
                <o:lock v:ext="edit" aspectratio="f"/>
                <w10:wrap type="topAndBottom"/>
              </v:shape>
            </w:pict>
          </mc:Fallback>
        </mc:AlternateContent>
      </w:r>
    </w:p>
    <w:p w14:paraId="2F0B6250">
      <w:pPr>
        <w:spacing w:line="360" w:lineRule="auto"/>
        <w:ind w:left="541"/>
        <w:rPr>
          <w:rFonts w:hint="eastAsia" w:ascii="宋体" w:hAnsi="宋体" w:eastAsia="宋体" w:cs="宋体"/>
          <w:color w:val="auto"/>
          <w:sz w:val="21"/>
          <w:highlight w:val="none"/>
          <w:lang w:eastAsia="zh-CN"/>
        </w:rPr>
      </w:pPr>
      <w:r>
        <w:rPr>
          <w:rFonts w:hint="eastAsia" w:ascii="宋体" w:hAnsi="宋体" w:eastAsia="宋体" w:cs="宋体"/>
          <w:color w:val="auto"/>
          <w:w w:val="125"/>
          <w:position w:val="6"/>
          <w:sz w:val="14"/>
          <w:highlight w:val="none"/>
          <w:lang w:eastAsia="zh-CN"/>
        </w:rPr>
        <w:t xml:space="preserve">1 </w:t>
      </w:r>
      <w:r>
        <w:rPr>
          <w:rFonts w:hint="eastAsia" w:ascii="宋体" w:hAnsi="宋体" w:eastAsia="宋体" w:cs="宋体"/>
          <w:color w:val="auto"/>
          <w:sz w:val="21"/>
          <w:highlight w:val="none"/>
          <w:lang w:eastAsia="zh-CN"/>
        </w:rPr>
        <w:t>从业人员、营业收入、资产总额填报上一年度数据，无上一年度数据的新成立企业可不填报。</w:t>
      </w:r>
    </w:p>
    <w:p w14:paraId="2036F63C">
      <w:pPr>
        <w:pStyle w:val="9"/>
        <w:tabs>
          <w:tab w:val="left" w:pos="4830"/>
        </w:tabs>
        <w:adjustRightInd w:val="0"/>
        <w:snapToGrid w:val="0"/>
        <w:spacing w:after="0" w:line="360" w:lineRule="auto"/>
        <w:ind w:firstLine="645"/>
        <w:rPr>
          <w:rFonts w:hint="eastAsia" w:ascii="宋体" w:hAnsi="宋体" w:eastAsia="宋体" w:cs="宋体"/>
          <w:color w:val="auto"/>
          <w:sz w:val="24"/>
          <w:szCs w:val="24"/>
          <w:highlight w:val="none"/>
        </w:rPr>
      </w:pPr>
    </w:p>
    <w:p w14:paraId="1A5046AC">
      <w:pPr>
        <w:pStyle w:val="9"/>
        <w:tabs>
          <w:tab w:val="left" w:pos="4830"/>
        </w:tabs>
        <w:adjustRightInd w:val="0"/>
        <w:snapToGrid w:val="0"/>
        <w:spacing w:after="0" w:line="360" w:lineRule="auto"/>
        <w:ind w:firstLine="4569" w:firstLineChars="1904"/>
        <w:rPr>
          <w:rFonts w:hint="eastAsia" w:ascii="宋体" w:hAnsi="宋体" w:eastAsia="宋体" w:cs="宋体"/>
          <w:color w:val="auto"/>
          <w:sz w:val="24"/>
          <w:szCs w:val="24"/>
          <w:highlight w:val="none"/>
        </w:rPr>
      </w:pPr>
    </w:p>
    <w:p w14:paraId="37999F0D">
      <w:pPr>
        <w:adjustRightInd w:val="0"/>
        <w:snapToGrid w:val="0"/>
        <w:spacing w:line="360" w:lineRule="auto"/>
        <w:rPr>
          <w:rFonts w:hint="eastAsia" w:ascii="宋体" w:hAnsi="宋体" w:eastAsia="宋体" w:cs="宋体"/>
          <w:color w:val="auto"/>
          <w:sz w:val="24"/>
          <w:szCs w:val="24"/>
          <w:highlight w:val="none"/>
        </w:rPr>
      </w:pPr>
    </w:p>
    <w:p w14:paraId="71C8C392">
      <w:pPr>
        <w:tabs>
          <w:tab w:val="left" w:pos="5580"/>
        </w:tabs>
        <w:spacing w:line="360" w:lineRule="auto"/>
        <w:jc w:val="center"/>
        <w:rPr>
          <w:rFonts w:hint="eastAsia" w:ascii="宋体" w:hAnsi="宋体" w:eastAsia="宋体" w:cs="宋体"/>
          <w:b/>
          <w:snapToGrid w:val="0"/>
          <w:color w:val="auto"/>
          <w:kern w:val="21"/>
          <w:sz w:val="24"/>
          <w:szCs w:val="24"/>
          <w:highlight w:val="none"/>
        </w:rPr>
      </w:pPr>
      <w:r>
        <w:rPr>
          <w:rFonts w:hint="eastAsia" w:ascii="宋体" w:hAnsi="宋体" w:eastAsia="宋体" w:cs="宋体"/>
          <w:b/>
          <w:snapToGrid w:val="0"/>
          <w:color w:val="auto"/>
          <w:kern w:val="21"/>
          <w:sz w:val="24"/>
          <w:szCs w:val="24"/>
          <w:highlight w:val="none"/>
        </w:rPr>
        <w:t>《残疾人福利性单位声明函》（原件。符合《三部门联合发布关于促进残疾人就业政府采购政策的通知》（财库〔2017〕141号）价格扣减条件的供应商须提交）</w:t>
      </w:r>
    </w:p>
    <w:p w14:paraId="2759F16F">
      <w:pPr>
        <w:keepNext/>
        <w:keepLines/>
        <w:pageBreakBefore w:val="0"/>
        <w:widowControl/>
        <w:kinsoku/>
        <w:wordWrap/>
        <w:overflowPunct/>
        <w:topLinePunct w:val="0"/>
        <w:autoSpaceDE/>
        <w:autoSpaceDN/>
        <w:bidi w:val="0"/>
        <w:adjustRightInd/>
        <w:snapToGrid/>
        <w:spacing w:before="120" w:after="120" w:line="360" w:lineRule="auto"/>
        <w:ind w:left="425"/>
        <w:jc w:val="center"/>
        <w:textAlignment w:val="auto"/>
        <w:outlineLvl w:val="9"/>
        <w:rPr>
          <w:rFonts w:hint="eastAsia" w:ascii="宋体" w:hAnsi="宋体" w:eastAsia="宋体" w:cs="宋体"/>
          <w:b/>
          <w:bCs/>
          <w:snapToGrid w:val="0"/>
          <w:color w:val="auto"/>
          <w:kern w:val="21"/>
          <w:sz w:val="24"/>
          <w:szCs w:val="24"/>
          <w:highlight w:val="none"/>
        </w:rPr>
      </w:pPr>
      <w:bookmarkStart w:id="4719" w:name="_Toc8812"/>
      <w:bookmarkStart w:id="4720" w:name="_Toc26170587"/>
      <w:bookmarkStart w:id="4721" w:name="_Toc29687"/>
      <w:bookmarkStart w:id="4722" w:name="OLE_LINK14"/>
      <w:bookmarkStart w:id="4723" w:name="OLE_LINK13"/>
      <w:r>
        <w:rPr>
          <w:rFonts w:hint="eastAsia" w:ascii="宋体" w:hAnsi="宋体" w:eastAsia="宋体" w:cs="宋体"/>
          <w:b/>
          <w:bCs/>
          <w:snapToGrid w:val="0"/>
          <w:color w:val="auto"/>
          <w:kern w:val="21"/>
          <w:sz w:val="24"/>
          <w:szCs w:val="24"/>
          <w:highlight w:val="none"/>
        </w:rPr>
        <w:t>残疾人福利性单位声明函</w:t>
      </w:r>
      <w:bookmarkEnd w:id="4719"/>
      <w:bookmarkEnd w:id="4720"/>
      <w:bookmarkEnd w:id="4721"/>
    </w:p>
    <w:bookmarkEnd w:id="4722"/>
    <w:bookmarkEnd w:id="4723"/>
    <w:p w14:paraId="55909DB6">
      <w:pPr>
        <w:spacing w:line="360" w:lineRule="auto"/>
        <w:ind w:firstLine="504" w:firstLineChars="200"/>
        <w:rPr>
          <w:rFonts w:hint="eastAsia" w:ascii="宋体" w:hAnsi="宋体" w:eastAsia="宋体" w:cs="宋体"/>
          <w:snapToGrid w:val="0"/>
          <w:color w:val="auto"/>
          <w:spacing w:val="6"/>
          <w:kern w:val="21"/>
          <w:sz w:val="24"/>
          <w:szCs w:val="24"/>
          <w:highlight w:val="none"/>
        </w:rPr>
      </w:pPr>
      <w:r>
        <w:rPr>
          <w:rFonts w:hint="eastAsia" w:ascii="宋体" w:hAnsi="宋体" w:eastAsia="宋体" w:cs="宋体"/>
          <w:snapToGrid w:val="0"/>
          <w:color w:val="auto"/>
          <w:spacing w:val="6"/>
          <w:kern w:val="21"/>
          <w:sz w:val="24"/>
          <w:szCs w:val="24"/>
          <w:highlight w:val="none"/>
        </w:rPr>
        <w:t>本单位郑重声明，根据《财政部 民政部 中国残疾人联合会关于促进残疾人就业政府采购政策的通知》（财库</w:t>
      </w:r>
      <w:r>
        <w:rPr>
          <w:rFonts w:hint="eastAsia" w:ascii="宋体" w:hAnsi="宋体" w:eastAsia="宋体" w:cs="宋体"/>
          <w:snapToGrid w:val="0"/>
          <w:color w:val="auto"/>
          <w:kern w:val="21"/>
          <w:sz w:val="24"/>
          <w:szCs w:val="24"/>
          <w:highlight w:val="none"/>
        </w:rPr>
        <w:t>〔2017〕 141</w:t>
      </w:r>
      <w:r>
        <w:rPr>
          <w:rFonts w:hint="eastAsia" w:ascii="宋体" w:hAnsi="宋体" w:eastAsia="宋体" w:cs="宋体"/>
          <w:snapToGrid w:val="0"/>
          <w:color w:val="auto"/>
          <w:spacing w:val="6"/>
          <w:kern w:val="21"/>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9A7E8E">
      <w:pPr>
        <w:spacing w:line="360" w:lineRule="auto"/>
        <w:ind w:firstLine="504" w:firstLineChars="200"/>
        <w:rPr>
          <w:rFonts w:hint="eastAsia" w:ascii="宋体" w:hAnsi="宋体" w:eastAsia="宋体" w:cs="宋体"/>
          <w:snapToGrid w:val="0"/>
          <w:color w:val="auto"/>
          <w:spacing w:val="6"/>
          <w:kern w:val="21"/>
          <w:sz w:val="24"/>
          <w:szCs w:val="24"/>
          <w:highlight w:val="none"/>
        </w:rPr>
      </w:pPr>
      <w:r>
        <w:rPr>
          <w:rFonts w:hint="eastAsia" w:ascii="宋体" w:hAnsi="宋体" w:eastAsia="宋体" w:cs="宋体"/>
          <w:snapToGrid w:val="0"/>
          <w:color w:val="auto"/>
          <w:spacing w:val="6"/>
          <w:kern w:val="21"/>
          <w:sz w:val="24"/>
          <w:szCs w:val="24"/>
          <w:highlight w:val="none"/>
        </w:rPr>
        <w:t>本单位对上述声明的真实性负责。如有虚假，将依法承担相应责任。</w:t>
      </w:r>
    </w:p>
    <w:p w14:paraId="2CF0C682">
      <w:pPr>
        <w:spacing w:line="360" w:lineRule="auto"/>
        <w:ind w:firstLine="504" w:firstLineChars="200"/>
        <w:rPr>
          <w:rFonts w:hint="eastAsia" w:ascii="宋体" w:hAnsi="宋体" w:eastAsia="宋体" w:cs="宋体"/>
          <w:snapToGrid w:val="0"/>
          <w:color w:val="auto"/>
          <w:spacing w:val="6"/>
          <w:kern w:val="21"/>
          <w:sz w:val="24"/>
          <w:szCs w:val="24"/>
          <w:highlight w:val="none"/>
        </w:rPr>
      </w:pPr>
    </w:p>
    <w:p w14:paraId="34E44019">
      <w:pPr>
        <w:spacing w:line="360" w:lineRule="auto"/>
        <w:ind w:firstLine="504" w:firstLineChars="200"/>
        <w:rPr>
          <w:rFonts w:hint="eastAsia" w:ascii="宋体" w:hAnsi="宋体" w:eastAsia="宋体" w:cs="宋体"/>
          <w:snapToGrid w:val="0"/>
          <w:color w:val="auto"/>
          <w:spacing w:val="6"/>
          <w:kern w:val="21"/>
          <w:sz w:val="24"/>
          <w:szCs w:val="24"/>
          <w:highlight w:val="none"/>
        </w:rPr>
      </w:pPr>
    </w:p>
    <w:p w14:paraId="45BEC839">
      <w:pPr>
        <w:tabs>
          <w:tab w:val="left" w:pos="4860"/>
        </w:tabs>
        <w:spacing w:line="360" w:lineRule="auto"/>
        <w:ind w:right="1560" w:firstLine="504" w:firstLineChars="200"/>
        <w:jc w:val="center"/>
        <w:rPr>
          <w:rFonts w:hint="eastAsia" w:ascii="宋体" w:hAnsi="宋体" w:eastAsia="宋体" w:cs="宋体"/>
          <w:snapToGrid w:val="0"/>
          <w:color w:val="auto"/>
          <w:spacing w:val="6"/>
          <w:kern w:val="21"/>
          <w:sz w:val="24"/>
          <w:szCs w:val="24"/>
          <w:highlight w:val="none"/>
        </w:rPr>
      </w:pPr>
      <w:r>
        <w:rPr>
          <w:rFonts w:hint="eastAsia" w:ascii="宋体" w:hAnsi="宋体" w:eastAsia="宋体" w:cs="宋体"/>
          <w:snapToGrid w:val="0"/>
          <w:color w:val="auto"/>
          <w:spacing w:val="6"/>
          <w:kern w:val="21"/>
          <w:sz w:val="24"/>
          <w:szCs w:val="24"/>
          <w:highlight w:val="none"/>
        </w:rPr>
        <w:t xml:space="preserve">              单位名称（电子签章）：</w:t>
      </w:r>
    </w:p>
    <w:p w14:paraId="36E8EE6C">
      <w:pPr>
        <w:tabs>
          <w:tab w:val="left" w:pos="4860"/>
        </w:tabs>
        <w:spacing w:line="360" w:lineRule="auto"/>
        <w:ind w:right="1560" w:firstLine="504" w:firstLineChars="200"/>
        <w:jc w:val="center"/>
        <w:rPr>
          <w:rFonts w:hint="eastAsia" w:ascii="宋体" w:hAnsi="宋体" w:eastAsia="宋体" w:cs="宋体"/>
          <w:snapToGrid w:val="0"/>
          <w:color w:val="auto"/>
          <w:spacing w:val="6"/>
          <w:kern w:val="21"/>
          <w:sz w:val="24"/>
          <w:szCs w:val="24"/>
          <w:highlight w:val="none"/>
        </w:rPr>
      </w:pPr>
      <w:r>
        <w:rPr>
          <w:rFonts w:hint="eastAsia" w:ascii="宋体" w:hAnsi="宋体" w:eastAsia="宋体" w:cs="宋体"/>
          <w:snapToGrid w:val="0"/>
          <w:color w:val="auto"/>
          <w:spacing w:val="6"/>
          <w:kern w:val="21"/>
          <w:sz w:val="24"/>
          <w:szCs w:val="24"/>
          <w:highlight w:val="none"/>
        </w:rPr>
        <w:t xml:space="preserve">      日  期：</w:t>
      </w:r>
    </w:p>
    <w:p w14:paraId="3C1D975C">
      <w:pPr>
        <w:spacing w:line="360" w:lineRule="auto"/>
        <w:rPr>
          <w:rFonts w:hint="eastAsia" w:ascii="宋体" w:hAnsi="宋体" w:eastAsia="宋体" w:cs="宋体"/>
          <w:b/>
          <w:snapToGrid w:val="0"/>
          <w:color w:val="auto"/>
          <w:kern w:val="21"/>
          <w:sz w:val="24"/>
          <w:szCs w:val="24"/>
          <w:highlight w:val="none"/>
        </w:rPr>
      </w:pPr>
    </w:p>
    <w:p w14:paraId="0B84C708">
      <w:pPr>
        <w:spacing w:line="360" w:lineRule="auto"/>
        <w:rPr>
          <w:rFonts w:hint="eastAsia" w:ascii="宋体" w:hAnsi="宋体" w:eastAsia="宋体" w:cs="宋体"/>
          <w:b/>
          <w:snapToGrid w:val="0"/>
          <w:color w:val="auto"/>
          <w:kern w:val="21"/>
          <w:sz w:val="24"/>
          <w:szCs w:val="24"/>
          <w:highlight w:val="none"/>
        </w:rPr>
      </w:pPr>
    </w:p>
    <w:p w14:paraId="18DD561A">
      <w:pPr>
        <w:spacing w:line="360" w:lineRule="auto"/>
        <w:rPr>
          <w:rFonts w:hint="eastAsia" w:ascii="宋体" w:hAnsi="宋体" w:eastAsia="宋体" w:cs="宋体"/>
          <w:b/>
          <w:snapToGrid w:val="0"/>
          <w:color w:val="auto"/>
          <w:kern w:val="21"/>
          <w:sz w:val="24"/>
          <w:szCs w:val="24"/>
          <w:highlight w:val="none"/>
        </w:rPr>
      </w:pPr>
    </w:p>
    <w:p w14:paraId="1A19CFFE">
      <w:pPr>
        <w:keepNext/>
        <w:keepLines/>
        <w:pageBreakBefore w:val="0"/>
        <w:widowControl/>
        <w:kinsoku/>
        <w:wordWrap/>
        <w:overflowPunct/>
        <w:topLinePunct w:val="0"/>
        <w:autoSpaceDE/>
        <w:autoSpaceDN/>
        <w:bidi w:val="0"/>
        <w:adjustRightInd/>
        <w:snapToGrid/>
        <w:spacing w:after="120" w:line="360" w:lineRule="auto"/>
        <w:ind w:firstLine="482" w:firstLineChars="200"/>
        <w:textAlignment w:val="auto"/>
        <w:outlineLvl w:val="9"/>
        <w:rPr>
          <w:rFonts w:hint="eastAsia" w:ascii="宋体" w:hAnsi="宋体" w:eastAsia="宋体" w:cs="宋体"/>
          <w:b/>
          <w:snapToGrid w:val="0"/>
          <w:color w:val="auto"/>
          <w:kern w:val="21"/>
          <w:sz w:val="24"/>
          <w:szCs w:val="24"/>
          <w:highlight w:val="none"/>
        </w:rPr>
      </w:pPr>
      <w:bookmarkStart w:id="4724" w:name="_Toc26170588"/>
      <w:bookmarkStart w:id="4725" w:name="_Toc3114"/>
      <w:bookmarkStart w:id="4726" w:name="_Toc11511"/>
      <w:r>
        <w:rPr>
          <w:rFonts w:hint="eastAsia" w:ascii="宋体" w:hAnsi="宋体" w:eastAsia="宋体" w:cs="宋体"/>
          <w:b/>
          <w:snapToGrid w:val="0"/>
          <w:color w:val="auto"/>
          <w:kern w:val="21"/>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bookmarkEnd w:id="4724"/>
      <w:bookmarkEnd w:id="4725"/>
    </w:p>
    <w:p w14:paraId="4786E9D1">
      <w:pPr>
        <w:keepNext/>
        <w:keepLines/>
        <w:pageBreakBefore w:val="0"/>
        <w:widowControl/>
        <w:kinsoku/>
        <w:wordWrap/>
        <w:overflowPunct/>
        <w:topLinePunct w:val="0"/>
        <w:autoSpaceDE/>
        <w:autoSpaceDN/>
        <w:bidi w:val="0"/>
        <w:adjustRightInd/>
        <w:snapToGrid/>
        <w:spacing w:after="120" w:line="360" w:lineRule="auto"/>
        <w:ind w:firstLine="482" w:firstLineChars="200"/>
        <w:textAlignment w:val="auto"/>
        <w:outlineLvl w:val="9"/>
        <w:rPr>
          <w:rFonts w:hint="eastAsia" w:ascii="宋体" w:hAnsi="宋体" w:eastAsia="宋体" w:cs="宋体"/>
          <w:b/>
          <w:snapToGrid w:val="0"/>
          <w:color w:val="auto"/>
          <w:kern w:val="21"/>
          <w:sz w:val="24"/>
          <w:szCs w:val="24"/>
          <w:highlight w:val="none"/>
        </w:rPr>
      </w:pPr>
      <w:r>
        <w:rPr>
          <w:rFonts w:hint="eastAsia" w:ascii="宋体" w:hAnsi="宋体" w:eastAsia="宋体" w:cs="宋体"/>
          <w:b/>
          <w:bCs/>
          <w:snapToGrid w:val="0"/>
          <w:color w:val="auto"/>
          <w:sz w:val="24"/>
          <w:szCs w:val="24"/>
          <w:highlight w:val="none"/>
        </w:rPr>
        <w:br w:type="page"/>
      </w:r>
      <w:bookmarkEnd w:id="4726"/>
      <w:bookmarkStart w:id="4727" w:name="_Toc11194"/>
      <w:r>
        <w:rPr>
          <w:rFonts w:hint="eastAsia" w:ascii="宋体" w:hAnsi="宋体" w:eastAsia="宋体" w:cs="宋体"/>
          <w:b/>
          <w:snapToGrid w:val="0"/>
          <w:color w:val="auto"/>
          <w:kern w:val="21"/>
          <w:sz w:val="24"/>
          <w:szCs w:val="24"/>
          <w:highlight w:val="none"/>
        </w:rPr>
        <w:t>《监狱企业证明文件》（复印件。符合《财政部 司法部关于政府采购支持监狱企业发展有关问题的通知》（财库[2014]68号）价格扣减条件的供应商须提交）</w:t>
      </w:r>
      <w:bookmarkEnd w:id="4727"/>
    </w:p>
    <w:p w14:paraId="57D54B78">
      <w:pPr>
        <w:keepNext/>
        <w:keepLines/>
        <w:pageBreakBefore w:val="0"/>
        <w:widowControl/>
        <w:kinsoku/>
        <w:wordWrap/>
        <w:overflowPunct/>
        <w:topLinePunct w:val="0"/>
        <w:autoSpaceDE/>
        <w:autoSpaceDN/>
        <w:bidi w:val="0"/>
        <w:adjustRightInd/>
        <w:snapToGrid/>
        <w:spacing w:before="260" w:after="260" w:line="360" w:lineRule="auto"/>
        <w:ind w:left="425"/>
        <w:jc w:val="center"/>
        <w:textAlignment w:val="auto"/>
        <w:outlineLvl w:val="9"/>
        <w:rPr>
          <w:rFonts w:hint="eastAsia" w:ascii="宋体" w:hAnsi="宋体" w:eastAsia="宋体" w:cs="宋体"/>
          <w:b/>
          <w:color w:val="auto"/>
          <w:sz w:val="24"/>
          <w:szCs w:val="24"/>
          <w:highlight w:val="none"/>
        </w:rPr>
      </w:pPr>
      <w:bookmarkStart w:id="4728" w:name="_Toc26170589"/>
      <w:bookmarkStart w:id="4729" w:name="_Toc10485"/>
      <w:bookmarkStart w:id="4730" w:name="_Toc7685"/>
      <w:r>
        <w:rPr>
          <w:rFonts w:hint="eastAsia" w:ascii="宋体" w:hAnsi="宋体" w:eastAsia="宋体" w:cs="宋体"/>
          <w:b/>
          <w:color w:val="auto"/>
          <w:sz w:val="24"/>
          <w:szCs w:val="24"/>
          <w:highlight w:val="none"/>
        </w:rPr>
        <w:t>监狱企业证明文件</w:t>
      </w:r>
      <w:bookmarkEnd w:id="4728"/>
      <w:bookmarkEnd w:id="4729"/>
      <w:bookmarkEnd w:id="4730"/>
    </w:p>
    <w:p w14:paraId="745D9E59">
      <w:pPr>
        <w:spacing w:line="360" w:lineRule="auto"/>
        <w:ind w:firstLine="480" w:firstLineChars="200"/>
        <w:rPr>
          <w:rFonts w:hint="eastAsia" w:ascii="宋体" w:hAnsi="宋体" w:eastAsia="宋体" w:cs="宋体"/>
          <w:snapToGrid w:val="0"/>
          <w:color w:val="auto"/>
          <w:kern w:val="21"/>
          <w:sz w:val="24"/>
          <w:szCs w:val="24"/>
          <w:highlight w:val="none"/>
        </w:rPr>
      </w:pPr>
      <w:r>
        <w:rPr>
          <w:rFonts w:hint="eastAsia" w:ascii="宋体" w:hAnsi="宋体" w:eastAsia="宋体" w:cs="宋体"/>
          <w:snapToGrid w:val="0"/>
          <w:color w:val="auto"/>
          <w:kern w:val="21"/>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AD8F80">
      <w:pPr>
        <w:spacing w:line="360" w:lineRule="auto"/>
        <w:ind w:firstLine="480" w:firstLineChars="200"/>
        <w:rPr>
          <w:rFonts w:hint="eastAsia" w:ascii="宋体" w:hAnsi="宋体" w:eastAsia="宋体" w:cs="宋体"/>
          <w:snapToGrid w:val="0"/>
          <w:color w:val="auto"/>
          <w:kern w:val="21"/>
          <w:sz w:val="24"/>
          <w:szCs w:val="24"/>
          <w:highlight w:val="none"/>
        </w:rPr>
      </w:pPr>
      <w:r>
        <w:rPr>
          <w:rFonts w:hint="eastAsia" w:ascii="宋体" w:hAnsi="宋体" w:eastAsia="宋体" w:cs="宋体"/>
          <w:snapToGrid w:val="0"/>
          <w:color w:val="auto"/>
          <w:kern w:val="21"/>
          <w:sz w:val="24"/>
          <w:szCs w:val="24"/>
          <w:highlight w:val="none"/>
        </w:rPr>
        <w:t>监狱企业参加政府采购活动时，应当提供由省级以上监狱管理局、戒毒管理局（含新疆生产建设兵团）出具的属于监狱企业的证明文件。</w:t>
      </w:r>
    </w:p>
    <w:p w14:paraId="7043D718">
      <w:pPr>
        <w:spacing w:line="360" w:lineRule="auto"/>
        <w:rPr>
          <w:rFonts w:hint="eastAsia" w:ascii="宋体" w:hAnsi="宋体" w:eastAsia="宋体" w:cs="宋体"/>
          <w:b/>
          <w:snapToGrid w:val="0"/>
          <w:color w:val="auto"/>
          <w:kern w:val="21"/>
          <w:sz w:val="24"/>
          <w:szCs w:val="24"/>
          <w:highlight w:val="none"/>
        </w:rPr>
      </w:pPr>
    </w:p>
    <w:p w14:paraId="35A25D7E">
      <w:pPr>
        <w:spacing w:line="360" w:lineRule="auto"/>
        <w:ind w:firstLine="482" w:firstLineChars="200"/>
        <w:rPr>
          <w:rFonts w:hint="eastAsia" w:ascii="宋体" w:hAnsi="宋体" w:eastAsia="宋体" w:cs="宋体"/>
          <w:b/>
          <w:snapToGrid w:val="0"/>
          <w:color w:val="auto"/>
          <w:kern w:val="21"/>
          <w:sz w:val="24"/>
          <w:szCs w:val="24"/>
          <w:highlight w:val="none"/>
        </w:rPr>
      </w:pPr>
      <w:r>
        <w:rPr>
          <w:rFonts w:hint="eastAsia" w:ascii="宋体" w:hAnsi="宋体" w:eastAsia="宋体" w:cs="宋体"/>
          <w:b/>
          <w:snapToGrid w:val="0"/>
          <w:color w:val="auto"/>
          <w:kern w:val="21"/>
          <w:sz w:val="24"/>
          <w:szCs w:val="24"/>
          <w:highlight w:val="none"/>
        </w:rPr>
        <w:t>注：符合条件的监狱企业在参加政府采购活动时，应当按《财政部 司法部关于政府采购支持监狱企业发展有关问题的通知》（财库[2014]68号）提供规定的《监狱企业证明文件》。</w:t>
      </w:r>
    </w:p>
    <w:p w14:paraId="280C7641">
      <w:pPr>
        <w:spacing w:line="360" w:lineRule="auto"/>
        <w:rPr>
          <w:rFonts w:hint="eastAsia" w:ascii="宋体" w:hAnsi="宋体" w:eastAsia="宋体" w:cs="宋体"/>
          <w:b/>
          <w:snapToGrid w:val="0"/>
          <w:color w:val="auto"/>
          <w:kern w:val="21"/>
          <w:sz w:val="24"/>
          <w:szCs w:val="24"/>
          <w:highlight w:val="none"/>
        </w:rPr>
      </w:pPr>
    </w:p>
    <w:p w14:paraId="24FBAF61">
      <w:pPr>
        <w:spacing w:before="100" w:beforeAutospacing="1" w:after="100" w:afterAutospacing="1"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bookmarkStart w:id="4731" w:name="OLE_LINK15"/>
      <w:r>
        <w:rPr>
          <w:rFonts w:hint="eastAsia" w:ascii="宋体" w:hAnsi="宋体" w:eastAsia="宋体" w:cs="宋体"/>
          <w:color w:val="auto"/>
          <w:sz w:val="24"/>
          <w:szCs w:val="24"/>
          <w:highlight w:val="none"/>
        </w:rPr>
        <w:t>电子签章</w:t>
      </w:r>
      <w:bookmarkEnd w:id="4731"/>
      <w:r>
        <w:rPr>
          <w:rFonts w:hint="eastAsia" w:ascii="宋体" w:hAnsi="宋体" w:eastAsia="宋体" w:cs="宋体"/>
          <w:color w:val="auto"/>
          <w:sz w:val="24"/>
          <w:szCs w:val="24"/>
          <w:highlight w:val="none"/>
        </w:rPr>
        <w:t>）：</w:t>
      </w:r>
    </w:p>
    <w:p w14:paraId="482487F7">
      <w:pPr>
        <w:spacing w:before="100" w:beforeAutospacing="1" w:after="100" w:afterAutospacing="1"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法定代表人或委托代理人（电子签章）：</w:t>
      </w:r>
    </w:p>
    <w:p w14:paraId="70B2899F">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   期：</w:t>
      </w:r>
    </w:p>
    <w:p w14:paraId="18FDB05D">
      <w:pPr>
        <w:spacing w:line="360" w:lineRule="auto"/>
        <w:ind w:firstLine="482" w:firstLineChars="200"/>
        <w:rPr>
          <w:rFonts w:hint="eastAsia" w:ascii="宋体" w:hAnsi="宋体" w:eastAsia="宋体" w:cs="宋体"/>
          <w:b/>
          <w:bCs/>
          <w:color w:val="auto"/>
          <w:sz w:val="24"/>
          <w:szCs w:val="24"/>
          <w:highlight w:val="none"/>
        </w:rPr>
      </w:pPr>
    </w:p>
    <w:p w14:paraId="2614C30D">
      <w:pPr>
        <w:spacing w:line="360" w:lineRule="auto"/>
        <w:ind w:firstLine="482" w:firstLineChars="200"/>
        <w:rPr>
          <w:rFonts w:hint="eastAsia" w:ascii="宋体" w:hAnsi="宋体" w:eastAsia="宋体" w:cs="宋体"/>
          <w:b/>
          <w:bCs/>
          <w:color w:val="auto"/>
          <w:sz w:val="24"/>
          <w:szCs w:val="24"/>
          <w:highlight w:val="none"/>
        </w:rPr>
      </w:pPr>
    </w:p>
    <w:p w14:paraId="4ADCCF3C">
      <w:pPr>
        <w:spacing w:line="360" w:lineRule="auto"/>
        <w:ind w:firstLine="482" w:firstLineChars="200"/>
        <w:rPr>
          <w:rFonts w:hint="eastAsia" w:ascii="宋体" w:hAnsi="宋体" w:eastAsia="宋体" w:cs="宋体"/>
          <w:b/>
          <w:bCs/>
          <w:color w:val="auto"/>
          <w:sz w:val="24"/>
          <w:szCs w:val="24"/>
          <w:highlight w:val="none"/>
        </w:rPr>
      </w:pPr>
    </w:p>
    <w:p w14:paraId="7650FE4C">
      <w:pPr>
        <w:spacing w:line="360" w:lineRule="auto"/>
        <w:ind w:firstLine="482" w:firstLineChars="200"/>
        <w:rPr>
          <w:rFonts w:hint="eastAsia" w:ascii="宋体" w:hAnsi="宋体" w:eastAsia="宋体" w:cs="宋体"/>
          <w:b/>
          <w:bCs/>
          <w:color w:val="auto"/>
          <w:sz w:val="24"/>
          <w:szCs w:val="24"/>
          <w:highlight w:val="none"/>
        </w:rPr>
      </w:pPr>
    </w:p>
    <w:p w14:paraId="6F74BE57">
      <w:pPr>
        <w:spacing w:line="360" w:lineRule="auto"/>
        <w:ind w:firstLine="482" w:firstLineChars="200"/>
        <w:rPr>
          <w:rFonts w:hint="eastAsia" w:ascii="宋体" w:hAnsi="宋体" w:eastAsia="宋体" w:cs="宋体"/>
          <w:b/>
          <w:bCs/>
          <w:color w:val="auto"/>
          <w:sz w:val="24"/>
          <w:szCs w:val="24"/>
          <w:highlight w:val="none"/>
        </w:rPr>
      </w:pPr>
    </w:p>
    <w:p w14:paraId="440DE9F8">
      <w:pPr>
        <w:spacing w:line="360" w:lineRule="auto"/>
        <w:ind w:firstLine="482" w:firstLineChars="200"/>
        <w:rPr>
          <w:rFonts w:hint="eastAsia" w:ascii="宋体" w:hAnsi="宋体" w:eastAsia="宋体" w:cs="宋体"/>
          <w:b/>
          <w:bCs/>
          <w:color w:val="auto"/>
          <w:sz w:val="24"/>
          <w:szCs w:val="24"/>
          <w:highlight w:val="none"/>
        </w:rPr>
      </w:pPr>
    </w:p>
    <w:p w14:paraId="57901579">
      <w:pPr>
        <w:spacing w:line="360" w:lineRule="auto"/>
        <w:ind w:firstLine="482" w:firstLineChars="200"/>
        <w:rPr>
          <w:rFonts w:hint="eastAsia" w:ascii="宋体" w:hAnsi="宋体" w:eastAsia="宋体" w:cs="宋体"/>
          <w:b/>
          <w:bCs/>
          <w:color w:val="auto"/>
          <w:sz w:val="24"/>
          <w:szCs w:val="24"/>
          <w:highlight w:val="none"/>
        </w:rPr>
      </w:pPr>
    </w:p>
    <w:p w14:paraId="09ED15E5">
      <w:pPr>
        <w:pStyle w:val="9"/>
        <w:spacing w:line="360" w:lineRule="auto"/>
        <w:rPr>
          <w:rFonts w:hint="eastAsia" w:ascii="宋体" w:hAnsi="宋体" w:eastAsia="宋体" w:cs="宋体"/>
          <w:b/>
          <w:bCs/>
          <w:color w:val="auto"/>
          <w:sz w:val="24"/>
          <w:szCs w:val="24"/>
          <w:highlight w:val="none"/>
        </w:rPr>
      </w:pPr>
    </w:p>
    <w:p w14:paraId="6FF62424">
      <w:pPr>
        <w:spacing w:line="360" w:lineRule="auto"/>
        <w:rPr>
          <w:rFonts w:hint="eastAsia" w:ascii="宋体" w:hAnsi="宋体" w:eastAsia="宋体" w:cs="宋体"/>
          <w:b/>
          <w:bCs/>
          <w:color w:val="auto"/>
          <w:sz w:val="24"/>
          <w:szCs w:val="24"/>
          <w:highlight w:val="none"/>
        </w:rPr>
      </w:pPr>
    </w:p>
    <w:p w14:paraId="0F6F1E21">
      <w:pP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br w:type="page"/>
      </w:r>
    </w:p>
    <w:p w14:paraId="11293D58">
      <w:pPr>
        <w:pStyle w:val="9"/>
        <w:keepNext w:val="0"/>
        <w:keepLines w:val="0"/>
        <w:pageBreakBefore w:val="0"/>
        <w:widowControl/>
        <w:numPr>
          <w:ilvl w:val="0"/>
          <w:numId w:val="0"/>
        </w:numPr>
        <w:kinsoku/>
        <w:wordWrap/>
        <w:overflowPunct/>
        <w:topLinePunct w:val="0"/>
        <w:autoSpaceDE/>
        <w:autoSpaceDN/>
        <w:bidi w:val="0"/>
        <w:adjustRightInd/>
        <w:snapToGrid/>
        <w:spacing w:line="360" w:lineRule="auto"/>
        <w:ind w:firstLine="241" w:firstLineChars="100"/>
        <w:jc w:val="center"/>
        <w:textAlignment w:val="auto"/>
        <w:outlineLvl w:val="1"/>
        <w:rPr>
          <w:rFonts w:hint="eastAsia" w:ascii="宋体" w:hAnsi="宋体" w:eastAsia="宋体" w:cs="宋体"/>
          <w:b/>
          <w:color w:val="auto"/>
          <w:sz w:val="24"/>
          <w:szCs w:val="24"/>
          <w:highlight w:val="none"/>
        </w:rPr>
      </w:pPr>
      <w:bookmarkStart w:id="4732" w:name="_Toc24149"/>
      <w:bookmarkStart w:id="4733" w:name="_Toc12760"/>
      <w:bookmarkStart w:id="4734" w:name="_Toc23010"/>
      <w:r>
        <w:rPr>
          <w:rFonts w:hint="eastAsia" w:ascii="宋体" w:hAnsi="宋体" w:cs="宋体"/>
          <w:b/>
          <w:color w:val="auto"/>
          <w:sz w:val="24"/>
          <w:szCs w:val="24"/>
          <w:highlight w:val="none"/>
          <w:lang w:val="en-US" w:eastAsia="zh-CN"/>
        </w:rPr>
        <w:t>(五 )</w:t>
      </w:r>
      <w:r>
        <w:rPr>
          <w:rFonts w:hint="eastAsia" w:ascii="宋体" w:hAnsi="宋体" w:eastAsia="宋体" w:cs="宋体"/>
          <w:b/>
          <w:color w:val="auto"/>
          <w:sz w:val="24"/>
          <w:szCs w:val="24"/>
          <w:highlight w:val="none"/>
        </w:rPr>
        <w:t>财务要求</w:t>
      </w:r>
      <w:bookmarkEnd w:id="4732"/>
      <w:bookmarkEnd w:id="4733"/>
      <w:bookmarkEnd w:id="4734"/>
    </w:p>
    <w:p w14:paraId="15947C89">
      <w:pPr>
        <w:pStyle w:val="9"/>
        <w:numPr>
          <w:ilvl w:val="0"/>
          <w:numId w:val="0"/>
        </w:numPr>
        <w:spacing w:line="360" w:lineRule="auto"/>
        <w:ind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（满足竞争性磋商文件要求，格式自拟，</w:t>
      </w:r>
      <w:r>
        <w:rPr>
          <w:rFonts w:hint="eastAsia" w:ascii="宋体" w:hAnsi="宋体" w:eastAsia="宋体" w:cs="宋体"/>
          <w:color w:val="auto"/>
          <w:sz w:val="24"/>
          <w:szCs w:val="24"/>
          <w:highlight w:val="none"/>
        </w:rPr>
        <w:t>加盖单位电子签章</w:t>
      </w:r>
      <w:r>
        <w:rPr>
          <w:rFonts w:hint="eastAsia" w:ascii="宋体" w:hAnsi="宋体" w:eastAsia="宋体" w:cs="宋体"/>
          <w:color w:val="auto"/>
          <w:sz w:val="24"/>
          <w:szCs w:val="24"/>
          <w:highlight w:val="none"/>
          <w:lang w:val="en-US" w:eastAsia="zh-CN"/>
        </w:rPr>
        <w:t>）</w:t>
      </w:r>
    </w:p>
    <w:p w14:paraId="3CEF865F">
      <w:pPr>
        <w:spacing w:line="360" w:lineRule="auto"/>
        <w:rPr>
          <w:rFonts w:hint="eastAsia" w:ascii="宋体" w:hAnsi="宋体" w:eastAsia="宋体" w:cs="宋体"/>
          <w:color w:val="auto"/>
          <w:highlight w:val="none"/>
        </w:rPr>
      </w:pPr>
    </w:p>
    <w:p w14:paraId="6FFC9491">
      <w:pPr>
        <w:rPr>
          <w:rFonts w:hint="eastAsia" w:ascii="宋体" w:hAnsi="宋体" w:cs="宋体"/>
          <w:b/>
          <w:bCs/>
          <w:color w:val="auto"/>
          <w:sz w:val="24"/>
          <w:szCs w:val="24"/>
          <w:highlight w:val="none"/>
          <w:lang w:eastAsia="zh-CN"/>
        </w:rPr>
      </w:pPr>
      <w:bookmarkStart w:id="4735" w:name="_Toc20964"/>
      <w:r>
        <w:rPr>
          <w:rFonts w:hint="eastAsia" w:ascii="宋体" w:hAnsi="宋体" w:cs="宋体"/>
          <w:b/>
          <w:bCs/>
          <w:color w:val="auto"/>
          <w:sz w:val="24"/>
          <w:szCs w:val="24"/>
          <w:highlight w:val="none"/>
          <w:lang w:eastAsia="zh-CN"/>
        </w:rPr>
        <w:br w:type="page"/>
      </w:r>
    </w:p>
    <w:p w14:paraId="7BB1F41C">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center"/>
        <w:textAlignment w:val="auto"/>
        <w:outlineLvl w:val="1"/>
        <w:rPr>
          <w:rFonts w:hint="eastAsia" w:ascii="宋体" w:hAnsi="宋体" w:eastAsia="宋体" w:cs="宋体"/>
          <w:b/>
          <w:bCs/>
          <w:color w:val="auto"/>
          <w:sz w:val="24"/>
          <w:szCs w:val="24"/>
          <w:highlight w:val="none"/>
        </w:rPr>
      </w:pPr>
      <w:bookmarkStart w:id="4736" w:name="_Toc20579"/>
      <w:bookmarkStart w:id="4737" w:name="_Toc22886"/>
      <w:bookmarkStart w:id="4738" w:name="_Toc7404"/>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依法缴纳税收和社会保障资金的良好记录</w:t>
      </w:r>
      <w:bookmarkEnd w:id="4735"/>
      <w:bookmarkEnd w:id="4736"/>
      <w:bookmarkEnd w:id="4737"/>
      <w:bookmarkEnd w:id="4738"/>
    </w:p>
    <w:p w14:paraId="31745062">
      <w:pPr>
        <w:pStyle w:val="9"/>
        <w:numPr>
          <w:ilvl w:val="0"/>
          <w:numId w:val="0"/>
        </w:numPr>
        <w:spacing w:line="360" w:lineRule="auto"/>
        <w:ind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（满足竞争性磋商文件要求，格式自拟，</w:t>
      </w:r>
      <w:r>
        <w:rPr>
          <w:rFonts w:hint="eastAsia" w:ascii="宋体" w:hAnsi="宋体" w:eastAsia="宋体" w:cs="宋体"/>
          <w:color w:val="auto"/>
          <w:sz w:val="24"/>
          <w:szCs w:val="24"/>
          <w:highlight w:val="none"/>
        </w:rPr>
        <w:t>加盖单位电子签章</w:t>
      </w:r>
      <w:r>
        <w:rPr>
          <w:rFonts w:hint="eastAsia" w:ascii="宋体" w:hAnsi="宋体" w:eastAsia="宋体" w:cs="宋体"/>
          <w:color w:val="auto"/>
          <w:sz w:val="24"/>
          <w:szCs w:val="24"/>
          <w:highlight w:val="none"/>
          <w:lang w:val="en-US" w:eastAsia="zh-CN"/>
        </w:rPr>
        <w:t>）</w:t>
      </w:r>
    </w:p>
    <w:p w14:paraId="1F45F626">
      <w:pPr>
        <w:pStyle w:val="10"/>
        <w:rPr>
          <w:rFonts w:hint="eastAsia"/>
          <w:color w:val="auto"/>
          <w:highlight w:val="none"/>
          <w:lang w:val="en-US" w:eastAsia="zh-CN"/>
        </w:rPr>
      </w:pPr>
    </w:p>
    <w:p w14:paraId="6617F690">
      <w:pP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br w:type="page"/>
      </w:r>
    </w:p>
    <w:p w14:paraId="7717299A">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jc w:val="center"/>
        <w:textAlignment w:val="auto"/>
        <w:outlineLvl w:val="1"/>
        <w:rPr>
          <w:rFonts w:hint="eastAsia" w:ascii="宋体" w:hAnsi="宋体" w:eastAsia="宋体" w:cs="宋体"/>
          <w:b/>
          <w:bCs/>
          <w:color w:val="auto"/>
          <w:sz w:val="24"/>
          <w:szCs w:val="24"/>
          <w:highlight w:val="none"/>
        </w:rPr>
      </w:pPr>
      <w:bookmarkStart w:id="4739" w:name="_Toc25527"/>
      <w:bookmarkStart w:id="4740" w:name="_Toc29525"/>
      <w:bookmarkStart w:id="4741" w:name="_Toc1481"/>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 xml:space="preserve">七 </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具备履行合同所必需的设备和专业技术能力的证明材料</w:t>
      </w:r>
      <w:bookmarkEnd w:id="4739"/>
      <w:bookmarkEnd w:id="4740"/>
      <w:bookmarkEnd w:id="4741"/>
    </w:p>
    <w:p w14:paraId="02B103D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outlineLvl w:val="9"/>
        <w:rPr>
          <w:rFonts w:hint="eastAsia"/>
          <w:color w:val="auto"/>
          <w:highlight w:val="none"/>
          <w:lang w:val="en-US" w:eastAsia="zh-CN"/>
        </w:rPr>
      </w:pPr>
      <w:r>
        <w:rPr>
          <w:rFonts w:hint="eastAsia" w:ascii="宋体" w:hAnsi="宋体" w:eastAsia="宋体" w:cs="宋体"/>
          <w:color w:val="auto"/>
          <w:sz w:val="24"/>
          <w:szCs w:val="24"/>
          <w:highlight w:val="none"/>
        </w:rPr>
        <w:t>（格式自拟，加盖单位电子签章）</w:t>
      </w:r>
    </w:p>
    <w:p w14:paraId="58B0B8D7">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0F076582">
      <w:pPr>
        <w:pStyle w:val="8"/>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sz w:val="24"/>
          <w:szCs w:val="24"/>
          <w:highlight w:val="none"/>
        </w:rPr>
      </w:pPr>
      <w:bookmarkStart w:id="4742" w:name="_Toc30582"/>
      <w:bookmarkStart w:id="4743" w:name="_Toc20114"/>
      <w:bookmarkStart w:id="4744" w:name="_Toc10865"/>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八</w:t>
      </w:r>
      <w:r>
        <w:rPr>
          <w:rFonts w:hint="eastAsia" w:ascii="宋体" w:hAnsi="宋体" w:eastAsia="宋体" w:cs="宋体"/>
          <w:b/>
          <w:bCs/>
          <w:color w:val="auto"/>
          <w:sz w:val="24"/>
          <w:szCs w:val="24"/>
          <w:highlight w:val="none"/>
        </w:rPr>
        <w:t>）供应商认为可以提交的其他证件扫描件</w:t>
      </w:r>
      <w:bookmarkEnd w:id="4742"/>
      <w:bookmarkEnd w:id="4743"/>
      <w:bookmarkEnd w:id="4744"/>
    </w:p>
    <w:p w14:paraId="28CF815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供应商按照竞争性磋商文件要求及评审办法中的评审内容自行编制。</w:t>
      </w:r>
    </w:p>
    <w:p w14:paraId="221A3BE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D4BBD3F">
      <w:pPr>
        <w:pStyle w:val="3"/>
        <w:keepNext/>
        <w:keepLines/>
        <w:pageBreakBefore w:val="0"/>
        <w:widowControl w:val="0"/>
        <w:numPr>
          <w:ilvl w:val="0"/>
          <w:numId w:val="0"/>
        </w:numPr>
        <w:kinsoku/>
        <w:wordWrap/>
        <w:overflowPunct/>
        <w:topLinePunct w:val="0"/>
        <w:autoSpaceDE/>
        <w:autoSpaceDN/>
        <w:bidi w:val="0"/>
        <w:adjustRightInd/>
        <w:snapToGrid/>
        <w:spacing w:before="0" w:after="0" w:afterLines="0" w:line="240" w:lineRule="auto"/>
        <w:jc w:val="center"/>
        <w:textAlignment w:val="auto"/>
        <w:outlineLvl w:val="1"/>
        <w:rPr>
          <w:rFonts w:hint="eastAsia" w:ascii="宋体" w:hAnsi="宋体" w:eastAsia="宋体" w:cs="宋体"/>
          <w:b/>
          <w:bCs/>
          <w:color w:val="auto"/>
          <w:sz w:val="24"/>
          <w:szCs w:val="24"/>
          <w:highlight w:val="none"/>
          <w:lang w:val="en-US" w:eastAsia="zh-CN" w:bidi="ar-SA"/>
        </w:rPr>
      </w:pPr>
      <w:bookmarkStart w:id="4745" w:name="_Toc19657"/>
      <w:bookmarkStart w:id="4746" w:name="_Toc29820"/>
      <w:bookmarkStart w:id="4747" w:name="_Toc32562"/>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九</w:t>
      </w:r>
      <w:r>
        <w:rPr>
          <w:rFonts w:hint="eastAsia" w:ascii="宋体" w:hAnsi="宋体" w:eastAsia="宋体" w:cs="宋体"/>
          <w:b/>
          <w:bCs/>
          <w:color w:val="auto"/>
          <w:sz w:val="24"/>
          <w:szCs w:val="24"/>
          <w:highlight w:val="none"/>
          <w:lang w:val="en-US" w:eastAsia="zh-CN" w:bidi="ar-SA"/>
        </w:rPr>
        <w:t>）特定资格条件证明材料</w:t>
      </w:r>
      <w:bookmarkEnd w:id="4745"/>
      <w:bookmarkEnd w:id="4746"/>
      <w:bookmarkEnd w:id="4747"/>
    </w:p>
    <w:p w14:paraId="21318BD8">
      <w:pPr>
        <w:rPr>
          <w:rFonts w:hint="eastAsia"/>
          <w:color w:val="auto"/>
          <w:highlight w:val="none"/>
          <w:lang w:val="en-US" w:eastAsia="zh-CN"/>
        </w:rPr>
      </w:pPr>
    </w:p>
    <w:p w14:paraId="5C9C6B71">
      <w:pPr>
        <w:numPr>
          <w:ilvl w:val="0"/>
          <w:numId w:val="0"/>
        </w:numPr>
        <w:jc w:val="center"/>
        <w:rPr>
          <w:rFonts w:hint="eastAsia"/>
          <w:color w:val="auto"/>
          <w:sz w:val="24"/>
          <w:szCs w:val="24"/>
          <w:highlight w:val="none"/>
          <w:lang w:val="en-US" w:eastAsia="zh-CN"/>
        </w:rPr>
      </w:pPr>
      <w:r>
        <w:rPr>
          <w:rFonts w:hint="eastAsia"/>
          <w:b/>
          <w:bCs/>
          <w:color w:val="auto"/>
          <w:sz w:val="24"/>
          <w:szCs w:val="24"/>
          <w:highlight w:val="none"/>
          <w:lang w:val="en-US" w:eastAsia="zh-CN"/>
        </w:rPr>
        <w:t>1.企业资质证书及安全许可证（扫描件加盖公章）</w:t>
      </w:r>
    </w:p>
    <w:p w14:paraId="66ED8824">
      <w:pPr>
        <w:rPr>
          <w:rFonts w:hint="eastAsia"/>
          <w:color w:val="auto"/>
          <w:sz w:val="24"/>
          <w:szCs w:val="24"/>
          <w:highlight w:val="none"/>
          <w:lang w:val="en-US" w:eastAsia="zh-CN"/>
        </w:rPr>
      </w:pPr>
      <w:r>
        <w:rPr>
          <w:rFonts w:hint="eastAsia"/>
          <w:b/>
          <w:bCs/>
          <w:color w:val="auto"/>
          <w:sz w:val="24"/>
          <w:szCs w:val="24"/>
          <w:highlight w:val="none"/>
          <w:lang w:val="en-US" w:eastAsia="zh-CN"/>
        </w:rPr>
        <w:br w:type="page"/>
      </w:r>
    </w:p>
    <w:p w14:paraId="62078697">
      <w:pPr>
        <w:pStyle w:val="1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项目负责人简历表</w:t>
      </w:r>
    </w:p>
    <w:p w14:paraId="3D8CF944">
      <w:pPr>
        <w:spacing w:line="240" w:lineRule="auto"/>
        <w:rPr>
          <w:rFonts w:hint="eastAsia" w:ascii="仿宋" w:hAnsi="仿宋" w:eastAsia="仿宋" w:cs="仿宋"/>
          <w:color w:val="auto"/>
          <w:sz w:val="24"/>
          <w:szCs w:val="24"/>
          <w:highlight w:val="none"/>
        </w:rPr>
      </w:pPr>
    </w:p>
    <w:tbl>
      <w:tblPr>
        <w:tblStyle w:val="27"/>
        <w:tblW w:w="0" w:type="auto"/>
        <w:jc w:val="center"/>
        <w:tblLayout w:type="fixed"/>
        <w:tblCellMar>
          <w:top w:w="0" w:type="dxa"/>
          <w:left w:w="0" w:type="dxa"/>
          <w:bottom w:w="0" w:type="dxa"/>
          <w:right w:w="0" w:type="dxa"/>
        </w:tblCellMar>
      </w:tblPr>
      <w:tblGrid>
        <w:gridCol w:w="2049"/>
        <w:gridCol w:w="726"/>
        <w:gridCol w:w="574"/>
        <w:gridCol w:w="1000"/>
        <w:gridCol w:w="1433"/>
        <w:gridCol w:w="1179"/>
        <w:gridCol w:w="788"/>
        <w:gridCol w:w="1435"/>
      </w:tblGrid>
      <w:tr w14:paraId="6BCA68F6">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14B42D51">
            <w:pPr>
              <w:pStyle w:val="49"/>
              <w:keepNext w:val="0"/>
              <w:keepLines w:val="0"/>
              <w:pageBreakBefore w:val="0"/>
              <w:widowControl w:val="0"/>
              <w:tabs>
                <w:tab w:val="left" w:pos="63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3BB7ECD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99AEC79">
            <w:pPr>
              <w:pStyle w:val="49"/>
              <w:keepNext w:val="0"/>
              <w:keepLines w:val="0"/>
              <w:pageBreakBefore w:val="0"/>
              <w:widowControl w:val="0"/>
              <w:tabs>
                <w:tab w:val="left" w:pos="633"/>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24F1E4BC">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41AA1283">
            <w:pPr>
              <w:pStyle w:val="49"/>
              <w:keepNext w:val="0"/>
              <w:keepLines w:val="0"/>
              <w:pageBreakBefore w:val="0"/>
              <w:widowControl w:val="0"/>
              <w:tabs>
                <w:tab w:val="left" w:pos="11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7565EFEC">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6671AAAF">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ED66A14">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39D4281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433" w:type="dxa"/>
            <w:gridSpan w:val="2"/>
            <w:tcBorders>
              <w:top w:val="single" w:color="000000" w:sz="4" w:space="0"/>
              <w:left w:val="single" w:color="000000" w:sz="4" w:space="0"/>
              <w:bottom w:val="single" w:color="000000" w:sz="4" w:space="0"/>
              <w:right w:val="single" w:color="000000" w:sz="4" w:space="0"/>
            </w:tcBorders>
            <w:noWrap w:val="0"/>
            <w:vAlign w:val="center"/>
          </w:tcPr>
          <w:p w14:paraId="52BFAAA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r>
              <w:rPr>
                <w:rFonts w:hint="eastAsia" w:ascii="仿宋" w:hAnsi="仿宋" w:eastAsia="仿宋" w:cs="仿宋"/>
                <w:color w:val="auto"/>
                <w:sz w:val="24"/>
                <w:szCs w:val="24"/>
                <w:highlight w:val="none"/>
                <w:lang w:val="en-US" w:eastAsia="zh-CN"/>
              </w:rPr>
              <w:t>专业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3402" w:type="dxa"/>
            <w:gridSpan w:val="3"/>
            <w:tcBorders>
              <w:top w:val="single" w:color="000000" w:sz="4" w:space="0"/>
              <w:left w:val="single" w:color="000000" w:sz="4" w:space="0"/>
              <w:bottom w:val="single" w:color="000000" w:sz="4" w:space="0"/>
              <w:right w:val="single" w:color="000000" w:sz="4" w:space="0"/>
            </w:tcBorders>
            <w:noWrap w:val="0"/>
            <w:vAlign w:val="center"/>
          </w:tcPr>
          <w:p w14:paraId="526FAD4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5BB62F8C">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90C21FD">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拟担任职务或岗位</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47409F3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0037B9A2">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类似</w:t>
            </w:r>
            <w:r>
              <w:rPr>
                <w:rFonts w:hint="eastAsia" w:ascii="仿宋" w:hAnsi="仿宋" w:eastAsia="仿宋" w:cs="仿宋"/>
                <w:color w:val="auto"/>
                <w:sz w:val="24"/>
                <w:szCs w:val="24"/>
                <w:highlight w:val="none"/>
                <w:lang w:val="en-US" w:eastAsia="zh-CN"/>
              </w:rPr>
              <w:t>工作</w:t>
            </w:r>
            <w:r>
              <w:rPr>
                <w:rFonts w:hint="eastAsia" w:ascii="仿宋" w:hAnsi="仿宋" w:eastAsia="仿宋" w:cs="仿宋"/>
                <w:color w:val="auto"/>
                <w:sz w:val="24"/>
                <w:szCs w:val="24"/>
                <w:highlight w:val="none"/>
              </w:rPr>
              <w:t>经验年限</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5884A910">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0EE768B3">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B5BB3EB">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7135" w:type="dxa"/>
            <w:gridSpan w:val="7"/>
            <w:tcBorders>
              <w:top w:val="single" w:color="000000" w:sz="4" w:space="0"/>
              <w:left w:val="single" w:color="000000" w:sz="4" w:space="0"/>
              <w:bottom w:val="single" w:color="000000" w:sz="4" w:space="0"/>
              <w:right w:val="single" w:color="000000" w:sz="4" w:space="0"/>
            </w:tcBorders>
            <w:noWrap w:val="0"/>
            <w:vAlign w:val="center"/>
          </w:tcPr>
          <w:p w14:paraId="753D267F">
            <w:pPr>
              <w:pStyle w:val="49"/>
              <w:keepNext w:val="0"/>
              <w:keepLines w:val="0"/>
              <w:pageBreakBefore w:val="0"/>
              <w:widowControl w:val="0"/>
              <w:tabs>
                <w:tab w:val="left" w:pos="526"/>
                <w:tab w:val="left" w:pos="1052"/>
                <w:tab w:val="left" w:pos="3887"/>
                <w:tab w:val="left" w:pos="5462"/>
                <w:tab w:val="left" w:pos="7140"/>
              </w:tabs>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月毕业于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学校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专业</w:t>
            </w:r>
          </w:p>
        </w:tc>
      </w:tr>
      <w:tr w14:paraId="3D4BE155">
        <w:tblPrEx>
          <w:tblCellMar>
            <w:top w:w="0" w:type="dxa"/>
            <w:left w:w="0" w:type="dxa"/>
            <w:bottom w:w="0" w:type="dxa"/>
            <w:right w:w="0" w:type="dxa"/>
          </w:tblCellMar>
        </w:tblPrEx>
        <w:trPr>
          <w:trHeight w:val="567" w:hRule="atLeast"/>
          <w:jc w:val="center"/>
        </w:trPr>
        <w:tc>
          <w:tcPr>
            <w:tcW w:w="9184" w:type="dxa"/>
            <w:gridSpan w:val="8"/>
            <w:tcBorders>
              <w:top w:val="single" w:color="000000" w:sz="4" w:space="0"/>
              <w:left w:val="single" w:color="000000" w:sz="4" w:space="0"/>
              <w:bottom w:val="single" w:color="000000" w:sz="4" w:space="0"/>
              <w:right w:val="single" w:color="000000" w:sz="4" w:space="0"/>
            </w:tcBorders>
            <w:noWrap w:val="0"/>
            <w:vAlign w:val="center"/>
          </w:tcPr>
          <w:p w14:paraId="2D0CC6D1">
            <w:pPr>
              <w:pStyle w:val="49"/>
              <w:keepNext w:val="0"/>
              <w:keepLines w:val="0"/>
              <w:pageBreakBefore w:val="0"/>
              <w:widowControl w:val="0"/>
              <w:tabs>
                <w:tab w:val="left" w:pos="116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经历</w:t>
            </w:r>
          </w:p>
        </w:tc>
      </w:tr>
      <w:tr w14:paraId="3EA63AAD">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2FCFE44">
            <w:pPr>
              <w:pStyle w:val="49"/>
              <w:keepNext w:val="0"/>
              <w:keepLines w:val="0"/>
              <w:pageBreakBefore w:val="0"/>
              <w:widowControl w:val="0"/>
              <w:tabs>
                <w:tab w:val="left" w:pos="4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6CFC1B68">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5981A414">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担任职务</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47875CC3">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发包人及联</w:t>
            </w:r>
            <w:r>
              <w:rPr>
                <w:rFonts w:hint="eastAsia" w:ascii="仿宋" w:hAnsi="仿宋" w:eastAsia="仿宋" w:cs="仿宋"/>
                <w:color w:val="auto"/>
                <w:sz w:val="24"/>
                <w:szCs w:val="24"/>
                <w:highlight w:val="none"/>
              </w:rPr>
              <w:t>系电话</w:t>
            </w:r>
          </w:p>
        </w:tc>
      </w:tr>
      <w:tr w14:paraId="0D5A9620">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10BA3EB2">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48CF1A1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4CEE6A6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23FFDBD9">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r>
      <w:tr w14:paraId="6A2CF4ED">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6AACD167">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7B7299F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5E15962F">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5B93A1C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r>
      <w:tr w14:paraId="317451BB">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0A33AD90">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7F6AC3B4">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21485C1F">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1507A37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r w14:paraId="5E5A736F">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587BEEE6">
            <w:pPr>
              <w:pStyle w:val="49"/>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获奖情况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578EAA2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218C23D3">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26D0830C">
            <w:pPr>
              <w:pStyle w:val="49"/>
              <w:keepNext w:val="0"/>
              <w:keepLines w:val="0"/>
              <w:pageBreakBefore w:val="0"/>
              <w:widowControl w:val="0"/>
              <w:tabs>
                <w:tab w:val="left" w:pos="1576"/>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3F179FD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bl>
    <w:p w14:paraId="36921CC1">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rPr>
      </w:pPr>
    </w:p>
    <w:p w14:paraId="79886C2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要求：</w:t>
      </w:r>
    </w:p>
    <w:p w14:paraId="044503BE">
      <w:pPr>
        <w:numPr>
          <w:ilvl w:val="0"/>
          <w:numId w:val="0"/>
        </w:numPr>
        <w:spacing w:line="360" w:lineRule="auto"/>
        <w:ind w:firstLine="482" w:firstLineChars="200"/>
        <w:jc w:val="both"/>
        <w:rPr>
          <w:rFonts w:hint="eastAsia" w:ascii="仿宋" w:hAnsi="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表后</w:t>
      </w:r>
      <w:r>
        <w:rPr>
          <w:rFonts w:hint="eastAsia" w:ascii="仿宋" w:hAnsi="仿宋" w:eastAsia="仿宋" w:cs="仿宋"/>
          <w:b/>
          <w:bCs/>
          <w:color w:val="auto"/>
          <w:sz w:val="24"/>
          <w:szCs w:val="24"/>
          <w:highlight w:val="none"/>
          <w:lang w:val="en-US" w:eastAsia="zh-CN"/>
        </w:rPr>
        <w:t>附项目负责人的</w:t>
      </w:r>
      <w:r>
        <w:rPr>
          <w:rFonts w:hint="eastAsia" w:ascii="仿宋" w:hAnsi="仿宋" w:eastAsia="仿宋" w:cs="仿宋"/>
          <w:b/>
          <w:bCs/>
          <w:color w:val="auto"/>
          <w:sz w:val="24"/>
          <w:szCs w:val="24"/>
          <w:highlight w:val="none"/>
        </w:rPr>
        <w:t>居民身份证、注册建造师</w:t>
      </w:r>
      <w:r>
        <w:rPr>
          <w:rFonts w:hint="eastAsia" w:ascii="仿宋" w:hAnsi="仿宋" w:eastAsia="仿宋" w:cs="仿宋"/>
          <w:b/>
          <w:bCs/>
          <w:color w:val="auto"/>
          <w:sz w:val="24"/>
          <w:szCs w:val="24"/>
          <w:highlight w:val="none"/>
          <w:lang w:val="en-US" w:eastAsia="zh-CN"/>
        </w:rPr>
        <w:t>证书、有效的安全生产考核合格证书、项目负责人</w:t>
      </w:r>
      <w:r>
        <w:rPr>
          <w:rFonts w:hint="eastAsia" w:ascii="仿宋" w:hAnsi="仿宋" w:eastAsia="仿宋" w:cs="仿宋"/>
          <w:b/>
          <w:bCs/>
          <w:color w:val="auto"/>
          <w:sz w:val="24"/>
          <w:szCs w:val="24"/>
          <w:highlight w:val="none"/>
          <w:lang w:eastAsia="zh-CN"/>
        </w:rPr>
        <w:t>无在建承诺书</w:t>
      </w:r>
      <w:r>
        <w:rPr>
          <w:rFonts w:hint="eastAsia" w:ascii="仿宋" w:hAnsi="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eastAsia="zh-CN"/>
        </w:rPr>
        <w:t>职称证（如有）、</w:t>
      </w:r>
      <w:r>
        <w:rPr>
          <w:rFonts w:hint="eastAsia" w:ascii="仿宋" w:hAnsi="仿宋" w:eastAsia="仿宋" w:cs="仿宋"/>
          <w:b/>
          <w:bCs/>
          <w:color w:val="auto"/>
          <w:sz w:val="24"/>
          <w:szCs w:val="24"/>
          <w:highlight w:val="none"/>
          <w:lang w:val="en-US" w:eastAsia="zh-CN"/>
        </w:rPr>
        <w:t>提供本单位的社保缴纳证明或劳动合同</w:t>
      </w:r>
      <w:r>
        <w:rPr>
          <w:rFonts w:hint="eastAsia" w:ascii="仿宋" w:hAnsi="仿宋" w:eastAsia="仿宋" w:cs="仿宋"/>
          <w:b/>
          <w:bCs/>
          <w:color w:val="auto"/>
          <w:sz w:val="24"/>
          <w:szCs w:val="24"/>
          <w:highlight w:val="none"/>
          <w:lang w:eastAsia="zh-CN"/>
        </w:rPr>
        <w:t>等</w:t>
      </w:r>
      <w:r>
        <w:rPr>
          <w:rFonts w:hint="eastAsia" w:ascii="仿宋" w:hAnsi="仿宋" w:cs="仿宋"/>
          <w:b/>
          <w:bCs/>
          <w:color w:val="auto"/>
          <w:sz w:val="24"/>
          <w:szCs w:val="24"/>
          <w:highlight w:val="none"/>
          <w:lang w:eastAsia="zh-CN"/>
        </w:rPr>
        <w:t>。</w:t>
      </w:r>
    </w:p>
    <w:p w14:paraId="47B0933E">
      <w:pPr>
        <w:rPr>
          <w:rFonts w:hint="eastAsia" w:ascii="仿宋" w:hAnsi="仿宋" w:cs="仿宋"/>
          <w:b/>
          <w:bCs/>
          <w:color w:val="auto"/>
          <w:sz w:val="24"/>
          <w:szCs w:val="24"/>
          <w:highlight w:val="none"/>
          <w:lang w:eastAsia="zh-CN"/>
        </w:rPr>
      </w:pPr>
      <w:r>
        <w:rPr>
          <w:rFonts w:hint="eastAsia" w:ascii="仿宋" w:hAnsi="仿宋" w:cs="仿宋"/>
          <w:b/>
          <w:bCs/>
          <w:color w:val="auto"/>
          <w:sz w:val="24"/>
          <w:szCs w:val="24"/>
          <w:highlight w:val="none"/>
          <w:lang w:eastAsia="zh-CN"/>
        </w:rPr>
        <w:br w:type="page"/>
      </w:r>
    </w:p>
    <w:p w14:paraId="7FE8E29E">
      <w:pPr>
        <w:jc w:val="center"/>
        <w:rPr>
          <w:rFonts w:hint="eastAsia" w:ascii="仿宋" w:hAnsi="仿宋" w:eastAsia="仿宋" w:cs="仿宋"/>
          <w:b/>
          <w:bCs/>
          <w:color w:val="auto"/>
          <w:sz w:val="24"/>
          <w:szCs w:val="24"/>
          <w:highlight w:val="none"/>
        </w:rPr>
      </w:pPr>
      <w:r>
        <w:rPr>
          <w:rFonts w:hint="eastAsia" w:cs="仿宋"/>
          <w:b/>
          <w:bCs/>
          <w:color w:val="auto"/>
          <w:sz w:val="24"/>
          <w:szCs w:val="24"/>
          <w:highlight w:val="none"/>
          <w:lang w:val="en-US" w:eastAsia="zh-CN"/>
        </w:rPr>
        <w:t>3.</w:t>
      </w:r>
      <w:r>
        <w:rPr>
          <w:rFonts w:hint="eastAsia" w:ascii="仿宋" w:hAnsi="仿宋" w:eastAsia="仿宋" w:cs="仿宋"/>
          <w:b/>
          <w:bCs/>
          <w:color w:val="auto"/>
          <w:sz w:val="24"/>
          <w:szCs w:val="24"/>
          <w:highlight w:val="none"/>
        </w:rPr>
        <w:t>项目负责人无在建承诺书</w:t>
      </w:r>
    </w:p>
    <w:p w14:paraId="05A197B5">
      <w:pPr>
        <w:keepNext w:val="0"/>
        <w:keepLines w:val="0"/>
        <w:pageBreakBefore w:val="0"/>
        <w:widowControl w:val="0"/>
        <w:kinsoku/>
        <w:wordWrap/>
        <w:overflowPunct/>
        <w:topLinePunct w:val="0"/>
        <w:autoSpaceDE/>
        <w:autoSpaceDN/>
        <w:bidi w:val="0"/>
        <w:adjustRightInd/>
        <w:snapToGrid/>
        <w:spacing w:after="312" w:afterLines="100" w:line="440" w:lineRule="exact"/>
        <w:jc w:val="left"/>
        <w:textAlignment w:val="auto"/>
        <w:rPr>
          <w:rFonts w:hint="eastAsia" w:ascii="仿宋" w:hAnsi="仿宋" w:cs="仿宋"/>
          <w:b/>
          <w:bCs/>
          <w:color w:val="auto"/>
          <w:sz w:val="24"/>
          <w:szCs w:val="24"/>
          <w:highlight w:val="none"/>
          <w:u w:val="none"/>
          <w:lang w:val="en-US" w:eastAsia="zh-CN"/>
        </w:rPr>
      </w:pPr>
    </w:p>
    <w:p w14:paraId="4C73E630">
      <w:pPr>
        <w:keepNext w:val="0"/>
        <w:keepLines w:val="0"/>
        <w:pageBreakBefore w:val="0"/>
        <w:widowControl w:val="0"/>
        <w:kinsoku/>
        <w:wordWrap/>
        <w:overflowPunct/>
        <w:topLinePunct w:val="0"/>
        <w:autoSpaceDE/>
        <w:autoSpaceDN/>
        <w:bidi w:val="0"/>
        <w:adjustRightInd/>
        <w:snapToGrid/>
        <w:spacing w:after="312" w:afterLines="100" w:line="440" w:lineRule="exact"/>
        <w:jc w:val="left"/>
        <w:textAlignment w:val="auto"/>
        <w:rPr>
          <w:rFonts w:hint="eastAsia" w:ascii="仿宋" w:hAnsi="仿宋" w:eastAsia="仿宋" w:cs="仿宋"/>
          <w:color w:val="auto"/>
          <w:sz w:val="24"/>
          <w:szCs w:val="24"/>
          <w:highlight w:val="none"/>
        </w:rPr>
      </w:pPr>
      <w:r>
        <w:rPr>
          <w:rFonts w:hint="eastAsia" w:ascii="仿宋" w:hAnsi="仿宋" w:cs="仿宋"/>
          <w:b/>
          <w:bCs/>
          <w:color w:val="auto"/>
          <w:sz w:val="24"/>
          <w:szCs w:val="24"/>
          <w:highlight w:val="none"/>
          <w:u w:val="none"/>
          <w:lang w:val="en-US" w:eastAsia="zh-CN"/>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w:t>
      </w:r>
    </w:p>
    <w:p w14:paraId="6FDC138F">
      <w:pPr>
        <w:keepNext w:val="0"/>
        <w:keepLines w:val="0"/>
        <w:pageBreakBefore w:val="0"/>
        <w:widowControl w:val="0"/>
        <w:kinsoku/>
        <w:wordWrap/>
        <w:overflowPunct/>
        <w:topLinePunct w:val="0"/>
        <w:autoSpaceDE/>
        <w:autoSpaceDN/>
        <w:bidi w:val="0"/>
        <w:adjustRightInd/>
        <w:snapToGrid/>
        <w:spacing w:after="312" w:afterLines="100"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我方在此声明，我方拟派往</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（项目名称）（以下简称“本工程”）的项目负责人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（项目负责人姓名）现阶段没有担任任何在建建设工程项目的项目负责人。</w:t>
      </w:r>
    </w:p>
    <w:p w14:paraId="5148E1DA">
      <w:pPr>
        <w:keepNext w:val="0"/>
        <w:keepLines w:val="0"/>
        <w:pageBreakBefore w:val="0"/>
        <w:widowControl w:val="0"/>
        <w:kinsoku/>
        <w:wordWrap/>
        <w:overflowPunct/>
        <w:topLinePunct w:val="0"/>
        <w:autoSpaceDE/>
        <w:autoSpaceDN/>
        <w:bidi w:val="0"/>
        <w:adjustRightInd/>
        <w:snapToGrid/>
        <w:spacing w:after="312" w:afterLines="100"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我方保证上述信息的真实和准确，并愿意承担因我方就此弄虚作假所引起的一切法律后果。</w:t>
      </w:r>
    </w:p>
    <w:p w14:paraId="232443A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49DA698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特此承诺</w:t>
      </w:r>
    </w:p>
    <w:p w14:paraId="09026F6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0850A2C8">
      <w:pPr>
        <w:pStyle w:val="8"/>
        <w:rPr>
          <w:rFonts w:hint="eastAsia" w:ascii="仿宋" w:hAnsi="仿宋" w:eastAsia="仿宋" w:cs="仿宋"/>
          <w:color w:val="auto"/>
          <w:sz w:val="24"/>
          <w:szCs w:val="24"/>
          <w:highlight w:val="none"/>
        </w:rPr>
      </w:pPr>
    </w:p>
    <w:p w14:paraId="3C831000">
      <w:pPr>
        <w:rPr>
          <w:rFonts w:hint="eastAsia" w:ascii="仿宋" w:hAnsi="仿宋" w:eastAsia="仿宋" w:cs="仿宋"/>
          <w:color w:val="auto"/>
          <w:sz w:val="24"/>
          <w:szCs w:val="24"/>
          <w:highlight w:val="none"/>
        </w:rPr>
      </w:pPr>
    </w:p>
    <w:p w14:paraId="7A02D18A">
      <w:pPr>
        <w:pStyle w:val="8"/>
        <w:rPr>
          <w:rFonts w:hint="eastAsia" w:ascii="仿宋" w:hAnsi="仿宋" w:eastAsia="仿宋" w:cs="仿宋"/>
          <w:color w:val="auto"/>
          <w:sz w:val="24"/>
          <w:szCs w:val="24"/>
          <w:highlight w:val="none"/>
        </w:rPr>
      </w:pPr>
    </w:p>
    <w:p w14:paraId="66A2BC41">
      <w:pPr>
        <w:rPr>
          <w:rFonts w:hint="eastAsia" w:ascii="仿宋" w:hAnsi="仿宋" w:eastAsia="仿宋" w:cs="仿宋"/>
          <w:color w:val="auto"/>
          <w:sz w:val="24"/>
          <w:szCs w:val="24"/>
          <w:highlight w:val="none"/>
        </w:rPr>
      </w:pPr>
    </w:p>
    <w:p w14:paraId="3540289C">
      <w:pPr>
        <w:pStyle w:val="8"/>
        <w:rPr>
          <w:rFonts w:hint="eastAsia"/>
          <w:color w:val="auto"/>
          <w:highlight w:val="none"/>
        </w:rPr>
      </w:pPr>
    </w:p>
    <w:p w14:paraId="44A9340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供应商（</w:t>
      </w:r>
      <w:r>
        <w:rPr>
          <w:rFonts w:hint="eastAsia" w:ascii="宋体" w:hAnsi="宋体"/>
          <w:color w:val="auto"/>
          <w:sz w:val="24"/>
          <w:szCs w:val="24"/>
          <w:highlight w:val="none"/>
        </w:rPr>
        <w:t>电子签章</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 xml:space="preserve">                             </w:t>
      </w:r>
    </w:p>
    <w:p w14:paraId="1CC088F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法定代表人或委托代理人（</w:t>
      </w:r>
      <w:r>
        <w:rPr>
          <w:rFonts w:hint="eastAsia" w:ascii="宋体" w:hAnsi="宋体"/>
          <w:color w:val="auto"/>
          <w:sz w:val="24"/>
          <w:szCs w:val="24"/>
          <w:highlight w:val="none"/>
        </w:rPr>
        <w:t>电子签章</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 xml:space="preserve">  </w:t>
      </w:r>
    </w:p>
    <w:p w14:paraId="581CF07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日期：</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 xml:space="preserve"> 年</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月</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日</w:t>
      </w:r>
    </w:p>
    <w:p w14:paraId="69D8BCD1">
      <w:pPr>
        <w:numPr>
          <w:ilvl w:val="0"/>
          <w:numId w:val="0"/>
        </w:numPr>
        <w:jc w:val="both"/>
        <w:rPr>
          <w:rFonts w:hint="eastAsia" w:ascii="仿宋" w:hAnsi="仿宋" w:cs="仿宋"/>
          <w:b/>
          <w:bCs/>
          <w:color w:val="auto"/>
          <w:sz w:val="24"/>
          <w:szCs w:val="24"/>
          <w:highlight w:val="none"/>
          <w:lang w:val="en-US" w:eastAsia="zh-CN"/>
        </w:rPr>
      </w:pPr>
    </w:p>
    <w:p w14:paraId="726FAAD5">
      <w:pPr>
        <w:numPr>
          <w:ilvl w:val="0"/>
          <w:numId w:val="8"/>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5131D9C">
      <w:pPr>
        <w:pStyle w:val="21"/>
        <w:spacing w:before="120" w:line="360" w:lineRule="auto"/>
        <w:ind w:firstLine="480" w:firstLineChars="200"/>
        <w:rPr>
          <w:rFonts w:hint="eastAsia" w:ascii="宋体" w:hAnsi="宋体" w:eastAsia="宋体" w:cs="宋体"/>
          <w:color w:val="auto"/>
          <w:sz w:val="24"/>
          <w:szCs w:val="24"/>
          <w:highlight w:val="none"/>
        </w:rPr>
      </w:pPr>
    </w:p>
    <w:p w14:paraId="1825DB20">
      <w:pPr>
        <w:pStyle w:val="3"/>
        <w:spacing w:line="360" w:lineRule="auto"/>
        <w:rPr>
          <w:rFonts w:hint="eastAsia" w:ascii="宋体" w:hAnsi="宋体" w:eastAsia="宋体" w:cs="宋体"/>
          <w:color w:val="auto"/>
          <w:highlight w:val="none"/>
        </w:rPr>
      </w:pPr>
      <w:bookmarkStart w:id="4748" w:name="_Toc28308"/>
      <w:bookmarkStart w:id="4749" w:name="_Toc10875"/>
      <w:bookmarkStart w:id="4750" w:name="_Toc12579"/>
      <w:bookmarkStart w:id="4751" w:name="_Toc12368"/>
      <w:bookmarkStart w:id="4752" w:name="_Toc12032"/>
      <w:r>
        <w:rPr>
          <w:rFonts w:hint="eastAsia" w:ascii="宋体" w:hAnsi="宋体" w:eastAsia="宋体" w:cs="宋体"/>
          <w:color w:val="auto"/>
          <w:highlight w:val="none"/>
        </w:rPr>
        <w:t>二、响应文件报价部分格式</w:t>
      </w:r>
      <w:bookmarkEnd w:id="4748"/>
      <w:bookmarkEnd w:id="4749"/>
      <w:bookmarkEnd w:id="4750"/>
      <w:bookmarkEnd w:id="4751"/>
      <w:bookmarkEnd w:id="4752"/>
    </w:p>
    <w:p w14:paraId="48ABD3D1">
      <w:pPr>
        <w:pStyle w:val="3"/>
        <w:spacing w:line="360" w:lineRule="auto"/>
        <w:rPr>
          <w:rFonts w:hint="eastAsia" w:ascii="宋体" w:hAnsi="宋体" w:eastAsia="宋体" w:cs="宋体"/>
          <w:b w:val="0"/>
          <w:color w:val="auto"/>
          <w:sz w:val="24"/>
          <w:highlight w:val="none"/>
        </w:rPr>
        <w:sectPr>
          <w:pgSz w:w="11906" w:h="16838"/>
          <w:pgMar w:top="1134" w:right="1247" w:bottom="1134" w:left="1247" w:header="851" w:footer="992" w:gutter="0"/>
          <w:pgNumType w:fmt="decimal"/>
          <w:cols w:space="720" w:num="1"/>
          <w:docGrid w:linePitch="312" w:charSpace="0"/>
        </w:sectPr>
      </w:pPr>
    </w:p>
    <w:p w14:paraId="0C4E9192">
      <w:pPr>
        <w:pStyle w:val="21"/>
        <w:spacing w:before="120" w:line="360" w:lineRule="auto"/>
        <w:rPr>
          <w:rFonts w:hint="eastAsia" w:ascii="宋体" w:hAnsi="宋体" w:eastAsia="宋体" w:cs="宋体"/>
          <w:b/>
          <w:bCs/>
          <w:color w:val="auto"/>
          <w:sz w:val="21"/>
          <w:szCs w:val="21"/>
          <w:highlight w:val="none"/>
        </w:rPr>
      </w:pPr>
      <w:bookmarkStart w:id="4753" w:name="_Toc11876"/>
      <w:r>
        <w:rPr>
          <w:rFonts w:hint="eastAsia" w:ascii="宋体" w:hAnsi="宋体" w:eastAsia="宋体" w:cs="宋体"/>
          <w:b/>
          <w:bCs/>
          <w:color w:val="auto"/>
          <w:sz w:val="21"/>
          <w:szCs w:val="21"/>
          <w:highlight w:val="none"/>
        </w:rPr>
        <w:t>（实质性格式要求）</w:t>
      </w:r>
    </w:p>
    <w:p w14:paraId="626A9AAB">
      <w:pPr>
        <w:pStyle w:val="3"/>
        <w:spacing w:line="360" w:lineRule="auto"/>
        <w:rPr>
          <w:rFonts w:hint="eastAsia" w:ascii="宋体" w:hAnsi="宋体" w:eastAsia="宋体" w:cs="宋体"/>
          <w:b/>
          <w:bCs/>
          <w:color w:val="auto"/>
          <w:sz w:val="24"/>
          <w:highlight w:val="none"/>
        </w:rPr>
      </w:pPr>
      <w:bookmarkStart w:id="4754" w:name="_Toc4368"/>
      <w:bookmarkStart w:id="4755" w:name="_Toc26652"/>
      <w:bookmarkStart w:id="4756" w:name="_Toc11801"/>
      <w:bookmarkStart w:id="4757" w:name="_Toc7054"/>
      <w:r>
        <w:rPr>
          <w:rFonts w:hint="eastAsia" w:ascii="宋体" w:hAnsi="宋体" w:eastAsia="宋体" w:cs="宋体"/>
          <w:b/>
          <w:bCs/>
          <w:color w:val="auto"/>
          <w:sz w:val="24"/>
          <w:highlight w:val="none"/>
        </w:rPr>
        <w:t>（一）磋商函</w:t>
      </w:r>
      <w:bookmarkEnd w:id="4753"/>
      <w:bookmarkEnd w:id="4754"/>
      <w:bookmarkEnd w:id="4755"/>
      <w:bookmarkEnd w:id="4756"/>
      <w:bookmarkEnd w:id="4757"/>
    </w:p>
    <w:p w14:paraId="7755DD6A">
      <w:pPr>
        <w:spacing w:line="360" w:lineRule="auto"/>
        <w:rPr>
          <w:rFonts w:hint="eastAsia" w:ascii="宋体" w:hAnsi="宋体" w:eastAsia="宋体" w:cs="宋体"/>
          <w:color w:val="auto"/>
          <w:highlight w:val="none"/>
        </w:rPr>
      </w:pPr>
    </w:p>
    <w:p w14:paraId="4C826C2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2ED91E0F">
      <w:pPr>
        <w:spacing w:line="360" w:lineRule="auto"/>
        <w:ind w:firstLine="463" w:firstLineChars="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在充分研究</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（以下简称“本项目”）竞争性磋商文件的全部内容后，我方兹以</w:t>
      </w:r>
      <w:r>
        <w:rPr>
          <w:rFonts w:hint="eastAsia" w:ascii="宋体" w:hAnsi="宋体" w:eastAsia="宋体" w:cs="宋体"/>
          <w:color w:val="auto"/>
          <w:sz w:val="24"/>
          <w:szCs w:val="24"/>
          <w:highlight w:val="none"/>
          <w:u w:val="single"/>
        </w:rPr>
        <w:t>最终磋商报价表</w:t>
      </w:r>
      <w:r>
        <w:rPr>
          <w:rFonts w:hint="eastAsia" w:ascii="宋体" w:hAnsi="宋体" w:eastAsia="宋体" w:cs="宋体"/>
          <w:color w:val="auto"/>
          <w:sz w:val="24"/>
          <w:szCs w:val="24"/>
          <w:highlight w:val="none"/>
        </w:rPr>
        <w:t>的磋商价格和按项目约定有权得到的其</w:t>
      </w:r>
      <w:r>
        <w:rPr>
          <w:rFonts w:hint="eastAsia" w:ascii="宋体" w:hAnsi="宋体" w:eastAsia="宋体" w:cs="宋体"/>
          <w:color w:val="auto"/>
          <w:sz w:val="24"/>
          <w:szCs w:val="24"/>
          <w:highlight w:val="none"/>
          <w:lang w:val="en-US" w:eastAsia="zh-CN"/>
        </w:rPr>
        <w:t>他</w:t>
      </w:r>
      <w:r>
        <w:rPr>
          <w:rFonts w:hint="eastAsia" w:ascii="宋体" w:hAnsi="宋体" w:eastAsia="宋体" w:cs="宋体"/>
          <w:color w:val="auto"/>
          <w:sz w:val="24"/>
          <w:szCs w:val="24"/>
          <w:highlight w:val="none"/>
        </w:rPr>
        <w:t>金额，并严格按照项目</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约定</w:t>
      </w:r>
      <w:r>
        <w:rPr>
          <w:rFonts w:hint="eastAsia" w:ascii="宋体" w:hAnsi="宋体" w:eastAsia="宋体" w:cs="宋体"/>
          <w:color w:val="auto"/>
          <w:sz w:val="24"/>
          <w:szCs w:val="24"/>
          <w:highlight w:val="none"/>
          <w:lang w:val="en-US" w:eastAsia="zh-CN"/>
        </w:rPr>
        <w:t>完成全部工作。</w:t>
      </w:r>
    </w:p>
    <w:p w14:paraId="3A0B4DB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1、如果我方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，我方保证按照项目约定的</w:t>
      </w:r>
      <w:r>
        <w:rPr>
          <w:rFonts w:hint="eastAsia" w:ascii="宋体" w:hAnsi="宋体" w:eastAsia="宋体" w:cs="宋体"/>
          <w:color w:val="auto"/>
          <w:sz w:val="24"/>
          <w:szCs w:val="24"/>
          <w:highlight w:val="none"/>
          <w:lang w:val="en-US" w:eastAsia="zh-CN"/>
        </w:rPr>
        <w:t>计划工期</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val="en-US" w:eastAsia="zh-CN"/>
        </w:rPr>
        <w:t>招标范围</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color w:val="auto"/>
          <w:sz w:val="24"/>
          <w:szCs w:val="24"/>
          <w:highlight w:val="none"/>
        </w:rPr>
        <w:t>。我方同意本磋商函在竞争性磋商文件规定的提交响应文件截止时间后，在竞争性磋商文件规定的磋商有效期期满前对我方具有约束力，且随时准备接受你方发出的</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w:t>
      </w:r>
    </w:p>
    <w:p w14:paraId="2E5F46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2、我方同意所提交的响应文件在竞争性磋商文件的供应商须知中规定的磋商有效期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日历天有效，在此期间内如果</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，我方将受此约束。</w:t>
      </w:r>
    </w:p>
    <w:p w14:paraId="6A1B0D2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3、在签署协议书之前，你方的</w:t>
      </w:r>
      <w:r>
        <w:rPr>
          <w:rFonts w:hint="eastAsia" w:ascii="宋体" w:hAnsi="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连同本磋商函，对双方具有约束力。</w:t>
      </w:r>
    </w:p>
    <w:p w14:paraId="7253684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4、如果我方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，将按竞争性磋商文件的规定时间及项目条款签订合同。</w:t>
      </w:r>
    </w:p>
    <w:p w14:paraId="79E2F3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我方已详细审核竞争性磋商文件，我方对竞争性磋商文件各项条款和评审办法无异议，知道必须放弃提出含糊不清或误解问题的权利。</w:t>
      </w:r>
    </w:p>
    <w:p w14:paraId="5F2935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同意应贵方要求提供与本磋商有关的任何数据和资料，并保证数据和资料的完整性和真实性，若有违反，我方愿意承担一切后果。</w:t>
      </w:r>
    </w:p>
    <w:p w14:paraId="0FA4A0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我方完全理解贵方不一定要接受最低报价的供应商为</w:t>
      </w:r>
      <w:r>
        <w:rPr>
          <w:rFonts w:hint="eastAsia" w:ascii="宋体" w:hAnsi="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的行为。</w:t>
      </w:r>
    </w:p>
    <w:p w14:paraId="680705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若贵方需要，我方愿意提供我方作出的一切承诺的证明材料。</w:t>
      </w:r>
    </w:p>
    <w:p w14:paraId="090A033E">
      <w:pPr>
        <w:pStyle w:val="21"/>
        <w:spacing w:before="120" w:line="360" w:lineRule="auto"/>
        <w:ind w:left="800"/>
        <w:rPr>
          <w:rFonts w:hint="eastAsia" w:ascii="宋体" w:hAnsi="宋体" w:eastAsia="宋体" w:cs="宋体"/>
          <w:color w:val="auto"/>
          <w:sz w:val="24"/>
          <w:szCs w:val="24"/>
          <w:highlight w:val="none"/>
        </w:rPr>
      </w:pPr>
    </w:p>
    <w:p w14:paraId="418A4F4D">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r>
        <w:rPr>
          <w:rFonts w:hint="eastAsia" w:ascii="宋体" w:hAnsi="宋体" w:eastAsia="宋体" w:cs="宋体"/>
          <w:color w:val="auto"/>
          <w:sz w:val="24"/>
          <w:szCs w:val="24"/>
          <w:highlight w:val="none"/>
          <w:u w:val="single"/>
        </w:rPr>
        <w:t xml:space="preserve">                              </w:t>
      </w:r>
    </w:p>
    <w:p w14:paraId="0F5BFB4D">
      <w:pPr>
        <w:pStyle w:val="21"/>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法定代表人或委托代理人（电子签章）：</w:t>
      </w:r>
      <w:r>
        <w:rPr>
          <w:rFonts w:hint="eastAsia" w:ascii="宋体" w:hAnsi="宋体" w:eastAsia="宋体" w:cs="宋体"/>
          <w:color w:val="auto"/>
          <w:sz w:val="24"/>
          <w:szCs w:val="24"/>
          <w:highlight w:val="none"/>
          <w:u w:val="single"/>
        </w:rPr>
        <w:t xml:space="preserve">              </w:t>
      </w:r>
    </w:p>
    <w:p w14:paraId="362C83F6">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A645943">
      <w:pPr>
        <w:spacing w:line="360" w:lineRule="auto"/>
        <w:ind w:firstLine="960" w:firstLineChars="400"/>
        <w:rPr>
          <w:rFonts w:hint="eastAsia" w:ascii="宋体" w:hAnsi="宋体" w:eastAsia="宋体" w:cs="宋体"/>
          <w:color w:val="auto"/>
          <w:sz w:val="24"/>
          <w:szCs w:val="24"/>
          <w:highlight w:val="none"/>
        </w:rPr>
      </w:pPr>
    </w:p>
    <w:p w14:paraId="5F648288">
      <w:pPr>
        <w:spacing w:line="360" w:lineRule="auto"/>
        <w:ind w:firstLine="960" w:firstLineChars="400"/>
        <w:rPr>
          <w:rFonts w:hint="eastAsia" w:ascii="宋体" w:hAnsi="宋体" w:eastAsia="宋体" w:cs="宋体"/>
          <w:color w:val="auto"/>
          <w:sz w:val="24"/>
          <w:szCs w:val="24"/>
          <w:highlight w:val="none"/>
        </w:rPr>
      </w:pPr>
    </w:p>
    <w:p w14:paraId="52A49DEC">
      <w:pPr>
        <w:spacing w:line="360" w:lineRule="auto"/>
        <w:ind w:firstLine="960" w:firstLineChars="400"/>
        <w:rPr>
          <w:rFonts w:hint="eastAsia" w:ascii="宋体" w:hAnsi="宋体" w:eastAsia="宋体" w:cs="宋体"/>
          <w:color w:val="auto"/>
          <w:sz w:val="24"/>
          <w:szCs w:val="24"/>
          <w:highlight w:val="none"/>
        </w:rPr>
      </w:pPr>
    </w:p>
    <w:p w14:paraId="58CA021C">
      <w:pPr>
        <w:spacing w:line="360" w:lineRule="auto"/>
        <w:ind w:firstLine="960" w:firstLineChars="400"/>
        <w:rPr>
          <w:rFonts w:hint="eastAsia" w:ascii="宋体" w:hAnsi="宋体" w:eastAsia="宋体" w:cs="宋体"/>
          <w:color w:val="auto"/>
          <w:sz w:val="24"/>
          <w:szCs w:val="24"/>
          <w:highlight w:val="none"/>
        </w:rPr>
      </w:pPr>
    </w:p>
    <w:p w14:paraId="771FDF53">
      <w:pPr>
        <w:pStyle w:val="9"/>
        <w:spacing w:line="360" w:lineRule="auto"/>
        <w:rPr>
          <w:rFonts w:hint="eastAsia" w:ascii="宋体" w:hAnsi="宋体" w:eastAsia="宋体" w:cs="宋体"/>
          <w:color w:val="auto"/>
          <w:highlight w:val="none"/>
        </w:rPr>
      </w:pPr>
    </w:p>
    <w:p w14:paraId="5486189D">
      <w:pPr>
        <w:pStyle w:val="3"/>
        <w:spacing w:line="360" w:lineRule="auto"/>
        <w:rPr>
          <w:rFonts w:hint="eastAsia" w:ascii="宋体" w:hAnsi="宋体" w:eastAsia="宋体" w:cs="宋体"/>
          <w:b w:val="0"/>
          <w:color w:val="auto"/>
          <w:sz w:val="24"/>
          <w:highlight w:val="none"/>
        </w:rPr>
        <w:sectPr>
          <w:pgSz w:w="11906" w:h="16838"/>
          <w:pgMar w:top="1134" w:right="1059" w:bottom="1134" w:left="847" w:header="851" w:footer="992" w:gutter="0"/>
          <w:pgNumType w:fmt="decimal"/>
          <w:cols w:space="720" w:num="1"/>
          <w:docGrid w:linePitch="312" w:charSpace="0"/>
        </w:sectPr>
      </w:pPr>
      <w:bookmarkStart w:id="4758" w:name="_Toc23053"/>
    </w:p>
    <w:p w14:paraId="5178DCE0">
      <w:pPr>
        <w:pStyle w:val="3"/>
        <w:spacing w:line="360" w:lineRule="auto"/>
        <w:rPr>
          <w:rFonts w:hint="eastAsia" w:ascii="宋体" w:hAnsi="宋体" w:eastAsia="宋体" w:cs="宋体"/>
          <w:b/>
          <w:bCs/>
          <w:color w:val="auto"/>
          <w:sz w:val="28"/>
          <w:szCs w:val="28"/>
          <w:highlight w:val="none"/>
        </w:rPr>
      </w:pPr>
      <w:bookmarkStart w:id="4759" w:name="_Toc23233"/>
      <w:bookmarkStart w:id="4760" w:name="_Toc20975"/>
      <w:bookmarkStart w:id="4761" w:name="_Toc27464"/>
      <w:bookmarkStart w:id="4762" w:name="_Toc32724"/>
      <w:r>
        <w:rPr>
          <w:rFonts w:hint="eastAsia" w:ascii="宋体" w:hAnsi="宋体" w:eastAsia="宋体" w:cs="宋体"/>
          <w:b/>
          <w:bCs/>
          <w:color w:val="auto"/>
          <w:sz w:val="28"/>
          <w:szCs w:val="28"/>
          <w:highlight w:val="none"/>
        </w:rPr>
        <w:t>（二）磋商函附录</w:t>
      </w:r>
      <w:bookmarkEnd w:id="4758"/>
      <w:bookmarkEnd w:id="4759"/>
      <w:bookmarkEnd w:id="4760"/>
      <w:bookmarkEnd w:id="4761"/>
      <w:bookmarkEnd w:id="4762"/>
    </w:p>
    <w:p w14:paraId="65780D6C">
      <w:pPr>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523"/>
        <w:gridCol w:w="6810"/>
      </w:tblGrid>
      <w:tr w14:paraId="123C9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644" w:type="dxa"/>
            <w:vAlign w:val="center"/>
          </w:tcPr>
          <w:p w14:paraId="0197C569">
            <w:pPr>
              <w:spacing w:line="360" w:lineRule="auto"/>
              <w:ind w:left="-3" w:firstLin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23" w:type="dxa"/>
            <w:vAlign w:val="center"/>
          </w:tcPr>
          <w:p w14:paraId="7C007FF6">
            <w:pPr>
              <w:spacing w:line="360" w:lineRule="auto"/>
              <w:ind w:left="-3" w:firstLine="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6810" w:type="dxa"/>
            <w:vAlign w:val="center"/>
          </w:tcPr>
          <w:p w14:paraId="7BA8C7C5">
            <w:pPr>
              <w:spacing w:line="360" w:lineRule="auto"/>
              <w:ind w:left="-3" w:firstLine="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承诺内容</w:t>
            </w:r>
          </w:p>
        </w:tc>
      </w:tr>
      <w:tr w14:paraId="0A38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4" w:type="dxa"/>
            <w:vAlign w:val="center"/>
          </w:tcPr>
          <w:p w14:paraId="4A7956C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523" w:type="dxa"/>
            <w:vAlign w:val="center"/>
          </w:tcPr>
          <w:p w14:paraId="15D123C9">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供应商资质</w:t>
            </w:r>
          </w:p>
        </w:tc>
        <w:tc>
          <w:tcPr>
            <w:tcW w:w="6810" w:type="dxa"/>
            <w:vAlign w:val="center"/>
          </w:tcPr>
          <w:p w14:paraId="76622F30">
            <w:pPr>
              <w:widowControl w:val="0"/>
              <w:tabs>
                <w:tab w:val="left" w:pos="0"/>
                <w:tab w:val="left" w:pos="283"/>
                <w:tab w:val="left" w:pos="1417"/>
              </w:tabs>
              <w:autoSpaceDE w:val="0"/>
              <w:autoSpaceDN w:val="0"/>
              <w:spacing w:line="360" w:lineRule="auto"/>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rPr>
              <w:t>应商应具备经国家工商行政管理部门登记注册的独立企业（事业）法人资格，</w:t>
            </w:r>
            <w:r>
              <w:rPr>
                <w:rFonts w:hint="eastAsia" w:ascii="宋体" w:hAnsi="宋体" w:eastAsia="宋体" w:cs="宋体"/>
                <w:color w:val="auto"/>
                <w:spacing w:val="17"/>
                <w:sz w:val="24"/>
                <w:szCs w:val="24"/>
                <w:highlight w:val="none"/>
              </w:rPr>
              <w:t>具</w:t>
            </w:r>
            <w:r>
              <w:rPr>
                <w:rFonts w:hint="eastAsia" w:ascii="宋体" w:hAnsi="宋体" w:eastAsia="宋体" w:cs="宋体"/>
                <w:color w:val="auto"/>
                <w:spacing w:val="9"/>
                <w:sz w:val="24"/>
                <w:szCs w:val="24"/>
                <w:highlight w:val="none"/>
              </w:rPr>
              <w:t>备有效的营业执照或事业单位法人证书</w:t>
            </w:r>
            <w:r>
              <w:rPr>
                <w:rFonts w:hint="eastAsia" w:ascii="宋体" w:hAnsi="宋体" w:eastAsia="宋体" w:cs="宋体"/>
                <w:color w:val="auto"/>
                <w:spacing w:val="9"/>
                <w:sz w:val="24"/>
                <w:szCs w:val="24"/>
                <w:highlight w:val="none"/>
                <w:lang w:val="en-US" w:eastAsia="zh-CN"/>
              </w:rPr>
              <w:t>或其他组织证明材料</w:t>
            </w:r>
            <w:r>
              <w:rPr>
                <w:rFonts w:hint="eastAsia" w:ascii="宋体" w:hAnsi="宋体" w:eastAsia="宋体" w:cs="宋体"/>
                <w:color w:val="auto"/>
                <w:spacing w:val="9"/>
                <w:sz w:val="24"/>
                <w:szCs w:val="24"/>
                <w:highlight w:val="none"/>
              </w:rPr>
              <w:t>。</w:t>
            </w:r>
          </w:p>
          <w:p w14:paraId="63429CC1">
            <w:pPr>
              <w:widowControl w:val="0"/>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（2）符合“竞争性磋商公告”第二条要求。</w:t>
            </w:r>
          </w:p>
        </w:tc>
      </w:tr>
      <w:tr w14:paraId="56DE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44" w:type="dxa"/>
            <w:vAlign w:val="center"/>
          </w:tcPr>
          <w:p w14:paraId="53FBDE2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523" w:type="dxa"/>
            <w:vAlign w:val="center"/>
          </w:tcPr>
          <w:p w14:paraId="2EC3D3AD">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供应商履约能力</w:t>
            </w:r>
          </w:p>
        </w:tc>
        <w:tc>
          <w:tcPr>
            <w:tcW w:w="6810" w:type="dxa"/>
            <w:vAlign w:val="center"/>
          </w:tcPr>
          <w:p w14:paraId="3A43F8B7">
            <w:pPr>
              <w:widowControl w:val="0"/>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（1）本着认真负责的态度组织项目活动，做好本项目的</w:t>
            </w:r>
            <w:r>
              <w:rPr>
                <w:rFonts w:hint="eastAsia" w:ascii="宋体" w:hAnsi="宋体" w:cs="宋体"/>
                <w:color w:val="auto"/>
                <w:sz w:val="24"/>
                <w:szCs w:val="24"/>
                <w:highlight w:val="none"/>
                <w:lang w:val="en-US" w:eastAsia="zh-CN"/>
              </w:rPr>
              <w:t>施工</w:t>
            </w:r>
            <w:r>
              <w:rPr>
                <w:rFonts w:hint="eastAsia" w:ascii="宋体" w:hAnsi="宋体" w:eastAsia="宋体" w:cs="宋体"/>
                <w:color w:val="auto"/>
                <w:sz w:val="24"/>
                <w:szCs w:val="24"/>
                <w:highlight w:val="none"/>
              </w:rPr>
              <w:t>。</w:t>
            </w:r>
          </w:p>
          <w:p w14:paraId="381F4B87">
            <w:pPr>
              <w:widowControl w:val="0"/>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（2）具有履行合同所必需的专业技术能力和专业技术队伍。</w:t>
            </w:r>
          </w:p>
          <w:p w14:paraId="7F33A13C">
            <w:pPr>
              <w:widowControl w:val="0"/>
              <w:tabs>
                <w:tab w:val="left" w:pos="0"/>
                <w:tab w:val="left" w:pos="283"/>
                <w:tab w:val="left" w:pos="1417"/>
              </w:tabs>
              <w:autoSpaceDE w:val="0"/>
              <w:autoSpaceDN w:val="0"/>
              <w:spacing w:line="360" w:lineRule="auto"/>
              <w:jc w:val="both"/>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（3）具备签署并履行本合同所需的全部资格、许可。</w:t>
            </w:r>
          </w:p>
        </w:tc>
      </w:tr>
      <w:tr w14:paraId="5D99D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44" w:type="dxa"/>
            <w:vAlign w:val="center"/>
          </w:tcPr>
          <w:p w14:paraId="1534DD8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1523" w:type="dxa"/>
            <w:vAlign w:val="center"/>
          </w:tcPr>
          <w:p w14:paraId="2B75CE8E">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保密性</w:t>
            </w:r>
          </w:p>
        </w:tc>
        <w:tc>
          <w:tcPr>
            <w:tcW w:w="6810" w:type="dxa"/>
            <w:vAlign w:val="center"/>
          </w:tcPr>
          <w:p w14:paraId="73943DF5">
            <w:pPr>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供应商对此项目的全部内容保密并不得私自转让，或用于其他商业用途。</w:t>
            </w:r>
          </w:p>
        </w:tc>
      </w:tr>
    </w:tbl>
    <w:p w14:paraId="45F7AE7C">
      <w:pPr>
        <w:spacing w:before="60" w:after="60" w:line="360" w:lineRule="auto"/>
        <w:ind w:firstLine="5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我方承诺以上内容都真实、有效。</w:t>
      </w:r>
    </w:p>
    <w:p w14:paraId="421D02BD">
      <w:pPr>
        <w:pStyle w:val="21"/>
        <w:spacing w:before="120" w:line="360" w:lineRule="auto"/>
        <w:ind w:left="800"/>
        <w:rPr>
          <w:rFonts w:hint="eastAsia" w:ascii="宋体" w:hAnsi="宋体" w:eastAsia="宋体" w:cs="宋体"/>
          <w:color w:val="auto"/>
          <w:sz w:val="24"/>
          <w:szCs w:val="24"/>
          <w:highlight w:val="none"/>
        </w:rPr>
      </w:pPr>
    </w:p>
    <w:p w14:paraId="7E03CB4D">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r>
        <w:rPr>
          <w:rFonts w:hint="eastAsia" w:ascii="宋体" w:hAnsi="宋体" w:eastAsia="宋体" w:cs="宋体"/>
          <w:color w:val="auto"/>
          <w:sz w:val="24"/>
          <w:szCs w:val="24"/>
          <w:highlight w:val="none"/>
          <w:u w:val="single"/>
        </w:rPr>
        <w:t xml:space="preserve">                              </w:t>
      </w:r>
    </w:p>
    <w:p w14:paraId="241590C7">
      <w:pPr>
        <w:pStyle w:val="21"/>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法定代表人或委托代理人（电子签章）：</w:t>
      </w:r>
      <w:r>
        <w:rPr>
          <w:rFonts w:hint="eastAsia" w:ascii="宋体" w:hAnsi="宋体" w:eastAsia="宋体" w:cs="宋体"/>
          <w:color w:val="auto"/>
          <w:sz w:val="24"/>
          <w:szCs w:val="24"/>
          <w:highlight w:val="none"/>
          <w:u w:val="single"/>
        </w:rPr>
        <w:t xml:space="preserve">              </w:t>
      </w:r>
    </w:p>
    <w:p w14:paraId="3ABB0CF2">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EE245">
      <w:pPr>
        <w:pStyle w:val="21"/>
        <w:spacing w:before="120" w:line="360" w:lineRule="auto"/>
        <w:ind w:left="800"/>
        <w:rPr>
          <w:rFonts w:hint="eastAsia" w:ascii="宋体" w:hAnsi="宋体" w:eastAsia="宋体" w:cs="宋体"/>
          <w:color w:val="auto"/>
          <w:sz w:val="24"/>
          <w:szCs w:val="24"/>
          <w:highlight w:val="none"/>
        </w:rPr>
      </w:pPr>
    </w:p>
    <w:p w14:paraId="6C5C4CF0">
      <w:pPr>
        <w:pStyle w:val="21"/>
        <w:spacing w:before="120" w:line="360" w:lineRule="auto"/>
        <w:ind w:left="800"/>
        <w:rPr>
          <w:rFonts w:hint="eastAsia" w:ascii="宋体" w:hAnsi="宋体" w:eastAsia="宋体" w:cs="宋体"/>
          <w:color w:val="auto"/>
          <w:sz w:val="24"/>
          <w:szCs w:val="24"/>
          <w:highlight w:val="none"/>
        </w:rPr>
      </w:pPr>
    </w:p>
    <w:p w14:paraId="316835FF">
      <w:pPr>
        <w:pStyle w:val="21"/>
        <w:spacing w:before="120" w:line="360" w:lineRule="auto"/>
        <w:ind w:left="800"/>
        <w:rPr>
          <w:rFonts w:hint="eastAsia" w:ascii="宋体" w:hAnsi="宋体" w:eastAsia="宋体" w:cs="宋体"/>
          <w:color w:val="auto"/>
          <w:sz w:val="21"/>
          <w:szCs w:val="21"/>
          <w:highlight w:val="none"/>
        </w:rPr>
      </w:pPr>
    </w:p>
    <w:p w14:paraId="7D0CDD58">
      <w:pPr>
        <w:pStyle w:val="21"/>
        <w:spacing w:before="120" w:line="360" w:lineRule="auto"/>
        <w:ind w:left="800"/>
        <w:rPr>
          <w:rFonts w:hint="eastAsia" w:ascii="宋体" w:hAnsi="宋体" w:eastAsia="宋体" w:cs="宋体"/>
          <w:color w:val="auto"/>
          <w:sz w:val="21"/>
          <w:szCs w:val="21"/>
          <w:highlight w:val="none"/>
        </w:rPr>
      </w:pPr>
    </w:p>
    <w:p w14:paraId="009F79B3">
      <w:pPr>
        <w:pStyle w:val="21"/>
        <w:spacing w:before="120" w:line="360" w:lineRule="auto"/>
        <w:ind w:left="800"/>
        <w:rPr>
          <w:rFonts w:hint="eastAsia" w:ascii="宋体" w:hAnsi="宋体" w:eastAsia="宋体" w:cs="宋体"/>
          <w:color w:val="auto"/>
          <w:sz w:val="21"/>
          <w:szCs w:val="21"/>
          <w:highlight w:val="none"/>
        </w:rPr>
      </w:pPr>
    </w:p>
    <w:p w14:paraId="4E59A7DB">
      <w:pPr>
        <w:pStyle w:val="21"/>
        <w:spacing w:before="120" w:line="360" w:lineRule="auto"/>
        <w:ind w:left="800"/>
        <w:rPr>
          <w:rFonts w:hint="eastAsia" w:ascii="宋体" w:hAnsi="宋体" w:eastAsia="宋体" w:cs="宋体"/>
          <w:color w:val="auto"/>
          <w:sz w:val="21"/>
          <w:szCs w:val="21"/>
          <w:highlight w:val="none"/>
        </w:rPr>
      </w:pPr>
    </w:p>
    <w:p w14:paraId="6B837C87">
      <w:pPr>
        <w:pStyle w:val="21"/>
        <w:spacing w:before="120" w:line="360" w:lineRule="auto"/>
        <w:ind w:left="800"/>
        <w:rPr>
          <w:rFonts w:hint="eastAsia" w:ascii="宋体" w:hAnsi="宋体" w:eastAsia="宋体" w:cs="宋体"/>
          <w:color w:val="auto"/>
          <w:sz w:val="21"/>
          <w:szCs w:val="21"/>
          <w:highlight w:val="none"/>
        </w:rPr>
      </w:pPr>
    </w:p>
    <w:p w14:paraId="2BD205C5">
      <w:pPr>
        <w:pStyle w:val="21"/>
        <w:spacing w:before="120" w:line="360" w:lineRule="auto"/>
        <w:ind w:left="800"/>
        <w:rPr>
          <w:rFonts w:hint="eastAsia" w:ascii="宋体" w:hAnsi="宋体" w:eastAsia="宋体" w:cs="宋体"/>
          <w:color w:val="auto"/>
          <w:sz w:val="21"/>
          <w:szCs w:val="21"/>
          <w:highlight w:val="none"/>
        </w:rPr>
      </w:pPr>
    </w:p>
    <w:p w14:paraId="5B528F76">
      <w:pPr>
        <w:pStyle w:val="21"/>
        <w:spacing w:before="120" w:line="360" w:lineRule="auto"/>
        <w:ind w:left="800"/>
        <w:rPr>
          <w:rFonts w:hint="eastAsia" w:ascii="宋体" w:hAnsi="宋体" w:eastAsia="宋体" w:cs="宋体"/>
          <w:color w:val="auto"/>
          <w:sz w:val="21"/>
          <w:szCs w:val="21"/>
          <w:highlight w:val="none"/>
        </w:rPr>
      </w:pPr>
    </w:p>
    <w:p w14:paraId="76D6F91D">
      <w:pPr>
        <w:spacing w:line="360" w:lineRule="auto"/>
        <w:rPr>
          <w:rFonts w:hint="eastAsia" w:ascii="宋体" w:hAnsi="宋体" w:eastAsia="宋体" w:cs="宋体"/>
          <w:color w:val="auto"/>
          <w:highlight w:val="none"/>
        </w:rPr>
      </w:pPr>
    </w:p>
    <w:p w14:paraId="4A4F1EAF">
      <w:pPr>
        <w:pStyle w:val="3"/>
        <w:numPr>
          <w:ilvl w:val="0"/>
          <w:numId w:val="9"/>
        </w:numPr>
        <w:spacing w:line="360" w:lineRule="auto"/>
        <w:rPr>
          <w:rFonts w:hint="eastAsia" w:ascii="宋体" w:hAnsi="宋体" w:eastAsia="宋体" w:cs="宋体"/>
          <w:bCs/>
          <w:color w:val="auto"/>
          <w:sz w:val="28"/>
          <w:szCs w:val="28"/>
          <w:highlight w:val="none"/>
          <w:lang w:val="en-US" w:eastAsia="zh-CN"/>
        </w:rPr>
      </w:pPr>
      <w:bookmarkStart w:id="4763" w:name="_Toc24679"/>
      <w:bookmarkStart w:id="4764" w:name="_Toc28740"/>
      <w:bookmarkStart w:id="4765" w:name="_Toc9263"/>
      <w:bookmarkStart w:id="4766" w:name="_Toc2782"/>
      <w:r>
        <w:rPr>
          <w:rFonts w:hint="eastAsia" w:ascii="宋体" w:hAnsi="宋体" w:eastAsia="宋体" w:cs="宋体"/>
          <w:bCs/>
          <w:color w:val="auto"/>
          <w:sz w:val="28"/>
          <w:szCs w:val="28"/>
          <w:highlight w:val="none"/>
          <w:lang w:val="en-US" w:eastAsia="zh-CN"/>
        </w:rPr>
        <w:t>报价一览表</w:t>
      </w:r>
      <w:bookmarkEnd w:id="4763"/>
      <w:bookmarkEnd w:id="4764"/>
      <w:bookmarkEnd w:id="4765"/>
      <w:bookmarkEnd w:id="4766"/>
    </w:p>
    <w:p w14:paraId="0003E6BF">
      <w:pPr>
        <w:spacing w:line="360" w:lineRule="auto"/>
        <w:rPr>
          <w:rFonts w:hint="eastAsia" w:ascii="宋体" w:hAnsi="宋体" w:eastAsia="宋体" w:cs="宋体"/>
          <w:color w:val="auto"/>
          <w:highlight w:val="none"/>
          <w:lang w:eastAsia="zh-CN"/>
        </w:rPr>
      </w:pPr>
    </w:p>
    <w:p w14:paraId="317ED5E9">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eastAsia="zh-CN"/>
        </w:rPr>
        <w:tab/>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pacing w:val="-1"/>
          <w:highlight w:val="none"/>
          <w:lang w:eastAsia="zh-CN"/>
        </w:rPr>
        <w:t>项</w:t>
      </w:r>
      <w:r>
        <w:rPr>
          <w:rFonts w:hint="eastAsia" w:ascii="宋体" w:hAnsi="宋体" w:eastAsia="宋体" w:cs="宋体"/>
          <w:color w:val="auto"/>
          <w:highlight w:val="none"/>
          <w:lang w:eastAsia="zh-CN"/>
        </w:rPr>
        <w:t>目名称：</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eastAsia="zh-CN"/>
        </w:rPr>
        <w:tab/>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p>
    <w:tbl>
      <w:tblPr>
        <w:tblStyle w:val="27"/>
        <w:tblpPr w:leftFromText="180" w:rightFromText="180" w:vertAnchor="text" w:horzAnchor="page" w:tblpX="1885" w:tblpY="57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
        <w:gridCol w:w="2576"/>
        <w:gridCol w:w="1888"/>
        <w:gridCol w:w="3053"/>
      </w:tblGrid>
      <w:tr w14:paraId="75A33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829" w:type="dxa"/>
            <w:tcBorders>
              <w:top w:val="single" w:color="auto" w:sz="4" w:space="0"/>
              <w:left w:val="single" w:color="000000" w:sz="4" w:space="0"/>
              <w:right w:val="single" w:color="auto" w:sz="4" w:space="0"/>
            </w:tcBorders>
            <w:noWrap w:val="0"/>
            <w:vAlign w:val="center"/>
          </w:tcPr>
          <w:p w14:paraId="53AEE75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576" w:type="dxa"/>
            <w:tcBorders>
              <w:top w:val="single" w:color="auto" w:sz="4" w:space="0"/>
              <w:left w:val="single" w:color="auto" w:sz="4" w:space="0"/>
              <w:right w:val="single" w:color="auto" w:sz="4" w:space="0"/>
            </w:tcBorders>
            <w:noWrap w:val="0"/>
            <w:vAlign w:val="center"/>
          </w:tcPr>
          <w:p w14:paraId="1FF102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细目名称</w:t>
            </w:r>
          </w:p>
        </w:tc>
        <w:tc>
          <w:tcPr>
            <w:tcW w:w="1888" w:type="dxa"/>
            <w:tcBorders>
              <w:top w:val="single" w:color="auto" w:sz="4" w:space="0"/>
              <w:left w:val="single" w:color="auto" w:sz="4" w:space="0"/>
              <w:right w:val="single" w:color="auto" w:sz="4" w:space="0"/>
            </w:tcBorders>
            <w:noWrap w:val="0"/>
            <w:vAlign w:val="center"/>
          </w:tcPr>
          <w:p w14:paraId="0E4BCE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tc>
        <w:tc>
          <w:tcPr>
            <w:tcW w:w="3053" w:type="dxa"/>
            <w:tcBorders>
              <w:top w:val="single" w:color="auto" w:sz="4" w:space="0"/>
              <w:left w:val="single" w:color="auto" w:sz="4" w:space="0"/>
              <w:right w:val="single" w:color="auto" w:sz="4" w:space="0"/>
            </w:tcBorders>
            <w:noWrap w:val="0"/>
            <w:vAlign w:val="center"/>
          </w:tcPr>
          <w:p w14:paraId="28E037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16018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2721760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3C4F468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报价（元）</w:t>
            </w:r>
          </w:p>
        </w:tc>
        <w:tc>
          <w:tcPr>
            <w:tcW w:w="1888" w:type="dxa"/>
            <w:tcBorders>
              <w:top w:val="single" w:color="auto" w:sz="4" w:space="0"/>
              <w:left w:val="single" w:color="auto" w:sz="4" w:space="0"/>
              <w:bottom w:val="single" w:color="auto" w:sz="4" w:space="0"/>
              <w:right w:val="single" w:color="auto" w:sz="4" w:space="0"/>
            </w:tcBorders>
            <w:noWrap w:val="0"/>
            <w:vAlign w:val="center"/>
          </w:tcPr>
          <w:p w14:paraId="725E4B42">
            <w:pPr>
              <w:spacing w:line="360" w:lineRule="auto"/>
              <w:rPr>
                <w:rFonts w:hint="eastAsia" w:ascii="宋体" w:hAnsi="宋体" w:eastAsia="宋体" w:cs="宋体"/>
                <w:color w:val="auto"/>
                <w:sz w:val="24"/>
                <w:szCs w:val="24"/>
                <w:highlight w:val="none"/>
              </w:rPr>
            </w:pPr>
          </w:p>
        </w:tc>
        <w:tc>
          <w:tcPr>
            <w:tcW w:w="3053" w:type="dxa"/>
            <w:tcBorders>
              <w:top w:val="single" w:color="auto" w:sz="4" w:space="0"/>
              <w:left w:val="single" w:color="auto" w:sz="4" w:space="0"/>
              <w:bottom w:val="single" w:color="auto" w:sz="4" w:space="0"/>
              <w:right w:val="single" w:color="auto" w:sz="4" w:space="0"/>
            </w:tcBorders>
            <w:noWrap w:val="0"/>
            <w:vAlign w:val="center"/>
          </w:tcPr>
          <w:p w14:paraId="58C803CD">
            <w:pPr>
              <w:spacing w:line="360" w:lineRule="auto"/>
              <w:rPr>
                <w:rFonts w:hint="eastAsia" w:ascii="宋体" w:hAnsi="宋体" w:eastAsia="宋体" w:cs="宋体"/>
                <w:color w:val="auto"/>
                <w:sz w:val="24"/>
                <w:szCs w:val="24"/>
                <w:highlight w:val="none"/>
              </w:rPr>
            </w:pPr>
          </w:p>
        </w:tc>
      </w:tr>
      <w:tr w14:paraId="2451F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52B635C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2D51FE6C">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计划</w:t>
            </w:r>
            <w:r>
              <w:rPr>
                <w:rFonts w:hint="eastAsia" w:ascii="宋体" w:hAnsi="宋体" w:eastAsia="宋体" w:cs="宋体"/>
                <w:color w:val="auto"/>
                <w:sz w:val="24"/>
                <w:szCs w:val="24"/>
                <w:highlight w:val="none"/>
                <w:lang w:val="en-US" w:eastAsia="zh-CN"/>
              </w:rPr>
              <w:t>工期</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2E518D30">
            <w:pPr>
              <w:spacing w:line="360" w:lineRule="auto"/>
              <w:rPr>
                <w:rFonts w:hint="eastAsia" w:ascii="宋体" w:hAnsi="宋体" w:eastAsia="宋体" w:cs="宋体"/>
                <w:color w:val="auto"/>
                <w:sz w:val="24"/>
                <w:szCs w:val="24"/>
                <w:highlight w:val="none"/>
              </w:rPr>
            </w:pPr>
          </w:p>
        </w:tc>
      </w:tr>
      <w:tr w14:paraId="553AF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5929209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1B9406B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项目实施地点</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472A1473">
            <w:pPr>
              <w:spacing w:line="360" w:lineRule="auto"/>
              <w:rPr>
                <w:rFonts w:hint="eastAsia" w:ascii="宋体" w:hAnsi="宋体" w:eastAsia="宋体" w:cs="宋体"/>
                <w:color w:val="auto"/>
                <w:sz w:val="24"/>
                <w:szCs w:val="24"/>
                <w:highlight w:val="none"/>
              </w:rPr>
            </w:pPr>
          </w:p>
        </w:tc>
      </w:tr>
      <w:tr w14:paraId="4F538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6F09FC78">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1B95F8F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33558725">
            <w:pPr>
              <w:spacing w:line="360" w:lineRule="auto"/>
              <w:rPr>
                <w:rFonts w:hint="eastAsia" w:ascii="宋体" w:hAnsi="宋体" w:eastAsia="宋体" w:cs="宋体"/>
                <w:color w:val="auto"/>
                <w:sz w:val="24"/>
                <w:szCs w:val="24"/>
                <w:highlight w:val="none"/>
              </w:rPr>
            </w:pPr>
          </w:p>
        </w:tc>
      </w:tr>
      <w:tr w14:paraId="397AA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359DC5DB">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78A4CB74">
            <w:pPr>
              <w:spacing w:line="320" w:lineRule="exact"/>
              <w:jc w:val="center"/>
              <w:rPr>
                <w:rFonts w:hint="eastAsia" w:ascii="宋体" w:hAnsi="宋体" w:eastAsia="宋体" w:cs="宋体"/>
                <w:color w:val="auto"/>
                <w:sz w:val="24"/>
                <w:szCs w:val="24"/>
                <w:highlight w:val="none"/>
              </w:rPr>
            </w:pPr>
            <w:r>
              <w:rPr>
                <w:rFonts w:hint="eastAsia" w:cs="仿宋"/>
                <w:color w:val="auto"/>
                <w:sz w:val="24"/>
                <w:highlight w:val="none"/>
              </w:rPr>
              <w:t>项目负责人</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712A36BC">
            <w:pPr>
              <w:rPr>
                <w:rFonts w:hint="eastAsia" w:cs="仿宋"/>
                <w:color w:val="auto"/>
                <w:sz w:val="24"/>
                <w:highlight w:val="none"/>
                <w:lang w:val="en-US" w:eastAsia="zh-CN"/>
              </w:rPr>
            </w:pPr>
            <w:r>
              <w:rPr>
                <w:rFonts w:hint="eastAsia" w:cs="仿宋"/>
                <w:color w:val="auto"/>
                <w:sz w:val="24"/>
                <w:highlight w:val="none"/>
                <w:lang w:val="en-US" w:eastAsia="zh-CN"/>
              </w:rPr>
              <w:t>姓名：</w:t>
            </w:r>
          </w:p>
          <w:p w14:paraId="17498204">
            <w:pPr>
              <w:rPr>
                <w:rFonts w:hint="eastAsia" w:ascii="宋体" w:hAnsi="宋体" w:eastAsia="宋体" w:cs="宋体"/>
                <w:color w:val="auto"/>
                <w:sz w:val="24"/>
                <w:szCs w:val="24"/>
                <w:highlight w:val="none"/>
              </w:rPr>
            </w:pPr>
            <w:r>
              <w:rPr>
                <w:rFonts w:hint="eastAsia" w:cs="仿宋"/>
                <w:color w:val="auto"/>
                <w:sz w:val="24"/>
                <w:highlight w:val="none"/>
                <w:lang w:val="en-US" w:eastAsia="zh-CN"/>
              </w:rPr>
              <w:t xml:space="preserve">证书信息： </w:t>
            </w:r>
          </w:p>
        </w:tc>
      </w:tr>
      <w:tr w14:paraId="18219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29" w:type="dxa"/>
            <w:tcBorders>
              <w:top w:val="single" w:color="auto" w:sz="4" w:space="0"/>
              <w:left w:val="single" w:color="000000" w:sz="4" w:space="0"/>
              <w:bottom w:val="single" w:color="auto" w:sz="4" w:space="0"/>
              <w:right w:val="single" w:color="auto" w:sz="4" w:space="0"/>
            </w:tcBorders>
            <w:noWrap w:val="0"/>
            <w:vAlign w:val="center"/>
          </w:tcPr>
          <w:p w14:paraId="0BB7DC21">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w:t>
            </w:r>
          </w:p>
        </w:tc>
        <w:tc>
          <w:tcPr>
            <w:tcW w:w="2576" w:type="dxa"/>
            <w:tcBorders>
              <w:top w:val="single" w:color="auto" w:sz="4" w:space="0"/>
              <w:left w:val="single" w:color="auto" w:sz="4" w:space="0"/>
              <w:bottom w:val="single" w:color="auto" w:sz="4" w:space="0"/>
              <w:right w:val="single" w:color="auto" w:sz="4" w:space="0"/>
            </w:tcBorders>
            <w:noWrap w:val="0"/>
            <w:vAlign w:val="center"/>
          </w:tcPr>
          <w:p w14:paraId="2664C11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c>
          <w:tcPr>
            <w:tcW w:w="4941" w:type="dxa"/>
            <w:gridSpan w:val="2"/>
            <w:tcBorders>
              <w:top w:val="single" w:color="auto" w:sz="4" w:space="0"/>
              <w:left w:val="single" w:color="auto" w:sz="4" w:space="0"/>
              <w:bottom w:val="single" w:color="auto" w:sz="4" w:space="0"/>
              <w:right w:val="single" w:color="auto" w:sz="4" w:space="0"/>
            </w:tcBorders>
            <w:noWrap w:val="0"/>
            <w:vAlign w:val="center"/>
          </w:tcPr>
          <w:p w14:paraId="40702543">
            <w:pPr>
              <w:spacing w:line="360" w:lineRule="auto"/>
              <w:rPr>
                <w:rFonts w:hint="eastAsia" w:ascii="宋体" w:hAnsi="宋体" w:eastAsia="宋体" w:cs="宋体"/>
                <w:color w:val="auto"/>
                <w:sz w:val="24"/>
                <w:szCs w:val="24"/>
                <w:highlight w:val="none"/>
              </w:rPr>
            </w:pPr>
          </w:p>
        </w:tc>
      </w:tr>
    </w:tbl>
    <w:p w14:paraId="1CF86AAA">
      <w:pPr>
        <w:pStyle w:val="21"/>
        <w:spacing w:before="120" w:line="360" w:lineRule="auto"/>
        <w:rPr>
          <w:rFonts w:hint="eastAsia" w:ascii="宋体" w:hAnsi="宋体" w:eastAsia="宋体" w:cs="宋体"/>
          <w:b/>
          <w:bCs/>
          <w:color w:val="auto"/>
          <w:sz w:val="24"/>
          <w:szCs w:val="24"/>
          <w:highlight w:val="none"/>
        </w:rPr>
      </w:pPr>
    </w:p>
    <w:p w14:paraId="5E7DCFF2">
      <w:pPr>
        <w:pStyle w:val="21"/>
        <w:spacing w:before="120" w:line="360" w:lineRule="auto"/>
        <w:ind w:left="800" w:firstLine="422"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注：因</w:t>
      </w:r>
      <w:r>
        <w:rPr>
          <w:rFonts w:hint="eastAsia" w:ascii="宋体" w:hAnsi="宋体" w:eastAsia="宋体" w:cs="宋体"/>
          <w:b/>
          <w:bCs/>
          <w:color w:val="auto"/>
          <w:sz w:val="21"/>
          <w:szCs w:val="21"/>
          <w:highlight w:val="none"/>
        </w:rPr>
        <w:t>政采云平台</w:t>
      </w:r>
      <w:r>
        <w:rPr>
          <w:rFonts w:hint="eastAsia" w:ascii="宋体" w:hAnsi="宋体" w:eastAsia="宋体" w:cs="宋体"/>
          <w:b/>
          <w:color w:val="auto"/>
          <w:sz w:val="21"/>
          <w:szCs w:val="21"/>
          <w:highlight w:val="none"/>
        </w:rPr>
        <w:t>系统原因，各供应商在填写系统中时需填写报价</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各供应商应认真仔细核对金额大小写及单位，若</w:t>
      </w:r>
      <w:r>
        <w:rPr>
          <w:rFonts w:hint="eastAsia" w:ascii="宋体" w:hAnsi="宋体" w:cs="宋体"/>
          <w:b/>
          <w:color w:val="auto"/>
          <w:sz w:val="21"/>
          <w:szCs w:val="21"/>
          <w:highlight w:val="none"/>
          <w:lang w:eastAsia="zh-CN"/>
        </w:rPr>
        <w:t>因</w:t>
      </w:r>
      <w:r>
        <w:rPr>
          <w:rFonts w:hint="eastAsia" w:ascii="宋体" w:hAnsi="宋体" w:eastAsia="宋体" w:cs="宋体"/>
          <w:b/>
          <w:color w:val="auto"/>
          <w:sz w:val="21"/>
          <w:szCs w:val="21"/>
          <w:highlight w:val="none"/>
        </w:rPr>
        <w:t>供应商填写错误</w:t>
      </w:r>
      <w:r>
        <w:rPr>
          <w:rFonts w:hint="eastAsia" w:ascii="宋体" w:hAnsi="宋体" w:cs="宋体"/>
          <w:b/>
          <w:color w:val="auto"/>
          <w:sz w:val="21"/>
          <w:szCs w:val="21"/>
          <w:highlight w:val="none"/>
          <w:lang w:val="en-US" w:eastAsia="zh-CN"/>
        </w:rPr>
        <w:t>的，</w:t>
      </w:r>
      <w:r>
        <w:rPr>
          <w:rFonts w:hint="eastAsia" w:ascii="宋体" w:hAnsi="宋体" w:eastAsia="宋体" w:cs="宋体"/>
          <w:b/>
          <w:color w:val="auto"/>
          <w:sz w:val="21"/>
          <w:szCs w:val="21"/>
          <w:highlight w:val="none"/>
        </w:rPr>
        <w:t>后果自负。</w:t>
      </w:r>
    </w:p>
    <w:p w14:paraId="6D91FECB">
      <w:pPr>
        <w:pStyle w:val="21"/>
        <w:spacing w:before="120" w:line="360" w:lineRule="auto"/>
        <w:ind w:left="800"/>
        <w:rPr>
          <w:rFonts w:hint="eastAsia" w:ascii="宋体" w:hAnsi="宋体" w:eastAsia="宋体" w:cs="宋体"/>
          <w:color w:val="auto"/>
          <w:sz w:val="24"/>
          <w:szCs w:val="24"/>
          <w:highlight w:val="none"/>
        </w:rPr>
      </w:pPr>
    </w:p>
    <w:p w14:paraId="0656D0D9">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r>
        <w:rPr>
          <w:rFonts w:hint="eastAsia" w:ascii="宋体" w:hAnsi="宋体" w:eastAsia="宋体" w:cs="宋体"/>
          <w:color w:val="auto"/>
          <w:sz w:val="24"/>
          <w:szCs w:val="24"/>
          <w:highlight w:val="none"/>
          <w:u w:val="single"/>
        </w:rPr>
        <w:t xml:space="preserve">                              </w:t>
      </w:r>
    </w:p>
    <w:p w14:paraId="18C8F063">
      <w:pPr>
        <w:pStyle w:val="21"/>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法定代表人（负责人）或委托代理人（电子签章）：</w:t>
      </w:r>
      <w:r>
        <w:rPr>
          <w:rFonts w:hint="eastAsia" w:ascii="宋体" w:hAnsi="宋体" w:eastAsia="宋体" w:cs="宋体"/>
          <w:color w:val="auto"/>
          <w:sz w:val="24"/>
          <w:szCs w:val="24"/>
          <w:highlight w:val="none"/>
          <w:u w:val="single"/>
        </w:rPr>
        <w:t xml:space="preserve">              </w:t>
      </w:r>
    </w:p>
    <w:p w14:paraId="42F80A49">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935B21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40CD3E1">
      <w:pPr>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最后报价一览表</w:t>
      </w:r>
    </w:p>
    <w:p w14:paraId="5CA0FDE1">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tbl>
      <w:tblPr>
        <w:tblStyle w:val="27"/>
        <w:tblpPr w:leftFromText="180" w:rightFromText="180" w:vertAnchor="text" w:horzAnchor="page" w:tblpX="1885" w:tblpY="57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2716"/>
        <w:gridCol w:w="1990"/>
        <w:gridCol w:w="3219"/>
      </w:tblGrid>
      <w:tr w14:paraId="3C02A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874" w:type="dxa"/>
            <w:tcBorders>
              <w:top w:val="single" w:color="auto" w:sz="4" w:space="0"/>
              <w:left w:val="single" w:color="000000" w:sz="4" w:space="0"/>
              <w:right w:val="single" w:color="auto" w:sz="4" w:space="0"/>
            </w:tcBorders>
            <w:noWrap w:val="0"/>
            <w:vAlign w:val="center"/>
          </w:tcPr>
          <w:p w14:paraId="37F6D1B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716" w:type="dxa"/>
            <w:tcBorders>
              <w:top w:val="single" w:color="auto" w:sz="4" w:space="0"/>
              <w:left w:val="single" w:color="auto" w:sz="4" w:space="0"/>
              <w:right w:val="single" w:color="auto" w:sz="4" w:space="0"/>
            </w:tcBorders>
            <w:noWrap w:val="0"/>
            <w:vAlign w:val="center"/>
          </w:tcPr>
          <w:p w14:paraId="76E5E47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细目名称</w:t>
            </w:r>
          </w:p>
        </w:tc>
        <w:tc>
          <w:tcPr>
            <w:tcW w:w="1990" w:type="dxa"/>
            <w:tcBorders>
              <w:top w:val="single" w:color="auto" w:sz="4" w:space="0"/>
              <w:left w:val="single" w:color="auto" w:sz="4" w:space="0"/>
              <w:right w:val="single" w:color="auto" w:sz="4" w:space="0"/>
            </w:tcBorders>
            <w:noWrap w:val="0"/>
            <w:vAlign w:val="center"/>
          </w:tcPr>
          <w:p w14:paraId="071C409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tc>
        <w:tc>
          <w:tcPr>
            <w:tcW w:w="3219" w:type="dxa"/>
            <w:tcBorders>
              <w:top w:val="single" w:color="auto" w:sz="4" w:space="0"/>
              <w:left w:val="single" w:color="auto" w:sz="4" w:space="0"/>
              <w:right w:val="single" w:color="auto" w:sz="4" w:space="0"/>
            </w:tcBorders>
            <w:noWrap w:val="0"/>
            <w:vAlign w:val="center"/>
          </w:tcPr>
          <w:p w14:paraId="4FF1B0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6C980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281438E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625D0F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报价（元）</w:t>
            </w:r>
          </w:p>
        </w:tc>
        <w:tc>
          <w:tcPr>
            <w:tcW w:w="1990" w:type="dxa"/>
            <w:tcBorders>
              <w:top w:val="single" w:color="auto" w:sz="4" w:space="0"/>
              <w:left w:val="single" w:color="auto" w:sz="4" w:space="0"/>
              <w:bottom w:val="single" w:color="auto" w:sz="4" w:space="0"/>
              <w:right w:val="single" w:color="auto" w:sz="4" w:space="0"/>
            </w:tcBorders>
            <w:noWrap w:val="0"/>
            <w:vAlign w:val="center"/>
          </w:tcPr>
          <w:p w14:paraId="0C433C8C">
            <w:pPr>
              <w:spacing w:line="360" w:lineRule="auto"/>
              <w:rPr>
                <w:rFonts w:hint="eastAsia" w:ascii="宋体" w:hAnsi="宋体" w:eastAsia="宋体" w:cs="宋体"/>
                <w:color w:val="auto"/>
                <w:sz w:val="24"/>
                <w:szCs w:val="24"/>
                <w:highlight w:val="none"/>
              </w:rPr>
            </w:pPr>
          </w:p>
        </w:tc>
        <w:tc>
          <w:tcPr>
            <w:tcW w:w="3219" w:type="dxa"/>
            <w:tcBorders>
              <w:top w:val="single" w:color="auto" w:sz="4" w:space="0"/>
              <w:left w:val="single" w:color="auto" w:sz="4" w:space="0"/>
              <w:bottom w:val="single" w:color="auto" w:sz="4" w:space="0"/>
              <w:right w:val="single" w:color="auto" w:sz="4" w:space="0"/>
            </w:tcBorders>
            <w:noWrap w:val="0"/>
            <w:vAlign w:val="center"/>
          </w:tcPr>
          <w:p w14:paraId="2B284B2D">
            <w:pPr>
              <w:spacing w:line="360" w:lineRule="auto"/>
              <w:rPr>
                <w:rFonts w:hint="eastAsia" w:ascii="宋体" w:hAnsi="宋体" w:eastAsia="宋体" w:cs="宋体"/>
                <w:color w:val="auto"/>
                <w:sz w:val="24"/>
                <w:szCs w:val="24"/>
                <w:highlight w:val="none"/>
              </w:rPr>
            </w:pPr>
          </w:p>
        </w:tc>
      </w:tr>
      <w:tr w14:paraId="50647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783EF95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0463047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计划</w:t>
            </w:r>
            <w:r>
              <w:rPr>
                <w:rFonts w:hint="eastAsia" w:ascii="宋体" w:hAnsi="宋体" w:eastAsia="宋体" w:cs="宋体"/>
                <w:color w:val="auto"/>
                <w:sz w:val="24"/>
                <w:szCs w:val="24"/>
                <w:highlight w:val="none"/>
                <w:lang w:val="en-US" w:eastAsia="zh-CN"/>
              </w:rPr>
              <w:t>工期</w:t>
            </w:r>
          </w:p>
        </w:tc>
        <w:tc>
          <w:tcPr>
            <w:tcW w:w="5209" w:type="dxa"/>
            <w:gridSpan w:val="2"/>
            <w:tcBorders>
              <w:top w:val="single" w:color="auto" w:sz="4" w:space="0"/>
              <w:left w:val="single" w:color="auto" w:sz="4" w:space="0"/>
              <w:bottom w:val="single" w:color="auto" w:sz="4" w:space="0"/>
              <w:right w:val="single" w:color="auto" w:sz="4" w:space="0"/>
            </w:tcBorders>
            <w:noWrap w:val="0"/>
            <w:vAlign w:val="center"/>
          </w:tcPr>
          <w:p w14:paraId="3D5F62C5">
            <w:pPr>
              <w:spacing w:line="360" w:lineRule="auto"/>
              <w:rPr>
                <w:rFonts w:hint="eastAsia" w:ascii="宋体" w:hAnsi="宋体" w:eastAsia="宋体" w:cs="宋体"/>
                <w:color w:val="auto"/>
                <w:sz w:val="24"/>
                <w:szCs w:val="24"/>
                <w:highlight w:val="none"/>
              </w:rPr>
            </w:pPr>
          </w:p>
        </w:tc>
      </w:tr>
      <w:tr w14:paraId="0278D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1D760EE9">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48975998">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项目实施地点</w:t>
            </w:r>
          </w:p>
        </w:tc>
        <w:tc>
          <w:tcPr>
            <w:tcW w:w="5209" w:type="dxa"/>
            <w:gridSpan w:val="2"/>
            <w:tcBorders>
              <w:top w:val="single" w:color="auto" w:sz="4" w:space="0"/>
              <w:left w:val="single" w:color="auto" w:sz="4" w:space="0"/>
              <w:bottom w:val="single" w:color="auto" w:sz="4" w:space="0"/>
              <w:right w:val="single" w:color="auto" w:sz="4" w:space="0"/>
            </w:tcBorders>
            <w:noWrap w:val="0"/>
            <w:vAlign w:val="center"/>
          </w:tcPr>
          <w:p w14:paraId="792E1197">
            <w:pPr>
              <w:spacing w:line="360" w:lineRule="auto"/>
              <w:rPr>
                <w:rFonts w:hint="eastAsia" w:ascii="宋体" w:hAnsi="宋体" w:eastAsia="宋体" w:cs="宋体"/>
                <w:color w:val="auto"/>
                <w:sz w:val="24"/>
                <w:szCs w:val="24"/>
                <w:highlight w:val="none"/>
              </w:rPr>
            </w:pPr>
          </w:p>
        </w:tc>
      </w:tr>
      <w:tr w14:paraId="70DE2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750BF8C3">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1323078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5209" w:type="dxa"/>
            <w:gridSpan w:val="2"/>
            <w:tcBorders>
              <w:top w:val="single" w:color="auto" w:sz="4" w:space="0"/>
              <w:left w:val="single" w:color="auto" w:sz="4" w:space="0"/>
              <w:bottom w:val="single" w:color="auto" w:sz="4" w:space="0"/>
              <w:right w:val="single" w:color="auto" w:sz="4" w:space="0"/>
            </w:tcBorders>
            <w:noWrap w:val="0"/>
            <w:vAlign w:val="center"/>
          </w:tcPr>
          <w:p w14:paraId="62A7F044">
            <w:pPr>
              <w:spacing w:line="360" w:lineRule="auto"/>
              <w:rPr>
                <w:rFonts w:hint="eastAsia" w:ascii="宋体" w:hAnsi="宋体" w:eastAsia="宋体" w:cs="宋体"/>
                <w:color w:val="auto"/>
                <w:sz w:val="24"/>
                <w:szCs w:val="24"/>
                <w:highlight w:val="none"/>
              </w:rPr>
            </w:pPr>
          </w:p>
        </w:tc>
      </w:tr>
      <w:tr w14:paraId="1EAA2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05908C78">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2A075C71">
            <w:pPr>
              <w:spacing w:line="320" w:lineRule="exact"/>
              <w:jc w:val="center"/>
              <w:rPr>
                <w:rFonts w:hint="eastAsia" w:ascii="宋体" w:hAnsi="宋体" w:eastAsia="宋体" w:cs="宋体"/>
                <w:color w:val="auto"/>
                <w:sz w:val="24"/>
                <w:szCs w:val="24"/>
                <w:highlight w:val="none"/>
              </w:rPr>
            </w:pPr>
            <w:r>
              <w:rPr>
                <w:rFonts w:hint="eastAsia" w:cs="仿宋"/>
                <w:color w:val="auto"/>
                <w:sz w:val="24"/>
                <w:highlight w:val="none"/>
              </w:rPr>
              <w:t>项目负责人</w:t>
            </w:r>
          </w:p>
        </w:tc>
        <w:tc>
          <w:tcPr>
            <w:tcW w:w="5209" w:type="dxa"/>
            <w:gridSpan w:val="2"/>
            <w:tcBorders>
              <w:top w:val="single" w:color="auto" w:sz="4" w:space="0"/>
              <w:left w:val="single" w:color="auto" w:sz="4" w:space="0"/>
              <w:bottom w:val="single" w:color="auto" w:sz="4" w:space="0"/>
              <w:right w:val="single" w:color="auto" w:sz="4" w:space="0"/>
            </w:tcBorders>
            <w:noWrap w:val="0"/>
            <w:vAlign w:val="center"/>
          </w:tcPr>
          <w:p w14:paraId="1B0D9D1F">
            <w:pPr>
              <w:rPr>
                <w:rFonts w:hint="eastAsia" w:cs="仿宋"/>
                <w:color w:val="auto"/>
                <w:sz w:val="24"/>
                <w:highlight w:val="none"/>
                <w:lang w:val="en-US" w:eastAsia="zh-CN"/>
              </w:rPr>
            </w:pPr>
            <w:r>
              <w:rPr>
                <w:rFonts w:hint="eastAsia" w:cs="仿宋"/>
                <w:color w:val="auto"/>
                <w:sz w:val="24"/>
                <w:highlight w:val="none"/>
                <w:lang w:val="en-US" w:eastAsia="zh-CN"/>
              </w:rPr>
              <w:t>姓名：</w:t>
            </w:r>
          </w:p>
          <w:p w14:paraId="3CD1088B">
            <w:pPr>
              <w:rPr>
                <w:rFonts w:hint="eastAsia" w:ascii="宋体" w:hAnsi="宋体" w:eastAsia="宋体" w:cs="宋体"/>
                <w:color w:val="auto"/>
                <w:sz w:val="24"/>
                <w:szCs w:val="24"/>
                <w:highlight w:val="none"/>
              </w:rPr>
            </w:pPr>
            <w:r>
              <w:rPr>
                <w:rFonts w:hint="eastAsia" w:cs="仿宋"/>
                <w:color w:val="auto"/>
                <w:sz w:val="24"/>
                <w:highlight w:val="none"/>
                <w:lang w:val="en-US" w:eastAsia="zh-CN"/>
              </w:rPr>
              <w:t xml:space="preserve">证书信息： </w:t>
            </w:r>
          </w:p>
        </w:tc>
      </w:tr>
      <w:tr w14:paraId="7784C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trPr>
        <w:tc>
          <w:tcPr>
            <w:tcW w:w="874" w:type="dxa"/>
            <w:tcBorders>
              <w:top w:val="single" w:color="auto" w:sz="4" w:space="0"/>
              <w:left w:val="single" w:color="000000" w:sz="4" w:space="0"/>
              <w:bottom w:val="single" w:color="auto" w:sz="4" w:space="0"/>
              <w:right w:val="single" w:color="auto" w:sz="4" w:space="0"/>
            </w:tcBorders>
            <w:noWrap w:val="0"/>
            <w:vAlign w:val="center"/>
          </w:tcPr>
          <w:p w14:paraId="12B83AD1">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w:t>
            </w:r>
          </w:p>
        </w:tc>
        <w:tc>
          <w:tcPr>
            <w:tcW w:w="2716" w:type="dxa"/>
            <w:tcBorders>
              <w:top w:val="single" w:color="auto" w:sz="4" w:space="0"/>
              <w:left w:val="single" w:color="auto" w:sz="4" w:space="0"/>
              <w:bottom w:val="single" w:color="auto" w:sz="4" w:space="0"/>
              <w:right w:val="single" w:color="auto" w:sz="4" w:space="0"/>
            </w:tcBorders>
            <w:noWrap w:val="0"/>
            <w:vAlign w:val="center"/>
          </w:tcPr>
          <w:p w14:paraId="6F6D349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c>
          <w:tcPr>
            <w:tcW w:w="5209" w:type="dxa"/>
            <w:gridSpan w:val="2"/>
            <w:tcBorders>
              <w:top w:val="single" w:color="auto" w:sz="4" w:space="0"/>
              <w:left w:val="single" w:color="auto" w:sz="4" w:space="0"/>
              <w:bottom w:val="single" w:color="auto" w:sz="4" w:space="0"/>
              <w:right w:val="single" w:color="auto" w:sz="4" w:space="0"/>
            </w:tcBorders>
            <w:noWrap w:val="0"/>
            <w:vAlign w:val="center"/>
          </w:tcPr>
          <w:p w14:paraId="523D76A0">
            <w:pPr>
              <w:spacing w:line="360" w:lineRule="auto"/>
              <w:rPr>
                <w:rFonts w:hint="eastAsia" w:ascii="宋体" w:hAnsi="宋体" w:eastAsia="宋体" w:cs="宋体"/>
                <w:color w:val="auto"/>
                <w:sz w:val="24"/>
                <w:szCs w:val="24"/>
                <w:highlight w:val="none"/>
              </w:rPr>
            </w:pPr>
          </w:p>
        </w:tc>
      </w:tr>
    </w:tbl>
    <w:p w14:paraId="012E0266">
      <w:pPr>
        <w:pStyle w:val="21"/>
        <w:spacing w:before="120" w:line="360" w:lineRule="auto"/>
        <w:ind w:left="800"/>
        <w:rPr>
          <w:rFonts w:hint="eastAsia" w:ascii="宋体" w:hAnsi="宋体" w:eastAsia="宋体" w:cs="宋体"/>
          <w:b/>
          <w:bCs/>
          <w:color w:val="auto"/>
          <w:sz w:val="24"/>
          <w:szCs w:val="24"/>
          <w:highlight w:val="none"/>
        </w:rPr>
      </w:pPr>
    </w:p>
    <w:p w14:paraId="46CAB8E5">
      <w:pPr>
        <w:pStyle w:val="21"/>
        <w:spacing w:before="120" w:line="360" w:lineRule="auto"/>
        <w:ind w:left="80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注：“最</w:t>
      </w:r>
      <w:r>
        <w:rPr>
          <w:rFonts w:hint="eastAsia" w:ascii="宋体" w:hAnsi="宋体" w:eastAsia="宋体" w:cs="宋体"/>
          <w:b/>
          <w:bCs/>
          <w:color w:val="auto"/>
          <w:sz w:val="21"/>
          <w:szCs w:val="21"/>
          <w:highlight w:val="none"/>
          <w:lang w:val="en-US" w:eastAsia="zh-CN"/>
        </w:rPr>
        <w:t>后报价一览表</w:t>
      </w:r>
      <w:r>
        <w:rPr>
          <w:rFonts w:hint="eastAsia" w:ascii="宋体" w:hAnsi="宋体" w:eastAsia="宋体" w:cs="宋体"/>
          <w:b/>
          <w:bCs/>
          <w:color w:val="auto"/>
          <w:sz w:val="21"/>
          <w:szCs w:val="21"/>
          <w:highlight w:val="none"/>
        </w:rPr>
        <w:t>”各供应商应等待专家符合性评审通过后，政采云系统平台将通知各供应商进行填写最终报价，请各供应商填写报价时仔细核对</w:t>
      </w:r>
      <w:r>
        <w:rPr>
          <w:rFonts w:hint="eastAsia" w:ascii="宋体" w:hAnsi="宋体" w:cs="宋体"/>
          <w:b/>
          <w:bCs/>
          <w:color w:val="auto"/>
          <w:sz w:val="21"/>
          <w:szCs w:val="21"/>
          <w:highlight w:val="none"/>
          <w:lang w:eastAsia="zh-CN"/>
        </w:rPr>
        <w:t>，</w:t>
      </w:r>
      <w:r>
        <w:rPr>
          <w:rFonts w:hint="eastAsia" w:ascii="宋体" w:hAnsi="宋体" w:eastAsia="宋体" w:cs="宋体"/>
          <w:b/>
          <w:color w:val="auto"/>
          <w:sz w:val="21"/>
          <w:szCs w:val="21"/>
          <w:highlight w:val="none"/>
        </w:rPr>
        <w:t>若</w:t>
      </w:r>
      <w:r>
        <w:rPr>
          <w:rFonts w:hint="eastAsia" w:ascii="宋体" w:hAnsi="宋体" w:cs="宋体"/>
          <w:b/>
          <w:color w:val="auto"/>
          <w:sz w:val="21"/>
          <w:szCs w:val="21"/>
          <w:highlight w:val="none"/>
          <w:lang w:eastAsia="zh-CN"/>
        </w:rPr>
        <w:t>因</w:t>
      </w:r>
      <w:r>
        <w:rPr>
          <w:rFonts w:hint="eastAsia" w:ascii="宋体" w:hAnsi="宋体" w:eastAsia="宋体" w:cs="宋体"/>
          <w:b/>
          <w:color w:val="auto"/>
          <w:sz w:val="21"/>
          <w:szCs w:val="21"/>
          <w:highlight w:val="none"/>
        </w:rPr>
        <w:t>供应商填写错误</w:t>
      </w:r>
      <w:r>
        <w:rPr>
          <w:rFonts w:hint="eastAsia" w:ascii="宋体" w:hAnsi="宋体" w:cs="宋体"/>
          <w:b/>
          <w:color w:val="auto"/>
          <w:sz w:val="21"/>
          <w:szCs w:val="21"/>
          <w:highlight w:val="none"/>
          <w:lang w:val="en-US" w:eastAsia="zh-CN"/>
        </w:rPr>
        <w:t>的，</w:t>
      </w:r>
      <w:r>
        <w:rPr>
          <w:rFonts w:hint="eastAsia" w:ascii="宋体" w:hAnsi="宋体" w:eastAsia="宋体" w:cs="宋体"/>
          <w:b/>
          <w:color w:val="auto"/>
          <w:sz w:val="21"/>
          <w:szCs w:val="21"/>
          <w:highlight w:val="none"/>
        </w:rPr>
        <w:t>后果自负。</w:t>
      </w:r>
    </w:p>
    <w:p w14:paraId="7E7BF034">
      <w:pPr>
        <w:pStyle w:val="21"/>
        <w:spacing w:before="120" w:line="360" w:lineRule="auto"/>
        <w:ind w:left="800"/>
        <w:rPr>
          <w:rFonts w:hint="eastAsia" w:ascii="宋体" w:hAnsi="宋体" w:eastAsia="宋体" w:cs="宋体"/>
          <w:color w:val="auto"/>
          <w:sz w:val="24"/>
          <w:szCs w:val="24"/>
          <w:highlight w:val="none"/>
        </w:rPr>
      </w:pPr>
    </w:p>
    <w:p w14:paraId="20A6D990">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供应商（电子签章）：</w:t>
      </w:r>
      <w:r>
        <w:rPr>
          <w:rFonts w:hint="eastAsia" w:ascii="宋体" w:hAnsi="宋体" w:eastAsia="宋体" w:cs="宋体"/>
          <w:color w:val="auto"/>
          <w:sz w:val="24"/>
          <w:szCs w:val="24"/>
          <w:highlight w:val="none"/>
          <w:u w:val="single"/>
        </w:rPr>
        <w:t xml:space="preserve">                               </w:t>
      </w:r>
    </w:p>
    <w:p w14:paraId="5DF6E54D">
      <w:pPr>
        <w:pStyle w:val="21"/>
        <w:spacing w:before="120" w:line="360" w:lineRule="auto"/>
        <w:ind w:left="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法定代表人（负责人）或委托代理人（电子签章）：</w:t>
      </w:r>
      <w:r>
        <w:rPr>
          <w:rFonts w:hint="eastAsia" w:ascii="宋体" w:hAnsi="宋体" w:eastAsia="宋体" w:cs="宋体"/>
          <w:color w:val="auto"/>
          <w:sz w:val="24"/>
          <w:szCs w:val="24"/>
          <w:highlight w:val="none"/>
          <w:u w:val="single"/>
        </w:rPr>
        <w:t xml:space="preserve">              </w:t>
      </w:r>
    </w:p>
    <w:p w14:paraId="160642B0">
      <w:pPr>
        <w:pStyle w:val="21"/>
        <w:spacing w:before="120" w:line="360" w:lineRule="auto"/>
        <w:ind w:left="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4A68B0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7FB1A28">
      <w:pPr>
        <w:pStyle w:val="3"/>
        <w:ind w:firstLine="241" w:firstLineChars="100"/>
        <w:jc w:val="left"/>
        <w:rPr>
          <w:rFonts w:hint="eastAsia" w:eastAsia="宋体"/>
          <w:color w:val="auto"/>
          <w:sz w:val="24"/>
          <w:szCs w:val="24"/>
          <w:highlight w:val="none"/>
          <w:lang w:eastAsia="zh-CN"/>
        </w:rPr>
      </w:pPr>
      <w:bookmarkStart w:id="4767" w:name="_Toc22851"/>
      <w:bookmarkStart w:id="4768" w:name="_Toc9113"/>
      <w:bookmarkStart w:id="4769" w:name="_Toc24865"/>
      <w:r>
        <w:rPr>
          <w:rFonts w:hint="eastAsia"/>
          <w:color w:val="auto"/>
          <w:sz w:val="24"/>
          <w:szCs w:val="24"/>
          <w:highlight w:val="none"/>
          <w:lang w:eastAsia="zh-CN"/>
        </w:rPr>
        <w:t>（</w:t>
      </w:r>
      <w:r>
        <w:rPr>
          <w:rFonts w:hint="eastAsia"/>
          <w:color w:val="auto"/>
          <w:sz w:val="24"/>
          <w:szCs w:val="24"/>
          <w:highlight w:val="none"/>
          <w:lang w:val="en-US" w:eastAsia="zh-CN"/>
        </w:rPr>
        <w:t>四</w:t>
      </w:r>
      <w:r>
        <w:rPr>
          <w:rFonts w:hint="eastAsia"/>
          <w:color w:val="auto"/>
          <w:sz w:val="24"/>
          <w:szCs w:val="24"/>
          <w:highlight w:val="none"/>
          <w:lang w:eastAsia="zh-CN"/>
        </w:rPr>
        <w:t>）</w:t>
      </w:r>
      <w:r>
        <w:rPr>
          <w:rFonts w:hint="eastAsia"/>
          <w:color w:val="auto"/>
          <w:sz w:val="24"/>
          <w:szCs w:val="24"/>
          <w:highlight w:val="none"/>
          <w:lang w:val="en-US" w:eastAsia="zh-CN"/>
        </w:rPr>
        <w:t>本项目为</w:t>
      </w:r>
      <w:r>
        <w:rPr>
          <w:rFonts w:hint="eastAsia"/>
          <w:color w:val="auto"/>
          <w:sz w:val="24"/>
          <w:szCs w:val="24"/>
          <w:highlight w:val="none"/>
          <w:lang w:eastAsia="zh-CN"/>
        </w:rPr>
        <w:t>采用</w:t>
      </w:r>
      <w:r>
        <w:rPr>
          <w:rFonts w:hint="eastAsia"/>
          <w:color w:val="auto"/>
          <w:sz w:val="24"/>
          <w:szCs w:val="24"/>
          <w:highlight w:val="none"/>
          <w:lang w:val="en-US" w:eastAsia="zh-CN"/>
        </w:rPr>
        <w:t>招标</w:t>
      </w:r>
      <w:r>
        <w:rPr>
          <w:rFonts w:hint="eastAsia"/>
          <w:color w:val="auto"/>
          <w:sz w:val="24"/>
          <w:szCs w:val="24"/>
          <w:highlight w:val="none"/>
          <w:lang w:eastAsia="zh-CN"/>
        </w:rPr>
        <w:t>工程量清单计价方式的采购项目，</w:t>
      </w:r>
      <w:r>
        <w:rPr>
          <w:rFonts w:hint="eastAsia"/>
          <w:color w:val="auto"/>
          <w:sz w:val="24"/>
          <w:szCs w:val="24"/>
          <w:highlight w:val="none"/>
          <w:lang w:val="en-US" w:eastAsia="zh-CN"/>
        </w:rPr>
        <w:t>供应商</w:t>
      </w:r>
      <w:r>
        <w:rPr>
          <w:rFonts w:hint="eastAsia"/>
          <w:color w:val="auto"/>
          <w:sz w:val="24"/>
          <w:szCs w:val="24"/>
          <w:highlight w:val="none"/>
          <w:lang w:eastAsia="zh-CN"/>
        </w:rPr>
        <w:t>应在本部分放置清单计价表格。供应商须严格按照本项目公布的招标工程量清单编制投标工程量清单。</w:t>
      </w:r>
      <w:bookmarkEnd w:id="4767"/>
      <w:bookmarkEnd w:id="4768"/>
      <w:bookmarkEnd w:id="4769"/>
    </w:p>
    <w:p w14:paraId="41C33220">
      <w:pPr>
        <w:pStyle w:val="21"/>
        <w:spacing w:before="120" w:line="360" w:lineRule="auto"/>
        <w:ind w:left="800"/>
        <w:rPr>
          <w:rFonts w:hint="eastAsia" w:ascii="宋体" w:hAnsi="宋体" w:eastAsia="宋体" w:cs="宋体"/>
          <w:color w:val="auto"/>
          <w:sz w:val="24"/>
          <w:szCs w:val="24"/>
          <w:highlight w:val="none"/>
        </w:rPr>
      </w:pPr>
    </w:p>
    <w:p w14:paraId="5A117989">
      <w:pPr>
        <w:pStyle w:val="21"/>
        <w:spacing w:before="120" w:line="360" w:lineRule="auto"/>
        <w:rPr>
          <w:rFonts w:hint="eastAsia" w:ascii="宋体" w:hAnsi="宋体" w:eastAsia="宋体" w:cs="宋体"/>
          <w:b/>
          <w:bCs/>
          <w:color w:val="auto"/>
          <w:sz w:val="21"/>
          <w:szCs w:val="21"/>
          <w:highlight w:val="none"/>
        </w:rPr>
      </w:pPr>
      <w:bookmarkStart w:id="4770" w:name="_Toc8925"/>
      <w:r>
        <w:rPr>
          <w:rFonts w:hint="eastAsia" w:ascii="宋体" w:hAnsi="宋体" w:eastAsia="宋体" w:cs="宋体"/>
          <w:color w:val="auto"/>
          <w:highlight w:val="none"/>
        </w:rPr>
        <w:br w:type="page"/>
      </w:r>
      <w:r>
        <w:rPr>
          <w:rFonts w:hint="eastAsia" w:ascii="宋体" w:hAnsi="宋体" w:eastAsia="宋体" w:cs="宋体"/>
          <w:b/>
          <w:bCs/>
          <w:color w:val="auto"/>
          <w:sz w:val="21"/>
          <w:szCs w:val="21"/>
          <w:highlight w:val="none"/>
        </w:rPr>
        <w:t>（实质性格式要求）</w:t>
      </w:r>
    </w:p>
    <w:p w14:paraId="36AD0969">
      <w:pPr>
        <w:pStyle w:val="3"/>
        <w:spacing w:line="360" w:lineRule="auto"/>
        <w:rPr>
          <w:rFonts w:hint="eastAsia" w:ascii="宋体" w:hAnsi="宋体" w:eastAsia="宋体" w:cs="宋体"/>
          <w:bCs/>
          <w:color w:val="auto"/>
          <w:sz w:val="24"/>
          <w:highlight w:val="none"/>
        </w:rPr>
      </w:pPr>
      <w:bookmarkStart w:id="4771" w:name="_Toc25022"/>
      <w:bookmarkStart w:id="4772" w:name="_Toc7253"/>
      <w:bookmarkStart w:id="4773" w:name="_Toc22244"/>
      <w:bookmarkStart w:id="4774" w:name="_Toc11260"/>
      <w:bookmarkStart w:id="4775" w:name="_Toc23402"/>
      <w:r>
        <w:rPr>
          <w:rFonts w:hint="eastAsia" w:ascii="宋体" w:hAnsi="宋体" w:eastAsia="宋体" w:cs="宋体"/>
          <w:bCs/>
          <w:color w:val="auto"/>
          <w:sz w:val="24"/>
          <w:highlight w:val="none"/>
        </w:rPr>
        <w:t>（</w:t>
      </w:r>
      <w:r>
        <w:rPr>
          <w:rFonts w:hint="eastAsia" w:ascii="宋体" w:hAnsi="宋体" w:cs="宋体"/>
          <w:bCs/>
          <w:color w:val="auto"/>
          <w:sz w:val="24"/>
          <w:highlight w:val="none"/>
          <w:lang w:eastAsia="zh-CN"/>
        </w:rPr>
        <w:t>五</w:t>
      </w:r>
      <w:r>
        <w:rPr>
          <w:rFonts w:hint="eastAsia" w:ascii="宋体" w:hAnsi="宋体" w:eastAsia="宋体" w:cs="宋体"/>
          <w:bCs/>
          <w:color w:val="auto"/>
          <w:sz w:val="24"/>
          <w:highlight w:val="none"/>
        </w:rPr>
        <w:t>）法定代表人（负责人）身份证明</w:t>
      </w:r>
      <w:bookmarkEnd w:id="4771"/>
      <w:bookmarkEnd w:id="4772"/>
      <w:bookmarkEnd w:id="4773"/>
      <w:bookmarkEnd w:id="4774"/>
      <w:bookmarkEnd w:id="4775"/>
    </w:p>
    <w:p w14:paraId="70F71DD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4846D87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2B3ED88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6EF8B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49762E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4167CF0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    别：</w:t>
      </w:r>
      <w:r>
        <w:rPr>
          <w:rFonts w:hint="eastAsia" w:ascii="宋体" w:hAnsi="宋体" w:eastAsia="宋体" w:cs="宋体"/>
          <w:color w:val="auto"/>
          <w:sz w:val="24"/>
          <w:szCs w:val="24"/>
          <w:highlight w:val="none"/>
          <w:u w:val="single"/>
        </w:rPr>
        <w:t xml:space="preserve">               </w:t>
      </w:r>
    </w:p>
    <w:p w14:paraId="477AD5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14:paraId="3C56477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w:t>
      </w:r>
    </w:p>
    <w:p w14:paraId="1CE859C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8AE821A">
      <w:pPr>
        <w:spacing w:line="360" w:lineRule="auto"/>
        <w:rPr>
          <w:rFonts w:hint="eastAsia" w:ascii="宋体" w:hAnsi="宋体" w:eastAsia="宋体" w:cs="宋体"/>
          <w:color w:val="auto"/>
          <w:sz w:val="24"/>
          <w:szCs w:val="24"/>
          <w:highlight w:val="none"/>
        </w:rPr>
      </w:pPr>
    </w:p>
    <w:p w14:paraId="1AC7E382">
      <w:pPr>
        <w:spacing w:line="360" w:lineRule="auto"/>
        <w:rPr>
          <w:rFonts w:hint="eastAsia" w:ascii="宋体" w:hAnsi="宋体" w:eastAsia="宋体" w:cs="宋体"/>
          <w:color w:val="auto"/>
          <w:sz w:val="24"/>
          <w:szCs w:val="24"/>
          <w:highlight w:val="none"/>
        </w:rPr>
      </w:pPr>
    </w:p>
    <w:p w14:paraId="3A1FA7D9">
      <w:pPr>
        <w:spacing w:line="360" w:lineRule="auto"/>
        <w:rPr>
          <w:rFonts w:hint="eastAsia" w:ascii="宋体" w:hAnsi="宋体" w:eastAsia="宋体" w:cs="宋体"/>
          <w:color w:val="auto"/>
          <w:sz w:val="24"/>
          <w:szCs w:val="24"/>
          <w:highlight w:val="none"/>
        </w:rPr>
      </w:pPr>
    </w:p>
    <w:p w14:paraId="46E11B50">
      <w:pPr>
        <w:spacing w:line="360" w:lineRule="auto"/>
        <w:rPr>
          <w:rFonts w:hint="eastAsia" w:ascii="宋体" w:hAnsi="宋体" w:eastAsia="宋体" w:cs="宋体"/>
          <w:color w:val="auto"/>
          <w:sz w:val="24"/>
          <w:szCs w:val="24"/>
          <w:highlight w:val="none"/>
        </w:rPr>
      </w:pPr>
    </w:p>
    <w:p w14:paraId="22945B2A">
      <w:pPr>
        <w:spacing w:line="360" w:lineRule="auto"/>
        <w:rPr>
          <w:rFonts w:hint="eastAsia" w:ascii="宋体" w:hAnsi="宋体" w:eastAsia="宋体" w:cs="宋体"/>
          <w:color w:val="auto"/>
          <w:sz w:val="24"/>
          <w:szCs w:val="24"/>
          <w:highlight w:val="none"/>
        </w:rPr>
      </w:pPr>
    </w:p>
    <w:p w14:paraId="620532D0">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76CBFFD4">
      <w:pPr>
        <w:pStyle w:val="9"/>
        <w:spacing w:line="360" w:lineRule="auto"/>
        <w:rPr>
          <w:rFonts w:hint="eastAsia" w:ascii="宋体" w:hAnsi="宋体" w:eastAsia="宋体" w:cs="宋体"/>
          <w:color w:val="auto"/>
          <w:highlight w:val="none"/>
        </w:rPr>
      </w:pPr>
    </w:p>
    <w:p w14:paraId="6125F39F">
      <w:pPr>
        <w:pStyle w:val="9"/>
        <w:spacing w:line="360" w:lineRule="auto"/>
        <w:ind w:firstLine="3120" w:firstLineChars="130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法定代表人（单位负责人）（电子签章）：</w:t>
      </w:r>
      <w:r>
        <w:rPr>
          <w:rFonts w:hint="eastAsia" w:ascii="宋体" w:hAnsi="宋体" w:eastAsia="宋体" w:cs="宋体"/>
          <w:color w:val="auto"/>
          <w:sz w:val="24"/>
          <w:szCs w:val="24"/>
          <w:highlight w:val="none"/>
          <w:u w:val="single"/>
          <w:lang w:val="en-US" w:eastAsia="zh-CN" w:bidi="ar-SA"/>
        </w:rPr>
        <w:t xml:space="preserve">               </w:t>
      </w:r>
    </w:p>
    <w:p w14:paraId="0E773D25">
      <w:pPr>
        <w:spacing w:line="360" w:lineRule="auto"/>
        <w:rPr>
          <w:rFonts w:hint="eastAsia" w:ascii="宋体" w:hAnsi="宋体" w:eastAsia="宋体" w:cs="宋体"/>
          <w:color w:val="auto"/>
          <w:highlight w:val="none"/>
        </w:rPr>
      </w:pPr>
    </w:p>
    <w:p w14:paraId="03F7180E">
      <w:pPr>
        <w:wordWrap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5394CDD2">
      <w:pPr>
        <w:spacing w:line="360" w:lineRule="auto"/>
        <w:jc w:val="right"/>
        <w:rPr>
          <w:rFonts w:hint="eastAsia" w:ascii="宋体" w:hAnsi="宋体" w:eastAsia="宋体" w:cs="宋体"/>
          <w:color w:val="auto"/>
          <w:sz w:val="24"/>
          <w:szCs w:val="24"/>
          <w:highlight w:val="none"/>
        </w:rPr>
      </w:pPr>
    </w:p>
    <w:p w14:paraId="025D1907">
      <w:pPr>
        <w:spacing w:line="360" w:lineRule="auto"/>
        <w:jc w:val="right"/>
        <w:rPr>
          <w:rFonts w:hint="eastAsia" w:ascii="宋体" w:hAnsi="宋体" w:eastAsia="宋体" w:cs="宋体"/>
          <w:color w:val="auto"/>
          <w:sz w:val="24"/>
          <w:szCs w:val="24"/>
          <w:highlight w:val="none"/>
        </w:rPr>
      </w:pPr>
    </w:p>
    <w:p w14:paraId="708A13D9">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注：附法定代表人身份证扫描件（正反面）。</w:t>
      </w:r>
    </w:p>
    <w:p w14:paraId="5E3B6938">
      <w:pPr>
        <w:spacing w:line="360" w:lineRule="auto"/>
        <w:jc w:val="right"/>
        <w:rPr>
          <w:rFonts w:hint="eastAsia" w:ascii="宋体" w:hAnsi="宋体" w:eastAsia="宋体" w:cs="宋体"/>
          <w:color w:val="auto"/>
          <w:sz w:val="21"/>
          <w:szCs w:val="21"/>
          <w:highlight w:val="none"/>
        </w:rPr>
      </w:pPr>
    </w:p>
    <w:p w14:paraId="7F0C6E33">
      <w:pPr>
        <w:spacing w:line="360" w:lineRule="auto"/>
        <w:jc w:val="right"/>
        <w:rPr>
          <w:rFonts w:hint="eastAsia" w:ascii="宋体" w:hAnsi="宋体" w:eastAsia="宋体" w:cs="宋体"/>
          <w:color w:val="auto"/>
          <w:sz w:val="21"/>
          <w:szCs w:val="21"/>
          <w:highlight w:val="none"/>
        </w:rPr>
      </w:pPr>
    </w:p>
    <w:p w14:paraId="2CCB3639">
      <w:pPr>
        <w:spacing w:line="360" w:lineRule="auto"/>
        <w:jc w:val="right"/>
        <w:rPr>
          <w:rFonts w:hint="eastAsia" w:ascii="宋体" w:hAnsi="宋体" w:eastAsia="宋体" w:cs="宋体"/>
          <w:color w:val="auto"/>
          <w:sz w:val="21"/>
          <w:szCs w:val="21"/>
          <w:highlight w:val="none"/>
        </w:rPr>
      </w:pPr>
    </w:p>
    <w:p w14:paraId="25AFD822">
      <w:pPr>
        <w:spacing w:line="360" w:lineRule="auto"/>
        <w:jc w:val="right"/>
        <w:rPr>
          <w:rFonts w:hint="eastAsia" w:ascii="宋体" w:hAnsi="宋体" w:eastAsia="宋体" w:cs="宋体"/>
          <w:color w:val="auto"/>
          <w:sz w:val="21"/>
          <w:szCs w:val="21"/>
          <w:highlight w:val="none"/>
        </w:rPr>
      </w:pPr>
    </w:p>
    <w:p w14:paraId="28EA1EA5">
      <w:pPr>
        <w:pStyle w:val="21"/>
        <w:spacing w:before="120" w:line="360" w:lineRule="auto"/>
        <w:rPr>
          <w:rFonts w:hint="eastAsia" w:ascii="宋体" w:hAnsi="宋体" w:eastAsia="宋体" w:cs="宋体"/>
          <w:b/>
          <w:bCs/>
          <w:color w:val="auto"/>
          <w:sz w:val="21"/>
          <w:szCs w:val="21"/>
          <w:highlight w:val="none"/>
        </w:rPr>
        <w:sectPr>
          <w:pgSz w:w="11906" w:h="16838"/>
          <w:pgMar w:top="1134" w:right="1247" w:bottom="1134" w:left="1247" w:header="851" w:footer="992" w:gutter="0"/>
          <w:pgNumType w:fmt="decimal"/>
          <w:cols w:space="720" w:num="1"/>
          <w:docGrid w:linePitch="312" w:charSpace="0"/>
        </w:sectPr>
      </w:pPr>
      <w:bookmarkStart w:id="4776" w:name="_Toc866"/>
    </w:p>
    <w:p w14:paraId="18A26AE7">
      <w:pPr>
        <w:pStyle w:val="21"/>
        <w:spacing w:before="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（实质性格式要求）</w:t>
      </w:r>
    </w:p>
    <w:p w14:paraId="7DF1C0AD">
      <w:pPr>
        <w:pStyle w:val="3"/>
        <w:spacing w:line="360" w:lineRule="auto"/>
        <w:rPr>
          <w:rFonts w:hint="eastAsia" w:ascii="宋体" w:hAnsi="宋体" w:eastAsia="宋体" w:cs="宋体"/>
          <w:bCs/>
          <w:color w:val="auto"/>
          <w:sz w:val="24"/>
          <w:highlight w:val="none"/>
        </w:rPr>
      </w:pPr>
      <w:bookmarkStart w:id="4777" w:name="_Toc11345"/>
      <w:bookmarkStart w:id="4778" w:name="_Toc17199"/>
      <w:bookmarkStart w:id="4779" w:name="_Toc3352"/>
      <w:bookmarkStart w:id="4780" w:name="_Toc6591"/>
      <w:r>
        <w:rPr>
          <w:rFonts w:hint="eastAsia" w:ascii="宋体" w:hAnsi="宋体" w:eastAsia="宋体" w:cs="宋体"/>
          <w:bCs/>
          <w:color w:val="auto"/>
          <w:sz w:val="24"/>
          <w:highlight w:val="none"/>
        </w:rPr>
        <w:t>（</w:t>
      </w:r>
      <w:r>
        <w:rPr>
          <w:rFonts w:hint="eastAsia" w:ascii="宋体" w:hAnsi="宋体" w:cs="宋体"/>
          <w:bCs/>
          <w:color w:val="auto"/>
          <w:sz w:val="24"/>
          <w:highlight w:val="none"/>
          <w:lang w:eastAsia="zh-CN"/>
        </w:rPr>
        <w:t>六</w:t>
      </w:r>
      <w:r>
        <w:rPr>
          <w:rFonts w:hint="eastAsia" w:ascii="宋体" w:hAnsi="宋体" w:eastAsia="宋体" w:cs="宋体"/>
          <w:bCs/>
          <w:color w:val="auto"/>
          <w:sz w:val="24"/>
          <w:highlight w:val="none"/>
        </w:rPr>
        <w:t>）授权委托书</w:t>
      </w:r>
      <w:bookmarkEnd w:id="4776"/>
      <w:bookmarkEnd w:id="4777"/>
      <w:bookmarkEnd w:id="4778"/>
      <w:bookmarkEnd w:id="4779"/>
      <w:bookmarkEnd w:id="4780"/>
    </w:p>
    <w:p w14:paraId="53DCC4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竞争性磋商响应文件，其法律后果由我方承担。</w:t>
      </w:r>
    </w:p>
    <w:p w14:paraId="54A7E96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p>
    <w:p w14:paraId="1A3EE39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26846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30D62EF0">
      <w:pPr>
        <w:spacing w:line="360" w:lineRule="auto"/>
        <w:ind w:firstLine="480" w:firstLineChars="200"/>
        <w:rPr>
          <w:rFonts w:hint="eastAsia" w:ascii="宋体" w:hAnsi="宋体" w:eastAsia="宋体" w:cs="宋体"/>
          <w:color w:val="auto"/>
          <w:sz w:val="24"/>
          <w:szCs w:val="24"/>
          <w:highlight w:val="none"/>
        </w:rPr>
      </w:pPr>
    </w:p>
    <w:p w14:paraId="54D9A023">
      <w:pPr>
        <w:spacing w:line="360" w:lineRule="auto"/>
        <w:ind w:firstLine="480" w:firstLineChars="200"/>
        <w:rPr>
          <w:rFonts w:hint="eastAsia" w:ascii="宋体" w:hAnsi="宋体" w:eastAsia="宋体" w:cs="宋体"/>
          <w:color w:val="auto"/>
          <w:sz w:val="24"/>
          <w:szCs w:val="24"/>
          <w:highlight w:val="none"/>
        </w:rPr>
      </w:pPr>
    </w:p>
    <w:p w14:paraId="6124C5FC">
      <w:pPr>
        <w:spacing w:line="360" w:lineRule="auto"/>
        <w:ind w:firstLine="480" w:firstLineChars="200"/>
        <w:rPr>
          <w:rFonts w:hint="eastAsia" w:ascii="宋体" w:hAnsi="宋体" w:eastAsia="宋体" w:cs="宋体"/>
          <w:color w:val="auto"/>
          <w:sz w:val="24"/>
          <w:szCs w:val="24"/>
          <w:highlight w:val="none"/>
        </w:rPr>
      </w:pPr>
    </w:p>
    <w:p w14:paraId="66D2176B">
      <w:pPr>
        <w:spacing w:line="360" w:lineRule="auto"/>
        <w:ind w:firstLine="480" w:firstLineChars="200"/>
        <w:rPr>
          <w:rFonts w:hint="eastAsia" w:ascii="宋体" w:hAnsi="宋体" w:eastAsia="宋体" w:cs="宋体"/>
          <w:color w:val="auto"/>
          <w:sz w:val="24"/>
          <w:szCs w:val="24"/>
          <w:highlight w:val="none"/>
        </w:rPr>
      </w:pPr>
    </w:p>
    <w:p w14:paraId="13C2559B">
      <w:pPr>
        <w:wordWrap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  应  商</w:t>
      </w:r>
      <w:r>
        <w:rPr>
          <w:rFonts w:hint="eastAsia" w:ascii="宋体" w:hAnsi="宋体" w:eastAsia="宋体" w:cs="宋体"/>
          <w:color w:val="auto"/>
          <w:sz w:val="24"/>
          <w:szCs w:val="24"/>
          <w:highlight w:val="none"/>
          <w:lang w:val="en-US" w:eastAsia="zh-CN"/>
        </w:rPr>
        <w:t xml:space="preserve"> 名 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C11FC78">
      <w:pPr>
        <w:wordWrap w:val="0"/>
        <w:spacing w:line="36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1679085C">
      <w:pPr>
        <w:wordWrap w:val="0"/>
        <w:spacing w:line="360" w:lineRule="auto"/>
        <w:ind w:right="44" w:firstLine="3120" w:firstLineChars="1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B554011">
      <w:pPr>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w:t>
      </w:r>
      <w:r>
        <w:rPr>
          <w:rFonts w:hint="eastAsia" w:ascii="宋体" w:hAnsi="宋体" w:eastAsia="宋体" w:cs="宋体"/>
          <w:color w:val="auto"/>
          <w:sz w:val="24"/>
          <w:szCs w:val="24"/>
          <w:highlight w:val="none"/>
          <w:lang w:val="en-US" w:eastAsia="zh-CN"/>
        </w:rPr>
        <w:t>字</w:t>
      </w:r>
      <w:r>
        <w:rPr>
          <w:rFonts w:hint="eastAsia" w:ascii="宋体" w:hAnsi="宋体" w:eastAsia="宋体" w:cs="宋体"/>
          <w:color w:val="auto"/>
          <w:sz w:val="24"/>
          <w:szCs w:val="24"/>
          <w:highlight w:val="none"/>
        </w:rPr>
        <w:t>）</w:t>
      </w:r>
    </w:p>
    <w:p w14:paraId="1ABF28C1">
      <w:pPr>
        <w:tabs>
          <w:tab w:val="left" w:pos="8460"/>
        </w:tabs>
        <w:wordWrap w:val="0"/>
        <w:spacing w:line="360" w:lineRule="auto"/>
        <w:ind w:right="44" w:firstLine="3120" w:firstLineChars="130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7075E96B">
      <w:pPr>
        <w:spacing w:line="360" w:lineRule="auto"/>
        <w:ind w:right="42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A9577D">
      <w:pPr>
        <w:spacing w:line="360" w:lineRule="auto"/>
        <w:ind w:right="420" w:firstLine="5400" w:firstLineChars="2250"/>
        <w:rPr>
          <w:rFonts w:hint="eastAsia" w:ascii="宋体" w:hAnsi="宋体" w:eastAsia="宋体" w:cs="宋体"/>
          <w:color w:val="auto"/>
          <w:sz w:val="24"/>
          <w:szCs w:val="24"/>
          <w:highlight w:val="none"/>
        </w:rPr>
      </w:pPr>
    </w:p>
    <w:p w14:paraId="17444305">
      <w:pPr>
        <w:spacing w:line="360" w:lineRule="auto"/>
        <w:ind w:right="420" w:firstLine="5400" w:firstLineChars="2250"/>
        <w:rPr>
          <w:rFonts w:hint="eastAsia" w:ascii="宋体" w:hAnsi="宋体" w:eastAsia="宋体" w:cs="宋体"/>
          <w:color w:val="auto"/>
          <w:sz w:val="24"/>
          <w:szCs w:val="24"/>
          <w:highlight w:val="none"/>
        </w:rPr>
      </w:pPr>
    </w:p>
    <w:p w14:paraId="72C7A885">
      <w:pPr>
        <w:spacing w:line="360" w:lineRule="auto"/>
        <w:ind w:right="42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注：1、附授权委托人身份证扫描件（正反面）。</w:t>
      </w:r>
    </w:p>
    <w:p w14:paraId="3A4859A9">
      <w:pPr>
        <w:spacing w:line="360" w:lineRule="auto"/>
        <w:ind w:right="420" w:firstLine="410" w:firstLineChars="17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2、如供应商由法定代表人亲自签署响应文件并参与相关活动，则不需要办理授权。如有被授权的代理人签署上述文件，则必须按本格式规定填报并提交授权书，否则被授权的代理人将不被认可。</w:t>
      </w:r>
    </w:p>
    <w:p w14:paraId="6C2226DA">
      <w:pPr>
        <w:spacing w:line="360" w:lineRule="auto"/>
        <w:ind w:right="420" w:firstLine="410" w:firstLineChars="170"/>
        <w:jc w:val="both"/>
        <w:rPr>
          <w:rFonts w:hint="eastAsia" w:ascii="宋体" w:hAnsi="宋体" w:eastAsia="宋体" w:cs="宋体"/>
          <w:b/>
          <w:color w:val="auto"/>
          <w:sz w:val="24"/>
          <w:szCs w:val="24"/>
          <w:highlight w:val="none"/>
        </w:rPr>
        <w:sectPr>
          <w:pgSz w:w="11906" w:h="16838"/>
          <w:pgMar w:top="1134" w:right="1247" w:bottom="1134" w:left="1247" w:header="851" w:footer="992" w:gutter="0"/>
          <w:pgNumType w:fmt="decimal"/>
          <w:cols w:space="720" w:num="1"/>
          <w:docGrid w:linePitch="312" w:charSpace="0"/>
        </w:sectPr>
      </w:pPr>
      <w:r>
        <w:rPr>
          <w:rFonts w:hint="eastAsia" w:ascii="宋体" w:hAnsi="宋体" w:eastAsia="宋体" w:cs="宋体"/>
          <w:b/>
          <w:color w:val="auto"/>
          <w:sz w:val="24"/>
          <w:szCs w:val="24"/>
          <w:highlight w:val="none"/>
        </w:rPr>
        <w:t>3、本授权委托书配合法定代表人身份证明书使用方可生效。</w:t>
      </w:r>
    </w:p>
    <w:p w14:paraId="1516A42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outlineLvl w:val="1"/>
        <w:rPr>
          <w:rFonts w:hint="eastAsia" w:ascii="宋体" w:hAnsi="宋体" w:eastAsia="宋体" w:cs="宋体"/>
          <w:b/>
          <w:color w:val="auto"/>
          <w:sz w:val="30"/>
          <w:szCs w:val="30"/>
          <w:highlight w:val="none"/>
        </w:rPr>
      </w:pPr>
      <w:bookmarkStart w:id="4781" w:name="_Toc6784"/>
      <w:bookmarkStart w:id="4782" w:name="_Toc27729"/>
      <w:bookmarkStart w:id="4783" w:name="_Toc31950"/>
      <w:r>
        <w:rPr>
          <w:rFonts w:hint="eastAsia" w:ascii="宋体" w:hAnsi="宋体" w:eastAsia="宋体" w:cs="宋体"/>
          <w:b/>
          <w:color w:val="auto"/>
          <w:sz w:val="30"/>
          <w:szCs w:val="30"/>
          <w:highlight w:val="none"/>
        </w:rPr>
        <w:t>（</w:t>
      </w:r>
      <w:r>
        <w:rPr>
          <w:rFonts w:hint="eastAsia" w:ascii="宋体" w:hAnsi="宋体" w:cs="宋体"/>
          <w:b/>
          <w:color w:val="auto"/>
          <w:sz w:val="30"/>
          <w:szCs w:val="30"/>
          <w:highlight w:val="none"/>
          <w:lang w:eastAsia="zh-CN"/>
        </w:rPr>
        <w:t>七</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磋商</w:t>
      </w:r>
      <w:r>
        <w:rPr>
          <w:rFonts w:hint="eastAsia" w:ascii="宋体" w:hAnsi="宋体" w:eastAsia="宋体" w:cs="宋体"/>
          <w:b/>
          <w:color w:val="auto"/>
          <w:sz w:val="30"/>
          <w:szCs w:val="30"/>
          <w:highlight w:val="none"/>
        </w:rPr>
        <w:t>保证金凭证</w:t>
      </w:r>
      <w:bookmarkEnd w:id="4781"/>
      <w:bookmarkEnd w:id="4782"/>
      <w:bookmarkEnd w:id="4783"/>
    </w:p>
    <w:p w14:paraId="420B1233">
      <w:pPr>
        <w:pStyle w:val="12"/>
        <w:jc w:val="left"/>
        <w:rPr>
          <w:rFonts w:hint="default" w:eastAsia="宋体"/>
          <w:color w:val="auto"/>
          <w:highlight w:val="none"/>
          <w:lang w:val="en-US" w:eastAsia="zh-CN"/>
        </w:rPr>
      </w:pPr>
      <w:r>
        <w:rPr>
          <w:rFonts w:hint="eastAsia" w:ascii="宋体" w:hAnsi="宋体" w:cs="宋体"/>
          <w:b/>
          <w:color w:val="auto"/>
          <w:sz w:val="30"/>
          <w:szCs w:val="30"/>
          <w:highlight w:val="none"/>
          <w:lang w:val="en-US" w:eastAsia="zh-CN"/>
        </w:rPr>
        <w:t xml:space="preserve">          </w:t>
      </w:r>
      <w:r>
        <w:rPr>
          <w:rFonts w:hint="eastAsia" w:ascii="宋体" w:hAnsi="宋体" w:cs="宋体"/>
          <w:b w:val="0"/>
          <w:bCs/>
          <w:color w:val="auto"/>
          <w:sz w:val="24"/>
          <w:szCs w:val="24"/>
          <w:highlight w:val="none"/>
          <w:lang w:val="en-US" w:eastAsia="zh-CN"/>
        </w:rPr>
        <w:t xml:space="preserve">    附：清晰扫描件加盖单位公章 </w:t>
      </w:r>
      <w:r>
        <w:rPr>
          <w:rFonts w:hint="default"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lang w:val="en-US" w:eastAsia="zh-CN"/>
        </w:rPr>
        <w:t xml:space="preserve"> </w:t>
      </w:r>
      <w:r>
        <w:rPr>
          <w:rFonts w:hint="default"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lang w:val="en-US" w:eastAsia="zh-CN"/>
        </w:rPr>
        <w:t xml:space="preserve"> </w:t>
      </w:r>
      <w:r>
        <w:rPr>
          <w:rFonts w:hint="default"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lang w:val="en-US" w:eastAsia="zh-CN"/>
        </w:rPr>
        <w:t xml:space="preserve"> </w:t>
      </w:r>
      <w:r>
        <w:rPr>
          <w:rFonts w:hint="default" w:ascii="宋体" w:hAnsi="宋体" w:cs="宋体"/>
          <w:b/>
          <w:color w:val="auto"/>
          <w:sz w:val="30"/>
          <w:szCs w:val="30"/>
          <w:highlight w:val="none"/>
          <w:lang w:val="en-US" w:eastAsia="zh-CN"/>
        </w:rPr>
        <w:t xml:space="preserve">    </w:t>
      </w:r>
    </w:p>
    <w:p w14:paraId="76F1A3BA">
      <w:pPr>
        <w:pStyle w:val="3"/>
        <w:numPr>
          <w:ilvl w:val="0"/>
          <w:numId w:val="10"/>
        </w:numPr>
        <w:spacing w:line="360" w:lineRule="auto"/>
        <w:rPr>
          <w:rFonts w:hint="eastAsia" w:ascii="宋体" w:hAnsi="宋体" w:eastAsia="宋体" w:cs="宋体"/>
          <w:color w:val="auto"/>
          <w:szCs w:val="30"/>
          <w:highlight w:val="none"/>
        </w:rPr>
        <w:sectPr>
          <w:pgSz w:w="11906" w:h="16838"/>
          <w:pgMar w:top="1440" w:right="1440" w:bottom="1440" w:left="1440" w:header="851" w:footer="992" w:gutter="0"/>
          <w:pgNumType w:fmt="decimal"/>
          <w:cols w:space="720" w:num="1"/>
          <w:docGrid w:type="lines" w:linePitch="312" w:charSpace="0"/>
        </w:sectPr>
      </w:pPr>
    </w:p>
    <w:p w14:paraId="497E382F">
      <w:pPr>
        <w:rPr>
          <w:rFonts w:hint="eastAsia" w:ascii="宋体" w:hAnsi="宋体" w:eastAsia="宋体" w:cs="宋体"/>
          <w:color w:val="auto"/>
          <w:highlight w:val="none"/>
        </w:rPr>
      </w:pPr>
    </w:p>
    <w:p w14:paraId="5A95CB92">
      <w:pPr>
        <w:pStyle w:val="3"/>
        <w:spacing w:line="360" w:lineRule="auto"/>
        <w:jc w:val="center"/>
        <w:rPr>
          <w:rFonts w:hint="eastAsia" w:ascii="宋体" w:hAnsi="宋体" w:eastAsia="宋体" w:cs="宋体"/>
          <w:color w:val="auto"/>
          <w:highlight w:val="none"/>
        </w:rPr>
      </w:pPr>
      <w:bookmarkStart w:id="4784" w:name="_Toc1073"/>
      <w:bookmarkStart w:id="4785" w:name="_Toc24186"/>
      <w:bookmarkStart w:id="4786" w:name="_Toc17654"/>
      <w:bookmarkStart w:id="4787" w:name="_Toc3140"/>
      <w:r>
        <w:rPr>
          <w:rFonts w:hint="eastAsia" w:ascii="宋体" w:hAnsi="宋体" w:eastAsia="宋体" w:cs="宋体"/>
          <w:color w:val="auto"/>
          <w:highlight w:val="none"/>
        </w:rPr>
        <w:t>三、响应文件商务技术部分格式</w:t>
      </w:r>
      <w:bookmarkEnd w:id="4770"/>
      <w:bookmarkEnd w:id="4784"/>
      <w:bookmarkEnd w:id="4785"/>
      <w:bookmarkEnd w:id="4786"/>
      <w:bookmarkEnd w:id="4787"/>
    </w:p>
    <w:p w14:paraId="708794CB">
      <w:pPr>
        <w:keepNext/>
        <w:keepLines/>
        <w:spacing w:before="260" w:after="260" w:line="360" w:lineRule="auto"/>
        <w:jc w:val="center"/>
        <w:outlineLvl w:val="1"/>
        <w:rPr>
          <w:rFonts w:hint="eastAsia" w:ascii="宋体" w:hAnsi="宋体" w:eastAsia="宋体" w:cs="宋体"/>
          <w:b/>
          <w:bCs/>
          <w:color w:val="auto"/>
          <w:sz w:val="30"/>
          <w:szCs w:val="30"/>
          <w:highlight w:val="none"/>
          <w:lang w:val="zh-CN"/>
        </w:rPr>
        <w:sectPr>
          <w:pgSz w:w="11906" w:h="16838"/>
          <w:pgMar w:top="1134" w:right="1247" w:bottom="1134" w:left="1247" w:header="851" w:footer="992" w:gutter="0"/>
          <w:pgNumType w:fmt="decimal"/>
          <w:cols w:space="720" w:num="1"/>
          <w:docGrid w:linePitch="312" w:charSpace="0"/>
        </w:sectPr>
      </w:pPr>
      <w:bookmarkStart w:id="4788" w:name="_Toc503888690"/>
      <w:bookmarkStart w:id="4789" w:name="_Toc495599164"/>
      <w:bookmarkStart w:id="4790" w:name="_Toc462512254"/>
      <w:bookmarkStart w:id="4791" w:name="_Toc469404956"/>
    </w:p>
    <w:bookmarkEnd w:id="4788"/>
    <w:bookmarkEnd w:id="4789"/>
    <w:bookmarkEnd w:id="4790"/>
    <w:bookmarkEnd w:id="4791"/>
    <w:p w14:paraId="028D6A4A">
      <w:pPr>
        <w:keepNext/>
        <w:keepLines/>
        <w:adjustRightInd w:val="0"/>
        <w:snapToGrid w:val="0"/>
        <w:spacing w:line="360" w:lineRule="auto"/>
        <w:jc w:val="center"/>
        <w:outlineLvl w:val="1"/>
        <w:rPr>
          <w:rFonts w:hint="eastAsia" w:ascii="宋体" w:hAnsi="宋体" w:eastAsia="宋体" w:cs="宋体"/>
          <w:b/>
          <w:color w:val="auto"/>
          <w:sz w:val="30"/>
          <w:szCs w:val="30"/>
          <w:highlight w:val="none"/>
        </w:rPr>
      </w:pPr>
      <w:bookmarkStart w:id="4792" w:name="_Toc4445"/>
      <w:bookmarkStart w:id="4793" w:name="_Toc7334"/>
      <w:bookmarkStart w:id="4794" w:name="_Toc24251"/>
      <w:bookmarkStart w:id="4795" w:name="_Toc9362"/>
      <w:bookmarkStart w:id="4796" w:name="_Toc24107"/>
      <w:bookmarkStart w:id="4797" w:name="_Toc494377192"/>
      <w:bookmarkStart w:id="4798" w:name="_Toc1788"/>
      <w:bookmarkStart w:id="4799" w:name="_Toc13367"/>
      <w:bookmarkStart w:id="4800" w:name="_Toc13104"/>
      <w:bookmarkStart w:id="4801" w:name="_Toc5171"/>
      <w:bookmarkStart w:id="4802" w:name="_Toc454873769"/>
      <w:bookmarkStart w:id="4803" w:name="_Toc469404960"/>
      <w:r>
        <w:rPr>
          <w:rFonts w:hint="eastAsia" w:ascii="宋体" w:hAnsi="宋体" w:eastAsia="宋体" w:cs="宋体"/>
          <w:b/>
          <w:color w:val="auto"/>
          <w:sz w:val="30"/>
          <w:szCs w:val="30"/>
          <w:highlight w:val="none"/>
        </w:rPr>
        <w:t>（一）</w:t>
      </w:r>
      <w:bookmarkEnd w:id="4792"/>
      <w:bookmarkEnd w:id="4793"/>
      <w:bookmarkEnd w:id="4794"/>
      <w:bookmarkEnd w:id="4795"/>
      <w:bookmarkEnd w:id="4796"/>
      <w:bookmarkEnd w:id="4797"/>
      <w:r>
        <w:rPr>
          <w:rFonts w:hint="eastAsia" w:ascii="宋体" w:hAnsi="宋体" w:eastAsia="宋体" w:cs="宋体"/>
          <w:b/>
          <w:color w:val="auto"/>
          <w:sz w:val="30"/>
          <w:szCs w:val="30"/>
          <w:highlight w:val="none"/>
        </w:rPr>
        <w:t>供应商企业信息表</w:t>
      </w:r>
      <w:bookmarkEnd w:id="4798"/>
      <w:bookmarkEnd w:id="4799"/>
      <w:bookmarkEnd w:id="4800"/>
      <w:bookmarkEnd w:id="4801"/>
    </w:p>
    <w:tbl>
      <w:tblPr>
        <w:tblStyle w:val="2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181"/>
        <w:gridCol w:w="1179"/>
        <w:gridCol w:w="1520"/>
        <w:gridCol w:w="1305"/>
        <w:gridCol w:w="1965"/>
      </w:tblGrid>
      <w:tr w14:paraId="7825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29" w:type="dxa"/>
            <w:vAlign w:val="center"/>
          </w:tcPr>
          <w:p w14:paraId="4AC339C4">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7150" w:type="dxa"/>
            <w:gridSpan w:val="5"/>
            <w:vAlign w:val="center"/>
          </w:tcPr>
          <w:p w14:paraId="4EA44D28">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079A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9" w:type="dxa"/>
            <w:vAlign w:val="center"/>
          </w:tcPr>
          <w:p w14:paraId="16832EFF">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3880" w:type="dxa"/>
            <w:gridSpan w:val="3"/>
            <w:vAlign w:val="center"/>
          </w:tcPr>
          <w:p w14:paraId="33F07BAF">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1305" w:type="dxa"/>
            <w:vAlign w:val="center"/>
          </w:tcPr>
          <w:p w14:paraId="05BE0ECC">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1965" w:type="dxa"/>
            <w:vAlign w:val="center"/>
          </w:tcPr>
          <w:p w14:paraId="23C5E13F">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3929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629" w:type="dxa"/>
            <w:vMerge w:val="restart"/>
            <w:vAlign w:val="center"/>
          </w:tcPr>
          <w:p w14:paraId="4DC96DAE">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181" w:type="dxa"/>
            <w:vAlign w:val="center"/>
          </w:tcPr>
          <w:p w14:paraId="2C91B20F">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699" w:type="dxa"/>
            <w:gridSpan w:val="2"/>
            <w:vAlign w:val="center"/>
          </w:tcPr>
          <w:p w14:paraId="027F2E6D">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1305" w:type="dxa"/>
            <w:vAlign w:val="center"/>
          </w:tcPr>
          <w:p w14:paraId="277B6755">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1965" w:type="dxa"/>
            <w:vAlign w:val="center"/>
          </w:tcPr>
          <w:p w14:paraId="238723E1">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4628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629" w:type="dxa"/>
            <w:vMerge w:val="continue"/>
            <w:vAlign w:val="center"/>
          </w:tcPr>
          <w:p w14:paraId="06B624BC">
            <w:pPr>
              <w:autoSpaceDE w:val="0"/>
              <w:autoSpaceDN w:val="0"/>
              <w:adjustRightInd w:val="0"/>
              <w:snapToGrid w:val="0"/>
              <w:spacing w:line="360" w:lineRule="auto"/>
              <w:rPr>
                <w:rFonts w:hint="eastAsia" w:ascii="宋体" w:hAnsi="宋体" w:eastAsia="宋体" w:cs="宋体"/>
                <w:color w:val="auto"/>
                <w:sz w:val="24"/>
                <w:szCs w:val="24"/>
                <w:highlight w:val="none"/>
              </w:rPr>
            </w:pPr>
          </w:p>
        </w:tc>
        <w:tc>
          <w:tcPr>
            <w:tcW w:w="1181" w:type="dxa"/>
            <w:vAlign w:val="center"/>
          </w:tcPr>
          <w:p w14:paraId="4E02ABC0">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2699" w:type="dxa"/>
            <w:gridSpan w:val="2"/>
            <w:vAlign w:val="center"/>
          </w:tcPr>
          <w:p w14:paraId="12C19613">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1305" w:type="dxa"/>
            <w:vAlign w:val="center"/>
          </w:tcPr>
          <w:p w14:paraId="721B7047">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 址</w:t>
            </w:r>
          </w:p>
        </w:tc>
        <w:tc>
          <w:tcPr>
            <w:tcW w:w="1965" w:type="dxa"/>
            <w:vAlign w:val="center"/>
          </w:tcPr>
          <w:p w14:paraId="01B6E655">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690D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29" w:type="dxa"/>
            <w:vAlign w:val="center"/>
          </w:tcPr>
          <w:p w14:paraId="18AF98C2">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法定代表人（或负责人）</w:t>
            </w:r>
          </w:p>
        </w:tc>
        <w:tc>
          <w:tcPr>
            <w:tcW w:w="1181" w:type="dxa"/>
            <w:vAlign w:val="center"/>
          </w:tcPr>
          <w:p w14:paraId="467AA1C7">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699" w:type="dxa"/>
            <w:gridSpan w:val="2"/>
            <w:vAlign w:val="center"/>
          </w:tcPr>
          <w:p w14:paraId="28E573E1">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1305" w:type="dxa"/>
            <w:vAlign w:val="center"/>
          </w:tcPr>
          <w:p w14:paraId="739908E4">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65" w:type="dxa"/>
            <w:vAlign w:val="center"/>
          </w:tcPr>
          <w:p w14:paraId="22DBCD88">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6163B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9" w:type="dxa"/>
            <w:vAlign w:val="center"/>
          </w:tcPr>
          <w:p w14:paraId="7B439693">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360" w:type="dxa"/>
            <w:gridSpan w:val="2"/>
            <w:vAlign w:val="center"/>
          </w:tcPr>
          <w:p w14:paraId="45A29476">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4790" w:type="dxa"/>
            <w:gridSpan w:val="3"/>
            <w:vAlign w:val="center"/>
          </w:tcPr>
          <w:p w14:paraId="15119A26">
            <w:pPr>
              <w:autoSpaceDE w:val="0"/>
              <w:autoSpaceDN w:val="0"/>
              <w:adjustRightInd w:val="0"/>
              <w:snapToGrid w:val="0"/>
              <w:spacing w:line="360" w:lineRule="auto"/>
              <w:ind w:firstLine="960" w:firstLineChars="4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6773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29" w:type="dxa"/>
            <w:vAlign w:val="center"/>
          </w:tcPr>
          <w:p w14:paraId="6E2D43C1">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营业执照等证明文件号</w:t>
            </w:r>
          </w:p>
        </w:tc>
        <w:tc>
          <w:tcPr>
            <w:tcW w:w="7150" w:type="dxa"/>
            <w:gridSpan w:val="5"/>
            <w:vAlign w:val="center"/>
          </w:tcPr>
          <w:p w14:paraId="4A537480">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481B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29" w:type="dxa"/>
            <w:vAlign w:val="center"/>
          </w:tcPr>
          <w:p w14:paraId="46DDC737">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7150" w:type="dxa"/>
            <w:gridSpan w:val="5"/>
            <w:vAlign w:val="center"/>
          </w:tcPr>
          <w:p w14:paraId="68428CE6">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28C8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629" w:type="dxa"/>
            <w:vAlign w:val="center"/>
          </w:tcPr>
          <w:p w14:paraId="16A1575D">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7150" w:type="dxa"/>
            <w:gridSpan w:val="5"/>
            <w:vAlign w:val="center"/>
          </w:tcPr>
          <w:p w14:paraId="51192C78">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14:paraId="2174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629" w:type="dxa"/>
            <w:vAlign w:val="center"/>
          </w:tcPr>
          <w:p w14:paraId="7907753F">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7150" w:type="dxa"/>
            <w:gridSpan w:val="5"/>
            <w:vAlign w:val="center"/>
          </w:tcPr>
          <w:p w14:paraId="5C894385">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bl>
    <w:p w14:paraId="167D8FA0">
      <w:pPr>
        <w:adjustRightInd w:val="0"/>
        <w:snapToGrid w:val="0"/>
        <w:spacing w:line="360" w:lineRule="auto"/>
        <w:rPr>
          <w:rFonts w:hint="eastAsia" w:ascii="宋体" w:hAnsi="宋体" w:eastAsia="宋体" w:cs="宋体"/>
          <w:color w:val="auto"/>
          <w:sz w:val="24"/>
          <w:szCs w:val="24"/>
          <w:highlight w:val="none"/>
        </w:rPr>
      </w:pPr>
    </w:p>
    <w:p w14:paraId="11D030E0">
      <w:pPr>
        <w:adjustRightInd w:val="0"/>
        <w:snapToGrid w:val="0"/>
        <w:spacing w:line="360" w:lineRule="auto"/>
        <w:ind w:firstLine="480" w:firstLineChars="200"/>
        <w:rPr>
          <w:rFonts w:hint="eastAsia" w:ascii="宋体" w:hAnsi="宋体" w:eastAsia="宋体" w:cs="宋体"/>
          <w:color w:val="auto"/>
          <w:kern w:val="1"/>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kern w:val="1"/>
          <w:sz w:val="24"/>
          <w:szCs w:val="24"/>
          <w:highlight w:val="none"/>
        </w:rPr>
        <w:t>（</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u w:val="single"/>
        </w:rPr>
        <w:t xml:space="preserve">　　　　　　　　　　    　　    </w:t>
      </w:r>
    </w:p>
    <w:p w14:paraId="7819C71F">
      <w:pPr>
        <w:adjustRightInd w:val="0"/>
        <w:snapToGrid w:val="0"/>
        <w:spacing w:line="360" w:lineRule="auto"/>
        <w:ind w:firstLine="480" w:firstLineChars="200"/>
        <w:rPr>
          <w:rFonts w:hint="eastAsia" w:ascii="宋体" w:hAnsi="宋体" w:eastAsia="宋体" w:cs="宋体"/>
          <w:color w:val="auto"/>
          <w:kern w:val="1"/>
          <w:sz w:val="24"/>
          <w:szCs w:val="24"/>
          <w:highlight w:val="none"/>
          <w:u w:val="single"/>
        </w:rPr>
      </w:pPr>
      <w:r>
        <w:rPr>
          <w:rFonts w:hint="eastAsia" w:ascii="宋体" w:hAnsi="宋体" w:eastAsia="宋体" w:cs="宋体"/>
          <w:color w:val="auto"/>
          <w:sz w:val="24"/>
          <w:szCs w:val="24"/>
          <w:highlight w:val="none"/>
        </w:rPr>
        <w:t>法定代表人（负责人）（电子签章）</w:t>
      </w: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u w:val="single"/>
        </w:rPr>
        <w:t xml:space="preserve">　　　　　　      </w:t>
      </w:r>
    </w:p>
    <w:p w14:paraId="7723C464">
      <w:pPr>
        <w:adjustRightInd w:val="0"/>
        <w:snapToGrid w:val="0"/>
        <w:spacing w:line="360" w:lineRule="auto"/>
        <w:ind w:firstLine="480" w:firstLineChars="20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日期：</w:t>
      </w:r>
      <w:r>
        <w:rPr>
          <w:rFonts w:hint="eastAsia" w:ascii="宋体" w:hAnsi="宋体" w:eastAsia="宋体" w:cs="宋体"/>
          <w:color w:val="auto"/>
          <w:kern w:val="1"/>
          <w:sz w:val="24"/>
          <w:szCs w:val="24"/>
          <w:highlight w:val="none"/>
          <w:u w:val="single"/>
        </w:rPr>
        <w:t>　　　</w:t>
      </w:r>
      <w:r>
        <w:rPr>
          <w:rFonts w:hint="eastAsia" w:ascii="宋体" w:hAnsi="宋体" w:eastAsia="宋体" w:cs="宋体"/>
          <w:color w:val="auto"/>
          <w:kern w:val="1"/>
          <w:sz w:val="24"/>
          <w:szCs w:val="24"/>
          <w:highlight w:val="none"/>
        </w:rPr>
        <w:t>年</w:t>
      </w:r>
      <w:r>
        <w:rPr>
          <w:rFonts w:hint="eastAsia" w:ascii="宋体" w:hAnsi="宋体" w:eastAsia="宋体" w:cs="宋体"/>
          <w:color w:val="auto"/>
          <w:kern w:val="1"/>
          <w:sz w:val="24"/>
          <w:szCs w:val="24"/>
          <w:highlight w:val="none"/>
          <w:u w:val="single"/>
        </w:rPr>
        <w:t>　　</w:t>
      </w:r>
      <w:r>
        <w:rPr>
          <w:rFonts w:hint="eastAsia" w:ascii="宋体" w:hAnsi="宋体" w:eastAsia="宋体" w:cs="宋体"/>
          <w:color w:val="auto"/>
          <w:kern w:val="1"/>
          <w:sz w:val="24"/>
          <w:szCs w:val="24"/>
          <w:highlight w:val="none"/>
        </w:rPr>
        <w:t>月</w:t>
      </w:r>
      <w:r>
        <w:rPr>
          <w:rFonts w:hint="eastAsia" w:ascii="宋体" w:hAnsi="宋体" w:eastAsia="宋体" w:cs="宋体"/>
          <w:color w:val="auto"/>
          <w:kern w:val="1"/>
          <w:sz w:val="24"/>
          <w:szCs w:val="24"/>
          <w:highlight w:val="none"/>
          <w:u w:val="single"/>
        </w:rPr>
        <w:t>　　</w:t>
      </w:r>
      <w:r>
        <w:rPr>
          <w:rFonts w:hint="eastAsia" w:ascii="宋体" w:hAnsi="宋体" w:eastAsia="宋体" w:cs="宋体"/>
          <w:color w:val="auto"/>
          <w:kern w:val="1"/>
          <w:sz w:val="24"/>
          <w:szCs w:val="24"/>
          <w:highlight w:val="none"/>
        </w:rPr>
        <w:t>日</w:t>
      </w:r>
    </w:p>
    <w:p w14:paraId="43444FCA">
      <w:pPr>
        <w:pStyle w:val="3"/>
        <w:spacing w:line="360" w:lineRule="auto"/>
        <w:ind w:left="420"/>
        <w:rPr>
          <w:rFonts w:hint="eastAsia" w:ascii="宋体" w:hAnsi="宋体" w:eastAsia="宋体" w:cs="宋体"/>
          <w:color w:val="auto"/>
          <w:szCs w:val="30"/>
          <w:highlight w:val="none"/>
        </w:rPr>
        <w:sectPr>
          <w:pgSz w:w="11906" w:h="16838"/>
          <w:pgMar w:top="1440" w:right="1440" w:bottom="1440" w:left="1440" w:header="851" w:footer="992" w:gutter="0"/>
          <w:pgNumType w:fmt="decimal"/>
          <w:cols w:space="720" w:num="1"/>
          <w:docGrid w:type="lines" w:linePitch="312" w:charSpace="0"/>
        </w:sectPr>
      </w:pPr>
    </w:p>
    <w:p w14:paraId="4D1208CD">
      <w:pPr>
        <w:keepNext/>
        <w:keepLines/>
        <w:adjustRightInd w:val="0"/>
        <w:snapToGrid w:val="0"/>
        <w:spacing w:line="360" w:lineRule="auto"/>
        <w:jc w:val="center"/>
        <w:outlineLvl w:val="1"/>
        <w:rPr>
          <w:rFonts w:hint="eastAsia" w:ascii="宋体" w:hAnsi="宋体" w:eastAsia="宋体" w:cs="宋体"/>
          <w:b/>
          <w:color w:val="auto"/>
          <w:spacing w:val="40"/>
          <w:sz w:val="32"/>
          <w:szCs w:val="32"/>
          <w:highlight w:val="none"/>
          <w:lang w:val="en-US" w:eastAsia="zh-CN"/>
        </w:rPr>
      </w:pPr>
      <w:bookmarkStart w:id="4804" w:name="_Toc27846"/>
      <w:bookmarkStart w:id="4805" w:name="_Toc22391"/>
      <w:bookmarkStart w:id="4806" w:name="_Toc12681"/>
      <w:bookmarkStart w:id="4807" w:name="_Toc27470"/>
      <w:r>
        <w:rPr>
          <w:rFonts w:hint="eastAsia" w:ascii="宋体" w:hAnsi="宋体" w:eastAsia="宋体" w:cs="宋体"/>
          <w:b/>
          <w:color w:val="auto"/>
          <w:sz w:val="30"/>
          <w:szCs w:val="30"/>
          <w:highlight w:val="none"/>
        </w:rPr>
        <w:t>（</w:t>
      </w:r>
      <w:r>
        <w:rPr>
          <w:rFonts w:hint="eastAsia" w:ascii="宋体" w:hAnsi="宋体" w:cs="宋体"/>
          <w:b/>
          <w:color w:val="auto"/>
          <w:sz w:val="30"/>
          <w:szCs w:val="30"/>
          <w:highlight w:val="none"/>
          <w:lang w:eastAsia="zh-CN"/>
        </w:rPr>
        <w:t>二</w:t>
      </w:r>
      <w:r>
        <w:rPr>
          <w:rFonts w:hint="eastAsia" w:ascii="宋体" w:hAnsi="宋体" w:eastAsia="宋体" w:cs="宋体"/>
          <w:b/>
          <w:color w:val="auto"/>
          <w:sz w:val="30"/>
          <w:szCs w:val="30"/>
          <w:highlight w:val="none"/>
        </w:rPr>
        <w:t>）</w:t>
      </w:r>
      <w:r>
        <w:rPr>
          <w:rFonts w:hint="eastAsia" w:ascii="宋体" w:hAnsi="宋体" w:eastAsia="宋体" w:cs="宋体"/>
          <w:b/>
          <w:color w:val="auto"/>
          <w:spacing w:val="40"/>
          <w:sz w:val="32"/>
          <w:szCs w:val="32"/>
          <w:highlight w:val="none"/>
          <w:lang w:val="en-US" w:eastAsia="zh-CN"/>
        </w:rPr>
        <w:t>技术部分</w:t>
      </w:r>
      <w:bookmarkEnd w:id="4804"/>
      <w:bookmarkEnd w:id="4805"/>
      <w:bookmarkEnd w:id="4806"/>
      <w:bookmarkEnd w:id="4807"/>
    </w:p>
    <w:p w14:paraId="1A4C2103">
      <w:pPr>
        <w:adjustRightInd w:val="0"/>
        <w:snapToGrid w:val="0"/>
        <w:spacing w:line="360" w:lineRule="auto"/>
        <w:rPr>
          <w:rFonts w:hint="eastAsia" w:ascii="宋体" w:hAnsi="宋体" w:eastAsia="宋体" w:cs="宋体"/>
          <w:color w:val="auto"/>
          <w:sz w:val="24"/>
          <w:szCs w:val="24"/>
          <w:highlight w:val="none"/>
        </w:rPr>
      </w:pPr>
    </w:p>
    <w:p w14:paraId="57E369F2">
      <w:pPr>
        <w:adjustRightInd w:val="0"/>
        <w:snapToGri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w:t>
      </w:r>
    </w:p>
    <w:p w14:paraId="4BB6B18D">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施工技术方案</w:t>
      </w:r>
    </w:p>
    <w:p w14:paraId="607557FD">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1.施工部署（格式自拟）</w:t>
      </w:r>
    </w:p>
    <w:p w14:paraId="401D0B2F">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2.施工技术准备（格式自拟）</w:t>
      </w:r>
    </w:p>
    <w:p w14:paraId="496AEA7F">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3.施工技术方案（格式自拟）</w:t>
      </w:r>
    </w:p>
    <w:p w14:paraId="03394E1C">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4.施工总进度计划（格式自拟）</w:t>
      </w:r>
    </w:p>
    <w:p w14:paraId="1FE33E22">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5.施工主要工序（格式自拟）</w:t>
      </w:r>
    </w:p>
    <w:p w14:paraId="5F639C77">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6.项目施工重点难点分析及处理措施（格式自拟）</w:t>
      </w:r>
    </w:p>
    <w:p w14:paraId="3E2D2261">
      <w:pPr>
        <w:adjustRightInd w:val="0"/>
        <w:snapToGrid w:val="0"/>
        <w:spacing w:line="360" w:lineRule="auto"/>
        <w:rPr>
          <w:rFonts w:hint="eastAsia" w:ascii="宋体" w:hAnsi="宋体" w:eastAsia="宋体" w:cs="宋体"/>
          <w:color w:val="auto"/>
          <w:sz w:val="24"/>
          <w:szCs w:val="24"/>
          <w:highlight w:val="none"/>
          <w:lang w:val="en-US" w:eastAsia="zh-CN"/>
        </w:rPr>
      </w:pPr>
    </w:p>
    <w:p w14:paraId="1CCA384B">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4E594B6B">
      <w:pPr>
        <w:adjustRightInd w:val="0"/>
        <w:snapToGri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格式2</w:t>
      </w:r>
    </w:p>
    <w:p w14:paraId="5F3088BB">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工期承诺和保障措施</w:t>
      </w:r>
    </w:p>
    <w:p w14:paraId="1D04B696">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工期及违约责任承诺（格式自拟）</w:t>
      </w:r>
    </w:p>
    <w:p w14:paraId="09A0DA7C">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工期保障措施（格式自拟）</w:t>
      </w:r>
    </w:p>
    <w:p w14:paraId="50513D64">
      <w:pPr>
        <w:adjustRightInd w:val="0"/>
        <w:snapToGrid w:val="0"/>
        <w:spacing w:line="360" w:lineRule="auto"/>
        <w:rPr>
          <w:rFonts w:hint="eastAsia" w:ascii="宋体" w:hAnsi="宋体" w:eastAsia="宋体" w:cs="宋体"/>
          <w:color w:val="auto"/>
          <w:sz w:val="24"/>
          <w:szCs w:val="24"/>
          <w:highlight w:val="none"/>
          <w:lang w:val="en-US" w:eastAsia="zh-CN"/>
        </w:rPr>
      </w:pPr>
    </w:p>
    <w:p w14:paraId="7A1E4215">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39B61C1D">
      <w:pPr>
        <w:adjustRightInd w:val="0"/>
        <w:snapToGri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格式3</w:t>
      </w:r>
    </w:p>
    <w:p w14:paraId="062BE676">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质量承诺及保证措施</w:t>
      </w:r>
    </w:p>
    <w:p w14:paraId="1DEA9EF1">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质量管理目标（格式自拟）</w:t>
      </w:r>
    </w:p>
    <w:p w14:paraId="6B6B2F09">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质量保证措施（格式自拟）</w:t>
      </w:r>
    </w:p>
    <w:p w14:paraId="1190E5E2">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质量违约责任承诺（格式自拟）</w:t>
      </w:r>
    </w:p>
    <w:p w14:paraId="5F940163">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431B3D23">
      <w:pPr>
        <w:adjustRightInd w:val="0"/>
        <w:snapToGri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格式4</w:t>
      </w:r>
    </w:p>
    <w:p w14:paraId="0CA14D71">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安全文明施工保证措施</w:t>
      </w:r>
    </w:p>
    <w:p w14:paraId="2949CABB">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安全文明施工保证措施（格式自拟）</w:t>
      </w:r>
    </w:p>
    <w:p w14:paraId="0CD6331F">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安全文明施工承诺及违约承诺（格式自拟）</w:t>
      </w:r>
    </w:p>
    <w:p w14:paraId="49A348B3">
      <w:pPr>
        <w:pStyle w:val="8"/>
        <w:spacing w:line="360" w:lineRule="auto"/>
        <w:rPr>
          <w:rFonts w:hint="eastAsia" w:ascii="宋体" w:hAnsi="宋体" w:eastAsia="宋体" w:cs="宋体"/>
          <w:color w:val="auto"/>
          <w:highlight w:val="none"/>
          <w:lang w:val="en-US" w:eastAsia="zh-CN"/>
        </w:rPr>
      </w:pPr>
    </w:p>
    <w:p w14:paraId="17196AEB">
      <w:pPr>
        <w:spacing w:line="360" w:lineRule="auto"/>
        <w:rPr>
          <w:rFonts w:hint="eastAsia" w:ascii="宋体" w:hAnsi="宋体" w:eastAsia="宋体" w:cs="宋体"/>
          <w:color w:val="auto"/>
          <w:highlight w:val="none"/>
          <w:lang w:val="en-US" w:eastAsia="zh-CN"/>
        </w:rPr>
      </w:pPr>
    </w:p>
    <w:p w14:paraId="42143C60">
      <w:pPr>
        <w:pStyle w:val="8"/>
        <w:spacing w:line="360" w:lineRule="auto"/>
        <w:rPr>
          <w:rFonts w:hint="eastAsia" w:ascii="宋体" w:hAnsi="宋体" w:eastAsia="宋体" w:cs="宋体"/>
          <w:color w:val="auto"/>
          <w:highlight w:val="none"/>
          <w:lang w:val="en-US" w:eastAsia="zh-CN"/>
        </w:rPr>
      </w:pPr>
    </w:p>
    <w:p w14:paraId="3105D5AB">
      <w:pPr>
        <w:spacing w:line="360" w:lineRule="auto"/>
        <w:rPr>
          <w:rFonts w:hint="eastAsia" w:ascii="宋体" w:hAnsi="宋体" w:eastAsia="宋体" w:cs="宋体"/>
          <w:color w:val="auto"/>
          <w:highlight w:val="none"/>
          <w:lang w:val="en-US" w:eastAsia="zh-CN"/>
        </w:rPr>
      </w:pPr>
    </w:p>
    <w:p w14:paraId="62D588F3">
      <w:pPr>
        <w:pStyle w:val="8"/>
        <w:spacing w:line="360" w:lineRule="auto"/>
        <w:rPr>
          <w:rFonts w:hint="eastAsia" w:ascii="宋体" w:hAnsi="宋体" w:eastAsia="宋体" w:cs="宋体"/>
          <w:color w:val="auto"/>
          <w:highlight w:val="none"/>
          <w:lang w:val="en-US" w:eastAsia="zh-CN"/>
        </w:rPr>
      </w:pPr>
    </w:p>
    <w:p w14:paraId="09717CE9">
      <w:pPr>
        <w:rPr>
          <w:rFonts w:hint="eastAsia" w:cs="仿宋"/>
          <w:b/>
          <w:color w:val="auto"/>
          <w:sz w:val="24"/>
          <w:szCs w:val="24"/>
          <w:highlight w:val="none"/>
        </w:rPr>
      </w:pPr>
      <w:r>
        <w:rPr>
          <w:rFonts w:hint="eastAsia" w:cs="仿宋"/>
          <w:b/>
          <w:color w:val="auto"/>
          <w:sz w:val="24"/>
          <w:szCs w:val="24"/>
          <w:highlight w:val="none"/>
        </w:rPr>
        <w:br w:type="page"/>
      </w:r>
    </w:p>
    <w:p w14:paraId="11835BD6">
      <w:pPr>
        <w:rPr>
          <w:rFonts w:hint="eastAsia" w:cs="仿宋"/>
          <w:b/>
          <w:color w:val="auto"/>
          <w:sz w:val="24"/>
          <w:szCs w:val="24"/>
          <w:highlight w:val="none"/>
        </w:rPr>
      </w:pPr>
      <w:r>
        <w:rPr>
          <w:rFonts w:hint="eastAsia" w:cs="仿宋"/>
          <w:b/>
          <w:color w:val="auto"/>
          <w:sz w:val="24"/>
          <w:szCs w:val="24"/>
          <w:highlight w:val="none"/>
        </w:rPr>
        <w:t>格式</w:t>
      </w:r>
      <w:r>
        <w:rPr>
          <w:rFonts w:cs="仿宋"/>
          <w:b/>
          <w:color w:val="auto"/>
          <w:sz w:val="24"/>
          <w:szCs w:val="24"/>
          <w:highlight w:val="none"/>
        </w:rPr>
        <w:t>5</w:t>
      </w:r>
    </w:p>
    <w:p w14:paraId="0431F77C">
      <w:pPr>
        <w:ind w:firstLine="643"/>
        <w:jc w:val="center"/>
        <w:rPr>
          <w:rFonts w:hint="eastAsia" w:cs="仿宋"/>
          <w:b/>
          <w:color w:val="auto"/>
          <w:sz w:val="24"/>
          <w:szCs w:val="24"/>
          <w:highlight w:val="none"/>
        </w:rPr>
      </w:pPr>
      <w:r>
        <w:rPr>
          <w:rFonts w:hint="eastAsia" w:cs="仿宋"/>
          <w:b/>
          <w:color w:val="auto"/>
          <w:sz w:val="24"/>
          <w:szCs w:val="24"/>
          <w:highlight w:val="none"/>
        </w:rPr>
        <w:t>项目管理人员配置</w:t>
      </w:r>
    </w:p>
    <w:p w14:paraId="2B8D6A77">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1.项目管理人员配置</w:t>
      </w:r>
    </w:p>
    <w:p w14:paraId="04514385">
      <w:pPr>
        <w:ind w:firstLine="482"/>
        <w:jc w:val="center"/>
        <w:rPr>
          <w:rFonts w:hint="eastAsia" w:cs="仿宋"/>
          <w:b/>
          <w:color w:val="auto"/>
          <w:sz w:val="24"/>
          <w:szCs w:val="24"/>
          <w:highlight w:val="none"/>
        </w:rPr>
      </w:pPr>
    </w:p>
    <w:tbl>
      <w:tblPr>
        <w:tblStyle w:val="27"/>
        <w:tblW w:w="80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514"/>
        <w:gridCol w:w="1134"/>
        <w:gridCol w:w="1417"/>
        <w:gridCol w:w="1347"/>
        <w:gridCol w:w="1660"/>
      </w:tblGrid>
      <w:tr w14:paraId="20AD5E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tcBorders>
              <w:top w:val="single" w:color="auto" w:sz="8" w:space="0"/>
            </w:tcBorders>
            <w:vAlign w:val="center"/>
          </w:tcPr>
          <w:p w14:paraId="5F2A47ED">
            <w:pPr>
              <w:ind w:right="-50" w:rightChars="-25"/>
              <w:jc w:val="center"/>
              <w:rPr>
                <w:rFonts w:hint="eastAsia" w:cs="仿宋"/>
                <w:caps/>
                <w:color w:val="auto"/>
                <w:sz w:val="24"/>
                <w:szCs w:val="24"/>
                <w:highlight w:val="none"/>
              </w:rPr>
            </w:pPr>
            <w:r>
              <w:rPr>
                <w:rFonts w:hint="eastAsia" w:cs="仿宋"/>
                <w:caps/>
                <w:color w:val="auto"/>
                <w:sz w:val="24"/>
                <w:szCs w:val="24"/>
                <w:highlight w:val="none"/>
              </w:rPr>
              <w:t>岗位</w:t>
            </w:r>
          </w:p>
        </w:tc>
        <w:tc>
          <w:tcPr>
            <w:tcW w:w="1134" w:type="dxa"/>
            <w:tcBorders>
              <w:top w:val="single" w:color="auto" w:sz="8" w:space="0"/>
            </w:tcBorders>
            <w:vAlign w:val="center"/>
          </w:tcPr>
          <w:p w14:paraId="20A6ED7C">
            <w:pPr>
              <w:ind w:right="-50" w:rightChars="-25"/>
              <w:jc w:val="center"/>
              <w:rPr>
                <w:rFonts w:hint="eastAsia" w:cs="仿宋"/>
                <w:caps/>
                <w:color w:val="auto"/>
                <w:sz w:val="24"/>
                <w:szCs w:val="24"/>
                <w:highlight w:val="none"/>
              </w:rPr>
            </w:pPr>
            <w:r>
              <w:rPr>
                <w:rFonts w:hint="eastAsia" w:cs="仿宋"/>
                <w:caps/>
                <w:color w:val="auto"/>
                <w:sz w:val="24"/>
                <w:szCs w:val="24"/>
                <w:highlight w:val="none"/>
              </w:rPr>
              <w:t>姓名</w:t>
            </w:r>
          </w:p>
        </w:tc>
        <w:tc>
          <w:tcPr>
            <w:tcW w:w="1417" w:type="dxa"/>
            <w:tcBorders>
              <w:top w:val="single" w:color="auto" w:sz="8" w:space="0"/>
            </w:tcBorders>
            <w:vAlign w:val="center"/>
          </w:tcPr>
          <w:p w14:paraId="3D85E187">
            <w:pPr>
              <w:ind w:left="-50" w:leftChars="-25" w:right="-50" w:rightChars="-25"/>
              <w:jc w:val="center"/>
              <w:rPr>
                <w:rFonts w:hint="eastAsia" w:cs="仿宋"/>
                <w:caps/>
                <w:color w:val="auto"/>
                <w:sz w:val="24"/>
                <w:szCs w:val="24"/>
                <w:highlight w:val="none"/>
              </w:rPr>
            </w:pPr>
            <w:r>
              <w:rPr>
                <w:rFonts w:hint="eastAsia" w:cs="仿宋"/>
                <w:caps/>
                <w:color w:val="auto"/>
                <w:sz w:val="24"/>
                <w:szCs w:val="24"/>
                <w:highlight w:val="none"/>
              </w:rPr>
              <w:t>工作年限</w:t>
            </w:r>
          </w:p>
        </w:tc>
        <w:tc>
          <w:tcPr>
            <w:tcW w:w="1347" w:type="dxa"/>
            <w:tcBorders>
              <w:top w:val="single" w:color="auto" w:sz="8" w:space="0"/>
            </w:tcBorders>
            <w:vAlign w:val="center"/>
          </w:tcPr>
          <w:p w14:paraId="0762863B">
            <w:pPr>
              <w:ind w:left="-50" w:leftChars="-25" w:right="-50" w:rightChars="-25"/>
              <w:jc w:val="center"/>
              <w:rPr>
                <w:rFonts w:hint="eastAsia" w:cs="仿宋"/>
                <w:caps/>
                <w:color w:val="auto"/>
                <w:sz w:val="24"/>
                <w:szCs w:val="24"/>
                <w:highlight w:val="none"/>
              </w:rPr>
            </w:pPr>
            <w:r>
              <w:rPr>
                <w:rFonts w:hint="eastAsia" w:cs="仿宋"/>
                <w:caps/>
                <w:color w:val="auto"/>
                <w:sz w:val="24"/>
                <w:szCs w:val="24"/>
                <w:highlight w:val="none"/>
              </w:rPr>
              <w:t>职称</w:t>
            </w:r>
          </w:p>
        </w:tc>
        <w:tc>
          <w:tcPr>
            <w:tcW w:w="1660" w:type="dxa"/>
            <w:tcBorders>
              <w:top w:val="single" w:color="auto" w:sz="8" w:space="0"/>
            </w:tcBorders>
            <w:vAlign w:val="center"/>
          </w:tcPr>
          <w:p w14:paraId="023D16BF">
            <w:pPr>
              <w:ind w:right="-50" w:rightChars="-25"/>
              <w:jc w:val="center"/>
              <w:rPr>
                <w:rFonts w:hint="eastAsia" w:cs="仿宋"/>
                <w:caps/>
                <w:color w:val="auto"/>
                <w:sz w:val="24"/>
                <w:szCs w:val="24"/>
                <w:highlight w:val="none"/>
              </w:rPr>
            </w:pPr>
            <w:r>
              <w:rPr>
                <w:rFonts w:hint="eastAsia" w:cs="仿宋"/>
                <w:caps/>
                <w:color w:val="auto"/>
                <w:sz w:val="24"/>
                <w:szCs w:val="24"/>
                <w:highlight w:val="none"/>
              </w:rPr>
              <w:t>学历</w:t>
            </w:r>
          </w:p>
        </w:tc>
      </w:tr>
      <w:tr w14:paraId="7C85CC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7C3DEDF4">
            <w:pPr>
              <w:ind w:right="-50" w:rightChars="-25"/>
              <w:jc w:val="center"/>
              <w:rPr>
                <w:rFonts w:hint="eastAsia" w:cs="仿宋"/>
                <w:caps/>
                <w:color w:val="auto"/>
                <w:sz w:val="24"/>
                <w:szCs w:val="24"/>
                <w:highlight w:val="none"/>
              </w:rPr>
            </w:pPr>
          </w:p>
        </w:tc>
        <w:tc>
          <w:tcPr>
            <w:tcW w:w="1134" w:type="dxa"/>
            <w:vAlign w:val="center"/>
          </w:tcPr>
          <w:p w14:paraId="62897DF1">
            <w:pPr>
              <w:ind w:right="-50" w:rightChars="-25"/>
              <w:jc w:val="center"/>
              <w:rPr>
                <w:rFonts w:hint="eastAsia" w:cs="仿宋"/>
                <w:caps/>
                <w:color w:val="auto"/>
                <w:sz w:val="24"/>
                <w:szCs w:val="24"/>
                <w:highlight w:val="none"/>
              </w:rPr>
            </w:pPr>
          </w:p>
        </w:tc>
        <w:tc>
          <w:tcPr>
            <w:tcW w:w="1417" w:type="dxa"/>
            <w:vAlign w:val="center"/>
          </w:tcPr>
          <w:p w14:paraId="177EB5B4">
            <w:pPr>
              <w:ind w:right="-50" w:rightChars="-25"/>
              <w:jc w:val="center"/>
              <w:rPr>
                <w:rFonts w:hint="eastAsia" w:cs="仿宋"/>
                <w:caps/>
                <w:color w:val="auto"/>
                <w:sz w:val="24"/>
                <w:szCs w:val="24"/>
                <w:highlight w:val="none"/>
              </w:rPr>
            </w:pPr>
          </w:p>
        </w:tc>
        <w:tc>
          <w:tcPr>
            <w:tcW w:w="1347" w:type="dxa"/>
            <w:vAlign w:val="center"/>
          </w:tcPr>
          <w:p w14:paraId="7533D33E">
            <w:pPr>
              <w:ind w:right="-50" w:rightChars="-25"/>
              <w:jc w:val="center"/>
              <w:rPr>
                <w:rFonts w:hint="eastAsia" w:cs="仿宋"/>
                <w:caps/>
                <w:color w:val="auto"/>
                <w:sz w:val="24"/>
                <w:szCs w:val="24"/>
                <w:highlight w:val="none"/>
              </w:rPr>
            </w:pPr>
          </w:p>
        </w:tc>
        <w:tc>
          <w:tcPr>
            <w:tcW w:w="1660" w:type="dxa"/>
            <w:vAlign w:val="center"/>
          </w:tcPr>
          <w:p w14:paraId="63995E8D">
            <w:pPr>
              <w:ind w:right="-50" w:rightChars="-25"/>
              <w:jc w:val="center"/>
              <w:rPr>
                <w:rFonts w:hint="eastAsia" w:cs="仿宋"/>
                <w:caps/>
                <w:color w:val="auto"/>
                <w:sz w:val="24"/>
                <w:szCs w:val="24"/>
                <w:highlight w:val="none"/>
              </w:rPr>
            </w:pPr>
          </w:p>
        </w:tc>
      </w:tr>
      <w:tr w14:paraId="7CC8A5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514" w:type="dxa"/>
            <w:vAlign w:val="center"/>
          </w:tcPr>
          <w:p w14:paraId="3D0CCD0B">
            <w:pPr>
              <w:ind w:right="-50" w:rightChars="-25"/>
              <w:jc w:val="center"/>
              <w:rPr>
                <w:rFonts w:hint="eastAsia" w:cs="仿宋"/>
                <w:caps/>
                <w:color w:val="auto"/>
                <w:sz w:val="24"/>
                <w:szCs w:val="24"/>
                <w:highlight w:val="none"/>
              </w:rPr>
            </w:pPr>
          </w:p>
        </w:tc>
        <w:tc>
          <w:tcPr>
            <w:tcW w:w="1134" w:type="dxa"/>
            <w:vAlign w:val="center"/>
          </w:tcPr>
          <w:p w14:paraId="729A988E">
            <w:pPr>
              <w:ind w:right="-50" w:rightChars="-25"/>
              <w:jc w:val="center"/>
              <w:rPr>
                <w:rFonts w:hint="eastAsia" w:cs="仿宋"/>
                <w:caps/>
                <w:color w:val="auto"/>
                <w:sz w:val="24"/>
                <w:szCs w:val="24"/>
                <w:highlight w:val="none"/>
              </w:rPr>
            </w:pPr>
          </w:p>
        </w:tc>
        <w:tc>
          <w:tcPr>
            <w:tcW w:w="1417" w:type="dxa"/>
            <w:vAlign w:val="center"/>
          </w:tcPr>
          <w:p w14:paraId="762AF736">
            <w:pPr>
              <w:ind w:right="-50" w:rightChars="-25"/>
              <w:jc w:val="center"/>
              <w:rPr>
                <w:rFonts w:hint="eastAsia" w:cs="仿宋"/>
                <w:caps/>
                <w:color w:val="auto"/>
                <w:sz w:val="24"/>
                <w:szCs w:val="24"/>
                <w:highlight w:val="none"/>
              </w:rPr>
            </w:pPr>
          </w:p>
        </w:tc>
        <w:tc>
          <w:tcPr>
            <w:tcW w:w="1347" w:type="dxa"/>
            <w:vAlign w:val="center"/>
          </w:tcPr>
          <w:p w14:paraId="12827EBE">
            <w:pPr>
              <w:ind w:right="-50" w:rightChars="-25"/>
              <w:jc w:val="center"/>
              <w:rPr>
                <w:rFonts w:hint="eastAsia" w:cs="仿宋"/>
                <w:caps/>
                <w:color w:val="auto"/>
                <w:sz w:val="24"/>
                <w:szCs w:val="24"/>
                <w:highlight w:val="none"/>
              </w:rPr>
            </w:pPr>
          </w:p>
        </w:tc>
        <w:tc>
          <w:tcPr>
            <w:tcW w:w="1660" w:type="dxa"/>
            <w:vAlign w:val="center"/>
          </w:tcPr>
          <w:p w14:paraId="1382081F">
            <w:pPr>
              <w:ind w:right="-50" w:rightChars="-25"/>
              <w:jc w:val="center"/>
              <w:rPr>
                <w:rFonts w:hint="eastAsia" w:cs="仿宋"/>
                <w:caps/>
                <w:color w:val="auto"/>
                <w:sz w:val="24"/>
                <w:szCs w:val="24"/>
                <w:highlight w:val="none"/>
              </w:rPr>
            </w:pPr>
          </w:p>
        </w:tc>
      </w:tr>
      <w:tr w14:paraId="4C59D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62BDE3E9">
            <w:pPr>
              <w:ind w:right="-50" w:rightChars="-25"/>
              <w:jc w:val="center"/>
              <w:rPr>
                <w:rFonts w:hint="eastAsia" w:cs="仿宋"/>
                <w:caps/>
                <w:color w:val="auto"/>
                <w:sz w:val="24"/>
                <w:szCs w:val="24"/>
                <w:highlight w:val="none"/>
              </w:rPr>
            </w:pPr>
          </w:p>
        </w:tc>
        <w:tc>
          <w:tcPr>
            <w:tcW w:w="1134" w:type="dxa"/>
            <w:vAlign w:val="center"/>
          </w:tcPr>
          <w:p w14:paraId="44555581">
            <w:pPr>
              <w:ind w:left="-50" w:leftChars="-25" w:right="-50" w:rightChars="-25"/>
              <w:jc w:val="center"/>
              <w:rPr>
                <w:rFonts w:hint="eastAsia" w:cs="仿宋"/>
                <w:caps/>
                <w:color w:val="auto"/>
                <w:sz w:val="24"/>
                <w:szCs w:val="24"/>
                <w:highlight w:val="none"/>
              </w:rPr>
            </w:pPr>
          </w:p>
        </w:tc>
        <w:tc>
          <w:tcPr>
            <w:tcW w:w="1417" w:type="dxa"/>
            <w:vAlign w:val="center"/>
          </w:tcPr>
          <w:p w14:paraId="73FE300D">
            <w:pPr>
              <w:ind w:left="-50" w:leftChars="-25" w:right="-50" w:rightChars="-25"/>
              <w:jc w:val="center"/>
              <w:rPr>
                <w:rFonts w:hint="eastAsia" w:cs="仿宋"/>
                <w:caps/>
                <w:color w:val="auto"/>
                <w:sz w:val="24"/>
                <w:szCs w:val="24"/>
                <w:highlight w:val="none"/>
              </w:rPr>
            </w:pPr>
          </w:p>
        </w:tc>
        <w:tc>
          <w:tcPr>
            <w:tcW w:w="1347" w:type="dxa"/>
            <w:vAlign w:val="center"/>
          </w:tcPr>
          <w:p w14:paraId="1DCC804B">
            <w:pPr>
              <w:ind w:left="-50" w:leftChars="-25" w:right="-50" w:rightChars="-25"/>
              <w:jc w:val="center"/>
              <w:rPr>
                <w:rFonts w:hint="eastAsia" w:cs="仿宋"/>
                <w:caps/>
                <w:color w:val="auto"/>
                <w:sz w:val="24"/>
                <w:szCs w:val="24"/>
                <w:highlight w:val="none"/>
              </w:rPr>
            </w:pPr>
          </w:p>
        </w:tc>
        <w:tc>
          <w:tcPr>
            <w:tcW w:w="1660" w:type="dxa"/>
            <w:vAlign w:val="center"/>
          </w:tcPr>
          <w:p w14:paraId="4E282B6B">
            <w:pPr>
              <w:ind w:left="-50" w:leftChars="-25" w:right="-50" w:rightChars="-25"/>
              <w:jc w:val="center"/>
              <w:rPr>
                <w:rFonts w:hint="eastAsia" w:cs="仿宋"/>
                <w:caps/>
                <w:color w:val="auto"/>
                <w:sz w:val="24"/>
                <w:szCs w:val="24"/>
                <w:highlight w:val="none"/>
              </w:rPr>
            </w:pPr>
          </w:p>
        </w:tc>
      </w:tr>
      <w:tr w14:paraId="451DA2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7ACA99DC">
            <w:pPr>
              <w:ind w:right="-50" w:rightChars="-25"/>
              <w:jc w:val="center"/>
              <w:rPr>
                <w:rFonts w:hint="eastAsia" w:cs="仿宋"/>
                <w:caps/>
                <w:color w:val="auto"/>
                <w:sz w:val="24"/>
                <w:szCs w:val="24"/>
                <w:highlight w:val="none"/>
              </w:rPr>
            </w:pPr>
          </w:p>
        </w:tc>
        <w:tc>
          <w:tcPr>
            <w:tcW w:w="1134" w:type="dxa"/>
            <w:vAlign w:val="center"/>
          </w:tcPr>
          <w:p w14:paraId="469515E1">
            <w:pPr>
              <w:ind w:right="-50" w:rightChars="-25"/>
              <w:jc w:val="center"/>
              <w:rPr>
                <w:rFonts w:hint="eastAsia" w:cs="仿宋"/>
                <w:caps/>
                <w:color w:val="auto"/>
                <w:sz w:val="24"/>
                <w:szCs w:val="24"/>
                <w:highlight w:val="none"/>
              </w:rPr>
            </w:pPr>
          </w:p>
        </w:tc>
        <w:tc>
          <w:tcPr>
            <w:tcW w:w="1417" w:type="dxa"/>
            <w:vAlign w:val="center"/>
          </w:tcPr>
          <w:p w14:paraId="5BC738D4">
            <w:pPr>
              <w:ind w:right="-50" w:rightChars="-25"/>
              <w:jc w:val="center"/>
              <w:rPr>
                <w:rFonts w:hint="eastAsia" w:cs="仿宋"/>
                <w:caps/>
                <w:color w:val="auto"/>
                <w:sz w:val="24"/>
                <w:szCs w:val="24"/>
                <w:highlight w:val="none"/>
              </w:rPr>
            </w:pPr>
          </w:p>
        </w:tc>
        <w:tc>
          <w:tcPr>
            <w:tcW w:w="1347" w:type="dxa"/>
            <w:vAlign w:val="center"/>
          </w:tcPr>
          <w:p w14:paraId="11A04164">
            <w:pPr>
              <w:ind w:right="-50" w:rightChars="-25"/>
              <w:jc w:val="center"/>
              <w:rPr>
                <w:rFonts w:hint="eastAsia" w:cs="仿宋"/>
                <w:caps/>
                <w:color w:val="auto"/>
                <w:sz w:val="24"/>
                <w:szCs w:val="24"/>
                <w:highlight w:val="none"/>
              </w:rPr>
            </w:pPr>
          </w:p>
        </w:tc>
        <w:tc>
          <w:tcPr>
            <w:tcW w:w="1660" w:type="dxa"/>
            <w:vAlign w:val="center"/>
          </w:tcPr>
          <w:p w14:paraId="68018149">
            <w:pPr>
              <w:ind w:right="-50" w:rightChars="-25"/>
              <w:jc w:val="center"/>
              <w:rPr>
                <w:rFonts w:hint="eastAsia" w:cs="仿宋"/>
                <w:caps/>
                <w:color w:val="auto"/>
                <w:sz w:val="24"/>
                <w:szCs w:val="24"/>
                <w:highlight w:val="none"/>
              </w:rPr>
            </w:pPr>
          </w:p>
        </w:tc>
      </w:tr>
      <w:tr w14:paraId="445296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7F2F58FA">
            <w:pPr>
              <w:ind w:right="-50" w:rightChars="-25"/>
              <w:jc w:val="center"/>
              <w:rPr>
                <w:rFonts w:hint="eastAsia" w:cs="仿宋"/>
                <w:caps/>
                <w:color w:val="auto"/>
                <w:sz w:val="24"/>
                <w:szCs w:val="24"/>
                <w:highlight w:val="none"/>
              </w:rPr>
            </w:pPr>
          </w:p>
        </w:tc>
        <w:tc>
          <w:tcPr>
            <w:tcW w:w="1134" w:type="dxa"/>
            <w:vAlign w:val="center"/>
          </w:tcPr>
          <w:p w14:paraId="0EBB59E3">
            <w:pPr>
              <w:ind w:right="-50" w:rightChars="-25"/>
              <w:jc w:val="center"/>
              <w:rPr>
                <w:rFonts w:hint="eastAsia" w:cs="仿宋"/>
                <w:caps/>
                <w:color w:val="auto"/>
                <w:sz w:val="24"/>
                <w:szCs w:val="24"/>
                <w:highlight w:val="none"/>
              </w:rPr>
            </w:pPr>
          </w:p>
        </w:tc>
        <w:tc>
          <w:tcPr>
            <w:tcW w:w="1417" w:type="dxa"/>
            <w:vAlign w:val="center"/>
          </w:tcPr>
          <w:p w14:paraId="523CB2D9">
            <w:pPr>
              <w:ind w:right="-50" w:rightChars="-25"/>
              <w:jc w:val="center"/>
              <w:rPr>
                <w:rFonts w:hint="eastAsia" w:cs="仿宋"/>
                <w:caps/>
                <w:color w:val="auto"/>
                <w:sz w:val="24"/>
                <w:szCs w:val="24"/>
                <w:highlight w:val="none"/>
              </w:rPr>
            </w:pPr>
          </w:p>
        </w:tc>
        <w:tc>
          <w:tcPr>
            <w:tcW w:w="1347" w:type="dxa"/>
            <w:vAlign w:val="center"/>
          </w:tcPr>
          <w:p w14:paraId="79F9CAAD">
            <w:pPr>
              <w:ind w:right="-50" w:rightChars="-25"/>
              <w:jc w:val="center"/>
              <w:rPr>
                <w:rFonts w:hint="eastAsia" w:cs="仿宋"/>
                <w:caps/>
                <w:color w:val="auto"/>
                <w:sz w:val="24"/>
                <w:szCs w:val="24"/>
                <w:highlight w:val="none"/>
              </w:rPr>
            </w:pPr>
          </w:p>
        </w:tc>
        <w:tc>
          <w:tcPr>
            <w:tcW w:w="1660" w:type="dxa"/>
            <w:vAlign w:val="center"/>
          </w:tcPr>
          <w:p w14:paraId="2FB740A4">
            <w:pPr>
              <w:ind w:right="-50" w:rightChars="-25"/>
              <w:jc w:val="center"/>
              <w:rPr>
                <w:rFonts w:hint="eastAsia" w:cs="仿宋"/>
                <w:caps/>
                <w:color w:val="auto"/>
                <w:sz w:val="24"/>
                <w:szCs w:val="24"/>
                <w:highlight w:val="none"/>
              </w:rPr>
            </w:pPr>
          </w:p>
        </w:tc>
      </w:tr>
      <w:tr w14:paraId="08C82E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02A6A10F">
            <w:pPr>
              <w:ind w:right="-50" w:rightChars="-25"/>
              <w:jc w:val="center"/>
              <w:rPr>
                <w:rFonts w:hint="eastAsia" w:cs="仿宋"/>
                <w:caps/>
                <w:color w:val="auto"/>
                <w:sz w:val="24"/>
                <w:szCs w:val="24"/>
                <w:highlight w:val="none"/>
              </w:rPr>
            </w:pPr>
          </w:p>
        </w:tc>
        <w:tc>
          <w:tcPr>
            <w:tcW w:w="1134" w:type="dxa"/>
            <w:vAlign w:val="center"/>
          </w:tcPr>
          <w:p w14:paraId="2DE69BB1">
            <w:pPr>
              <w:ind w:right="-50" w:rightChars="-25"/>
              <w:jc w:val="center"/>
              <w:rPr>
                <w:rFonts w:hint="eastAsia" w:cs="仿宋"/>
                <w:caps/>
                <w:color w:val="auto"/>
                <w:sz w:val="24"/>
                <w:szCs w:val="24"/>
                <w:highlight w:val="none"/>
              </w:rPr>
            </w:pPr>
          </w:p>
        </w:tc>
        <w:tc>
          <w:tcPr>
            <w:tcW w:w="1417" w:type="dxa"/>
            <w:vAlign w:val="center"/>
          </w:tcPr>
          <w:p w14:paraId="060DC3D5">
            <w:pPr>
              <w:ind w:right="-50" w:rightChars="-25"/>
              <w:jc w:val="center"/>
              <w:rPr>
                <w:rFonts w:hint="eastAsia" w:cs="仿宋"/>
                <w:caps/>
                <w:color w:val="auto"/>
                <w:sz w:val="24"/>
                <w:szCs w:val="24"/>
                <w:highlight w:val="none"/>
              </w:rPr>
            </w:pPr>
          </w:p>
        </w:tc>
        <w:tc>
          <w:tcPr>
            <w:tcW w:w="1347" w:type="dxa"/>
            <w:vAlign w:val="center"/>
          </w:tcPr>
          <w:p w14:paraId="5310CE1A">
            <w:pPr>
              <w:ind w:right="-50" w:rightChars="-25"/>
              <w:jc w:val="center"/>
              <w:rPr>
                <w:rFonts w:hint="eastAsia" w:cs="仿宋"/>
                <w:caps/>
                <w:color w:val="auto"/>
                <w:sz w:val="24"/>
                <w:szCs w:val="24"/>
                <w:highlight w:val="none"/>
              </w:rPr>
            </w:pPr>
          </w:p>
        </w:tc>
        <w:tc>
          <w:tcPr>
            <w:tcW w:w="1660" w:type="dxa"/>
            <w:vAlign w:val="center"/>
          </w:tcPr>
          <w:p w14:paraId="4420A0FE">
            <w:pPr>
              <w:ind w:right="-50" w:rightChars="-25"/>
              <w:jc w:val="center"/>
              <w:rPr>
                <w:rFonts w:hint="eastAsia" w:cs="仿宋"/>
                <w:caps/>
                <w:color w:val="auto"/>
                <w:sz w:val="24"/>
                <w:szCs w:val="24"/>
                <w:highlight w:val="none"/>
              </w:rPr>
            </w:pPr>
          </w:p>
        </w:tc>
      </w:tr>
      <w:tr w14:paraId="2FA073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694B2FAC">
            <w:pPr>
              <w:ind w:right="-50" w:rightChars="-25"/>
              <w:jc w:val="center"/>
              <w:rPr>
                <w:rFonts w:hint="eastAsia" w:cs="仿宋"/>
                <w:caps/>
                <w:color w:val="auto"/>
                <w:sz w:val="24"/>
                <w:szCs w:val="24"/>
                <w:highlight w:val="none"/>
              </w:rPr>
            </w:pPr>
          </w:p>
        </w:tc>
        <w:tc>
          <w:tcPr>
            <w:tcW w:w="1134" w:type="dxa"/>
            <w:vAlign w:val="center"/>
          </w:tcPr>
          <w:p w14:paraId="5C79AE55">
            <w:pPr>
              <w:ind w:right="-50" w:rightChars="-25"/>
              <w:jc w:val="center"/>
              <w:rPr>
                <w:rFonts w:hint="eastAsia" w:cs="仿宋"/>
                <w:caps/>
                <w:color w:val="auto"/>
                <w:sz w:val="24"/>
                <w:szCs w:val="24"/>
                <w:highlight w:val="none"/>
              </w:rPr>
            </w:pPr>
          </w:p>
        </w:tc>
        <w:tc>
          <w:tcPr>
            <w:tcW w:w="1417" w:type="dxa"/>
            <w:vAlign w:val="center"/>
          </w:tcPr>
          <w:p w14:paraId="182293AD">
            <w:pPr>
              <w:ind w:right="-50" w:rightChars="-25"/>
              <w:jc w:val="center"/>
              <w:rPr>
                <w:rFonts w:hint="eastAsia" w:cs="仿宋"/>
                <w:caps/>
                <w:color w:val="auto"/>
                <w:sz w:val="24"/>
                <w:szCs w:val="24"/>
                <w:highlight w:val="none"/>
              </w:rPr>
            </w:pPr>
          </w:p>
        </w:tc>
        <w:tc>
          <w:tcPr>
            <w:tcW w:w="1347" w:type="dxa"/>
            <w:vAlign w:val="center"/>
          </w:tcPr>
          <w:p w14:paraId="6C0ABED2">
            <w:pPr>
              <w:ind w:right="-50" w:rightChars="-25"/>
              <w:jc w:val="center"/>
              <w:rPr>
                <w:rFonts w:hint="eastAsia" w:cs="仿宋"/>
                <w:caps/>
                <w:color w:val="auto"/>
                <w:sz w:val="24"/>
                <w:szCs w:val="24"/>
                <w:highlight w:val="none"/>
              </w:rPr>
            </w:pPr>
          </w:p>
        </w:tc>
        <w:tc>
          <w:tcPr>
            <w:tcW w:w="1660" w:type="dxa"/>
            <w:vAlign w:val="center"/>
          </w:tcPr>
          <w:p w14:paraId="2BA55BC5">
            <w:pPr>
              <w:ind w:right="-50" w:rightChars="-25"/>
              <w:jc w:val="center"/>
              <w:rPr>
                <w:rFonts w:hint="eastAsia" w:cs="仿宋"/>
                <w:caps/>
                <w:color w:val="auto"/>
                <w:sz w:val="24"/>
                <w:szCs w:val="24"/>
                <w:highlight w:val="none"/>
              </w:rPr>
            </w:pPr>
          </w:p>
        </w:tc>
      </w:tr>
      <w:tr w14:paraId="696B8E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06CA4C45">
            <w:pPr>
              <w:ind w:right="-50" w:rightChars="-25"/>
              <w:jc w:val="center"/>
              <w:rPr>
                <w:rFonts w:hint="eastAsia" w:cs="仿宋"/>
                <w:caps/>
                <w:color w:val="auto"/>
                <w:sz w:val="24"/>
                <w:szCs w:val="24"/>
                <w:highlight w:val="none"/>
              </w:rPr>
            </w:pPr>
          </w:p>
        </w:tc>
        <w:tc>
          <w:tcPr>
            <w:tcW w:w="1134" w:type="dxa"/>
            <w:vAlign w:val="center"/>
          </w:tcPr>
          <w:p w14:paraId="5F12B7F4">
            <w:pPr>
              <w:ind w:right="-50" w:rightChars="-25"/>
              <w:jc w:val="center"/>
              <w:rPr>
                <w:rFonts w:hint="eastAsia" w:cs="仿宋"/>
                <w:caps/>
                <w:color w:val="auto"/>
                <w:sz w:val="24"/>
                <w:szCs w:val="24"/>
                <w:highlight w:val="none"/>
              </w:rPr>
            </w:pPr>
          </w:p>
        </w:tc>
        <w:tc>
          <w:tcPr>
            <w:tcW w:w="1417" w:type="dxa"/>
            <w:vAlign w:val="center"/>
          </w:tcPr>
          <w:p w14:paraId="579BF911">
            <w:pPr>
              <w:ind w:right="-50" w:rightChars="-25"/>
              <w:jc w:val="center"/>
              <w:rPr>
                <w:rFonts w:hint="eastAsia" w:cs="仿宋"/>
                <w:caps/>
                <w:color w:val="auto"/>
                <w:sz w:val="24"/>
                <w:szCs w:val="24"/>
                <w:highlight w:val="none"/>
              </w:rPr>
            </w:pPr>
          </w:p>
        </w:tc>
        <w:tc>
          <w:tcPr>
            <w:tcW w:w="1347" w:type="dxa"/>
            <w:vAlign w:val="center"/>
          </w:tcPr>
          <w:p w14:paraId="414A592A">
            <w:pPr>
              <w:ind w:right="-50" w:rightChars="-25"/>
              <w:jc w:val="center"/>
              <w:rPr>
                <w:rFonts w:hint="eastAsia" w:cs="仿宋"/>
                <w:caps/>
                <w:color w:val="auto"/>
                <w:sz w:val="24"/>
                <w:szCs w:val="24"/>
                <w:highlight w:val="none"/>
              </w:rPr>
            </w:pPr>
          </w:p>
        </w:tc>
        <w:tc>
          <w:tcPr>
            <w:tcW w:w="1660" w:type="dxa"/>
            <w:vAlign w:val="center"/>
          </w:tcPr>
          <w:p w14:paraId="585CD95D">
            <w:pPr>
              <w:ind w:right="-50" w:rightChars="-25"/>
              <w:jc w:val="center"/>
              <w:rPr>
                <w:rFonts w:hint="eastAsia" w:cs="仿宋"/>
                <w:caps/>
                <w:color w:val="auto"/>
                <w:sz w:val="24"/>
                <w:szCs w:val="24"/>
                <w:highlight w:val="none"/>
              </w:rPr>
            </w:pPr>
          </w:p>
        </w:tc>
      </w:tr>
      <w:tr w14:paraId="64855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14" w:type="dxa"/>
            <w:vAlign w:val="center"/>
          </w:tcPr>
          <w:p w14:paraId="5F9B1B5B">
            <w:pPr>
              <w:ind w:right="-50" w:rightChars="-25"/>
              <w:jc w:val="center"/>
              <w:rPr>
                <w:rFonts w:hint="eastAsia" w:cs="仿宋"/>
                <w:caps/>
                <w:color w:val="auto"/>
                <w:sz w:val="24"/>
                <w:szCs w:val="24"/>
                <w:highlight w:val="none"/>
              </w:rPr>
            </w:pPr>
          </w:p>
        </w:tc>
        <w:tc>
          <w:tcPr>
            <w:tcW w:w="1134" w:type="dxa"/>
            <w:vAlign w:val="center"/>
          </w:tcPr>
          <w:p w14:paraId="029A993C">
            <w:pPr>
              <w:ind w:right="-50" w:rightChars="-25"/>
              <w:jc w:val="center"/>
              <w:rPr>
                <w:rFonts w:hint="eastAsia" w:cs="仿宋"/>
                <w:caps/>
                <w:color w:val="auto"/>
                <w:sz w:val="24"/>
                <w:szCs w:val="24"/>
                <w:highlight w:val="none"/>
              </w:rPr>
            </w:pPr>
          </w:p>
        </w:tc>
        <w:tc>
          <w:tcPr>
            <w:tcW w:w="1417" w:type="dxa"/>
            <w:vAlign w:val="center"/>
          </w:tcPr>
          <w:p w14:paraId="70385970">
            <w:pPr>
              <w:ind w:right="-50" w:rightChars="-25"/>
              <w:jc w:val="center"/>
              <w:rPr>
                <w:rFonts w:hint="eastAsia" w:cs="仿宋"/>
                <w:caps/>
                <w:color w:val="auto"/>
                <w:sz w:val="24"/>
                <w:szCs w:val="24"/>
                <w:highlight w:val="none"/>
              </w:rPr>
            </w:pPr>
          </w:p>
        </w:tc>
        <w:tc>
          <w:tcPr>
            <w:tcW w:w="1347" w:type="dxa"/>
            <w:vAlign w:val="center"/>
          </w:tcPr>
          <w:p w14:paraId="188C5302">
            <w:pPr>
              <w:ind w:right="-50" w:rightChars="-25"/>
              <w:jc w:val="center"/>
              <w:rPr>
                <w:rFonts w:hint="eastAsia" w:cs="仿宋"/>
                <w:caps/>
                <w:color w:val="auto"/>
                <w:sz w:val="24"/>
                <w:szCs w:val="24"/>
                <w:highlight w:val="none"/>
              </w:rPr>
            </w:pPr>
          </w:p>
        </w:tc>
        <w:tc>
          <w:tcPr>
            <w:tcW w:w="1660" w:type="dxa"/>
            <w:vAlign w:val="center"/>
          </w:tcPr>
          <w:p w14:paraId="424898EA">
            <w:pPr>
              <w:ind w:right="-50" w:rightChars="-25"/>
              <w:jc w:val="center"/>
              <w:rPr>
                <w:rFonts w:hint="eastAsia" w:cs="仿宋"/>
                <w:caps/>
                <w:color w:val="auto"/>
                <w:sz w:val="24"/>
                <w:szCs w:val="24"/>
                <w:highlight w:val="none"/>
              </w:rPr>
            </w:pPr>
          </w:p>
        </w:tc>
      </w:tr>
      <w:tr w14:paraId="33323A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2514" w:type="dxa"/>
            <w:vAlign w:val="center"/>
          </w:tcPr>
          <w:p w14:paraId="2F2A34CA">
            <w:pPr>
              <w:ind w:right="-50" w:rightChars="-25"/>
              <w:jc w:val="center"/>
              <w:rPr>
                <w:rFonts w:hint="eastAsia" w:cs="仿宋"/>
                <w:caps/>
                <w:color w:val="auto"/>
                <w:sz w:val="24"/>
                <w:szCs w:val="24"/>
                <w:highlight w:val="none"/>
              </w:rPr>
            </w:pPr>
          </w:p>
        </w:tc>
        <w:tc>
          <w:tcPr>
            <w:tcW w:w="1134" w:type="dxa"/>
            <w:vAlign w:val="center"/>
          </w:tcPr>
          <w:p w14:paraId="161C6961">
            <w:pPr>
              <w:ind w:left="-50" w:leftChars="-25" w:right="-50" w:rightChars="-25"/>
              <w:jc w:val="center"/>
              <w:rPr>
                <w:rFonts w:hint="eastAsia" w:cs="仿宋"/>
                <w:caps/>
                <w:color w:val="auto"/>
                <w:sz w:val="24"/>
                <w:szCs w:val="24"/>
                <w:highlight w:val="none"/>
              </w:rPr>
            </w:pPr>
          </w:p>
        </w:tc>
        <w:tc>
          <w:tcPr>
            <w:tcW w:w="1417" w:type="dxa"/>
            <w:vAlign w:val="center"/>
          </w:tcPr>
          <w:p w14:paraId="229ACB54">
            <w:pPr>
              <w:ind w:left="-50" w:leftChars="-25" w:right="-50" w:rightChars="-25"/>
              <w:jc w:val="center"/>
              <w:rPr>
                <w:rFonts w:hint="eastAsia" w:cs="仿宋"/>
                <w:caps/>
                <w:color w:val="auto"/>
                <w:sz w:val="24"/>
                <w:szCs w:val="24"/>
                <w:highlight w:val="none"/>
              </w:rPr>
            </w:pPr>
          </w:p>
        </w:tc>
        <w:tc>
          <w:tcPr>
            <w:tcW w:w="1347" w:type="dxa"/>
            <w:vAlign w:val="center"/>
          </w:tcPr>
          <w:p w14:paraId="0649500F">
            <w:pPr>
              <w:ind w:left="-50" w:leftChars="-25" w:right="-50" w:rightChars="-25"/>
              <w:jc w:val="center"/>
              <w:rPr>
                <w:rFonts w:hint="eastAsia" w:cs="仿宋"/>
                <w:caps/>
                <w:color w:val="auto"/>
                <w:sz w:val="24"/>
                <w:szCs w:val="24"/>
                <w:highlight w:val="none"/>
              </w:rPr>
            </w:pPr>
          </w:p>
        </w:tc>
        <w:tc>
          <w:tcPr>
            <w:tcW w:w="1660" w:type="dxa"/>
            <w:vAlign w:val="center"/>
          </w:tcPr>
          <w:p w14:paraId="2673C514">
            <w:pPr>
              <w:ind w:left="-50" w:leftChars="-25" w:right="-50" w:rightChars="-25"/>
              <w:jc w:val="center"/>
              <w:rPr>
                <w:rFonts w:hint="eastAsia" w:cs="仿宋"/>
                <w:caps/>
                <w:color w:val="auto"/>
                <w:sz w:val="24"/>
                <w:szCs w:val="24"/>
                <w:highlight w:val="none"/>
              </w:rPr>
            </w:pPr>
          </w:p>
        </w:tc>
      </w:tr>
    </w:tbl>
    <w:p w14:paraId="570251DE">
      <w:pPr>
        <w:ind w:firstLine="482"/>
        <w:rPr>
          <w:rFonts w:hint="eastAsia" w:cs="仿宋"/>
          <w:caps/>
          <w:color w:val="auto"/>
          <w:sz w:val="24"/>
          <w:szCs w:val="24"/>
          <w:highlight w:val="none"/>
        </w:rPr>
      </w:pPr>
      <w:r>
        <w:rPr>
          <w:rFonts w:hint="eastAsia" w:cs="仿宋"/>
          <w:caps/>
          <w:color w:val="auto"/>
          <w:sz w:val="24"/>
          <w:szCs w:val="24"/>
          <w:highlight w:val="none"/>
        </w:rPr>
        <w:t>填报日期：    年    月    日</w:t>
      </w:r>
    </w:p>
    <w:p w14:paraId="644D178A">
      <w:pPr>
        <w:ind w:firstLine="482"/>
        <w:rPr>
          <w:rFonts w:hint="eastAsia" w:cs="仿宋"/>
          <w:caps/>
          <w:color w:val="auto"/>
          <w:sz w:val="24"/>
          <w:szCs w:val="24"/>
          <w:highlight w:val="none"/>
        </w:rPr>
      </w:pPr>
      <w:r>
        <w:rPr>
          <w:rFonts w:hint="eastAsia" w:cs="仿宋"/>
          <w:caps/>
          <w:color w:val="auto"/>
          <w:sz w:val="24"/>
          <w:szCs w:val="24"/>
          <w:highlight w:val="none"/>
        </w:rPr>
        <w:t>备注：1</w:t>
      </w:r>
      <w:r>
        <w:rPr>
          <w:rFonts w:cs="仿宋"/>
          <w:caps/>
          <w:color w:val="auto"/>
          <w:sz w:val="24"/>
          <w:szCs w:val="24"/>
          <w:highlight w:val="none"/>
        </w:rPr>
        <w:t>.</w:t>
      </w:r>
      <w:r>
        <w:rPr>
          <w:rFonts w:hint="eastAsia" w:cs="仿宋"/>
          <w:caps/>
          <w:color w:val="auto"/>
          <w:sz w:val="24"/>
          <w:szCs w:val="24"/>
          <w:highlight w:val="none"/>
        </w:rPr>
        <w:t>供应商根据自身实力自行填报；2</w:t>
      </w:r>
      <w:r>
        <w:rPr>
          <w:rFonts w:cs="仿宋"/>
          <w:caps/>
          <w:color w:val="auto"/>
          <w:sz w:val="24"/>
          <w:szCs w:val="24"/>
          <w:highlight w:val="none"/>
        </w:rPr>
        <w:t>.</w:t>
      </w:r>
      <w:r>
        <w:rPr>
          <w:rFonts w:hint="eastAsia" w:cs="仿宋"/>
          <w:caps/>
          <w:color w:val="auto"/>
          <w:sz w:val="24"/>
          <w:szCs w:val="24"/>
          <w:highlight w:val="none"/>
        </w:rPr>
        <w:t>附人员相关证书证件原件扫描件。</w:t>
      </w:r>
    </w:p>
    <w:p w14:paraId="20546E64">
      <w:pPr>
        <w:jc w:val="left"/>
        <w:rPr>
          <w:rFonts w:hint="eastAsia" w:cs="仿宋"/>
          <w:b/>
          <w:bCs/>
          <w:color w:val="auto"/>
          <w:sz w:val="24"/>
          <w:szCs w:val="24"/>
          <w:highlight w:val="none"/>
        </w:rPr>
      </w:pPr>
    </w:p>
    <w:p w14:paraId="652C0427">
      <w:pPr>
        <w:jc w:val="left"/>
        <w:rPr>
          <w:rFonts w:hint="eastAsia" w:cs="仿宋"/>
          <w:b/>
          <w:bCs/>
          <w:color w:val="auto"/>
          <w:sz w:val="24"/>
          <w:szCs w:val="24"/>
          <w:highlight w:val="none"/>
        </w:rPr>
      </w:pPr>
    </w:p>
    <w:p w14:paraId="01BC4E7A">
      <w:pPr>
        <w:jc w:val="left"/>
        <w:rPr>
          <w:rFonts w:hint="eastAsia" w:cs="仿宋"/>
          <w:b w:val="0"/>
          <w:bCs w:val="0"/>
          <w:color w:val="auto"/>
          <w:sz w:val="24"/>
          <w:szCs w:val="24"/>
          <w:highlight w:val="none"/>
        </w:rPr>
      </w:pPr>
    </w:p>
    <w:p w14:paraId="571F2687">
      <w:pPr>
        <w:ind w:firstLine="480" w:firstLineChars="200"/>
        <w:jc w:val="left"/>
        <w:rPr>
          <w:rFonts w:hint="eastAsia" w:cs="仿宋"/>
          <w:b w:val="0"/>
          <w:bCs w:val="0"/>
          <w:color w:val="auto"/>
          <w:sz w:val="24"/>
          <w:szCs w:val="24"/>
          <w:highlight w:val="none"/>
        </w:rPr>
      </w:pPr>
      <w:r>
        <w:rPr>
          <w:rFonts w:cs="仿宋"/>
          <w:b w:val="0"/>
          <w:bCs w:val="0"/>
          <w:color w:val="auto"/>
          <w:sz w:val="24"/>
          <w:szCs w:val="24"/>
          <w:highlight w:val="none"/>
        </w:rPr>
        <w:t>2.</w:t>
      </w:r>
      <w:r>
        <w:rPr>
          <w:rFonts w:hint="eastAsia" w:cs="仿宋"/>
          <w:b w:val="0"/>
          <w:bCs w:val="0"/>
          <w:color w:val="auto"/>
          <w:sz w:val="24"/>
          <w:szCs w:val="24"/>
          <w:highlight w:val="none"/>
        </w:rPr>
        <w:t>项目管理人员分工（格式自拟）</w:t>
      </w:r>
    </w:p>
    <w:p w14:paraId="0145F945">
      <w:pPr>
        <w:rPr>
          <w:rFonts w:hint="eastAsia" w:cs="仿宋"/>
          <w:b/>
          <w:color w:val="auto"/>
          <w:sz w:val="24"/>
          <w:szCs w:val="24"/>
          <w:highlight w:val="none"/>
        </w:rPr>
      </w:pPr>
      <w:r>
        <w:rPr>
          <w:rFonts w:hint="eastAsia" w:cs="仿宋"/>
          <w:b/>
          <w:color w:val="auto"/>
          <w:sz w:val="24"/>
          <w:szCs w:val="24"/>
          <w:highlight w:val="none"/>
        </w:rPr>
        <w:br w:type="page"/>
      </w:r>
      <w:r>
        <w:rPr>
          <w:rFonts w:hint="eastAsia" w:cs="仿宋"/>
          <w:b/>
          <w:color w:val="auto"/>
          <w:sz w:val="24"/>
          <w:szCs w:val="24"/>
          <w:highlight w:val="none"/>
        </w:rPr>
        <w:t>格式6</w:t>
      </w:r>
    </w:p>
    <w:p w14:paraId="5F4F0928">
      <w:pPr>
        <w:ind w:firstLine="643"/>
        <w:jc w:val="center"/>
        <w:rPr>
          <w:rFonts w:hint="eastAsia" w:cs="仿宋"/>
          <w:b/>
          <w:color w:val="auto"/>
          <w:sz w:val="24"/>
          <w:szCs w:val="24"/>
          <w:highlight w:val="none"/>
        </w:rPr>
      </w:pPr>
      <w:r>
        <w:rPr>
          <w:rFonts w:hint="eastAsia" w:cs="仿宋"/>
          <w:b/>
          <w:color w:val="auto"/>
          <w:sz w:val="24"/>
          <w:szCs w:val="24"/>
          <w:highlight w:val="none"/>
        </w:rPr>
        <w:t>劳动力安排、施工机械和材料投入</w:t>
      </w:r>
    </w:p>
    <w:p w14:paraId="157698CE">
      <w:pPr>
        <w:ind w:firstLine="480" w:firstLineChars="200"/>
        <w:jc w:val="left"/>
        <w:rPr>
          <w:rFonts w:hint="eastAsia"/>
          <w:b w:val="0"/>
          <w:bCs w:val="0"/>
          <w:color w:val="auto"/>
          <w:sz w:val="24"/>
          <w:szCs w:val="24"/>
          <w:highlight w:val="none"/>
        </w:rPr>
      </w:pPr>
      <w:r>
        <w:rPr>
          <w:rFonts w:hint="eastAsia"/>
          <w:b w:val="0"/>
          <w:bCs w:val="0"/>
          <w:color w:val="auto"/>
          <w:sz w:val="24"/>
          <w:szCs w:val="24"/>
          <w:highlight w:val="none"/>
        </w:rPr>
        <w:t>1</w:t>
      </w:r>
      <w:r>
        <w:rPr>
          <w:rFonts w:hint="eastAsia"/>
          <w:b w:val="0"/>
          <w:bCs w:val="0"/>
          <w:color w:val="auto"/>
          <w:sz w:val="24"/>
          <w:szCs w:val="24"/>
          <w:highlight w:val="none"/>
          <w:lang w:val="en-US" w:eastAsia="zh-CN"/>
        </w:rPr>
        <w:t>.</w:t>
      </w:r>
      <w:r>
        <w:rPr>
          <w:rFonts w:hint="eastAsia"/>
          <w:b w:val="0"/>
          <w:bCs w:val="0"/>
          <w:color w:val="auto"/>
          <w:sz w:val="24"/>
          <w:szCs w:val="24"/>
          <w:highlight w:val="none"/>
        </w:rPr>
        <w:t>劳动力安排</w:t>
      </w:r>
      <w:r>
        <w:rPr>
          <w:rFonts w:hint="eastAsia" w:cs="仿宋"/>
          <w:b w:val="0"/>
          <w:bCs w:val="0"/>
          <w:color w:val="auto"/>
          <w:sz w:val="24"/>
          <w:szCs w:val="24"/>
          <w:highlight w:val="none"/>
        </w:rPr>
        <w:t>（格式自拟）</w:t>
      </w:r>
    </w:p>
    <w:p w14:paraId="5103348E">
      <w:pPr>
        <w:ind w:firstLine="480" w:firstLineChars="200"/>
        <w:jc w:val="left"/>
        <w:rPr>
          <w:rFonts w:hint="eastAsia"/>
          <w:b w:val="0"/>
          <w:bCs w:val="0"/>
          <w:color w:val="auto"/>
          <w:sz w:val="24"/>
          <w:szCs w:val="24"/>
          <w:highlight w:val="none"/>
        </w:rPr>
      </w:pPr>
      <w:r>
        <w:rPr>
          <w:rFonts w:hint="eastAsia"/>
          <w:b w:val="0"/>
          <w:bCs w:val="0"/>
          <w:color w:val="auto"/>
          <w:sz w:val="24"/>
          <w:szCs w:val="24"/>
          <w:highlight w:val="none"/>
        </w:rPr>
        <w:t>2</w:t>
      </w:r>
      <w:r>
        <w:rPr>
          <w:rFonts w:hint="eastAsia"/>
          <w:b w:val="0"/>
          <w:bCs w:val="0"/>
          <w:color w:val="auto"/>
          <w:sz w:val="24"/>
          <w:szCs w:val="24"/>
          <w:highlight w:val="none"/>
          <w:lang w:val="en-US" w:eastAsia="zh-CN"/>
        </w:rPr>
        <w:t>.</w:t>
      </w:r>
      <w:r>
        <w:rPr>
          <w:rFonts w:hint="eastAsia"/>
          <w:b w:val="0"/>
          <w:bCs w:val="0"/>
          <w:color w:val="auto"/>
          <w:sz w:val="24"/>
          <w:szCs w:val="24"/>
          <w:highlight w:val="none"/>
        </w:rPr>
        <w:t>施工机械和材料投入计划</w:t>
      </w:r>
      <w:r>
        <w:rPr>
          <w:rFonts w:hint="eastAsia" w:cs="仿宋"/>
          <w:b w:val="0"/>
          <w:bCs w:val="0"/>
          <w:color w:val="auto"/>
          <w:sz w:val="24"/>
          <w:szCs w:val="24"/>
          <w:highlight w:val="none"/>
        </w:rPr>
        <w:t>（格式自拟）</w:t>
      </w:r>
    </w:p>
    <w:p w14:paraId="5DB02626">
      <w:pPr>
        <w:pStyle w:val="42"/>
        <w:autoSpaceDE w:val="0"/>
        <w:autoSpaceDN w:val="0"/>
        <w:adjustRightInd w:val="0"/>
        <w:snapToGrid w:val="0"/>
        <w:spacing w:line="360" w:lineRule="auto"/>
        <w:ind w:firstLine="964" w:firstLineChars="400"/>
        <w:jc w:val="left"/>
        <w:rPr>
          <w:rFonts w:hint="eastAsia" w:ascii="宋体" w:hAnsi="宋体" w:eastAsia="宋体" w:cs="宋体"/>
          <w:color w:val="auto"/>
          <w:kern w:val="0"/>
          <w:sz w:val="24"/>
          <w:szCs w:val="24"/>
          <w:highlight w:val="none"/>
        </w:rPr>
      </w:pPr>
      <w:r>
        <w:rPr>
          <w:rFonts w:hint="eastAsia" w:cs="仿宋"/>
          <w:b/>
          <w:color w:val="auto"/>
          <w:sz w:val="24"/>
          <w:szCs w:val="24"/>
          <w:highlight w:val="none"/>
        </w:rPr>
        <w:br w:type="page"/>
      </w:r>
    </w:p>
    <w:p w14:paraId="4884EE28">
      <w:pPr>
        <w:pStyle w:val="3"/>
        <w:spacing w:line="360" w:lineRule="auto"/>
        <w:rPr>
          <w:rFonts w:hint="eastAsia" w:ascii="宋体" w:hAnsi="宋体" w:eastAsia="宋体" w:cs="宋体"/>
          <w:color w:val="auto"/>
          <w:sz w:val="24"/>
          <w:szCs w:val="24"/>
          <w:highlight w:val="none"/>
        </w:rPr>
      </w:pPr>
      <w:bookmarkStart w:id="4808" w:name="_Toc32122"/>
      <w:bookmarkStart w:id="4809" w:name="_Toc8112"/>
      <w:bookmarkStart w:id="4810" w:name="_Toc8381"/>
      <w:bookmarkStart w:id="4811" w:name="_Toc13306"/>
      <w:r>
        <w:rPr>
          <w:rFonts w:hint="eastAsia" w:ascii="宋体" w:hAnsi="宋体" w:eastAsia="宋体" w:cs="宋体"/>
          <w:color w:val="auto"/>
          <w:sz w:val="24"/>
          <w:szCs w:val="24"/>
          <w:highlight w:val="none"/>
        </w:rPr>
        <w:t>供应商认为需提交的其他资料</w:t>
      </w:r>
      <w:bookmarkEnd w:id="4808"/>
      <w:bookmarkEnd w:id="4809"/>
      <w:bookmarkEnd w:id="4810"/>
      <w:bookmarkEnd w:id="4811"/>
    </w:p>
    <w:p w14:paraId="640B8B02">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格式自拟</w:t>
      </w:r>
      <w:bookmarkEnd w:id="4802"/>
      <w:bookmarkEnd w:id="4803"/>
    </w:p>
    <w:p w14:paraId="058C4DF9">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0"/>
        <w:rPr>
          <w:rFonts w:hint="eastAsia" w:ascii="宋体" w:hAnsi="宋体" w:cs="宋体"/>
          <w:b/>
          <w:bCs/>
          <w:color w:val="auto"/>
          <w:sz w:val="32"/>
          <w:szCs w:val="32"/>
          <w:highlight w:val="none"/>
          <w:lang w:val="en-US" w:eastAsia="zh-CN"/>
        </w:rPr>
      </w:pPr>
      <w:r>
        <w:rPr>
          <w:rFonts w:hint="eastAsia" w:ascii="宋体" w:hAnsi="宋体" w:eastAsia="宋体" w:cs="宋体"/>
          <w:color w:val="auto"/>
          <w:highlight w:val="none"/>
        </w:rPr>
        <w:br w:type="page"/>
      </w:r>
      <w:bookmarkStart w:id="4812" w:name="_Toc24564"/>
      <w:r>
        <w:rPr>
          <w:rFonts w:hint="eastAsia" w:ascii="宋体" w:hAnsi="宋体" w:cs="宋体"/>
          <w:b/>
          <w:bCs/>
          <w:color w:val="auto"/>
          <w:sz w:val="32"/>
          <w:szCs w:val="32"/>
          <w:highlight w:val="none"/>
          <w:lang w:val="en-US" w:eastAsia="zh-CN"/>
        </w:rPr>
        <w:t>第七章  图纸</w:t>
      </w:r>
      <w:bookmarkEnd w:id="4812"/>
    </w:p>
    <w:p w14:paraId="24A73A73">
      <w:pPr>
        <w:numPr>
          <w:ilvl w:val="0"/>
          <w:numId w:val="0"/>
        </w:numPr>
        <w:spacing w:line="360" w:lineRule="auto"/>
        <w:ind w:firstLine="480" w:firstLineChars="200"/>
        <w:jc w:val="both"/>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另附，供应商从“政采云”平台 (http://www.zcygov.cn)上下载电子版图纸</w:t>
      </w:r>
    </w:p>
    <w:sectPr>
      <w:pgSz w:w="11906" w:h="16838"/>
      <w:pgMar w:top="1134" w:right="1247" w:bottom="1134" w:left="124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A4C77">
    <w:pPr>
      <w:pStyle w:val="16"/>
      <w:jc w:val="both"/>
    </w:pPr>
  </w:p>
  <w:p w14:paraId="57BE3318">
    <w:pPr>
      <w:pStyle w:val="16"/>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0F4B2">
    <w:pPr>
      <w:pStyle w:val="16"/>
      <w:jc w:val="both"/>
    </w:pPr>
  </w:p>
  <w:p w14:paraId="749BEA4F">
    <w:pPr>
      <w:pStyle w:val="16"/>
      <w:jc w:val="both"/>
      <w:rPr>
        <w:rFonts w:hint="default" w:eastAsia="宋体"/>
        <w:lang w:val="en-US" w:eastAsia="zh-CN"/>
      </w:rPr>
    </w:pPr>
    <w:r>
      <w:rPr>
        <w:rFonts w:hint="eastAsia"/>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76A4">
    <w:pPr>
      <w:pStyle w:val="16"/>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036138">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036138">
                    <w:pPr>
                      <w:pStyle w:val="16"/>
                    </w:pPr>
                    <w:r>
                      <w:fldChar w:fldCharType="begin"/>
                    </w:r>
                    <w:r>
                      <w:instrText xml:space="preserve"> PAGE  \* MERGEFORMAT </w:instrText>
                    </w:r>
                    <w:r>
                      <w:fldChar w:fldCharType="separate"/>
                    </w:r>
                    <w:r>
                      <w:t>3</w:t>
                    </w:r>
                    <w:r>
                      <w:fldChar w:fldCharType="end"/>
                    </w:r>
                  </w:p>
                </w:txbxContent>
              </v:textbox>
            </v:shape>
          </w:pict>
        </mc:Fallback>
      </mc:AlternateContent>
    </w:r>
  </w:p>
  <w:p w14:paraId="36BD953E">
    <w:pPr>
      <w:pStyle w:val="16"/>
      <w:jc w:val="both"/>
      <w:rPr>
        <w:rFonts w:hint="default" w:eastAsia="宋体"/>
        <w:lang w:val="en-US" w:eastAsia="zh-CN"/>
      </w:rPr>
    </w:pP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61D2A">
    <w:pPr>
      <w:pStyle w:val="9"/>
      <w:spacing w:line="14" w:lineRule="auto"/>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E25962">
                          <w:pPr>
                            <w:pStyle w:val="1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6E25962">
                    <w:pPr>
                      <w:pStyle w:val="1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65182">
    <w:pPr>
      <w:pStyle w:val="18"/>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33BDA">
    <w:pPr>
      <w:pStyle w:val="18"/>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C698F2"/>
    <w:multiLevelType w:val="multilevel"/>
    <w:tmpl w:val="B5C698F2"/>
    <w:lvl w:ilvl="0" w:tentative="0">
      <w:start w:val="1"/>
      <w:numFmt w:val="decimal"/>
      <w:lvlText w:val="%1."/>
      <w:lvlJc w:val="left"/>
      <w:pPr>
        <w:tabs>
          <w:tab w:val="left" w:pos="432"/>
        </w:tabs>
        <w:ind w:left="432"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pStyle w:val="5"/>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1"/>
        </w:tabs>
        <w:ind w:left="1151" w:hanging="1151"/>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3"/>
        </w:tabs>
        <w:ind w:left="1583" w:hanging="1583"/>
      </w:pPr>
      <w:rPr>
        <w:rFonts w:hint="default"/>
      </w:rPr>
    </w:lvl>
  </w:abstractNum>
  <w:abstractNum w:abstractNumId="1">
    <w:nsid w:val="C2A1E49D"/>
    <w:multiLevelType w:val="singleLevel"/>
    <w:tmpl w:val="C2A1E49D"/>
    <w:lvl w:ilvl="0" w:tentative="0">
      <w:start w:val="5"/>
      <w:numFmt w:val="chineseCounting"/>
      <w:suff w:val="nothing"/>
      <w:lvlText w:val="（%1）"/>
      <w:lvlJc w:val="left"/>
      <w:rPr>
        <w:rFonts w:hint="eastAsia"/>
      </w:rPr>
    </w:lvl>
  </w:abstractNum>
  <w:abstractNum w:abstractNumId="2">
    <w:nsid w:val="D5188C74"/>
    <w:multiLevelType w:val="singleLevel"/>
    <w:tmpl w:val="D5188C74"/>
    <w:lvl w:ilvl="0" w:tentative="0">
      <w:start w:val="1"/>
      <w:numFmt w:val="chineseCounting"/>
      <w:suff w:val="nothing"/>
      <w:lvlText w:val="（%1）"/>
      <w:lvlJc w:val="left"/>
      <w:pPr>
        <w:ind w:left="0" w:firstLine="420"/>
      </w:pPr>
      <w:rPr>
        <w:rFonts w:hint="eastAsia"/>
      </w:rPr>
    </w:lvl>
  </w:abstractNum>
  <w:abstractNum w:abstractNumId="3">
    <w:nsid w:val="E550A351"/>
    <w:multiLevelType w:val="singleLevel"/>
    <w:tmpl w:val="E550A351"/>
    <w:lvl w:ilvl="0" w:tentative="0">
      <w:start w:val="6"/>
      <w:numFmt w:val="chineseCounting"/>
      <w:suff w:val="nothing"/>
      <w:lvlText w:val="%1、"/>
      <w:lvlJc w:val="left"/>
      <w:rPr>
        <w:rFonts w:hint="eastAsia"/>
      </w:rPr>
    </w:lvl>
  </w:abstractNum>
  <w:abstractNum w:abstractNumId="4">
    <w:nsid w:val="037274DB"/>
    <w:multiLevelType w:val="singleLevel"/>
    <w:tmpl w:val="037274DB"/>
    <w:lvl w:ilvl="0" w:tentative="0">
      <w:start w:val="1"/>
      <w:numFmt w:val="decimal"/>
      <w:suff w:val="nothing"/>
      <w:lvlText w:val="%1、"/>
      <w:lvlJc w:val="left"/>
    </w:lvl>
  </w:abstractNum>
  <w:abstractNum w:abstractNumId="5">
    <w:nsid w:val="0C5C5DFD"/>
    <w:multiLevelType w:val="multilevel"/>
    <w:tmpl w:val="0C5C5DF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36187668"/>
    <w:multiLevelType w:val="singleLevel"/>
    <w:tmpl w:val="36187668"/>
    <w:lvl w:ilvl="0" w:tentative="0">
      <w:start w:val="3"/>
      <w:numFmt w:val="chineseCounting"/>
      <w:suff w:val="nothing"/>
      <w:lvlText w:val="（%1）"/>
      <w:lvlJc w:val="left"/>
      <w:rPr>
        <w:rFonts w:hint="eastAsia"/>
      </w:rPr>
    </w:lvl>
  </w:abstractNum>
  <w:abstractNum w:abstractNumId="7">
    <w:nsid w:val="48F98BEE"/>
    <w:multiLevelType w:val="singleLevel"/>
    <w:tmpl w:val="48F98BEE"/>
    <w:lvl w:ilvl="0" w:tentative="0">
      <w:start w:val="6"/>
      <w:numFmt w:val="chineseCounting"/>
      <w:suff w:val="space"/>
      <w:lvlText w:val="第%1章"/>
      <w:lvlJc w:val="left"/>
      <w:rPr>
        <w:rFonts w:hint="eastAsia"/>
      </w:rPr>
    </w:lvl>
  </w:abstractNum>
  <w:abstractNum w:abstractNumId="8">
    <w:nsid w:val="5543269B"/>
    <w:multiLevelType w:val="singleLevel"/>
    <w:tmpl w:val="5543269B"/>
    <w:lvl w:ilvl="0" w:tentative="0">
      <w:start w:val="1"/>
      <w:numFmt w:val="chineseCounting"/>
      <w:suff w:val="space"/>
      <w:lvlText w:val="第%1章"/>
      <w:lvlJc w:val="left"/>
      <w:rPr>
        <w:rFonts w:hint="eastAsia"/>
      </w:rPr>
    </w:lvl>
  </w:abstractNum>
  <w:abstractNum w:abstractNumId="9">
    <w:nsid w:val="7AE2E9A7"/>
    <w:multiLevelType w:val="singleLevel"/>
    <w:tmpl w:val="7AE2E9A7"/>
    <w:lvl w:ilvl="0" w:tentative="0">
      <w:start w:val="3"/>
      <w:numFmt w:val="chineseCounting"/>
      <w:suff w:val="space"/>
      <w:lvlText w:val="第%1章"/>
      <w:lvlJc w:val="left"/>
      <w:rPr>
        <w:rFonts w:hint="eastAsia"/>
      </w:rPr>
    </w:lvl>
  </w:abstractNum>
  <w:num w:numId="1">
    <w:abstractNumId w:val="0"/>
  </w:num>
  <w:num w:numId="2">
    <w:abstractNumId w:val="8"/>
  </w:num>
  <w:num w:numId="3">
    <w:abstractNumId w:val="3"/>
  </w:num>
  <w:num w:numId="4">
    <w:abstractNumId w:val="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mYTE1OWM3YzY4ODEzNTgxZjljMmE0NWVhNzNjN2EifQ=="/>
    <w:docVar w:name="KSO_WPS_MARK_KEY" w:val="24bcfc60-d73f-40e5-969b-55e3c39f637d"/>
  </w:docVars>
  <w:rsids>
    <w:rsidRoot w:val="2538594F"/>
    <w:rsid w:val="00144612"/>
    <w:rsid w:val="002230D4"/>
    <w:rsid w:val="0023134A"/>
    <w:rsid w:val="002630BB"/>
    <w:rsid w:val="002C61F7"/>
    <w:rsid w:val="004B3D42"/>
    <w:rsid w:val="004D538C"/>
    <w:rsid w:val="0057768C"/>
    <w:rsid w:val="00750BAF"/>
    <w:rsid w:val="008F6EB2"/>
    <w:rsid w:val="009B6FC7"/>
    <w:rsid w:val="009C2007"/>
    <w:rsid w:val="00B90B50"/>
    <w:rsid w:val="00C162CE"/>
    <w:rsid w:val="00CE7030"/>
    <w:rsid w:val="00E8639E"/>
    <w:rsid w:val="00F213DA"/>
    <w:rsid w:val="00F9041D"/>
    <w:rsid w:val="015974C0"/>
    <w:rsid w:val="018B45EE"/>
    <w:rsid w:val="01A9786E"/>
    <w:rsid w:val="023344F6"/>
    <w:rsid w:val="024737BC"/>
    <w:rsid w:val="024912E2"/>
    <w:rsid w:val="025640D8"/>
    <w:rsid w:val="026B3007"/>
    <w:rsid w:val="02744DB0"/>
    <w:rsid w:val="028247F4"/>
    <w:rsid w:val="02B04C50"/>
    <w:rsid w:val="02B86400"/>
    <w:rsid w:val="02D14B9D"/>
    <w:rsid w:val="03A47AEE"/>
    <w:rsid w:val="03C54999"/>
    <w:rsid w:val="03D16926"/>
    <w:rsid w:val="03E86632"/>
    <w:rsid w:val="03F51722"/>
    <w:rsid w:val="04673CA2"/>
    <w:rsid w:val="05160681"/>
    <w:rsid w:val="0543026B"/>
    <w:rsid w:val="057906EC"/>
    <w:rsid w:val="057D11DD"/>
    <w:rsid w:val="05B93485"/>
    <w:rsid w:val="05CC64B2"/>
    <w:rsid w:val="0615412A"/>
    <w:rsid w:val="06616AE1"/>
    <w:rsid w:val="067F2814"/>
    <w:rsid w:val="06B73051"/>
    <w:rsid w:val="06D30843"/>
    <w:rsid w:val="06F10948"/>
    <w:rsid w:val="073247E4"/>
    <w:rsid w:val="074958E1"/>
    <w:rsid w:val="074A3962"/>
    <w:rsid w:val="075D062C"/>
    <w:rsid w:val="07697D31"/>
    <w:rsid w:val="078C3640"/>
    <w:rsid w:val="07A26389"/>
    <w:rsid w:val="07AB0349"/>
    <w:rsid w:val="081F6A2B"/>
    <w:rsid w:val="08B01451"/>
    <w:rsid w:val="08C94F2B"/>
    <w:rsid w:val="08DE4191"/>
    <w:rsid w:val="08E25FED"/>
    <w:rsid w:val="09223017"/>
    <w:rsid w:val="09287EA3"/>
    <w:rsid w:val="093D3223"/>
    <w:rsid w:val="09971436"/>
    <w:rsid w:val="09A93C38"/>
    <w:rsid w:val="0A067AB9"/>
    <w:rsid w:val="0A426D43"/>
    <w:rsid w:val="0A4B02FE"/>
    <w:rsid w:val="0ABC1EB4"/>
    <w:rsid w:val="0AC0410C"/>
    <w:rsid w:val="0B01457D"/>
    <w:rsid w:val="0B8F3DF2"/>
    <w:rsid w:val="0BFD7267"/>
    <w:rsid w:val="0C09009F"/>
    <w:rsid w:val="0C0A3890"/>
    <w:rsid w:val="0C4B79E3"/>
    <w:rsid w:val="0C9154AB"/>
    <w:rsid w:val="0CAC0B5B"/>
    <w:rsid w:val="0CE0002A"/>
    <w:rsid w:val="0D091D9A"/>
    <w:rsid w:val="0D244E26"/>
    <w:rsid w:val="0D4E3C51"/>
    <w:rsid w:val="0DA22C69"/>
    <w:rsid w:val="0DF557A6"/>
    <w:rsid w:val="0E603C3C"/>
    <w:rsid w:val="0E9438E5"/>
    <w:rsid w:val="0EA77ABC"/>
    <w:rsid w:val="0ECA7307"/>
    <w:rsid w:val="0F16661E"/>
    <w:rsid w:val="0F1B5DB5"/>
    <w:rsid w:val="0F7442A9"/>
    <w:rsid w:val="0F9D0EBF"/>
    <w:rsid w:val="0FD85A54"/>
    <w:rsid w:val="0FE8213B"/>
    <w:rsid w:val="107E65FB"/>
    <w:rsid w:val="10A73DA4"/>
    <w:rsid w:val="10C85AC8"/>
    <w:rsid w:val="10CA1840"/>
    <w:rsid w:val="11025D89"/>
    <w:rsid w:val="11164A85"/>
    <w:rsid w:val="11A958FA"/>
    <w:rsid w:val="121A20C4"/>
    <w:rsid w:val="126E197A"/>
    <w:rsid w:val="126F6B43"/>
    <w:rsid w:val="12834530"/>
    <w:rsid w:val="129465AA"/>
    <w:rsid w:val="12A34475"/>
    <w:rsid w:val="12A9067A"/>
    <w:rsid w:val="13407198"/>
    <w:rsid w:val="135D087A"/>
    <w:rsid w:val="137A50EC"/>
    <w:rsid w:val="13834E83"/>
    <w:rsid w:val="141B6257"/>
    <w:rsid w:val="141C15BA"/>
    <w:rsid w:val="141D6D81"/>
    <w:rsid w:val="145402E0"/>
    <w:rsid w:val="146125BB"/>
    <w:rsid w:val="14667A34"/>
    <w:rsid w:val="14A30FAB"/>
    <w:rsid w:val="14F72E20"/>
    <w:rsid w:val="14F96B98"/>
    <w:rsid w:val="150222E5"/>
    <w:rsid w:val="152534E9"/>
    <w:rsid w:val="15267743"/>
    <w:rsid w:val="15565D98"/>
    <w:rsid w:val="15655FDB"/>
    <w:rsid w:val="156D6C3E"/>
    <w:rsid w:val="15A44D56"/>
    <w:rsid w:val="161D38BE"/>
    <w:rsid w:val="16495280"/>
    <w:rsid w:val="16BB5874"/>
    <w:rsid w:val="175E473E"/>
    <w:rsid w:val="17914E66"/>
    <w:rsid w:val="17D15BAA"/>
    <w:rsid w:val="18070E65"/>
    <w:rsid w:val="18181157"/>
    <w:rsid w:val="181F6915"/>
    <w:rsid w:val="182B59BC"/>
    <w:rsid w:val="184B1658"/>
    <w:rsid w:val="187327BD"/>
    <w:rsid w:val="18AA2089"/>
    <w:rsid w:val="18D97FF0"/>
    <w:rsid w:val="18DC4232"/>
    <w:rsid w:val="19734C95"/>
    <w:rsid w:val="197B5DCD"/>
    <w:rsid w:val="19B72B7E"/>
    <w:rsid w:val="19F129A1"/>
    <w:rsid w:val="1A147FD0"/>
    <w:rsid w:val="1A330E88"/>
    <w:rsid w:val="1A961293"/>
    <w:rsid w:val="1A9F5AEC"/>
    <w:rsid w:val="1AA43CB9"/>
    <w:rsid w:val="1AE8473D"/>
    <w:rsid w:val="1B2B55D1"/>
    <w:rsid w:val="1B8D003A"/>
    <w:rsid w:val="1B9B5BFC"/>
    <w:rsid w:val="1BC3580A"/>
    <w:rsid w:val="1BD417C5"/>
    <w:rsid w:val="1BE4046A"/>
    <w:rsid w:val="1BFF2980"/>
    <w:rsid w:val="1CA13D9D"/>
    <w:rsid w:val="1CC655B2"/>
    <w:rsid w:val="1CCB49AB"/>
    <w:rsid w:val="1CE67A02"/>
    <w:rsid w:val="1D102FD1"/>
    <w:rsid w:val="1D7B2840"/>
    <w:rsid w:val="1E190710"/>
    <w:rsid w:val="1F242A63"/>
    <w:rsid w:val="1F605B4A"/>
    <w:rsid w:val="202F697A"/>
    <w:rsid w:val="207167C9"/>
    <w:rsid w:val="20ED754E"/>
    <w:rsid w:val="213C22E6"/>
    <w:rsid w:val="218B0B78"/>
    <w:rsid w:val="21A166AB"/>
    <w:rsid w:val="21C12FBD"/>
    <w:rsid w:val="22010E3A"/>
    <w:rsid w:val="220C4ED1"/>
    <w:rsid w:val="220D313B"/>
    <w:rsid w:val="22325497"/>
    <w:rsid w:val="22401962"/>
    <w:rsid w:val="228E45AD"/>
    <w:rsid w:val="233174FD"/>
    <w:rsid w:val="23991E57"/>
    <w:rsid w:val="2435189D"/>
    <w:rsid w:val="246D27B7"/>
    <w:rsid w:val="249524D4"/>
    <w:rsid w:val="24E2187F"/>
    <w:rsid w:val="251C4579"/>
    <w:rsid w:val="2538594F"/>
    <w:rsid w:val="25406339"/>
    <w:rsid w:val="255567B2"/>
    <w:rsid w:val="25566D90"/>
    <w:rsid w:val="255E0351"/>
    <w:rsid w:val="258A1146"/>
    <w:rsid w:val="25AB5221"/>
    <w:rsid w:val="261C6CE8"/>
    <w:rsid w:val="26265313"/>
    <w:rsid w:val="263712CE"/>
    <w:rsid w:val="26626BBA"/>
    <w:rsid w:val="267C13D7"/>
    <w:rsid w:val="269B7AAF"/>
    <w:rsid w:val="26BB4984"/>
    <w:rsid w:val="26D11723"/>
    <w:rsid w:val="274B01D5"/>
    <w:rsid w:val="27AA4885"/>
    <w:rsid w:val="27B13565"/>
    <w:rsid w:val="282375BB"/>
    <w:rsid w:val="284B7497"/>
    <w:rsid w:val="28812A41"/>
    <w:rsid w:val="289A5E96"/>
    <w:rsid w:val="29015BC3"/>
    <w:rsid w:val="2936586D"/>
    <w:rsid w:val="29D62BAC"/>
    <w:rsid w:val="29E277A3"/>
    <w:rsid w:val="29EC23D0"/>
    <w:rsid w:val="2A6B59EA"/>
    <w:rsid w:val="2A924FCC"/>
    <w:rsid w:val="2AD96DF8"/>
    <w:rsid w:val="2B0F5D1A"/>
    <w:rsid w:val="2B253DEB"/>
    <w:rsid w:val="2B3E5163"/>
    <w:rsid w:val="2B7D2F86"/>
    <w:rsid w:val="2BAA2542"/>
    <w:rsid w:val="2BAC0068"/>
    <w:rsid w:val="2C1F4CDE"/>
    <w:rsid w:val="2C2A71DF"/>
    <w:rsid w:val="2C5B7C36"/>
    <w:rsid w:val="2C87042B"/>
    <w:rsid w:val="2CAB642E"/>
    <w:rsid w:val="2D1664DB"/>
    <w:rsid w:val="2D23338D"/>
    <w:rsid w:val="2D2E1F86"/>
    <w:rsid w:val="2D3D7E0E"/>
    <w:rsid w:val="2D713E54"/>
    <w:rsid w:val="2D806792"/>
    <w:rsid w:val="2DAA682A"/>
    <w:rsid w:val="2DD67732"/>
    <w:rsid w:val="2DE955A4"/>
    <w:rsid w:val="2E291E44"/>
    <w:rsid w:val="2E3D2EAD"/>
    <w:rsid w:val="2E401F5B"/>
    <w:rsid w:val="2E7859A0"/>
    <w:rsid w:val="300541EB"/>
    <w:rsid w:val="300E12F2"/>
    <w:rsid w:val="30116EC7"/>
    <w:rsid w:val="30695C89"/>
    <w:rsid w:val="306C426A"/>
    <w:rsid w:val="30BA4FD6"/>
    <w:rsid w:val="30E84403"/>
    <w:rsid w:val="31696B1C"/>
    <w:rsid w:val="3199108F"/>
    <w:rsid w:val="31A22367"/>
    <w:rsid w:val="31BA24CC"/>
    <w:rsid w:val="31C0486E"/>
    <w:rsid w:val="31D245A1"/>
    <w:rsid w:val="31F570D3"/>
    <w:rsid w:val="32316EAF"/>
    <w:rsid w:val="327F2033"/>
    <w:rsid w:val="32975E5E"/>
    <w:rsid w:val="32BD2B5B"/>
    <w:rsid w:val="32C5717A"/>
    <w:rsid w:val="32EB4869"/>
    <w:rsid w:val="33226E62"/>
    <w:rsid w:val="33611A2D"/>
    <w:rsid w:val="338F1D24"/>
    <w:rsid w:val="34790D04"/>
    <w:rsid w:val="348937F9"/>
    <w:rsid w:val="34AC2D42"/>
    <w:rsid w:val="35026F4B"/>
    <w:rsid w:val="35057AA9"/>
    <w:rsid w:val="350902DA"/>
    <w:rsid w:val="35696FCA"/>
    <w:rsid w:val="35A434EC"/>
    <w:rsid w:val="35B50461"/>
    <w:rsid w:val="35FE5BA1"/>
    <w:rsid w:val="369736C3"/>
    <w:rsid w:val="36A209E6"/>
    <w:rsid w:val="36AC0A91"/>
    <w:rsid w:val="36E20DE2"/>
    <w:rsid w:val="36E41093"/>
    <w:rsid w:val="37211C00"/>
    <w:rsid w:val="375F20D5"/>
    <w:rsid w:val="379664DD"/>
    <w:rsid w:val="37A10C9D"/>
    <w:rsid w:val="37AE5A9A"/>
    <w:rsid w:val="37C2178A"/>
    <w:rsid w:val="37D17B69"/>
    <w:rsid w:val="37DC7428"/>
    <w:rsid w:val="37E40B8A"/>
    <w:rsid w:val="37EA2644"/>
    <w:rsid w:val="37EF2302"/>
    <w:rsid w:val="38041530"/>
    <w:rsid w:val="386454D7"/>
    <w:rsid w:val="38657F1D"/>
    <w:rsid w:val="38855EC9"/>
    <w:rsid w:val="38AA6EBD"/>
    <w:rsid w:val="39707E46"/>
    <w:rsid w:val="39F01A68"/>
    <w:rsid w:val="3A080B60"/>
    <w:rsid w:val="3A5E0468"/>
    <w:rsid w:val="3B2A71FC"/>
    <w:rsid w:val="3B2C4D22"/>
    <w:rsid w:val="3BC66F24"/>
    <w:rsid w:val="3C125CC6"/>
    <w:rsid w:val="3C3E53D0"/>
    <w:rsid w:val="3C4A1903"/>
    <w:rsid w:val="3C6135EF"/>
    <w:rsid w:val="3C907713"/>
    <w:rsid w:val="3CA32DC2"/>
    <w:rsid w:val="3CAB7EC8"/>
    <w:rsid w:val="3CC50F8A"/>
    <w:rsid w:val="3D001FC2"/>
    <w:rsid w:val="3D0636F8"/>
    <w:rsid w:val="3D233F03"/>
    <w:rsid w:val="3D45031D"/>
    <w:rsid w:val="3D4C105B"/>
    <w:rsid w:val="3DC049AF"/>
    <w:rsid w:val="3DC2196D"/>
    <w:rsid w:val="3DD63111"/>
    <w:rsid w:val="3DF77869"/>
    <w:rsid w:val="3E483C21"/>
    <w:rsid w:val="3E5C3B5C"/>
    <w:rsid w:val="3E6C1A3F"/>
    <w:rsid w:val="3E6E11AD"/>
    <w:rsid w:val="3EA3328C"/>
    <w:rsid w:val="3EAD4BEA"/>
    <w:rsid w:val="3EB017C6"/>
    <w:rsid w:val="3ED5122D"/>
    <w:rsid w:val="3F0212E6"/>
    <w:rsid w:val="3F132951"/>
    <w:rsid w:val="3F314A1F"/>
    <w:rsid w:val="3F9B06C8"/>
    <w:rsid w:val="3FFD0999"/>
    <w:rsid w:val="40000B2E"/>
    <w:rsid w:val="40181D19"/>
    <w:rsid w:val="407E73CA"/>
    <w:rsid w:val="40A12776"/>
    <w:rsid w:val="40A610D2"/>
    <w:rsid w:val="40B01F51"/>
    <w:rsid w:val="40E37C31"/>
    <w:rsid w:val="410D7E89"/>
    <w:rsid w:val="41270465"/>
    <w:rsid w:val="415E7BFF"/>
    <w:rsid w:val="416074D3"/>
    <w:rsid w:val="416D03F2"/>
    <w:rsid w:val="41BE26AC"/>
    <w:rsid w:val="41D45583"/>
    <w:rsid w:val="41D61543"/>
    <w:rsid w:val="41DB2FFE"/>
    <w:rsid w:val="42586730"/>
    <w:rsid w:val="42D65F34"/>
    <w:rsid w:val="42ED123B"/>
    <w:rsid w:val="42ED582D"/>
    <w:rsid w:val="42F8776E"/>
    <w:rsid w:val="43036368"/>
    <w:rsid w:val="44003D8B"/>
    <w:rsid w:val="44110F59"/>
    <w:rsid w:val="4427252A"/>
    <w:rsid w:val="44313414"/>
    <w:rsid w:val="448F69DC"/>
    <w:rsid w:val="44C15470"/>
    <w:rsid w:val="44C81A04"/>
    <w:rsid w:val="44CC6C2E"/>
    <w:rsid w:val="45091C30"/>
    <w:rsid w:val="4559563C"/>
    <w:rsid w:val="45604E55"/>
    <w:rsid w:val="460F1824"/>
    <w:rsid w:val="46102606"/>
    <w:rsid w:val="465A12E5"/>
    <w:rsid w:val="46660AC1"/>
    <w:rsid w:val="46A240EA"/>
    <w:rsid w:val="47385780"/>
    <w:rsid w:val="479559FD"/>
    <w:rsid w:val="47A0687C"/>
    <w:rsid w:val="47C87658"/>
    <w:rsid w:val="47FE6585"/>
    <w:rsid w:val="48471EC7"/>
    <w:rsid w:val="48934639"/>
    <w:rsid w:val="48CE3090"/>
    <w:rsid w:val="48D04F3E"/>
    <w:rsid w:val="48EC2987"/>
    <w:rsid w:val="48FD5F50"/>
    <w:rsid w:val="490948F4"/>
    <w:rsid w:val="4925366B"/>
    <w:rsid w:val="49423962"/>
    <w:rsid w:val="49557B3A"/>
    <w:rsid w:val="4A2F038B"/>
    <w:rsid w:val="4A7B0605"/>
    <w:rsid w:val="4AF65AC7"/>
    <w:rsid w:val="4B9D30D2"/>
    <w:rsid w:val="4BAB0C88"/>
    <w:rsid w:val="4BCD39B7"/>
    <w:rsid w:val="4BEA27BB"/>
    <w:rsid w:val="4C155372"/>
    <w:rsid w:val="4C184710"/>
    <w:rsid w:val="4C246542"/>
    <w:rsid w:val="4C7B1665"/>
    <w:rsid w:val="4CED476B"/>
    <w:rsid w:val="4CF3744D"/>
    <w:rsid w:val="4CFB4554"/>
    <w:rsid w:val="4D1F509E"/>
    <w:rsid w:val="4D3352D0"/>
    <w:rsid w:val="4D346DAF"/>
    <w:rsid w:val="4D360ADE"/>
    <w:rsid w:val="4D5E1113"/>
    <w:rsid w:val="4D8F5E30"/>
    <w:rsid w:val="4DE1374A"/>
    <w:rsid w:val="4DFA0CB0"/>
    <w:rsid w:val="4E070A5F"/>
    <w:rsid w:val="4E1543B0"/>
    <w:rsid w:val="4E157606"/>
    <w:rsid w:val="4E2E44B5"/>
    <w:rsid w:val="4E3841DC"/>
    <w:rsid w:val="4E7D15B4"/>
    <w:rsid w:val="4E956C6A"/>
    <w:rsid w:val="4F2C7509"/>
    <w:rsid w:val="4FB84A85"/>
    <w:rsid w:val="4FC86546"/>
    <w:rsid w:val="503E1E40"/>
    <w:rsid w:val="50CA45A4"/>
    <w:rsid w:val="512E475B"/>
    <w:rsid w:val="514566E6"/>
    <w:rsid w:val="5151508A"/>
    <w:rsid w:val="51877015"/>
    <w:rsid w:val="5188302A"/>
    <w:rsid w:val="51921A3F"/>
    <w:rsid w:val="51976F41"/>
    <w:rsid w:val="51A96E51"/>
    <w:rsid w:val="51E27A91"/>
    <w:rsid w:val="51F41765"/>
    <w:rsid w:val="521A547C"/>
    <w:rsid w:val="522F36E3"/>
    <w:rsid w:val="526C497B"/>
    <w:rsid w:val="529671F9"/>
    <w:rsid w:val="52A067CC"/>
    <w:rsid w:val="52CA29FF"/>
    <w:rsid w:val="53125585"/>
    <w:rsid w:val="534F670E"/>
    <w:rsid w:val="536707EC"/>
    <w:rsid w:val="536C61AE"/>
    <w:rsid w:val="53787B5A"/>
    <w:rsid w:val="53BF2BDD"/>
    <w:rsid w:val="53C71634"/>
    <w:rsid w:val="543B3965"/>
    <w:rsid w:val="54520EFE"/>
    <w:rsid w:val="54534C76"/>
    <w:rsid w:val="54750427"/>
    <w:rsid w:val="54B17E06"/>
    <w:rsid w:val="54C33BA9"/>
    <w:rsid w:val="552C5BF2"/>
    <w:rsid w:val="552F7BF3"/>
    <w:rsid w:val="55E714D8"/>
    <w:rsid w:val="567B1BC0"/>
    <w:rsid w:val="56835CE6"/>
    <w:rsid w:val="56FA61B6"/>
    <w:rsid w:val="57076DFB"/>
    <w:rsid w:val="57560D05"/>
    <w:rsid w:val="577C1475"/>
    <w:rsid w:val="57B41ECF"/>
    <w:rsid w:val="57C4498A"/>
    <w:rsid w:val="57F55F10"/>
    <w:rsid w:val="580746F5"/>
    <w:rsid w:val="5849381E"/>
    <w:rsid w:val="584A20D5"/>
    <w:rsid w:val="58E356F5"/>
    <w:rsid w:val="58E75B32"/>
    <w:rsid w:val="58EC332F"/>
    <w:rsid w:val="58F033DB"/>
    <w:rsid w:val="58F50014"/>
    <w:rsid w:val="591250FF"/>
    <w:rsid w:val="59246BC2"/>
    <w:rsid w:val="59710ED9"/>
    <w:rsid w:val="59881A57"/>
    <w:rsid w:val="599B147A"/>
    <w:rsid w:val="59D32AE1"/>
    <w:rsid w:val="5A2A62D7"/>
    <w:rsid w:val="5A3E3CD2"/>
    <w:rsid w:val="5A63196E"/>
    <w:rsid w:val="5A6F20DD"/>
    <w:rsid w:val="5B726F99"/>
    <w:rsid w:val="5B8816A9"/>
    <w:rsid w:val="5BC96AFE"/>
    <w:rsid w:val="5C3038D6"/>
    <w:rsid w:val="5C367357"/>
    <w:rsid w:val="5C577B00"/>
    <w:rsid w:val="5CDA5F34"/>
    <w:rsid w:val="5D582037"/>
    <w:rsid w:val="5D5977A1"/>
    <w:rsid w:val="5D60744A"/>
    <w:rsid w:val="5DDB57C3"/>
    <w:rsid w:val="5DE26DCB"/>
    <w:rsid w:val="5DE7421F"/>
    <w:rsid w:val="5DEE675B"/>
    <w:rsid w:val="5DFD0055"/>
    <w:rsid w:val="5E227B93"/>
    <w:rsid w:val="5E26485E"/>
    <w:rsid w:val="5EB016E9"/>
    <w:rsid w:val="5F28567D"/>
    <w:rsid w:val="5FA233F9"/>
    <w:rsid w:val="5FCB3D40"/>
    <w:rsid w:val="5FFB4413"/>
    <w:rsid w:val="60E37BC1"/>
    <w:rsid w:val="60E90E3C"/>
    <w:rsid w:val="60F7001D"/>
    <w:rsid w:val="60FB46CB"/>
    <w:rsid w:val="60FF640C"/>
    <w:rsid w:val="6109328C"/>
    <w:rsid w:val="617701F5"/>
    <w:rsid w:val="61842912"/>
    <w:rsid w:val="61A66D2D"/>
    <w:rsid w:val="61FF2DEE"/>
    <w:rsid w:val="620166DE"/>
    <w:rsid w:val="62764951"/>
    <w:rsid w:val="63052DAC"/>
    <w:rsid w:val="6309501A"/>
    <w:rsid w:val="630E06E5"/>
    <w:rsid w:val="63851126"/>
    <w:rsid w:val="6392134D"/>
    <w:rsid w:val="645B3DFE"/>
    <w:rsid w:val="64876FCA"/>
    <w:rsid w:val="64B82DFD"/>
    <w:rsid w:val="64C016F0"/>
    <w:rsid w:val="64C25C2B"/>
    <w:rsid w:val="64CA11AE"/>
    <w:rsid w:val="64EF4547"/>
    <w:rsid w:val="650077EB"/>
    <w:rsid w:val="650F4BE9"/>
    <w:rsid w:val="65F078E3"/>
    <w:rsid w:val="66060087"/>
    <w:rsid w:val="660D0F51"/>
    <w:rsid w:val="66393B0C"/>
    <w:rsid w:val="665A5DC5"/>
    <w:rsid w:val="66786475"/>
    <w:rsid w:val="669D6A02"/>
    <w:rsid w:val="66A23F66"/>
    <w:rsid w:val="66C14DEC"/>
    <w:rsid w:val="66CB4B3F"/>
    <w:rsid w:val="672E75A8"/>
    <w:rsid w:val="6787315C"/>
    <w:rsid w:val="67957627"/>
    <w:rsid w:val="67B92FFF"/>
    <w:rsid w:val="67D72A35"/>
    <w:rsid w:val="67E7176C"/>
    <w:rsid w:val="67F26828"/>
    <w:rsid w:val="67FC76A6"/>
    <w:rsid w:val="68273FF7"/>
    <w:rsid w:val="68297D70"/>
    <w:rsid w:val="686D4100"/>
    <w:rsid w:val="687234C5"/>
    <w:rsid w:val="6877439F"/>
    <w:rsid w:val="691A3F6F"/>
    <w:rsid w:val="697B284D"/>
    <w:rsid w:val="69A1722F"/>
    <w:rsid w:val="69A9560C"/>
    <w:rsid w:val="69DD3414"/>
    <w:rsid w:val="69E71C90"/>
    <w:rsid w:val="6A495551"/>
    <w:rsid w:val="6A8B6AC0"/>
    <w:rsid w:val="6ADA35A3"/>
    <w:rsid w:val="6AF64881"/>
    <w:rsid w:val="6B013226"/>
    <w:rsid w:val="6B415FEB"/>
    <w:rsid w:val="6B497971"/>
    <w:rsid w:val="6B642F9C"/>
    <w:rsid w:val="6B8310F6"/>
    <w:rsid w:val="6B916358"/>
    <w:rsid w:val="6BE57917"/>
    <w:rsid w:val="6C35676A"/>
    <w:rsid w:val="6C67530A"/>
    <w:rsid w:val="6D633D24"/>
    <w:rsid w:val="6D6830E8"/>
    <w:rsid w:val="6D853C9A"/>
    <w:rsid w:val="6DA570FE"/>
    <w:rsid w:val="6E0F17B6"/>
    <w:rsid w:val="6E453429"/>
    <w:rsid w:val="6E6F0B30"/>
    <w:rsid w:val="6EA840E4"/>
    <w:rsid w:val="6EFF182A"/>
    <w:rsid w:val="6F4638FD"/>
    <w:rsid w:val="6F9C01A8"/>
    <w:rsid w:val="6F9C5852"/>
    <w:rsid w:val="6FA36659"/>
    <w:rsid w:val="6FD97662"/>
    <w:rsid w:val="6FEB23DA"/>
    <w:rsid w:val="707B75D6"/>
    <w:rsid w:val="70C472FB"/>
    <w:rsid w:val="70D034A6"/>
    <w:rsid w:val="71170A63"/>
    <w:rsid w:val="711E19CD"/>
    <w:rsid w:val="713D7BBE"/>
    <w:rsid w:val="71427523"/>
    <w:rsid w:val="714455D8"/>
    <w:rsid w:val="71B20DD6"/>
    <w:rsid w:val="71EC32CB"/>
    <w:rsid w:val="72802C82"/>
    <w:rsid w:val="72FA6ED8"/>
    <w:rsid w:val="73223D39"/>
    <w:rsid w:val="732B729F"/>
    <w:rsid w:val="733C129F"/>
    <w:rsid w:val="73450346"/>
    <w:rsid w:val="73857529"/>
    <w:rsid w:val="73EB05CF"/>
    <w:rsid w:val="742D55DD"/>
    <w:rsid w:val="7447614D"/>
    <w:rsid w:val="746E1D09"/>
    <w:rsid w:val="747D44D4"/>
    <w:rsid w:val="74BA5BB7"/>
    <w:rsid w:val="75817BAD"/>
    <w:rsid w:val="75947170"/>
    <w:rsid w:val="759C7DD3"/>
    <w:rsid w:val="762878B8"/>
    <w:rsid w:val="76B15B00"/>
    <w:rsid w:val="76B43433"/>
    <w:rsid w:val="76C04405"/>
    <w:rsid w:val="76DF776C"/>
    <w:rsid w:val="76FD1BB0"/>
    <w:rsid w:val="77737259"/>
    <w:rsid w:val="779E3DFE"/>
    <w:rsid w:val="783B7D77"/>
    <w:rsid w:val="78626448"/>
    <w:rsid w:val="78AC7370"/>
    <w:rsid w:val="78C733B9"/>
    <w:rsid w:val="78D756FA"/>
    <w:rsid w:val="79346574"/>
    <w:rsid w:val="79396C17"/>
    <w:rsid w:val="797057FE"/>
    <w:rsid w:val="79725A1A"/>
    <w:rsid w:val="79891A1F"/>
    <w:rsid w:val="79E9620E"/>
    <w:rsid w:val="7A302E88"/>
    <w:rsid w:val="7A465F7C"/>
    <w:rsid w:val="7A770E0E"/>
    <w:rsid w:val="7A811C8D"/>
    <w:rsid w:val="7A9B2D4F"/>
    <w:rsid w:val="7AA53BCD"/>
    <w:rsid w:val="7AC5601E"/>
    <w:rsid w:val="7AF4420D"/>
    <w:rsid w:val="7B093673"/>
    <w:rsid w:val="7B0B2A79"/>
    <w:rsid w:val="7B1623D5"/>
    <w:rsid w:val="7B95154C"/>
    <w:rsid w:val="7BC6581E"/>
    <w:rsid w:val="7BD32739"/>
    <w:rsid w:val="7BE20509"/>
    <w:rsid w:val="7C1D7794"/>
    <w:rsid w:val="7C725D31"/>
    <w:rsid w:val="7C7C6041"/>
    <w:rsid w:val="7CE7227B"/>
    <w:rsid w:val="7D2012E9"/>
    <w:rsid w:val="7D384885"/>
    <w:rsid w:val="7D5800C9"/>
    <w:rsid w:val="7DCE51E9"/>
    <w:rsid w:val="7DF20527"/>
    <w:rsid w:val="7E16567E"/>
    <w:rsid w:val="7E5C350B"/>
    <w:rsid w:val="7E7010B8"/>
    <w:rsid w:val="7EB45D48"/>
    <w:rsid w:val="7EC550D4"/>
    <w:rsid w:val="7EE43CD7"/>
    <w:rsid w:val="7EFE1AFE"/>
    <w:rsid w:val="7F0445F8"/>
    <w:rsid w:val="7F0B7D77"/>
    <w:rsid w:val="7F203823"/>
    <w:rsid w:val="7F390D88"/>
    <w:rsid w:val="7F4A08A0"/>
    <w:rsid w:val="7F594F87"/>
    <w:rsid w:val="7FE03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keepLines/>
      <w:spacing w:line="360" w:lineRule="auto"/>
      <w:jc w:val="center"/>
      <w:outlineLvl w:val="0"/>
    </w:pPr>
    <w:rPr>
      <w:rFonts w:cs="Arial"/>
      <w:b/>
      <w:snapToGrid w:val="0"/>
      <w:color w:val="000000"/>
      <w:kern w:val="44"/>
      <w:sz w:val="32"/>
      <w:szCs w:val="21"/>
    </w:rPr>
  </w:style>
  <w:style w:type="paragraph" w:styleId="3">
    <w:name w:val="heading 2"/>
    <w:basedOn w:val="1"/>
    <w:next w:val="1"/>
    <w:semiHidden/>
    <w:unhideWhenUsed/>
    <w:qFormat/>
    <w:uiPriority w:val="0"/>
    <w:pPr>
      <w:keepNext/>
      <w:keepLines/>
      <w:tabs>
        <w:tab w:val="left" w:pos="575"/>
      </w:tabs>
      <w:adjustRightInd w:val="0"/>
      <w:spacing w:line="360" w:lineRule="auto"/>
      <w:jc w:val="center"/>
      <w:textAlignment w:val="baseline"/>
      <w:outlineLvl w:val="1"/>
    </w:pPr>
    <w:rPr>
      <w:b/>
      <w:snapToGrid w:val="0"/>
      <w:color w:val="000000"/>
      <w:sz w:val="30"/>
      <w:szCs w:val="24"/>
    </w:rPr>
  </w:style>
  <w:style w:type="paragraph" w:styleId="4">
    <w:name w:val="heading 3"/>
    <w:basedOn w:val="1"/>
    <w:next w:val="1"/>
    <w:link w:val="32"/>
    <w:semiHidden/>
    <w:unhideWhenUsed/>
    <w:qFormat/>
    <w:uiPriority w:val="0"/>
    <w:pPr>
      <w:keepNext/>
      <w:keepLines/>
      <w:spacing w:line="480" w:lineRule="auto"/>
      <w:jc w:val="center"/>
      <w:outlineLvl w:val="2"/>
    </w:pPr>
    <w:rPr>
      <w:b/>
    </w:rPr>
  </w:style>
  <w:style w:type="paragraph" w:styleId="5">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8">
    <w:name w:val="toa heading"/>
    <w:basedOn w:val="1"/>
    <w:next w:val="1"/>
    <w:qFormat/>
    <w:uiPriority w:val="0"/>
    <w:pPr>
      <w:spacing w:before="120"/>
    </w:pPr>
    <w:rPr>
      <w:rFonts w:ascii="Arial" w:hAnsi="Arial" w:cs="Arial"/>
      <w:sz w:val="24"/>
    </w:rPr>
  </w:style>
  <w:style w:type="paragraph" w:styleId="9">
    <w:name w:val="Body Text"/>
    <w:basedOn w:val="1"/>
    <w:next w:val="10"/>
    <w:qFormat/>
    <w:uiPriority w:val="0"/>
    <w:pPr>
      <w:spacing w:after="120"/>
    </w:pPr>
  </w:style>
  <w:style w:type="paragraph" w:styleId="10">
    <w:name w:val="toc 5"/>
    <w:basedOn w:val="1"/>
    <w:next w:val="1"/>
    <w:qFormat/>
    <w:uiPriority w:val="0"/>
    <w:pPr>
      <w:ind w:left="800"/>
    </w:pPr>
    <w:rPr>
      <w:sz w:val="18"/>
      <w:szCs w:val="18"/>
    </w:rPr>
  </w:style>
  <w:style w:type="paragraph" w:styleId="11">
    <w:name w:val="Body Text Indent"/>
    <w:basedOn w:val="1"/>
    <w:next w:val="12"/>
    <w:qFormat/>
    <w:uiPriority w:val="0"/>
    <w:pPr>
      <w:spacing w:after="120"/>
      <w:ind w:left="420" w:leftChars="200"/>
    </w:pPr>
  </w:style>
  <w:style w:type="paragraph" w:styleId="12">
    <w:name w:val="Body Text First Indent 2"/>
    <w:basedOn w:val="11"/>
    <w:next w:val="13"/>
    <w:qFormat/>
    <w:uiPriority w:val="0"/>
    <w:pPr>
      <w:ind w:firstLine="420" w:firstLineChars="200"/>
    </w:pPr>
  </w:style>
  <w:style w:type="paragraph" w:styleId="13">
    <w:name w:val="Body Text First Indent"/>
    <w:basedOn w:val="9"/>
    <w:qFormat/>
    <w:uiPriority w:val="0"/>
    <w:pPr>
      <w:ind w:firstLine="420" w:firstLineChars="100"/>
    </w:pPr>
    <w:rPr>
      <w:bCs/>
      <w:kern w:val="44"/>
      <w:sz w:val="52"/>
      <w:szCs w:val="44"/>
    </w:rPr>
  </w:style>
  <w:style w:type="paragraph" w:styleId="14">
    <w:name w:val="Plain Text"/>
    <w:basedOn w:val="1"/>
    <w:next w:val="1"/>
    <w:qFormat/>
    <w:uiPriority w:val="0"/>
    <w:rPr>
      <w:rFonts w:ascii="宋体" w:hAnsi="Courier New"/>
      <w:kern w:val="2"/>
      <w:sz w:val="24"/>
      <w:szCs w:val="24"/>
    </w:rPr>
  </w:style>
  <w:style w:type="paragraph" w:styleId="15">
    <w:name w:val="Date"/>
    <w:basedOn w:val="1"/>
    <w:next w:val="1"/>
    <w:qFormat/>
    <w:uiPriority w:val="0"/>
    <w:rPr>
      <w:sz w:val="24"/>
      <w:szCs w:val="22"/>
    </w:rPr>
  </w:style>
  <w:style w:type="paragraph" w:styleId="16">
    <w:name w:val="footer"/>
    <w:basedOn w:val="1"/>
    <w:qFormat/>
    <w:uiPriority w:val="0"/>
    <w:pPr>
      <w:tabs>
        <w:tab w:val="center" w:pos="4153"/>
        <w:tab w:val="right" w:pos="8306"/>
      </w:tabs>
      <w:snapToGrid w:val="0"/>
    </w:pPr>
    <w:rPr>
      <w:sz w:val="18"/>
      <w:szCs w:val="18"/>
    </w:rPr>
  </w:style>
  <w:style w:type="paragraph" w:styleId="17">
    <w:name w:val="envelope return"/>
    <w:basedOn w:val="1"/>
    <w:qFormat/>
    <w:uiPriority w:val="0"/>
    <w:pPr>
      <w:snapToGrid w:val="0"/>
    </w:pPr>
    <w:rPr>
      <w:rFonts w:ascii="Arial" w:hAnsi="Arial" w:eastAsia="宋体" w:cs="Times New Roman"/>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tabs>
        <w:tab w:val="right" w:leader="dot" w:pos="9402"/>
      </w:tabs>
      <w:spacing w:before="120" w:after="120" w:line="360" w:lineRule="auto"/>
    </w:pPr>
    <w:rPr>
      <w:b/>
      <w:bCs/>
      <w:caps/>
    </w:rPr>
  </w:style>
  <w:style w:type="paragraph" w:styleId="20">
    <w:name w:val="Subtitle"/>
    <w:basedOn w:val="1"/>
    <w:next w:val="1"/>
    <w:link w:val="41"/>
    <w:qFormat/>
    <w:uiPriority w:val="0"/>
    <w:pPr>
      <w:widowControl w:val="0"/>
      <w:spacing w:before="240" w:after="60" w:line="312" w:lineRule="auto"/>
      <w:jc w:val="center"/>
      <w:outlineLvl w:val="1"/>
    </w:pPr>
    <w:rPr>
      <w:rFonts w:ascii="Cambria" w:hAnsi="Cambria"/>
      <w:b/>
      <w:bCs/>
      <w:kern w:val="28"/>
      <w:sz w:val="32"/>
      <w:szCs w:val="32"/>
    </w:rPr>
  </w:style>
  <w:style w:type="paragraph" w:styleId="21">
    <w:name w:val="footnote text"/>
    <w:basedOn w:val="1"/>
    <w:qFormat/>
    <w:uiPriority w:val="0"/>
    <w:pPr>
      <w:widowControl w:val="0"/>
      <w:adjustRightInd w:val="0"/>
      <w:spacing w:line="312" w:lineRule="atLeast"/>
      <w:textAlignment w:val="baseline"/>
    </w:pPr>
    <w:rPr>
      <w:sz w:val="18"/>
    </w:rPr>
  </w:style>
  <w:style w:type="paragraph" w:styleId="22">
    <w:name w:val="Body Text Indent 3"/>
    <w:basedOn w:val="1"/>
    <w:qFormat/>
    <w:uiPriority w:val="0"/>
    <w:pPr>
      <w:overflowPunct w:val="0"/>
      <w:autoSpaceDE w:val="0"/>
      <w:autoSpaceDN w:val="0"/>
      <w:adjustRightInd w:val="0"/>
      <w:spacing w:line="360" w:lineRule="auto"/>
      <w:ind w:firstLine="540"/>
      <w:jc w:val="both"/>
      <w:textAlignment w:val="baseline"/>
    </w:pPr>
    <w:rPr>
      <w:rFonts w:ascii="宋体" w:hAnsi="MS Sans Serif"/>
      <w:color w:val="000000"/>
      <w:sz w:val="24"/>
    </w:rPr>
  </w:style>
  <w:style w:type="paragraph" w:styleId="23">
    <w:name w:val="toc 2"/>
    <w:basedOn w:val="1"/>
    <w:next w:val="1"/>
    <w:qFormat/>
    <w:uiPriority w:val="39"/>
    <w:pPr>
      <w:ind w:left="200"/>
    </w:pPr>
    <w:rPr>
      <w:smallCaps/>
    </w:rPr>
  </w:style>
  <w:style w:type="paragraph" w:styleId="24">
    <w:name w:val="Body Text 2"/>
    <w:basedOn w:val="1"/>
    <w:qFormat/>
    <w:uiPriority w:val="0"/>
    <w:pPr>
      <w:spacing w:after="120" w:line="480" w:lineRule="auto"/>
    </w:pPr>
  </w:style>
  <w:style w:type="paragraph" w:styleId="25">
    <w:name w:val="Normal (Web)"/>
    <w:basedOn w:val="1"/>
    <w:qFormat/>
    <w:uiPriority w:val="0"/>
    <w:pPr>
      <w:spacing w:before="100" w:beforeAutospacing="1" w:after="100" w:afterAutospacing="1"/>
    </w:pPr>
    <w:rPr>
      <w:rFonts w:ascii="宋体" w:hAnsi="宋体" w:cs="宋体"/>
      <w:sz w:val="24"/>
      <w:szCs w:val="24"/>
    </w:rPr>
  </w:style>
  <w:style w:type="paragraph" w:styleId="26">
    <w:name w:val="Title"/>
    <w:basedOn w:val="1"/>
    <w:next w:val="1"/>
    <w:qFormat/>
    <w:uiPriority w:val="0"/>
    <w:pPr>
      <w:widowControl w:val="0"/>
      <w:spacing w:before="240" w:after="60"/>
      <w:jc w:val="center"/>
      <w:outlineLvl w:val="0"/>
    </w:pPr>
    <w:rPr>
      <w:rFonts w:ascii="Cambria" w:hAnsi="Cambria"/>
      <w:b/>
      <w:bCs/>
      <w:kern w:val="2"/>
      <w:sz w:val="32"/>
      <w:szCs w:val="32"/>
    </w:rPr>
  </w:style>
  <w:style w:type="table" w:styleId="28">
    <w:name w:val="Table Grid"/>
    <w:basedOn w:val="27"/>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page number"/>
    <w:basedOn w:val="29"/>
    <w:qFormat/>
    <w:uiPriority w:val="0"/>
  </w:style>
  <w:style w:type="character" w:styleId="31">
    <w:name w:val="Hyperlink"/>
    <w:basedOn w:val="29"/>
    <w:qFormat/>
    <w:uiPriority w:val="99"/>
    <w:rPr>
      <w:rFonts w:hint="eastAsia" w:ascii="微软雅黑" w:hAnsi="微软雅黑" w:eastAsia="微软雅黑" w:cs="微软雅黑"/>
      <w:color w:val="428BCA"/>
      <w:u w:val="none"/>
    </w:rPr>
  </w:style>
  <w:style w:type="character" w:customStyle="1" w:styleId="32">
    <w:name w:val="标题 3 字符"/>
    <w:link w:val="4"/>
    <w:qFormat/>
    <w:uiPriority w:val="0"/>
    <w:rPr>
      <w:rFonts w:ascii="Times New Roman" w:hAnsi="Times New Roman" w:eastAsia="宋体"/>
      <w:b/>
      <w:sz w:val="24"/>
    </w:rPr>
  </w:style>
  <w:style w:type="paragraph" w:customStyle="1" w:styleId="33">
    <w:name w:val="无间隔3"/>
    <w:qFormat/>
    <w:uiPriority w:val="1"/>
    <w:pPr>
      <w:adjustRightInd w:val="0"/>
      <w:snapToGrid w:val="0"/>
    </w:pPr>
    <w:rPr>
      <w:rFonts w:ascii="Tahoma" w:hAnsi="Tahoma" w:eastAsia="微软雅黑" w:cs="Times New Roman"/>
      <w:sz w:val="22"/>
      <w:szCs w:val="22"/>
      <w:lang w:val="en-US" w:eastAsia="zh-CN" w:bidi="ar-SA"/>
    </w:rPr>
  </w:style>
  <w:style w:type="paragraph" w:customStyle="1" w:styleId="34">
    <w:name w:val="样式 标题 3 + (中文) 黑体 小四 非加粗 段前: 7.8 磅 段后: 0 磅 行距: 固定值 20 磅"/>
    <w:basedOn w:val="4"/>
    <w:qFormat/>
    <w:uiPriority w:val="0"/>
    <w:pPr>
      <w:widowControl w:val="0"/>
      <w:spacing w:line="400" w:lineRule="exact"/>
      <w:jc w:val="both"/>
    </w:pPr>
    <w:rPr>
      <w:rFonts w:eastAsia="黑体" w:cs="宋体"/>
      <w:b w:val="0"/>
      <w:kern w:val="2"/>
      <w:sz w:val="24"/>
    </w:rPr>
  </w:style>
  <w:style w:type="paragraph" w:customStyle="1" w:styleId="35">
    <w:name w:val="表格文字"/>
    <w:basedOn w:val="1"/>
    <w:qFormat/>
    <w:uiPriority w:val="0"/>
    <w:pPr>
      <w:widowControl w:val="0"/>
      <w:adjustRightInd w:val="0"/>
      <w:spacing w:line="420" w:lineRule="atLeast"/>
      <w:textAlignment w:val="baseline"/>
    </w:pPr>
    <w:rPr>
      <w:sz w:val="21"/>
    </w:rPr>
  </w:style>
  <w:style w:type="paragraph" w:customStyle="1" w:styleId="36">
    <w:name w:val="zhang"/>
    <w:basedOn w:val="1"/>
    <w:qFormat/>
    <w:uiPriority w:val="0"/>
    <w:pPr>
      <w:spacing w:before="100" w:beforeAutospacing="1" w:after="100" w:afterAutospacing="1"/>
    </w:pPr>
    <w:rPr>
      <w:b/>
      <w:bCs/>
      <w:smallCaps/>
      <w:color w:val="000000"/>
    </w:rPr>
  </w:style>
  <w:style w:type="paragraph" w:customStyle="1" w:styleId="37">
    <w:name w:val="TOC 标题2"/>
    <w:basedOn w:val="2"/>
    <w:next w:val="1"/>
    <w:qFormat/>
    <w:uiPriority w:val="0"/>
    <w:pPr>
      <w:widowControl w:val="0"/>
      <w:spacing w:line="576" w:lineRule="auto"/>
      <w:jc w:val="both"/>
      <w:outlineLvl w:val="9"/>
    </w:pPr>
    <w:rPr>
      <w:rFonts w:ascii="Calibri" w:hAnsi="Calibri"/>
    </w:rPr>
  </w:style>
  <w:style w:type="paragraph" w:customStyle="1" w:styleId="38">
    <w:name w:val="p0"/>
    <w:basedOn w:val="1"/>
    <w:qFormat/>
    <w:uiPriority w:val="0"/>
    <w:pPr>
      <w:jc w:val="both"/>
    </w:pPr>
    <w:rPr>
      <w:sz w:val="21"/>
    </w:rPr>
  </w:style>
  <w:style w:type="character" w:customStyle="1" w:styleId="39">
    <w:name w:val="15"/>
    <w:qFormat/>
    <w:uiPriority w:val="0"/>
    <w:rPr>
      <w:rFonts w:hint="default" w:ascii="Times New Roman" w:hAnsi="Times New Roman" w:cs="Times New Roman"/>
      <w:color w:val="464445"/>
      <w:u w:val="none"/>
    </w:rPr>
  </w:style>
  <w:style w:type="character" w:customStyle="1" w:styleId="40">
    <w:name w:val="标题 字符"/>
    <w:qFormat/>
    <w:uiPriority w:val="10"/>
    <w:rPr>
      <w:rFonts w:ascii="Arial" w:hAnsi="Arial"/>
      <w:b/>
      <w:sz w:val="32"/>
    </w:rPr>
  </w:style>
  <w:style w:type="character" w:customStyle="1" w:styleId="41">
    <w:name w:val="副标题 字符"/>
    <w:link w:val="20"/>
    <w:qFormat/>
    <w:uiPriority w:val="11"/>
    <w:rPr>
      <w:rFonts w:ascii="Cambria" w:hAnsi="Cambria"/>
      <w:b/>
      <w:bCs/>
      <w:kern w:val="28"/>
      <w:sz w:val="32"/>
      <w:szCs w:val="32"/>
    </w:rPr>
  </w:style>
  <w:style w:type="paragraph" w:styleId="42">
    <w:name w:val="List Paragraph"/>
    <w:basedOn w:val="1"/>
    <w:qFormat/>
    <w:uiPriority w:val="0"/>
    <w:pPr>
      <w:widowControl w:val="0"/>
      <w:ind w:firstLine="420" w:firstLineChars="200"/>
      <w:jc w:val="both"/>
    </w:pPr>
    <w:rPr>
      <w:rFonts w:ascii="Calibri" w:hAnsi="Calibri"/>
      <w:kern w:val="2"/>
      <w:sz w:val="21"/>
      <w:szCs w:val="22"/>
    </w:rPr>
  </w:style>
  <w:style w:type="character" w:customStyle="1" w:styleId="43">
    <w:name w:val="HTML Markup"/>
    <w:qFormat/>
    <w:uiPriority w:val="0"/>
    <w:rPr>
      <w:vanish/>
      <w:color w:val="FF0000"/>
    </w:rPr>
  </w:style>
  <w:style w:type="table" w:customStyle="1" w:styleId="44">
    <w:name w:val="Table Normal_0"/>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5">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46">
    <w:name w:val="Table Text"/>
    <w:basedOn w:val="1"/>
    <w:semiHidden/>
    <w:qFormat/>
    <w:uiPriority w:val="0"/>
    <w:rPr>
      <w:rFonts w:ascii="仿宋" w:hAnsi="仿宋" w:eastAsia="仿宋" w:cs="仿宋"/>
      <w:sz w:val="21"/>
      <w:szCs w:val="21"/>
      <w:lang w:eastAsia="en-US"/>
    </w:rPr>
  </w:style>
  <w:style w:type="table" w:customStyle="1" w:styleId="47">
    <w:name w:val="Table Normal"/>
    <w:semiHidden/>
    <w:unhideWhenUsed/>
    <w:qFormat/>
    <w:uiPriority w:val="0"/>
    <w:tblPr>
      <w:tblCellMar>
        <w:top w:w="0" w:type="dxa"/>
        <w:left w:w="0" w:type="dxa"/>
        <w:bottom w:w="0" w:type="dxa"/>
        <w:right w:w="0" w:type="dxa"/>
      </w:tblCellMar>
    </w:tblPr>
  </w:style>
  <w:style w:type="paragraph" w:customStyle="1" w:styleId="48">
    <w:name w:val="NormalIndent"/>
    <w:basedOn w:val="1"/>
    <w:qFormat/>
    <w:uiPriority w:val="0"/>
    <w:pPr>
      <w:ind w:firstLine="420" w:firstLineChars="200"/>
    </w:pPr>
    <w:rPr>
      <w:rFonts w:ascii="Calibri" w:hAnsi="Calibri"/>
    </w:rPr>
  </w:style>
  <w:style w:type="paragraph" w:customStyle="1" w:styleId="49">
    <w:name w:val="Table Paragraph"/>
    <w:basedOn w:val="1"/>
    <w:qFormat/>
    <w:uiPriority w:val="1"/>
  </w:style>
  <w:style w:type="paragraph" w:customStyle="1" w:styleId="50">
    <w:name w:val="正文2"/>
    <w:basedOn w:val="1"/>
    <w:qFormat/>
    <w:uiPriority w:val="0"/>
    <w:pPr>
      <w:adjustRightInd w:val="0"/>
      <w:spacing w:before="156" w:line="360" w:lineRule="auto"/>
      <w:ind w:firstLine="510" w:firstLineChars="200"/>
      <w:jc w:val="both"/>
    </w:pPr>
    <w:rPr>
      <w:rFonts w:asciiTheme="minorHAnsi" w:hAnsiTheme="minorHAnsi" w:cstheme="minorBidi"/>
      <w:kern w:val="2"/>
      <w:sz w:val="24"/>
    </w:rPr>
  </w:style>
  <w:style w:type="paragraph" w:customStyle="1" w:styleId="51">
    <w:name w:val="Body text|1"/>
    <w:basedOn w:val="1"/>
    <w:qFormat/>
    <w:uiPriority w:val="99"/>
    <w:pPr>
      <w:spacing w:line="480" w:lineRule="auto"/>
    </w:pPr>
    <w:rPr>
      <w:rFonts w:ascii="宋体" w:hAnsi="宋体" w:cs="宋体"/>
      <w:sz w:val="22"/>
      <w:szCs w:val="22"/>
      <w:lang w:val="zh-TW" w:eastAsia="zh-TW"/>
    </w:rPr>
  </w:style>
  <w:style w:type="paragraph" w:styleId="5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3">
    <w:name w:val="正文缩进1"/>
    <w:basedOn w:val="1"/>
    <w:next w:val="54"/>
    <w:qFormat/>
    <w:uiPriority w:val="99"/>
    <w:pPr>
      <w:spacing w:line="360" w:lineRule="auto"/>
      <w:ind w:firstLine="420"/>
    </w:pPr>
    <w:rPr>
      <w:sz w:val="24"/>
    </w:rPr>
  </w:style>
  <w:style w:type="paragraph" w:customStyle="1" w:styleId="54">
    <w:name w:val="Default"/>
    <w:unhideWhenUsed/>
    <w:qFormat/>
    <w:uiPriority w:val="99"/>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customStyle="1" w:styleId="55">
    <w:name w:val="列出段落1"/>
    <w:basedOn w:val="1"/>
    <w:qFormat/>
    <w:uiPriority w:val="34"/>
    <w:pPr>
      <w:autoSpaceDE/>
      <w:autoSpaceDN/>
      <w:adjustRightInd w:val="0"/>
      <w:spacing w:line="360" w:lineRule="auto"/>
      <w:ind w:firstLine="200" w:firstLineChars="200"/>
      <w:jc w:val="both"/>
    </w:pPr>
    <w:rPr>
      <w:rFonts w:ascii="Times New Roman" w:hAnsi="Times New Roman" w:eastAsia="楷体_GB2312" w:cs="Lucida Sans"/>
      <w:kern w:val="2"/>
      <w:sz w:val="24"/>
      <w:szCs w:val="24"/>
      <w:lang w:eastAsia="zh-CN"/>
    </w:rPr>
  </w:style>
  <w:style w:type="paragraph" w:customStyle="1" w:styleId="56">
    <w:name w:val="TOC 标题1"/>
    <w:basedOn w:val="2"/>
    <w:next w:val="1"/>
    <w:qFormat/>
    <w:uiPriority w:val="0"/>
    <w:pPr>
      <w:keepLines/>
      <w:widowControl w:val="0"/>
      <w:numPr>
        <w:ilvl w:val="0"/>
        <w:numId w:val="0"/>
      </w:numPr>
      <w:spacing w:before="340" w:after="330" w:line="576" w:lineRule="auto"/>
      <w:jc w:val="both"/>
      <w:outlineLvl w:val="9"/>
    </w:pPr>
    <w:rPr>
      <w:rFonts w:ascii="Calibri" w:hAnsi="Calibri" w:eastAsia="宋体"/>
      <w:bCs/>
      <w:kern w:val="44"/>
      <w:sz w:val="44"/>
      <w:szCs w:val="44"/>
    </w:rPr>
  </w:style>
  <w:style w:type="paragraph" w:customStyle="1" w:styleId="57">
    <w:name w:val="_Style 6"/>
    <w:basedOn w:val="2"/>
    <w:next w:val="1"/>
    <w:qFormat/>
    <w:uiPriority w:val="0"/>
    <w:pPr>
      <w:outlineLvl w:val="9"/>
    </w:pPr>
  </w:style>
</w:styles>
</file>

<file path=word/_rels/document.xml.rels><?xml version="1.0" encoding="UTF-8" standalone="yes"?>
<Relationships xmlns="http://schemas.openxmlformats.org/package/2006/relationships"><Relationship Id="rId90" Type="http://schemas.openxmlformats.org/officeDocument/2006/relationships/fontTable" Target="fontTable.xml"/><Relationship Id="rId9" Type="http://schemas.openxmlformats.org/officeDocument/2006/relationships/theme" Target="theme/theme1.xml"/><Relationship Id="rId89" Type="http://schemas.openxmlformats.org/officeDocument/2006/relationships/numbering" Target="numbering.xml"/><Relationship Id="rId88" Type="http://schemas.openxmlformats.org/officeDocument/2006/relationships/customXml" Target="../customXml/item1.xml"/><Relationship Id="rId87" Type="http://schemas.openxmlformats.org/officeDocument/2006/relationships/image" Target="media/image73.png"/><Relationship Id="rId86" Type="http://schemas.openxmlformats.org/officeDocument/2006/relationships/image" Target="media/image72.png"/><Relationship Id="rId85" Type="http://schemas.openxmlformats.org/officeDocument/2006/relationships/image" Target="media/image71.png"/><Relationship Id="rId84" Type="http://schemas.openxmlformats.org/officeDocument/2006/relationships/image" Target="media/image70.png"/><Relationship Id="rId83" Type="http://schemas.openxmlformats.org/officeDocument/2006/relationships/image" Target="media/image69.png"/><Relationship Id="rId82" Type="http://schemas.openxmlformats.org/officeDocument/2006/relationships/image" Target="media/image68.png"/><Relationship Id="rId81" Type="http://schemas.openxmlformats.org/officeDocument/2006/relationships/image" Target="media/image67.png"/><Relationship Id="rId80" Type="http://schemas.openxmlformats.org/officeDocument/2006/relationships/image" Target="media/image66.png"/><Relationship Id="rId8" Type="http://schemas.openxmlformats.org/officeDocument/2006/relationships/footer" Target="footer4.xml"/><Relationship Id="rId79" Type="http://schemas.openxmlformats.org/officeDocument/2006/relationships/image" Target="media/image65.png"/><Relationship Id="rId78" Type="http://schemas.openxmlformats.org/officeDocument/2006/relationships/image" Target="media/image64.png"/><Relationship Id="rId77" Type="http://schemas.openxmlformats.org/officeDocument/2006/relationships/image" Target="media/image63.png"/><Relationship Id="rId76" Type="http://schemas.openxmlformats.org/officeDocument/2006/relationships/image" Target="media/image62.png"/><Relationship Id="rId75" Type="http://schemas.openxmlformats.org/officeDocument/2006/relationships/image" Target="media/image61.png"/><Relationship Id="rId74" Type="http://schemas.openxmlformats.org/officeDocument/2006/relationships/image" Target="media/image60.png"/><Relationship Id="rId73" Type="http://schemas.openxmlformats.org/officeDocument/2006/relationships/image" Target="media/image59.png"/><Relationship Id="rId72" Type="http://schemas.openxmlformats.org/officeDocument/2006/relationships/image" Target="media/image58.png"/><Relationship Id="rId71" Type="http://schemas.openxmlformats.org/officeDocument/2006/relationships/image" Target="media/image57.png"/><Relationship Id="rId70" Type="http://schemas.openxmlformats.org/officeDocument/2006/relationships/image" Target="media/image56.png"/><Relationship Id="rId7" Type="http://schemas.openxmlformats.org/officeDocument/2006/relationships/header" Target="header2.xml"/><Relationship Id="rId69" Type="http://schemas.openxmlformats.org/officeDocument/2006/relationships/image" Target="media/image55.png"/><Relationship Id="rId68" Type="http://schemas.openxmlformats.org/officeDocument/2006/relationships/image" Target="media/image54.png"/><Relationship Id="rId67" Type="http://schemas.openxmlformats.org/officeDocument/2006/relationships/image" Target="media/image53.png"/><Relationship Id="rId66" Type="http://schemas.openxmlformats.org/officeDocument/2006/relationships/image" Target="media/image52.png"/><Relationship Id="rId65" Type="http://schemas.openxmlformats.org/officeDocument/2006/relationships/image" Target="media/image51.png"/><Relationship Id="rId64" Type="http://schemas.openxmlformats.org/officeDocument/2006/relationships/image" Target="media/image50.png"/><Relationship Id="rId63" Type="http://schemas.openxmlformats.org/officeDocument/2006/relationships/image" Target="media/image49.png"/><Relationship Id="rId62" Type="http://schemas.openxmlformats.org/officeDocument/2006/relationships/image" Target="media/image48.png"/><Relationship Id="rId61" Type="http://schemas.openxmlformats.org/officeDocument/2006/relationships/image" Target="media/image47.png"/><Relationship Id="rId60" Type="http://schemas.openxmlformats.org/officeDocument/2006/relationships/image" Target="media/image46.png"/><Relationship Id="rId6" Type="http://schemas.openxmlformats.org/officeDocument/2006/relationships/footer" Target="footer3.xml"/><Relationship Id="rId59" Type="http://schemas.openxmlformats.org/officeDocument/2006/relationships/image" Target="media/image45.png"/><Relationship Id="rId58" Type="http://schemas.openxmlformats.org/officeDocument/2006/relationships/image" Target="media/image44.png"/><Relationship Id="rId57" Type="http://schemas.openxmlformats.org/officeDocument/2006/relationships/image" Target="media/image43.png"/><Relationship Id="rId56" Type="http://schemas.openxmlformats.org/officeDocument/2006/relationships/image" Target="media/image42.png"/><Relationship Id="rId55" Type="http://schemas.openxmlformats.org/officeDocument/2006/relationships/image" Target="media/image41.pn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png"/><Relationship Id="rId50" Type="http://schemas.openxmlformats.org/officeDocument/2006/relationships/image" Target="media/image36.png"/><Relationship Id="rId5" Type="http://schemas.openxmlformats.org/officeDocument/2006/relationships/footer" Target="footer2.xml"/><Relationship Id="rId49" Type="http://schemas.openxmlformats.org/officeDocument/2006/relationships/image" Target="media/image35.png"/><Relationship Id="rId48" Type="http://schemas.openxmlformats.org/officeDocument/2006/relationships/image" Target="media/image34.png"/><Relationship Id="rId47" Type="http://schemas.openxmlformats.org/officeDocument/2006/relationships/image" Target="media/image33.png"/><Relationship Id="rId46" Type="http://schemas.openxmlformats.org/officeDocument/2006/relationships/image" Target="media/image32.pn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header" Target="header1.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er" Target="foot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AppData/Local/Temp/ksohtml/wps5E1C.tmp.png" TargetMode="External"/><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AppData/Local/Temp/ksohtml/wps5E1B.tmp.png" TargetMode="External"/><Relationship Id="rId17" Type="http://schemas.openxmlformats.org/officeDocument/2006/relationships/image" Target="media/image5.png"/><Relationship Id="rId16" Type="http://schemas.openxmlformats.org/officeDocument/2006/relationships/image" Target="../AppData/Local/Temp/ksohtml/wps5E0A.tmp.png" TargetMode="External"/><Relationship Id="rId15" Type="http://schemas.openxmlformats.org/officeDocument/2006/relationships/image" Target="media/image4.png"/><Relationship Id="rId14" Type="http://schemas.openxmlformats.org/officeDocument/2006/relationships/image" Target="../AppData/Local/Temp/ksohtml/wps5E09.tmp.png" TargetMode="External"/><Relationship Id="rId13" Type="http://schemas.openxmlformats.org/officeDocument/2006/relationships/image" Target="media/image3.png"/><Relationship Id="rId12" Type="http://schemas.openxmlformats.org/officeDocument/2006/relationships/image" Target="../AppData/Local/Temp/ksohtml/wps5E08.tmp.png" TargetMode="Externa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243</Pages>
  <Words>16947</Words>
  <Characters>18495</Characters>
  <Lines>240</Lines>
  <Paragraphs>67</Paragraphs>
  <TotalTime>1</TotalTime>
  <ScaleCrop>false</ScaleCrop>
  <LinksUpToDate>false</LinksUpToDate>
  <CharactersWithSpaces>18943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2024-09-02T08:59:00Z</dcterms:created>
  <dc:creator>二贰叁</dc:creator>
  <cp:lastModifiedBy>28143</cp:lastModifiedBy>
  <dcterms:modified xsi:type="dcterms:W3CDTF">2026-05-29T08:47:53Z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CC8B5AC3F8364C5482B6A810CE9026EE_13</vt:lpwstr>
  </property>
  <property fmtid="{D5CDD505-2E9C-101B-9397-08002B2CF9AE}" pid="4" name="KSOTemplateDocerSaveRecord">
    <vt:lpwstr>eyJoZGlkIjoiMWRmYTE1OWM3YzY4ODEzNTgxZjljMmE0NWVhNzNjN2EiLCJ1c2VySWQiOiI1MTY5MzE1NzcifQ==</vt:lpwstr>
  </property>
</Properties>
</file>