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607502">
      <w:pPr>
        <w:rPr>
          <w:rFonts w:hint="eastAsia"/>
          <w:lang w:val="en-US" w:eastAsia="zh-CN"/>
        </w:rPr>
      </w:pPr>
      <w:r>
        <w:rPr>
          <w:rFonts w:hint="eastAsia"/>
          <w:lang w:val="en-US" w:eastAsia="zh-CN"/>
        </w:rPr>
        <w:t>以下内容在一体化上为附件体现：</w:t>
      </w:r>
    </w:p>
    <w:p w14:paraId="3FFDFAAE">
      <w:r>
        <w:rPr>
          <w:rFonts w:hint="eastAsia"/>
          <w:lang w:val="en-US" w:eastAsia="zh-CN"/>
        </w:rPr>
        <w:t>包3：</w:t>
      </w:r>
    </w:p>
    <w:p w14:paraId="6383958E">
      <w:pPr>
        <w:jc w:val="center"/>
      </w:pPr>
      <w:r>
        <w:rPr>
          <w:rFonts w:hint="eastAsia"/>
        </w:rPr>
        <w:t>国产化教学电脑清单及功能参数</w:t>
      </w:r>
    </w:p>
    <w:p w14:paraId="0575B233"/>
    <w:p w14:paraId="06FC1D0A">
      <w:r>
        <w:rPr>
          <w:rFonts w:hint="eastAsia"/>
        </w:rPr>
        <w:t>★货物清单：</w:t>
      </w:r>
    </w:p>
    <w:tbl>
      <w:tblPr>
        <w:tblStyle w:val="3"/>
        <w:tblW w:w="4996" w:type="pct"/>
        <w:tblInd w:w="0" w:type="dxa"/>
        <w:tblLayout w:type="autofit"/>
        <w:tblCellMar>
          <w:top w:w="0" w:type="dxa"/>
          <w:left w:w="108" w:type="dxa"/>
          <w:bottom w:w="0" w:type="dxa"/>
          <w:right w:w="108" w:type="dxa"/>
        </w:tblCellMar>
      </w:tblPr>
      <w:tblGrid>
        <w:gridCol w:w="1219"/>
        <w:gridCol w:w="3776"/>
        <w:gridCol w:w="1227"/>
        <w:gridCol w:w="1227"/>
        <w:gridCol w:w="1403"/>
        <w:gridCol w:w="1403"/>
        <w:gridCol w:w="2680"/>
        <w:gridCol w:w="1228"/>
      </w:tblGrid>
      <w:tr w14:paraId="0C152B9E">
        <w:tblPrEx>
          <w:tblCellMar>
            <w:top w:w="0" w:type="dxa"/>
            <w:left w:w="108" w:type="dxa"/>
            <w:bottom w:w="0" w:type="dxa"/>
            <w:right w:w="108" w:type="dxa"/>
          </w:tblCellMar>
        </w:tblPrEx>
        <w:trPr>
          <w:trHeight w:val="322" w:hRule="atLeast"/>
        </w:trPr>
        <w:tc>
          <w:tcPr>
            <w:tcW w:w="430" w:type="pct"/>
            <w:tcBorders>
              <w:top w:val="single" w:color="000000" w:sz="8" w:space="0"/>
              <w:left w:val="single" w:color="000000" w:sz="8" w:space="0"/>
              <w:bottom w:val="nil"/>
              <w:right w:val="nil"/>
            </w:tcBorders>
            <w:shd w:val="clear" w:color="auto" w:fill="auto"/>
            <w:vAlign w:val="center"/>
          </w:tcPr>
          <w:p w14:paraId="0E365DB3">
            <w:r>
              <w:rPr>
                <w:rFonts w:hint="eastAsia"/>
              </w:rPr>
              <w:t>序号</w:t>
            </w:r>
          </w:p>
        </w:tc>
        <w:tc>
          <w:tcPr>
            <w:tcW w:w="1332" w:type="pct"/>
            <w:tcBorders>
              <w:top w:val="single" w:color="000000" w:sz="8" w:space="0"/>
              <w:left w:val="single" w:color="000000" w:sz="8" w:space="0"/>
              <w:bottom w:val="nil"/>
              <w:right w:val="nil"/>
            </w:tcBorders>
            <w:shd w:val="clear" w:color="auto" w:fill="auto"/>
            <w:vAlign w:val="center"/>
          </w:tcPr>
          <w:p w14:paraId="5F375F4C">
            <w:r>
              <w:rPr>
                <w:rFonts w:hint="eastAsia"/>
              </w:rPr>
              <w:t>名称</w:t>
            </w:r>
          </w:p>
        </w:tc>
        <w:tc>
          <w:tcPr>
            <w:tcW w:w="433" w:type="pct"/>
            <w:tcBorders>
              <w:top w:val="single" w:color="000000" w:sz="8" w:space="0"/>
              <w:left w:val="single" w:color="000000" w:sz="8" w:space="0"/>
              <w:bottom w:val="nil"/>
              <w:right w:val="nil"/>
            </w:tcBorders>
            <w:shd w:val="clear" w:color="auto" w:fill="auto"/>
            <w:vAlign w:val="center"/>
          </w:tcPr>
          <w:p w14:paraId="1499324E">
            <w:r>
              <w:rPr>
                <w:rFonts w:hint="eastAsia"/>
              </w:rPr>
              <w:t>数量</w:t>
            </w:r>
          </w:p>
        </w:tc>
        <w:tc>
          <w:tcPr>
            <w:tcW w:w="433" w:type="pct"/>
            <w:tcBorders>
              <w:top w:val="single" w:color="000000" w:sz="8" w:space="0"/>
              <w:left w:val="single" w:color="000000" w:sz="8" w:space="0"/>
              <w:bottom w:val="nil"/>
              <w:right w:val="nil"/>
            </w:tcBorders>
            <w:shd w:val="clear" w:color="auto" w:fill="auto"/>
            <w:vAlign w:val="center"/>
          </w:tcPr>
          <w:p w14:paraId="6DB590D0">
            <w:r>
              <w:rPr>
                <w:rFonts w:hint="eastAsia"/>
              </w:rPr>
              <w:t>单位</w:t>
            </w:r>
          </w:p>
        </w:tc>
        <w:tc>
          <w:tcPr>
            <w:tcW w:w="495" w:type="pct"/>
            <w:tcBorders>
              <w:top w:val="single" w:color="000000" w:sz="8" w:space="0"/>
              <w:left w:val="single" w:color="000000" w:sz="8" w:space="0"/>
              <w:bottom w:val="nil"/>
              <w:right w:val="nil"/>
            </w:tcBorders>
            <w:shd w:val="clear" w:color="auto" w:fill="auto"/>
            <w:vAlign w:val="center"/>
          </w:tcPr>
          <w:p w14:paraId="7554992A">
            <w:r>
              <w:rPr>
                <w:rFonts w:hint="eastAsia"/>
              </w:rPr>
              <w:t>所属行业</w:t>
            </w:r>
          </w:p>
        </w:tc>
        <w:tc>
          <w:tcPr>
            <w:tcW w:w="495" w:type="pct"/>
            <w:tcBorders>
              <w:top w:val="single" w:color="000000" w:sz="8" w:space="0"/>
              <w:left w:val="single" w:color="000000" w:sz="8" w:space="0"/>
              <w:bottom w:val="nil"/>
              <w:right w:val="nil"/>
            </w:tcBorders>
            <w:shd w:val="clear" w:color="auto" w:fill="auto"/>
            <w:vAlign w:val="center"/>
          </w:tcPr>
          <w:p w14:paraId="60C9CF31">
            <w:r>
              <w:rPr>
                <w:rFonts w:hint="eastAsia"/>
              </w:rPr>
              <w:t>单价最高限价（元）</w:t>
            </w:r>
          </w:p>
        </w:tc>
        <w:tc>
          <w:tcPr>
            <w:tcW w:w="945" w:type="pct"/>
            <w:tcBorders>
              <w:top w:val="single" w:color="000000" w:sz="8" w:space="0"/>
              <w:left w:val="single" w:color="000000" w:sz="8" w:space="0"/>
              <w:bottom w:val="nil"/>
              <w:right w:val="nil"/>
            </w:tcBorders>
            <w:shd w:val="clear" w:color="auto" w:fill="auto"/>
            <w:vAlign w:val="center"/>
          </w:tcPr>
          <w:p w14:paraId="759A7CF7">
            <w:r>
              <w:rPr>
                <w:rFonts w:hint="eastAsia"/>
              </w:rPr>
              <w:t>总价最高限价（元）</w:t>
            </w:r>
          </w:p>
        </w:tc>
        <w:tc>
          <w:tcPr>
            <w:tcW w:w="433" w:type="pct"/>
            <w:tcBorders>
              <w:top w:val="single" w:color="000000" w:sz="8" w:space="0"/>
              <w:left w:val="single" w:color="000000" w:sz="8" w:space="0"/>
              <w:bottom w:val="nil"/>
              <w:right w:val="single" w:color="000000" w:sz="8" w:space="0"/>
            </w:tcBorders>
            <w:shd w:val="clear" w:color="auto" w:fill="auto"/>
            <w:vAlign w:val="center"/>
          </w:tcPr>
          <w:p w14:paraId="6187D96E">
            <w:r>
              <w:rPr>
                <w:rFonts w:hint="eastAsia"/>
              </w:rPr>
              <w:t>备注</w:t>
            </w:r>
          </w:p>
        </w:tc>
      </w:tr>
      <w:tr w14:paraId="6CD350C8">
        <w:tblPrEx>
          <w:tblCellMar>
            <w:top w:w="0" w:type="dxa"/>
            <w:left w:w="108" w:type="dxa"/>
            <w:bottom w:w="0" w:type="dxa"/>
            <w:right w:w="108" w:type="dxa"/>
          </w:tblCellMar>
        </w:tblPrEx>
        <w:trPr>
          <w:trHeight w:val="322" w:hRule="atLeast"/>
        </w:trPr>
        <w:tc>
          <w:tcPr>
            <w:tcW w:w="430" w:type="pct"/>
            <w:tcBorders>
              <w:top w:val="single" w:color="000000" w:sz="8" w:space="0"/>
              <w:left w:val="single" w:color="000000" w:sz="8" w:space="0"/>
              <w:bottom w:val="nil"/>
              <w:right w:val="nil"/>
            </w:tcBorders>
            <w:shd w:val="clear" w:color="auto" w:fill="auto"/>
            <w:vAlign w:val="center"/>
          </w:tcPr>
          <w:p w14:paraId="3708816E">
            <w:r>
              <w:rPr>
                <w:rFonts w:hint="eastAsia"/>
              </w:rPr>
              <w:t>1</w:t>
            </w:r>
          </w:p>
        </w:tc>
        <w:tc>
          <w:tcPr>
            <w:tcW w:w="1332" w:type="pct"/>
            <w:tcBorders>
              <w:top w:val="single" w:color="000000" w:sz="8" w:space="0"/>
              <w:left w:val="single" w:color="000000" w:sz="8" w:space="0"/>
              <w:bottom w:val="nil"/>
              <w:right w:val="nil"/>
            </w:tcBorders>
            <w:shd w:val="clear" w:color="auto" w:fill="auto"/>
            <w:vAlign w:val="center"/>
          </w:tcPr>
          <w:p w14:paraId="0B34BC48">
            <w:r>
              <w:rPr>
                <w:rFonts w:hint="eastAsia"/>
              </w:rPr>
              <w:t>国产化教学电脑（学生机）</w:t>
            </w:r>
          </w:p>
        </w:tc>
        <w:tc>
          <w:tcPr>
            <w:tcW w:w="433" w:type="pct"/>
            <w:tcBorders>
              <w:top w:val="single" w:color="000000" w:sz="8" w:space="0"/>
              <w:left w:val="single" w:color="000000" w:sz="8" w:space="0"/>
              <w:bottom w:val="nil"/>
              <w:right w:val="nil"/>
            </w:tcBorders>
            <w:shd w:val="clear" w:color="auto" w:fill="auto"/>
            <w:vAlign w:val="center"/>
          </w:tcPr>
          <w:p w14:paraId="02267CCC">
            <w:pPr>
              <w:rPr>
                <w:rFonts w:hint="default" w:eastAsiaTheme="minorEastAsia"/>
                <w:lang w:val="en-US" w:eastAsia="zh-CN"/>
              </w:rPr>
            </w:pPr>
            <w:r>
              <w:rPr>
                <w:rFonts w:hint="eastAsia"/>
                <w:lang w:val="en-US" w:eastAsia="zh-CN"/>
              </w:rPr>
              <w:t>348</w:t>
            </w:r>
          </w:p>
        </w:tc>
        <w:tc>
          <w:tcPr>
            <w:tcW w:w="433" w:type="pct"/>
            <w:tcBorders>
              <w:top w:val="single" w:color="000000" w:sz="8" w:space="0"/>
              <w:left w:val="single" w:color="000000" w:sz="8" w:space="0"/>
              <w:bottom w:val="nil"/>
              <w:right w:val="nil"/>
            </w:tcBorders>
            <w:shd w:val="clear" w:color="auto" w:fill="auto"/>
            <w:vAlign w:val="center"/>
          </w:tcPr>
          <w:p w14:paraId="5D8F6A42">
            <w:r>
              <w:rPr>
                <w:rFonts w:hint="eastAsia"/>
              </w:rPr>
              <w:t>台</w:t>
            </w:r>
          </w:p>
        </w:tc>
        <w:tc>
          <w:tcPr>
            <w:tcW w:w="495" w:type="pct"/>
            <w:tcBorders>
              <w:top w:val="single" w:color="000000" w:sz="8" w:space="0"/>
              <w:left w:val="single" w:color="000000" w:sz="8" w:space="0"/>
              <w:bottom w:val="nil"/>
              <w:right w:val="nil"/>
            </w:tcBorders>
            <w:shd w:val="clear" w:color="auto" w:fill="auto"/>
            <w:vAlign w:val="center"/>
          </w:tcPr>
          <w:p w14:paraId="1CE7BC5B">
            <w:r>
              <w:rPr>
                <w:rFonts w:hint="eastAsia"/>
              </w:rPr>
              <w:t>工业</w:t>
            </w:r>
          </w:p>
        </w:tc>
        <w:tc>
          <w:tcPr>
            <w:tcW w:w="495" w:type="pct"/>
            <w:tcBorders>
              <w:top w:val="single" w:color="000000" w:sz="8" w:space="0"/>
              <w:left w:val="single" w:color="000000" w:sz="8" w:space="0"/>
              <w:bottom w:val="nil"/>
              <w:right w:val="nil"/>
            </w:tcBorders>
            <w:shd w:val="clear" w:color="auto" w:fill="auto"/>
            <w:vAlign w:val="center"/>
          </w:tcPr>
          <w:p w14:paraId="0D35FCCC">
            <w:pPr>
              <w:rPr>
                <w:rFonts w:hint="default" w:eastAsiaTheme="minorEastAsia"/>
                <w:lang w:val="en-US" w:eastAsia="zh-CN"/>
              </w:rPr>
            </w:pPr>
            <w:r>
              <w:rPr>
                <w:rFonts w:hint="eastAsia"/>
                <w:lang w:val="en-US" w:eastAsia="zh-CN"/>
              </w:rPr>
              <w:t>5960</w:t>
            </w:r>
          </w:p>
        </w:tc>
        <w:tc>
          <w:tcPr>
            <w:tcW w:w="945" w:type="pct"/>
            <w:tcBorders>
              <w:top w:val="single" w:color="000000" w:sz="8" w:space="0"/>
              <w:left w:val="single" w:color="000000" w:sz="8" w:space="0"/>
              <w:bottom w:val="nil"/>
              <w:right w:val="nil"/>
            </w:tcBorders>
            <w:shd w:val="clear" w:color="auto" w:fill="auto"/>
            <w:vAlign w:val="center"/>
          </w:tcPr>
          <w:p w14:paraId="2DD36A3B">
            <w:pPr>
              <w:rPr>
                <w:rFonts w:hint="default" w:eastAsiaTheme="minorEastAsia"/>
                <w:lang w:val="en-US" w:eastAsia="zh-CN"/>
              </w:rPr>
            </w:pPr>
            <w:r>
              <w:rPr>
                <w:rFonts w:hint="eastAsia"/>
                <w:lang w:val="en-US" w:eastAsia="zh-CN"/>
              </w:rPr>
              <w:t>2074080</w:t>
            </w:r>
          </w:p>
        </w:tc>
        <w:tc>
          <w:tcPr>
            <w:tcW w:w="433" w:type="pct"/>
            <w:tcBorders>
              <w:top w:val="single" w:color="000000" w:sz="8" w:space="0"/>
              <w:left w:val="single" w:color="000000" w:sz="8" w:space="0"/>
              <w:bottom w:val="nil"/>
              <w:right w:val="single" w:color="000000" w:sz="8" w:space="0"/>
            </w:tcBorders>
            <w:shd w:val="clear" w:color="auto" w:fill="auto"/>
            <w:vAlign w:val="center"/>
          </w:tcPr>
          <w:p w14:paraId="499DA5D8"/>
        </w:tc>
      </w:tr>
      <w:tr w14:paraId="446C134B">
        <w:tblPrEx>
          <w:tblCellMar>
            <w:top w:w="0" w:type="dxa"/>
            <w:left w:w="108" w:type="dxa"/>
            <w:bottom w:w="0" w:type="dxa"/>
            <w:right w:w="108" w:type="dxa"/>
          </w:tblCellMar>
        </w:tblPrEx>
        <w:trPr>
          <w:trHeight w:val="322" w:hRule="atLeast"/>
        </w:trPr>
        <w:tc>
          <w:tcPr>
            <w:tcW w:w="430" w:type="pct"/>
            <w:tcBorders>
              <w:top w:val="single" w:color="000000" w:sz="8" w:space="0"/>
              <w:left w:val="single" w:color="000000" w:sz="8" w:space="0"/>
              <w:bottom w:val="single" w:color="000000" w:sz="8" w:space="0"/>
              <w:right w:val="nil"/>
            </w:tcBorders>
            <w:shd w:val="clear" w:color="auto" w:fill="auto"/>
            <w:vAlign w:val="center"/>
          </w:tcPr>
          <w:p w14:paraId="63F6A452">
            <w:r>
              <w:rPr>
                <w:rFonts w:hint="eastAsia"/>
              </w:rPr>
              <w:t>合计</w:t>
            </w:r>
          </w:p>
        </w:tc>
        <w:tc>
          <w:tcPr>
            <w:tcW w:w="1332" w:type="pct"/>
            <w:tcBorders>
              <w:top w:val="single" w:color="000000" w:sz="8" w:space="0"/>
              <w:left w:val="single" w:color="000000" w:sz="8" w:space="0"/>
              <w:bottom w:val="single" w:color="000000" w:sz="8" w:space="0"/>
              <w:right w:val="nil"/>
            </w:tcBorders>
            <w:shd w:val="clear" w:color="auto" w:fill="auto"/>
            <w:vAlign w:val="center"/>
          </w:tcPr>
          <w:p w14:paraId="3ABD4EEA"/>
        </w:tc>
        <w:tc>
          <w:tcPr>
            <w:tcW w:w="433" w:type="pct"/>
            <w:tcBorders>
              <w:top w:val="single" w:color="000000" w:sz="8" w:space="0"/>
              <w:left w:val="single" w:color="000000" w:sz="8" w:space="0"/>
              <w:bottom w:val="single" w:color="000000" w:sz="8" w:space="0"/>
              <w:right w:val="nil"/>
            </w:tcBorders>
            <w:shd w:val="clear" w:color="auto" w:fill="auto"/>
            <w:vAlign w:val="center"/>
          </w:tcPr>
          <w:p w14:paraId="393F2C44"/>
        </w:tc>
        <w:tc>
          <w:tcPr>
            <w:tcW w:w="433" w:type="pct"/>
            <w:tcBorders>
              <w:top w:val="single" w:color="000000" w:sz="8" w:space="0"/>
              <w:left w:val="single" w:color="000000" w:sz="8" w:space="0"/>
              <w:bottom w:val="single" w:color="000000" w:sz="8" w:space="0"/>
              <w:right w:val="nil"/>
            </w:tcBorders>
            <w:shd w:val="clear" w:color="auto" w:fill="auto"/>
            <w:vAlign w:val="center"/>
          </w:tcPr>
          <w:p w14:paraId="6B43055F"/>
        </w:tc>
        <w:tc>
          <w:tcPr>
            <w:tcW w:w="495" w:type="pct"/>
            <w:tcBorders>
              <w:top w:val="single" w:color="000000" w:sz="8" w:space="0"/>
              <w:left w:val="single" w:color="000000" w:sz="8" w:space="0"/>
              <w:bottom w:val="single" w:color="000000" w:sz="8" w:space="0"/>
              <w:right w:val="nil"/>
            </w:tcBorders>
            <w:shd w:val="clear" w:color="auto" w:fill="auto"/>
            <w:vAlign w:val="center"/>
          </w:tcPr>
          <w:p w14:paraId="19957EC7"/>
        </w:tc>
        <w:tc>
          <w:tcPr>
            <w:tcW w:w="495" w:type="pct"/>
            <w:tcBorders>
              <w:top w:val="single" w:color="000000" w:sz="8" w:space="0"/>
              <w:left w:val="single" w:color="000000" w:sz="8" w:space="0"/>
              <w:bottom w:val="single" w:color="000000" w:sz="8" w:space="0"/>
              <w:right w:val="nil"/>
            </w:tcBorders>
            <w:shd w:val="clear" w:color="auto" w:fill="auto"/>
            <w:vAlign w:val="center"/>
          </w:tcPr>
          <w:p w14:paraId="2981795D"/>
        </w:tc>
        <w:tc>
          <w:tcPr>
            <w:tcW w:w="945" w:type="pct"/>
            <w:tcBorders>
              <w:top w:val="single" w:color="000000" w:sz="8" w:space="0"/>
              <w:left w:val="single" w:color="000000" w:sz="8" w:space="0"/>
              <w:bottom w:val="single" w:color="000000" w:sz="8" w:space="0"/>
              <w:right w:val="nil"/>
            </w:tcBorders>
            <w:shd w:val="clear" w:color="auto" w:fill="auto"/>
            <w:vAlign w:val="center"/>
          </w:tcPr>
          <w:p w14:paraId="47D53247">
            <w:pPr>
              <w:rPr>
                <w:rFonts w:hint="default" w:eastAsiaTheme="minorEastAsia"/>
                <w:lang w:val="en-US" w:eastAsia="zh-CN"/>
              </w:rPr>
            </w:pPr>
            <w:r>
              <w:rPr>
                <w:rFonts w:hint="eastAsia"/>
                <w:lang w:val="en-US" w:eastAsia="zh-CN"/>
              </w:rPr>
              <w:t>2074080</w:t>
            </w:r>
          </w:p>
        </w:tc>
        <w:tc>
          <w:tcPr>
            <w:tcW w:w="433"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046D3AE8"/>
        </w:tc>
      </w:tr>
    </w:tbl>
    <w:p w14:paraId="54582563"/>
    <w:p w14:paraId="6B617020">
      <w:r>
        <w:rPr>
          <w:rFonts w:hint="eastAsia"/>
        </w:rPr>
        <w:t>功能参数：</w:t>
      </w:r>
    </w:p>
    <w:tbl>
      <w:tblPr>
        <w:tblStyle w:val="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6"/>
        <w:gridCol w:w="737"/>
        <w:gridCol w:w="9396"/>
        <w:gridCol w:w="1020"/>
        <w:gridCol w:w="805"/>
        <w:gridCol w:w="1471"/>
      </w:tblGrid>
      <w:tr w14:paraId="2C577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vAlign w:val="center"/>
          </w:tcPr>
          <w:p w14:paraId="0653C061">
            <w:r>
              <w:rPr>
                <w:rFonts w:hint="eastAsia"/>
              </w:rPr>
              <w:t>序号</w:t>
            </w:r>
          </w:p>
        </w:tc>
        <w:tc>
          <w:tcPr>
            <w:tcW w:w="260" w:type="pct"/>
            <w:vAlign w:val="center"/>
          </w:tcPr>
          <w:p w14:paraId="14E91651">
            <w:r>
              <w:rPr>
                <w:rFonts w:hint="eastAsia"/>
              </w:rPr>
              <w:t>设备名称</w:t>
            </w:r>
          </w:p>
        </w:tc>
        <w:tc>
          <w:tcPr>
            <w:tcW w:w="3316" w:type="pct"/>
            <w:vAlign w:val="center"/>
          </w:tcPr>
          <w:p w14:paraId="58CAC3C4">
            <w:r>
              <w:rPr>
                <w:rFonts w:hint="eastAsia"/>
              </w:rPr>
              <w:t>技术参数</w:t>
            </w:r>
          </w:p>
        </w:tc>
        <w:tc>
          <w:tcPr>
            <w:tcW w:w="360" w:type="pct"/>
            <w:vAlign w:val="center"/>
          </w:tcPr>
          <w:p w14:paraId="6AF595AA">
            <w:r>
              <w:rPr>
                <w:rFonts w:hint="eastAsia"/>
              </w:rPr>
              <w:t>数量</w:t>
            </w:r>
          </w:p>
        </w:tc>
        <w:tc>
          <w:tcPr>
            <w:tcW w:w="284" w:type="pct"/>
            <w:vAlign w:val="center"/>
          </w:tcPr>
          <w:p w14:paraId="52D5C1C7">
            <w:r>
              <w:rPr>
                <w:rFonts w:hint="eastAsia"/>
              </w:rPr>
              <w:t>单位</w:t>
            </w:r>
          </w:p>
        </w:tc>
        <w:tc>
          <w:tcPr>
            <w:tcW w:w="519" w:type="pct"/>
            <w:vAlign w:val="center"/>
          </w:tcPr>
          <w:p w14:paraId="10DF175C">
            <w:r>
              <w:rPr>
                <w:rFonts w:hint="eastAsia"/>
              </w:rPr>
              <w:t>备注</w:t>
            </w:r>
          </w:p>
        </w:tc>
      </w:tr>
      <w:tr w14:paraId="7953B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vAlign w:val="center"/>
          </w:tcPr>
          <w:p w14:paraId="2CAD4E78">
            <w:r>
              <w:rPr>
                <w:rFonts w:hint="eastAsia"/>
              </w:rPr>
              <w:t>1</w:t>
            </w:r>
          </w:p>
        </w:tc>
        <w:tc>
          <w:tcPr>
            <w:tcW w:w="260" w:type="pct"/>
            <w:vAlign w:val="center"/>
          </w:tcPr>
          <w:p w14:paraId="54A0395B">
            <w:r>
              <w:rPr>
                <w:rFonts w:hint="eastAsia"/>
              </w:rPr>
              <w:t>国产化教学电脑（学生机）</w:t>
            </w:r>
          </w:p>
        </w:tc>
        <w:tc>
          <w:tcPr>
            <w:tcW w:w="3316" w:type="pct"/>
            <w:vAlign w:val="center"/>
          </w:tcPr>
          <w:p w14:paraId="1F6FDD54">
            <w:pPr>
              <w:rPr>
                <w:rFonts w:hint="eastAsia"/>
              </w:rPr>
            </w:pPr>
            <w:r>
              <w:rPr>
                <w:rFonts w:hint="eastAsia"/>
              </w:rPr>
              <w:t>一、硬件配置：</w:t>
            </w:r>
          </w:p>
          <w:p w14:paraId="1DF9D050">
            <w:pPr>
              <w:rPr>
                <w:rFonts w:hint="eastAsia"/>
              </w:rPr>
            </w:pPr>
            <w:r>
              <w:rPr>
                <w:rFonts w:hint="eastAsia"/>
              </w:rPr>
              <w:t>▲1、CPU：采用国产处理器，物理核心数≥8，线程数≥16，最高主频≥3.0GHz，末级缓存量≥16M，要求CPU型号列入中国信息安全测评中心发布的《安全可靠测评结果公告》中；（提供制造商彩页或白皮书或截图，并加盖投标人公章）</w:t>
            </w:r>
          </w:p>
          <w:p w14:paraId="15663193">
            <w:pPr>
              <w:rPr>
                <w:rFonts w:hint="eastAsia"/>
              </w:rPr>
            </w:pPr>
            <w:r>
              <w:rPr>
                <w:rFonts w:hint="eastAsia"/>
              </w:rPr>
              <w:t>▲2、内存：DDR4内存≥16GB，内存条配置数量≥1，读写速率≥3200MT/s；</w:t>
            </w:r>
          </w:p>
          <w:p w14:paraId="22A88BC7">
            <w:pPr>
              <w:rPr>
                <w:rFonts w:hint="eastAsia"/>
              </w:rPr>
            </w:pPr>
            <w:r>
              <w:rPr>
                <w:rFonts w:hint="eastAsia"/>
              </w:rPr>
              <w:t>▲3、存储：1块固态硬盘≥512GB；</w:t>
            </w:r>
          </w:p>
          <w:p w14:paraId="440A231B">
            <w:pPr>
              <w:rPr>
                <w:rFonts w:hint="eastAsia"/>
              </w:rPr>
            </w:pPr>
            <w:r>
              <w:rPr>
                <w:rFonts w:hint="eastAsia"/>
              </w:rPr>
              <w:t>4、显卡：独立显卡，显存≥2G，显存位宽≥64位，显卡可支持多屏同时显示数量：显卡应支持2块屏幕同时显示，分辨率应≥1920×1080；</w:t>
            </w:r>
          </w:p>
          <w:p w14:paraId="042CC25E">
            <w:pPr>
              <w:rPr>
                <w:rFonts w:hint="eastAsia"/>
              </w:rPr>
            </w:pPr>
            <w:r>
              <w:rPr>
                <w:rFonts w:hint="eastAsia"/>
              </w:rPr>
              <w:t>5、外设：配置1套有线键盘和鼠标。有线连接，线长≥1.5米；</w:t>
            </w:r>
          </w:p>
          <w:p w14:paraId="68E86A11">
            <w:pPr>
              <w:rPr>
                <w:rFonts w:hint="eastAsia"/>
              </w:rPr>
            </w:pPr>
            <w:r>
              <w:rPr>
                <w:rFonts w:hint="eastAsia"/>
              </w:rPr>
              <w:t>6、网卡：1块10/100M/1000M自适应有线网卡；</w:t>
            </w:r>
          </w:p>
          <w:p w14:paraId="09842C6D">
            <w:pPr>
              <w:rPr>
                <w:rFonts w:hint="eastAsia"/>
              </w:rPr>
            </w:pPr>
            <w:r>
              <w:rPr>
                <w:rFonts w:hint="eastAsia"/>
              </w:rPr>
              <w:t>7、接口：≥2个USB2.0接口，≥9个USB3.0接口，≥5个音频接口，≥1个VGA接口，≥1个HDMI接口；</w:t>
            </w:r>
          </w:p>
          <w:p w14:paraId="6A488D55">
            <w:pPr>
              <w:rPr>
                <w:rFonts w:hint="eastAsia"/>
              </w:rPr>
            </w:pPr>
            <w:r>
              <w:rPr>
                <w:rFonts w:hint="eastAsia"/>
              </w:rPr>
              <w:t>8、显示器：≥23.8英寸，分辨率≥1920×1080，显示屏屏占比≥88%，显示屏防蓝光：支持防蓝光模式，蓝光加权辐射亮度比应≤0.00037W/(·cd·sr)，显示屏低频闪应支持≤-35dB，示屏防炫目：显示屏镜面反射率≤10%；</w:t>
            </w:r>
          </w:p>
          <w:p w14:paraId="660E4FA0">
            <w:pPr>
              <w:rPr>
                <w:rFonts w:hint="eastAsia"/>
              </w:rPr>
            </w:pPr>
            <w:r>
              <w:rPr>
                <w:rFonts w:hint="eastAsia"/>
              </w:rPr>
              <w:t>9、服务要求：服务周期（含换件和维修）3年，预装正版操作系统和办公软件；配置的操作系统需列入中国信息安全测评中心发布的《安全可靠测评结果公告》中。</w:t>
            </w:r>
          </w:p>
          <w:p w14:paraId="6D10B62A">
            <w:pPr>
              <w:rPr>
                <w:rFonts w:hint="eastAsia"/>
              </w:rPr>
            </w:pPr>
            <w:r>
              <w:rPr>
                <w:rFonts w:hint="eastAsia"/>
              </w:rPr>
              <w:t>二、教学软件要求：</w:t>
            </w:r>
          </w:p>
          <w:p w14:paraId="6A3D47F1">
            <w:pPr>
              <w:rPr>
                <w:rFonts w:hint="eastAsia"/>
              </w:rPr>
            </w:pPr>
            <w:r>
              <w:rPr>
                <w:rFonts w:hint="eastAsia"/>
              </w:rPr>
              <w:t>1、预装正版教学管理软件，支持C/S架构，双方可实现全方位互动教学，涵盖演示、问答、作业收发、举手应全答场景互动，保障教学闭环；</w:t>
            </w:r>
          </w:p>
          <w:p w14:paraId="4DE5E495">
            <w:pPr>
              <w:rPr>
                <w:rFonts w:hint="eastAsia"/>
              </w:rPr>
            </w:pPr>
            <w:r>
              <w:rPr>
                <w:rFonts w:hint="eastAsia"/>
              </w:rPr>
              <w:t>2、教学软件采用流媒体技术，实现播放的视频同步广播到各端，且达到流畅无延时，支持常见的媒体音视频格式，Windows Media文件、VCD文件、DVD文件、Real文件、AVI文件、MP3 主流文件格式，支持 720p、1080p 的高清视频；</w:t>
            </w:r>
          </w:p>
          <w:p w14:paraId="0D77B22A">
            <w:pPr>
              <w:rPr>
                <w:rFonts w:hint="eastAsia"/>
              </w:rPr>
            </w:pPr>
            <w:r>
              <w:rPr>
                <w:rFonts w:hint="eastAsia"/>
              </w:rPr>
              <w:t>3、教学软件支持在教学业务的同时，支持终端管理，比如：禁网、终端参数配置、终端编号；</w:t>
            </w:r>
          </w:p>
          <w:p w14:paraId="706931A6">
            <w:pPr>
              <w:rPr>
                <w:rFonts w:hint="eastAsia"/>
              </w:rPr>
            </w:pPr>
            <w:r>
              <w:rPr>
                <w:rFonts w:hint="eastAsia"/>
              </w:rPr>
              <w:t>4、一键上下课：教学软件支持教师以一键操作方式快速进入教学环境，支持一键上课、一键下课功能，无需在课前进行其他配置。</w:t>
            </w:r>
          </w:p>
          <w:p w14:paraId="1E1AC932">
            <w:pPr>
              <w:rPr>
                <w:rFonts w:hint="eastAsia"/>
              </w:rPr>
            </w:pPr>
            <w:r>
              <w:rPr>
                <w:rFonts w:hint="eastAsia"/>
              </w:rPr>
              <w:t>5、▲策略视图管控：新增统一策略视图管控入口，整合浏览器、APP、U盘管控，可实现浏览器规则配置、APP运行管控及U盘接入权限设置，支持按班级、小组差异化管控，保障教学环境安全与纯净（提供具有国家认可的第三方检测机构出具的检测报告扫描件并加盖投标人公章）；</w:t>
            </w:r>
          </w:p>
          <w:p w14:paraId="7FB432FA">
            <w:pPr>
              <w:rPr>
                <w:rFonts w:hint="eastAsia"/>
              </w:rPr>
            </w:pPr>
            <w:r>
              <w:rPr>
                <w:rFonts w:hint="eastAsia"/>
              </w:rPr>
              <w:t>6、教学演示：支持将教师机屏幕跳过不经过学生虚拟机，直接推送至学生终端上,实时广播给单一、部分或全体学生，支持演示过程中临时暂停、重启推送，不仅提供更流畅的屏幕广播和学生演示效果，而且能够有效节省广播流量。</w:t>
            </w:r>
          </w:p>
          <w:p w14:paraId="590A3F97">
            <w:pPr>
              <w:rPr>
                <w:rFonts w:hint="eastAsia"/>
              </w:rPr>
            </w:pPr>
            <w:r>
              <w:rPr>
                <w:rFonts w:hint="eastAsia"/>
              </w:rPr>
              <w:t>7、桌面支持离线模式，即服务器宕机或网络故障时，教师端依然可以将教学演示画面直接推送至学生终端上，确保教学业务不中断等操作（投标时提供功能截图或产品说明书、白皮书、彩页；</w:t>
            </w:r>
          </w:p>
          <w:p w14:paraId="173530AD">
            <w:pPr>
              <w:rPr>
                <w:rFonts w:hint="eastAsia"/>
              </w:rPr>
            </w:pPr>
            <w:r>
              <w:rPr>
                <w:rFonts w:hint="eastAsia"/>
              </w:rPr>
              <w:t>8、▲远程控制：支持教师对学生一对一辅导，可直接操控学生机，帮助学生解疑、辅导学生教学，完成常规教学的个别化教学（提供具有国家认可的第三方检测机构出具的检测报告扫描件并加盖投标人公章）；</w:t>
            </w:r>
          </w:p>
          <w:p w14:paraId="0BAA025A">
            <w:pPr>
              <w:rPr>
                <w:rFonts w:hint="eastAsia"/>
              </w:rPr>
            </w:pPr>
            <w:r>
              <w:rPr>
                <w:rFonts w:hint="eastAsia"/>
              </w:rPr>
              <w:t>9、收发作业：由教师端和学生端的教学软件直接传输，无需占用本地网络资源，作业格式支持文件夹、任意格式的文件：</w:t>
            </w:r>
          </w:p>
          <w:p w14:paraId="025A104E">
            <w:pPr>
              <w:rPr>
                <w:rFonts w:hint="eastAsia"/>
              </w:rPr>
            </w:pPr>
            <w:r>
              <w:rPr>
                <w:rFonts w:hint="eastAsia"/>
              </w:rPr>
              <w:t>① 文件提交支持拖拽添加，文件分发和提交可添加不同目录下的文件或文件目录。</w:t>
            </w:r>
          </w:p>
          <w:p w14:paraId="4CBBB5DB">
            <w:pPr>
              <w:rPr>
                <w:rFonts w:hint="eastAsia"/>
              </w:rPr>
            </w:pPr>
            <w:r>
              <w:rPr>
                <w:rFonts w:hint="eastAsia"/>
              </w:rPr>
              <w:t>② 文件分发和提交支持教师和学生一次分发或提交多个文件夹或多个文件目录下的文件，并支持截屏作业提交。</w:t>
            </w:r>
          </w:p>
          <w:p w14:paraId="64047B20">
            <w:pPr>
              <w:rPr>
                <w:rFonts w:hint="eastAsia"/>
              </w:rPr>
            </w:pPr>
            <w:r>
              <w:rPr>
                <w:rFonts w:hint="eastAsia"/>
              </w:rPr>
              <w:t>③ 支持学生将完成的作业提交至教师机，方便教师批改要收取的麻烦。</w:t>
            </w:r>
          </w:p>
          <w:p w14:paraId="1446AE75">
            <w:pPr>
              <w:rPr>
                <w:rFonts w:hint="eastAsia"/>
              </w:rPr>
            </w:pPr>
            <w:r>
              <w:rPr>
                <w:rFonts w:hint="eastAsia"/>
              </w:rPr>
              <w:t>10、支持教师对单个、部分、全体学生进行发送文字通知类消息，可结合班级管理功能，按班级、小组精准推送通知。</w:t>
            </w:r>
          </w:p>
          <w:p w14:paraId="79968E05">
            <w:pPr>
              <w:rPr>
                <w:rFonts w:hint="eastAsia"/>
              </w:rPr>
            </w:pPr>
            <w:r>
              <w:rPr>
                <w:rFonts w:hint="eastAsia"/>
              </w:rPr>
              <w:t>11、学生签到：支持学生签到功能，保留学生的多次登录记录、考勤统计、签到信息的导出与对比。</w:t>
            </w:r>
          </w:p>
          <w:p w14:paraId="587CABE0">
            <w:pPr>
              <w:rPr>
                <w:rFonts w:hint="eastAsia"/>
              </w:rPr>
            </w:pPr>
            <w:r>
              <w:rPr>
                <w:rFonts w:hint="eastAsia"/>
              </w:rPr>
              <w:t>12、班级管理：支持教师创建多个班级，按照分配班级编号与学生对应座位编号，添加/移除班级学生，可按班级开展学生教学、分发作业、推送通知、统计考勤，简化多班级教学管理流程。</w:t>
            </w:r>
          </w:p>
          <w:p w14:paraId="3987AE89">
            <w:pPr>
              <w:rPr>
                <w:rFonts w:hint="eastAsia"/>
              </w:rPr>
            </w:pPr>
            <w:r>
              <w:rPr>
                <w:rFonts w:hint="eastAsia"/>
              </w:rPr>
              <w:t>▲13、屏幕监看：支持教师多方式实时监看学生屏幕，支持桌面大屏轮播功能，可配置轮播间隔、范围及模式，支持灵活控制轮播过程，保障轮播流畅无卡顿（提供具有国家认可的第三方检测机构出具的检测报告扫描件并加盖投标人公章）；</w:t>
            </w:r>
          </w:p>
          <w:p w14:paraId="28B8EAF2">
            <w:pPr>
              <w:rPr>
                <w:rFonts w:hint="eastAsia"/>
              </w:rPr>
            </w:pPr>
            <w:r>
              <w:rPr>
                <w:rFonts w:hint="eastAsia"/>
              </w:rPr>
              <w:t>14、联动唤醒和关机：支持通过教学管理软件的一键操作功能实现服务器的联动唤醒和关机，无需手动操作。</w:t>
            </w:r>
          </w:p>
          <w:p w14:paraId="2C321C74">
            <w:pPr>
              <w:rPr>
                <w:rFonts w:hint="eastAsia"/>
              </w:rPr>
            </w:pPr>
            <w:r>
              <w:rPr>
                <w:rFonts w:hint="eastAsia"/>
              </w:rPr>
              <w:t>▲15、一键清屏：支持教师远程一键清屏，可一键清除单一或全班学生端正在运行的应用程序和网页（提供具有国家认可的第三方检测机构出具的检测报告扫描件并加盖投标人公章）；</w:t>
            </w:r>
          </w:p>
          <w:p w14:paraId="1194799E">
            <w:pPr>
              <w:rPr>
                <w:rFonts w:hint="eastAsia"/>
              </w:rPr>
            </w:pPr>
            <w:r>
              <w:rPr>
                <w:rFonts w:hint="eastAsia"/>
              </w:rPr>
              <w:t>▲16、随堂小考：支持教师快速配置包含单选题、多选题、判断题等题型的随堂测试，可限定考试时间，提供全班答题、随机答题两种答题方式，支持全屏和窗口模式，学生答题后立即给出结果，结果显示学生答案可视化图形分析和答题时间，提供成绩统计和答题分析两个维度的分析数据（提供具有国家认可的第三方检测机构出具的检测报告扫描件并加盖投标人公章）；</w:t>
            </w:r>
          </w:p>
          <w:p w14:paraId="0693C28A">
            <w:pPr>
              <w:rPr>
                <w:rFonts w:hint="eastAsia"/>
              </w:rPr>
            </w:pPr>
            <w:r>
              <w:rPr>
                <w:rFonts w:hint="eastAsia"/>
              </w:rPr>
              <w:t>▲17、标准化考试：支持教师导入word、ppt、excel、pdf类型文档，生成答题卡用于学生作答，至少包含单选题、多选题、判断题和填空题；可限定考试时间，提供全班答题、随机答题两种答题方式，支持全屏和窗口模式；可实时查看学生答题的进度、答题情况；学生提交答题卡后，系统自动评分，支持可视化图形分析统计结果（提供具有国家认可的第三方检测机构出具的检测报告扫描件并加盖投标人公章）；</w:t>
            </w:r>
          </w:p>
          <w:p w14:paraId="67F1D06E">
            <w:pPr>
              <w:rPr>
                <w:rFonts w:hint="eastAsia"/>
              </w:rPr>
            </w:pPr>
            <w:r>
              <w:rPr>
                <w:rFonts w:hint="eastAsia"/>
              </w:rPr>
              <w:t>18、请求帮助：学生端遇到问题可通过电子举手请求教师帮助，教师通过远程控制功能一对一操控学生终端，协助解决问题、开展辅导，落实个别化教学要求，同时可记录帮助记录，便于后续追溯，帮助学生解决问题。</w:t>
            </w:r>
          </w:p>
          <w:p w14:paraId="3163073B">
            <w:pPr>
              <w:rPr>
                <w:rFonts w:hint="eastAsia"/>
              </w:rPr>
            </w:pPr>
            <w:r>
              <w:rPr>
                <w:rFonts w:hint="eastAsia"/>
              </w:rPr>
              <w:t>三、AI软件</w:t>
            </w:r>
          </w:p>
          <w:p w14:paraId="7775EB2C">
            <w:pPr>
              <w:rPr>
                <w:rFonts w:hint="eastAsia"/>
              </w:rPr>
            </w:pPr>
            <w:r>
              <w:rPr>
                <w:rFonts w:hint="eastAsia"/>
              </w:rPr>
              <w:t>一、智能搜索</w:t>
            </w:r>
          </w:p>
          <w:p w14:paraId="12EFC6BA">
            <w:pPr>
              <w:rPr>
                <w:rFonts w:hint="eastAsia"/>
              </w:rPr>
            </w:pPr>
            <w:r>
              <w:rPr>
                <w:rFonts w:hint="eastAsia"/>
              </w:rPr>
              <w:t>1.支持文字和语音输入方式进行搜索；</w:t>
            </w:r>
          </w:p>
          <w:p w14:paraId="5D5BFAF5">
            <w:pPr>
              <w:rPr>
                <w:rFonts w:hint="eastAsia"/>
              </w:rPr>
            </w:pPr>
            <w:r>
              <w:rPr>
                <w:rFonts w:hint="eastAsia"/>
              </w:rPr>
              <w:t>2.支持本地文件模糊搜索，精准定位文件位置；</w:t>
            </w:r>
          </w:p>
          <w:p w14:paraId="1362C283">
            <w:pPr>
              <w:rPr>
                <w:rFonts w:hint="eastAsia"/>
              </w:rPr>
            </w:pPr>
            <w:r>
              <w:rPr>
                <w:rFonts w:hint="eastAsia"/>
              </w:rPr>
              <w:t>3.支持本地软件应用快速检索；</w:t>
            </w:r>
          </w:p>
          <w:p w14:paraId="0EBAA7E0">
            <w:pPr>
              <w:rPr>
                <w:rFonts w:hint="eastAsia"/>
              </w:rPr>
            </w:pPr>
            <w:r>
              <w:rPr>
                <w:rFonts w:hint="eastAsia"/>
              </w:rPr>
              <w:t>4.支持联网搜索，支持溯源联网搜索的内容。</w:t>
            </w:r>
          </w:p>
          <w:p w14:paraId="57437C70">
            <w:pPr>
              <w:rPr>
                <w:rFonts w:hint="eastAsia"/>
              </w:rPr>
            </w:pPr>
            <w:r>
              <w:rPr>
                <w:rFonts w:hint="eastAsia"/>
              </w:rPr>
              <w:t>二、智能写作</w:t>
            </w:r>
          </w:p>
          <w:p w14:paraId="35B853B9">
            <w:pPr>
              <w:rPr>
                <w:rFonts w:hint="eastAsia"/>
              </w:rPr>
            </w:pPr>
            <w:r>
              <w:rPr>
                <w:rFonts w:hint="eastAsia"/>
              </w:rPr>
              <w:t>1.支持大模型智能写作；系统智能生成大纲摘要；支持用户在大纲摘要中自由添加、删除章节并生成正文；支持用户在正文中查看编写思路和参考来源。</w:t>
            </w:r>
          </w:p>
          <w:p w14:paraId="4E88AEC8">
            <w:r>
              <w:rPr>
                <w:rFonts w:hint="eastAsia"/>
              </w:rPr>
              <w:t>▲2.支持依托大语言模型、交互式对话，提供文档内容的智能化生成、编辑，能够生成文档并导出。（须在投标文件中供具有国家认可的第三方检测机构出具的检测（检验）报告扫描件并加盖投标人公章）</w:t>
            </w:r>
          </w:p>
        </w:tc>
        <w:tc>
          <w:tcPr>
            <w:tcW w:w="360" w:type="pct"/>
            <w:vAlign w:val="center"/>
          </w:tcPr>
          <w:p w14:paraId="389DF2BF">
            <w:pPr>
              <w:rPr>
                <w:rFonts w:hint="default" w:eastAsiaTheme="minorEastAsia"/>
                <w:lang w:val="en-US" w:eastAsia="zh-CN"/>
              </w:rPr>
            </w:pPr>
            <w:r>
              <w:rPr>
                <w:rFonts w:hint="eastAsia"/>
                <w:lang w:val="en-US" w:eastAsia="zh-CN"/>
              </w:rPr>
              <w:t>348</w:t>
            </w:r>
            <w:bookmarkStart w:id="0" w:name="_GoBack"/>
            <w:bookmarkEnd w:id="0"/>
          </w:p>
        </w:tc>
        <w:tc>
          <w:tcPr>
            <w:tcW w:w="284" w:type="pct"/>
            <w:vAlign w:val="center"/>
          </w:tcPr>
          <w:p w14:paraId="175089AB">
            <w:r>
              <w:rPr>
                <w:rFonts w:hint="eastAsia"/>
              </w:rPr>
              <w:t>台</w:t>
            </w:r>
          </w:p>
        </w:tc>
        <w:tc>
          <w:tcPr>
            <w:tcW w:w="519" w:type="pct"/>
            <w:vAlign w:val="center"/>
          </w:tcPr>
          <w:p w14:paraId="31D17430"/>
        </w:tc>
      </w:tr>
    </w:tbl>
    <w:p w14:paraId="15D1D6F5"/>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DF41CB"/>
    <w:multiLevelType w:val="multilevel"/>
    <w:tmpl w:val="20DF41CB"/>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8"/>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
    <w:nsid w:val="30942FA6"/>
    <w:multiLevelType w:val="singleLevel"/>
    <w:tmpl w:val="30942FA6"/>
    <w:lvl w:ilvl="0" w:tentative="0">
      <w:start w:val="1"/>
      <w:numFmt w:val="decimal"/>
      <w:pStyle w:val="11"/>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6D0FA0"/>
    <w:rsid w:val="023625B0"/>
    <w:rsid w:val="6A365B98"/>
    <w:rsid w:val="746D0F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6">
    <w:name w:val="font11"/>
    <w:basedOn w:val="5"/>
    <w:qFormat/>
    <w:uiPriority w:val="0"/>
    <w:rPr>
      <w:rFonts w:hint="eastAsia" w:ascii="宋体" w:hAnsi="宋体" w:eastAsia="宋体"/>
      <w:color w:val="000000"/>
      <w:sz w:val="20"/>
      <w:szCs w:val="20"/>
      <w:u w:val="none"/>
    </w:rPr>
  </w:style>
  <w:style w:type="character" w:customStyle="1" w:styleId="7">
    <w:name w:val="font31"/>
    <w:basedOn w:val="5"/>
    <w:qFormat/>
    <w:uiPriority w:val="0"/>
    <w:rPr>
      <w:rFonts w:hint="eastAsia" w:ascii="宋体" w:hAnsi="宋体" w:eastAsia="宋体"/>
      <w:color w:val="000000"/>
      <w:sz w:val="20"/>
      <w:szCs w:val="20"/>
      <w:u w:val="none"/>
    </w:rPr>
  </w:style>
  <w:style w:type="paragraph" w:customStyle="1" w:styleId="8">
    <w:name w:val="标题 5（有编号）（绿盟科技）"/>
    <w:basedOn w:val="9"/>
    <w:next w:val="12"/>
    <w:qFormat/>
    <w:uiPriority w:val="0"/>
    <w:pPr>
      <w:keepNext/>
      <w:keepLines/>
      <w:numPr>
        <w:ilvl w:val="4"/>
        <w:numId w:val="1"/>
      </w:numPr>
      <w:spacing w:before="280" w:after="156" w:line="377" w:lineRule="auto"/>
      <w:jc w:val="left"/>
      <w:outlineLvl w:val="4"/>
    </w:pPr>
    <w:rPr>
      <w:rFonts w:ascii="Arial" w:hAnsi="Arial" w:eastAsia="黑体"/>
      <w:b/>
      <w:kern w:val="0"/>
      <w:sz w:val="24"/>
      <w:szCs w:val="28"/>
    </w:rPr>
  </w:style>
  <w:style w:type="paragraph" w:customStyle="1" w:styleId="9">
    <w:name w:val="正文1"/>
    <w:next w:val="10"/>
    <w:qFormat/>
    <w:uiPriority w:val="0"/>
    <w:pPr>
      <w:widowControl w:val="0"/>
      <w:jc w:val="both"/>
    </w:pPr>
    <w:rPr>
      <w:rFonts w:ascii="Calibri" w:hAnsi="Calibri" w:eastAsia="宋体" w:cs="黑体"/>
      <w:kern w:val="2"/>
      <w:sz w:val="21"/>
      <w:szCs w:val="22"/>
      <w:lang w:val="en-US" w:eastAsia="zh-CN" w:bidi="ar-SA"/>
    </w:rPr>
  </w:style>
  <w:style w:type="paragraph" w:customStyle="1" w:styleId="10">
    <w:name w:val="正文文本1"/>
    <w:basedOn w:val="11"/>
    <w:next w:val="9"/>
    <w:qFormat/>
    <w:uiPriority w:val="0"/>
    <w:pPr>
      <w:spacing w:afterLines="50"/>
    </w:pPr>
  </w:style>
  <w:style w:type="paragraph" w:customStyle="1" w:styleId="11">
    <w:name w:val="表格内1"/>
    <w:next w:val="10"/>
    <w:qFormat/>
    <w:uiPriority w:val="0"/>
    <w:pPr>
      <w:widowControl w:val="0"/>
      <w:numPr>
        <w:ilvl w:val="0"/>
        <w:numId w:val="2"/>
      </w:numPr>
      <w:jc w:val="both"/>
    </w:pPr>
    <w:rPr>
      <w:rFonts w:ascii="Calibri" w:hAnsi="Calibri" w:eastAsia="宋体" w:cs="黑体"/>
      <w:b/>
      <w:kern w:val="2"/>
      <w:sz w:val="21"/>
      <w:szCs w:val="22"/>
      <w:lang w:val="en-US" w:eastAsia="zh-CN" w:bidi="ar-SA"/>
    </w:rPr>
  </w:style>
  <w:style w:type="paragraph" w:customStyle="1" w:styleId="12">
    <w:name w:val="正文（绿盟科技）"/>
    <w:basedOn w:val="1"/>
    <w:qFormat/>
    <w:uiPriority w:val="0"/>
    <w:pPr>
      <w:spacing w:line="300" w:lineRule="auto"/>
      <w:jc w:val="left"/>
    </w:pPr>
    <w:rPr>
      <w:rFonts w:ascii="Arial" w:hAnsi="Arial" w:cs="黑体"/>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11278</Words>
  <Characters>11973</Characters>
  <Lines>0</Lines>
  <Paragraphs>0</Paragraphs>
  <TotalTime>8</TotalTime>
  <ScaleCrop>false</ScaleCrop>
  <LinksUpToDate>false</LinksUpToDate>
  <CharactersWithSpaces>12042</CharactersWithSpaces>
  <Application>WPS Office_12.1.0.26391_F1E327BC-269C-435d-A152-05C5408002CA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2026-07-23T04:03:00Z</dcterms:created>
  <dc:creator>hu</dc:creator>
  <cp:lastModifiedBy>欢</cp:lastModifiedBy>
  <dcterms:modified xsi:type="dcterms:W3CDTF">2026-07-23T09:42:34Z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ICV">
    <vt:lpwstr>A69A89FC7A2A4D9D9407C3C9E35FF224_13</vt:lpwstr>
  </property>
  <property fmtid="{D5CDD505-2E9C-101B-9397-08002B2CF9AE}" pid="4" name="KSOTemplateDocerSaveRecord">
    <vt:lpwstr>eyJoZGlkIjoiODUxYWNkNjliOWE2YjEyNzQwMjgzOWIzMzZhNjE2Y2QiLCJ1c2VySWQiOiIzMDU4ODEwNzYifQ==</vt:lpwstr>
  </property>
</Properties>
</file>