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>
      <w:pPr>
        <w:pStyle w:val="4"/>
        <w:jc w:val="left"/>
      </w:pPr>
      <w:bookmarkStart w:id="0" w:name="OLE_LINK1"/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16,670,000.00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16,670,000.00</w:t>
      </w:r>
    </w:p>
    <w:bookmarkEnd w:id="0"/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1116"/>
        <w:gridCol w:w="649"/>
        <w:gridCol w:w="1116"/>
        <w:gridCol w:w="1516"/>
        <w:gridCol w:w="649"/>
        <w:gridCol w:w="649"/>
        <w:gridCol w:w="649"/>
        <w:gridCol w:w="649"/>
        <w:gridCol w:w="545"/>
        <w:gridCol w:w="545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18,522.00（套）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16,670,000.00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bookmarkStart w:id="1" w:name="OLE_LINK2"/>
      <w:r>
        <w:rPr>
          <w:rFonts w:ascii="仿宋_GB2312" w:hAnsi="仿宋_GB2312" w:eastAsia="仿宋_GB2312" w:cs="仿宋_GB2312"/>
        </w:rPr>
        <w:t>采购包2：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14,700,000.00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14,700,000.00</w:t>
      </w:r>
    </w:p>
    <w:bookmarkEnd w:id="1"/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1116"/>
        <w:gridCol w:w="649"/>
        <w:gridCol w:w="1116"/>
        <w:gridCol w:w="1516"/>
        <w:gridCol w:w="649"/>
        <w:gridCol w:w="649"/>
        <w:gridCol w:w="649"/>
        <w:gridCol w:w="649"/>
        <w:gridCol w:w="545"/>
        <w:gridCol w:w="545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16,520.00（套）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14,700,000.00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bookmarkStart w:id="2" w:name="OLE_LINK3"/>
      <w:r>
        <w:rPr>
          <w:rFonts w:ascii="仿宋_GB2312" w:hAnsi="仿宋_GB2312" w:eastAsia="仿宋_GB2312" w:cs="仿宋_GB2312"/>
        </w:rPr>
        <w:t>采购包3：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11,480,000.00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11,480,000.00</w:t>
      </w:r>
    </w:p>
    <w:bookmarkEnd w:id="2"/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1116"/>
        <w:gridCol w:w="649"/>
        <w:gridCol w:w="1116"/>
        <w:gridCol w:w="1516"/>
        <w:gridCol w:w="649"/>
        <w:gridCol w:w="649"/>
        <w:gridCol w:w="649"/>
        <w:gridCol w:w="649"/>
        <w:gridCol w:w="545"/>
        <w:gridCol w:w="545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14,000.00（套）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11,480,000.00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bookmarkStart w:id="3" w:name="OLE_LINK4"/>
      <w:bookmarkStart w:id="4" w:name="_GoBack"/>
      <w:r>
        <w:rPr>
          <w:rFonts w:ascii="仿宋_GB2312" w:hAnsi="仿宋_GB2312" w:eastAsia="仿宋_GB2312" w:cs="仿宋_GB2312"/>
        </w:rPr>
        <w:t>采购包4：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3,170,000.00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3,170,000.00</w:t>
      </w:r>
      <w:bookmarkEnd w:id="4"/>
    </w:p>
    <w:bookmarkEnd w:id="3"/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"/>
        <w:gridCol w:w="1116"/>
        <w:gridCol w:w="681"/>
        <w:gridCol w:w="1016"/>
        <w:gridCol w:w="1416"/>
        <w:gridCol w:w="681"/>
        <w:gridCol w:w="681"/>
        <w:gridCol w:w="681"/>
        <w:gridCol w:w="682"/>
        <w:gridCol w:w="563"/>
        <w:gridCol w:w="563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一次性血细胞分离器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4,800.00（套）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3,170,000.00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516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18,522.00（套）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16,670,000.00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516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16,520.00（套）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14,700,000.00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516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14,000.00（套）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11,480,000.00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416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一次性血细胞分离器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4,800.00（套）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3,170,000.00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★注：投标人响应产品应当明确品牌和规格型号并指向唯一产品，不能指向唯一产品的，应通过报价表唯一产品说明栏补充说明。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本项目涉及核心产品：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一次性血细胞分离器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一次性血细胞分离器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注：涉及核心产品的，具体评审规定见第五章。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本项目涉及采购进口产品：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A07029900 其他医药品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★注：不涉及采购进口产品时，投标人不得提供进口产品进行响应；涉及采购进口产品时，如国产产品满足采购需求，也可提供国产产品进行响应。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本项目涉及强制采购节能产品：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投标人应当提供由国家确定的认证机构出具的、处于有效期之内的节能产品认证证书的原件扫描件或“全国认证认可信息公共服务平台”（http://cx.cnca.cn）的认证信息截图，否则作无效投标处理。具体要求详见第五章符合性审查表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投标人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本项目涉及优先采购环境标志产品：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投标人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标的名称：A一次性血细胞分离器 Ⅰ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A一次性血细胞分离器 Ⅰ</w:t>
            </w:r>
          </w:p>
        </w:tc>
        <w:tc>
          <w:tcPr>
            <w:tcW w:w="5814" w:type="dxa"/>
          </w:tcPr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(1)规格：适用于采集1或2单位单采血小板使用。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▲(2)管路结构与设计：管路上具有独立无菌滤器、全血留样袋、真空取样装置，血小板保存袋。所有管路均为密闭式，且以不同颜色标记，便于安装。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▲(3)采集方式：采用分离带式分离装置，实现连续式离心分离，缩短采集时间，减少体外循环和血容量波动，最大程度减少献血不良反应。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(4)穿刺针：17G穿刺针，针头部件可更换。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▲(5)去白细胞方式：采集过程中白细胞及时还输献血者体内，无需独立白细胞过滤器，所采集的血小板产品白细胞残留量≤1.0×10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6</w:t>
            </w:r>
            <w:r>
              <w:rPr>
                <w:rFonts w:ascii="仿宋_GB2312" w:hAnsi="仿宋_GB2312" w:eastAsia="仿宋_GB2312" w:cs="仿宋_GB2312"/>
                <w:sz w:val="21"/>
              </w:rPr>
              <w:t>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(6)产品质量：满足GB18469-2012《全血及成分血质量要求》中的：血小板含量≥2.5×10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11</w:t>
            </w:r>
            <w:r>
              <w:rPr>
                <w:rFonts w:ascii="仿宋_GB2312" w:hAnsi="仿宋_GB2312" w:eastAsia="仿宋_GB2312" w:cs="仿宋_GB2312"/>
                <w:sz w:val="21"/>
              </w:rPr>
              <w:t>个/袋，红细胞混入量≤8.0×10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9</w:t>
            </w:r>
            <w:r>
              <w:rPr>
                <w:rFonts w:ascii="仿宋_GB2312" w:hAnsi="仿宋_GB2312" w:eastAsia="仿宋_GB2312" w:cs="仿宋_GB2312"/>
                <w:sz w:val="21"/>
              </w:rPr>
              <w:t>个/袋。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(7)采集后处理：采集终产品为浓缩血小板，方便后续与血浆或血小板专用悬浮液混合保存。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(8)血小板保存袋性能要求：袋体厚薄均匀，透气性能好，所采集的血小板可在持续振荡、22±2℃情况下，保存5～7天。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▲(9)其它要求：具备抗凝剂管理系统，降低抗凝剂灌注率；具备生理盐水补偿功能，及时补充献血者血容量减少献血不良反应；具备条形码识别功能，可阅读适配国际通用的条形码。</w:t>
            </w:r>
          </w:p>
          <w:p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(10)效期：≥24个月。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标的名称：T一次性血细胞分离器 Ⅱ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T一次性血细胞分离器 Ⅱ</w:t>
            </w:r>
          </w:p>
        </w:tc>
        <w:tc>
          <w:tcPr>
            <w:tcW w:w="5814" w:type="dxa"/>
          </w:tcPr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(1)规格：适用于采集1或2单位单采血小板使用。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(2)管路结构与设计：管路上具有独立无菌滤器、全血留样袋、真空取样装置，血小板保存袋。所有管路均为密闭式，且以不同颜色标记，便于安装。外挂式设计。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(3)采集方式：采集前无需盐水预充，采用分离带式分离装置，实现连续式离心分离，缩短采集时间，减少体外循环血量和血容量波动，最大程度减少献血不良反应。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(4)去白细胞方式：采集过程中白细胞及时还输献血者体内，无需独立白细胞过滤器，所采集的血小板产品白细胞残留量≤1.0×10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6</w:t>
            </w:r>
            <w:r>
              <w:rPr>
                <w:rFonts w:ascii="仿宋_GB2312" w:hAnsi="仿宋_GB2312" w:eastAsia="仿宋_GB2312" w:cs="仿宋_GB2312"/>
                <w:sz w:val="21"/>
              </w:rPr>
              <w:t>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(5)产品质量：满足GB18469-2012《全血及成分血质量要求》中的：血小板含量≥2.5×10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11</w:t>
            </w:r>
            <w:r>
              <w:rPr>
                <w:rFonts w:ascii="仿宋_GB2312" w:hAnsi="仿宋_GB2312" w:eastAsia="仿宋_GB2312" w:cs="仿宋_GB2312"/>
                <w:sz w:val="21"/>
              </w:rPr>
              <w:t>个/袋，红细胞混入量≤0.03×10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9</w:t>
            </w:r>
            <w:r>
              <w:rPr>
                <w:rFonts w:ascii="仿宋_GB2312" w:hAnsi="仿宋_GB2312" w:eastAsia="仿宋_GB2312" w:cs="仿宋_GB2312"/>
                <w:sz w:val="21"/>
              </w:rPr>
              <w:t>个/袋。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(6)采集后处理：采集终产品为富血小板血浆，可直接发往临床，无需二次悬浮处理。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(7)血小板保存袋性能要求：袋体厚薄均匀，透气性能好，所采集的血小板可在持续振荡、22±2℃情况下，保存5天。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(8)其它要求：具备卡匣集成设计，方便管路安装；具备抗凝剂管理系统，降低抗凝剂灌注率；具备条形码识别功能，可阅读适配国际通用的条形码；具备安全设计，从采后血小板计数、血球压积、采集时间、采集最大体积四个方面最大程度保护献血者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(9)效期：≥24个月。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标的名称：E一次性血细胞分离器 Ⅲ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E一次性血细胞分离器 Ⅲ</w:t>
            </w:r>
          </w:p>
        </w:tc>
        <w:tc>
          <w:tcPr>
            <w:tcW w:w="5814" w:type="dxa"/>
          </w:tcPr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(1)规格：适用于采集1或2单位单采血小板使用。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(2)管路结构与设计：管路上具有独立无菌滤器、全血留样袋、真空取样装置，血小板保存袋。所有管路均为密闭式，且以不同颜色标记，便于安装。外挂式设计。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▲(3)采集方式：采用离心杯式分离装置。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▲(4)穿刺针：17G穿刺针，针头部件可更换。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(5)去白细胞方式：采集过程中白细胞及时还输献血者体内，无需独立白细胞过滤器，所采集的血小板产品白细胞残留量≤5×10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8</w:t>
            </w:r>
            <w:r>
              <w:rPr>
                <w:rFonts w:ascii="仿宋_GB2312" w:hAnsi="仿宋_GB2312" w:eastAsia="仿宋_GB2312" w:cs="仿宋_GB2312"/>
                <w:sz w:val="21"/>
              </w:rPr>
              <w:t>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(6)产品质量：满足GB18469-2012《全血及成分血质量要求》中的：血小板含量≥2.5×10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11</w:t>
            </w:r>
            <w:r>
              <w:rPr>
                <w:rFonts w:ascii="仿宋_GB2312" w:hAnsi="仿宋_GB2312" w:eastAsia="仿宋_GB2312" w:cs="仿宋_GB2312"/>
                <w:sz w:val="21"/>
              </w:rPr>
              <w:t>个/袋，红细胞混入量≤8.0×10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9</w:t>
            </w:r>
            <w:r>
              <w:rPr>
                <w:rFonts w:ascii="仿宋_GB2312" w:hAnsi="仿宋_GB2312" w:eastAsia="仿宋_GB2312" w:cs="仿宋_GB2312"/>
                <w:sz w:val="21"/>
              </w:rPr>
              <w:t>个/袋。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▲(7)采集后处理：采集终产品为富血小板血浆，可直接发往临床，无需二次悬浮处理。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(8)血小板保存袋性能要求：袋体厚薄均匀，透气性能好，所采集的的血小板可在持续振荡、22±2℃情况下，保存5～7天。</w:t>
            </w:r>
          </w:p>
          <w:p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(9)其它要求：具备抗凝剂管理系统，降低抗凝剂灌注率；具备生理盐水补偿功能，及时补充献血者血容量，减少献血不良反应；具备条形码识别功能，可阅读适配国际通用的条形码；能对采集时间、品种、体外循环血量、抗凝剂使用量、交换溶液量、采后血小板计数等数据进行查询统计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(10)效期：≥24个月。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标的名称：一次性血细胞分离器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一次性血细胞分离器</w:t>
            </w:r>
          </w:p>
        </w:tc>
        <w:tc>
          <w:tcPr>
            <w:tcW w:w="5814" w:type="dxa"/>
          </w:tcPr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(1)规格：适用于采集1或2单位单采血小板使用。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(2)管路结构与设计：管路上具有独立无菌滤器、全血留样袋，血小板保存袋。所有管路均为密闭式，且以不同颜色标记。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(3)采集方式：采用离心杯式分离装置。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(4)穿刺针：16G穿刺针，穿刺针与管路采用标准接口。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▲(5)产品质量：满足GB18469-2012《全血及成分血质量要求》中的：血小板含量≥2.5×10</w:t>
            </w:r>
            <w:r>
              <w:rPr>
                <w:rFonts w:ascii="仿宋_GB2312" w:hAnsi="仿宋_GB2312" w:eastAsia="仿宋_GB2312" w:cs="仿宋_GB2312"/>
                <w:sz w:val="18"/>
                <w:vertAlign w:val="superscript"/>
              </w:rPr>
              <w:t>11</w:t>
            </w:r>
            <w:r>
              <w:rPr>
                <w:rFonts w:ascii="仿宋_GB2312" w:hAnsi="仿宋_GB2312" w:eastAsia="仿宋_GB2312" w:cs="仿宋_GB2312"/>
                <w:sz w:val="18"/>
              </w:rPr>
              <w:t>个/袋，红细胞混入量≤8.0×10</w:t>
            </w:r>
            <w:r>
              <w:rPr>
                <w:rFonts w:ascii="仿宋_GB2312" w:hAnsi="仿宋_GB2312" w:eastAsia="仿宋_GB2312" w:cs="仿宋_GB2312"/>
                <w:sz w:val="18"/>
                <w:vertAlign w:val="superscript"/>
              </w:rPr>
              <w:t>9</w:t>
            </w:r>
            <w:r>
              <w:rPr>
                <w:rFonts w:ascii="仿宋_GB2312" w:hAnsi="仿宋_GB2312" w:eastAsia="仿宋_GB2312" w:cs="仿宋_GB2312"/>
                <w:sz w:val="18"/>
              </w:rPr>
              <w:t>个/袋。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(6)采集后处理：采集终产品为富血小板血浆，可直接发往临床，无需二次悬浮处理。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▲(7)血小板保存袋性能要求：袋体厚薄均匀，透气，所采集的血小板可在持续振荡、22±2℃情况下，保存5天。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(8)其它要求：具备生理盐水补偿功能，及时补充献血者血容量减少献血不良反应。</w:t>
            </w:r>
          </w:p>
          <w:p>
            <w:pPr>
              <w:pStyle w:val="4"/>
              <w:ind w:firstLine="360"/>
              <w:jc w:val="left"/>
            </w:pPr>
            <w:r>
              <w:rPr>
                <w:rFonts w:ascii="仿宋_GB2312" w:hAnsi="仿宋_GB2312" w:eastAsia="仿宋_GB2312" w:cs="仿宋_GB2312"/>
                <w:sz w:val="18"/>
              </w:rPr>
              <w:t>(9)效期：≥24个月。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3.3.1.服务内容要求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其他商务要求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1.产品发生任何变更时应立即通知采购人。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2.产品在使用过程中出现异常，供应商应立即派人进行调查指导。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3.产品在效期内出现质量问题，供应商应及时无条件退换。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 xml:space="preserve">4.保证产品持续供应而不影响采购人的血液采集工作，若出现严重质量问题或存在严重质量隐患时，采购人有权中止合同并追究相应法律责任及经济损失。  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（由于系统固化原因，3.3.2.商务要求中付款进度安排不适用，以此处为准）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分批送货，货到验收合格，收到发票后10个工作日内按实际到货数量分批据实结算付款。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其他商务要求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1.产品发生任何变更时应立即通知采购人。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2.产品在使用过程中出现异常，供应商应立即派人进行调查指导。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3.产品在效期内出现质量问题，供应商应及时无条件退换。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 xml:space="preserve">4.保证产品持续供应而不影响采购人的血液采集工作，若出现严重质量问题或存在严重质量隐患时，采购人有权中止合同并追究相应法律责任及经济损失。  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（由于系统固化原因，3.3.2.商务要求中付款进度安排不适用，以此处为准） 分批送货，货到验收合格，收到发票后10个工作日内按实际到货数量分批据实结算付款。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其他商务要求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1.产品发生任何变更时应立即通知采购人。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2.产品在使用过程中出现异常，供应商应立即派人进行调查指导。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3.产品在效期内出现质量问题，供应商应及时无条件退换。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 xml:space="preserve">4.保证产品持续供应而不影响采购人的血液采集工作，若出现严重质量问题或存在严重质量隐患时，采购人有权中止合同并追究相应法律责任及经济损失。  </w:t>
            </w:r>
          </w:p>
          <w:p>
            <w:pPr>
              <w:pStyle w:val="4"/>
              <w:jc w:val="both"/>
            </w:pP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（由于系统固化原因，3.3.2.商务要求中付款进度安排不适用，以此处为准） 分批送货，货到验收合格，收到发票后10个工作日内按实际到货数量分批据实结算付款。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其他商务要求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1.产品发生任何变更时应立即通知采购人。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2.产品在使用过程中出现异常，供应商应立即派人进行调查指导。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3.产品在效期内出现质量问题，供应商应及时无条件退换。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 xml:space="preserve">4.保证产品持续供应而不影响采购人的血液采集工作，若出现严重质量问题或存在严重质量隐患时，采购人有权中止合同并追究相应法律责任及经济损失。  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（由于系统固化原因，3.3.2.商务要求中付款进度安排不适用，以此处为准） 分批送货，货到验收合格，收到发票后10个工作日内按实际到货数量分批据实结算付款。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合同签订之日起14个月，具体送货时间按照采购人需求进行分批送货。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成都市血液中心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1、据实结算，分批送货，货到验收合格，达到付款条件起14日内，据实情况说明为分批送货，货到验收合格，收到发票后10个工作日内按实际到货数量分批据实结算付款。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2、据实结算，分批送货，货到验收合格，达到付款条件起14日内，据实情况说明为分批送货，货到验收合格，收到发票后10个工作日内按实际到货数量分批据实结算付款。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（由于系统固化原因，若有与2.6.6.履约验收方案冲突的，以此处为准） 1、验收组织方式：自行验收 2、是否邀请本项目的其他供应商：否 3、是否邀请专家：否 4、是否邀请服务对象：否 5、是否邀请第三方检测机构：否 6、履约验收程序：分批次验收 7、履约验收时间：每批次交货后供应商提出验收申请，达到验收条件起10日内，验收本批次合同金额的 100 %； 8、验收组织的其他事项：无 9、技术履约验收内容：按照本项目招标文件中“技术要求”及中标人投标文件进行验收。 10、商务履约验收内容：按照本项目招标文件中“服务要求”及中标人投标文件进行验收。 11、履约验收标准：按照《财政部关于进一步加强政府采购需求和履约验收管理的指导意见》（财库〔2016〕205号）等政府采购相关法律法规的要求进行验收。 12、履约验收其他事项：无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产品验收合格之日起，效期不低于18个月。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详见“拟签订的合同文本”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合同签订之日起14个月，具体送货时间按照采购人需求进行分批送货。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成都市血液中心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1、据实结算，分批送货，货到验收合格，达到付款条件起14日内，据实情况说明为分批送货，货到验收合格，收到发票后10个工作日内按实际到货数量分批据实结算付款。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2、据实结算，分批送货，货到验收合格，达到付款条件起14日内，据实情况说明为分批送货，货到验收合格，收到发票后10个工作日内按实际到货数量分批据实结算付款。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（由于系统固化原因，若有与2.6.6.履约验收方案冲突的，以此处为准） 1、验收组织方式：自行验收 2、是否邀请本项目的其他供应商：否 3、是否邀请专家：否 4、是否邀请服务对象：否 5、是否邀请第三方检测机构：否 6、履约验收程序：分批次验收 7、履约验收时间：每批次交货后供应商提出验收申请，达到验收条件起10日内，验收本批次合同金额的 100 %； 8、验收组织的其他事项：无 9、技术履约验收内容：按照本项目招标文件中“技术要求”及中标人投标文件进行验收。 10、商务履约验收内容：按照本项目招标文件中“服务要求”及中标人投标文件进行验收。 11、履约验收标准：按照《财政部关于进一步加强政府采购需求和履约验收管理的指导意见》（财库〔2016〕205号）等政府采购相关法律法规的要求进行验收。 12、履约验收其他事项：无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产品验收合格之日起，效期不低于18个月。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详见“拟签订的合同文本”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合同签订之日起14个月，具体送货时间按照采购人需求进行分批送货。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成都市血液中心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1、据实结算，分批送货，货到验收合格，达到付款条件起14日内，据实情况说明为分批送货，货到验收合格，收到发票后10个工作日内按实际到货数量分批据实结算付款。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2、据实结算，分批送货，货到验收合格，达到付款条件起14日内，据实情况说明为分批送货，货到验收合格，收到发票后10个工作日内按实际到货数量分批据实结算付款。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（由于系统固化原因，若有与2.6.6.履约验收方案冲突的，以此处为准） 1、验收组织方式：自行验收 2、是否邀请本项目的其他供应商：否 3、是否邀请专家：否 4、是否邀请服务对象：否 5、是否邀请第三方检测机构：否 6、履约验收程序：分批次验收 7、履约验收时间：每批次交货后供应商提出验收申请，达到验收条件起10日内，验收本批次合同金额的 100 %； 8、验收组织的其他事项：无 9、技术履约验收内容：按照本项目招标文件中“技术要求”及中标人投标文件进行验收。 10、商务履约验收内容：按照本项目招标文件中“服务要求”及中标人投标文件进行验收。 11、履约验收标准：按照《财政部关于进一步加强政府采购需求和履约验收管理的指导意见》（财库〔2016〕205号）等政府采购相关法律法规的要求进行验收。 12、履约验收其他事项：无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产品验收合格之日起，效期不低于18个月。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详见“拟签订的合同文本”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合同签订之日起14个月，具体送货时间按照采购人需求进行分批送货。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成都市血液中心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1、据实结算，分批送货，货到验收合格，达到付款条件起14日内，据实情况说明为分批送货，货到验收合格，收到发票后10个工作日内按实际到货数量分批据实结算付款。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2、据实结算，分批送货，货到验收合格，达到付款条件起14日内，据实情况说明为分批送货，货到验收合格，收到发票后10个工作日内按实际到货数量分批据实结算付款。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（由于系统固化原因，若有与2.6.6.履约验收方案冲突的，以此处为准） 1、验收组织方式：自行验收 2、是否邀请本项目的其他供应商：否 3、是否邀请专家：否 4、是否邀请服务对象：否 5、是否邀请第三方检测机构：否 6、履约验收程序：分批次验收 7、履约验收时间：每批次交货后供应商提出验收申请，达到验收条件起10日内，验收本批次合同金额的 100 %； 8、验收组织的其他事项：无 9、技术履约验收内容：按照本项目招标文件中“技术要求”及中标人投标文件进行验收。 10、商务履约验收内容：按照本项目招标文件中“服务要求”及中标人投标文件进行验收。 11、履约验收标准：按照《财政部关于进一步加强政府采购需求和履约验收管理的指导意见》（财库〔2016〕205号）等政府采购相关法律法规的要求进行验收。 12、履约验收其他事项：无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产品验收合格之日起，效期不低于18个月。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详见“拟签订的合同文本”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采购包1、2、3、4： 1、售后服务方案（此项对应评分）：投标人针对本项目提供售后服务方案，内容至少包含【1.质量保证范围2.本地化售后服务3.服务响应保障措施4.人员培训计划】。</w:t>
      </w:r>
    </w:p>
    <w:p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2MGE1ODMwYzZmODg1MDYzN2I5Y2Q4MzAyMThlYmEifQ=="/>
    <w:docVar w:name="KSO_WPS_MARK_KEY" w:val="d3c69f0f-24cd-4a14-97b6-c9c7af3e1ac9"/>
  </w:docVars>
  <w:rsids>
    <w:rsidRoot w:val="00000000"/>
    <w:rsid w:val="06507442"/>
    <w:rsid w:val="53F26B9F"/>
    <w:rsid w:val="6FBF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2024-04-01T07:10:00Z</dcterms:created>
  <dc:creator>Administrator</dc:creator>
  <cp:lastModifiedBy>日和坊W</cp:lastModifiedBy>
  <dcterms:modified xsi:type="dcterms:W3CDTF">2025-05-20T07:05:53Z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7E2263456F5A457BA39228EC63481BFC_12</vt:lpwstr>
  </property>
</Properties>
</file>