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版本号：N510904202500013920251107001</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遂宁市安居区2025年绿色种养循环有机肥采购项目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N5109042025000139</w:t>
      </w:r>
    </w:p>
    <w:p>
      <w:pPr>
        <w:pStyle w:val="null3"/>
        <w:jc w:val="left"/>
        <w:outlineLvl w:val="2"/>
      </w:pPr>
      <w:r>
        <w:rPr>
          <w:rFonts w:ascii="仿宋_GB2312" w:hAnsi="仿宋_GB2312" w:cs="仿宋_GB2312" w:eastAsia="仿宋_GB2312"/>
          <w:sz w:val="28"/>
          <w:b/>
        </w:rPr>
        <w:t>遂宁市安居区农业农村局</w:t>
      </w:r>
    </w:p>
    <w:p>
      <w:pPr>
        <w:pStyle w:val="null3"/>
        <w:jc w:val="center"/>
        <w:outlineLvl w:val="2"/>
      </w:pPr>
      <w:r>
        <w:rPr>
          <w:rFonts w:ascii="仿宋_GB2312" w:hAnsi="仿宋_GB2312" w:cs="仿宋_GB2312" w:eastAsia="仿宋_GB2312"/>
          <w:sz w:val="28"/>
          <w:b/>
        </w:rPr>
        <w:t>四川佳翔工程项目管理有限公司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2025年11月10日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四川佳翔工程项目管理有限公司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遂宁市安居区农业农村局</w:t>
      </w:r>
      <w:r>
        <w:rPr>
          <w:rFonts w:ascii="仿宋_GB2312" w:hAnsi="仿宋_GB2312" w:cs="仿宋_GB2312" w:eastAsia="仿宋_GB2312"/>
        </w:rPr>
        <w:t xml:space="preserve"> 委托，拟对 </w:t>
      </w:r>
      <w:r>
        <w:rPr>
          <w:rFonts w:ascii="仿宋_GB2312" w:hAnsi="仿宋_GB2312" w:cs="仿宋_GB2312" w:eastAsia="仿宋_GB2312"/>
        </w:rPr>
        <w:t>遂宁市安居区2025年绿色种养循环有机肥采购项目</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遂宁市安居区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N5109042025000139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遂宁市安居区2025年绿色种养循环有机肥采购项目</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遂宁市安居区2025年绿色种养循环有机肥采购项目，改良土壤培肥地力，提高土壤有机质含量，提高土壤生产能力。</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1、肥料登记证（描述：供应商所投有机肥产品须具有国家农业行政主管部门颁发的有效期内的《肥料登记证》。(提供复印件加盖供应商公章)）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遂宁市安居区农业农村局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遂宁市安居区国贸西路2号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629000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19150771886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四川佳翔工程项目管理有限公司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四川省遂宁市船山区遂宁市河东新区五彩缤纷路奥城玫瑰花园南区940号商业六栋4层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629000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曾</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0825-2918096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采购包1：300,000.00元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代理服务费收费标准：本项目参照照发改价格（2015）299号文件规定及成本支出加合理利润的原则收取代理服务费¥6000元</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遂宁市安居区农业农村局</w:t>
      </w:r>
      <w:r>
        <w:rPr>
          <w:rFonts w:ascii="仿宋_GB2312" w:hAnsi="仿宋_GB2312" w:cs="仿宋_GB2312" w:eastAsia="仿宋_GB2312"/>
        </w:rPr>
        <w:t xml:space="preserve"> 和 </w:t>
      </w:r>
      <w:r>
        <w:rPr>
          <w:rFonts w:ascii="仿宋_GB2312" w:hAnsi="仿宋_GB2312" w:cs="仿宋_GB2312" w:eastAsia="仿宋_GB2312"/>
        </w:rPr>
        <w:t>四川佳翔工程项目管理有限公司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遂宁市安居区农业农村局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四川佳翔工程项目管理有限公司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供应商报价低于采购预算50% 或者低于其他有效供应商报价算术平均价40%，有可能影响产品质量或者不能诚信履约的，询价小组应当要求其在合理的时间内通过交易系统进行书面说明、提交相关证明材料，并加盖电子印章。供应商拒绝或者变相拒绝提供有效书面说明或者书面说明不能证明其报价合理性的，询价小组应当将其响应文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履约验收并办理相关手续。</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按照本项目采购文件中“技术参数要求”及成交供应商响应文件、抽样检测结果等进行验收。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按照本项目采购文件中“商务要求”及成交供应商响应文件进行验收。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（1）严格按照谈判文件要求和成交供应商响应文件内容进行验收。 （2）严格按照政府采购相关法律法规以及《财政部关于进一步加强政府采购需求和履约验收管理的指导意见财库〔2016〕205号》的要求进行验收。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遂宁市安居区农业农村局</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四川佳翔工程项目管理有限公司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四川佳翔工程项目管理有限公司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联系人：彭女士</w:t>
      </w:r>
    </w:p>
    <w:p>
      <w:pPr>
        <w:pStyle w:val="null3"/>
        <w:jc w:val="left"/>
      </w:pPr>
      <w:r>
        <w:rPr>
          <w:rFonts w:ascii="仿宋_GB2312" w:hAnsi="仿宋_GB2312" w:cs="仿宋_GB2312" w:eastAsia="仿宋_GB2312"/>
        </w:rPr>
        <w:t>联系电话：0825-2918096</w:t>
      </w:r>
    </w:p>
    <w:p>
      <w:pPr>
        <w:pStyle w:val="null3"/>
        <w:jc w:val="left"/>
      </w:pPr>
      <w:r>
        <w:rPr>
          <w:rFonts w:ascii="仿宋_GB2312" w:hAnsi="仿宋_GB2312" w:cs="仿宋_GB2312" w:eastAsia="仿宋_GB2312"/>
        </w:rPr>
        <w:t>地址： 四川省遂宁市船山区遂宁市河东新区五彩缤纷路奥城玫瑰花园南区940号商业六栋4层</w:t>
      </w:r>
    </w:p>
    <w:p>
      <w:pPr>
        <w:pStyle w:val="null3"/>
        <w:jc w:val="left"/>
      </w:pPr>
      <w:r>
        <w:rPr>
          <w:rFonts w:ascii="仿宋_GB2312" w:hAnsi="仿宋_GB2312" w:cs="仿宋_GB2312" w:eastAsia="仿宋_GB2312"/>
        </w:rPr>
        <w:t>邮编：629000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300,000.00</w:t>
      </w:r>
    </w:p>
    <w:p>
      <w:pPr>
        <w:pStyle w:val="null3"/>
        <w:jc w:val="left"/>
      </w:pPr>
      <w:r>
        <w:rPr>
          <w:rFonts w:ascii="仿宋_GB2312" w:hAnsi="仿宋_GB2312" w:cs="仿宋_GB2312" w:eastAsia="仿宋_GB2312"/>
        </w:rPr>
        <w:t>采购包最高限价（元）: 300,000.00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A07080105 有机肥料及微生物肥料</w:t>
            </w:r>
          </w:p>
        </w:tc>
        <w:tc>
          <w:tcPr>
            <w:tcW w:type="dxa" w:w="821"/>
          </w:tcPr>
          <w:p>
            <w:pPr>
              <w:pStyle w:val="null3"/>
              <w:jc w:val="left"/>
            </w:pPr>
            <w:r>
              <w:rPr>
                <w:rFonts w:ascii="仿宋_GB2312" w:hAnsi="仿宋_GB2312" w:cs="仿宋_GB2312" w:eastAsia="仿宋_GB2312"/>
              </w:rPr>
              <w:t>有机肥</w:t>
            </w:r>
          </w:p>
        </w:tc>
        <w:tc>
          <w:tcPr>
            <w:tcW w:type="dxa" w:w="821"/>
          </w:tcPr>
          <w:p>
            <w:pPr>
              <w:pStyle w:val="null3"/>
              <w:jc w:val="right"/>
            </w:pPr>
            <w:r>
              <w:rPr>
                <w:rFonts w:ascii="仿宋_GB2312" w:hAnsi="仿宋_GB2312" w:cs="仿宋_GB2312" w:eastAsia="仿宋_GB2312"/>
              </w:rPr>
              <w:t>500.00（吨）</w:t>
            </w:r>
          </w:p>
        </w:tc>
        <w:tc>
          <w:tcPr>
            <w:tcW w:type="dxa" w:w="821"/>
          </w:tcPr>
          <w:p>
            <w:pPr>
              <w:pStyle w:val="null3"/>
              <w:jc w:val="right"/>
            </w:pPr>
            <w:r>
              <w:rPr>
                <w:rFonts w:ascii="仿宋_GB2312" w:hAnsi="仿宋_GB2312" w:cs="仿宋_GB2312" w:eastAsia="仿宋_GB2312"/>
              </w:rPr>
              <w:t>300,000.00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有机肥</w:t>
            </w:r>
          </w:p>
        </w:tc>
        <w:tc>
          <w:tcPr>
            <w:tcW w:type="dxa" w:w="977"/>
          </w:tcPr>
          <w:p>
            <w:pPr>
              <w:pStyle w:val="null3"/>
              <w:jc w:val="center"/>
            </w:pPr>
            <w:r>
              <w:rPr>
                <w:rFonts w:ascii="仿宋_GB2312" w:hAnsi="仿宋_GB2312" w:cs="仿宋_GB2312" w:eastAsia="仿宋_GB2312"/>
              </w:rPr>
              <w:t>吨</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600.00</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本次采购报价以元/吨为单位，实际采购数量按所响应产品单价折算（实际采购数量=预算金额/成交单价），最终结算金额为300000.00元。（叁拾万元整）</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A07080105 有机肥料及微生物肥料</w:t>
            </w:r>
          </w:p>
        </w:tc>
        <w:tc>
          <w:tcPr>
            <w:tcW w:type="dxa" w:w="2492"/>
          </w:tcPr>
          <w:p>
            <w:pPr>
              <w:pStyle w:val="null3"/>
              <w:jc w:val="left"/>
            </w:pPr>
            <w:r>
              <w:rPr>
                <w:rFonts w:ascii="仿宋_GB2312" w:hAnsi="仿宋_GB2312" w:cs="仿宋_GB2312" w:eastAsia="仿宋_GB2312"/>
              </w:rPr>
              <w:t>有机肥</w:t>
            </w:r>
          </w:p>
        </w:tc>
        <w:tc>
          <w:tcPr>
            <w:tcW w:type="dxa" w:w="2492"/>
          </w:tcPr>
          <w:p>
            <w:pPr>
              <w:pStyle w:val="null3"/>
              <w:jc w:val="left"/>
            </w:pPr>
            <w:r>
              <w:rPr>
                <w:rFonts w:ascii="仿宋_GB2312" w:hAnsi="仿宋_GB2312" w:cs="仿宋_GB2312" w:eastAsia="仿宋_GB2312"/>
              </w:rPr>
              <w:t>有机肥</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标的名称：有机肥</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采购清单</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37"/>
              <w:gridCol w:w="685"/>
              <w:gridCol w:w="2530"/>
              <w:gridCol w:w="537"/>
              <w:gridCol w:w="611"/>
              <w:gridCol w:w="667"/>
            </w:tblGrid>
            <w:tr>
              <w:tc>
                <w:tcPr>
                  <w:tcW w:type="dxa" w:w="5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2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技术参数要求</w:t>
                  </w:r>
                </w:p>
              </w:tc>
              <w:tc>
                <w:tcPr>
                  <w:tcW w:type="dxa" w:w="5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6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最高单价限价</w:t>
                  </w:r>
                </w:p>
              </w:tc>
            </w:tr>
            <w:tr>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有机肥</w:t>
                  </w:r>
                </w:p>
                <w:p>
                  <w:pPr>
                    <w:pStyle w:val="null3"/>
                    <w:jc w:val="center"/>
                  </w:pPr>
                </w:p>
              </w:tc>
              <w:tc>
                <w:tcPr>
                  <w:tcW w:type="dxa" w:w="2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1.有机质的质量分数（以烘干基计)在30%以上；</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总养份的质量分数</w:t>
                  </w:r>
                  <w:r>
                    <w:rPr>
                      <w:rFonts w:ascii="仿宋_GB2312" w:hAnsi="仿宋_GB2312" w:cs="仿宋_GB2312" w:eastAsia="仿宋_GB2312"/>
                      <w:sz w:val="24"/>
                      <w:color w:val="000000"/>
                    </w:rPr>
                    <w:t>（以烘干基计</w:t>
                  </w:r>
                  <w:r>
                    <w:rPr>
                      <w:rFonts w:ascii="仿宋_GB2312" w:hAnsi="仿宋_GB2312" w:cs="仿宋_GB2312" w:eastAsia="仿宋_GB2312"/>
                      <w:sz w:val="24"/>
                      <w:color w:val="000000"/>
                    </w:rPr>
                    <w:t>)在4.0%以上；</w:t>
                  </w:r>
                </w:p>
                <w:p>
                  <w:pPr>
                    <w:pStyle w:val="null3"/>
                    <w:jc w:val="left"/>
                  </w:pPr>
                  <w:r>
                    <w:rPr>
                      <w:rFonts w:ascii="仿宋_GB2312" w:hAnsi="仿宋_GB2312" w:cs="仿宋_GB2312" w:eastAsia="仿宋_GB2312"/>
                      <w:sz w:val="24"/>
                      <w:color w:val="000000"/>
                    </w:rPr>
                    <w:t>3.水分的质量分数在30% 以下，酸碱度（PH）5.5-8.5；</w:t>
                  </w:r>
                </w:p>
                <w:p>
                  <w:pPr>
                    <w:pStyle w:val="null3"/>
                    <w:jc w:val="left"/>
                  </w:pPr>
                  <w:r>
                    <w:rPr>
                      <w:rFonts w:ascii="仿宋_GB2312" w:hAnsi="仿宋_GB2312" w:cs="仿宋_GB2312" w:eastAsia="仿宋_GB2312"/>
                      <w:sz w:val="24"/>
                      <w:color w:val="000000"/>
                    </w:rPr>
                    <w:t>4.种子发芽指数（GI）在70%以上；机械杂质的质量分数在0.5%以下；</w:t>
                  </w:r>
                </w:p>
                <w:p>
                  <w:pPr>
                    <w:pStyle w:val="null3"/>
                    <w:jc w:val="left"/>
                  </w:pPr>
                  <w:r>
                    <w:rPr>
                      <w:rFonts w:ascii="仿宋_GB2312" w:hAnsi="仿宋_GB2312" w:cs="仿宋_GB2312" w:eastAsia="仿宋_GB2312"/>
                      <w:sz w:val="24"/>
                      <w:color w:val="000000"/>
                    </w:rPr>
                    <w:t>5.总砷（As）,mg/kg ≤15；</w:t>
                  </w:r>
                </w:p>
                <w:p>
                  <w:pPr>
                    <w:pStyle w:val="null3"/>
                    <w:jc w:val="left"/>
                  </w:pPr>
                  <w:r>
                    <w:rPr>
                      <w:rFonts w:ascii="仿宋_GB2312" w:hAnsi="仿宋_GB2312" w:cs="仿宋_GB2312" w:eastAsia="仿宋_GB2312"/>
                      <w:sz w:val="24"/>
                      <w:color w:val="000000"/>
                    </w:rPr>
                    <w:t>6.总汞（Hg）,mg/kg ≤2；</w:t>
                  </w:r>
                </w:p>
                <w:p>
                  <w:pPr>
                    <w:pStyle w:val="null3"/>
                    <w:jc w:val="left"/>
                  </w:pPr>
                  <w:r>
                    <w:rPr>
                      <w:rFonts w:ascii="仿宋_GB2312" w:hAnsi="仿宋_GB2312" w:cs="仿宋_GB2312" w:eastAsia="仿宋_GB2312"/>
                      <w:sz w:val="24"/>
                      <w:color w:val="000000"/>
                    </w:rPr>
                    <w:t>7.总铅（Pd）,mg/kg ≤50；</w:t>
                  </w:r>
                </w:p>
                <w:p>
                  <w:pPr>
                    <w:pStyle w:val="null3"/>
                    <w:jc w:val="left"/>
                  </w:pPr>
                  <w:r>
                    <w:rPr>
                      <w:rFonts w:ascii="仿宋_GB2312" w:hAnsi="仿宋_GB2312" w:cs="仿宋_GB2312" w:eastAsia="仿宋_GB2312"/>
                      <w:sz w:val="24"/>
                      <w:color w:val="000000"/>
                    </w:rPr>
                    <w:t>8.总镉（Cd）,mg/kg≤3；</w:t>
                  </w:r>
                </w:p>
                <w:p>
                  <w:pPr>
                    <w:pStyle w:val="null3"/>
                    <w:jc w:val="left"/>
                  </w:pPr>
                  <w:r>
                    <w:rPr>
                      <w:rFonts w:ascii="仿宋_GB2312" w:hAnsi="仿宋_GB2312" w:cs="仿宋_GB2312" w:eastAsia="仿宋_GB2312"/>
                      <w:sz w:val="24"/>
                      <w:color w:val="000000"/>
                    </w:rPr>
                    <w:t>9.总铬(Cr),mg/kg≤150；</w:t>
                  </w:r>
                </w:p>
                <w:p>
                  <w:pPr>
                    <w:pStyle w:val="null3"/>
                    <w:jc w:val="left"/>
                  </w:pPr>
                  <w:r>
                    <w:rPr>
                      <w:rFonts w:ascii="仿宋_GB2312" w:hAnsi="仿宋_GB2312" w:cs="仿宋_GB2312" w:eastAsia="仿宋_GB2312"/>
                      <w:sz w:val="24"/>
                      <w:color w:val="000000"/>
                    </w:rPr>
                    <w:t>10.包装：40kg/ 袋，编织袋。</w:t>
                  </w:r>
                </w:p>
                <w:p>
                  <w:pPr>
                    <w:pStyle w:val="null3"/>
                    <w:jc w:val="left"/>
                  </w:pPr>
                  <w:r>
                    <w:rPr>
                      <w:rFonts w:ascii="仿宋_GB2312" w:hAnsi="仿宋_GB2312" w:cs="仿宋_GB2312" w:eastAsia="仿宋_GB2312"/>
                      <w:sz w:val="24"/>
                      <w:color w:val="000000"/>
                    </w:rPr>
                    <w:t>11.符合中华人民共和国有机肥农业行业标准NY/T525-2021;</w:t>
                  </w:r>
                </w:p>
                <w:p>
                  <w:pPr>
                    <w:pStyle w:val="null3"/>
                    <w:jc w:val="left"/>
                  </w:pP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吨</w:t>
                  </w:r>
                </w:p>
                <w:p>
                  <w:pPr>
                    <w:pStyle w:val="null3"/>
                    <w:jc w:val="center"/>
                  </w:pP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≥500</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60</w:t>
                  </w:r>
                  <w:r>
                    <w:rPr>
                      <w:rFonts w:ascii="仿宋_GB2312" w:hAnsi="仿宋_GB2312" w:cs="仿宋_GB2312" w:eastAsia="仿宋_GB2312"/>
                      <w:sz w:val="24"/>
                      <w:color w:val="000000"/>
                    </w:rPr>
                    <w:t>0</w:t>
                  </w:r>
                  <w:r>
                    <w:rPr>
                      <w:rFonts w:ascii="仿宋_GB2312" w:hAnsi="仿宋_GB2312" w:cs="仿宋_GB2312" w:eastAsia="仿宋_GB2312"/>
                      <w:sz w:val="24"/>
                      <w:color w:val="000000"/>
                    </w:rPr>
                    <w:t>元</w:t>
                  </w:r>
                  <w:r>
                    <w:rPr>
                      <w:rFonts w:ascii="仿宋_GB2312" w:hAnsi="仿宋_GB2312" w:cs="仿宋_GB2312" w:eastAsia="仿宋_GB2312"/>
                      <w:sz w:val="24"/>
                      <w:color w:val="000000"/>
                    </w:rPr>
                    <w:t>/吨</w:t>
                  </w: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备注</w:t>
            </w:r>
          </w:p>
        </w:tc>
        <w:tc>
          <w:tcPr>
            <w:tcW w:type="dxa" w:w="5814"/>
          </w:tcPr>
          <w:p>
            <w:pPr>
              <w:pStyle w:val="null3"/>
              <w:ind w:firstLine="723"/>
              <w:jc w:val="left"/>
            </w:pPr>
            <w:r>
              <w:rPr>
                <w:rFonts w:ascii="仿宋_GB2312" w:hAnsi="仿宋_GB2312" w:cs="仿宋_GB2312" w:eastAsia="仿宋_GB2312"/>
                <w:sz w:val="24"/>
              </w:rPr>
              <w:t>1、1-9项技术参数供应商需提供国家认可的第三方检测机构出具的检测报告复印件，予以佐证，不能佐证的视为无效投标，检测报告加盖供应商公章。（中标后签订合同前采购人有权查验检测报告原件）</w:t>
            </w:r>
          </w:p>
          <w:p>
            <w:pPr>
              <w:pStyle w:val="null3"/>
              <w:ind w:firstLine="723"/>
              <w:jc w:val="left"/>
            </w:pPr>
            <w:r>
              <w:rPr>
                <w:rFonts w:ascii="仿宋_GB2312" w:hAnsi="仿宋_GB2312" w:cs="仿宋_GB2312" w:eastAsia="仿宋_GB2312"/>
                <w:sz w:val="24"/>
              </w:rPr>
              <w:t>2、本项目技术参数描述如与特定品牌或型号相匹配，仅作为技术指标参考，不代表指向特定产品，供应商可提供等同于或优于参数要求的产品。</w:t>
            </w:r>
          </w:p>
          <w:p>
            <w:pPr>
              <w:pStyle w:val="null3"/>
              <w:ind w:firstLine="723"/>
              <w:jc w:val="left"/>
            </w:pPr>
            <w:r>
              <w:rPr>
                <w:rFonts w:ascii="仿宋_GB2312" w:hAnsi="仿宋_GB2312" w:cs="仿宋_GB2312" w:eastAsia="仿宋_GB2312"/>
                <w:sz w:val="24"/>
              </w:rPr>
              <w:t>3、以上参数涉及到标准、规范的，如有更新，以最新的现行版本执行。</w:t>
            </w:r>
          </w:p>
          <w:p>
            <w:pPr>
              <w:pStyle w:val="null3"/>
              <w:ind w:firstLine="723"/>
              <w:jc w:val="both"/>
            </w:pPr>
            <w:r>
              <w:rPr>
                <w:rFonts w:ascii="仿宋_GB2312" w:hAnsi="仿宋_GB2312" w:cs="仿宋_GB2312" w:eastAsia="仿宋_GB2312"/>
                <w:sz w:val="24"/>
              </w:rPr>
              <w:t>4、供应商提供的产品不得有污泥、钢渣、粉煤灰等成分。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1、验收合格后，成交供应商凭有效发票、验收报告等报账资料到采购人处申请拨款，采购人在收到成交供应商提供的完整报账资料且财政资金拨付到位后，达到付款条件起30日内，支付合同总金额的95.00%</w:t>
            </w:r>
          </w:p>
          <w:p>
            <w:pPr>
              <w:pStyle w:val="null3"/>
              <w:jc w:val="left"/>
            </w:pPr>
            <w:r>
              <w:rPr>
                <w:rFonts w:ascii="仿宋_GB2312" w:hAnsi="仿宋_GB2312" w:cs="仿宋_GB2312" w:eastAsia="仿宋_GB2312"/>
              </w:rPr>
              <w:t>2、剩余5%作为质保金，在货物验收合格6个月后，达到付款条件起30日内，支付合同总金额的5.00%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抽样验收：货物送达时采购人验收数量、感观和包装，并由遂宁市安居区农业农村局和成交供应商双方共同现场随机抽样，项目区进行随机抽验30%以上，送至双方认可的第三方机构进行检验，抽检具体数量按第三方检测机构的相关要求提供，检验报告作为该批次货物质量认定的依据；检验相关费用由成交供应商负责。验收过程中如发现短缺破损，采购人有权要求成交供应商补发、更换和赔偿损失；由于产品质量造成某些指标达不到采购文件等要求时，采购人有权要求成交供应商赔偿损失或退货，并保留进一步的追诉权。 （2）严格按照政府采购相关法律法规、《财政部关于进一步加强政府采购需求和履约验收管理的指导意见》（财库〔2016〕205号），采购文件要求、响应文件响应内容和行业相关标准验收。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本项目质保期为验收合格之日起12个月。质保期内成交供应商为采购人提供售后服务，费用包含在报价中。</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双方必须遵守本合同并执行合同中的各项规定， 保证本合同的正常履行。 如因成交供应商工作人员在履行职务过程中的的疏忽、失职、过错等故意或者过失原因给采购人造成损失或侵害，包括但不限于采购人本身的财产损失、由此而导致的采购人对任何第三方的法律责任等，成交供应商对此均应承担全部的赔偿责任。在执行本合同中发生的或与本合同有关的争端，双方应通过友好协商解决，经协商在60天内不能达成协议时，应提交遂宁市仲裁委员会仲裁。仲裁裁决应为最终决定，并对双方具有约束力。 除另有裁决外，仲裁费应由败诉方负担。在仲裁期间，除正在进行仲裁部分外，合同其他部分继续执行。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其他要求：1、本项目包含货物采购、配送(二次转运)等服务，供应商的报价需充分考虑到货物运输过程直到施肥完成后验收的所有费用(包含但不限于材料费、运输费、二次转运费、指导施肥费、保险费、配送费、差旅费、售后服务费、项目管理费、税金等完成本项目的其他一切费用)。2、供应商在履行合同义务过程中自行承担一切安全事故责任，采购人概不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询价通知书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肥料登记证</w:t>
            </w:r>
          </w:p>
        </w:tc>
        <w:tc>
          <w:tcPr>
            <w:tcW w:type="dxa" w:w="3322"/>
          </w:tcPr>
          <w:p>
            <w:pPr>
              <w:pStyle w:val="null3"/>
              <w:jc w:val="left"/>
            </w:pPr>
            <w:r>
              <w:rPr>
                <w:rFonts w:ascii="仿宋_GB2312" w:hAnsi="仿宋_GB2312" w:cs="仿宋_GB2312" w:eastAsia="仿宋_GB2312"/>
              </w:rPr>
              <w:t>供应商所投有机肥产品须具有国家农业行政主管部门颁发的有效期内的《肥料登记证》。(提供复印件加盖供应商公章)</w:t>
            </w:r>
          </w:p>
        </w:tc>
        <w:tc>
          <w:tcPr>
            <w:tcW w:type="dxa" w:w="1910"/>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技术参数</w:t>
            </w:r>
          </w:p>
        </w:tc>
        <w:tc>
          <w:tcPr>
            <w:tcW w:type="dxa" w:w="3322"/>
          </w:tcPr>
          <w:p>
            <w:pPr>
              <w:pStyle w:val="null3"/>
              <w:jc w:val="left"/>
            </w:pPr>
            <w:r>
              <w:rPr>
                <w:rFonts w:ascii="仿宋_GB2312" w:hAnsi="仿宋_GB2312" w:cs="仿宋_GB2312" w:eastAsia="仿宋_GB2312"/>
              </w:rPr>
              <w:t>根据采购文件“3.2.技术要求”进行评审</w:t>
            </w:r>
          </w:p>
        </w:tc>
        <w:tc>
          <w:tcPr>
            <w:tcW w:type="dxa" w:w="1910"/>
          </w:tcPr>
          <w:p>
            <w:pPr>
              <w:pStyle w:val="null3"/>
              <w:jc w:val="left"/>
            </w:pPr>
            <w:r>
              <w:rPr>
                <w:rFonts w:ascii="仿宋_GB2312" w:hAnsi="仿宋_GB2312" w:cs="仿宋_GB2312" w:eastAsia="仿宋_GB2312"/>
              </w:rPr>
              <w:t>产品技术参数响应表,供应商应提交的相关证明材料</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其他实质性要求（商务条款除外）</w:t>
            </w:r>
          </w:p>
        </w:tc>
        <w:tc>
          <w:tcPr>
            <w:tcW w:type="dxa" w:w="3322"/>
          </w:tcPr>
          <w:p>
            <w:pPr>
              <w:pStyle w:val="null3"/>
              <w:jc w:val="left"/>
            </w:pPr>
            <w:r>
              <w:rPr>
                <w:rFonts w:ascii="仿宋_GB2312" w:hAnsi="仿宋_GB2312" w:cs="仿宋_GB2312" w:eastAsia="仿宋_GB2312"/>
              </w:rPr>
              <w:t>投标人根据文件“第三章 技术、服务及其他要求”逐条填写此表并按要求应答实质性条款，对实质性要求响应有证明材料要求的，应在《其他要求响应表》后以附件方式提供，供应商响应有负偏离或响应内容不完全则符合性审查 不予通过。</w:t>
            </w:r>
          </w:p>
        </w:tc>
        <w:tc>
          <w:tcPr>
            <w:tcW w:type="dxa" w:w="1910"/>
          </w:tcPr>
          <w:p>
            <w:pPr>
              <w:pStyle w:val="null3"/>
              <w:jc w:val="left"/>
            </w:pPr>
            <w:r>
              <w:rPr>
                <w:rFonts w:ascii="仿宋_GB2312" w:hAnsi="仿宋_GB2312" w:cs="仿宋_GB2312" w:eastAsia="仿宋_GB2312"/>
              </w:rPr>
              <w:t>产品技术参数响应表,服务应答表,其他要求响应表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有机肥</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一、代理机构在询价结束后2个工作日内将询价报告送采购人。</w:t>
      </w:r>
    </w:p>
    <w:p>
      <w:pPr>
        <w:pStyle w:val="null3"/>
        <w:jc w:val="left"/>
      </w:pPr>
      <w:r>
        <w:rPr>
          <w:rFonts w:ascii="仿宋_GB2312" w:hAnsi="仿宋_GB2312" w:cs="仿宋_GB2312" w:eastAsia="仿宋_GB2312"/>
        </w:rPr>
        <w:t>二、采购人应当自收到评审报告之日起5个工作日内，在询价报告确定的成交候选供应商名单中按顺序确定1名成交供应商。采购人逾期未确定成交供应商且不提出异议的，视为确定询价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详见附件：其他要求响应表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