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版本号：N511825202600006420260826001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2026年天全多功能交通调查站建设项目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N5118252026000064</w:t>
      </w:r>
    </w:p>
    <w:p>
      <w:pPr>
        <w:pStyle w:val="null3"/>
        <w:jc w:val="left"/>
        <w:outlineLvl w:val="2"/>
      </w:pPr>
      <w:r>
        <w:rPr>
          <w:rFonts w:ascii="仿宋_GB2312" w:hAnsi="仿宋_GB2312" w:cs="仿宋_GB2312" w:eastAsia="仿宋_GB2312"/>
          <w:sz w:val="28"/>
          <w:b/>
        </w:rPr>
        <w:t>天全县交通运输发展服务中心</w:t>
      </w:r>
    </w:p>
    <w:p>
      <w:pPr>
        <w:pStyle w:val="null3"/>
        <w:jc w:val="center"/>
        <w:outlineLvl w:val="2"/>
      </w:pPr>
      <w:r>
        <w:rPr>
          <w:rFonts w:ascii="仿宋_GB2312" w:hAnsi="仿宋_GB2312" w:cs="仿宋_GB2312" w:eastAsia="仿宋_GB2312"/>
          <w:sz w:val="28"/>
          <w:b/>
        </w:rPr>
        <w:t>中创金建技术集团有限公司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中创金建技术集团有限公司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天全县交通运输发展服务中心</w:t>
      </w:r>
      <w:r>
        <w:rPr>
          <w:rFonts w:ascii="仿宋_GB2312" w:hAnsi="仿宋_GB2312" w:cs="仿宋_GB2312" w:eastAsia="仿宋_GB2312"/>
        </w:rPr>
        <w:t xml:space="preserve"> 委托，拟对 </w:t>
      </w:r>
      <w:r>
        <w:rPr>
          <w:rFonts w:ascii="仿宋_GB2312" w:hAnsi="仿宋_GB2312" w:cs="仿宋_GB2312" w:eastAsia="仿宋_GB2312"/>
        </w:rPr>
        <w:t>2026年天全多功能交通调查站建设项目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雅安市天全县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N5118252026000064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2026年天全多功能交通调查站建设项目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为全面提升普通公路交通调查能力，准确、实时反映公路运行情况，促进普通公路数字化转型升级，对站点：天全小渔溪、天全新沟、天全沙坪、宝兴雪山村共 4 个站点实施普通公路多功能交通调查站建设专项服务采购。</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天全县交通运输发展服务中心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广建北路2号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625500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饶老师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0835-7222273</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中创金建技术集团有限公司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四川省成都市武侯区成都市武侯区广福路5号2栋2楼1号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何老师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028-86276939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采购包1：640,000.00元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w:t>
            </w:r>
            <w:r>
              <w:rPr>
                <w:rFonts w:ascii="仿宋_GB2312" w:hAnsi="仿宋_GB2312" w:cs="仿宋_GB2312" w:eastAsia="仿宋_GB2312"/>
              </w:rPr>
              <w:t>否</w:t>
            </w:r>
          </w:p>
          <w:p>
            <w:pPr>
              <w:pStyle w:val="null3"/>
              <w:jc w:val="left"/>
            </w:pPr>
            <w:r>
              <w:rPr>
                <w:rFonts w:ascii="仿宋_GB2312" w:hAnsi="仿宋_GB2312" w:cs="仿宋_GB2312" w:eastAsia="仿宋_GB2312"/>
              </w:rPr>
              <w:t>采购包1：</w:t>
            </w:r>
            <w:r>
              <w:br/>
            </w:r>
            <w:r>
              <w:rPr>
                <w:rFonts w:ascii="仿宋_GB2312" w:hAnsi="仿宋_GB2312" w:cs="仿宋_GB2312" w:eastAsia="仿宋_GB2312"/>
              </w:rPr>
              <w:t>市场竞争不充分的科研项目：否</w:t>
            </w:r>
            <w:r>
              <w:br/>
            </w:r>
            <w:r>
              <w:rPr>
                <w:rFonts w:ascii="仿宋_GB2312" w:hAnsi="仿宋_GB2312" w:cs="仿宋_GB2312" w:eastAsia="仿宋_GB2312"/>
              </w:rPr>
              <w:t>需要扶持的科技成果转化项目：否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代理服务费收费标准：定额收取：3840元。</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 xml:space="preserve"> （一）交易系统发生故障而无法正常使用的；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 xml:space="preserve"> 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天全县交通运输发展服务中心</w:t>
      </w:r>
      <w:r>
        <w:rPr>
          <w:rFonts w:ascii="仿宋_GB2312" w:hAnsi="仿宋_GB2312" w:cs="仿宋_GB2312" w:eastAsia="仿宋_GB2312"/>
        </w:rPr>
        <w:t xml:space="preserve"> 和 </w:t>
      </w:r>
      <w:r>
        <w:rPr>
          <w:rFonts w:ascii="仿宋_GB2312" w:hAnsi="仿宋_GB2312" w:cs="仿宋_GB2312" w:eastAsia="仿宋_GB2312"/>
        </w:rPr>
        <w:t>中创金建技术集团有限公司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天全县交通运输发展服务中心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中创金建技术集团有限公司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项目实施完成后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应做出详尽的现场记录，或由采购双⽅签署备忘录，此现场记录或备忘录可⽤作补充、缺失和整改的有效证据，由此产⽣的时间延误与有关费⽤由投标⼈承担； 2.验收结果合格的，采购人应向成交供应商出具履约验收报告，成交供应商凭验收报告办理相关手续。 3.验收结果不合格的，履约保证金将不予退还，给采购人造成的损失超过履约保证金数额的，还应当对超过部分予以赔偿；没有提交履约保证金的，应当对采购人的损失承担赔偿责任。</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本项⽬采购全部技术参数指标（技术服务要求）功能和质量要求，包括安全，服务内容和标准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商务条件，采购标的时间、地点、财务和服务要求，包括交付（实施）的时间（期限）和地点（范围），付款条件（进度和⽅式），售后服务，保险等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严格按照政府采购相关法律法规以及财政部关于印发《政府采购需求管理办法》的通知（财库〔2021〕22号）、《财政部关于进一步加强政府采购需求和履约验收管理的指导意见》(财库〔2016〕205号) 和《雅安市财政局关于规范政府采购履约验收工作的通知》（雅财采〔2021〕50号）的要求及四川省交通运输厅关于印发《四川省普通国省道多功能交通指南(试行)》的通知进行验收。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验收时如发现所提供的服务不符合标准及合同规定之情形者，采购⼈应做出详尽的现场记录，或由采购双⽅签署备忘录，此现场记录或备忘录可⽤作补充、缺失和整改的有效证据，由此产⽣的时间延误与有关费⽤由投标⼈承担； 2.验收结果合格的，采购人应向成交供应商出具履约验收报告，成交供应商凭验收报告办理相关手续。 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天全县交通运输发展服务中心</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中创金建技术集团有限公司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中创金建技术集团有限公司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联系人：饶老师</w:t>
      </w:r>
    </w:p>
    <w:p>
      <w:pPr>
        <w:pStyle w:val="null3"/>
        <w:jc w:val="left"/>
      </w:pPr>
      <w:r>
        <w:rPr>
          <w:rFonts w:ascii="仿宋_GB2312" w:hAnsi="仿宋_GB2312" w:cs="仿宋_GB2312" w:eastAsia="仿宋_GB2312"/>
        </w:rPr>
        <w:t>联系电话：0835-7222273</w:t>
      </w:r>
    </w:p>
    <w:p>
      <w:pPr>
        <w:pStyle w:val="null3"/>
        <w:jc w:val="left"/>
      </w:pPr>
      <w:r>
        <w:rPr>
          <w:rFonts w:ascii="仿宋_GB2312" w:hAnsi="仿宋_GB2312" w:cs="仿宋_GB2312" w:eastAsia="仿宋_GB2312"/>
        </w:rPr>
        <w:t>地址：广建北路2号</w:t>
      </w:r>
    </w:p>
    <w:p>
      <w:pPr>
        <w:pStyle w:val="null3"/>
        <w:jc w:val="left"/>
      </w:pPr>
      <w:r>
        <w:rPr>
          <w:rFonts w:ascii="仿宋_GB2312" w:hAnsi="仿宋_GB2312" w:cs="仿宋_GB2312" w:eastAsia="仿宋_GB2312"/>
        </w:rPr>
        <w:t>邮编：625500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联系人：何老师</w:t>
      </w:r>
    </w:p>
    <w:p>
      <w:pPr>
        <w:pStyle w:val="null3"/>
        <w:jc w:val="left"/>
      </w:pPr>
      <w:r>
        <w:rPr>
          <w:rFonts w:ascii="仿宋_GB2312" w:hAnsi="仿宋_GB2312" w:cs="仿宋_GB2312" w:eastAsia="仿宋_GB2312"/>
        </w:rPr>
        <w:t>联系电话：028-86276939</w:t>
      </w:r>
    </w:p>
    <w:p>
      <w:pPr>
        <w:pStyle w:val="null3"/>
        <w:jc w:val="left"/>
      </w:pPr>
      <w:r>
        <w:rPr>
          <w:rFonts w:ascii="仿宋_GB2312" w:hAnsi="仿宋_GB2312" w:cs="仿宋_GB2312" w:eastAsia="仿宋_GB2312"/>
        </w:rPr>
        <w:t>地址：成都市武侯区广福路5号2栋2楼1号</w:t>
      </w:r>
    </w:p>
    <w:p>
      <w:pPr>
        <w:pStyle w:val="null3"/>
        <w:jc w:val="left"/>
      </w:pPr>
      <w:r>
        <w:rPr>
          <w:rFonts w:ascii="仿宋_GB2312" w:hAnsi="仿宋_GB2312" w:cs="仿宋_GB2312" w:eastAsia="仿宋_GB2312"/>
        </w:rPr>
        <w:t>邮编：614000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640,000.00</w:t>
      </w:r>
    </w:p>
    <w:p>
      <w:pPr>
        <w:pStyle w:val="null3"/>
        <w:jc w:val="left"/>
      </w:pPr>
      <w:r>
        <w:rPr>
          <w:rFonts w:ascii="仿宋_GB2312" w:hAnsi="仿宋_GB2312" w:cs="仿宋_GB2312" w:eastAsia="仿宋_GB2312"/>
        </w:rPr>
        <w:t>采购包最高限价（元）: 640,000.00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C15020400 公路管理和养护服务</w:t>
            </w:r>
          </w:p>
        </w:tc>
        <w:tc>
          <w:tcPr>
            <w:tcW w:type="dxa" w:w="821"/>
          </w:tcPr>
          <w:p>
            <w:pPr>
              <w:pStyle w:val="null3"/>
              <w:jc w:val="left"/>
            </w:pPr>
            <w:r>
              <w:rPr>
                <w:rFonts w:ascii="仿宋_GB2312" w:hAnsi="仿宋_GB2312" w:cs="仿宋_GB2312" w:eastAsia="仿宋_GB2312"/>
              </w:rPr>
              <w:t>2026年天全多功能交通调查站建设项目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640,000.00</w:t>
            </w:r>
          </w:p>
        </w:tc>
        <w:tc>
          <w:tcPr>
            <w:tcW w:type="dxa" w:w="821"/>
          </w:tcPr>
          <w:p>
            <w:pPr>
              <w:pStyle w:val="null3"/>
              <w:jc w:val="left"/>
            </w:pPr>
            <w:r>
              <w:rPr>
                <w:rFonts w:ascii="仿宋_GB2312" w:hAnsi="仿宋_GB2312" w:cs="仿宋_GB2312" w:eastAsia="仿宋_GB2312"/>
              </w:rPr>
              <w:t>交通运输业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2026年天全多功能交通调查站建设项目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640,000.00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标的名称：2026年天全多功能交通调查站建设项目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spacing w:after="120"/>
              <w:ind w:left="420" w:firstLine="464"/>
              <w:jc w:val="both"/>
            </w:pPr>
            <w:r>
              <w:rPr>
                <w:rFonts w:ascii="仿宋_GB2312" w:hAnsi="仿宋_GB2312" w:cs="仿宋_GB2312" w:eastAsia="仿宋_GB2312"/>
                <w:sz w:val="24"/>
                <w:color w:val="000000"/>
              </w:rPr>
              <w:t>1、本项目采购多功能交通调查站全流程专项技术服务，覆盖新建、升级、迁建三类站点，补齐天全县、宝兴国省道交通流量、车型、车速自动采集及视频可视化监管能力，完成数据对接四川省公路交通调查省级平台，实现路网运行实时动态监测，支撑公路养护、路网规划、道路应急保通数字化管理工作。</w:t>
            </w:r>
          </w:p>
          <w:p>
            <w:pPr>
              <w:pStyle w:val="null3"/>
              <w:spacing w:after="120"/>
              <w:ind w:left="420" w:firstLine="464"/>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成交供应商须完整提供全链条技术服务，包含现场勘测备案、完善土建基础设施、点位配套布设、全系统安装调试、省市级平台联调接入、分阶段验收配合、全套资料移交、</w:t>
            </w:r>
            <w:r>
              <w:rPr>
                <w:rFonts w:ascii="仿宋_GB2312" w:hAnsi="仿宋_GB2312" w:cs="仿宋_GB2312" w:eastAsia="仿宋_GB2312"/>
                <w:sz w:val="24"/>
                <w:color w:val="000000"/>
              </w:rPr>
              <w:t>进行</w:t>
            </w:r>
            <w:r>
              <w:rPr>
                <w:rFonts w:ascii="仿宋_GB2312" w:hAnsi="仿宋_GB2312" w:cs="仿宋_GB2312" w:eastAsia="仿宋_GB2312"/>
                <w:sz w:val="24"/>
                <w:color w:val="000000"/>
              </w:rPr>
              <w:t>3年全程运维等工作内容</w:t>
            </w:r>
            <w:r>
              <w:rPr>
                <w:rFonts w:ascii="仿宋_GB2312" w:hAnsi="仿宋_GB2312" w:cs="仿宋_GB2312" w:eastAsia="仿宋_GB2312"/>
                <w:sz w:val="24"/>
                <w:color w:val="000000"/>
              </w:rPr>
              <w:t>。</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spacing w:after="120"/>
              <w:ind w:left="420" w:firstLine="464"/>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成交供应商所有勘测、</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调试、运维工作必须严格遵循国家、交通、公安现行标准及《四川省普通国省道多功能交通调查站建设技术指南（试行）》全部技术要求，若服务实施成果、技术指标、运行效果达不到规范及采购人使用需求，全部整改费用、给采购人造成的经济损失均由成交供应商全额承担。</w:t>
            </w:r>
          </w:p>
          <w:p>
            <w:pPr>
              <w:pStyle w:val="null3"/>
              <w:spacing w:after="120"/>
              <w:ind w:left="420" w:firstLine="464"/>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成交供应商实施作业前须现场踏勘，根据路段线型、车道、供电通信条件制定合规实施方案；调试全过程不得破坏原有道路、管线、构筑物、绿化，若造成损毁须在</w:t>
            </w:r>
            <w:r>
              <w:rPr>
                <w:rFonts w:ascii="仿宋_GB2312" w:hAnsi="仿宋_GB2312" w:cs="仿宋_GB2312" w:eastAsia="仿宋_GB2312"/>
                <w:sz w:val="24"/>
                <w:color w:val="000000"/>
              </w:rPr>
              <w:t>3 日内完成原样修复，相关修复费用、第三方赔偿全部由成交供应商承担。</w:t>
            </w:r>
          </w:p>
          <w:p>
            <w:pPr>
              <w:pStyle w:val="null3"/>
              <w:spacing w:after="120"/>
              <w:ind w:left="420" w:firstLine="464"/>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项目进场、调试、运维全周期须落实标准化安全作业流程，严格遵守电气、高空作业相关国家安全规范，规范设置安全警示防护措施。</w:t>
            </w:r>
          </w:p>
          <w:p>
            <w:pPr>
              <w:pStyle w:val="null3"/>
              <w:spacing w:after="120"/>
              <w:ind w:left="420" w:firstLine="464"/>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安全责任：本项目从进场</w:t>
            </w:r>
            <w:r>
              <w:rPr>
                <w:rFonts w:ascii="仿宋_GB2312" w:hAnsi="仿宋_GB2312" w:cs="仿宋_GB2312" w:eastAsia="仿宋_GB2312"/>
                <w:sz w:val="24"/>
                <w:color w:val="000000"/>
              </w:rPr>
              <w:t>服务</w:t>
            </w:r>
            <w:r>
              <w:rPr>
                <w:rFonts w:ascii="仿宋_GB2312" w:hAnsi="仿宋_GB2312" w:cs="仿宋_GB2312" w:eastAsia="仿宋_GB2312"/>
                <w:sz w:val="24"/>
                <w:color w:val="000000"/>
              </w:rPr>
              <w:t>直至</w:t>
            </w:r>
            <w:r>
              <w:rPr>
                <w:rFonts w:ascii="仿宋_GB2312" w:hAnsi="仿宋_GB2312" w:cs="仿宋_GB2312" w:eastAsia="仿宋_GB2312"/>
                <w:sz w:val="24"/>
                <w:color w:val="000000"/>
              </w:rPr>
              <w:t>3 年运维服务期满，所有进场人员人身安全、用电作业安全、现场设备财产安全、道路通行安全等全部安全风险、事故赔偿责任均由成交供应商独立承担。供应商须在投标文件中单独提交安全责任承诺函。</w:t>
            </w:r>
          </w:p>
          <w:p>
            <w:pPr>
              <w:pStyle w:val="null3"/>
              <w:spacing w:after="120"/>
              <w:ind w:left="420" w:firstLine="464"/>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质保与运维要求：项目竣工验收合格当日起计算</w:t>
            </w:r>
            <w:r>
              <w:rPr>
                <w:rFonts w:ascii="仿宋_GB2312" w:hAnsi="仿宋_GB2312" w:cs="仿宋_GB2312" w:eastAsia="仿宋_GB2312"/>
                <w:sz w:val="24"/>
                <w:color w:val="000000"/>
              </w:rPr>
              <w:t>3 年整体质保期，同时同步提供 3 年全周期常态化运维服务，巡检、故障处置、平台保障、设备校准、协议升级等所有运维相关费用全部包含在</w:t>
            </w:r>
            <w:r>
              <w:rPr>
                <w:rFonts w:ascii="仿宋_GB2312" w:hAnsi="仿宋_GB2312" w:cs="仿宋_GB2312" w:eastAsia="仿宋_GB2312"/>
                <w:sz w:val="24"/>
                <w:color w:val="000000"/>
              </w:rPr>
              <w:t>成交</w:t>
            </w:r>
            <w:r>
              <w:rPr>
                <w:rFonts w:ascii="仿宋_GB2312" w:hAnsi="仿宋_GB2312" w:cs="仿宋_GB2312" w:eastAsia="仿宋_GB2312"/>
                <w:sz w:val="24"/>
                <w:color w:val="000000"/>
              </w:rPr>
              <w:t>总价内。</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4"/>
              </w:rPr>
              <w:t>成交供应商所有勘测、安装、调试、接入、运维服务实施成果，须满足以下整体技术服务标准：</w:t>
            </w:r>
            <w:r>
              <w:br/>
            </w:r>
            <w:r>
              <w:rPr>
                <w:rFonts w:ascii="仿宋_GB2312" w:hAnsi="仿宋_GB2312" w:cs="仿宋_GB2312" w:eastAsia="仿宋_GB2312"/>
                <w:sz w:val="24"/>
              </w:rPr>
              <w:t xml:space="preserve"> 1、站点勘测备案要求</w:t>
            </w:r>
            <w:r>
              <w:br/>
            </w:r>
            <w:r>
              <w:rPr>
                <w:rFonts w:ascii="仿宋_GB2312" w:hAnsi="仿宋_GB2312" w:cs="仿宋_GB2312" w:eastAsia="仿宋_GB2312"/>
                <w:sz w:val="24"/>
              </w:rPr>
              <w:t xml:space="preserve"> (1)所有作业点位须使用指定采集 APP 采集精准桩号、六位小数经纬度信息，完整填报站点台账，整理备案资料上报省级交通运输运行调度中心完成点位登记；</w:t>
            </w:r>
            <w:r>
              <w:br/>
            </w:r>
            <w:r>
              <w:rPr>
                <w:rFonts w:ascii="仿宋_GB2312" w:hAnsi="仿宋_GB2312" w:cs="仿宋_GB2312" w:eastAsia="仿宋_GB2312"/>
                <w:sz w:val="24"/>
              </w:rPr>
              <w:t xml:space="preserve"> (2)新建点位优先选取平直、坡度小、无平交路口、无灾害易发路段，充分利用道班、桥梁、隧道口等既有配套点位，降低成本；</w:t>
            </w:r>
            <w:r>
              <w:br/>
            </w:r>
            <w:r>
              <w:rPr>
                <w:rFonts w:ascii="仿宋_GB2312" w:hAnsi="仿宋_GB2312" w:cs="仿宋_GB2312" w:eastAsia="仿宋_GB2312"/>
                <w:sz w:val="24"/>
              </w:rPr>
              <w:t xml:space="preserve"> (3)迁建站点需完成原址设施完整清点、拆除收纳，新址重新勘测、规划全套配套布设方案，完成点位信息变更备案。</w:t>
            </w:r>
            <w:r>
              <w:br/>
            </w:r>
            <w:r>
              <w:rPr>
                <w:rFonts w:ascii="仿宋_GB2312" w:hAnsi="仿宋_GB2312" w:cs="仿宋_GB2312" w:eastAsia="仿宋_GB2312"/>
                <w:sz w:val="24"/>
              </w:rPr>
              <w:t xml:space="preserve"> 2、土建及配套要求</w:t>
            </w:r>
            <w:r>
              <w:br/>
            </w:r>
            <w:r>
              <w:rPr>
                <w:rFonts w:ascii="仿宋_GB2312" w:hAnsi="仿宋_GB2312" w:cs="仿宋_GB2312" w:eastAsia="仿宋_GB2312"/>
                <w:sz w:val="24"/>
              </w:rPr>
              <w:t xml:space="preserve"> (1)杆件、龙门架基础浇筑、预埋件、立杆吊装等满足GB50009建筑荷载规范，安装牢固、防腐防锈；</w:t>
            </w:r>
            <w:r>
              <w:br/>
            </w:r>
            <w:r>
              <w:rPr>
                <w:rFonts w:ascii="仿宋_GB2312" w:hAnsi="仿宋_GB2312" w:cs="仿宋_GB2312" w:eastAsia="仿宋_GB2312"/>
                <w:sz w:val="24"/>
              </w:rPr>
              <w:t xml:space="preserve"> (2)低压配电箱、控制箱、电缆线路敷设符合 GB 50054、GB 50168 规范，全线缆做好防水、绝缘、绑扎处理； </w:t>
            </w:r>
            <w:r>
              <w:br/>
            </w:r>
            <w:r>
              <w:rPr>
                <w:rFonts w:ascii="仿宋_GB2312" w:hAnsi="仿宋_GB2312" w:cs="仿宋_GB2312" w:eastAsia="仿宋_GB2312"/>
                <w:sz w:val="24"/>
              </w:rPr>
              <w:t xml:space="preserve"> (3)全套防雷接地系统服务，接地电阻、浪涌保护、电磁防护满足 GB 50057、GB/T 17626 标准； </w:t>
            </w:r>
            <w:r>
              <w:br/>
            </w:r>
            <w:r>
              <w:rPr>
                <w:rFonts w:ascii="仿宋_GB2312" w:hAnsi="仿宋_GB2312" w:cs="仿宋_GB2312" w:eastAsia="仿宋_GB2312"/>
                <w:sz w:val="24"/>
              </w:rPr>
              <w:t xml:space="preserve"> (4)统一布设标准化公路交通调查标识，标识尺寸、安装位置、文字样式符合 GB 5768.2、JTG D82，不遮挡原有道路标志。</w:t>
            </w:r>
            <w:r>
              <w:br/>
            </w:r>
            <w:r>
              <w:rPr>
                <w:rFonts w:ascii="仿宋_GB2312" w:hAnsi="仿宋_GB2312" w:cs="仿宋_GB2312" w:eastAsia="仿宋_GB2312"/>
                <w:sz w:val="24"/>
              </w:rPr>
              <w:t xml:space="preserve"> 3、前端采集系统调试要求</w:t>
            </w:r>
            <w:r>
              <w:br/>
            </w:r>
            <w:r>
              <w:rPr>
                <w:rFonts w:ascii="仿宋_GB2312" w:hAnsi="仿宋_GB2312" w:cs="仿宋_GB2312" w:eastAsia="仿宋_GB2312"/>
                <w:sz w:val="24"/>
              </w:rPr>
              <w:t xml:space="preserve"> (1)整体系统具备 5 分钟周期自动汇总流量、平均车速功能，流量、单车数据融合计算相对误差≤5%；</w:t>
            </w:r>
            <w:r>
              <w:br/>
            </w:r>
            <w:r>
              <w:rPr>
                <w:rFonts w:ascii="仿宋_GB2312" w:hAnsi="仿宋_GB2312" w:cs="仿宋_GB2312" w:eastAsia="仿宋_GB2312"/>
                <w:sz w:val="24"/>
              </w:rPr>
              <w:t xml:space="preserve"> (2)可完整识别号牌字符、颜色，自动采集行驶方向、车道、过车时间、车速等全量车头信息，车牌数据按照 JT/T 1480 完成脱敏处理；</w:t>
            </w:r>
            <w:r>
              <w:br/>
            </w:r>
            <w:r>
              <w:rPr>
                <w:rFonts w:ascii="仿宋_GB2312" w:hAnsi="仿宋_GB2312" w:cs="仿宋_GB2312" w:eastAsia="仿宋_GB2312"/>
                <w:sz w:val="24"/>
              </w:rPr>
              <w:t xml:space="preserve"> (3)画面可叠加车牌、流量、车速、车型标注文字，标注样式符合 JT/T 1389.6 规范；</w:t>
            </w:r>
            <w:r>
              <w:br/>
            </w:r>
            <w:r>
              <w:rPr>
                <w:rFonts w:ascii="仿宋_GB2312" w:hAnsi="仿宋_GB2312" w:cs="仿宋_GB2312" w:eastAsia="仿宋_GB2312"/>
                <w:sz w:val="24"/>
              </w:rPr>
              <w:t xml:space="preserve"> (4)分车道全覆盖抓拍识别，白天号牌识别准确率≥95%、夜间≥90%，图像捕获率≥99%，可稳定识别≤140km/h 通行车辆；</w:t>
            </w:r>
            <w:r>
              <w:br/>
            </w:r>
            <w:r>
              <w:rPr>
                <w:rFonts w:ascii="仿宋_GB2312" w:hAnsi="仿宋_GB2312" w:cs="仿宋_GB2312" w:eastAsia="仿宋_GB2312"/>
                <w:sz w:val="24"/>
              </w:rPr>
              <w:t xml:space="preserve"> (5)配套补光设备采用一级环保模式，降低夜间光污染，抓拍与补光时序同步，符合 GA/T 1202 标准；</w:t>
            </w:r>
            <w:r>
              <w:br/>
            </w:r>
            <w:r>
              <w:rPr>
                <w:rFonts w:ascii="仿宋_GB2312" w:hAnsi="仿宋_GB2312" w:cs="仿宋_GB2312" w:eastAsia="仿宋_GB2312"/>
                <w:sz w:val="24"/>
              </w:rPr>
              <w:t xml:space="preserve"> (6)车型、车速采集精度满足 JT/T 1008.1，车速采集相对误差≤8%，车型识别单类误差≤10%； 系统具备本地存储能力，结构化数据存储不少于 30 天，图片视频存储不少于 15 天，存储空间不低于 4T；断电、断网后本地缓存数据不少于 7 天，通信恢复自动续传；</w:t>
            </w:r>
            <w:r>
              <w:br/>
            </w:r>
            <w:r>
              <w:rPr>
                <w:rFonts w:ascii="仿宋_GB2312" w:hAnsi="仿宋_GB2312" w:cs="仿宋_GB2312" w:eastAsia="仿宋_GB2312"/>
                <w:sz w:val="24"/>
              </w:rPr>
              <w:t xml:space="preserve"> (7)设备支持远程重启、远程修改传输参数，系统自动校时，24 小时时间误差≤3 秒；</w:t>
            </w:r>
            <w:r>
              <w:br/>
            </w:r>
            <w:r>
              <w:rPr>
                <w:rFonts w:ascii="仿宋_GB2312" w:hAnsi="仿宋_GB2312" w:cs="仿宋_GB2312" w:eastAsia="仿宋_GB2312"/>
                <w:sz w:val="24"/>
              </w:rPr>
              <w:t xml:space="preserve"> (8)户外设备整体防护等级达到 IP65及以上，适应 - 20℃~+70℃环境，防尘防水耐腐蚀。</w:t>
            </w:r>
            <w:r>
              <w:br/>
            </w:r>
            <w:r>
              <w:rPr>
                <w:rFonts w:ascii="仿宋_GB2312" w:hAnsi="仿宋_GB2312" w:cs="仿宋_GB2312" w:eastAsia="仿宋_GB2312"/>
                <w:sz w:val="24"/>
              </w:rPr>
              <w:t xml:space="preserve"> 4、传输与网络安全调试要求</w:t>
            </w:r>
            <w:r>
              <w:br/>
            </w:r>
            <w:r>
              <w:rPr>
                <w:rFonts w:ascii="仿宋_GB2312" w:hAnsi="仿宋_GB2312" w:cs="仿宋_GB2312" w:eastAsia="仿宋_GB2312"/>
                <w:sz w:val="24"/>
              </w:rPr>
              <w:t xml:space="preserve"> (1)优先布设有线传输链路，有线带宽不低于 10M；无线 VPN 月流量不低于 100G，支持全网通 4G 冗余传输；</w:t>
            </w:r>
            <w:r>
              <w:br/>
            </w:r>
            <w:r>
              <w:rPr>
                <w:rFonts w:ascii="仿宋_GB2312" w:hAnsi="仿宋_GB2312" w:cs="仿宋_GB2312" w:eastAsia="仿宋_GB2312"/>
                <w:sz w:val="24"/>
              </w:rPr>
              <w:t xml:space="preserve"> (2)分配固定公网 / 政务 IP，支持远程访问、管控所有前端设施；</w:t>
            </w:r>
            <w:r>
              <w:br/>
            </w:r>
            <w:r>
              <w:rPr>
                <w:rFonts w:ascii="仿宋_GB2312" w:hAnsi="仿宋_GB2312" w:cs="仿宋_GB2312" w:eastAsia="仿宋_GB2312"/>
                <w:sz w:val="24"/>
              </w:rPr>
              <w:t xml:space="preserve"> (3)数据严格按照 JT/T 1008.2 协议上传，采用标准单车数据包格式，完整上传车型、车牌、车速、号牌颜色字段；后期国家更新通信规范后，免费完成全站点适配升级；</w:t>
            </w:r>
            <w:r>
              <w:br/>
            </w:r>
            <w:r>
              <w:rPr>
                <w:rFonts w:ascii="仿宋_GB2312" w:hAnsi="仿宋_GB2312" w:cs="仿宋_GB2312" w:eastAsia="仿宋_GB2312"/>
                <w:sz w:val="24"/>
              </w:rPr>
              <w:t xml:space="preserve"> (4)网络架构满足三级及以上网络安全等保要求，落实个人信息、数据安全防护，符合《网络安全法》《数据安全法》及 GB/T 22239、GB/T 35273 相关要求。</w:t>
            </w:r>
            <w:r>
              <w:br/>
            </w:r>
            <w:r>
              <w:rPr>
                <w:rFonts w:ascii="仿宋_GB2312" w:hAnsi="仿宋_GB2312" w:cs="仿宋_GB2312" w:eastAsia="仿宋_GB2312"/>
                <w:sz w:val="24"/>
              </w:rPr>
              <w:t xml:space="preserve"> 5、省级平台接入测试要求</w:t>
            </w:r>
            <w:r>
              <w:br/>
            </w:r>
            <w:r>
              <w:rPr>
                <w:rFonts w:ascii="仿宋_GB2312" w:hAnsi="仿宋_GB2312" w:cs="仿宋_GB2312" w:eastAsia="仿宋_GB2312"/>
                <w:sz w:val="24"/>
              </w:rPr>
              <w:t xml:space="preserve"> (1)完工后提交正式接入申请，配合完成不少于 1 个月省、部级全周期联调测试；</w:t>
            </w:r>
            <w:r>
              <w:br/>
            </w:r>
            <w:r>
              <w:rPr>
                <w:rFonts w:ascii="仿宋_GB2312" w:hAnsi="仿宋_GB2312" w:cs="仿宋_GB2312" w:eastAsia="仿宋_GB2312"/>
                <w:sz w:val="24"/>
              </w:rPr>
              <w:t xml:space="preserve"> (2)持续优化运行指标，月度设备在线率≥70%，每月有效采集天数≥20 天，数据及时率≥90%，数据完整率≥85%，号牌识别准确率≥99.5%，视频设备月度可用率≥60%；</w:t>
            </w:r>
            <w:r>
              <w:br/>
            </w:r>
            <w:r>
              <w:rPr>
                <w:rFonts w:ascii="仿宋_GB2312" w:hAnsi="仿宋_GB2312" w:cs="仿宋_GB2312" w:eastAsia="仿宋_GB2312"/>
                <w:sz w:val="24"/>
              </w:rPr>
              <w:t xml:space="preserve"> (3)所有测试问题限时闭环整改，出具正式接入合格报告，全套测试资料、台账、图纸移交采购人归档。</w:t>
            </w:r>
            <w:r>
              <w:br/>
            </w:r>
            <w:r>
              <w:rPr>
                <w:rFonts w:ascii="仿宋_GB2312" w:hAnsi="仿宋_GB2312" w:cs="仿宋_GB2312" w:eastAsia="仿宋_GB2312"/>
                <w:sz w:val="24"/>
              </w:rPr>
              <w:t xml:space="preserve"> 6、三年运维服务实施要求</w:t>
            </w:r>
            <w:r>
              <w:br/>
            </w:r>
            <w:r>
              <w:rPr>
                <w:rFonts w:ascii="仿宋_GB2312" w:hAnsi="仿宋_GB2312" w:cs="仿宋_GB2312" w:eastAsia="仿宋_GB2312"/>
                <w:sz w:val="24"/>
              </w:rPr>
              <w:t xml:space="preserve"> (1)线上运维：每日远程巡查所有站点在线、采集状态，留存完整线上巡检记录；</w:t>
            </w:r>
            <w:r>
              <w:br/>
            </w:r>
            <w:r>
              <w:rPr>
                <w:rFonts w:ascii="仿宋_GB2312" w:hAnsi="仿宋_GB2312" w:cs="仿宋_GB2312" w:eastAsia="仿宋_GB2312"/>
                <w:sz w:val="24"/>
              </w:rPr>
              <w:t xml:space="preserve"> (2)线下巡检：每年不少于 4 次全路段现场巡检，开展杆件紧固、镜头清洁、供电防雷隐患排查、现场环境清理，出具书面巡检整改报告；每 2 年开展一次全套设备精度复测校准；</w:t>
            </w:r>
            <w:r>
              <w:br/>
            </w:r>
            <w:r>
              <w:rPr>
                <w:rFonts w:ascii="仿宋_GB2312" w:hAnsi="仿宋_GB2312" w:cs="仿宋_GB2312" w:eastAsia="仿宋_GB2312"/>
                <w:sz w:val="24"/>
              </w:rPr>
              <w:t xml:space="preserve"> (3)故障处置：7×24 小时技术支持，故障 30 分钟内响应；软件、平台类故障 5 小时内修复；外场硬件故障 5 个自然日内更换备件、恢复正常采集；</w:t>
            </w:r>
            <w:r>
              <w:br/>
            </w:r>
            <w:r>
              <w:rPr>
                <w:rFonts w:ascii="仿宋_GB2312" w:hAnsi="仿宋_GB2312" w:cs="仿宋_GB2312" w:eastAsia="仿宋_GB2312"/>
                <w:sz w:val="24"/>
              </w:rPr>
              <w:t xml:space="preserve"> (4)运维全周期免费提供参数优化、传输协议升级、上级专项检查技术保障；</w:t>
            </w:r>
            <w:r>
              <w:br/>
            </w:r>
            <w:r>
              <w:rPr>
                <w:rFonts w:ascii="仿宋_GB2312" w:hAnsi="仿宋_GB2312" w:cs="仿宋_GB2312" w:eastAsia="仿宋_GB2312"/>
                <w:sz w:val="24"/>
              </w:rPr>
              <w:t xml:space="preserve"> (5)运维期满完成全套运维资料、备品台账、设备使用资料完整移交采购人，并开展运维交接培训。</w:t>
            </w:r>
            <w:r>
              <w:br/>
            </w:r>
            <w:r>
              <w:rPr>
                <w:rFonts w:ascii="仿宋_GB2312" w:hAnsi="仿宋_GB2312" w:cs="仿宋_GB2312" w:eastAsia="仿宋_GB2312"/>
                <w:sz w:val="24"/>
              </w:rPr>
              <w:t xml:space="preserve"> 7、本次项目实施需符合以下相关国家标准和行业标准:</w:t>
            </w:r>
            <w:r>
              <w:br/>
            </w:r>
            <w:r>
              <w:rPr>
                <w:rFonts w:ascii="仿宋_GB2312" w:hAnsi="仿宋_GB2312" w:cs="仿宋_GB2312" w:eastAsia="仿宋_GB2312"/>
                <w:sz w:val="24"/>
              </w:rPr>
              <w:t xml:space="preserve"> JT/T 1008.1-2015《公路交通情况调查设备第 1 部分：技术条件》</w:t>
            </w:r>
            <w:r>
              <w:br/>
            </w:r>
            <w:r>
              <w:rPr>
                <w:rFonts w:ascii="仿宋_GB2312" w:hAnsi="仿宋_GB2312" w:cs="仿宋_GB2312" w:eastAsia="仿宋_GB2312"/>
                <w:sz w:val="24"/>
              </w:rPr>
              <w:t xml:space="preserve"> JT/T 604-2024《汽车号牌视频自动识别系统》</w:t>
            </w:r>
            <w:r>
              <w:br/>
            </w:r>
            <w:r>
              <w:rPr>
                <w:rFonts w:ascii="仿宋_GB2312" w:hAnsi="仿宋_GB2312" w:cs="仿宋_GB2312" w:eastAsia="仿宋_GB2312"/>
                <w:sz w:val="24"/>
              </w:rPr>
              <w:t xml:space="preserve"> JT/T 1008.2-2015《公路交通情况调查设备第 2 部分：通信协议》</w:t>
            </w:r>
            <w:r>
              <w:br/>
            </w:r>
            <w:r>
              <w:rPr>
                <w:rFonts w:ascii="仿宋_GB2312" w:hAnsi="仿宋_GB2312" w:cs="仿宋_GB2312" w:eastAsia="仿宋_GB2312"/>
                <w:sz w:val="24"/>
              </w:rPr>
              <w:t xml:space="preserve"> GB 5768.2-2022《道路交通标志和标线第 2 部分：道路交通标志》</w:t>
            </w:r>
            <w:r>
              <w:br/>
            </w:r>
            <w:r>
              <w:rPr>
                <w:rFonts w:ascii="仿宋_GB2312" w:hAnsi="仿宋_GB2312" w:cs="仿宋_GB2312" w:eastAsia="仿宋_GB2312"/>
                <w:sz w:val="24"/>
              </w:rPr>
              <w:t xml:space="preserve"> 《四川省普通国省道多功能交通调查站建设技术指南（试行）》（川交函〔2025〕447 号） 注：以上全部文件现行有效，实施中若与国家、行业最新规范冲突，以最新标准为准。</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1095日历天（签订合同之日起60日内完成项目所有工作，运维服务期为3年）</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天全县</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1、验收、交付标准：严格按照政府采购相关法律法规以及财政部关于印发《政府采购需求管理办法》的通知（财库〔2021〕22号）、《财政部关于进一步加强政府采购需求和履约验收管理的指导意见》(财库〔2016〕205号) 和《雅安市财政局关于规范政府采购履约验收工作的通知》（雅财采〔2021〕50号）的要求及四川省交通运输厅关于印发《四川省普通国省道多功能交通调查站建设技术指南（试行）》的通知进行验收。 2、验收方法：验收由采购⼈组织，成交供应商配合进⾏。</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预付款付款条件：双方签订合同生效后，采购人收到成交供应商出具的票据凭证等相关资料后。达到该付款条件起5个工作日内，支付合同总金额的40.0%</w:t>
            </w:r>
            <w:r>
              <w:br/>
            </w:r>
            <w:r>
              <w:rPr>
                <w:rFonts w:ascii="仿宋_GB2312" w:hAnsi="仿宋_GB2312" w:cs="仿宋_GB2312" w:eastAsia="仿宋_GB2312"/>
              </w:rPr>
              <w:t>2、</w:t>
            </w:r>
            <w:r>
              <w:rPr>
                <w:rFonts w:ascii="仿宋_GB2312" w:hAnsi="仿宋_GB2312" w:cs="仿宋_GB2312" w:eastAsia="仿宋_GB2312"/>
              </w:rPr>
              <w:t>进度款付款条件：服务通过采购人验收合格后，采购人收到成交供应商出具的票据凭证等相关资料后。达到该付款条件起10个工作日内，支付合同总金额的50.0%</w:t>
            </w:r>
            <w:r>
              <w:br/>
            </w:r>
            <w:r>
              <w:rPr>
                <w:rFonts w:ascii="仿宋_GB2312" w:hAnsi="仿宋_GB2312" w:cs="仿宋_GB2312" w:eastAsia="仿宋_GB2312"/>
              </w:rPr>
              <w:t>3、</w:t>
            </w:r>
            <w:r>
              <w:rPr>
                <w:rFonts w:ascii="仿宋_GB2312" w:hAnsi="仿宋_GB2312" w:cs="仿宋_GB2312" w:eastAsia="仿宋_GB2312"/>
              </w:rPr>
              <w:t>尾款付款条件：剩余签约合同总金额的10%在服务期届满后，采购人收到成交供应商出具的票据凭证等相关资料后。达到该付款条件起10个工作日内，支付合同总金额的10.0%</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（一）甲方违约责任 1、甲方应遵守本合同并执行合同中的各项规定，保证本合同的正常履行； 2、甲方逾期支付合同款项的，除应及时付足合同款项外，应向乙方偿付欠款总额万分之一 /天的违约金；逾期付款超过一百八十个工作日的，乙方有权终止合同； 3、甲方偿付的违约金不足以弥补乙方损失的，还应按乙方经济损失尚未弥补的部分，支付赔偿金给乙方。 （二）乙方违约责任 1、乙方必须遵守采购合同并执行合同中的各项规定，保证采购合同的正常履行； 2、如因乙方工作人员在履行职务过程中的疏忽、失职、过错等故意或者过失原因给甲方造成损失或侵害，包括但不限于甲方本身的财产损失，由此而导致的甲方对任何第三方的法律责任等，乙方对此均应承担全部的赔偿责任； 3、乙方必须遵守采购合同按时完成合同相关工作，若由于乙方原因导致合同迟延履行，乙方应承担采购合同中约定的违约金。 4、延期处罚：除人力不可抗拒因素外（如地震、战争等），工期不得延误。如未按工期完成，工期每延误一天，每天扣除合同总金额0.03％的违约金；逾期超过20天，甲方有权终止合同，乙方则应按合同总价的百分之十的款额向甲方偿付违约金，并须全额退还甲方已经付给乙方的费用及其利息； 5、乙方应当遵守甲方的相关项目需求及相关技术要求及实质性条款，实施完成采购合同应当完全满足相关项目需求及相关技术要求及实质性条款，若乙方瑕疵履行采购合同，甲方有权向乙方要求赔偿合同总金额10%的违约金，若造成相关损失的，甲方有权要求乙方承担所有赔偿责任； （三）解决争议的方法 解决争议的⽅法 合同履⾏期间，若双⽅发⽣争议，可协商或由有关部⻔调解解决；协商或调解不成的，向项⽬所在地有管辖权的⼈⺠法院起诉。</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一、其他要求（一）天全沙坪站点新增设备选取充分考虑与原有交调设备的兼容问题。 （二）交通调查数据接入省级交调系统、视频接入省/市两级视频监测系统。 （三）项目整体竣工验收并完成资产移交手续后，本项目全部杆件、机柜、采集配套、线缆辅材等所有落地设施资产所有权完全归属采购人，成交供应商仅拥有服务、质保周期内现场运维操作权限，无权私自迁移、拆除、扣押、处置任何站点固定资产。 （四）成交供应商在实施过程中必须配合和接受相关单位的监督、检查、审核和技术指导，同时负责编制、归档资料，在采购人需要的情况协助采购人完成与本项目相关的其他资料的编制、归档工作。二、其他未尽事宜由双方共同协商在合同中约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第三章“技术、服务及其他要求”中“3.2.技术要求”，“3.3.服务要求”</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第七章“拟签订采购合同文本”</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 xml:space="preserve">按方案相关要求 </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详细评审87.00分</w:t>
            </w:r>
          </w:p>
          <w:p>
            <w:pPr>
              <w:pStyle w:val="null3"/>
              <w:jc w:val="left"/>
            </w:pPr>
            <w:r>
              <w:rPr>
                <w:rFonts w:ascii="仿宋_GB2312" w:hAnsi="仿宋_GB2312" w:cs="仿宋_GB2312" w:eastAsia="仿宋_GB2312"/>
              </w:rPr>
              <w:t>报价得分13.00分</w:t>
            </w:r>
          </w:p>
        </w:tc>
      </w:tr>
      <w:tr>
        <w:tc>
          <w:tcPr>
            <w:tcW w:type="dxa" w:w="831"/>
          </w:tcPr>
          <w:p>
            <w:pPr>
              <w:pStyle w:val="null3"/>
              <w:jc w:val="center"/>
            </w:pPr>
            <w:r>
              <w:rPr>
                <w:rFonts w:ascii="仿宋_GB2312" w:hAnsi="仿宋_GB2312" w:cs="仿宋_GB2312" w:eastAsia="仿宋_GB2312"/>
              </w:rPr>
              <w:t xml:space="preserve"> 评审内容分类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2023年1月1日至今（以合同签订时间为准），每承担过1个类似项目业绩得2分，最多得6分。注：①类似项目是指：多功能交通勘测、安装调试、平台接入、运维类服务相关类似项目。②需提供合同复印件，未按要求提供不得分。</w:t>
            </w:r>
          </w:p>
        </w:tc>
        <w:tc>
          <w:tcPr>
            <w:tcW w:type="dxa" w:w="831"/>
          </w:tcPr>
          <w:p>
            <w:pPr>
              <w:pStyle w:val="null3"/>
              <w:jc w:val="center"/>
            </w:pPr>
            <w:r>
              <w:rPr>
                <w:rFonts w:ascii="仿宋_GB2312" w:hAnsi="仿宋_GB2312" w:cs="仿宋_GB2312" w:eastAsia="仿宋_GB2312"/>
              </w:rPr>
              <w:t>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服务团队人员配置</w:t>
            </w:r>
          </w:p>
        </w:tc>
        <w:tc>
          <w:tcPr>
            <w:tcW w:type="dxa" w:w="2575"/>
          </w:tcPr>
          <w:p>
            <w:pPr>
              <w:pStyle w:val="null3"/>
              <w:jc w:val="left"/>
            </w:pPr>
            <w:r>
              <w:rPr>
                <w:rFonts w:ascii="仿宋_GB2312" w:hAnsi="仿宋_GB2312" w:cs="仿宋_GB2312" w:eastAsia="仿宋_GB2312"/>
              </w:rPr>
              <w:t>项目负责人（1人）：具有全国计算机技术与软件专业技术资格中级证书，或电子信息类、计算机类相关专业中级职称的，得3分；具有全国计算机技术与软件专业技术资格高级证书，或电子信息类、计算机类相关专业高级及以上职称的，得7分。 项目组成员：每有1名人员持有全国计算机技术与软件专业技术资格中级及以上资格证书，或电子信息类、计算机类相关专业中级及以上职称的，得3分，本项最高得9分。 注：签订合同时提供人员在职证明，合同履行一个月时提供相关人员社保证明，响应时需提供承诺函，提供相关证书的复印件，并加盖供应商公章，未按要求提供不得分。</w:t>
            </w:r>
          </w:p>
        </w:tc>
        <w:tc>
          <w:tcPr>
            <w:tcW w:type="dxa" w:w="831"/>
          </w:tcPr>
          <w:p>
            <w:pPr>
              <w:pStyle w:val="null3"/>
              <w:jc w:val="center"/>
            </w:pPr>
            <w:r>
              <w:rPr>
                <w:rFonts w:ascii="仿宋_GB2312" w:hAnsi="仿宋_GB2312" w:cs="仿宋_GB2312" w:eastAsia="仿宋_GB2312"/>
              </w:rPr>
              <w:t>16.0000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实施方案</w:t>
            </w:r>
          </w:p>
        </w:tc>
        <w:tc>
          <w:tcPr>
            <w:tcW w:type="dxa" w:w="2575"/>
          </w:tcPr>
          <w:p>
            <w:pPr>
              <w:pStyle w:val="null3"/>
              <w:jc w:val="left"/>
            </w:pPr>
            <w:r>
              <w:rPr>
                <w:rFonts w:ascii="仿宋_GB2312" w:hAnsi="仿宋_GB2312" w:cs="仿宋_GB2312" w:eastAsia="仿宋_GB2312"/>
              </w:rPr>
              <w:t>供应商须提供全流程专项服务实施方案，方案应包含①项目重点难点分析；②全流程服务质量管控方案；③现场作业安全服务方案；④工期保障措施；⑤点位勘测与系统联调服务方案；⑥运维方案；⑦实施过程应急保障措施。根据以上七点内容进行综合评审，方案完全符合项目需求的得35分，每有⼀项缺失或漏项的扣5分，每有⼀项内容存在缺陷或不⾜的扣2.5分，扣完为⽌。 （1.缺失或漏项是指：要求提供的方案点内容缺失；2.缺陷或不⾜是指：存在项⽬名称错误、地点区域错误、内容与本项⽬需求⽆关与实际情况不匹配、不符合项⽬特点、仅有框架或标题、套⽤其他项⽬⽅案或存在明显与本项⽬⽆关的⽂字、适⽤的标准（⽅法）错误、质控、安全、应急、联调服务方案未涵盖项目实施各流程、工期保障措施无关键节点说明和对应的保障措施、运维方案无团队人员投入及分工、设备资金投入计划、点位勘测与项目选址不一致等任意⼀种情形。</w:t>
            </w:r>
          </w:p>
        </w:tc>
        <w:tc>
          <w:tcPr>
            <w:tcW w:type="dxa" w:w="831"/>
          </w:tcPr>
          <w:p>
            <w:pPr>
              <w:pStyle w:val="null3"/>
              <w:jc w:val="center"/>
            </w:pPr>
            <w:r>
              <w:rPr>
                <w:rFonts w:ascii="仿宋_GB2312" w:hAnsi="仿宋_GB2312" w:cs="仿宋_GB2312" w:eastAsia="仿宋_GB2312"/>
              </w:rPr>
              <w:t>35.0000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售后服务方案</w:t>
            </w:r>
          </w:p>
        </w:tc>
        <w:tc>
          <w:tcPr>
            <w:tcW w:type="dxa" w:w="2575"/>
          </w:tcPr>
          <w:p>
            <w:pPr>
              <w:pStyle w:val="null3"/>
              <w:jc w:val="left"/>
            </w:pPr>
            <w:r>
              <w:rPr>
                <w:rFonts w:ascii="仿宋_GB2312" w:hAnsi="仿宋_GB2312" w:cs="仿宋_GB2312" w:eastAsia="仿宋_GB2312"/>
              </w:rPr>
              <w:t>供应商须提供全流程专项售后服务方案，方案应包含①售后服务的内容与范围；②人员驻场与技术培训方案；③系统迭代升级保障方案；④定期巡检服务方案；⑤售后服务应急保障措施；根据以上五点内容进行综合评审，方案完全符合项目需求的得30分，每有⼀项缺失或漏项的扣6分，每有⼀项内容存在缺陷或不⾜的扣3分，扣完为⽌。 （1.缺失或漏项是指：要求提供的方案点内容缺失；2.缺陷或不⾜是指：存在项⽬名称错误、地点区域错误、内容与本项⽬需求⽆关与实际情况不匹配、不符合项⽬特点、仅有框架或标题、套⽤其他项⽬⽅案或存在明显与本项⽬⽆关的⽂字、适⽤的标准（⽅法）错误等任意⼀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报价得分=(基准价／评审价)×分值。满足采购文件要求且评审价最低的为基准价，因落实政府采购政策进行价格调整的，以调整后的价格计算基准价和评审价。注：不涉及价格扣除的评审价=最后报价，涉及价格扣除的评审价=最后报价×（1-扣除比例）。</w:t>
            </w:r>
          </w:p>
        </w:tc>
        <w:tc>
          <w:tcPr>
            <w:tcW w:type="dxa" w:w="831"/>
          </w:tcPr>
          <w:p>
            <w:pPr>
              <w:pStyle w:val="null3"/>
              <w:jc w:val="center"/>
            </w:pPr>
            <w:r>
              <w:rPr>
                <w:rFonts w:ascii="仿宋_GB2312" w:hAnsi="仿宋_GB2312" w:cs="仿宋_GB2312" w:eastAsia="仿宋_GB2312"/>
              </w:rPr>
              <w:t>13.0000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