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emf" ContentType="image/x-emf"/>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AD0BC4">
      <w:pPr>
        <w:spacing w:line="480" w:lineRule="exact"/>
        <w:jc w:val="left"/>
        <w:rPr>
          <w:rFonts w:hint="eastAsia" w:ascii="仿宋" w:hAnsi="仿宋" w:eastAsia="仿宋" w:cs="仿宋"/>
          <w:sz w:val="32"/>
          <w:szCs w:val="32"/>
          <w:highlight w:val="none"/>
        </w:rPr>
      </w:pPr>
    </w:p>
    <w:p w14:paraId="2C9E9975">
      <w:pPr>
        <w:spacing w:line="360" w:lineRule="auto"/>
        <w:ind w:firstLine="260" w:firstLineChars="50"/>
        <w:jc w:val="center"/>
        <w:rPr>
          <w:rFonts w:hint="eastAsia" w:ascii="仿宋" w:hAnsi="仿宋" w:eastAsia="仿宋" w:cs="仿宋"/>
          <w:b/>
          <w:sz w:val="52"/>
          <w:szCs w:val="52"/>
          <w:highlight w:val="none"/>
        </w:rPr>
      </w:pPr>
    </w:p>
    <w:p w14:paraId="610C6B58">
      <w:pPr>
        <w:spacing w:line="360" w:lineRule="auto"/>
        <w:ind w:firstLine="260" w:firstLineChars="50"/>
        <w:jc w:val="center"/>
        <w:rPr>
          <w:rFonts w:hint="eastAsia" w:ascii="仿宋" w:hAnsi="仿宋" w:eastAsia="仿宋" w:cs="仿宋"/>
          <w:b/>
          <w:sz w:val="52"/>
          <w:szCs w:val="52"/>
          <w:highlight w:val="none"/>
        </w:rPr>
      </w:pPr>
    </w:p>
    <w:p w14:paraId="3A01329E">
      <w:pPr>
        <w:spacing w:line="360" w:lineRule="auto"/>
        <w:ind w:firstLine="260" w:firstLineChars="50"/>
        <w:jc w:val="center"/>
        <w:rPr>
          <w:rFonts w:hint="eastAsia" w:ascii="仿宋" w:hAnsi="仿宋" w:eastAsia="仿宋" w:cs="仿宋"/>
          <w:b/>
          <w:sz w:val="52"/>
          <w:szCs w:val="52"/>
          <w:highlight w:val="none"/>
        </w:rPr>
      </w:pPr>
    </w:p>
    <w:p w14:paraId="70C0E387">
      <w:pPr>
        <w:spacing w:line="360" w:lineRule="auto"/>
        <w:ind w:firstLine="260" w:firstLineChars="50"/>
        <w:jc w:val="center"/>
        <w:rPr>
          <w:rFonts w:hint="eastAsia" w:ascii="仿宋" w:hAnsi="仿宋" w:eastAsia="仿宋" w:cs="仿宋"/>
          <w:b/>
          <w:sz w:val="52"/>
          <w:szCs w:val="52"/>
          <w:highlight w:val="none"/>
        </w:rPr>
      </w:pPr>
    </w:p>
    <w:p w14:paraId="38EA392F">
      <w:pPr>
        <w:spacing w:line="360" w:lineRule="auto"/>
        <w:ind w:firstLine="260" w:firstLineChars="50"/>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t>辽宁省政府采购项目</w:t>
      </w:r>
    </w:p>
    <w:p w14:paraId="3F02D3A1">
      <w:pPr>
        <w:spacing w:line="360" w:lineRule="auto"/>
        <w:ind w:firstLine="260" w:firstLineChars="50"/>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t>工程类竞争性磋商</w:t>
      </w:r>
    </w:p>
    <w:p w14:paraId="2E5A31FA">
      <w:pPr>
        <w:spacing w:line="360" w:lineRule="auto"/>
        <w:ind w:firstLine="260" w:firstLineChars="50"/>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t>采购文件</w:t>
      </w:r>
    </w:p>
    <w:p w14:paraId="6B233486">
      <w:pPr>
        <w:spacing w:line="480" w:lineRule="exact"/>
        <w:jc w:val="center"/>
        <w:rPr>
          <w:rFonts w:hint="eastAsia" w:ascii="仿宋" w:hAnsi="仿宋" w:eastAsia="仿宋" w:cs="仿宋"/>
          <w:b/>
          <w:sz w:val="24"/>
          <w:highlight w:val="none"/>
        </w:rPr>
      </w:pPr>
    </w:p>
    <w:p w14:paraId="017A3BA7">
      <w:pPr>
        <w:spacing w:line="480" w:lineRule="exact"/>
        <w:jc w:val="center"/>
        <w:rPr>
          <w:rFonts w:hint="eastAsia" w:ascii="仿宋" w:hAnsi="仿宋" w:eastAsia="仿宋" w:cs="仿宋"/>
          <w:b/>
          <w:sz w:val="24"/>
          <w:highlight w:val="none"/>
        </w:rPr>
      </w:pPr>
    </w:p>
    <w:p w14:paraId="184CF465">
      <w:pPr>
        <w:spacing w:line="480" w:lineRule="exact"/>
        <w:jc w:val="center"/>
        <w:rPr>
          <w:rFonts w:hint="eastAsia" w:ascii="仿宋" w:hAnsi="仿宋" w:eastAsia="仿宋" w:cs="仿宋"/>
          <w:b/>
          <w:sz w:val="24"/>
          <w:highlight w:val="none"/>
        </w:rPr>
      </w:pPr>
    </w:p>
    <w:p w14:paraId="5B649BFC">
      <w:pPr>
        <w:spacing w:line="480" w:lineRule="exact"/>
        <w:jc w:val="center"/>
        <w:rPr>
          <w:rFonts w:hint="eastAsia" w:ascii="仿宋" w:hAnsi="仿宋" w:eastAsia="仿宋" w:cs="仿宋"/>
          <w:b/>
          <w:sz w:val="24"/>
          <w:highlight w:val="none"/>
        </w:rPr>
      </w:pPr>
    </w:p>
    <w:p w14:paraId="339AD976">
      <w:pPr>
        <w:spacing w:line="480" w:lineRule="exact"/>
        <w:jc w:val="center"/>
        <w:rPr>
          <w:rFonts w:hint="eastAsia" w:ascii="仿宋" w:hAnsi="仿宋" w:eastAsia="仿宋" w:cs="仿宋"/>
          <w:b/>
          <w:sz w:val="24"/>
          <w:highlight w:val="none"/>
        </w:rPr>
      </w:pPr>
    </w:p>
    <w:p w14:paraId="680D245E">
      <w:pPr>
        <w:spacing w:line="480" w:lineRule="exact"/>
        <w:jc w:val="center"/>
        <w:rPr>
          <w:rFonts w:hint="eastAsia" w:ascii="仿宋" w:hAnsi="仿宋" w:eastAsia="仿宋" w:cs="仿宋"/>
          <w:b/>
          <w:sz w:val="24"/>
          <w:highlight w:val="none"/>
        </w:rPr>
      </w:pPr>
    </w:p>
    <w:p w14:paraId="7EA6643A">
      <w:pPr>
        <w:spacing w:line="480" w:lineRule="exact"/>
        <w:jc w:val="center"/>
        <w:rPr>
          <w:rFonts w:hint="eastAsia" w:ascii="仿宋" w:hAnsi="仿宋" w:eastAsia="仿宋" w:cs="仿宋"/>
          <w:b/>
          <w:sz w:val="24"/>
          <w:highlight w:val="none"/>
        </w:rPr>
      </w:pPr>
    </w:p>
    <w:p w14:paraId="6EBF3CA1">
      <w:pPr>
        <w:spacing w:line="480" w:lineRule="exact"/>
        <w:jc w:val="center"/>
        <w:rPr>
          <w:rFonts w:hint="eastAsia" w:ascii="仿宋" w:hAnsi="仿宋" w:eastAsia="仿宋" w:cs="仿宋"/>
          <w:b/>
          <w:sz w:val="24"/>
          <w:highlight w:val="none"/>
        </w:rPr>
      </w:pPr>
    </w:p>
    <w:p w14:paraId="0D22D3F0">
      <w:pPr>
        <w:spacing w:line="480" w:lineRule="exact"/>
        <w:jc w:val="center"/>
        <w:rPr>
          <w:rFonts w:hint="eastAsia" w:ascii="仿宋" w:hAnsi="仿宋" w:eastAsia="仿宋" w:cs="仿宋"/>
          <w:b/>
          <w:sz w:val="24"/>
          <w:highlight w:val="none"/>
        </w:rPr>
      </w:pPr>
    </w:p>
    <w:p w14:paraId="3CFB00D5">
      <w:pPr>
        <w:spacing w:line="360" w:lineRule="auto"/>
        <w:ind w:firstLine="846" w:firstLineChars="235"/>
        <w:rPr>
          <w:rFonts w:hint="eastAsia" w:ascii="仿宋" w:hAnsi="仿宋" w:eastAsia="仿宋" w:cs="仿宋"/>
          <w:bCs/>
          <w:sz w:val="36"/>
          <w:szCs w:val="36"/>
          <w:highlight w:val="none"/>
        </w:rPr>
      </w:pPr>
      <w:r>
        <w:rPr>
          <w:rFonts w:hint="eastAsia" w:ascii="仿宋" w:hAnsi="仿宋" w:eastAsia="仿宋" w:cs="仿宋"/>
          <w:bCs/>
          <w:sz w:val="36"/>
          <w:szCs w:val="36"/>
          <w:highlight w:val="none"/>
        </w:rPr>
        <w:t>项目名称：新庄子镇曹家村、南马村、九道村、新庄子村、姜木村、李坨村联合发展修建冷库项目-设备、10KV配电、配套工程</w:t>
      </w:r>
    </w:p>
    <w:p w14:paraId="64341699">
      <w:pPr>
        <w:spacing w:line="360" w:lineRule="auto"/>
        <w:ind w:firstLine="846" w:firstLineChars="235"/>
        <w:rPr>
          <w:rFonts w:hint="eastAsia" w:ascii="仿宋" w:hAnsi="仿宋" w:eastAsia="仿宋" w:cs="仿宋"/>
          <w:bCs/>
          <w:sz w:val="36"/>
          <w:szCs w:val="36"/>
          <w:highlight w:val="none"/>
        </w:rPr>
      </w:pPr>
      <w:r>
        <w:rPr>
          <w:rFonts w:hint="eastAsia" w:ascii="仿宋" w:hAnsi="仿宋" w:eastAsia="仿宋" w:cs="仿宋"/>
          <w:bCs/>
          <w:sz w:val="36"/>
          <w:szCs w:val="36"/>
          <w:highlight w:val="none"/>
        </w:rPr>
        <w:t>项目编号：</w:t>
      </w:r>
      <w:r>
        <w:rPr>
          <w:rFonts w:hint="eastAsia" w:ascii="仿宋" w:hAnsi="仿宋" w:eastAsia="仿宋" w:cs="仿宋"/>
          <w:sz w:val="36"/>
          <w:szCs w:val="44"/>
          <w:highlight w:val="none"/>
        </w:rPr>
        <w:t>JH26-210781-00480</w:t>
      </w:r>
    </w:p>
    <w:p w14:paraId="5338BE8F">
      <w:pPr>
        <w:spacing w:line="360" w:lineRule="auto"/>
        <w:ind w:firstLine="846" w:firstLineChars="235"/>
        <w:rPr>
          <w:rFonts w:hint="eastAsia" w:ascii="仿宋" w:hAnsi="仿宋" w:eastAsia="仿宋" w:cs="仿宋"/>
          <w:bCs/>
          <w:sz w:val="36"/>
          <w:szCs w:val="36"/>
          <w:highlight w:val="none"/>
        </w:rPr>
      </w:pPr>
      <w:r>
        <w:rPr>
          <w:rFonts w:hint="eastAsia" w:ascii="仿宋" w:hAnsi="仿宋" w:eastAsia="仿宋" w:cs="仿宋"/>
          <w:bCs/>
          <w:sz w:val="36"/>
          <w:szCs w:val="36"/>
          <w:highlight w:val="none"/>
        </w:rPr>
        <w:t>编制单位：辽宁胜权项目管理有限公司</w:t>
      </w:r>
    </w:p>
    <w:p w14:paraId="15B27099">
      <w:pPr>
        <w:ind w:firstLine="846" w:firstLineChars="235"/>
        <w:jc w:val="center"/>
        <w:rPr>
          <w:rFonts w:hint="eastAsia" w:ascii="仿宋" w:hAnsi="仿宋" w:eastAsia="仿宋" w:cs="仿宋"/>
          <w:bCs/>
          <w:sz w:val="36"/>
          <w:szCs w:val="44"/>
          <w:highlight w:val="none"/>
        </w:rPr>
        <w:sectPr>
          <w:pgSz w:w="11906" w:h="16838"/>
          <w:pgMar w:top="1440" w:right="1800" w:bottom="1440" w:left="1800" w:header="851" w:footer="992" w:gutter="0"/>
          <w:cols w:space="720" w:num="1"/>
          <w:docGrid w:type="linesAndChars" w:linePitch="312" w:charSpace="0"/>
        </w:sectPr>
      </w:pPr>
    </w:p>
    <w:p w14:paraId="1AEDABAC">
      <w:pPr>
        <w:jc w:val="center"/>
        <w:rPr>
          <w:rFonts w:hint="eastAsia" w:ascii="仿宋" w:hAnsi="仿宋" w:eastAsia="仿宋" w:cs="仿宋"/>
          <w:b/>
          <w:bCs/>
          <w:sz w:val="44"/>
          <w:szCs w:val="44"/>
          <w:highlight w:val="none"/>
          <w:lang w:val="zh-CN"/>
        </w:rPr>
      </w:pPr>
      <w:bookmarkStart w:id="0" w:name="_Toc3605"/>
    </w:p>
    <w:p w14:paraId="02E6E9FE">
      <w:pPr>
        <w:jc w:val="center"/>
        <w:rPr>
          <w:rFonts w:hint="eastAsia" w:ascii="仿宋" w:hAnsi="仿宋" w:eastAsia="仿宋" w:cs="仿宋"/>
          <w:b/>
          <w:bCs/>
          <w:sz w:val="44"/>
          <w:szCs w:val="44"/>
          <w:highlight w:val="none"/>
          <w:lang w:val="zh-CN"/>
        </w:rPr>
      </w:pPr>
      <w:r>
        <w:rPr>
          <w:rFonts w:hint="eastAsia" w:ascii="仿宋" w:hAnsi="仿宋" w:eastAsia="仿宋" w:cs="仿宋"/>
          <w:b/>
          <w:bCs/>
          <w:sz w:val="44"/>
          <w:szCs w:val="44"/>
          <w:highlight w:val="none"/>
          <w:lang w:val="zh-CN"/>
        </w:rPr>
        <w:t>目  录</w:t>
      </w:r>
      <w:bookmarkEnd w:id="0"/>
    </w:p>
    <w:p w14:paraId="13D39D53">
      <w:pPr>
        <w:rPr>
          <w:rFonts w:hint="eastAsia" w:ascii="仿宋" w:hAnsi="仿宋" w:eastAsia="仿宋" w:cs="仿宋"/>
          <w:highlight w:val="none"/>
          <w:lang w:val="zh-CN"/>
        </w:rPr>
      </w:pPr>
    </w:p>
    <w:p w14:paraId="3706AF4F">
      <w:pPr>
        <w:pStyle w:val="27"/>
        <w:tabs>
          <w:tab w:val="right" w:leader="dot" w:pos="8306"/>
        </w:tabs>
        <w:spacing w:line="48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TOC \o "1-1" \h \u </w:instrText>
      </w:r>
      <w:r>
        <w:rPr>
          <w:rFonts w:hint="eastAsia" w:ascii="仿宋" w:hAnsi="仿宋" w:eastAsia="仿宋" w:cs="仿宋"/>
          <w:sz w:val="28"/>
          <w:szCs w:val="28"/>
          <w:highlight w:val="none"/>
        </w:rPr>
        <w:fldChar w:fldCharType="separate"/>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"_Toc6931" </w:instrText>
      </w:r>
      <w:r>
        <w:rPr>
          <w:rFonts w:hint="eastAsia" w:ascii="仿宋" w:hAnsi="仿宋" w:eastAsia="仿宋" w:cs="仿宋"/>
          <w:highlight w:val="none"/>
        </w:rPr>
        <w:fldChar w:fldCharType="separate"/>
      </w:r>
      <w:r>
        <w:rPr>
          <w:rFonts w:hint="eastAsia" w:ascii="仿宋" w:hAnsi="仿宋" w:eastAsia="仿宋" w:cs="仿宋"/>
          <w:sz w:val="28"/>
          <w:szCs w:val="28"/>
          <w:highlight w:val="none"/>
          <w:lang w:val="en-US" w:eastAsia="zh-CN"/>
        </w:rPr>
        <w:t>采购公告</w:t>
      </w:r>
      <w:r>
        <w:rPr>
          <w:rFonts w:hint="eastAsia" w:ascii="仿宋" w:hAnsi="仿宋" w:eastAsia="仿宋" w:cs="仿宋"/>
          <w:sz w:val="28"/>
          <w:szCs w:val="28"/>
          <w:highlight w:val="none"/>
          <w:lang w:val="en-US" w:eastAsia="zh-CN"/>
        </w:rPr>
        <w:tab/>
      </w:r>
      <w:r>
        <w:rPr>
          <w:rFonts w:hint="eastAsia" w:ascii="仿宋" w:hAnsi="仿宋" w:eastAsia="仿宋" w:cs="仿宋"/>
          <w:sz w:val="28"/>
          <w:szCs w:val="28"/>
          <w:highlight w:val="none"/>
          <w:lang w:val="en-US" w:eastAsia="zh-CN"/>
        </w:rPr>
        <w:fldChar w:fldCharType="begin"/>
      </w:r>
      <w:r>
        <w:rPr>
          <w:rFonts w:hint="eastAsia" w:ascii="仿宋" w:hAnsi="仿宋" w:eastAsia="仿宋" w:cs="仿宋"/>
          <w:sz w:val="28"/>
          <w:szCs w:val="28"/>
          <w:highlight w:val="none"/>
          <w:lang w:val="en-US" w:eastAsia="zh-CN"/>
        </w:rPr>
        <w:instrText xml:space="preserve"> PAGEREF _Toc6931 </w:instrText>
      </w:r>
      <w:r>
        <w:rPr>
          <w:rFonts w:hint="eastAsia" w:ascii="仿宋" w:hAnsi="仿宋" w:eastAsia="仿宋" w:cs="仿宋"/>
          <w:sz w:val="28"/>
          <w:szCs w:val="28"/>
          <w:highlight w:val="none"/>
          <w:lang w:val="en-US" w:eastAsia="zh-CN"/>
        </w:rPr>
        <w:fldChar w:fldCharType="separate"/>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lang w:val="en-US" w:eastAsia="zh-CN"/>
        </w:rPr>
        <w:fldChar w:fldCharType="end"/>
      </w:r>
      <w:r>
        <w:rPr>
          <w:rFonts w:hint="eastAsia" w:ascii="仿宋" w:hAnsi="仿宋" w:eastAsia="仿宋" w:cs="仿宋"/>
          <w:sz w:val="28"/>
          <w:szCs w:val="28"/>
          <w:highlight w:val="none"/>
          <w:lang w:val="en-US" w:eastAsia="zh-CN"/>
        </w:rPr>
        <w:fldChar w:fldCharType="end"/>
      </w:r>
    </w:p>
    <w:p w14:paraId="6E092B57">
      <w:pPr>
        <w:pStyle w:val="27"/>
        <w:tabs>
          <w:tab w:val="right" w:leader="dot" w:pos="8306"/>
        </w:tabs>
        <w:spacing w:line="480" w:lineRule="auto"/>
        <w:rPr>
          <w:rFonts w:hint="eastAsia" w:ascii="仿宋" w:hAnsi="仿宋" w:eastAsia="仿宋" w:cs="仿宋"/>
          <w:sz w:val="28"/>
          <w:szCs w:val="28"/>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"_Toc3052" </w:instrText>
      </w:r>
      <w:r>
        <w:rPr>
          <w:rFonts w:hint="eastAsia" w:ascii="仿宋" w:hAnsi="仿宋" w:eastAsia="仿宋" w:cs="仿宋"/>
          <w:highlight w:val="none"/>
        </w:rPr>
        <w:fldChar w:fldCharType="separate"/>
      </w:r>
      <w:r>
        <w:rPr>
          <w:rFonts w:hint="eastAsia" w:ascii="仿宋" w:hAnsi="仿宋" w:eastAsia="仿宋" w:cs="仿宋"/>
          <w:sz w:val="28"/>
          <w:szCs w:val="28"/>
          <w:highlight w:val="none"/>
          <w:lang w:val="en-US" w:eastAsia="zh-CN"/>
        </w:rPr>
        <w:t>第一章 供应商须知</w:t>
      </w:r>
      <w:r>
        <w:rPr>
          <w:rFonts w:hint="eastAsia" w:ascii="仿宋" w:hAnsi="仿宋" w:eastAsia="仿宋" w:cs="仿宋"/>
          <w:sz w:val="28"/>
          <w:szCs w:val="28"/>
          <w:highlight w:val="none"/>
          <w:lang w:val="en-US" w:eastAsia="zh-CN"/>
        </w:rPr>
        <w:tab/>
      </w:r>
      <w:r>
        <w:rPr>
          <w:rFonts w:hint="eastAsia" w:ascii="仿宋" w:hAnsi="仿宋" w:eastAsia="仿宋" w:cs="仿宋"/>
          <w:sz w:val="28"/>
          <w:szCs w:val="28"/>
          <w:highlight w:val="none"/>
          <w:lang w:val="en-US" w:eastAsia="zh-CN"/>
        </w:rPr>
        <w:fldChar w:fldCharType="begin"/>
      </w:r>
      <w:r>
        <w:rPr>
          <w:rFonts w:hint="eastAsia" w:ascii="仿宋" w:hAnsi="仿宋" w:eastAsia="仿宋" w:cs="仿宋"/>
          <w:sz w:val="28"/>
          <w:szCs w:val="28"/>
          <w:highlight w:val="none"/>
          <w:lang w:val="en-US" w:eastAsia="zh-CN"/>
        </w:rPr>
        <w:instrText xml:space="preserve"> PAGEREF _Toc3052 </w:instrText>
      </w:r>
      <w:r>
        <w:rPr>
          <w:rFonts w:hint="eastAsia" w:ascii="仿宋" w:hAnsi="仿宋" w:eastAsia="仿宋" w:cs="仿宋"/>
          <w:sz w:val="28"/>
          <w:szCs w:val="28"/>
          <w:highlight w:val="none"/>
          <w:lang w:val="en-US" w:eastAsia="zh-CN"/>
        </w:rPr>
        <w:fldChar w:fldCharType="separate"/>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lang w:val="en-US" w:eastAsia="zh-CN"/>
        </w:rPr>
        <w:fldChar w:fldCharType="end"/>
      </w:r>
      <w:r>
        <w:rPr>
          <w:rFonts w:hint="eastAsia" w:ascii="仿宋" w:hAnsi="仿宋" w:eastAsia="仿宋" w:cs="仿宋"/>
          <w:sz w:val="28"/>
          <w:szCs w:val="28"/>
          <w:highlight w:val="none"/>
          <w:lang w:val="en-US" w:eastAsia="zh-CN"/>
        </w:rPr>
        <w:fldChar w:fldCharType="end"/>
      </w:r>
    </w:p>
    <w:p w14:paraId="51878029">
      <w:pPr>
        <w:pStyle w:val="27"/>
        <w:tabs>
          <w:tab w:val="right" w:leader="dot" w:pos="8306"/>
        </w:tabs>
        <w:spacing w:line="480" w:lineRule="auto"/>
        <w:rPr>
          <w:rFonts w:hint="eastAsia" w:ascii="仿宋" w:hAnsi="仿宋" w:eastAsia="仿宋" w:cs="仿宋"/>
          <w:sz w:val="28"/>
          <w:szCs w:val="28"/>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"_Toc25556" </w:instrText>
      </w:r>
      <w:r>
        <w:rPr>
          <w:rFonts w:hint="eastAsia" w:ascii="仿宋" w:hAnsi="仿宋" w:eastAsia="仿宋" w:cs="仿宋"/>
          <w:highlight w:val="none"/>
        </w:rPr>
        <w:fldChar w:fldCharType="separate"/>
      </w:r>
      <w:r>
        <w:rPr>
          <w:rFonts w:hint="eastAsia" w:ascii="仿宋" w:hAnsi="仿宋" w:eastAsia="仿宋" w:cs="仿宋"/>
          <w:sz w:val="28"/>
          <w:szCs w:val="28"/>
          <w:highlight w:val="none"/>
          <w:lang w:val="en-US" w:eastAsia="zh-CN"/>
        </w:rPr>
        <w:t>第二章 响应文件内容及格式</w:t>
      </w:r>
      <w:r>
        <w:rPr>
          <w:rFonts w:hint="eastAsia" w:ascii="仿宋" w:hAnsi="仿宋" w:eastAsia="仿宋" w:cs="仿宋"/>
          <w:sz w:val="28"/>
          <w:szCs w:val="28"/>
          <w:highlight w:val="none"/>
          <w:lang w:val="en-US" w:eastAsia="zh-CN"/>
        </w:rPr>
        <w:tab/>
      </w:r>
      <w:r>
        <w:rPr>
          <w:rFonts w:hint="eastAsia" w:ascii="仿宋" w:hAnsi="仿宋" w:eastAsia="仿宋" w:cs="仿宋"/>
          <w:sz w:val="28"/>
          <w:szCs w:val="28"/>
          <w:highlight w:val="none"/>
          <w:lang w:val="en-US" w:eastAsia="zh-CN"/>
        </w:rPr>
        <w:fldChar w:fldCharType="begin"/>
      </w:r>
      <w:r>
        <w:rPr>
          <w:rFonts w:hint="eastAsia" w:ascii="仿宋" w:hAnsi="仿宋" w:eastAsia="仿宋" w:cs="仿宋"/>
          <w:sz w:val="28"/>
          <w:szCs w:val="28"/>
          <w:highlight w:val="none"/>
          <w:lang w:val="en-US" w:eastAsia="zh-CN"/>
        </w:rPr>
        <w:instrText xml:space="preserve"> PAGEREF _Toc25556 </w:instrText>
      </w:r>
      <w:r>
        <w:rPr>
          <w:rFonts w:hint="eastAsia" w:ascii="仿宋" w:hAnsi="仿宋" w:eastAsia="仿宋" w:cs="仿宋"/>
          <w:sz w:val="28"/>
          <w:szCs w:val="28"/>
          <w:highlight w:val="none"/>
          <w:lang w:val="en-US" w:eastAsia="zh-CN"/>
        </w:rPr>
        <w:fldChar w:fldCharType="separate"/>
      </w:r>
      <w:r>
        <w:rPr>
          <w:rFonts w:hint="eastAsia" w:ascii="仿宋" w:hAnsi="仿宋" w:eastAsia="仿宋" w:cs="仿宋"/>
          <w:sz w:val="28"/>
          <w:szCs w:val="28"/>
          <w:highlight w:val="none"/>
          <w:lang w:val="en-US" w:eastAsia="zh-CN"/>
        </w:rPr>
        <w:t>27</w:t>
      </w:r>
      <w:r>
        <w:rPr>
          <w:rFonts w:hint="eastAsia" w:ascii="仿宋" w:hAnsi="仿宋" w:eastAsia="仿宋" w:cs="仿宋"/>
          <w:sz w:val="28"/>
          <w:szCs w:val="28"/>
          <w:highlight w:val="none"/>
          <w:lang w:val="en-US" w:eastAsia="zh-CN"/>
        </w:rPr>
        <w:fldChar w:fldCharType="end"/>
      </w:r>
      <w:r>
        <w:rPr>
          <w:rFonts w:hint="eastAsia" w:ascii="仿宋" w:hAnsi="仿宋" w:eastAsia="仿宋" w:cs="仿宋"/>
          <w:sz w:val="28"/>
          <w:szCs w:val="28"/>
          <w:highlight w:val="none"/>
          <w:lang w:val="en-US" w:eastAsia="zh-CN"/>
        </w:rPr>
        <w:fldChar w:fldCharType="end"/>
      </w:r>
    </w:p>
    <w:p w14:paraId="4E8D91E1">
      <w:pPr>
        <w:pStyle w:val="27"/>
        <w:tabs>
          <w:tab w:val="right" w:leader="dot" w:pos="8306"/>
        </w:tabs>
        <w:spacing w:line="480" w:lineRule="auto"/>
        <w:rPr>
          <w:rFonts w:hint="eastAsia" w:ascii="仿宋" w:hAnsi="仿宋" w:eastAsia="仿宋" w:cs="仿宋"/>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"_Toc18158" </w:instrText>
      </w:r>
      <w:r>
        <w:rPr>
          <w:rFonts w:hint="eastAsia" w:ascii="仿宋" w:hAnsi="仿宋" w:eastAsia="仿宋" w:cs="仿宋"/>
          <w:highlight w:val="none"/>
        </w:rPr>
        <w:fldChar w:fldCharType="separate"/>
      </w:r>
      <w:r>
        <w:rPr>
          <w:rFonts w:hint="eastAsia" w:ascii="仿宋" w:hAnsi="仿宋" w:eastAsia="仿宋" w:cs="仿宋"/>
          <w:sz w:val="28"/>
          <w:szCs w:val="28"/>
          <w:highlight w:val="none"/>
          <w:lang w:val="en-US" w:eastAsia="zh-CN"/>
        </w:rPr>
        <w:t>第三章 技术要求及工程量清单</w:t>
      </w:r>
      <w:r>
        <w:rPr>
          <w:rFonts w:hint="eastAsia" w:ascii="仿宋" w:hAnsi="仿宋" w:eastAsia="仿宋" w:cs="仿宋"/>
          <w:sz w:val="28"/>
          <w:szCs w:val="28"/>
          <w:highlight w:val="none"/>
          <w:lang w:val="en-US" w:eastAsia="zh-CN"/>
        </w:rPr>
        <w:tab/>
      </w:r>
      <w:r>
        <w:rPr>
          <w:rFonts w:hint="eastAsia" w:ascii="仿宋" w:hAnsi="仿宋" w:eastAsia="仿宋" w:cs="仿宋"/>
          <w:sz w:val="28"/>
          <w:szCs w:val="28"/>
          <w:highlight w:val="none"/>
          <w:lang w:val="en-US" w:eastAsia="zh-CN"/>
        </w:rPr>
        <w:fldChar w:fldCharType="begin"/>
      </w:r>
      <w:r>
        <w:rPr>
          <w:rFonts w:hint="eastAsia" w:ascii="仿宋" w:hAnsi="仿宋" w:eastAsia="仿宋" w:cs="仿宋"/>
          <w:sz w:val="28"/>
          <w:szCs w:val="28"/>
          <w:highlight w:val="none"/>
          <w:lang w:val="en-US" w:eastAsia="zh-CN"/>
        </w:rPr>
        <w:instrText xml:space="preserve"> PAGEREF _Toc18158 </w:instrText>
      </w:r>
      <w:r>
        <w:rPr>
          <w:rFonts w:hint="eastAsia" w:ascii="仿宋" w:hAnsi="仿宋" w:eastAsia="仿宋" w:cs="仿宋"/>
          <w:sz w:val="28"/>
          <w:szCs w:val="28"/>
          <w:highlight w:val="none"/>
          <w:lang w:val="en-US" w:eastAsia="zh-CN"/>
        </w:rPr>
        <w:fldChar w:fldCharType="separate"/>
      </w:r>
      <w:r>
        <w:rPr>
          <w:rFonts w:hint="eastAsia" w:ascii="仿宋" w:hAnsi="仿宋" w:eastAsia="仿宋" w:cs="仿宋"/>
          <w:sz w:val="28"/>
          <w:szCs w:val="28"/>
          <w:highlight w:val="none"/>
          <w:lang w:val="en-US" w:eastAsia="zh-CN"/>
        </w:rPr>
        <w:t>46</w:t>
      </w:r>
      <w:r>
        <w:rPr>
          <w:rFonts w:hint="eastAsia" w:ascii="仿宋" w:hAnsi="仿宋" w:eastAsia="仿宋" w:cs="仿宋"/>
          <w:sz w:val="28"/>
          <w:szCs w:val="28"/>
          <w:highlight w:val="none"/>
          <w:lang w:val="en-US" w:eastAsia="zh-CN"/>
        </w:rPr>
        <w:fldChar w:fldCharType="end"/>
      </w:r>
      <w:r>
        <w:rPr>
          <w:rFonts w:hint="eastAsia" w:ascii="仿宋" w:hAnsi="仿宋" w:eastAsia="仿宋" w:cs="仿宋"/>
          <w:sz w:val="28"/>
          <w:szCs w:val="28"/>
          <w:highlight w:val="none"/>
          <w:lang w:val="en-US" w:eastAsia="zh-CN"/>
        </w:rPr>
        <w:fldChar w:fldCharType="end"/>
      </w:r>
    </w:p>
    <w:p w14:paraId="70378576">
      <w:pPr>
        <w:pStyle w:val="27"/>
        <w:tabs>
          <w:tab w:val="right" w:leader="dot" w:pos="8306"/>
        </w:tabs>
        <w:spacing w:line="480" w:lineRule="auto"/>
        <w:rPr>
          <w:rFonts w:hint="eastAsia" w:ascii="仿宋" w:hAnsi="仿宋" w:eastAsia="仿宋" w:cs="仿宋"/>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"_Toc24220" </w:instrText>
      </w:r>
      <w:r>
        <w:rPr>
          <w:rFonts w:hint="eastAsia" w:ascii="仿宋" w:hAnsi="仿宋" w:eastAsia="仿宋" w:cs="仿宋"/>
          <w:highlight w:val="none"/>
        </w:rPr>
        <w:fldChar w:fldCharType="separate"/>
      </w:r>
      <w:r>
        <w:rPr>
          <w:rFonts w:hint="eastAsia" w:ascii="仿宋" w:hAnsi="仿宋" w:eastAsia="仿宋" w:cs="仿宋"/>
          <w:sz w:val="28"/>
          <w:szCs w:val="28"/>
          <w:highlight w:val="none"/>
          <w:lang w:val="en-US" w:eastAsia="zh-CN"/>
        </w:rPr>
        <w:t>第四章 磋商内容、磋商过程中可能实质性变动的内容</w:t>
      </w:r>
      <w:r>
        <w:rPr>
          <w:rFonts w:hint="eastAsia" w:ascii="仿宋" w:hAnsi="仿宋" w:eastAsia="仿宋" w:cs="仿宋"/>
          <w:sz w:val="28"/>
          <w:szCs w:val="28"/>
          <w:highlight w:val="none"/>
          <w:lang w:val="en-US" w:eastAsia="zh-CN"/>
        </w:rPr>
        <w:tab/>
      </w:r>
      <w:r>
        <w:rPr>
          <w:rFonts w:hint="eastAsia" w:ascii="仿宋" w:hAnsi="仿宋" w:eastAsia="仿宋" w:cs="仿宋"/>
          <w:sz w:val="28"/>
          <w:szCs w:val="28"/>
          <w:highlight w:val="none"/>
        </w:rPr>
        <w:t>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2</w:t>
      </w:r>
    </w:p>
    <w:p w14:paraId="253993CB">
      <w:pPr>
        <w:pStyle w:val="27"/>
        <w:tabs>
          <w:tab w:val="right" w:leader="dot" w:pos="8306"/>
        </w:tabs>
        <w:spacing w:line="480" w:lineRule="auto"/>
        <w:rPr>
          <w:rFonts w:hint="eastAsia" w:ascii="仿宋" w:hAnsi="仿宋" w:eastAsia="仿宋" w:cs="仿宋"/>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"_Toc4177" </w:instrText>
      </w:r>
      <w:r>
        <w:rPr>
          <w:rFonts w:hint="eastAsia" w:ascii="仿宋" w:hAnsi="仿宋" w:eastAsia="仿宋" w:cs="仿宋"/>
          <w:highlight w:val="none"/>
        </w:rPr>
        <w:fldChar w:fldCharType="separate"/>
      </w:r>
      <w:r>
        <w:rPr>
          <w:rFonts w:hint="eastAsia" w:ascii="仿宋" w:hAnsi="仿宋" w:eastAsia="仿宋" w:cs="仿宋"/>
          <w:sz w:val="28"/>
          <w:szCs w:val="28"/>
          <w:highlight w:val="none"/>
          <w:lang w:val="en-US" w:eastAsia="zh-CN"/>
        </w:rPr>
        <w:t>第五章 评审办法</w:t>
      </w:r>
      <w:r>
        <w:rPr>
          <w:rFonts w:hint="eastAsia" w:ascii="仿宋" w:hAnsi="仿宋" w:eastAsia="仿宋" w:cs="仿宋"/>
          <w:sz w:val="28"/>
          <w:szCs w:val="28"/>
          <w:highlight w:val="none"/>
          <w:lang w:val="en-US" w:eastAsia="zh-CN"/>
        </w:rPr>
        <w:tab/>
      </w:r>
      <w:r>
        <w:rPr>
          <w:rFonts w:hint="eastAsia" w:ascii="仿宋" w:hAnsi="仿宋" w:eastAsia="仿宋" w:cs="仿宋"/>
          <w:sz w:val="28"/>
          <w:szCs w:val="28"/>
          <w:highlight w:val="none"/>
        </w:rPr>
        <w:t>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3</w:t>
      </w:r>
    </w:p>
    <w:p w14:paraId="5336EE18">
      <w:pPr>
        <w:pStyle w:val="27"/>
        <w:tabs>
          <w:tab w:val="right" w:leader="dot" w:pos="8306"/>
        </w:tabs>
        <w:spacing w:line="480" w:lineRule="auto"/>
        <w:rPr>
          <w:rFonts w:hint="eastAsia" w:ascii="仿宋" w:hAnsi="仿宋" w:eastAsia="仿宋" w:cs="仿宋"/>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"_Toc7654" </w:instrText>
      </w:r>
      <w:r>
        <w:rPr>
          <w:rFonts w:hint="eastAsia" w:ascii="仿宋" w:hAnsi="仿宋" w:eastAsia="仿宋" w:cs="仿宋"/>
          <w:highlight w:val="none"/>
        </w:rPr>
        <w:fldChar w:fldCharType="separate"/>
      </w:r>
      <w:r>
        <w:rPr>
          <w:rFonts w:hint="eastAsia" w:ascii="仿宋" w:hAnsi="仿宋" w:eastAsia="仿宋" w:cs="仿宋"/>
          <w:sz w:val="28"/>
          <w:szCs w:val="28"/>
          <w:highlight w:val="none"/>
          <w:lang w:val="en-US" w:eastAsia="zh-CN"/>
        </w:rPr>
        <w:t>第六章 政府采购合同条款及格式</w:t>
      </w:r>
      <w:r>
        <w:rPr>
          <w:rFonts w:hint="eastAsia" w:ascii="仿宋" w:hAnsi="仿宋" w:eastAsia="仿宋" w:cs="仿宋"/>
          <w:sz w:val="28"/>
          <w:szCs w:val="28"/>
          <w:highlight w:val="none"/>
          <w:lang w:val="en-US" w:eastAsia="zh-CN"/>
        </w:rPr>
        <w:tab/>
      </w:r>
      <w:r>
        <w:rPr>
          <w:rFonts w:hint="eastAsia" w:ascii="仿宋" w:hAnsi="仿宋" w:eastAsia="仿宋" w:cs="仿宋"/>
          <w:sz w:val="28"/>
          <w:szCs w:val="28"/>
          <w:highlight w:val="none"/>
          <w:lang w:val="en-US" w:eastAsia="zh-CN"/>
        </w:rPr>
        <w:fldChar w:fldCharType="end"/>
      </w:r>
      <w:r>
        <w:rPr>
          <w:rFonts w:hint="eastAsia" w:ascii="仿宋" w:hAnsi="仿宋" w:eastAsia="仿宋" w:cs="仿宋"/>
          <w:sz w:val="28"/>
          <w:szCs w:val="28"/>
          <w:highlight w:val="none"/>
        </w:rPr>
        <w:t>60</w:t>
      </w:r>
    </w:p>
    <w:p w14:paraId="7B27570E">
      <w:pPr>
        <w:pStyle w:val="27"/>
        <w:tabs>
          <w:tab w:val="right" w:leader="dot" w:pos="8306"/>
        </w:tabs>
        <w:spacing w:line="480" w:lineRule="auto"/>
        <w:rPr>
          <w:rFonts w:hint="eastAsia" w:ascii="仿宋" w:hAnsi="仿宋" w:eastAsia="仿宋" w:cs="仿宋"/>
          <w:sz w:val="24"/>
          <w:highlight w:val="none"/>
        </w:rPr>
      </w:pPr>
      <w:r>
        <w:rPr>
          <w:rFonts w:hint="eastAsia" w:ascii="仿宋" w:hAnsi="仿宋" w:eastAsia="仿宋" w:cs="仿宋"/>
          <w:sz w:val="28"/>
          <w:szCs w:val="28"/>
          <w:highlight w:val="none"/>
        </w:rPr>
        <w:fldChar w:fldCharType="end"/>
      </w:r>
    </w:p>
    <w:p w14:paraId="3F1CFE51">
      <w:pPr>
        <w:pStyle w:val="109"/>
        <w:tabs>
          <w:tab w:val="right" w:leader="dot" w:pos="8306"/>
        </w:tabs>
        <w:rPr>
          <w:rFonts w:hint="eastAsia" w:ascii="仿宋" w:hAnsi="仿宋" w:eastAsia="仿宋" w:cs="仿宋"/>
          <w:highlight w:val="none"/>
        </w:rPr>
      </w:pPr>
    </w:p>
    <w:p w14:paraId="5FE53EFD">
      <w:pPr>
        <w:pStyle w:val="109"/>
        <w:tabs>
          <w:tab w:val="right" w:leader="dot" w:pos="8306"/>
        </w:tabs>
        <w:rPr>
          <w:rFonts w:hint="eastAsia" w:ascii="仿宋" w:hAnsi="仿宋" w:eastAsia="仿宋" w:cs="仿宋"/>
          <w:highlight w:val="none"/>
        </w:rPr>
      </w:pPr>
    </w:p>
    <w:p w14:paraId="07FBA78F">
      <w:pPr>
        <w:pStyle w:val="109"/>
        <w:tabs>
          <w:tab w:val="right" w:leader="dot" w:pos="8306"/>
        </w:tabs>
        <w:rPr>
          <w:rFonts w:hint="eastAsia" w:ascii="仿宋" w:hAnsi="仿宋" w:eastAsia="仿宋" w:cs="仿宋"/>
          <w:highlight w:val="none"/>
        </w:rPr>
      </w:pPr>
    </w:p>
    <w:p w14:paraId="18459EB2">
      <w:pPr>
        <w:pStyle w:val="109"/>
        <w:tabs>
          <w:tab w:val="right" w:leader="dot" w:pos="8306"/>
        </w:tabs>
        <w:rPr>
          <w:rFonts w:hint="eastAsia" w:ascii="仿宋" w:hAnsi="仿宋" w:eastAsia="仿宋" w:cs="仿宋"/>
          <w:highlight w:val="none"/>
        </w:rPr>
      </w:pPr>
    </w:p>
    <w:p w14:paraId="5EF89F9F">
      <w:pPr>
        <w:pStyle w:val="109"/>
        <w:tabs>
          <w:tab w:val="left" w:pos="1834"/>
          <w:tab w:val="right" w:leader="dot" w:pos="8306"/>
        </w:tabs>
        <w:rPr>
          <w:rFonts w:hint="eastAsia" w:ascii="仿宋" w:hAnsi="仿宋" w:eastAsia="仿宋" w:cs="仿宋"/>
          <w:b/>
          <w:bCs/>
          <w:highlight w:val="none"/>
        </w:rPr>
      </w:pPr>
      <w:r>
        <w:rPr>
          <w:rFonts w:hint="eastAsia" w:ascii="仿宋" w:hAnsi="仿宋" w:eastAsia="仿宋" w:cs="仿宋"/>
          <w:b/>
          <w:bCs/>
          <w:highlight w:val="none"/>
        </w:rPr>
        <w:tab/>
      </w:r>
    </w:p>
    <w:p w14:paraId="6346A052">
      <w:pPr>
        <w:adjustRightInd w:val="0"/>
        <w:snapToGrid w:val="0"/>
        <w:spacing w:line="360" w:lineRule="auto"/>
        <w:jc w:val="center"/>
        <w:rPr>
          <w:rFonts w:hint="eastAsia" w:ascii="仿宋" w:hAnsi="仿宋" w:eastAsia="仿宋" w:cs="仿宋"/>
          <w:bCs/>
          <w:highlight w:val="none"/>
        </w:rPr>
        <w:sectPr>
          <w:pgSz w:w="11906" w:h="16838"/>
          <w:pgMar w:top="1440" w:right="1803" w:bottom="1440" w:left="1803" w:header="851" w:footer="992" w:gutter="0"/>
          <w:cols w:space="720" w:num="1"/>
          <w:docGrid w:type="lines" w:linePitch="312" w:charSpace="0"/>
        </w:sectPr>
      </w:pPr>
      <w:r>
        <w:rPr>
          <w:rFonts w:hint="eastAsia" w:ascii="仿宋" w:hAnsi="仿宋" w:eastAsia="仿宋" w:cs="仿宋"/>
          <w:bCs/>
          <w:highlight w:val="none"/>
        </w:rPr>
        <w:tab/>
      </w:r>
      <w:r>
        <w:rPr>
          <w:rFonts w:hint="eastAsia" w:ascii="仿宋" w:hAnsi="仿宋" w:eastAsia="仿宋" w:cs="仿宋"/>
          <w:bCs/>
          <w:highlight w:val="none"/>
        </w:rPr>
        <w:tab/>
      </w:r>
      <w:bookmarkStart w:id="1" w:name="_Toc4485616"/>
    </w:p>
    <w:p w14:paraId="27082180">
      <w:pPr>
        <w:pStyle w:val="2"/>
        <w:adjustRightInd w:val="0"/>
        <w:snapToGrid w:val="0"/>
        <w:spacing w:before="0" w:after="0" w:line="360" w:lineRule="auto"/>
        <w:jc w:val="center"/>
        <w:rPr>
          <w:rFonts w:hint="eastAsia" w:ascii="仿宋" w:hAnsi="仿宋" w:eastAsia="仿宋" w:cs="仿宋"/>
          <w:bCs/>
          <w:sz w:val="36"/>
          <w:szCs w:val="36"/>
          <w:highlight w:val="none"/>
        </w:rPr>
      </w:pPr>
      <w:bookmarkStart w:id="2" w:name="_Toc6931"/>
      <w:r>
        <w:rPr>
          <w:rFonts w:hint="eastAsia" w:ascii="仿宋" w:hAnsi="仿宋" w:eastAsia="仿宋" w:cs="仿宋"/>
          <w:bCs/>
          <w:sz w:val="36"/>
          <w:szCs w:val="36"/>
          <w:highlight w:val="none"/>
        </w:rPr>
        <w:t>（</w:t>
      </w:r>
      <w:r>
        <w:rPr>
          <w:rFonts w:hint="eastAsia" w:ascii="仿宋" w:hAnsi="仿宋" w:eastAsia="仿宋" w:cs="仿宋"/>
          <w:bCs/>
          <w:sz w:val="36"/>
          <w:szCs w:val="36"/>
          <w:highlight w:val="none"/>
          <w:lang w:eastAsia="zh-CN"/>
        </w:rPr>
        <w:t>新庄子镇曹家村、南马村、九道村、新庄子村、姜木村、李坨村联合发展修建冷库项目-设备、10KV配电、配套工程</w:t>
      </w:r>
      <w:r>
        <w:rPr>
          <w:rFonts w:hint="eastAsia" w:ascii="仿宋" w:hAnsi="仿宋" w:eastAsia="仿宋" w:cs="仿宋"/>
          <w:bCs/>
          <w:sz w:val="36"/>
          <w:szCs w:val="36"/>
          <w:highlight w:val="none"/>
        </w:rPr>
        <w:t>）的采购公告</w:t>
      </w:r>
      <w:bookmarkEnd w:id="1"/>
      <w:bookmarkEnd w:id="2"/>
    </w:p>
    <w:p w14:paraId="7413CE4F">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仿宋" w:hAnsi="仿宋" w:eastAsia="仿宋" w:cs="仿宋"/>
          <w:sz w:val="24"/>
          <w:highlight w:val="none"/>
        </w:rPr>
      </w:pPr>
      <w:bookmarkStart w:id="3" w:name="_Toc4485617"/>
      <w:r>
        <w:rPr>
          <w:rFonts w:hint="eastAsia" w:ascii="仿宋" w:hAnsi="仿宋" w:eastAsia="仿宋" w:cs="仿宋"/>
          <w:sz w:val="24"/>
          <w:highlight w:val="none"/>
        </w:rPr>
        <w:t>项目概况</w:t>
      </w:r>
    </w:p>
    <w:p w14:paraId="61F8C1C0">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u w:val="single"/>
        </w:rPr>
        <w:t>（</w:t>
      </w:r>
      <w:r>
        <w:rPr>
          <w:rFonts w:hint="eastAsia" w:ascii="仿宋" w:hAnsi="仿宋" w:eastAsia="仿宋" w:cs="仿宋"/>
          <w:sz w:val="24"/>
          <w:highlight w:val="none"/>
          <w:u w:val="single"/>
          <w:lang w:val="zh-CN"/>
        </w:rPr>
        <w:t>新庄子镇曹家村、南马村、九道村、新庄子村、姜木村、李坨村联合发展修建冷库项目-设备、10KV配电、配套工程</w:t>
      </w:r>
      <w:r>
        <w:rPr>
          <w:rFonts w:hint="eastAsia" w:ascii="仿宋" w:hAnsi="仿宋" w:eastAsia="仿宋" w:cs="仿宋"/>
          <w:i/>
          <w:sz w:val="24"/>
          <w:highlight w:val="none"/>
          <w:u w:val="single"/>
        </w:rPr>
        <w:t>）</w:t>
      </w:r>
      <w:r>
        <w:rPr>
          <w:rFonts w:hint="eastAsia" w:ascii="仿宋" w:hAnsi="仿宋" w:eastAsia="仿宋" w:cs="仿宋"/>
          <w:sz w:val="24"/>
          <w:highlight w:val="none"/>
        </w:rPr>
        <w:t>采购项目的潜在供应商应在辽宁政府采购网获取采购文件，并于</w:t>
      </w:r>
      <w:r>
        <w:rPr>
          <w:rFonts w:hint="eastAsia" w:ascii="仿宋" w:hAnsi="仿宋" w:eastAsia="仿宋" w:cs="仿宋"/>
          <w:sz w:val="24"/>
          <w:highlight w:val="none"/>
          <w:u w:val="single"/>
        </w:rPr>
        <w:t>2026</w:t>
      </w:r>
      <w:r>
        <w:rPr>
          <w:rFonts w:hint="eastAsia" w:ascii="仿宋" w:hAnsi="仿宋" w:eastAsia="仿宋" w:cs="仿宋"/>
          <w:bCs/>
          <w:sz w:val="24"/>
          <w:highlight w:val="none"/>
          <w:u w:val="single"/>
        </w:rPr>
        <w:t>年11月</w:t>
      </w:r>
      <w:r>
        <w:rPr>
          <w:rFonts w:hint="eastAsia" w:ascii="仿宋" w:hAnsi="仿宋" w:eastAsia="仿宋" w:cs="仿宋"/>
          <w:bCs/>
          <w:sz w:val="24"/>
          <w:highlight w:val="none"/>
          <w:u w:val="single"/>
          <w:lang w:val="en-US" w:eastAsia="zh-CN"/>
        </w:rPr>
        <w:t>10</w:t>
      </w:r>
      <w:r>
        <w:rPr>
          <w:rFonts w:hint="eastAsia" w:ascii="仿宋" w:hAnsi="仿宋" w:eastAsia="仿宋" w:cs="仿宋"/>
          <w:bCs/>
          <w:sz w:val="24"/>
          <w:highlight w:val="none"/>
          <w:u w:val="single"/>
        </w:rPr>
        <w:t xml:space="preserve">日 </w:t>
      </w:r>
      <w:r>
        <w:rPr>
          <w:rFonts w:hint="eastAsia" w:ascii="仿宋" w:hAnsi="仿宋" w:eastAsia="仿宋" w:cs="仿宋"/>
          <w:bCs/>
          <w:sz w:val="24"/>
          <w:highlight w:val="none"/>
          <w:u w:val="single"/>
          <w:lang w:val="en-US" w:eastAsia="zh-CN"/>
        </w:rPr>
        <w:t>09</w:t>
      </w:r>
      <w:r>
        <w:rPr>
          <w:rFonts w:hint="eastAsia" w:ascii="仿宋" w:hAnsi="仿宋" w:eastAsia="仿宋" w:cs="仿宋"/>
          <w:bCs/>
          <w:sz w:val="24"/>
          <w:highlight w:val="none"/>
          <w:u w:val="single"/>
        </w:rPr>
        <w:t>点00 分</w:t>
      </w:r>
      <w:r>
        <w:rPr>
          <w:rFonts w:hint="eastAsia" w:ascii="仿宋" w:hAnsi="仿宋" w:eastAsia="仿宋" w:cs="仿宋"/>
          <w:bCs/>
          <w:sz w:val="24"/>
          <w:highlight w:val="none"/>
        </w:rPr>
        <w:t>（北京时间）前提交响应文件</w:t>
      </w:r>
      <w:r>
        <w:rPr>
          <w:rFonts w:hint="eastAsia" w:ascii="仿宋" w:hAnsi="仿宋" w:eastAsia="仿宋" w:cs="仿宋"/>
          <w:sz w:val="24"/>
          <w:highlight w:val="none"/>
        </w:rPr>
        <w:t>。</w:t>
      </w:r>
    </w:p>
    <w:p w14:paraId="6882790C">
      <w:pPr>
        <w:adjustRightInd w:val="0"/>
        <w:snapToGrid w:val="0"/>
        <w:spacing w:line="360" w:lineRule="auto"/>
        <w:rPr>
          <w:rFonts w:hint="eastAsia" w:ascii="仿宋" w:hAnsi="仿宋" w:eastAsia="仿宋" w:cs="仿宋"/>
          <w:szCs w:val="21"/>
          <w:highlight w:val="none"/>
        </w:rPr>
      </w:pPr>
    </w:p>
    <w:p w14:paraId="6124D56F">
      <w:pPr>
        <w:adjustRightInd w:val="0"/>
        <w:snapToGrid w:val="0"/>
        <w:spacing w:line="360" w:lineRule="auto"/>
        <w:ind w:firstLine="480" w:firstLineChars="200"/>
        <w:rPr>
          <w:rFonts w:hint="eastAsia" w:ascii="仿宋" w:hAnsi="仿宋" w:eastAsia="仿宋" w:cs="仿宋"/>
          <w:sz w:val="24"/>
          <w:highlight w:val="none"/>
        </w:rPr>
      </w:pPr>
      <w:bookmarkStart w:id="4" w:name="_Toc28359012"/>
      <w:bookmarkStart w:id="5" w:name="_Toc35393798"/>
      <w:bookmarkStart w:id="6" w:name="_Toc35393629"/>
      <w:bookmarkStart w:id="7" w:name="_Toc28359089"/>
      <w:r>
        <w:rPr>
          <w:rFonts w:hint="eastAsia" w:ascii="仿宋" w:hAnsi="仿宋" w:eastAsia="仿宋" w:cs="仿宋"/>
          <w:sz w:val="24"/>
          <w:highlight w:val="none"/>
        </w:rPr>
        <w:t>一、项目基本情况</w:t>
      </w:r>
      <w:bookmarkEnd w:id="4"/>
      <w:bookmarkEnd w:id="5"/>
      <w:bookmarkEnd w:id="6"/>
      <w:bookmarkEnd w:id="7"/>
    </w:p>
    <w:p w14:paraId="4FF1829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项目编号：JH26-210781-00480</w:t>
      </w:r>
    </w:p>
    <w:p w14:paraId="59405D64">
      <w:pPr>
        <w:adjustRightInd w:val="0"/>
        <w:snapToGrid w:val="0"/>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项目名称：新庄子镇曹家村、南马村、九道村、新庄子村、姜木村、李坨村联合发展修建冷库项目-设备、10KV配电、配套工程</w:t>
      </w:r>
    </w:p>
    <w:p w14:paraId="0A2548A4">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采购方式：竞争性磋商</w:t>
      </w:r>
    </w:p>
    <w:p w14:paraId="06454009">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预算金额（元）：1,869,624.35</w:t>
      </w:r>
    </w:p>
    <w:p w14:paraId="179D0DD0">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最高限价（元）：1,869,624.35</w:t>
      </w:r>
    </w:p>
    <w:p w14:paraId="281C6529">
      <w:pPr>
        <w:adjustRightInd w:val="0"/>
        <w:snapToGrid w:val="0"/>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采购需求：新庄子镇曹家村、南马村、九道村、新庄子村、姜木村、李坨村联合发展修建冷库项目-设备、10KV配电、配套工程。（具体详见第三章工程量清单）</w:t>
      </w:r>
    </w:p>
    <w:p w14:paraId="756FD613">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合同履行期限：合同签订后90天内完工（具体开竣工日期以甲乙双方签订合同为准）</w:t>
      </w:r>
      <w:r>
        <w:rPr>
          <w:rFonts w:hint="eastAsia" w:ascii="仿宋" w:hAnsi="仿宋" w:eastAsia="仿宋" w:cs="仿宋"/>
          <w:sz w:val="24"/>
          <w:highlight w:val="none"/>
        </w:rPr>
        <w:t>。</w:t>
      </w:r>
    </w:p>
    <w:p w14:paraId="2916BC5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本项目（</w:t>
      </w:r>
      <w:r>
        <w:rPr>
          <w:rFonts w:hint="eastAsia" w:ascii="仿宋" w:hAnsi="仿宋" w:eastAsia="仿宋" w:cs="仿宋"/>
          <w:i/>
          <w:iCs/>
          <w:sz w:val="24"/>
          <w:highlight w:val="none"/>
        </w:rPr>
        <w:t>否</w:t>
      </w:r>
      <w:r>
        <w:rPr>
          <w:rFonts w:hint="eastAsia" w:ascii="仿宋" w:hAnsi="仿宋" w:eastAsia="仿宋" w:cs="仿宋"/>
          <w:sz w:val="24"/>
          <w:highlight w:val="none"/>
        </w:rPr>
        <w:t>）采用“暗标盲评”评审方式</w:t>
      </w:r>
    </w:p>
    <w:p w14:paraId="5F5A3A6B">
      <w:pPr>
        <w:adjustRightInd w:val="0"/>
        <w:snapToGrid w:val="0"/>
        <w:spacing w:line="360" w:lineRule="auto"/>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rPr>
        <w:t>需落实的政府采购政策内容：落实中小微企业（含监狱企业）、残疾人就业、节能产品、环境标志产品等政府采购政策</w:t>
      </w:r>
      <w:r>
        <w:rPr>
          <w:rFonts w:hint="eastAsia" w:ascii="仿宋" w:hAnsi="仿宋" w:eastAsia="仿宋" w:cs="仿宋"/>
          <w:sz w:val="24"/>
          <w:highlight w:val="none"/>
          <w:lang w:eastAsia="zh-CN"/>
        </w:rPr>
        <w:t>。</w:t>
      </w:r>
      <w:bookmarkStart w:id="1316" w:name="_GoBack"/>
      <w:bookmarkEnd w:id="1316"/>
    </w:p>
    <w:p w14:paraId="510025F1">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本项目（</w:t>
      </w:r>
      <w:r>
        <w:rPr>
          <w:rFonts w:hint="eastAsia" w:ascii="仿宋" w:hAnsi="仿宋" w:eastAsia="仿宋" w:cs="仿宋"/>
          <w:i/>
          <w:sz w:val="24"/>
          <w:highlight w:val="none"/>
        </w:rPr>
        <w:t>否</w:t>
      </w:r>
      <w:r>
        <w:rPr>
          <w:rFonts w:hint="eastAsia" w:ascii="仿宋" w:hAnsi="仿宋" w:eastAsia="仿宋" w:cs="仿宋"/>
          <w:sz w:val="24"/>
          <w:highlight w:val="none"/>
        </w:rPr>
        <w:t>）接受联合体。</w:t>
      </w:r>
    </w:p>
    <w:p w14:paraId="6A526176">
      <w:pPr>
        <w:adjustRightInd w:val="0"/>
        <w:snapToGrid w:val="0"/>
        <w:spacing w:line="360" w:lineRule="auto"/>
        <w:ind w:firstLine="480" w:firstLineChars="200"/>
        <w:rPr>
          <w:rFonts w:hint="eastAsia" w:ascii="仿宋" w:hAnsi="仿宋" w:eastAsia="仿宋" w:cs="仿宋"/>
          <w:sz w:val="24"/>
          <w:highlight w:val="none"/>
        </w:rPr>
      </w:pPr>
      <w:bookmarkStart w:id="8" w:name="_Toc28359013"/>
      <w:bookmarkStart w:id="9" w:name="_Toc35393799"/>
      <w:bookmarkStart w:id="10" w:name="_Toc35393630"/>
      <w:bookmarkStart w:id="11" w:name="_Toc28359090"/>
      <w:r>
        <w:rPr>
          <w:rFonts w:hint="eastAsia" w:ascii="仿宋" w:hAnsi="仿宋" w:eastAsia="仿宋" w:cs="仿宋"/>
          <w:sz w:val="24"/>
          <w:highlight w:val="none"/>
        </w:rPr>
        <w:t>二、供应商的资格要求</w:t>
      </w:r>
      <w:bookmarkEnd w:id="8"/>
      <w:bookmarkEnd w:id="9"/>
      <w:bookmarkEnd w:id="10"/>
      <w:bookmarkEnd w:id="11"/>
    </w:p>
    <w:p w14:paraId="33974A7E">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1.满足《中华人民共和国政府采购法》第二十二条规定；</w:t>
      </w:r>
    </w:p>
    <w:p w14:paraId="04574A44">
      <w:pPr>
        <w:adjustRightInd w:val="0"/>
        <w:snapToGrid w:val="0"/>
        <w:spacing w:line="360" w:lineRule="auto"/>
        <w:ind w:firstLine="480" w:firstLineChars="200"/>
        <w:rPr>
          <w:rFonts w:hint="eastAsia" w:ascii="仿宋" w:hAnsi="仿宋" w:eastAsia="仿宋" w:cs="仿宋"/>
          <w:sz w:val="24"/>
          <w:highlight w:val="none"/>
        </w:rPr>
      </w:pPr>
      <w:bookmarkStart w:id="12" w:name="_Toc28359091"/>
      <w:bookmarkStart w:id="13" w:name="_Toc28359014"/>
      <w:r>
        <w:rPr>
          <w:rFonts w:hint="eastAsia" w:ascii="仿宋" w:hAnsi="仿宋" w:eastAsia="仿宋" w:cs="仿宋"/>
          <w:sz w:val="24"/>
          <w:highlight w:val="none"/>
        </w:rPr>
        <w:t>2.落实政府采购政策需满足的资格要求：</w:t>
      </w:r>
      <w:bookmarkStart w:id="14" w:name="_Hlk221797889"/>
      <w:r>
        <w:rPr>
          <w:rFonts w:hint="eastAsia" w:ascii="仿宋" w:hAnsi="仿宋" w:eastAsia="仿宋" w:cs="仿宋"/>
          <w:sz w:val="24"/>
          <w:highlight w:val="none"/>
        </w:rPr>
        <w:t>根据财政部工业和信息化部关于印发《政府采购促进中小企业发展管理办法》的通知财库〔2020〕46号文件及辽宁省财政厅工业和信息化厅《关于做好政府采购促进中小企业发展有关工作的通知》辽财采〔2021〕153号文件的要求，本项目为专门面向中小微企业采购的项目。</w:t>
      </w:r>
    </w:p>
    <w:bookmarkEnd w:id="14"/>
    <w:p w14:paraId="28FBFF50">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3.本项目的特定资格要求：（1）供应商应</w:t>
      </w:r>
      <w:bookmarkStart w:id="15" w:name="OLE_LINK6"/>
      <w:bookmarkStart w:id="16" w:name="OLE_LINK7"/>
      <w:bookmarkStart w:id="17" w:name="OLE_LINK5"/>
      <w:r>
        <w:rPr>
          <w:rFonts w:hint="eastAsia" w:ascii="仿宋" w:hAnsi="仿宋" w:eastAsia="仿宋" w:cs="仿宋"/>
          <w:sz w:val="24"/>
          <w:highlight w:val="none"/>
        </w:rPr>
        <w:t>具备电力工程施工总承包二级及以上或输变电工程专业承包二级及以上资质，并具备国家能源局核发有效的承装（修、试）电力设施许可证（三级及以上）</w:t>
      </w:r>
      <w:bookmarkEnd w:id="15"/>
      <w:bookmarkEnd w:id="16"/>
      <w:bookmarkEnd w:id="17"/>
      <w:r>
        <w:rPr>
          <w:rFonts w:hint="eastAsia" w:ascii="仿宋" w:hAnsi="仿宋" w:eastAsia="仿宋" w:cs="仿宋"/>
          <w:sz w:val="24"/>
          <w:highlight w:val="none"/>
        </w:rPr>
        <w:t>，并具有有效期内安全生产许可证，并在人员、设备、资金等方面具有相应的施工能力。（2）拟派项目负责人应具有国家注册贰级及以上建造师（机电工程专业）,且具备有效的安全生产考核合格证书，无在建工程；（3）截至报名前经“信用中国”网站（www.creditchina.gov.cn）或“中国政府采购网”(www.ccgp.gov.cn)网站查询，被列入失信被执行人、重大税收违法失信主体、政府采购严重违法失信行为记录名单的不得参加本采购项目。</w:t>
      </w:r>
    </w:p>
    <w:p w14:paraId="2DE94B5D">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三、政府采购供应商入库须知</w:t>
      </w:r>
    </w:p>
    <w:p w14:paraId="28A35BE2">
      <w:pPr>
        <w:adjustRightInd w:val="0"/>
        <w:snapToGrid w:val="0"/>
        <w:spacing w:line="360" w:lineRule="auto"/>
        <w:ind w:firstLine="480" w:firstLineChars="200"/>
        <w:rPr>
          <w:rFonts w:hint="eastAsia" w:ascii="仿宋" w:hAnsi="仿宋" w:eastAsia="仿宋" w:cs="仿宋"/>
          <w:sz w:val="24"/>
          <w:highlight w:val="none"/>
        </w:rPr>
      </w:pPr>
      <w:bookmarkStart w:id="18" w:name="_Toc35393800"/>
      <w:bookmarkStart w:id="19" w:name="_Toc35393631"/>
      <w:r>
        <w:rPr>
          <w:rFonts w:hint="eastAsia" w:ascii="仿宋" w:hAnsi="仿宋" w:eastAsia="仿宋" w:cs="仿宋"/>
          <w:sz w:val="24"/>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5F47FFD5">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四、获取采购文件</w:t>
      </w:r>
      <w:bookmarkEnd w:id="12"/>
      <w:bookmarkEnd w:id="13"/>
      <w:bookmarkEnd w:id="18"/>
      <w:bookmarkEnd w:id="19"/>
    </w:p>
    <w:p w14:paraId="05889A11">
      <w:pPr>
        <w:adjustRightInd w:val="0"/>
        <w:snapToGrid w:val="0"/>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时间：2026</w:t>
      </w:r>
      <w:r>
        <w:rPr>
          <w:rFonts w:hint="eastAsia" w:ascii="仿宋" w:hAnsi="仿宋" w:eastAsia="仿宋" w:cs="仿宋"/>
          <w:sz w:val="24"/>
          <w:highlight w:val="none"/>
          <w:lang w:val="zh-CN"/>
        </w:rPr>
        <w:t>年</w:t>
      </w:r>
      <w:r>
        <w:rPr>
          <w:rFonts w:hint="eastAsia" w:ascii="仿宋" w:hAnsi="仿宋" w:eastAsia="仿宋" w:cs="仿宋"/>
          <w:sz w:val="24"/>
          <w:highlight w:val="none"/>
        </w:rPr>
        <w:t>10</w:t>
      </w:r>
      <w:r>
        <w:rPr>
          <w:rFonts w:hint="eastAsia" w:ascii="仿宋" w:hAnsi="仿宋" w:eastAsia="仿宋" w:cs="仿宋"/>
          <w:sz w:val="24"/>
          <w:highlight w:val="none"/>
          <w:lang w:val="zh-CN"/>
        </w:rPr>
        <w:t>月</w:t>
      </w:r>
      <w:r>
        <w:rPr>
          <w:rFonts w:hint="eastAsia" w:ascii="仿宋" w:hAnsi="仿宋" w:eastAsia="仿宋" w:cs="仿宋"/>
          <w:sz w:val="24"/>
          <w:highlight w:val="none"/>
          <w:lang w:val="en-US" w:eastAsia="zh-CN"/>
        </w:rPr>
        <w:t>29</w:t>
      </w:r>
      <w:r>
        <w:rPr>
          <w:rFonts w:hint="eastAsia" w:ascii="仿宋" w:hAnsi="仿宋" w:eastAsia="仿宋" w:cs="仿宋"/>
          <w:sz w:val="24"/>
          <w:highlight w:val="none"/>
          <w:lang w:val="zh-CN"/>
        </w:rPr>
        <w:t xml:space="preserve">日 </w:t>
      </w:r>
      <w:r>
        <w:rPr>
          <w:rFonts w:hint="eastAsia" w:ascii="仿宋" w:hAnsi="仿宋" w:eastAsia="仿宋" w:cs="仿宋"/>
          <w:sz w:val="24"/>
          <w:highlight w:val="none"/>
          <w:lang w:val="en-US" w:eastAsia="zh-CN"/>
        </w:rPr>
        <w:t>17</w:t>
      </w:r>
      <w:r>
        <w:rPr>
          <w:rFonts w:hint="eastAsia" w:ascii="仿宋" w:hAnsi="仿宋" w:eastAsia="仿宋" w:cs="仿宋"/>
          <w:sz w:val="24"/>
          <w:highlight w:val="none"/>
          <w:lang w:val="zh-CN"/>
        </w:rPr>
        <w:t>时</w:t>
      </w:r>
      <w:r>
        <w:rPr>
          <w:rFonts w:hint="eastAsia" w:ascii="仿宋" w:hAnsi="仿宋" w:eastAsia="仿宋" w:cs="仿宋"/>
          <w:sz w:val="24"/>
          <w:highlight w:val="none"/>
        </w:rPr>
        <w:t>00</w:t>
      </w:r>
      <w:r>
        <w:rPr>
          <w:rFonts w:hint="eastAsia" w:ascii="仿宋" w:hAnsi="仿宋" w:eastAsia="仿宋" w:cs="仿宋"/>
          <w:sz w:val="24"/>
          <w:highlight w:val="none"/>
          <w:lang w:val="zh-CN"/>
        </w:rPr>
        <w:t>分至</w:t>
      </w:r>
      <w:r>
        <w:rPr>
          <w:rFonts w:hint="eastAsia" w:ascii="仿宋" w:hAnsi="仿宋" w:eastAsia="仿宋" w:cs="仿宋"/>
          <w:sz w:val="24"/>
          <w:highlight w:val="none"/>
        </w:rPr>
        <w:t>2026</w:t>
      </w:r>
      <w:r>
        <w:rPr>
          <w:rFonts w:hint="eastAsia" w:ascii="仿宋" w:hAnsi="仿宋" w:eastAsia="仿宋" w:cs="仿宋"/>
          <w:sz w:val="24"/>
          <w:highlight w:val="none"/>
          <w:lang w:val="zh-CN"/>
        </w:rPr>
        <w:t>年</w:t>
      </w:r>
      <w:r>
        <w:rPr>
          <w:rFonts w:hint="eastAsia" w:ascii="仿宋" w:hAnsi="仿宋" w:eastAsia="仿宋" w:cs="仿宋"/>
          <w:sz w:val="24"/>
          <w:highlight w:val="none"/>
        </w:rPr>
        <w:t>11</w:t>
      </w:r>
      <w:r>
        <w:rPr>
          <w:rFonts w:hint="eastAsia" w:ascii="仿宋" w:hAnsi="仿宋" w:eastAsia="仿宋" w:cs="仿宋"/>
          <w:sz w:val="24"/>
          <w:highlight w:val="none"/>
          <w:lang w:val="zh-CN"/>
        </w:rPr>
        <w:t>月</w:t>
      </w:r>
      <w:r>
        <w:rPr>
          <w:rFonts w:hint="eastAsia" w:ascii="仿宋" w:hAnsi="仿宋" w:eastAsia="仿宋" w:cs="仿宋"/>
          <w:sz w:val="24"/>
          <w:highlight w:val="none"/>
          <w:lang w:val="en-US" w:eastAsia="zh-CN"/>
        </w:rPr>
        <w:t>06</w:t>
      </w:r>
      <w:r>
        <w:rPr>
          <w:rFonts w:hint="eastAsia" w:ascii="仿宋" w:hAnsi="仿宋" w:eastAsia="仿宋" w:cs="仿宋"/>
          <w:sz w:val="24"/>
          <w:highlight w:val="none"/>
          <w:lang w:val="zh-CN"/>
        </w:rPr>
        <w:t xml:space="preserve">日 </w:t>
      </w:r>
      <w:r>
        <w:rPr>
          <w:rFonts w:hint="eastAsia" w:ascii="仿宋" w:hAnsi="仿宋" w:eastAsia="仿宋" w:cs="仿宋"/>
          <w:sz w:val="24"/>
          <w:highlight w:val="none"/>
          <w:lang w:val="en-US" w:eastAsia="zh-CN"/>
        </w:rPr>
        <w:t>00</w:t>
      </w:r>
      <w:r>
        <w:rPr>
          <w:rFonts w:hint="eastAsia" w:ascii="仿宋" w:hAnsi="仿宋" w:eastAsia="仿宋" w:cs="仿宋"/>
          <w:sz w:val="24"/>
          <w:highlight w:val="none"/>
          <w:lang w:val="zh-CN"/>
        </w:rPr>
        <w:t>时</w:t>
      </w:r>
      <w:r>
        <w:rPr>
          <w:rFonts w:hint="eastAsia" w:ascii="仿宋" w:hAnsi="仿宋" w:eastAsia="仿宋" w:cs="仿宋"/>
          <w:sz w:val="24"/>
          <w:highlight w:val="none"/>
        </w:rPr>
        <w:t>00</w:t>
      </w:r>
      <w:r>
        <w:rPr>
          <w:rFonts w:hint="eastAsia" w:ascii="仿宋" w:hAnsi="仿宋" w:eastAsia="仿宋" w:cs="仿宋"/>
          <w:sz w:val="24"/>
          <w:highlight w:val="none"/>
          <w:lang w:val="zh-CN"/>
        </w:rPr>
        <w:t>分（北京时间，法定节假日除外）</w:t>
      </w:r>
      <w:r>
        <w:rPr>
          <w:rFonts w:hint="eastAsia" w:ascii="仿宋" w:hAnsi="仿宋" w:eastAsia="仿宋" w:cs="仿宋"/>
          <w:sz w:val="24"/>
          <w:highlight w:val="none"/>
        </w:rPr>
        <w:t>（北京时间，法定节假日除外 ）</w:t>
      </w:r>
    </w:p>
    <w:p w14:paraId="635C50C7">
      <w:pPr>
        <w:adjustRightInd w:val="0"/>
        <w:snapToGrid w:val="0"/>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地点：辽宁政府采购网获取</w:t>
      </w:r>
    </w:p>
    <w:p w14:paraId="5B4A9A99">
      <w:pPr>
        <w:adjustRightInd w:val="0"/>
        <w:snapToGrid w:val="0"/>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鉴于目前辽宁政府采购网及全国公共资源交易平台（辽宁省•锦州市）相关数据尚未实现互联共享，本公告在辽宁政府采购网、全国公共资源交易平台（辽宁省•锦州市）同步发布，以辽宁政府采购网为准。</w:t>
      </w:r>
    </w:p>
    <w:p w14:paraId="03AACA6E">
      <w:pPr>
        <w:adjustRightInd w:val="0"/>
        <w:snapToGrid w:val="0"/>
        <w:spacing w:line="360" w:lineRule="auto"/>
        <w:ind w:firstLine="540"/>
        <w:rPr>
          <w:rFonts w:hint="eastAsia" w:ascii="仿宋" w:hAnsi="仿宋" w:eastAsia="仿宋" w:cs="仿宋"/>
          <w:sz w:val="24"/>
          <w:highlight w:val="none"/>
          <w:u w:val="single"/>
        </w:rPr>
      </w:pPr>
      <w:r>
        <w:rPr>
          <w:rFonts w:hint="eastAsia" w:ascii="仿宋" w:hAnsi="仿宋" w:eastAsia="仿宋" w:cs="仿宋"/>
          <w:sz w:val="24"/>
          <w:highlight w:val="none"/>
        </w:rPr>
        <w:t>方式：线上</w:t>
      </w:r>
    </w:p>
    <w:p w14:paraId="42791B04">
      <w:pPr>
        <w:adjustRightInd w:val="0"/>
        <w:snapToGrid w:val="0"/>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售价：免费</w:t>
      </w:r>
    </w:p>
    <w:p w14:paraId="0A52BDCE">
      <w:pPr>
        <w:adjustRightInd w:val="0"/>
        <w:snapToGrid w:val="0"/>
        <w:spacing w:line="360" w:lineRule="auto"/>
        <w:ind w:firstLine="480" w:firstLineChars="200"/>
        <w:rPr>
          <w:rFonts w:hint="eastAsia" w:ascii="仿宋" w:hAnsi="仿宋" w:eastAsia="仿宋" w:cs="仿宋"/>
          <w:sz w:val="24"/>
          <w:highlight w:val="none"/>
        </w:rPr>
      </w:pPr>
      <w:bookmarkStart w:id="20" w:name="_Toc35393632"/>
      <w:bookmarkStart w:id="21" w:name="_Toc28359092"/>
      <w:bookmarkStart w:id="22" w:name="_Toc35393801"/>
      <w:bookmarkStart w:id="23" w:name="_Toc28359015"/>
      <w:r>
        <w:rPr>
          <w:rFonts w:hint="eastAsia" w:ascii="仿宋" w:hAnsi="仿宋" w:eastAsia="仿宋" w:cs="仿宋"/>
          <w:sz w:val="24"/>
          <w:highlight w:val="none"/>
        </w:rPr>
        <w:t>五、响应文件提交</w:t>
      </w:r>
      <w:bookmarkEnd w:id="20"/>
      <w:bookmarkEnd w:id="21"/>
      <w:bookmarkEnd w:id="22"/>
      <w:bookmarkEnd w:id="23"/>
    </w:p>
    <w:p w14:paraId="2D084D6E">
      <w:pPr>
        <w:adjustRightInd w:val="0"/>
        <w:snapToGrid w:val="0"/>
        <w:spacing w:line="360" w:lineRule="auto"/>
        <w:ind w:firstLine="480" w:firstLineChars="200"/>
        <w:rPr>
          <w:rFonts w:hint="eastAsia" w:ascii="仿宋" w:hAnsi="仿宋" w:eastAsia="仿宋" w:cs="仿宋"/>
          <w:bCs/>
          <w:sz w:val="24"/>
          <w:highlight w:val="none"/>
          <w:u w:val="single"/>
        </w:rPr>
      </w:pPr>
      <w:r>
        <w:rPr>
          <w:rFonts w:hint="eastAsia" w:ascii="仿宋" w:hAnsi="仿宋" w:eastAsia="仿宋" w:cs="仿宋"/>
          <w:sz w:val="24"/>
          <w:highlight w:val="none"/>
        </w:rPr>
        <w:t>截止时间：2026</w:t>
      </w:r>
      <w:r>
        <w:rPr>
          <w:rFonts w:hint="eastAsia" w:ascii="仿宋" w:hAnsi="仿宋" w:eastAsia="仿宋" w:cs="仿宋"/>
          <w:sz w:val="24"/>
          <w:highlight w:val="none"/>
          <w:lang w:val="zh-CN"/>
        </w:rPr>
        <w:t>年</w:t>
      </w:r>
      <w:r>
        <w:rPr>
          <w:rFonts w:hint="eastAsia" w:ascii="仿宋" w:hAnsi="仿宋" w:eastAsia="仿宋" w:cs="仿宋"/>
          <w:sz w:val="24"/>
          <w:highlight w:val="none"/>
        </w:rPr>
        <w:t>11</w:t>
      </w:r>
      <w:r>
        <w:rPr>
          <w:rFonts w:hint="eastAsia" w:ascii="仿宋" w:hAnsi="仿宋" w:eastAsia="仿宋" w:cs="仿宋"/>
          <w:sz w:val="24"/>
          <w:highlight w:val="none"/>
          <w:lang w:val="zh-CN"/>
        </w:rPr>
        <w:t>月</w:t>
      </w:r>
      <w:r>
        <w:rPr>
          <w:rFonts w:hint="eastAsia" w:ascii="仿宋" w:hAnsi="仿宋" w:eastAsia="仿宋" w:cs="仿宋"/>
          <w:sz w:val="24"/>
          <w:highlight w:val="none"/>
          <w:lang w:val="en-US" w:eastAsia="zh-CN"/>
        </w:rPr>
        <w:t>10</w:t>
      </w:r>
      <w:r>
        <w:rPr>
          <w:rFonts w:hint="eastAsia" w:ascii="仿宋" w:hAnsi="仿宋" w:eastAsia="仿宋" w:cs="仿宋"/>
          <w:sz w:val="24"/>
          <w:highlight w:val="none"/>
          <w:lang w:val="zh-CN"/>
        </w:rPr>
        <w:t>日</w:t>
      </w:r>
      <w:r>
        <w:rPr>
          <w:rFonts w:hint="eastAsia" w:ascii="仿宋" w:hAnsi="仿宋" w:eastAsia="仿宋" w:cs="仿宋"/>
          <w:sz w:val="24"/>
          <w:highlight w:val="none"/>
          <w:lang w:val="en-US" w:eastAsia="zh-CN"/>
        </w:rPr>
        <w:t>09</w:t>
      </w:r>
      <w:r>
        <w:rPr>
          <w:rFonts w:hint="eastAsia" w:ascii="仿宋" w:hAnsi="仿宋" w:eastAsia="仿宋" w:cs="仿宋"/>
          <w:sz w:val="24"/>
          <w:highlight w:val="none"/>
          <w:lang w:val="zh-CN"/>
        </w:rPr>
        <w:t>时</w:t>
      </w:r>
      <w:r>
        <w:rPr>
          <w:rFonts w:hint="eastAsia" w:ascii="仿宋" w:hAnsi="仿宋" w:eastAsia="仿宋" w:cs="仿宋"/>
          <w:sz w:val="24"/>
          <w:highlight w:val="none"/>
        </w:rPr>
        <w:t>00</w:t>
      </w:r>
      <w:r>
        <w:rPr>
          <w:rFonts w:hint="eastAsia" w:ascii="仿宋" w:hAnsi="仿宋" w:eastAsia="仿宋" w:cs="仿宋"/>
          <w:sz w:val="24"/>
          <w:highlight w:val="none"/>
          <w:lang w:val="zh-CN"/>
        </w:rPr>
        <w:t>分</w:t>
      </w:r>
      <w:r>
        <w:rPr>
          <w:rFonts w:hint="eastAsia" w:ascii="仿宋" w:hAnsi="仿宋" w:eastAsia="仿宋" w:cs="仿宋"/>
          <w:sz w:val="24"/>
          <w:highlight w:val="none"/>
        </w:rPr>
        <w:t>（北京时间）</w:t>
      </w:r>
    </w:p>
    <w:p w14:paraId="24478FFA">
      <w:pPr>
        <w:adjustRightInd w:val="0"/>
        <w:snapToGrid w:val="0"/>
        <w:spacing w:line="360" w:lineRule="auto"/>
        <w:ind w:firstLine="480" w:firstLineChars="200"/>
        <w:rPr>
          <w:rFonts w:hint="eastAsia" w:ascii="仿宋" w:hAnsi="仿宋" w:eastAsia="仿宋" w:cs="仿宋"/>
          <w:bCs/>
          <w:sz w:val="24"/>
          <w:highlight w:val="none"/>
          <w:u w:val="single"/>
        </w:rPr>
      </w:pPr>
      <w:r>
        <w:rPr>
          <w:rFonts w:hint="eastAsia" w:ascii="仿宋" w:hAnsi="仿宋" w:eastAsia="仿宋" w:cs="仿宋"/>
          <w:sz w:val="24"/>
          <w:highlight w:val="none"/>
        </w:rPr>
        <w:t>地点：辽宁政府采购网</w:t>
      </w:r>
    </w:p>
    <w:p w14:paraId="36442979">
      <w:pPr>
        <w:adjustRightInd w:val="0"/>
        <w:snapToGrid w:val="0"/>
        <w:spacing w:line="360" w:lineRule="auto"/>
        <w:ind w:firstLine="480" w:firstLineChars="200"/>
        <w:rPr>
          <w:rFonts w:hint="eastAsia" w:ascii="仿宋" w:hAnsi="仿宋" w:eastAsia="仿宋" w:cs="仿宋"/>
          <w:sz w:val="24"/>
          <w:highlight w:val="none"/>
        </w:rPr>
      </w:pPr>
      <w:bookmarkStart w:id="24" w:name="_Toc35393633"/>
      <w:bookmarkStart w:id="25" w:name="_Toc35393802"/>
      <w:bookmarkStart w:id="26" w:name="_Toc28359016"/>
      <w:bookmarkStart w:id="27" w:name="_Toc28359093"/>
      <w:r>
        <w:rPr>
          <w:rFonts w:hint="eastAsia" w:ascii="仿宋" w:hAnsi="仿宋" w:eastAsia="仿宋" w:cs="仿宋"/>
          <w:sz w:val="24"/>
          <w:highlight w:val="none"/>
        </w:rPr>
        <w:t>六、开启</w:t>
      </w:r>
      <w:bookmarkEnd w:id="24"/>
      <w:bookmarkEnd w:id="25"/>
      <w:bookmarkEnd w:id="26"/>
      <w:bookmarkEnd w:id="27"/>
    </w:p>
    <w:p w14:paraId="673B94F1">
      <w:pPr>
        <w:adjustRightInd w:val="0"/>
        <w:snapToGrid w:val="0"/>
        <w:spacing w:line="360" w:lineRule="auto"/>
        <w:ind w:firstLine="480" w:firstLineChars="200"/>
        <w:rPr>
          <w:rFonts w:hint="eastAsia" w:ascii="仿宋" w:hAnsi="仿宋" w:eastAsia="仿宋" w:cs="仿宋"/>
          <w:bCs/>
          <w:sz w:val="24"/>
          <w:highlight w:val="none"/>
          <w:u w:val="single"/>
        </w:rPr>
      </w:pPr>
      <w:r>
        <w:rPr>
          <w:rFonts w:hint="eastAsia" w:ascii="仿宋" w:hAnsi="仿宋" w:eastAsia="仿宋" w:cs="仿宋"/>
          <w:sz w:val="24"/>
          <w:highlight w:val="none"/>
        </w:rPr>
        <w:t>时间：2026</w:t>
      </w:r>
      <w:r>
        <w:rPr>
          <w:rFonts w:hint="eastAsia" w:ascii="仿宋" w:hAnsi="仿宋" w:eastAsia="仿宋" w:cs="仿宋"/>
          <w:sz w:val="24"/>
          <w:highlight w:val="none"/>
          <w:lang w:val="zh-CN"/>
        </w:rPr>
        <w:t>年</w:t>
      </w:r>
      <w:r>
        <w:rPr>
          <w:rFonts w:hint="eastAsia" w:ascii="仿宋" w:hAnsi="仿宋" w:eastAsia="仿宋" w:cs="仿宋"/>
          <w:sz w:val="24"/>
          <w:highlight w:val="none"/>
        </w:rPr>
        <w:t>11</w:t>
      </w:r>
      <w:r>
        <w:rPr>
          <w:rFonts w:hint="eastAsia" w:ascii="仿宋" w:hAnsi="仿宋" w:eastAsia="仿宋" w:cs="仿宋"/>
          <w:sz w:val="24"/>
          <w:highlight w:val="none"/>
          <w:lang w:val="zh-CN"/>
        </w:rPr>
        <w:t>月</w:t>
      </w:r>
      <w:r>
        <w:rPr>
          <w:rFonts w:hint="eastAsia" w:ascii="仿宋" w:hAnsi="仿宋" w:eastAsia="仿宋" w:cs="仿宋"/>
          <w:sz w:val="24"/>
          <w:highlight w:val="none"/>
          <w:lang w:val="en-US" w:eastAsia="zh-CN"/>
        </w:rPr>
        <w:t>10</w:t>
      </w:r>
      <w:r>
        <w:rPr>
          <w:rFonts w:hint="eastAsia" w:ascii="仿宋" w:hAnsi="仿宋" w:eastAsia="仿宋" w:cs="仿宋"/>
          <w:sz w:val="24"/>
          <w:highlight w:val="none"/>
          <w:lang w:val="zh-CN"/>
        </w:rPr>
        <w:t>日</w:t>
      </w:r>
      <w:r>
        <w:rPr>
          <w:rFonts w:hint="eastAsia" w:ascii="仿宋" w:hAnsi="仿宋" w:eastAsia="仿宋" w:cs="仿宋"/>
          <w:sz w:val="24"/>
          <w:highlight w:val="none"/>
          <w:lang w:val="en-US" w:eastAsia="zh-CN"/>
        </w:rPr>
        <w:t>09</w:t>
      </w:r>
      <w:r>
        <w:rPr>
          <w:rFonts w:hint="eastAsia" w:ascii="仿宋" w:hAnsi="仿宋" w:eastAsia="仿宋" w:cs="仿宋"/>
          <w:sz w:val="24"/>
          <w:highlight w:val="none"/>
          <w:lang w:val="zh-CN"/>
        </w:rPr>
        <w:t>时</w:t>
      </w:r>
      <w:r>
        <w:rPr>
          <w:rFonts w:hint="eastAsia" w:ascii="仿宋" w:hAnsi="仿宋" w:eastAsia="仿宋" w:cs="仿宋"/>
          <w:sz w:val="24"/>
          <w:highlight w:val="none"/>
        </w:rPr>
        <w:t>00</w:t>
      </w:r>
      <w:r>
        <w:rPr>
          <w:rFonts w:hint="eastAsia" w:ascii="仿宋" w:hAnsi="仿宋" w:eastAsia="仿宋" w:cs="仿宋"/>
          <w:sz w:val="24"/>
          <w:highlight w:val="none"/>
          <w:lang w:val="zh-CN"/>
        </w:rPr>
        <w:t>分</w:t>
      </w:r>
      <w:r>
        <w:rPr>
          <w:rFonts w:hint="eastAsia" w:ascii="仿宋" w:hAnsi="仿宋" w:eastAsia="仿宋" w:cs="仿宋"/>
          <w:sz w:val="24"/>
          <w:highlight w:val="none"/>
        </w:rPr>
        <w:t>（北京时间）</w:t>
      </w:r>
    </w:p>
    <w:p w14:paraId="1E6F76FC">
      <w:pPr>
        <w:adjustRightInd w:val="0"/>
        <w:snapToGrid w:val="0"/>
        <w:spacing w:line="360" w:lineRule="auto"/>
        <w:ind w:firstLine="480" w:firstLineChars="200"/>
        <w:rPr>
          <w:rFonts w:hint="eastAsia" w:ascii="仿宋" w:hAnsi="仿宋" w:eastAsia="仿宋" w:cs="仿宋"/>
          <w:bCs/>
          <w:sz w:val="24"/>
          <w:highlight w:val="none"/>
          <w:u w:val="single"/>
        </w:rPr>
      </w:pPr>
      <w:r>
        <w:rPr>
          <w:rFonts w:hint="eastAsia" w:ascii="仿宋" w:hAnsi="仿宋" w:eastAsia="仿宋" w:cs="仿宋"/>
          <w:sz w:val="24"/>
          <w:highlight w:val="none"/>
        </w:rPr>
        <w:t>地点：电子响应文件上传至辽宁政府采购网，电子备份文件递交至锦州市公共资源交易中心（锦州市凌河区胜河里150号）</w:t>
      </w:r>
    </w:p>
    <w:p w14:paraId="7982B393">
      <w:pPr>
        <w:adjustRightInd w:val="0"/>
        <w:snapToGrid w:val="0"/>
        <w:spacing w:line="360" w:lineRule="auto"/>
        <w:ind w:firstLine="480" w:firstLineChars="200"/>
        <w:rPr>
          <w:rFonts w:hint="eastAsia" w:ascii="仿宋" w:hAnsi="仿宋" w:eastAsia="仿宋" w:cs="仿宋"/>
          <w:sz w:val="24"/>
          <w:highlight w:val="none"/>
        </w:rPr>
      </w:pPr>
      <w:bookmarkStart w:id="28" w:name="_Toc35393803"/>
      <w:bookmarkStart w:id="29" w:name="_Toc35393634"/>
      <w:bookmarkStart w:id="30" w:name="_Toc28359094"/>
      <w:bookmarkStart w:id="31" w:name="_Toc28359017"/>
      <w:r>
        <w:rPr>
          <w:rFonts w:hint="eastAsia" w:ascii="仿宋" w:hAnsi="仿宋" w:eastAsia="仿宋" w:cs="仿宋"/>
          <w:sz w:val="24"/>
          <w:highlight w:val="none"/>
        </w:rPr>
        <w:t>七、公告期限</w:t>
      </w:r>
      <w:bookmarkEnd w:id="28"/>
      <w:bookmarkEnd w:id="29"/>
      <w:bookmarkEnd w:id="30"/>
      <w:bookmarkEnd w:id="31"/>
    </w:p>
    <w:p w14:paraId="6E1F0FFA">
      <w:pPr>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自本公告发布之日起3个工作日。</w:t>
      </w:r>
    </w:p>
    <w:p w14:paraId="57FEF0FA">
      <w:pPr>
        <w:keepNext/>
        <w:keepLines/>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八、质疑与投诉</w:t>
      </w:r>
    </w:p>
    <w:p w14:paraId="1273181D">
      <w:pPr>
        <w:widowControl/>
        <w:adjustRightInd w:val="0"/>
        <w:snapToGrid w:val="0"/>
        <w:spacing w:line="360" w:lineRule="auto"/>
        <w:ind w:firstLine="539"/>
        <w:jc w:val="left"/>
        <w:rPr>
          <w:rFonts w:hint="eastAsia" w:ascii="仿宋" w:hAnsi="仿宋" w:eastAsia="仿宋" w:cs="仿宋"/>
          <w:sz w:val="24"/>
          <w:highlight w:val="none"/>
        </w:rPr>
      </w:pPr>
      <w:r>
        <w:rPr>
          <w:rFonts w:hint="eastAsia" w:ascii="仿宋" w:hAnsi="仿宋" w:eastAsia="仿宋" w:cs="仿宋"/>
          <w:sz w:val="24"/>
          <w:highlight w:val="none"/>
        </w:rPr>
        <w:t>供应商认为自己的权益受到损害的，可以在知道或者应知其权益受到损害之日起七个工作日内，向采购代理机构或采购人提出质疑。</w:t>
      </w:r>
    </w:p>
    <w:p w14:paraId="1E86785C">
      <w:pPr>
        <w:widowControl/>
        <w:adjustRightInd w:val="0"/>
        <w:snapToGrid w:val="0"/>
        <w:spacing w:line="360" w:lineRule="auto"/>
        <w:ind w:firstLine="480"/>
        <w:jc w:val="left"/>
        <w:rPr>
          <w:rFonts w:hint="eastAsia" w:ascii="仿宋" w:hAnsi="仿宋" w:eastAsia="仿宋" w:cs="仿宋"/>
          <w:sz w:val="24"/>
          <w:highlight w:val="none"/>
        </w:rPr>
      </w:pPr>
      <w:r>
        <w:rPr>
          <w:rFonts w:hint="eastAsia" w:ascii="仿宋" w:hAnsi="仿宋" w:eastAsia="仿宋" w:cs="仿宋"/>
          <w:sz w:val="24"/>
          <w:highlight w:val="none"/>
        </w:rPr>
        <w:t>1.接收质疑函方式：线上或书面纸质质疑函。</w:t>
      </w:r>
    </w:p>
    <w:p w14:paraId="44439826">
      <w:pPr>
        <w:widowControl/>
        <w:adjustRightInd w:val="0"/>
        <w:snapToGrid w:val="0"/>
        <w:spacing w:line="360" w:lineRule="auto"/>
        <w:ind w:firstLine="480"/>
        <w:jc w:val="left"/>
        <w:rPr>
          <w:rFonts w:hint="eastAsia" w:ascii="仿宋" w:hAnsi="仿宋" w:eastAsia="仿宋" w:cs="仿宋"/>
          <w:sz w:val="24"/>
          <w:highlight w:val="none"/>
        </w:rPr>
      </w:pPr>
      <w:r>
        <w:rPr>
          <w:rFonts w:hint="eastAsia" w:ascii="仿宋" w:hAnsi="仿宋" w:eastAsia="仿宋" w:cs="仿宋"/>
          <w:sz w:val="24"/>
          <w:highlight w:val="none"/>
        </w:rPr>
        <w:t>2.质疑函内容、格式：应符合《政府采购质疑和投诉办法》相关规定和财政部制定的《政府采购质疑函范本》格式，详见辽宁政府采购网。</w:t>
      </w:r>
    </w:p>
    <w:p w14:paraId="567C0008">
      <w:pPr>
        <w:widowControl/>
        <w:adjustRightInd w:val="0"/>
        <w:snapToGrid w:val="0"/>
        <w:spacing w:line="360" w:lineRule="auto"/>
        <w:ind w:firstLine="480"/>
        <w:jc w:val="left"/>
        <w:rPr>
          <w:rFonts w:hint="eastAsia" w:ascii="仿宋" w:hAnsi="仿宋" w:eastAsia="仿宋" w:cs="仿宋"/>
          <w:sz w:val="24"/>
          <w:highlight w:val="none"/>
        </w:rPr>
      </w:pPr>
      <w:r>
        <w:rPr>
          <w:rFonts w:hint="eastAsia" w:ascii="仿宋" w:hAnsi="仿宋" w:eastAsia="仿宋" w:cs="仿宋"/>
          <w:sz w:val="24"/>
          <w:highlight w:val="none"/>
        </w:rPr>
        <w:t>质疑供应商对采购人、采购代理机构的答复不满意，或者采购人、采购代理机构未在规定时间内作出答复的，可以在答复期满后15个工作日内向本级财政部门提起投诉。</w:t>
      </w:r>
    </w:p>
    <w:p w14:paraId="2A6B91DB">
      <w:pPr>
        <w:adjustRightInd w:val="0"/>
        <w:snapToGrid w:val="0"/>
        <w:spacing w:line="360" w:lineRule="auto"/>
        <w:ind w:firstLine="480" w:firstLineChars="200"/>
        <w:rPr>
          <w:rFonts w:hint="eastAsia" w:ascii="仿宋" w:hAnsi="仿宋" w:eastAsia="仿宋" w:cs="仿宋"/>
          <w:sz w:val="24"/>
          <w:highlight w:val="none"/>
        </w:rPr>
      </w:pPr>
      <w:bookmarkStart w:id="32" w:name="_Toc35393635"/>
      <w:bookmarkStart w:id="33" w:name="_Toc35393804"/>
      <w:r>
        <w:rPr>
          <w:rFonts w:hint="eastAsia" w:ascii="仿宋" w:hAnsi="仿宋" w:eastAsia="仿宋" w:cs="仿宋"/>
          <w:sz w:val="24"/>
          <w:highlight w:val="none"/>
        </w:rPr>
        <w:t>九、其他补充事宜</w:t>
      </w:r>
      <w:bookmarkEnd w:id="32"/>
      <w:bookmarkEnd w:id="33"/>
    </w:p>
    <w:p w14:paraId="5708AEC3">
      <w:pPr>
        <w:widowControl/>
        <w:adjustRightInd w:val="0"/>
        <w:snapToGrid w:val="0"/>
        <w:spacing w:line="360" w:lineRule="auto"/>
        <w:ind w:firstLine="480"/>
        <w:jc w:val="left"/>
        <w:rPr>
          <w:rFonts w:hint="eastAsia" w:ascii="仿宋" w:hAnsi="仿宋" w:eastAsia="仿宋" w:cs="仿宋"/>
          <w:sz w:val="24"/>
          <w:highlight w:val="none"/>
        </w:rPr>
      </w:pPr>
      <w:r>
        <w:rPr>
          <w:rFonts w:hint="eastAsia" w:ascii="仿宋" w:hAnsi="仿宋" w:eastAsia="仿宋" w:cs="仿宋"/>
          <w:sz w:val="24"/>
          <w:highlight w:val="none"/>
        </w:rPr>
        <w:t>1.本项目为全流程电子化采购项目，参加辽宁省政府采购活动的供应商，请详阅辽宁政府采购网“首页-办事指南”中公布的“辽宁政府采购网关于办理CA数字证书的操作手册”和“辽宁政府采购网新版系统供应商操作手册”，具体规定详见《关于启用政府采购数字认证和电子招投标业务有关事宜的通知》（辽财采〔2020〕298号）、《关于完善政府采购电子评审业务流程等有关事宜的通知》（辽财采函〔2021〕363号）。技术咨询电话以辽宁政府采购网最新发布为准。</w:t>
      </w:r>
    </w:p>
    <w:p w14:paraId="23E8E587">
      <w:pPr>
        <w:widowControl/>
        <w:adjustRightInd w:val="0"/>
        <w:snapToGrid w:val="0"/>
        <w:spacing w:line="360" w:lineRule="auto"/>
        <w:ind w:firstLine="480"/>
        <w:jc w:val="left"/>
        <w:rPr>
          <w:rFonts w:hint="eastAsia" w:ascii="仿宋" w:hAnsi="仿宋" w:eastAsia="仿宋" w:cs="仿宋"/>
          <w:sz w:val="24"/>
          <w:highlight w:val="none"/>
        </w:rPr>
      </w:pPr>
      <w:r>
        <w:rPr>
          <w:rFonts w:hint="eastAsia" w:ascii="仿宋" w:hAnsi="仿宋" w:eastAsia="仿宋" w:cs="仿宋"/>
          <w:sz w:val="24"/>
          <w:highlight w:val="none"/>
        </w:rPr>
        <w:t>2.本项目根据辽宁政府采购网新版本要求，采取CA锁电子报名及投标，根据辽宁省财政厅《关于完善政府采购电子评审业务流程等有关事宜的通知》（辽财采函〔2021〕363 号）文件的规定，供应商除在电子评审系统上传投标（响应）文件外，还需在递交投标（响应）文件截止时间前提交U盘存储的可加密的备份文件，并承诺备份文件与电子评审系统中上传的投标（响应）文件内容、格式一致，备系统突发故障使用。供应商仅提交备份文件或仅上传电子文件，投标无效。</w:t>
      </w:r>
    </w:p>
    <w:p w14:paraId="7A58D44F">
      <w:pPr>
        <w:widowControl/>
        <w:adjustRightInd w:val="0"/>
        <w:snapToGrid w:val="0"/>
        <w:spacing w:line="360" w:lineRule="auto"/>
        <w:ind w:firstLine="480"/>
        <w:jc w:val="left"/>
        <w:rPr>
          <w:rFonts w:hint="eastAsia" w:ascii="仿宋" w:hAnsi="仿宋" w:eastAsia="仿宋" w:cs="仿宋"/>
          <w:sz w:val="24"/>
          <w:highlight w:val="none"/>
        </w:rPr>
      </w:pPr>
      <w:r>
        <w:rPr>
          <w:rFonts w:hint="eastAsia" w:ascii="仿宋" w:hAnsi="仿宋" w:eastAsia="仿宋" w:cs="仿宋"/>
          <w:sz w:val="24"/>
          <w:highlight w:val="none"/>
        </w:rPr>
        <w:t>3.供应商应认真学习辽宁政府采购网电子文件制作指南，并按照采购文件和电子评审系统要求进行投标（响应）信息填报、电子文件编制、盖章或电子签章等工作。对于使用电子签章的，供应商应在辽宁政府采购网CA 认证平台下载签章工具或向CA 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578B9DD7">
      <w:pPr>
        <w:widowControl/>
        <w:adjustRightInd w:val="0"/>
        <w:snapToGrid w:val="0"/>
        <w:spacing w:line="360" w:lineRule="auto"/>
        <w:ind w:firstLine="480"/>
        <w:jc w:val="left"/>
        <w:rPr>
          <w:rFonts w:hint="eastAsia" w:ascii="仿宋" w:hAnsi="仿宋" w:eastAsia="仿宋" w:cs="仿宋"/>
          <w:sz w:val="24"/>
          <w:highlight w:val="none"/>
        </w:rPr>
      </w:pPr>
      <w:r>
        <w:rPr>
          <w:rFonts w:hint="eastAsia" w:ascii="仿宋" w:hAnsi="仿宋" w:eastAsia="仿宋" w:cs="仿宋"/>
          <w:sz w:val="24"/>
          <w:highlight w:val="none"/>
        </w:rPr>
        <w:t>4.供应商在电子评审活动中出现以下情形的，应按如下规定进行处理：</w:t>
      </w:r>
    </w:p>
    <w:p w14:paraId="32497A7D">
      <w:pPr>
        <w:widowControl/>
        <w:adjustRightInd w:val="0"/>
        <w:snapToGrid w:val="0"/>
        <w:spacing w:line="360" w:lineRule="auto"/>
        <w:ind w:firstLine="480"/>
        <w:jc w:val="left"/>
        <w:rPr>
          <w:rFonts w:hint="eastAsia" w:ascii="仿宋" w:hAnsi="仿宋" w:eastAsia="仿宋" w:cs="仿宋"/>
          <w:sz w:val="24"/>
          <w:highlight w:val="none"/>
        </w:rPr>
      </w:pPr>
      <w:r>
        <w:rPr>
          <w:rFonts w:hint="eastAsia" w:ascii="仿宋" w:hAnsi="仿宋" w:eastAsia="仿宋" w:cs="仿宋"/>
          <w:sz w:val="24"/>
          <w:highlight w:val="none"/>
        </w:rPr>
        <w:t>（1）因供应商原因造成响应文件未解密的；</w:t>
      </w:r>
    </w:p>
    <w:p w14:paraId="1B62B2F2">
      <w:pPr>
        <w:widowControl/>
        <w:adjustRightInd w:val="0"/>
        <w:snapToGrid w:val="0"/>
        <w:spacing w:line="360" w:lineRule="auto"/>
        <w:ind w:firstLine="480"/>
        <w:jc w:val="left"/>
        <w:rPr>
          <w:rFonts w:hint="eastAsia" w:ascii="仿宋" w:hAnsi="仿宋" w:eastAsia="仿宋" w:cs="仿宋"/>
          <w:sz w:val="24"/>
          <w:highlight w:val="none"/>
        </w:rPr>
      </w:pPr>
      <w:r>
        <w:rPr>
          <w:rFonts w:hint="eastAsia" w:ascii="仿宋" w:hAnsi="仿宋" w:eastAsia="仿宋" w:cs="仿宋"/>
          <w:sz w:val="24"/>
          <w:highlight w:val="none"/>
        </w:rPr>
        <w:t>（2）因供应商自用设备原因造成的未在规定时间内解密、上传文件或投标（响应）报价等问题影响电子评审的；</w:t>
      </w:r>
    </w:p>
    <w:p w14:paraId="14702598">
      <w:pPr>
        <w:widowControl/>
        <w:adjustRightInd w:val="0"/>
        <w:snapToGrid w:val="0"/>
        <w:spacing w:line="360" w:lineRule="auto"/>
        <w:ind w:firstLine="480"/>
        <w:jc w:val="left"/>
        <w:rPr>
          <w:rFonts w:hint="eastAsia" w:ascii="仿宋" w:hAnsi="仿宋" w:eastAsia="仿宋" w:cs="仿宋"/>
          <w:sz w:val="24"/>
          <w:highlight w:val="none"/>
        </w:rPr>
      </w:pPr>
      <w:r>
        <w:rPr>
          <w:rFonts w:hint="eastAsia" w:ascii="仿宋" w:hAnsi="仿宋" w:eastAsia="仿宋" w:cs="仿宋"/>
          <w:sz w:val="24"/>
          <w:highlight w:val="none"/>
        </w:rPr>
        <w:t>（3）因供应商原因未对文件校验造成信息缺失、文件内容或格式不正确以及备份文件不符合要求等问题影响评审的。</w:t>
      </w:r>
    </w:p>
    <w:p w14:paraId="305808A2">
      <w:pPr>
        <w:widowControl/>
        <w:adjustRightInd w:val="0"/>
        <w:snapToGrid w:val="0"/>
        <w:spacing w:line="360" w:lineRule="auto"/>
        <w:ind w:firstLine="480"/>
        <w:jc w:val="left"/>
        <w:rPr>
          <w:rFonts w:hint="eastAsia" w:ascii="仿宋" w:hAnsi="仿宋" w:eastAsia="仿宋" w:cs="仿宋"/>
          <w:sz w:val="24"/>
          <w:highlight w:val="none"/>
        </w:rPr>
      </w:pPr>
      <w:r>
        <w:rPr>
          <w:rFonts w:hint="eastAsia" w:ascii="仿宋" w:hAnsi="仿宋" w:eastAsia="仿宋" w:cs="仿宋"/>
          <w:sz w:val="24"/>
          <w:highlight w:val="none"/>
        </w:rPr>
        <w:t>出现前款（1）（2）情形的，视为放弃投标（响应）；出现前款（3）情形的，由供应商自行承担相应责任。</w:t>
      </w:r>
    </w:p>
    <w:p w14:paraId="18A4EB8C">
      <w:pPr>
        <w:widowControl/>
        <w:adjustRightInd w:val="0"/>
        <w:snapToGrid w:val="0"/>
        <w:spacing w:line="360" w:lineRule="auto"/>
        <w:ind w:firstLine="480"/>
        <w:jc w:val="left"/>
        <w:rPr>
          <w:rFonts w:hint="eastAsia" w:ascii="仿宋" w:hAnsi="仿宋" w:eastAsia="仿宋" w:cs="仿宋"/>
          <w:sz w:val="24"/>
          <w:highlight w:val="none"/>
        </w:rPr>
      </w:pPr>
      <w:r>
        <w:rPr>
          <w:rFonts w:hint="eastAsia" w:ascii="仿宋" w:hAnsi="仿宋" w:eastAsia="仿宋" w:cs="仿宋"/>
          <w:sz w:val="24"/>
          <w:highlight w:val="none"/>
        </w:rPr>
        <w:t>5.供应商在开标时应携带笔记本电脑及CA证书用于解密电子文件，也允许在规定时间内远程解密，电子解密时间控制在30分钟内（如遇系统故障除外），未携带笔记本电脑或CA证书导致无法解密或未在规定时间内解密的，由供应商自行承担相关责任，采购人及代理机构可按无效标处理。</w:t>
      </w:r>
    </w:p>
    <w:p w14:paraId="4BA2272E">
      <w:pPr>
        <w:widowControl/>
        <w:adjustRightInd w:val="0"/>
        <w:snapToGrid w:val="0"/>
        <w:spacing w:line="360" w:lineRule="auto"/>
        <w:ind w:firstLine="480"/>
        <w:jc w:val="left"/>
        <w:rPr>
          <w:rFonts w:hint="eastAsia" w:ascii="仿宋" w:hAnsi="仿宋" w:eastAsia="仿宋" w:cs="仿宋"/>
          <w:sz w:val="24"/>
          <w:highlight w:val="none"/>
        </w:rPr>
      </w:pPr>
      <w:r>
        <w:rPr>
          <w:rFonts w:hint="eastAsia" w:ascii="仿宋" w:hAnsi="仿宋" w:eastAsia="仿宋" w:cs="仿宋"/>
          <w:sz w:val="24"/>
          <w:highlight w:val="none"/>
        </w:rPr>
        <w:t>6.具体操作流程详见辽宁政府采购网，技术咨询电话以辽宁政府采购网最新发布为准。</w:t>
      </w:r>
    </w:p>
    <w:p w14:paraId="46ABF622">
      <w:pPr>
        <w:adjustRightInd w:val="0"/>
        <w:snapToGrid w:val="0"/>
        <w:spacing w:line="360" w:lineRule="auto"/>
        <w:ind w:firstLine="480" w:firstLineChars="200"/>
        <w:rPr>
          <w:rFonts w:hint="eastAsia" w:ascii="仿宋" w:hAnsi="仿宋" w:eastAsia="仿宋" w:cs="仿宋"/>
          <w:sz w:val="24"/>
          <w:highlight w:val="none"/>
        </w:rPr>
      </w:pPr>
      <w:bookmarkStart w:id="34" w:name="_Toc28359095"/>
      <w:bookmarkStart w:id="35" w:name="_Toc28359018"/>
      <w:bookmarkStart w:id="36" w:name="_Toc35393636"/>
      <w:bookmarkStart w:id="37" w:name="_Toc35393805"/>
      <w:r>
        <w:rPr>
          <w:rFonts w:hint="eastAsia" w:ascii="仿宋" w:hAnsi="仿宋" w:eastAsia="仿宋" w:cs="仿宋"/>
          <w:sz w:val="24"/>
          <w:highlight w:val="none"/>
        </w:rPr>
        <w:t>十、对本次采购提出询问，请按以下方式联系</w:t>
      </w:r>
      <w:bookmarkEnd w:id="34"/>
      <w:bookmarkEnd w:id="35"/>
      <w:bookmarkEnd w:id="36"/>
      <w:bookmarkEnd w:id="37"/>
    </w:p>
    <w:p w14:paraId="02C44440">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1.采购人信息</w:t>
      </w:r>
    </w:p>
    <w:p w14:paraId="77919FA4">
      <w:pPr>
        <w:adjustRightInd w:val="0"/>
        <w:snapToGrid w:val="0"/>
        <w:spacing w:line="360" w:lineRule="auto"/>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名称：凌海市新庄子镇人民政府</w:t>
      </w:r>
    </w:p>
    <w:p w14:paraId="0108B9BD">
      <w:pPr>
        <w:adjustRightInd w:val="0"/>
        <w:snapToGrid w:val="0"/>
        <w:spacing w:line="360" w:lineRule="auto"/>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地址：凌海市新庄子镇</w:t>
      </w:r>
      <w:r>
        <w:rPr>
          <w:rFonts w:hint="eastAsia" w:ascii="仿宋" w:hAnsi="仿宋" w:eastAsia="仿宋" w:cs="仿宋"/>
          <w:sz w:val="24"/>
          <w:highlight w:val="none"/>
        </w:rPr>
        <w:t>新庄子村</w:t>
      </w:r>
      <w:r>
        <w:rPr>
          <w:rFonts w:hint="eastAsia" w:ascii="仿宋" w:hAnsi="仿宋" w:eastAsia="仿宋" w:cs="仿宋"/>
          <w:sz w:val="24"/>
          <w:highlight w:val="none"/>
          <w:lang w:val="zh-CN"/>
        </w:rPr>
        <w:t>本街</w:t>
      </w:r>
    </w:p>
    <w:p w14:paraId="4044F279">
      <w:pPr>
        <w:adjustRightInd w:val="0"/>
        <w:snapToGrid w:val="0"/>
        <w:spacing w:line="360" w:lineRule="auto"/>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联系人：</w:t>
      </w:r>
      <w:r>
        <w:rPr>
          <w:rFonts w:hint="eastAsia" w:ascii="仿宋" w:hAnsi="仿宋" w:eastAsia="仿宋" w:cs="仿宋"/>
          <w:sz w:val="24"/>
          <w:highlight w:val="none"/>
        </w:rPr>
        <w:t>谭先生</w:t>
      </w:r>
      <w:r>
        <w:rPr>
          <w:rFonts w:hint="eastAsia" w:ascii="仿宋" w:hAnsi="仿宋" w:eastAsia="仿宋" w:cs="仿宋"/>
          <w:sz w:val="24"/>
          <w:highlight w:val="none"/>
          <w:lang w:val="zh-CN"/>
        </w:rPr>
        <w:t xml:space="preserve"> </w:t>
      </w:r>
    </w:p>
    <w:p w14:paraId="31B16AF7">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zh-CN"/>
        </w:rPr>
        <w:t>联系电话：</w:t>
      </w:r>
      <w:r>
        <w:rPr>
          <w:rFonts w:hint="eastAsia" w:ascii="仿宋" w:hAnsi="仿宋" w:eastAsia="仿宋" w:cs="仿宋"/>
          <w:sz w:val="24"/>
          <w:highlight w:val="none"/>
        </w:rPr>
        <w:t>0416-6330004</w:t>
      </w:r>
    </w:p>
    <w:p w14:paraId="37378726">
      <w:pPr>
        <w:adjustRightInd w:val="0"/>
        <w:snapToGrid w:val="0"/>
        <w:spacing w:line="360" w:lineRule="auto"/>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2.采购代理机构信息</w:t>
      </w:r>
    </w:p>
    <w:p w14:paraId="673D6923">
      <w:pPr>
        <w:adjustRightInd w:val="0"/>
        <w:snapToGrid w:val="0"/>
        <w:spacing w:line="360" w:lineRule="auto"/>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名称：辽宁胜权项目管理有限公司</w:t>
      </w:r>
    </w:p>
    <w:p w14:paraId="1A04D6D9">
      <w:pPr>
        <w:adjustRightInd w:val="0"/>
        <w:snapToGrid w:val="0"/>
        <w:spacing w:line="360" w:lineRule="auto"/>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地址：辽宁省锦州市松山新区锦娘路永和国际24-9号</w:t>
      </w:r>
    </w:p>
    <w:p w14:paraId="67C176E6">
      <w:pPr>
        <w:adjustRightInd w:val="0"/>
        <w:snapToGrid w:val="0"/>
        <w:spacing w:line="360" w:lineRule="auto"/>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联系方式：0416-3629888</w:t>
      </w:r>
    </w:p>
    <w:p w14:paraId="3941CD86">
      <w:pPr>
        <w:adjustRightInd w:val="0"/>
        <w:snapToGrid w:val="0"/>
        <w:spacing w:line="360" w:lineRule="auto"/>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邮箱地址：longlong38l@163.com</w:t>
      </w:r>
    </w:p>
    <w:p w14:paraId="50D2B3C3">
      <w:pPr>
        <w:adjustRightInd w:val="0"/>
        <w:snapToGrid w:val="0"/>
        <w:spacing w:line="360" w:lineRule="auto"/>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开户行：中国邮政储蓄银行股份有限公司锦州市分行</w:t>
      </w:r>
    </w:p>
    <w:p w14:paraId="0751DC0C">
      <w:pPr>
        <w:adjustRightInd w:val="0"/>
        <w:snapToGrid w:val="0"/>
        <w:spacing w:line="360" w:lineRule="auto"/>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账户名称：辽宁胜权项目管理有限公司 </w:t>
      </w:r>
    </w:p>
    <w:p w14:paraId="007A2359">
      <w:pPr>
        <w:adjustRightInd w:val="0"/>
        <w:snapToGrid w:val="0"/>
        <w:spacing w:line="360" w:lineRule="auto"/>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账号：921009010037631112</w:t>
      </w:r>
    </w:p>
    <w:p w14:paraId="4B0204C6">
      <w:pPr>
        <w:adjustRightInd w:val="0"/>
        <w:snapToGrid w:val="0"/>
        <w:spacing w:line="360" w:lineRule="auto"/>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3.项目联系方式</w:t>
      </w:r>
    </w:p>
    <w:p w14:paraId="7C402B1C">
      <w:pPr>
        <w:adjustRightInd w:val="0"/>
        <w:snapToGrid w:val="0"/>
        <w:spacing w:line="360" w:lineRule="auto"/>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项目联系人：陈女士</w:t>
      </w:r>
    </w:p>
    <w:p w14:paraId="10545472">
      <w:pPr>
        <w:adjustRightInd w:val="0"/>
        <w:snapToGrid w:val="0"/>
        <w:spacing w:line="360" w:lineRule="auto"/>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电话：0416-3629888</w:t>
      </w:r>
    </w:p>
    <w:p w14:paraId="7353C2E8">
      <w:pPr>
        <w:adjustRightInd w:val="0"/>
        <w:snapToGrid w:val="0"/>
        <w:spacing w:line="360" w:lineRule="auto"/>
        <w:ind w:firstLine="480" w:firstLineChars="200"/>
        <w:rPr>
          <w:rFonts w:hint="eastAsia" w:ascii="仿宋" w:hAnsi="仿宋" w:eastAsia="仿宋" w:cs="仿宋"/>
          <w:sz w:val="24"/>
          <w:highlight w:val="none"/>
          <w:lang w:val="zh-CN"/>
        </w:rPr>
      </w:pPr>
    </w:p>
    <w:p w14:paraId="470FF9F3">
      <w:pPr>
        <w:adjustRightInd w:val="0"/>
        <w:snapToGrid w:val="0"/>
        <w:spacing w:line="360" w:lineRule="auto"/>
        <w:ind w:firstLine="482" w:firstLineChars="200"/>
        <w:rPr>
          <w:rFonts w:hint="eastAsia" w:ascii="仿宋" w:hAnsi="仿宋" w:eastAsia="仿宋" w:cs="仿宋"/>
          <w:b/>
          <w:bCs/>
          <w:kern w:val="0"/>
          <w:sz w:val="24"/>
          <w:highlight w:val="none"/>
        </w:rPr>
        <w:sectPr>
          <w:footerReference r:id="rId3" w:type="default"/>
          <w:pgSz w:w="11906" w:h="16838"/>
          <w:pgMar w:top="1440" w:right="1803" w:bottom="1440" w:left="1803" w:header="851" w:footer="992" w:gutter="0"/>
          <w:pgNumType w:start="1"/>
          <w:cols w:space="720" w:num="1"/>
          <w:docGrid w:type="lines" w:linePitch="312" w:charSpace="0"/>
        </w:sectPr>
      </w:pPr>
    </w:p>
    <w:p w14:paraId="46139278">
      <w:pPr>
        <w:pStyle w:val="2"/>
        <w:adjustRightInd w:val="0"/>
        <w:snapToGrid w:val="0"/>
        <w:spacing w:before="0" w:after="0" w:line="360" w:lineRule="auto"/>
        <w:jc w:val="center"/>
        <w:rPr>
          <w:rFonts w:hint="eastAsia" w:ascii="仿宋" w:hAnsi="仿宋" w:eastAsia="仿宋" w:cs="仿宋"/>
          <w:b w:val="0"/>
          <w:bCs/>
          <w:sz w:val="36"/>
          <w:szCs w:val="36"/>
          <w:highlight w:val="none"/>
        </w:rPr>
      </w:pPr>
      <w:bookmarkStart w:id="38" w:name="_Toc3052"/>
      <w:r>
        <w:rPr>
          <w:rFonts w:hint="eastAsia" w:ascii="仿宋" w:hAnsi="仿宋" w:eastAsia="仿宋" w:cs="仿宋"/>
          <w:b w:val="0"/>
          <w:bCs/>
          <w:sz w:val="36"/>
          <w:szCs w:val="36"/>
          <w:highlight w:val="none"/>
        </w:rPr>
        <w:t>第一章 供应商须知</w:t>
      </w:r>
      <w:bookmarkEnd w:id="3"/>
      <w:bookmarkEnd w:id="38"/>
    </w:p>
    <w:p w14:paraId="1760E422">
      <w:pPr>
        <w:pStyle w:val="3"/>
        <w:adjustRightInd w:val="0"/>
        <w:snapToGrid w:val="0"/>
        <w:spacing w:before="0" w:after="0" w:line="360" w:lineRule="auto"/>
        <w:jc w:val="center"/>
        <w:rPr>
          <w:rFonts w:hint="eastAsia" w:ascii="仿宋" w:hAnsi="仿宋" w:eastAsia="仿宋" w:cs="仿宋"/>
          <w:highlight w:val="none"/>
        </w:rPr>
      </w:pPr>
      <w:bookmarkStart w:id="39" w:name="_Toc533340139"/>
      <w:bookmarkStart w:id="40" w:name="_Toc4485618"/>
      <w:r>
        <w:rPr>
          <w:rFonts w:hint="eastAsia" w:ascii="仿宋" w:hAnsi="仿宋" w:eastAsia="仿宋" w:cs="仿宋"/>
          <w:highlight w:val="none"/>
        </w:rPr>
        <w:t>一 供应商须知表</w:t>
      </w:r>
      <w:bookmarkEnd w:id="39"/>
      <w:bookmarkEnd w:id="40"/>
    </w:p>
    <w:tbl>
      <w:tblPr>
        <w:tblStyle w:val="38"/>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5"/>
        <w:gridCol w:w="1993"/>
        <w:gridCol w:w="5653"/>
      </w:tblGrid>
      <w:tr w14:paraId="488B2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blHeader/>
          <w:jc w:val="center"/>
        </w:trPr>
        <w:tc>
          <w:tcPr>
            <w:tcW w:w="1025" w:type="dxa"/>
            <w:vAlign w:val="center"/>
          </w:tcPr>
          <w:p w14:paraId="0086F5C4">
            <w:pPr>
              <w:widowControl/>
              <w:adjustRightInd w:val="0"/>
              <w:snapToGrid w:val="0"/>
              <w:jc w:val="center"/>
              <w:rPr>
                <w:rFonts w:hint="eastAsia" w:ascii="仿宋" w:hAnsi="仿宋" w:eastAsia="仿宋" w:cs="仿宋"/>
                <w:kern w:val="0"/>
                <w:szCs w:val="21"/>
                <w:highlight w:val="none"/>
              </w:rPr>
            </w:pPr>
            <w:bookmarkStart w:id="41" w:name="sys_招标项目基本内容及要求其他：Block"/>
            <w:bookmarkEnd w:id="41"/>
            <w:bookmarkStart w:id="42" w:name="招标项目基本内容及要求：Block"/>
            <w:bookmarkEnd w:id="42"/>
            <w:bookmarkStart w:id="43" w:name="招标项目基本内容及要求其他：Block"/>
            <w:bookmarkEnd w:id="43"/>
            <w:bookmarkStart w:id="44" w:name="sys_招标项目基本内容及要求：Block"/>
            <w:bookmarkEnd w:id="44"/>
            <w:r>
              <w:rPr>
                <w:rFonts w:hint="eastAsia" w:ascii="仿宋" w:hAnsi="仿宋" w:eastAsia="仿宋" w:cs="仿宋"/>
                <w:kern w:val="0"/>
                <w:szCs w:val="21"/>
                <w:highlight w:val="none"/>
              </w:rPr>
              <w:t>条款号</w:t>
            </w:r>
          </w:p>
        </w:tc>
        <w:tc>
          <w:tcPr>
            <w:tcW w:w="1993" w:type="dxa"/>
            <w:vAlign w:val="center"/>
          </w:tcPr>
          <w:p w14:paraId="5B76DD53">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   目</w:t>
            </w:r>
          </w:p>
        </w:tc>
        <w:tc>
          <w:tcPr>
            <w:tcW w:w="5653" w:type="dxa"/>
            <w:vAlign w:val="center"/>
          </w:tcPr>
          <w:p w14:paraId="57E219AF">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内     容</w:t>
            </w:r>
          </w:p>
        </w:tc>
      </w:tr>
      <w:tr w14:paraId="7BBBF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1025" w:type="dxa"/>
            <w:vAlign w:val="center"/>
          </w:tcPr>
          <w:p w14:paraId="316AA4E2">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1.1</w:t>
            </w:r>
          </w:p>
        </w:tc>
        <w:tc>
          <w:tcPr>
            <w:tcW w:w="1993" w:type="dxa"/>
            <w:vAlign w:val="center"/>
          </w:tcPr>
          <w:p w14:paraId="43A8DE66">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采购人</w:t>
            </w:r>
          </w:p>
        </w:tc>
        <w:tc>
          <w:tcPr>
            <w:tcW w:w="5653" w:type="dxa"/>
            <w:vAlign w:val="center"/>
          </w:tcPr>
          <w:p w14:paraId="6EBDE2CE">
            <w:pPr>
              <w:widowControl/>
              <w:adjustRightInd w:val="0"/>
              <w:snapToGrid w:val="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名  称：</w:t>
            </w:r>
            <w:r>
              <w:rPr>
                <w:rFonts w:hint="eastAsia" w:ascii="仿宋" w:hAnsi="仿宋" w:eastAsia="仿宋" w:cs="仿宋"/>
                <w:kern w:val="0"/>
                <w:szCs w:val="21"/>
                <w:highlight w:val="none"/>
                <w:u w:val="single"/>
              </w:rPr>
              <w:t>凌海市新庄子镇人民政府</w:t>
            </w:r>
          </w:p>
          <w:p w14:paraId="26E7D7D0">
            <w:pPr>
              <w:widowControl/>
              <w:adjustRightInd w:val="0"/>
              <w:snapToGrid w:val="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地  址：</w:t>
            </w:r>
            <w:r>
              <w:rPr>
                <w:rFonts w:hint="eastAsia" w:ascii="仿宋" w:hAnsi="仿宋" w:eastAsia="仿宋" w:cs="仿宋"/>
                <w:kern w:val="0"/>
                <w:szCs w:val="21"/>
                <w:highlight w:val="none"/>
                <w:u w:val="single"/>
              </w:rPr>
              <w:t>凌海市新庄子镇新庄子村本街</w:t>
            </w:r>
          </w:p>
          <w:p w14:paraId="164C1287">
            <w:pPr>
              <w:widowControl/>
              <w:adjustRightInd w:val="0"/>
              <w:snapToGrid w:val="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联系人：</w:t>
            </w:r>
            <w:r>
              <w:rPr>
                <w:rFonts w:hint="eastAsia" w:ascii="仿宋" w:hAnsi="仿宋" w:eastAsia="仿宋" w:cs="仿宋"/>
                <w:kern w:val="0"/>
                <w:szCs w:val="21"/>
                <w:highlight w:val="none"/>
                <w:u w:val="single"/>
              </w:rPr>
              <w:t>谭先生</w:t>
            </w:r>
          </w:p>
          <w:p w14:paraId="7902696A">
            <w:pPr>
              <w:widowControl/>
              <w:adjustRightInd w:val="0"/>
              <w:snapToGrid w:val="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电  话：</w:t>
            </w:r>
            <w:r>
              <w:rPr>
                <w:rFonts w:hint="eastAsia" w:ascii="仿宋" w:hAnsi="仿宋" w:eastAsia="仿宋" w:cs="仿宋"/>
                <w:kern w:val="0"/>
                <w:szCs w:val="21"/>
                <w:highlight w:val="none"/>
                <w:u w:val="single"/>
              </w:rPr>
              <w:t>0416-6330004</w:t>
            </w:r>
          </w:p>
        </w:tc>
      </w:tr>
      <w:tr w14:paraId="31AA3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vAlign w:val="center"/>
          </w:tcPr>
          <w:p w14:paraId="5D75173C">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1.2</w:t>
            </w:r>
          </w:p>
        </w:tc>
        <w:tc>
          <w:tcPr>
            <w:tcW w:w="1993" w:type="dxa"/>
            <w:vAlign w:val="center"/>
          </w:tcPr>
          <w:p w14:paraId="66B2BEB6">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采购代理机构</w:t>
            </w:r>
          </w:p>
        </w:tc>
        <w:tc>
          <w:tcPr>
            <w:tcW w:w="5653" w:type="dxa"/>
            <w:vAlign w:val="center"/>
          </w:tcPr>
          <w:p w14:paraId="7FB1A43D">
            <w:pPr>
              <w:widowControl/>
              <w:adjustRightInd w:val="0"/>
              <w:snapToGrid w:val="0"/>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名  称：</w:t>
            </w:r>
            <w:r>
              <w:rPr>
                <w:rFonts w:hint="eastAsia" w:ascii="仿宋" w:hAnsi="仿宋" w:eastAsia="仿宋" w:cs="仿宋"/>
                <w:kern w:val="0"/>
                <w:szCs w:val="21"/>
                <w:highlight w:val="none"/>
                <w:u w:val="single"/>
              </w:rPr>
              <w:t xml:space="preserve">辽宁胜权项目管理有限公司 </w:t>
            </w:r>
          </w:p>
          <w:p w14:paraId="742D91D9">
            <w:pPr>
              <w:widowControl/>
              <w:adjustRightInd w:val="0"/>
              <w:snapToGrid w:val="0"/>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地  址：</w:t>
            </w:r>
            <w:r>
              <w:rPr>
                <w:rFonts w:hint="eastAsia" w:ascii="仿宋" w:hAnsi="仿宋" w:eastAsia="仿宋" w:cs="仿宋"/>
                <w:kern w:val="0"/>
                <w:szCs w:val="21"/>
                <w:highlight w:val="none"/>
                <w:u w:val="single"/>
              </w:rPr>
              <w:t xml:space="preserve">锦州市太和区锦娘路永和国际24-9号 </w:t>
            </w:r>
          </w:p>
          <w:p w14:paraId="229BA2FB">
            <w:pPr>
              <w:widowControl/>
              <w:adjustRightInd w:val="0"/>
              <w:snapToGrid w:val="0"/>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联系人：</w:t>
            </w:r>
            <w:r>
              <w:rPr>
                <w:rFonts w:hint="eastAsia" w:ascii="仿宋" w:hAnsi="仿宋" w:eastAsia="仿宋" w:cs="仿宋"/>
                <w:kern w:val="0"/>
                <w:szCs w:val="21"/>
                <w:highlight w:val="none"/>
                <w:u w:val="single"/>
              </w:rPr>
              <w:t xml:space="preserve">陈女士 </w:t>
            </w:r>
          </w:p>
          <w:p w14:paraId="05F817E5">
            <w:pPr>
              <w:widowControl/>
              <w:adjustRightInd w:val="0"/>
              <w:snapToGrid w:val="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电  话：</w:t>
            </w:r>
            <w:r>
              <w:rPr>
                <w:rFonts w:hint="eastAsia" w:ascii="仿宋" w:hAnsi="仿宋" w:eastAsia="仿宋" w:cs="仿宋"/>
                <w:kern w:val="0"/>
                <w:szCs w:val="21"/>
                <w:highlight w:val="none"/>
                <w:u w:val="single"/>
              </w:rPr>
              <w:t xml:space="preserve">0416-3629888  </w:t>
            </w:r>
          </w:p>
        </w:tc>
      </w:tr>
      <w:tr w14:paraId="24537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vAlign w:val="center"/>
          </w:tcPr>
          <w:p w14:paraId="38533789">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1.3.4</w:t>
            </w:r>
          </w:p>
        </w:tc>
        <w:tc>
          <w:tcPr>
            <w:tcW w:w="1993" w:type="dxa"/>
            <w:vAlign w:val="center"/>
          </w:tcPr>
          <w:p w14:paraId="4C5C5C06">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合格供应商还要满足的其他资格条件</w:t>
            </w:r>
          </w:p>
        </w:tc>
        <w:tc>
          <w:tcPr>
            <w:tcW w:w="5653" w:type="dxa"/>
            <w:vAlign w:val="center"/>
          </w:tcPr>
          <w:p w14:paraId="07DBE45B">
            <w:pPr>
              <w:widowControl/>
              <w:adjustRightInd w:val="0"/>
              <w:snapToGrid w:val="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详见采购公告</w:t>
            </w:r>
          </w:p>
        </w:tc>
      </w:tr>
      <w:tr w14:paraId="69690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vAlign w:val="center"/>
          </w:tcPr>
          <w:p w14:paraId="4C446AE8">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1.3.5</w:t>
            </w:r>
          </w:p>
        </w:tc>
        <w:tc>
          <w:tcPr>
            <w:tcW w:w="1993" w:type="dxa"/>
            <w:vAlign w:val="center"/>
          </w:tcPr>
          <w:p w14:paraId="6E5AA3EB">
            <w:pPr>
              <w:tabs>
                <w:tab w:val="left" w:pos="1425"/>
              </w:tabs>
              <w:adjustRightInd w:val="0"/>
              <w:snapToGrid w:val="0"/>
              <w:jc w:val="center"/>
              <w:rPr>
                <w:rFonts w:hint="eastAsia" w:ascii="仿宋" w:hAnsi="仿宋" w:eastAsia="仿宋" w:cs="仿宋"/>
                <w:bCs/>
                <w:kern w:val="0"/>
                <w:szCs w:val="21"/>
                <w:highlight w:val="none"/>
              </w:rPr>
            </w:pPr>
            <w:r>
              <w:rPr>
                <w:rFonts w:hint="eastAsia" w:ascii="仿宋" w:hAnsi="仿宋" w:eastAsia="仿宋" w:cs="仿宋"/>
                <w:kern w:val="0"/>
                <w:szCs w:val="21"/>
                <w:highlight w:val="none"/>
              </w:rPr>
              <w:t>是否为专门面向</w:t>
            </w:r>
            <w:r>
              <w:rPr>
                <w:rFonts w:hint="eastAsia" w:ascii="仿宋" w:hAnsi="仿宋" w:eastAsia="仿宋" w:cs="仿宋"/>
                <w:szCs w:val="21"/>
                <w:highlight w:val="none"/>
              </w:rPr>
              <w:t>中小企业</w:t>
            </w:r>
            <w:r>
              <w:rPr>
                <w:rFonts w:hint="eastAsia" w:ascii="仿宋" w:hAnsi="仿宋" w:eastAsia="仿宋" w:cs="仿宋"/>
                <w:kern w:val="0"/>
                <w:szCs w:val="21"/>
                <w:highlight w:val="none"/>
              </w:rPr>
              <w:t>采购</w:t>
            </w:r>
          </w:p>
        </w:tc>
        <w:tc>
          <w:tcPr>
            <w:tcW w:w="5653" w:type="dxa"/>
            <w:vAlign w:val="center"/>
          </w:tcPr>
          <w:p w14:paraId="32F08F16">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是</w:t>
            </w:r>
          </w:p>
          <w:p w14:paraId="1E801A3A">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否</w:t>
            </w:r>
          </w:p>
          <w:p w14:paraId="10EB3E87">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根据《财政部 工业和信息化部关于印发〈政府采购促进中小企业发展管理办法〉的通知》（财库〔2020〕46 号）、《省财政厅 省工业和信息化厅关于做好政府采购促进中小企业发展有关工作的通知》（辽财采〔2021〕153 号）文件要求，该项目专门面向中小企业采购。</w:t>
            </w:r>
          </w:p>
          <w:p w14:paraId="72462000">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参与的供应商应按《 财库〔2020〕46号》通知要求提供《中小企业声明函》（按本采购文件格式填写），具体企业划型标准请自行参照《工信部联企业〔2011〕300号》。未按格式提供声明函的，按无效响应处理。</w:t>
            </w:r>
          </w:p>
          <w:p w14:paraId="3553EDA0">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供应商应据实填报，如有虚假，将依法承担相应责任</w:t>
            </w:r>
          </w:p>
          <w:p w14:paraId="421CBE73">
            <w:pPr>
              <w:adjustRightInd w:val="0"/>
              <w:snapToGrid w:val="0"/>
              <w:rPr>
                <w:rFonts w:hint="eastAsia" w:ascii="仿宋" w:hAnsi="仿宋" w:eastAsia="仿宋" w:cs="仿宋"/>
                <w:bCs/>
                <w:kern w:val="0"/>
                <w:szCs w:val="21"/>
                <w:highlight w:val="none"/>
              </w:rPr>
            </w:pPr>
            <w:r>
              <w:rPr>
                <w:rFonts w:hint="eastAsia" w:ascii="仿宋" w:hAnsi="仿宋" w:eastAsia="仿宋" w:cs="仿宋"/>
                <w:highlight w:val="none"/>
              </w:rPr>
              <w:t>采购标的对应的中小企业划分标准所属行业为：</w:t>
            </w:r>
            <w:r>
              <w:rPr>
                <w:rFonts w:hint="eastAsia" w:ascii="仿宋" w:hAnsi="仿宋" w:eastAsia="仿宋" w:cs="仿宋"/>
                <w:highlight w:val="none"/>
                <w:u w:val="single"/>
              </w:rPr>
              <w:t xml:space="preserve"> 建筑业 </w:t>
            </w:r>
            <w:r>
              <w:rPr>
                <w:rFonts w:hint="eastAsia" w:ascii="仿宋" w:hAnsi="仿宋" w:eastAsia="仿宋" w:cs="仿宋"/>
                <w:highlight w:val="none"/>
              </w:rPr>
              <w:t>。</w:t>
            </w:r>
          </w:p>
        </w:tc>
      </w:tr>
      <w:tr w14:paraId="699C7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vAlign w:val="center"/>
          </w:tcPr>
          <w:p w14:paraId="54ED873E">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1.3.6</w:t>
            </w:r>
          </w:p>
        </w:tc>
        <w:tc>
          <w:tcPr>
            <w:tcW w:w="1993" w:type="dxa"/>
            <w:vAlign w:val="center"/>
          </w:tcPr>
          <w:p w14:paraId="1ADDD5FE">
            <w:pPr>
              <w:tabs>
                <w:tab w:val="left" w:pos="1425"/>
              </w:tabs>
              <w:adjustRightInd w:val="0"/>
              <w:snapToGrid w:val="0"/>
              <w:jc w:val="center"/>
              <w:rPr>
                <w:rFonts w:hint="eastAsia" w:ascii="仿宋" w:hAnsi="仿宋" w:eastAsia="仿宋" w:cs="仿宋"/>
                <w:b/>
                <w:kern w:val="0"/>
                <w:szCs w:val="21"/>
                <w:highlight w:val="none"/>
              </w:rPr>
            </w:pPr>
            <w:r>
              <w:rPr>
                <w:rFonts w:hint="eastAsia" w:ascii="仿宋" w:hAnsi="仿宋" w:eastAsia="仿宋" w:cs="仿宋"/>
                <w:szCs w:val="21"/>
                <w:highlight w:val="none"/>
              </w:rPr>
              <w:t>是否有政府强制采购的节能产品</w:t>
            </w:r>
          </w:p>
        </w:tc>
        <w:tc>
          <w:tcPr>
            <w:tcW w:w="5653" w:type="dxa"/>
            <w:vAlign w:val="center"/>
          </w:tcPr>
          <w:p w14:paraId="779B04AB">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有，具体产品为</w:t>
            </w:r>
            <w:r>
              <w:rPr>
                <w:rFonts w:hint="eastAsia" w:ascii="仿宋" w:hAnsi="仿宋" w:eastAsia="仿宋" w:cs="仿宋"/>
                <w:bCs/>
                <w:kern w:val="0"/>
                <w:szCs w:val="21"/>
                <w:highlight w:val="none"/>
                <w:u w:val="single"/>
              </w:rPr>
              <w:t xml:space="preserve">        </w:t>
            </w:r>
          </w:p>
          <w:p w14:paraId="056168D0">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没有</w:t>
            </w:r>
          </w:p>
        </w:tc>
      </w:tr>
      <w:tr w14:paraId="6580E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025" w:type="dxa"/>
            <w:vAlign w:val="center"/>
          </w:tcPr>
          <w:p w14:paraId="3C4F69A9">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1.4</w:t>
            </w:r>
          </w:p>
        </w:tc>
        <w:tc>
          <w:tcPr>
            <w:tcW w:w="1993" w:type="dxa"/>
            <w:vAlign w:val="center"/>
          </w:tcPr>
          <w:p w14:paraId="66ABDB00">
            <w:pPr>
              <w:tabs>
                <w:tab w:val="left" w:pos="1425"/>
              </w:tabs>
              <w:adjustRightInd w:val="0"/>
              <w:snapToGrid w:val="0"/>
              <w:jc w:val="center"/>
              <w:rPr>
                <w:rFonts w:hint="eastAsia" w:ascii="仿宋" w:hAnsi="仿宋" w:eastAsia="仿宋" w:cs="仿宋"/>
                <w:szCs w:val="21"/>
                <w:highlight w:val="none"/>
              </w:rPr>
            </w:pPr>
            <w:r>
              <w:rPr>
                <w:rFonts w:hint="eastAsia" w:ascii="仿宋" w:hAnsi="仿宋" w:eastAsia="仿宋" w:cs="仿宋"/>
                <w:bCs/>
                <w:kern w:val="0"/>
                <w:szCs w:val="21"/>
                <w:highlight w:val="none"/>
              </w:rPr>
              <w:t>是否允许联合体参加政府采购活动</w:t>
            </w:r>
          </w:p>
        </w:tc>
        <w:tc>
          <w:tcPr>
            <w:tcW w:w="5653" w:type="dxa"/>
            <w:vAlign w:val="center"/>
          </w:tcPr>
          <w:p w14:paraId="5F51725C">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是</w:t>
            </w:r>
          </w:p>
          <w:p w14:paraId="4A14D1AB">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否</w:t>
            </w:r>
          </w:p>
        </w:tc>
      </w:tr>
      <w:tr w14:paraId="69A9A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025" w:type="dxa"/>
            <w:vAlign w:val="center"/>
          </w:tcPr>
          <w:p w14:paraId="0D97ADB3">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2.2</w:t>
            </w:r>
          </w:p>
        </w:tc>
        <w:tc>
          <w:tcPr>
            <w:tcW w:w="1993" w:type="dxa"/>
            <w:vAlign w:val="center"/>
          </w:tcPr>
          <w:p w14:paraId="7A8D33D7">
            <w:pPr>
              <w:shd w:val="clear" w:color="auto" w:fill="FFFFFF"/>
              <w:adjustRightInd w:val="0"/>
              <w:snapToGrid w:val="0"/>
              <w:jc w:val="center"/>
              <w:rPr>
                <w:rFonts w:hint="eastAsia" w:ascii="仿宋" w:hAnsi="仿宋" w:eastAsia="仿宋" w:cs="仿宋"/>
                <w:bCs/>
                <w:kern w:val="0"/>
                <w:szCs w:val="21"/>
                <w:highlight w:val="none"/>
              </w:rPr>
            </w:pPr>
            <w:r>
              <w:rPr>
                <w:rFonts w:hint="eastAsia" w:ascii="仿宋" w:hAnsi="仿宋" w:eastAsia="仿宋" w:cs="仿宋"/>
                <w:kern w:val="0"/>
                <w:szCs w:val="21"/>
                <w:highlight w:val="none"/>
              </w:rPr>
              <w:t>项目预算金额、最高限价</w:t>
            </w:r>
          </w:p>
        </w:tc>
        <w:tc>
          <w:tcPr>
            <w:tcW w:w="5653" w:type="dxa"/>
            <w:vAlign w:val="center"/>
          </w:tcPr>
          <w:p w14:paraId="32586F8B">
            <w:pPr>
              <w:adjustRightInd w:val="0"/>
              <w:snapToGrid w:val="0"/>
              <w:rPr>
                <w:rFonts w:hint="eastAsia" w:ascii="仿宋" w:hAnsi="仿宋" w:eastAsia="仿宋" w:cs="仿宋"/>
                <w:bCs/>
                <w:kern w:val="0"/>
                <w:szCs w:val="21"/>
                <w:highlight w:val="none"/>
              </w:rPr>
            </w:pPr>
            <w:r>
              <w:rPr>
                <w:rFonts w:hint="eastAsia" w:ascii="仿宋" w:hAnsi="仿宋" w:eastAsia="仿宋" w:cs="仿宋"/>
                <w:bCs/>
                <w:kern w:val="0"/>
                <w:szCs w:val="21"/>
                <w:highlight w:val="none"/>
              </w:rPr>
              <w:t>预算金额：</w:t>
            </w:r>
            <w:r>
              <w:rPr>
                <w:rFonts w:hint="eastAsia" w:ascii="仿宋" w:hAnsi="仿宋" w:eastAsia="仿宋" w:cs="仿宋"/>
                <w:bCs/>
                <w:kern w:val="0"/>
                <w:szCs w:val="21"/>
                <w:highlight w:val="none"/>
                <w:u w:val="single"/>
              </w:rPr>
              <w:t xml:space="preserve"> 1,869,624.35 </w:t>
            </w:r>
            <w:r>
              <w:rPr>
                <w:rFonts w:hint="eastAsia" w:ascii="仿宋" w:hAnsi="仿宋" w:eastAsia="仿宋" w:cs="仿宋"/>
                <w:bCs/>
                <w:kern w:val="0"/>
                <w:szCs w:val="21"/>
                <w:highlight w:val="none"/>
              </w:rPr>
              <w:t>元</w:t>
            </w:r>
          </w:p>
          <w:p w14:paraId="692A791D">
            <w:pPr>
              <w:adjustRightInd w:val="0"/>
              <w:snapToGrid w:val="0"/>
              <w:rPr>
                <w:rFonts w:hint="eastAsia" w:ascii="仿宋" w:hAnsi="仿宋" w:eastAsia="仿宋" w:cs="仿宋"/>
                <w:bCs/>
                <w:kern w:val="0"/>
                <w:szCs w:val="21"/>
                <w:highlight w:val="none"/>
              </w:rPr>
            </w:pPr>
            <w:r>
              <w:rPr>
                <w:rFonts w:hint="eastAsia" w:ascii="仿宋" w:hAnsi="仿宋" w:eastAsia="仿宋" w:cs="仿宋"/>
                <w:bCs/>
                <w:kern w:val="0"/>
                <w:szCs w:val="21"/>
                <w:highlight w:val="none"/>
              </w:rPr>
              <w:t>最高限价：</w:t>
            </w:r>
            <w:r>
              <w:rPr>
                <w:rFonts w:hint="eastAsia" w:ascii="仿宋" w:hAnsi="仿宋" w:eastAsia="仿宋" w:cs="仿宋"/>
                <w:bCs/>
                <w:kern w:val="0"/>
                <w:szCs w:val="21"/>
                <w:highlight w:val="none"/>
                <w:u w:val="single"/>
              </w:rPr>
              <w:t xml:space="preserve"> 1,869,624.35 </w:t>
            </w:r>
            <w:r>
              <w:rPr>
                <w:rFonts w:hint="eastAsia" w:ascii="仿宋" w:hAnsi="仿宋" w:eastAsia="仿宋" w:cs="仿宋"/>
                <w:bCs/>
                <w:kern w:val="0"/>
                <w:szCs w:val="21"/>
                <w:highlight w:val="none"/>
              </w:rPr>
              <w:t>元</w:t>
            </w:r>
          </w:p>
          <w:p w14:paraId="29BD2A42">
            <w:pPr>
              <w:adjustRightInd w:val="0"/>
              <w:snapToGrid w:val="0"/>
              <w:rPr>
                <w:rFonts w:hint="eastAsia" w:ascii="仿宋" w:hAnsi="仿宋" w:eastAsia="仿宋" w:cs="仿宋"/>
                <w:bCs/>
                <w:kern w:val="0"/>
                <w:szCs w:val="21"/>
                <w:highlight w:val="none"/>
              </w:rPr>
            </w:pPr>
            <w:r>
              <w:rPr>
                <w:rFonts w:hint="eastAsia" w:ascii="仿宋" w:hAnsi="仿宋" w:eastAsia="仿宋" w:cs="仿宋"/>
                <w:bCs/>
                <w:kern w:val="0"/>
                <w:szCs w:val="21"/>
                <w:highlight w:val="none"/>
              </w:rPr>
              <w:t>注：响应报价应包含人工费、机械费、包装费、材料费、管理费、利润、运输费、税金等所有费用。采购人不再另支付其他费用。任何一轮报价超过最高限价的均为无效响应文件。</w:t>
            </w:r>
          </w:p>
        </w:tc>
      </w:tr>
      <w:tr w14:paraId="2C712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vAlign w:val="center"/>
          </w:tcPr>
          <w:p w14:paraId="62E90E87">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4</w:t>
            </w:r>
          </w:p>
        </w:tc>
        <w:tc>
          <w:tcPr>
            <w:tcW w:w="1993" w:type="dxa"/>
            <w:vAlign w:val="center"/>
          </w:tcPr>
          <w:p w14:paraId="579946FF">
            <w:pPr>
              <w:tabs>
                <w:tab w:val="left" w:pos="1425"/>
              </w:tabs>
              <w:adjustRightInd w:val="0"/>
              <w:snapToGrid w:val="0"/>
              <w:jc w:val="cente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计量单位</w:t>
            </w:r>
          </w:p>
        </w:tc>
        <w:tc>
          <w:tcPr>
            <w:tcW w:w="5653" w:type="dxa"/>
            <w:vAlign w:val="center"/>
          </w:tcPr>
          <w:p w14:paraId="16188099">
            <w:pPr>
              <w:adjustRightInd w:val="0"/>
              <w:snapToGrid w:val="0"/>
              <w:rPr>
                <w:rFonts w:hint="eastAsia" w:ascii="仿宋" w:hAnsi="仿宋" w:eastAsia="仿宋" w:cs="仿宋"/>
                <w:bCs/>
                <w:kern w:val="0"/>
                <w:szCs w:val="21"/>
                <w:highlight w:val="none"/>
              </w:rPr>
            </w:pPr>
            <w:r>
              <w:rPr>
                <w:rFonts w:hint="eastAsia" w:ascii="仿宋" w:hAnsi="仿宋" w:eastAsia="仿宋" w:cs="仿宋"/>
                <w:bCs/>
                <w:kern w:val="0"/>
                <w:szCs w:val="21"/>
                <w:highlight w:val="none"/>
              </w:rPr>
              <w:sym w:font="Wingdings 2" w:char="0052"/>
            </w:r>
            <w:r>
              <w:rPr>
                <w:rFonts w:hint="eastAsia" w:ascii="仿宋" w:hAnsi="仿宋" w:eastAsia="仿宋" w:cs="仿宋"/>
                <w:bCs/>
                <w:kern w:val="0"/>
                <w:szCs w:val="21"/>
                <w:highlight w:val="none"/>
              </w:rPr>
              <w:t>中华人民共和国法定计量单位</w:t>
            </w:r>
          </w:p>
          <w:p w14:paraId="7411D3BC">
            <w:pPr>
              <w:adjustRightInd w:val="0"/>
              <w:snapToGrid w:val="0"/>
              <w:rPr>
                <w:rFonts w:hint="eastAsia" w:ascii="仿宋" w:hAnsi="仿宋" w:eastAsia="仿宋" w:cs="仿宋"/>
                <w:bCs/>
                <w:kern w:val="0"/>
                <w:szCs w:val="21"/>
                <w:highlight w:val="none"/>
              </w:rPr>
            </w:pPr>
            <w:r>
              <w:rPr>
                <w:rFonts w:hint="eastAsia" w:ascii="仿宋" w:hAnsi="仿宋" w:eastAsia="仿宋" w:cs="仿宋"/>
                <w:bCs/>
                <w:kern w:val="0"/>
                <w:szCs w:val="21"/>
                <w:highlight w:val="none"/>
              </w:rPr>
              <w:sym w:font="Wingdings 2" w:char="00A3"/>
            </w:r>
            <w:r>
              <w:rPr>
                <w:rFonts w:hint="eastAsia" w:ascii="仿宋" w:hAnsi="仿宋" w:eastAsia="仿宋" w:cs="仿宋"/>
                <w:bCs/>
                <w:kern w:val="0"/>
                <w:szCs w:val="21"/>
                <w:highlight w:val="none"/>
              </w:rPr>
              <w:t>其他：</w:t>
            </w:r>
          </w:p>
        </w:tc>
      </w:tr>
      <w:tr w14:paraId="71F3B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vAlign w:val="center"/>
          </w:tcPr>
          <w:p w14:paraId="368FA1F7">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6.1</w:t>
            </w:r>
          </w:p>
        </w:tc>
        <w:tc>
          <w:tcPr>
            <w:tcW w:w="1993" w:type="dxa"/>
            <w:vAlign w:val="center"/>
          </w:tcPr>
          <w:p w14:paraId="7C13F914">
            <w:pPr>
              <w:shd w:val="clear" w:color="auto" w:fill="FFFFFF"/>
              <w:adjustRightInd w:val="0"/>
              <w:snapToGrid w:val="0"/>
              <w:jc w:val="center"/>
              <w:rPr>
                <w:rFonts w:hint="eastAsia" w:ascii="仿宋" w:hAnsi="仿宋" w:eastAsia="仿宋" w:cs="仿宋"/>
                <w:szCs w:val="21"/>
                <w:highlight w:val="none"/>
              </w:rPr>
            </w:pPr>
            <w:r>
              <w:rPr>
                <w:rFonts w:hint="eastAsia" w:ascii="仿宋" w:hAnsi="仿宋" w:eastAsia="仿宋" w:cs="仿宋"/>
                <w:kern w:val="0"/>
                <w:szCs w:val="21"/>
                <w:highlight w:val="none"/>
              </w:rPr>
              <w:t>现场考察、磋商前答疑会</w:t>
            </w:r>
          </w:p>
        </w:tc>
        <w:tc>
          <w:tcPr>
            <w:tcW w:w="5653" w:type="dxa"/>
            <w:vAlign w:val="center"/>
          </w:tcPr>
          <w:p w14:paraId="4D23FDC2">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不组织</w:t>
            </w:r>
          </w:p>
          <w:p w14:paraId="0FFB9C02">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组织，时  间：</w:t>
            </w:r>
            <w:r>
              <w:rPr>
                <w:rFonts w:hint="eastAsia" w:ascii="仿宋" w:hAnsi="仿宋" w:eastAsia="仿宋" w:cs="仿宋"/>
                <w:bCs/>
                <w:kern w:val="0"/>
                <w:szCs w:val="21"/>
                <w:highlight w:val="none"/>
                <w:u w:val="single"/>
              </w:rPr>
              <w:t xml:space="preserve">         </w:t>
            </w:r>
          </w:p>
          <w:p w14:paraId="7B77F81B">
            <w:pPr>
              <w:widowControl/>
              <w:adjustRightInd w:val="0"/>
              <w:snapToGrid w:val="0"/>
              <w:ind w:left="-105" w:leftChars="-50" w:firstLine="949" w:firstLineChars="452"/>
              <w:rPr>
                <w:rFonts w:hint="eastAsia" w:ascii="仿宋" w:hAnsi="仿宋" w:eastAsia="仿宋" w:cs="仿宋"/>
                <w:kern w:val="0"/>
                <w:szCs w:val="21"/>
                <w:highlight w:val="none"/>
              </w:rPr>
            </w:pPr>
            <w:r>
              <w:rPr>
                <w:rFonts w:hint="eastAsia" w:ascii="仿宋" w:hAnsi="仿宋" w:eastAsia="仿宋" w:cs="仿宋"/>
                <w:kern w:val="0"/>
                <w:szCs w:val="21"/>
                <w:highlight w:val="none"/>
              </w:rPr>
              <w:t>地  点：</w:t>
            </w:r>
            <w:r>
              <w:rPr>
                <w:rFonts w:hint="eastAsia" w:ascii="仿宋" w:hAnsi="仿宋" w:eastAsia="仿宋" w:cs="仿宋"/>
                <w:bCs/>
                <w:kern w:val="0"/>
                <w:szCs w:val="21"/>
                <w:highlight w:val="none"/>
                <w:u w:val="single"/>
              </w:rPr>
              <w:t xml:space="preserve">         </w:t>
            </w:r>
          </w:p>
          <w:p w14:paraId="796B922D">
            <w:pPr>
              <w:adjustRightInd w:val="0"/>
              <w:snapToGrid w:val="0"/>
              <w:ind w:left="-105" w:leftChars="-50" w:firstLine="949" w:firstLineChars="452"/>
              <w:rPr>
                <w:rFonts w:hint="eastAsia" w:ascii="仿宋" w:hAnsi="仿宋" w:eastAsia="仿宋" w:cs="仿宋"/>
                <w:kern w:val="0"/>
                <w:szCs w:val="21"/>
                <w:highlight w:val="none"/>
              </w:rPr>
            </w:pPr>
            <w:r>
              <w:rPr>
                <w:rFonts w:hint="eastAsia" w:ascii="仿宋" w:hAnsi="仿宋" w:eastAsia="仿宋" w:cs="仿宋"/>
                <w:kern w:val="0"/>
                <w:szCs w:val="21"/>
                <w:highlight w:val="none"/>
              </w:rPr>
              <w:t>联系人：</w:t>
            </w:r>
            <w:r>
              <w:rPr>
                <w:rFonts w:hint="eastAsia" w:ascii="仿宋" w:hAnsi="仿宋" w:eastAsia="仿宋" w:cs="仿宋"/>
                <w:bCs/>
                <w:kern w:val="0"/>
                <w:szCs w:val="21"/>
                <w:highlight w:val="none"/>
                <w:u w:val="single"/>
              </w:rPr>
              <w:t xml:space="preserve">         </w:t>
            </w:r>
          </w:p>
          <w:p w14:paraId="6378991F">
            <w:pPr>
              <w:adjustRightInd w:val="0"/>
              <w:snapToGrid w:val="0"/>
              <w:ind w:left="-105" w:leftChars="-50" w:firstLine="949" w:firstLineChars="452"/>
              <w:rPr>
                <w:rFonts w:hint="eastAsia" w:ascii="仿宋" w:hAnsi="仿宋" w:eastAsia="仿宋" w:cs="仿宋"/>
                <w:kern w:val="0"/>
                <w:szCs w:val="21"/>
                <w:highlight w:val="none"/>
              </w:rPr>
            </w:pPr>
            <w:r>
              <w:rPr>
                <w:rFonts w:hint="eastAsia" w:ascii="仿宋" w:hAnsi="仿宋" w:eastAsia="仿宋" w:cs="仿宋"/>
                <w:kern w:val="0"/>
                <w:szCs w:val="21"/>
                <w:highlight w:val="none"/>
              </w:rPr>
              <w:t>电  话：</w:t>
            </w:r>
            <w:r>
              <w:rPr>
                <w:rFonts w:hint="eastAsia" w:ascii="仿宋" w:hAnsi="仿宋" w:eastAsia="仿宋" w:cs="仿宋"/>
                <w:bCs/>
                <w:kern w:val="0"/>
                <w:szCs w:val="21"/>
                <w:highlight w:val="none"/>
                <w:u w:val="single"/>
              </w:rPr>
              <w:t xml:space="preserve">         </w:t>
            </w:r>
          </w:p>
          <w:p w14:paraId="7D08D320">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组织，采购文件提供期限截止后以书面形式通知。</w:t>
            </w:r>
          </w:p>
        </w:tc>
      </w:tr>
      <w:tr w14:paraId="63A91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25" w:type="dxa"/>
            <w:vAlign w:val="center"/>
          </w:tcPr>
          <w:p w14:paraId="1609C20B">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11.4</w:t>
            </w:r>
          </w:p>
        </w:tc>
        <w:tc>
          <w:tcPr>
            <w:tcW w:w="1993" w:type="dxa"/>
            <w:vAlign w:val="center"/>
          </w:tcPr>
          <w:p w14:paraId="3BDB018E">
            <w:pPr>
              <w:shd w:val="clear" w:color="auto" w:fill="FFFFFF"/>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样品</w:t>
            </w:r>
          </w:p>
        </w:tc>
        <w:tc>
          <w:tcPr>
            <w:tcW w:w="5653" w:type="dxa"/>
            <w:vAlign w:val="center"/>
          </w:tcPr>
          <w:p w14:paraId="2279FF79">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不</w:t>
            </w:r>
            <w:r>
              <w:rPr>
                <w:rFonts w:hint="eastAsia" w:ascii="仿宋" w:hAnsi="仿宋" w:eastAsia="仿宋" w:cs="仿宋"/>
                <w:bCs/>
                <w:kern w:val="0"/>
                <w:szCs w:val="21"/>
                <w:highlight w:val="none"/>
              </w:rPr>
              <w:t>需要提供样品</w:t>
            </w:r>
          </w:p>
          <w:p w14:paraId="5CF9A9F2">
            <w:pPr>
              <w:adjustRightInd w:val="0"/>
              <w:snapToGrid w:val="0"/>
              <w:rPr>
                <w:rFonts w:hint="eastAsia" w:ascii="仿宋" w:hAnsi="仿宋" w:eastAsia="仿宋" w:cs="仿宋"/>
                <w:bCs/>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bCs/>
                <w:kern w:val="0"/>
                <w:szCs w:val="21"/>
                <w:highlight w:val="none"/>
              </w:rPr>
              <w:t>需要提供样品</w:t>
            </w:r>
          </w:p>
          <w:p w14:paraId="26ADCA26">
            <w:pPr>
              <w:adjustRightInd w:val="0"/>
              <w:snapToGrid w:val="0"/>
              <w:ind w:firstLine="210" w:firstLineChars="100"/>
              <w:rPr>
                <w:rFonts w:hint="eastAsia" w:ascii="仿宋" w:hAnsi="仿宋" w:eastAsia="仿宋" w:cs="仿宋"/>
                <w:bCs/>
                <w:kern w:val="0"/>
                <w:szCs w:val="21"/>
                <w:highlight w:val="none"/>
              </w:rPr>
            </w:pPr>
            <w:r>
              <w:rPr>
                <w:rFonts w:hint="eastAsia" w:ascii="仿宋" w:hAnsi="仿宋" w:eastAsia="仿宋" w:cs="仿宋"/>
                <w:kern w:val="0"/>
                <w:szCs w:val="21"/>
                <w:highlight w:val="none"/>
              </w:rPr>
              <w:t>1.递交</w:t>
            </w:r>
            <w:r>
              <w:rPr>
                <w:rFonts w:hint="eastAsia" w:ascii="仿宋" w:hAnsi="仿宋" w:eastAsia="仿宋" w:cs="仿宋"/>
                <w:bCs/>
                <w:kern w:val="0"/>
                <w:szCs w:val="21"/>
                <w:highlight w:val="none"/>
              </w:rPr>
              <w:t>样品的截止时间：</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年</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月</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日</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时</w:t>
            </w:r>
            <w:r>
              <w:rPr>
                <w:rFonts w:hint="eastAsia" w:ascii="仿宋" w:hAnsi="仿宋" w:eastAsia="仿宋" w:cs="仿宋"/>
                <w:bCs/>
                <w:kern w:val="0"/>
                <w:szCs w:val="21"/>
                <w:highlight w:val="none"/>
              </w:rPr>
              <w:t>（北京时间）</w:t>
            </w:r>
          </w:p>
          <w:p w14:paraId="68D72A04">
            <w:pPr>
              <w:adjustRightInd w:val="0"/>
              <w:snapToGrid w:val="0"/>
              <w:ind w:firstLine="525" w:firstLineChars="25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递交样品地点：</w:t>
            </w:r>
            <w:r>
              <w:rPr>
                <w:rFonts w:hint="eastAsia" w:ascii="仿宋" w:hAnsi="仿宋" w:eastAsia="仿宋" w:cs="仿宋"/>
                <w:kern w:val="0"/>
                <w:szCs w:val="21"/>
                <w:highlight w:val="none"/>
                <w:u w:val="single"/>
              </w:rPr>
              <w:t xml:space="preserve">                     </w:t>
            </w:r>
          </w:p>
          <w:p w14:paraId="40079BB7">
            <w:pPr>
              <w:adjustRightInd w:val="0"/>
              <w:snapToGrid w:val="0"/>
              <w:ind w:firstLine="525" w:firstLineChars="25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递交样品联系人：</w:t>
            </w:r>
            <w:r>
              <w:rPr>
                <w:rFonts w:hint="eastAsia" w:ascii="仿宋" w:hAnsi="仿宋" w:eastAsia="仿宋" w:cs="仿宋"/>
                <w:kern w:val="0"/>
                <w:szCs w:val="21"/>
                <w:highlight w:val="none"/>
                <w:u w:val="single"/>
              </w:rPr>
              <w:t xml:space="preserve">                   </w:t>
            </w:r>
          </w:p>
          <w:p w14:paraId="1DBD3C94">
            <w:pPr>
              <w:adjustRightInd w:val="0"/>
              <w:snapToGrid w:val="0"/>
              <w:ind w:firstLine="525" w:firstLineChars="25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递交样品联系电话：</w:t>
            </w:r>
            <w:r>
              <w:rPr>
                <w:rFonts w:hint="eastAsia" w:ascii="仿宋" w:hAnsi="仿宋" w:eastAsia="仿宋" w:cs="仿宋"/>
                <w:kern w:val="0"/>
                <w:szCs w:val="21"/>
                <w:highlight w:val="none"/>
                <w:u w:val="single"/>
              </w:rPr>
              <w:t xml:space="preserve">                 </w:t>
            </w:r>
          </w:p>
          <w:p w14:paraId="09D4D5D9">
            <w:pPr>
              <w:adjustRightInd w:val="0"/>
              <w:snapToGrid w:val="0"/>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2.样品制作的标准和要求：</w:t>
            </w:r>
            <w:r>
              <w:rPr>
                <w:rFonts w:hint="eastAsia" w:ascii="仿宋" w:hAnsi="仿宋" w:eastAsia="仿宋" w:cs="仿宋"/>
                <w:kern w:val="0"/>
                <w:szCs w:val="21"/>
                <w:highlight w:val="none"/>
                <w:u w:val="single"/>
              </w:rPr>
              <w:t xml:space="preserve">             </w:t>
            </w:r>
          </w:p>
          <w:p w14:paraId="45373D53">
            <w:pPr>
              <w:adjustRightInd w:val="0"/>
              <w:snapToGrid w:val="0"/>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3.随样品提交相关检测报告要求：</w:t>
            </w:r>
            <w:r>
              <w:rPr>
                <w:rFonts w:hint="eastAsia" w:ascii="仿宋" w:hAnsi="仿宋" w:eastAsia="仿宋" w:cs="仿宋"/>
                <w:kern w:val="0"/>
                <w:szCs w:val="21"/>
                <w:highlight w:val="none"/>
                <w:u w:val="single"/>
              </w:rPr>
              <w:t xml:space="preserve">       </w:t>
            </w:r>
          </w:p>
          <w:p w14:paraId="0CE8919D">
            <w:pPr>
              <w:adjustRightInd w:val="0"/>
              <w:snapToGrid w:val="0"/>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（包含是否要求提供、检测机构要求、检测内容等）</w:t>
            </w:r>
          </w:p>
          <w:p w14:paraId="1AA3D938">
            <w:pPr>
              <w:adjustRightInd w:val="0"/>
              <w:snapToGrid w:val="0"/>
              <w:ind w:left="210"/>
              <w:rPr>
                <w:rFonts w:hint="eastAsia" w:ascii="仿宋" w:hAnsi="仿宋" w:eastAsia="仿宋" w:cs="仿宋"/>
                <w:kern w:val="0"/>
                <w:szCs w:val="21"/>
                <w:highlight w:val="none"/>
              </w:rPr>
            </w:pPr>
            <w:r>
              <w:rPr>
                <w:rFonts w:hint="eastAsia" w:ascii="仿宋" w:hAnsi="仿宋" w:eastAsia="仿宋" w:cs="仿宋"/>
                <w:kern w:val="0"/>
                <w:szCs w:val="21"/>
                <w:highlight w:val="none"/>
              </w:rPr>
              <w:t>4.样品的封存及退回：成交供应商的样品将由采购人进行保管、封存，并作为履约验收的参考。未成交的供应商提供的样品，应当由采购人进行保管、封存，成交结果公告之日起七个工作日后，由未成交供应商自行领回或经未成交供应商同意后自行处理。</w:t>
            </w:r>
          </w:p>
        </w:tc>
      </w:tr>
      <w:tr w14:paraId="6023D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025" w:type="dxa"/>
            <w:vAlign w:val="center"/>
          </w:tcPr>
          <w:p w14:paraId="3F5347D4">
            <w:pPr>
              <w:widowControl/>
              <w:adjustRightInd w:val="0"/>
              <w:snapToGrid w:val="0"/>
              <w:jc w:val="center"/>
              <w:rPr>
                <w:rFonts w:hint="eastAsia" w:ascii="仿宋" w:hAnsi="仿宋" w:eastAsia="仿宋" w:cs="仿宋"/>
                <w:b/>
                <w:bCs/>
                <w:kern w:val="0"/>
                <w:szCs w:val="21"/>
                <w:highlight w:val="none"/>
              </w:rPr>
            </w:pPr>
            <w:r>
              <w:rPr>
                <w:rFonts w:hint="eastAsia" w:ascii="仿宋" w:hAnsi="仿宋" w:eastAsia="仿宋" w:cs="仿宋"/>
                <w:kern w:val="0"/>
                <w:szCs w:val="21"/>
                <w:highlight w:val="none"/>
              </w:rPr>
              <w:t>11.2</w:t>
            </w:r>
          </w:p>
        </w:tc>
        <w:tc>
          <w:tcPr>
            <w:tcW w:w="1993" w:type="dxa"/>
            <w:vAlign w:val="center"/>
          </w:tcPr>
          <w:p w14:paraId="7712F278">
            <w:pPr>
              <w:tabs>
                <w:tab w:val="left" w:pos="1425"/>
              </w:tabs>
              <w:adjustRightInd w:val="0"/>
              <w:snapToGrid w:val="0"/>
              <w:jc w:val="cente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是否采用</w:t>
            </w:r>
          </w:p>
          <w:p w14:paraId="2AC3C5E6">
            <w:pPr>
              <w:tabs>
                <w:tab w:val="left" w:pos="1425"/>
              </w:tabs>
              <w:adjustRightInd w:val="0"/>
              <w:snapToGrid w:val="0"/>
              <w:jc w:val="center"/>
              <w:rPr>
                <w:rFonts w:hint="eastAsia" w:ascii="仿宋" w:hAnsi="仿宋" w:eastAsia="仿宋" w:cs="仿宋"/>
                <w:b/>
                <w:bCs/>
                <w:kern w:val="0"/>
                <w:szCs w:val="21"/>
                <w:highlight w:val="none"/>
              </w:rPr>
            </w:pPr>
            <w:r>
              <w:rPr>
                <w:rFonts w:hint="eastAsia" w:ascii="仿宋" w:hAnsi="仿宋" w:eastAsia="仿宋" w:cs="仿宋"/>
                <w:bCs/>
                <w:kern w:val="0"/>
                <w:szCs w:val="21"/>
                <w:highlight w:val="none"/>
              </w:rPr>
              <w:t>“暗标盲评”评审</w:t>
            </w:r>
          </w:p>
        </w:tc>
        <w:tc>
          <w:tcPr>
            <w:tcW w:w="5653" w:type="dxa"/>
            <w:vAlign w:val="center"/>
          </w:tcPr>
          <w:p w14:paraId="25FC906A">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是，</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 xml:space="preserve"> 为暗标盲评内容</w:t>
            </w:r>
          </w:p>
          <w:p w14:paraId="1F024EFC">
            <w:pPr>
              <w:adjustRightInd w:val="0"/>
              <w:snapToGrid w:val="0"/>
              <w:rPr>
                <w:rFonts w:hint="eastAsia" w:ascii="仿宋" w:hAnsi="仿宋" w:eastAsia="仿宋" w:cs="仿宋"/>
                <w:b/>
                <w:bCs/>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否</w:t>
            </w:r>
          </w:p>
        </w:tc>
      </w:tr>
      <w:tr w14:paraId="1E94A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025" w:type="dxa"/>
            <w:vAlign w:val="center"/>
          </w:tcPr>
          <w:p w14:paraId="0DD77DC4">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12.1</w:t>
            </w:r>
          </w:p>
        </w:tc>
        <w:tc>
          <w:tcPr>
            <w:tcW w:w="1993" w:type="dxa"/>
            <w:vAlign w:val="center"/>
          </w:tcPr>
          <w:p w14:paraId="47873DE0">
            <w:pPr>
              <w:shd w:val="clear" w:color="auto" w:fill="FFFFFF"/>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响应报价货币要求</w:t>
            </w:r>
          </w:p>
        </w:tc>
        <w:tc>
          <w:tcPr>
            <w:tcW w:w="5653" w:type="dxa"/>
            <w:vAlign w:val="center"/>
          </w:tcPr>
          <w:p w14:paraId="4F692878">
            <w:pPr>
              <w:adjustRightInd w:val="0"/>
              <w:snapToGrid w:val="0"/>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 xml:space="preserve">所有响应文件均按 </w:t>
            </w:r>
            <w:r>
              <w:rPr>
                <w:rFonts w:hint="eastAsia" w:ascii="仿宋" w:hAnsi="仿宋" w:eastAsia="仿宋" w:cs="仿宋"/>
                <w:kern w:val="0"/>
                <w:szCs w:val="21"/>
                <w:highlight w:val="none"/>
                <w:u w:val="single"/>
              </w:rPr>
              <w:t xml:space="preserve">  人民币  </w:t>
            </w:r>
            <w:r>
              <w:rPr>
                <w:rFonts w:hint="eastAsia" w:ascii="仿宋" w:hAnsi="仿宋" w:eastAsia="仿宋" w:cs="仿宋"/>
                <w:kern w:val="0"/>
                <w:szCs w:val="21"/>
                <w:highlight w:val="none"/>
              </w:rPr>
              <w:t xml:space="preserve"> 货币进行报价。</w:t>
            </w:r>
          </w:p>
          <w:p w14:paraId="61FCDF7B">
            <w:pPr>
              <w:adjustRightInd w:val="0"/>
              <w:snapToGrid w:val="0"/>
              <w:ind w:firstLine="210" w:firstLineChars="10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其他：</w:t>
            </w:r>
            <w:r>
              <w:rPr>
                <w:rFonts w:hint="eastAsia" w:ascii="仿宋" w:hAnsi="仿宋" w:eastAsia="仿宋" w:cs="仿宋"/>
                <w:kern w:val="0"/>
                <w:szCs w:val="21"/>
                <w:highlight w:val="none"/>
                <w:u w:val="single"/>
              </w:rPr>
              <w:t xml:space="preserve">                </w:t>
            </w:r>
          </w:p>
        </w:tc>
      </w:tr>
      <w:tr w14:paraId="1556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025" w:type="dxa"/>
            <w:vAlign w:val="center"/>
          </w:tcPr>
          <w:p w14:paraId="0405097A">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13.1</w:t>
            </w:r>
          </w:p>
        </w:tc>
        <w:tc>
          <w:tcPr>
            <w:tcW w:w="1993" w:type="dxa"/>
            <w:vAlign w:val="center"/>
          </w:tcPr>
          <w:p w14:paraId="61ABD66D">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磋商保证金</w:t>
            </w:r>
          </w:p>
        </w:tc>
        <w:tc>
          <w:tcPr>
            <w:tcW w:w="5653" w:type="dxa"/>
            <w:vAlign w:val="center"/>
          </w:tcPr>
          <w:p w14:paraId="0C350C76">
            <w:pPr>
              <w:adjustRightInd w:val="0"/>
              <w:snapToGrid w:val="0"/>
              <w:rPr>
                <w:rFonts w:hint="eastAsia" w:ascii="仿宋" w:hAnsi="仿宋" w:eastAsia="仿宋" w:cs="仿宋"/>
                <w:szCs w:val="21"/>
                <w:highlight w:val="none"/>
              </w:rPr>
            </w:pPr>
            <w:r>
              <w:rPr>
                <w:rFonts w:hint="eastAsia" w:ascii="仿宋" w:hAnsi="仿宋" w:eastAsia="仿宋" w:cs="仿宋"/>
                <w:kern w:val="0"/>
                <w:szCs w:val="21"/>
                <w:highlight w:val="none"/>
              </w:rPr>
              <w:t>本项目不收取</w:t>
            </w:r>
          </w:p>
        </w:tc>
      </w:tr>
      <w:tr w14:paraId="4C617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025" w:type="dxa"/>
            <w:vAlign w:val="center"/>
          </w:tcPr>
          <w:p w14:paraId="4D9A6F23">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15.1</w:t>
            </w:r>
          </w:p>
        </w:tc>
        <w:tc>
          <w:tcPr>
            <w:tcW w:w="1993" w:type="dxa"/>
            <w:vAlign w:val="center"/>
          </w:tcPr>
          <w:p w14:paraId="36A0668C">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响应有效期</w:t>
            </w:r>
          </w:p>
        </w:tc>
        <w:tc>
          <w:tcPr>
            <w:tcW w:w="5653" w:type="dxa"/>
            <w:vAlign w:val="center"/>
          </w:tcPr>
          <w:p w14:paraId="5241926F">
            <w:pPr>
              <w:pStyle w:val="15"/>
              <w:adjustRightInd w:val="0"/>
              <w:snapToGrid w:val="0"/>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u w:val="single"/>
                <w:lang w:val="en-US" w:eastAsia="zh-CN"/>
              </w:rPr>
              <w:t xml:space="preserve">  90  </w:t>
            </w:r>
            <w:r>
              <w:rPr>
                <w:rFonts w:hint="eastAsia" w:ascii="仿宋" w:hAnsi="仿宋" w:eastAsia="仿宋" w:cs="仿宋"/>
                <w:kern w:val="0"/>
                <w:szCs w:val="21"/>
                <w:highlight w:val="none"/>
                <w:lang w:val="en-US" w:eastAsia="zh-CN"/>
              </w:rPr>
              <w:t>日历日</w:t>
            </w:r>
          </w:p>
        </w:tc>
      </w:tr>
      <w:tr w14:paraId="18433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vAlign w:val="center"/>
          </w:tcPr>
          <w:p w14:paraId="2D4DD3E0">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17.1</w:t>
            </w:r>
          </w:p>
        </w:tc>
        <w:tc>
          <w:tcPr>
            <w:tcW w:w="1993" w:type="dxa"/>
            <w:vAlign w:val="center"/>
          </w:tcPr>
          <w:p w14:paraId="51D013BE">
            <w:pPr>
              <w:widowControl/>
              <w:adjustRightInd w:val="0"/>
              <w:snapToGrid w:val="0"/>
              <w:jc w:val="center"/>
              <w:rPr>
                <w:rFonts w:hint="eastAsia" w:ascii="仿宋" w:hAnsi="仿宋" w:eastAsia="仿宋" w:cs="仿宋"/>
                <w:szCs w:val="21"/>
                <w:highlight w:val="none"/>
              </w:rPr>
            </w:pPr>
            <w:r>
              <w:rPr>
                <w:rFonts w:hint="eastAsia" w:ascii="仿宋" w:hAnsi="仿宋" w:eastAsia="仿宋" w:cs="仿宋"/>
                <w:highlight w:val="none"/>
              </w:rPr>
              <w:t>加密备份响应文件递交要求</w:t>
            </w:r>
          </w:p>
        </w:tc>
        <w:tc>
          <w:tcPr>
            <w:tcW w:w="5653" w:type="dxa"/>
            <w:vAlign w:val="center"/>
          </w:tcPr>
          <w:p w14:paraId="24069F76">
            <w:pPr>
              <w:widowControl/>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形式：</w:t>
            </w: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 xml:space="preserve">U盘   </w:t>
            </w: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 xml:space="preserve">光盘   </w:t>
            </w: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邮箱：</w:t>
            </w:r>
            <w:r>
              <w:rPr>
                <w:rFonts w:hint="eastAsia" w:ascii="仿宋" w:hAnsi="仿宋" w:eastAsia="仿宋" w:cs="仿宋"/>
                <w:kern w:val="0"/>
                <w:szCs w:val="21"/>
                <w:highlight w:val="none"/>
                <w:u w:val="single"/>
              </w:rPr>
              <w:t xml:space="preserve">              </w:t>
            </w:r>
          </w:p>
          <w:p w14:paraId="407C28A8">
            <w:pPr>
              <w:widowControl/>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地址：</w:t>
            </w: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采购代理机构邮箱：</w:t>
            </w:r>
            <w:r>
              <w:rPr>
                <w:rFonts w:hint="eastAsia" w:ascii="仿宋" w:hAnsi="仿宋" w:eastAsia="仿宋" w:cs="仿宋"/>
                <w:kern w:val="0"/>
                <w:szCs w:val="21"/>
                <w:highlight w:val="none"/>
                <w:u w:val="single"/>
              </w:rPr>
              <w:t xml:space="preserve">              </w:t>
            </w:r>
          </w:p>
          <w:p w14:paraId="43F21690">
            <w:pPr>
              <w:widowControl/>
              <w:adjustRightInd w:val="0"/>
              <w:snapToGrid w:val="0"/>
              <w:ind w:firstLine="630" w:firstLineChars="300"/>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同磋商会议地点</w:t>
            </w:r>
          </w:p>
        </w:tc>
      </w:tr>
      <w:tr w14:paraId="21EE2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vAlign w:val="center"/>
          </w:tcPr>
          <w:p w14:paraId="7945E3A2">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18.1</w:t>
            </w:r>
          </w:p>
        </w:tc>
        <w:tc>
          <w:tcPr>
            <w:tcW w:w="1993" w:type="dxa"/>
            <w:vAlign w:val="center"/>
          </w:tcPr>
          <w:p w14:paraId="1B705AB8">
            <w:pPr>
              <w:widowControl/>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递交响应文件截止时间、地点：</w:t>
            </w:r>
          </w:p>
        </w:tc>
        <w:tc>
          <w:tcPr>
            <w:tcW w:w="5653" w:type="dxa"/>
            <w:vAlign w:val="center"/>
          </w:tcPr>
          <w:p w14:paraId="7B9BE330">
            <w:pPr>
              <w:widowControl/>
              <w:adjustRightInd w:val="0"/>
              <w:snapToGrid w:val="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详见采购公告，以采购公告规定时间、地点为准。</w:t>
            </w:r>
          </w:p>
        </w:tc>
      </w:tr>
      <w:tr w14:paraId="00398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vAlign w:val="center"/>
          </w:tcPr>
          <w:p w14:paraId="2DAECA99">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20.1</w:t>
            </w:r>
          </w:p>
        </w:tc>
        <w:tc>
          <w:tcPr>
            <w:tcW w:w="1993" w:type="dxa"/>
            <w:vAlign w:val="center"/>
          </w:tcPr>
          <w:p w14:paraId="5B18AA80">
            <w:pPr>
              <w:widowControl/>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磋商会议时间、地点：</w:t>
            </w:r>
          </w:p>
        </w:tc>
        <w:tc>
          <w:tcPr>
            <w:tcW w:w="5653" w:type="dxa"/>
            <w:vAlign w:val="center"/>
          </w:tcPr>
          <w:p w14:paraId="63B86F4C">
            <w:pPr>
              <w:widowControl/>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详见采购公告，以采购公告规定时间、地点为准。</w:t>
            </w:r>
          </w:p>
        </w:tc>
      </w:tr>
      <w:tr w14:paraId="619E3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vAlign w:val="center"/>
          </w:tcPr>
          <w:p w14:paraId="0E951D7B">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20.2</w:t>
            </w:r>
          </w:p>
        </w:tc>
        <w:tc>
          <w:tcPr>
            <w:tcW w:w="1993" w:type="dxa"/>
            <w:vAlign w:val="center"/>
          </w:tcPr>
          <w:p w14:paraId="298A28B8">
            <w:pPr>
              <w:widowControl/>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解密时间</w:t>
            </w:r>
          </w:p>
        </w:tc>
        <w:tc>
          <w:tcPr>
            <w:tcW w:w="5653" w:type="dxa"/>
            <w:vAlign w:val="center"/>
          </w:tcPr>
          <w:p w14:paraId="7941519B">
            <w:pPr>
              <w:widowControl/>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u w:val="single"/>
              </w:rPr>
              <w:t xml:space="preserve"> 30 </w:t>
            </w:r>
            <w:r>
              <w:rPr>
                <w:rFonts w:hint="eastAsia" w:ascii="仿宋" w:hAnsi="仿宋" w:eastAsia="仿宋" w:cs="仿宋"/>
                <w:kern w:val="0"/>
                <w:szCs w:val="21"/>
                <w:highlight w:val="none"/>
              </w:rPr>
              <w:t>分钟</w:t>
            </w:r>
          </w:p>
        </w:tc>
      </w:tr>
      <w:tr w14:paraId="0E224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vAlign w:val="center"/>
          </w:tcPr>
          <w:p w14:paraId="7CBBFA59">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21.2</w:t>
            </w:r>
          </w:p>
        </w:tc>
        <w:tc>
          <w:tcPr>
            <w:tcW w:w="1993" w:type="dxa"/>
            <w:vAlign w:val="center"/>
          </w:tcPr>
          <w:p w14:paraId="1714FB06">
            <w:pPr>
              <w:widowControl/>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磋商小组组成</w:t>
            </w:r>
          </w:p>
        </w:tc>
        <w:tc>
          <w:tcPr>
            <w:tcW w:w="5653" w:type="dxa"/>
            <w:vAlign w:val="center"/>
          </w:tcPr>
          <w:p w14:paraId="5164C453">
            <w:pPr>
              <w:widowControl/>
              <w:adjustRightInd w:val="0"/>
              <w:snapToGrid w:val="0"/>
              <w:rPr>
                <w:rFonts w:hint="eastAsia" w:ascii="仿宋" w:hAnsi="仿宋" w:eastAsia="仿宋" w:cs="仿宋"/>
                <w:kern w:val="0"/>
                <w:szCs w:val="21"/>
                <w:highlight w:val="none"/>
              </w:rPr>
            </w:pPr>
            <w:r>
              <w:rPr>
                <w:rFonts w:hint="eastAsia" w:ascii="仿宋" w:hAnsi="仿宋" w:eastAsia="仿宋" w:cs="仿宋"/>
                <w:szCs w:val="21"/>
                <w:highlight w:val="none"/>
              </w:rPr>
              <w:t>磋商小组由评审专家</w:t>
            </w:r>
            <w:r>
              <w:rPr>
                <w:rFonts w:hint="eastAsia" w:ascii="仿宋" w:hAnsi="仿宋" w:eastAsia="仿宋" w:cs="仿宋"/>
                <w:szCs w:val="21"/>
                <w:highlight w:val="none"/>
                <w:u w:val="single"/>
              </w:rPr>
              <w:t xml:space="preserve"> 3 </w:t>
            </w:r>
            <w:r>
              <w:rPr>
                <w:rFonts w:hint="eastAsia" w:ascii="仿宋" w:hAnsi="仿宋" w:eastAsia="仿宋" w:cs="仿宋"/>
                <w:szCs w:val="21"/>
                <w:highlight w:val="none"/>
              </w:rPr>
              <w:t>人组成，共</w:t>
            </w:r>
            <w:r>
              <w:rPr>
                <w:rFonts w:hint="eastAsia" w:ascii="仿宋" w:hAnsi="仿宋" w:eastAsia="仿宋" w:cs="仿宋"/>
                <w:szCs w:val="21"/>
                <w:highlight w:val="none"/>
                <w:u w:val="single"/>
              </w:rPr>
              <w:t xml:space="preserve"> 3 </w:t>
            </w:r>
            <w:r>
              <w:rPr>
                <w:rFonts w:hint="eastAsia" w:ascii="仿宋" w:hAnsi="仿宋" w:eastAsia="仿宋" w:cs="仿宋"/>
                <w:szCs w:val="21"/>
                <w:highlight w:val="none"/>
              </w:rPr>
              <w:t>人。</w:t>
            </w:r>
          </w:p>
        </w:tc>
      </w:tr>
      <w:tr w14:paraId="17D75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vAlign w:val="center"/>
          </w:tcPr>
          <w:p w14:paraId="6E277335">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24.1</w:t>
            </w:r>
          </w:p>
        </w:tc>
        <w:tc>
          <w:tcPr>
            <w:tcW w:w="1993" w:type="dxa"/>
            <w:vAlign w:val="center"/>
          </w:tcPr>
          <w:p w14:paraId="129BBD55">
            <w:pPr>
              <w:shd w:val="clear" w:color="auto" w:fill="FFFFFF"/>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样品的评审办法以及评审标准</w:t>
            </w:r>
          </w:p>
        </w:tc>
        <w:tc>
          <w:tcPr>
            <w:tcW w:w="5653" w:type="dxa"/>
            <w:vAlign w:val="center"/>
          </w:tcPr>
          <w:p w14:paraId="651F9455">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1、评审办法：</w:t>
            </w:r>
            <w:r>
              <w:rPr>
                <w:rFonts w:hint="eastAsia" w:ascii="仿宋" w:hAnsi="仿宋" w:eastAsia="仿宋" w:cs="仿宋"/>
                <w:kern w:val="0"/>
                <w:szCs w:val="21"/>
                <w:highlight w:val="none"/>
                <w:u w:val="single"/>
              </w:rPr>
              <w:t xml:space="preserve">       /       </w:t>
            </w:r>
          </w:p>
          <w:p w14:paraId="2CA913AC">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2、评审标准：</w:t>
            </w:r>
            <w:r>
              <w:rPr>
                <w:rFonts w:hint="eastAsia" w:ascii="仿宋" w:hAnsi="仿宋" w:eastAsia="仿宋" w:cs="仿宋"/>
                <w:kern w:val="0"/>
                <w:szCs w:val="21"/>
                <w:highlight w:val="none"/>
                <w:u w:val="single"/>
              </w:rPr>
              <w:t xml:space="preserve">      /        </w:t>
            </w:r>
          </w:p>
        </w:tc>
      </w:tr>
      <w:tr w14:paraId="54CAF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vAlign w:val="center"/>
          </w:tcPr>
          <w:p w14:paraId="3248507E">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29.2</w:t>
            </w:r>
          </w:p>
        </w:tc>
        <w:tc>
          <w:tcPr>
            <w:tcW w:w="1993" w:type="dxa"/>
            <w:vAlign w:val="center"/>
          </w:tcPr>
          <w:p w14:paraId="4A497579">
            <w:pPr>
              <w:widowControl/>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评审办法</w:t>
            </w:r>
          </w:p>
        </w:tc>
        <w:tc>
          <w:tcPr>
            <w:tcW w:w="5653" w:type="dxa"/>
            <w:vAlign w:val="center"/>
          </w:tcPr>
          <w:p w14:paraId="1FD611B4">
            <w:pPr>
              <w:widowControl/>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综合评分法</w:t>
            </w:r>
          </w:p>
        </w:tc>
      </w:tr>
      <w:tr w14:paraId="380B8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vAlign w:val="center"/>
          </w:tcPr>
          <w:p w14:paraId="677C1214">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31.2</w:t>
            </w:r>
          </w:p>
        </w:tc>
        <w:tc>
          <w:tcPr>
            <w:tcW w:w="1993" w:type="dxa"/>
            <w:vAlign w:val="center"/>
          </w:tcPr>
          <w:p w14:paraId="06EB68AF">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推荐成交候选供应商的数量</w:t>
            </w:r>
          </w:p>
        </w:tc>
        <w:tc>
          <w:tcPr>
            <w:tcW w:w="5653" w:type="dxa"/>
            <w:vAlign w:val="center"/>
          </w:tcPr>
          <w:p w14:paraId="14800ADB">
            <w:pPr>
              <w:widowControl/>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u w:val="single"/>
              </w:rPr>
              <w:t xml:space="preserve"> 按评审得分从高到低排序推荐中标候选人数：3名 </w:t>
            </w:r>
          </w:p>
        </w:tc>
      </w:tr>
      <w:tr w14:paraId="6A0DE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vAlign w:val="center"/>
          </w:tcPr>
          <w:p w14:paraId="4B6D2485">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33</w:t>
            </w:r>
          </w:p>
        </w:tc>
        <w:tc>
          <w:tcPr>
            <w:tcW w:w="1993" w:type="dxa"/>
            <w:vAlign w:val="center"/>
          </w:tcPr>
          <w:p w14:paraId="168590C9">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确定成交供应商的方式</w:t>
            </w:r>
          </w:p>
        </w:tc>
        <w:tc>
          <w:tcPr>
            <w:tcW w:w="5653" w:type="dxa"/>
            <w:vAlign w:val="center"/>
          </w:tcPr>
          <w:p w14:paraId="44353E9C">
            <w:pPr>
              <w:widowControl/>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成交供应商数量：</w:t>
            </w:r>
            <w:r>
              <w:rPr>
                <w:rFonts w:hint="eastAsia" w:ascii="仿宋" w:hAnsi="仿宋" w:eastAsia="仿宋" w:cs="仿宋"/>
                <w:kern w:val="0"/>
                <w:szCs w:val="21"/>
                <w:highlight w:val="none"/>
                <w:u w:val="single"/>
              </w:rPr>
              <w:t xml:space="preserve"> 1 </w:t>
            </w:r>
          </w:p>
          <w:p w14:paraId="1D43C1D0">
            <w:pPr>
              <w:widowControl/>
              <w:adjustRightInd w:val="0"/>
              <w:snapToGrid w:val="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采购人委托磋商小组直接确定成交供应商</w:t>
            </w:r>
          </w:p>
          <w:p w14:paraId="2E802EBF">
            <w:pPr>
              <w:widowControl/>
              <w:adjustRightInd w:val="0"/>
              <w:snapToGrid w:val="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采购人确定成交供应商</w:t>
            </w:r>
          </w:p>
        </w:tc>
      </w:tr>
      <w:tr w14:paraId="3E1DA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vAlign w:val="center"/>
          </w:tcPr>
          <w:p w14:paraId="2EC9D553">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37.1</w:t>
            </w:r>
          </w:p>
        </w:tc>
        <w:tc>
          <w:tcPr>
            <w:tcW w:w="1993" w:type="dxa"/>
            <w:vAlign w:val="center"/>
          </w:tcPr>
          <w:p w14:paraId="63A4576E">
            <w:pPr>
              <w:shd w:val="clear" w:color="auto" w:fill="FFFFFF"/>
              <w:adjustRightInd w:val="0"/>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履约保证金</w:t>
            </w:r>
          </w:p>
        </w:tc>
        <w:tc>
          <w:tcPr>
            <w:tcW w:w="5653" w:type="dxa"/>
            <w:vAlign w:val="center"/>
          </w:tcPr>
          <w:p w14:paraId="325BBB75">
            <w:pPr>
              <w:shd w:val="clear" w:color="auto" w:fill="FFFFFF"/>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sym w:font="Wingdings 2" w:char="0052"/>
            </w:r>
            <w:r>
              <w:rPr>
                <w:rFonts w:hint="eastAsia" w:ascii="仿宋" w:hAnsi="仿宋" w:eastAsia="仿宋" w:cs="仿宋"/>
                <w:szCs w:val="21"/>
                <w:highlight w:val="none"/>
              </w:rPr>
              <w:t>本项目不收取履约保证金</w:t>
            </w:r>
          </w:p>
          <w:p w14:paraId="3D1A4037">
            <w:pPr>
              <w:shd w:val="clear" w:color="auto" w:fill="FFFFFF"/>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sym w:font="Wingdings 2" w:char="00A3"/>
            </w:r>
            <w:r>
              <w:rPr>
                <w:rFonts w:hint="eastAsia" w:ascii="仿宋" w:hAnsi="仿宋" w:eastAsia="仿宋" w:cs="仿宋"/>
                <w:szCs w:val="21"/>
                <w:highlight w:val="none"/>
              </w:rPr>
              <w:t>本项目收取履约保证金</w:t>
            </w:r>
          </w:p>
          <w:p w14:paraId="0F90AA2F">
            <w:pPr>
              <w:shd w:val="clear" w:color="auto" w:fill="FFFFFF"/>
              <w:adjustRightInd w:val="0"/>
              <w:snapToGrid w:val="0"/>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履约保证金金额：</w:t>
            </w:r>
            <w:r>
              <w:rPr>
                <w:rFonts w:hint="eastAsia" w:ascii="仿宋" w:hAnsi="仿宋" w:eastAsia="仿宋" w:cs="仿宋"/>
                <w:kern w:val="0"/>
                <w:szCs w:val="21"/>
                <w:highlight w:val="none"/>
                <w:u w:val="single"/>
              </w:rPr>
              <w:t xml:space="preserve">                 </w:t>
            </w:r>
          </w:p>
          <w:p w14:paraId="108FEBA8">
            <w:pPr>
              <w:shd w:val="clear" w:color="auto" w:fill="FFFFFF"/>
              <w:adjustRightInd w:val="0"/>
              <w:snapToGrid w:val="0"/>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履约保证金递交时间：</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rPr>
              <w:t xml:space="preserve"> </w:t>
            </w:r>
          </w:p>
          <w:p w14:paraId="067B747D">
            <w:pPr>
              <w:pStyle w:val="15"/>
              <w:adjustRightInd w:val="0"/>
              <w:snapToGrid w:val="0"/>
              <w:ind w:firstLine="210" w:firstLineChars="100"/>
              <w:rPr>
                <w:rFonts w:hint="eastAsia" w:ascii="仿宋" w:hAnsi="仿宋" w:eastAsia="仿宋" w:cs="仿宋"/>
                <w:highlight w:val="none"/>
                <w:lang w:val="en-US" w:eastAsia="zh-CN"/>
              </w:rPr>
            </w:pPr>
            <w:r>
              <w:rPr>
                <w:rFonts w:hint="eastAsia" w:ascii="仿宋" w:hAnsi="仿宋" w:eastAsia="仿宋" w:cs="仿宋"/>
                <w:szCs w:val="21"/>
                <w:highlight w:val="none"/>
                <w:lang w:val="en-US" w:eastAsia="zh-CN"/>
              </w:rPr>
              <w:t>履约保证金递交方式：</w:t>
            </w:r>
            <w:r>
              <w:rPr>
                <w:rFonts w:hint="eastAsia" w:ascii="仿宋" w:hAnsi="仿宋" w:eastAsia="仿宋" w:cs="仿宋"/>
                <w:highlight w:val="none"/>
                <w:lang w:val="en-US" w:eastAsia="zh-CN"/>
              </w:rPr>
              <w:t xml:space="preserve">□保函 □支票  □汇票  □本票  </w:t>
            </w:r>
          </w:p>
          <w:p w14:paraId="3DA26252">
            <w:pPr>
              <w:pStyle w:val="15"/>
              <w:adjustRightInd w:val="0"/>
              <w:snapToGrid w:val="0"/>
              <w:ind w:firstLine="2310" w:firstLineChars="1100"/>
              <w:rPr>
                <w:rFonts w:hint="eastAsia" w:ascii="仿宋" w:hAnsi="仿宋" w:eastAsia="仿宋" w:cs="仿宋"/>
                <w:kern w:val="0"/>
                <w:szCs w:val="21"/>
                <w:highlight w:val="none"/>
                <w:u w:val="single"/>
                <w:lang w:val="en-US" w:eastAsia="zh-CN"/>
              </w:rPr>
            </w:pPr>
            <w:r>
              <w:rPr>
                <w:rFonts w:hint="eastAsia" w:ascii="仿宋" w:hAnsi="仿宋" w:eastAsia="仿宋" w:cs="仿宋"/>
                <w:highlight w:val="none"/>
                <w:lang w:val="en-US" w:eastAsia="zh-CN"/>
              </w:rPr>
              <w:t>□其他：</w:t>
            </w:r>
            <w:r>
              <w:rPr>
                <w:rFonts w:hint="eastAsia" w:ascii="仿宋" w:hAnsi="仿宋" w:eastAsia="仿宋" w:cs="仿宋"/>
                <w:highlight w:val="none"/>
                <w:u w:val="single"/>
                <w:lang w:val="en-US" w:eastAsia="zh-CN"/>
              </w:rPr>
              <w:t xml:space="preserve">         </w:t>
            </w:r>
          </w:p>
          <w:p w14:paraId="22170681">
            <w:pPr>
              <w:adjustRightInd w:val="0"/>
              <w:snapToGrid w:val="0"/>
              <w:ind w:firstLine="210" w:firstLineChars="100"/>
              <w:rPr>
                <w:rFonts w:hint="eastAsia" w:ascii="仿宋" w:hAnsi="仿宋" w:eastAsia="仿宋" w:cs="仿宋"/>
                <w:szCs w:val="21"/>
                <w:highlight w:val="none"/>
              </w:rPr>
            </w:pPr>
            <w:r>
              <w:rPr>
                <w:rFonts w:hint="eastAsia" w:ascii="仿宋" w:hAnsi="仿宋" w:eastAsia="仿宋" w:cs="仿宋"/>
                <w:szCs w:val="21"/>
                <w:highlight w:val="none"/>
              </w:rPr>
              <w:t>保证金收款人银行信息：</w:t>
            </w:r>
          </w:p>
          <w:p w14:paraId="5C2AB068">
            <w:pPr>
              <w:adjustRightInd w:val="0"/>
              <w:snapToGrid w:val="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开 户 名：</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rPr>
              <w:t xml:space="preserve"> </w:t>
            </w:r>
          </w:p>
          <w:p w14:paraId="62BC9057">
            <w:pPr>
              <w:adjustRightInd w:val="0"/>
              <w:snapToGrid w:val="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开 户 行：</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rPr>
              <w:t xml:space="preserve"> </w:t>
            </w:r>
          </w:p>
          <w:p w14:paraId="55A81E8A">
            <w:pPr>
              <w:adjustRightInd w:val="0"/>
              <w:snapToGrid w:val="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账    号：</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rPr>
              <w:t xml:space="preserve"> </w:t>
            </w:r>
          </w:p>
          <w:p w14:paraId="2B2F74E8">
            <w:pPr>
              <w:shd w:val="clear" w:color="auto" w:fill="FFFFFF"/>
              <w:adjustRightInd w:val="0"/>
              <w:snapToGrid w:val="0"/>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履约保证金退还时间及规定：</w:t>
            </w:r>
            <w:r>
              <w:rPr>
                <w:rFonts w:hint="eastAsia" w:ascii="仿宋" w:hAnsi="仿宋" w:eastAsia="仿宋" w:cs="仿宋"/>
                <w:kern w:val="0"/>
                <w:szCs w:val="21"/>
                <w:highlight w:val="none"/>
                <w:u w:val="single"/>
              </w:rPr>
              <w:t xml:space="preserve">   </w:t>
            </w:r>
          </w:p>
          <w:p w14:paraId="68E2D8EF">
            <w:pPr>
              <w:shd w:val="clear" w:color="auto" w:fill="FFFFFF"/>
              <w:adjustRightInd w:val="0"/>
              <w:snapToGrid w:val="0"/>
              <w:jc w:val="left"/>
              <w:rPr>
                <w:rFonts w:hint="eastAsia" w:ascii="仿宋" w:hAnsi="仿宋" w:eastAsia="仿宋" w:cs="仿宋"/>
                <w:kern w:val="0"/>
                <w:szCs w:val="21"/>
                <w:highlight w:val="none"/>
              </w:rPr>
            </w:pPr>
            <w:r>
              <w:rPr>
                <w:rFonts w:hint="eastAsia" w:ascii="仿宋" w:hAnsi="仿宋" w:eastAsia="仿宋" w:cs="仿宋"/>
                <w:b/>
                <w:bCs/>
                <w:szCs w:val="21"/>
                <w:highlight w:val="none"/>
              </w:rPr>
              <w:t>（注：财政部门鼓励采用保函的方式递交履约保证金，具体办理流程参阅辽宁政府采购网）</w:t>
            </w:r>
          </w:p>
        </w:tc>
      </w:tr>
      <w:tr w14:paraId="46441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vAlign w:val="center"/>
          </w:tcPr>
          <w:p w14:paraId="4DCD2DE8">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38</w:t>
            </w:r>
          </w:p>
        </w:tc>
        <w:tc>
          <w:tcPr>
            <w:tcW w:w="1993" w:type="dxa"/>
            <w:vAlign w:val="center"/>
          </w:tcPr>
          <w:p w14:paraId="309224FF">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采购代理服务费</w:t>
            </w:r>
          </w:p>
        </w:tc>
        <w:tc>
          <w:tcPr>
            <w:tcW w:w="5653" w:type="dxa"/>
            <w:vAlign w:val="center"/>
          </w:tcPr>
          <w:p w14:paraId="789876F8">
            <w:pPr>
              <w:shd w:val="clear" w:color="auto" w:fill="FFFFFF"/>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sym w:font="Wingdings 2" w:char="00A3"/>
            </w:r>
            <w:r>
              <w:rPr>
                <w:rFonts w:hint="eastAsia" w:ascii="仿宋" w:hAnsi="仿宋" w:eastAsia="仿宋" w:cs="仿宋"/>
                <w:szCs w:val="21"/>
                <w:highlight w:val="none"/>
              </w:rPr>
              <w:t>本项目不收取</w:t>
            </w:r>
            <w:r>
              <w:rPr>
                <w:rFonts w:hint="eastAsia" w:ascii="仿宋" w:hAnsi="仿宋" w:eastAsia="仿宋" w:cs="仿宋"/>
                <w:kern w:val="0"/>
                <w:szCs w:val="21"/>
                <w:highlight w:val="none"/>
              </w:rPr>
              <w:t>采购代理服务费</w:t>
            </w:r>
          </w:p>
          <w:p w14:paraId="22886406">
            <w:pPr>
              <w:shd w:val="clear" w:color="auto" w:fill="FFFFFF"/>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sym w:font="Wingdings 2" w:char="0052"/>
            </w:r>
            <w:r>
              <w:rPr>
                <w:rFonts w:hint="eastAsia" w:ascii="仿宋" w:hAnsi="仿宋" w:eastAsia="仿宋" w:cs="仿宋"/>
                <w:szCs w:val="21"/>
                <w:highlight w:val="none"/>
              </w:rPr>
              <w:t>本项目收取</w:t>
            </w:r>
            <w:r>
              <w:rPr>
                <w:rFonts w:hint="eastAsia" w:ascii="仿宋" w:hAnsi="仿宋" w:eastAsia="仿宋" w:cs="仿宋"/>
                <w:kern w:val="0"/>
                <w:szCs w:val="21"/>
                <w:highlight w:val="none"/>
              </w:rPr>
              <w:t>采购代理服务费</w:t>
            </w:r>
          </w:p>
          <w:p w14:paraId="5381D20A">
            <w:pPr>
              <w:widowControl/>
              <w:adjustRightInd w:val="0"/>
              <w:snapToGrid w:val="0"/>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本项目采购代理服务费由</w:t>
            </w:r>
            <w:r>
              <w:rPr>
                <w:rFonts w:hint="eastAsia" w:ascii="仿宋" w:hAnsi="仿宋" w:eastAsia="仿宋" w:cs="仿宋"/>
                <w:kern w:val="0"/>
                <w:szCs w:val="21"/>
                <w:highlight w:val="none"/>
                <w:u w:val="single"/>
              </w:rPr>
              <w:t xml:space="preserve">  成交供应商  </w:t>
            </w:r>
            <w:r>
              <w:rPr>
                <w:rFonts w:hint="eastAsia" w:ascii="仿宋" w:hAnsi="仿宋" w:eastAsia="仿宋" w:cs="仿宋"/>
                <w:kern w:val="0"/>
                <w:szCs w:val="21"/>
                <w:highlight w:val="none"/>
              </w:rPr>
              <w:t>向采购代理机构予以支付。</w:t>
            </w:r>
          </w:p>
          <w:p w14:paraId="664AC70E">
            <w:pPr>
              <w:widowControl/>
              <w:adjustRightInd w:val="0"/>
              <w:snapToGrid w:val="0"/>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支付标准：</w:t>
            </w:r>
            <w:r>
              <w:rPr>
                <w:rFonts w:hint="eastAsia" w:ascii="仿宋" w:hAnsi="仿宋" w:eastAsia="仿宋" w:cs="仿宋"/>
                <w:kern w:val="0"/>
                <w:szCs w:val="21"/>
                <w:highlight w:val="none"/>
                <w:u w:val="single"/>
              </w:rPr>
              <w:t xml:space="preserve"> 采购代理服务费根据《国家发改委关于进一步放开建设项目专业服务价格的通知》（发改价格[2015]299号）文件规定，经甲乙双方约定，支付标准：按差额定率分档累进法计费收取），如代理服务费低于5000 元，按 5000 元收取  </w:t>
            </w:r>
          </w:p>
          <w:p w14:paraId="46CD58F4">
            <w:pPr>
              <w:widowControl/>
              <w:adjustRightInd w:val="0"/>
              <w:snapToGrid w:val="0"/>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支付形式：</w:t>
            </w:r>
            <w:r>
              <w:rPr>
                <w:rFonts w:hint="eastAsia" w:ascii="仿宋" w:hAnsi="仿宋" w:eastAsia="仿宋" w:cs="仿宋"/>
                <w:kern w:val="0"/>
                <w:szCs w:val="21"/>
                <w:highlight w:val="none"/>
                <w:u w:val="single"/>
              </w:rPr>
              <w:t xml:space="preserve"> 现金、电汇 </w:t>
            </w:r>
          </w:p>
          <w:p w14:paraId="6A56A9CB">
            <w:pPr>
              <w:widowControl/>
              <w:adjustRightInd w:val="0"/>
              <w:snapToGrid w:val="0"/>
              <w:ind w:firstLine="210" w:firstLineChars="10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支付时间：</w:t>
            </w:r>
            <w:r>
              <w:rPr>
                <w:rFonts w:hint="eastAsia" w:ascii="仿宋" w:hAnsi="仿宋" w:eastAsia="仿宋" w:cs="仿宋"/>
                <w:kern w:val="0"/>
                <w:szCs w:val="21"/>
                <w:highlight w:val="none"/>
                <w:u w:val="single"/>
              </w:rPr>
              <w:t xml:space="preserve"> 成交供应商确定中标后请及时与代理机构取得联系缴纳代理费领取成交通知书。 </w:t>
            </w:r>
          </w:p>
          <w:p w14:paraId="29313D0E">
            <w:pPr>
              <w:adjustRightInd w:val="0"/>
              <w:snapToGrid w:val="0"/>
              <w:ind w:firstLine="210" w:firstLineChars="100"/>
              <w:rPr>
                <w:rFonts w:hint="eastAsia" w:ascii="仿宋" w:hAnsi="仿宋" w:eastAsia="仿宋" w:cs="仿宋"/>
                <w:szCs w:val="21"/>
                <w:highlight w:val="none"/>
              </w:rPr>
            </w:pPr>
            <w:bookmarkStart w:id="45" w:name="OLE_LINK3"/>
            <w:bookmarkStart w:id="46" w:name="OLE_LINK4"/>
            <w:r>
              <w:rPr>
                <w:rFonts w:hint="eastAsia" w:ascii="仿宋" w:hAnsi="仿宋" w:eastAsia="仿宋" w:cs="仿宋"/>
                <w:kern w:val="0"/>
                <w:szCs w:val="21"/>
                <w:highlight w:val="none"/>
              </w:rPr>
              <w:t>采购代理服务费</w:t>
            </w:r>
            <w:r>
              <w:rPr>
                <w:rFonts w:hint="eastAsia" w:ascii="仿宋" w:hAnsi="仿宋" w:eastAsia="仿宋" w:cs="仿宋"/>
                <w:szCs w:val="21"/>
                <w:highlight w:val="none"/>
              </w:rPr>
              <w:t>收款人银行信息：</w:t>
            </w:r>
          </w:p>
          <w:p w14:paraId="077539D5">
            <w:pPr>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 xml:space="preserve">  开 户 名：</w:t>
            </w:r>
            <w:r>
              <w:rPr>
                <w:rFonts w:hint="eastAsia" w:ascii="仿宋" w:hAnsi="仿宋" w:eastAsia="仿宋" w:cs="仿宋"/>
                <w:kern w:val="0"/>
                <w:szCs w:val="21"/>
                <w:highlight w:val="none"/>
                <w:u w:val="single"/>
              </w:rPr>
              <w:t xml:space="preserve"> 辽宁胜权项目管理有限公司 </w:t>
            </w:r>
          </w:p>
          <w:bookmarkEnd w:id="45"/>
          <w:bookmarkEnd w:id="46"/>
          <w:p w14:paraId="0BCEA384">
            <w:pPr>
              <w:widowControl/>
              <w:adjustRightInd w:val="0"/>
              <w:snapToGrid w:val="0"/>
              <w:ind w:firstLine="210" w:firstLineChars="100"/>
              <w:rPr>
                <w:rFonts w:hint="eastAsia" w:ascii="仿宋" w:hAnsi="仿宋" w:eastAsia="仿宋" w:cs="仿宋"/>
                <w:szCs w:val="21"/>
                <w:highlight w:val="none"/>
              </w:rPr>
            </w:pPr>
            <w:r>
              <w:rPr>
                <w:rFonts w:hint="eastAsia" w:ascii="仿宋" w:hAnsi="仿宋" w:eastAsia="仿宋" w:cs="仿宋"/>
                <w:szCs w:val="21"/>
                <w:highlight w:val="none"/>
              </w:rPr>
              <w:t>开户行：</w:t>
            </w:r>
            <w:r>
              <w:rPr>
                <w:rFonts w:hint="eastAsia" w:ascii="仿宋" w:hAnsi="仿宋" w:eastAsia="仿宋" w:cs="仿宋"/>
                <w:kern w:val="0"/>
                <w:szCs w:val="21"/>
                <w:highlight w:val="none"/>
                <w:u w:val="single"/>
              </w:rPr>
              <w:t>中国邮政储蓄银行股份有限公司锦州市分行</w:t>
            </w:r>
            <w:r>
              <w:rPr>
                <w:rFonts w:hint="eastAsia" w:ascii="仿宋" w:hAnsi="仿宋" w:eastAsia="仿宋" w:cs="仿宋"/>
                <w:szCs w:val="21"/>
                <w:highlight w:val="none"/>
              </w:rPr>
              <w:t xml:space="preserve"> </w:t>
            </w:r>
          </w:p>
          <w:p w14:paraId="62603C25">
            <w:pPr>
              <w:widowControl/>
              <w:adjustRightInd w:val="0"/>
              <w:snapToGrid w:val="0"/>
              <w:ind w:firstLine="210" w:firstLineChars="100"/>
              <w:rPr>
                <w:rFonts w:hint="eastAsia" w:ascii="仿宋" w:hAnsi="仿宋" w:eastAsia="仿宋" w:cs="仿宋"/>
                <w:szCs w:val="21"/>
                <w:highlight w:val="none"/>
                <w:u w:val="single"/>
              </w:rPr>
            </w:pPr>
            <w:r>
              <w:rPr>
                <w:rFonts w:hint="eastAsia" w:ascii="仿宋" w:hAnsi="仿宋" w:eastAsia="仿宋" w:cs="仿宋"/>
                <w:szCs w:val="21"/>
                <w:highlight w:val="none"/>
              </w:rPr>
              <w:t>账号：</w:t>
            </w:r>
            <w:r>
              <w:rPr>
                <w:rFonts w:hint="eastAsia" w:ascii="仿宋" w:hAnsi="仿宋" w:eastAsia="仿宋" w:cs="仿宋"/>
                <w:szCs w:val="21"/>
                <w:highlight w:val="none"/>
                <w:u w:val="single"/>
              </w:rPr>
              <w:t>921009010037631112</w:t>
            </w:r>
          </w:p>
          <w:p w14:paraId="5CF87201">
            <w:pPr>
              <w:widowControl/>
              <w:adjustRightInd w:val="0"/>
              <w:snapToGrid w:val="0"/>
              <w:ind w:firstLine="240" w:firstLineChars="100"/>
              <w:rPr>
                <w:rFonts w:hint="eastAsia" w:ascii="仿宋" w:hAnsi="仿宋" w:eastAsia="仿宋" w:cs="仿宋"/>
                <w:szCs w:val="21"/>
                <w:highlight w:val="none"/>
                <w:u w:val="single"/>
              </w:rPr>
            </w:pPr>
            <w:r>
              <w:rPr>
                <w:rFonts w:hint="eastAsia" w:ascii="仿宋" w:hAnsi="仿宋" w:eastAsia="仿宋" w:cs="仿宋"/>
                <w:sz w:val="24"/>
                <w:highlight w:val="none"/>
              </w:rPr>
              <w:drawing>
                <wp:inline distT="0" distB="0" distL="0" distR="0">
                  <wp:extent cx="3333750" cy="1530350"/>
                  <wp:effectExtent l="19050" t="0" r="0" b="0"/>
                  <wp:docPr id="1" name="图片 8" descr="1128845316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descr="1128845316265"/>
                          <pic:cNvPicPr>
                            <a:picLocks noChangeAspect="1" noChangeArrowheads="1"/>
                          </pic:cNvPicPr>
                        </pic:nvPicPr>
                        <pic:blipFill>
                          <a:blip r:embed="rId7"/>
                          <a:srcRect/>
                          <a:stretch>
                            <a:fillRect/>
                          </a:stretch>
                        </pic:blipFill>
                        <pic:spPr>
                          <a:xfrm>
                            <a:off x="0" y="0"/>
                            <a:ext cx="3333750" cy="1530350"/>
                          </a:xfrm>
                          <a:prstGeom prst="rect">
                            <a:avLst/>
                          </a:prstGeom>
                          <a:noFill/>
                          <a:ln w="9525">
                            <a:noFill/>
                            <a:miter lim="800000"/>
                            <a:headEnd/>
                            <a:tailEnd/>
                          </a:ln>
                          <a:effectLst/>
                        </pic:spPr>
                      </pic:pic>
                    </a:graphicData>
                  </a:graphic>
                </wp:inline>
              </w:drawing>
            </w:r>
          </w:p>
        </w:tc>
      </w:tr>
      <w:tr w14:paraId="03495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025" w:type="dxa"/>
            <w:vAlign w:val="center"/>
          </w:tcPr>
          <w:p w14:paraId="70143895">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41.3</w:t>
            </w:r>
          </w:p>
        </w:tc>
        <w:tc>
          <w:tcPr>
            <w:tcW w:w="1993" w:type="dxa"/>
            <w:vAlign w:val="center"/>
          </w:tcPr>
          <w:p w14:paraId="03DDCFBF">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质疑</w:t>
            </w:r>
          </w:p>
        </w:tc>
        <w:tc>
          <w:tcPr>
            <w:tcW w:w="5653" w:type="dxa"/>
            <w:vAlign w:val="center"/>
          </w:tcPr>
          <w:p w14:paraId="27C4B9D9">
            <w:pPr>
              <w:widowControl/>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一、供应商认为自己的权益受到损害的，可以在知道或者应知其权益受到损害之日起七个工作日内，以书面形式向采购人、采购代理机构提出质疑。</w:t>
            </w:r>
          </w:p>
          <w:p w14:paraId="6CD8AB2C">
            <w:pPr>
              <w:widowControl/>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1.接收质疑函的方式：线上或书面纸质质疑函</w:t>
            </w:r>
          </w:p>
          <w:p w14:paraId="5970CBA8">
            <w:pPr>
              <w:widowControl/>
              <w:adjustRightInd w:val="0"/>
              <w:snapToGrid w:val="0"/>
              <w:ind w:firstLine="420" w:firstLineChars="200"/>
              <w:rPr>
                <w:rFonts w:hint="eastAsia" w:ascii="仿宋" w:hAnsi="仿宋" w:eastAsia="仿宋" w:cs="仿宋"/>
                <w:kern w:val="0"/>
                <w:szCs w:val="21"/>
                <w:highlight w:val="none"/>
                <w:u w:val="single"/>
              </w:rPr>
            </w:pPr>
            <w:r>
              <w:rPr>
                <w:rFonts w:hint="eastAsia" w:ascii="仿宋" w:hAnsi="仿宋" w:eastAsia="仿宋" w:cs="仿宋"/>
                <w:szCs w:val="21"/>
                <w:highlight w:val="none"/>
              </w:rPr>
              <w:t>联系单位：</w:t>
            </w:r>
            <w:r>
              <w:rPr>
                <w:rFonts w:hint="eastAsia" w:ascii="仿宋" w:hAnsi="仿宋" w:eastAsia="仿宋" w:cs="仿宋"/>
                <w:kern w:val="0"/>
                <w:szCs w:val="21"/>
                <w:highlight w:val="none"/>
                <w:u w:val="single"/>
              </w:rPr>
              <w:t xml:space="preserve">  辽宁胜权项目管理有限公司  </w:t>
            </w:r>
          </w:p>
          <w:p w14:paraId="3A7C9930">
            <w:pPr>
              <w:widowControl/>
              <w:adjustRightInd w:val="0"/>
              <w:snapToGrid w:val="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 系 人：</w:t>
            </w:r>
            <w:r>
              <w:rPr>
                <w:rFonts w:hint="eastAsia" w:ascii="仿宋" w:hAnsi="仿宋" w:eastAsia="仿宋" w:cs="仿宋"/>
                <w:kern w:val="0"/>
                <w:szCs w:val="21"/>
                <w:highlight w:val="none"/>
                <w:u w:val="single"/>
              </w:rPr>
              <w:t xml:space="preserve">  陈女士  </w:t>
            </w:r>
          </w:p>
          <w:p w14:paraId="143F860E">
            <w:pPr>
              <w:widowControl/>
              <w:adjustRightInd w:val="0"/>
              <w:snapToGrid w:val="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联系电话：</w:t>
            </w:r>
            <w:r>
              <w:rPr>
                <w:rFonts w:hint="eastAsia" w:ascii="仿宋" w:hAnsi="仿宋" w:eastAsia="仿宋" w:cs="仿宋"/>
                <w:kern w:val="0"/>
                <w:szCs w:val="21"/>
                <w:highlight w:val="none"/>
                <w:u w:val="single"/>
              </w:rPr>
              <w:t xml:space="preserve">  0416-3629888  </w:t>
            </w:r>
          </w:p>
          <w:p w14:paraId="0EFFD0DC">
            <w:pPr>
              <w:widowControl/>
              <w:adjustRightInd w:val="0"/>
              <w:snapToGrid w:val="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通讯地址：</w:t>
            </w:r>
            <w:r>
              <w:rPr>
                <w:rFonts w:hint="eastAsia" w:ascii="仿宋" w:hAnsi="仿宋" w:eastAsia="仿宋" w:cs="仿宋"/>
                <w:kern w:val="0"/>
                <w:szCs w:val="21"/>
                <w:highlight w:val="none"/>
                <w:u w:val="single"/>
              </w:rPr>
              <w:t xml:space="preserve">  锦州市太和区锦娘路永和国际24-9号  </w:t>
            </w:r>
          </w:p>
          <w:p w14:paraId="27979CD9">
            <w:pPr>
              <w:widowControl/>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2.质疑函的内容、格式：应符合《政府采购质疑和投诉办法》相关规定和财政部门制定的《政府采购质疑函范本》格式。</w:t>
            </w:r>
          </w:p>
          <w:p w14:paraId="00CC0684">
            <w:pPr>
              <w:pStyle w:val="15"/>
              <w:adjustRightInd w:val="0"/>
              <w:snapToGrid w:val="0"/>
              <w:rPr>
                <w:rFonts w:hint="eastAsia" w:ascii="仿宋" w:hAnsi="仿宋" w:eastAsia="仿宋" w:cs="仿宋"/>
                <w:kern w:val="0"/>
                <w:szCs w:val="21"/>
                <w:highlight w:val="none"/>
                <w:lang w:val="en-US" w:eastAsia="zh-CN"/>
              </w:rPr>
            </w:pPr>
            <w:r>
              <w:rPr>
                <w:rFonts w:hint="eastAsia" w:ascii="仿宋" w:hAnsi="仿宋" w:eastAsia="仿宋" w:cs="仿宋"/>
                <w:szCs w:val="21"/>
                <w:highlight w:val="none"/>
                <w:lang w:val="en-US" w:eastAsia="zh-CN"/>
              </w:rPr>
              <w:t>二、供应商应在法定质疑期内一次性针对同一采购程序环节提出质疑，否则针对再次提出质疑将不予接收。（采购程序环节分为：采购公告、采购文件、采购过程、成交结果）</w:t>
            </w:r>
          </w:p>
        </w:tc>
      </w:tr>
    </w:tbl>
    <w:p w14:paraId="5B4E9009">
      <w:pPr>
        <w:rPr>
          <w:rFonts w:hint="eastAsia" w:ascii="仿宋" w:hAnsi="仿宋" w:eastAsia="仿宋" w:cs="仿宋"/>
          <w:sz w:val="24"/>
          <w:highlight w:val="none"/>
        </w:rPr>
      </w:pPr>
      <w:r>
        <w:rPr>
          <w:rFonts w:hint="eastAsia" w:ascii="仿宋" w:hAnsi="仿宋" w:eastAsia="仿宋" w:cs="仿宋"/>
          <w:sz w:val="24"/>
          <w:highlight w:val="none"/>
        </w:rPr>
        <w:t>注：表格中“</w:t>
      </w:r>
      <w:r>
        <w:rPr>
          <w:rFonts w:hint="eastAsia" w:ascii="仿宋" w:hAnsi="仿宋" w:eastAsia="仿宋" w:cs="仿宋"/>
          <w:sz w:val="24"/>
          <w:highlight w:val="none"/>
        </w:rPr>
        <w:sym w:font="Wingdings 2" w:char="0052"/>
      </w:r>
      <w:r>
        <w:rPr>
          <w:rFonts w:hint="eastAsia" w:ascii="仿宋" w:hAnsi="仿宋" w:eastAsia="仿宋" w:cs="仿宋"/>
          <w:sz w:val="24"/>
          <w:highlight w:val="none"/>
        </w:rPr>
        <w:t>”项或“■”项为被选中项。</w:t>
      </w:r>
    </w:p>
    <w:p w14:paraId="5563BB88">
      <w:pPr>
        <w:pStyle w:val="3"/>
        <w:adjustRightInd w:val="0"/>
        <w:snapToGrid w:val="0"/>
        <w:spacing w:before="0" w:after="0" w:line="360" w:lineRule="auto"/>
        <w:jc w:val="center"/>
        <w:rPr>
          <w:rFonts w:hint="eastAsia" w:ascii="仿宋" w:hAnsi="仿宋" w:eastAsia="仿宋" w:cs="仿宋"/>
          <w:highlight w:val="none"/>
        </w:rPr>
      </w:pPr>
      <w:r>
        <w:rPr>
          <w:rFonts w:hint="eastAsia" w:ascii="仿宋" w:hAnsi="仿宋" w:eastAsia="仿宋" w:cs="仿宋"/>
          <w:sz w:val="21"/>
          <w:szCs w:val="21"/>
          <w:highlight w:val="none"/>
        </w:rPr>
        <w:br w:type="page"/>
      </w:r>
      <w:bookmarkStart w:id="47" w:name="_Toc533340140"/>
      <w:bookmarkStart w:id="48" w:name="_Toc4485619"/>
      <w:r>
        <w:rPr>
          <w:rFonts w:hint="eastAsia" w:ascii="仿宋" w:hAnsi="仿宋" w:eastAsia="仿宋" w:cs="仿宋"/>
          <w:highlight w:val="none"/>
        </w:rPr>
        <w:t>二 总则</w:t>
      </w:r>
      <w:bookmarkEnd w:id="47"/>
      <w:bookmarkEnd w:id="48"/>
    </w:p>
    <w:p w14:paraId="782304B8">
      <w:pPr>
        <w:adjustRightInd w:val="0"/>
        <w:snapToGrid w:val="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1.采购人、采购代理机构及供应商</w:t>
      </w:r>
    </w:p>
    <w:p w14:paraId="2D06662B">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1.1采购人：是指依法进行政府采购的国家机关、事业单位、团体组织。本项目采购人见供应商须知表1.1条。</w:t>
      </w:r>
    </w:p>
    <w:p w14:paraId="10E0E959">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1.2采购代理机构：是指集中采购机构或从事采购代理业务的社会中介机构，本项目的采购代理机构见供应商须知表1.2条。</w:t>
      </w:r>
    </w:p>
    <w:p w14:paraId="4BAE79A2">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★1.3供应商：是指向采购人提供货物、工程或者服务的法人、非法人组织或者自然人。本项目的供应商及其响应须满足以下条件：</w:t>
      </w:r>
    </w:p>
    <w:p w14:paraId="5ED0DFFA">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1.3.1在中华人民共和国境内注册，能够独立承担民事责任，有生产或供应能力的本国供应商。</w:t>
      </w:r>
    </w:p>
    <w:p w14:paraId="1F74F4E5">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1.3.2符合《中华人民共和国政府采购法》第二十二条关于供应商条件的规定，遵守本项目采购人本级和上级财政部门关于政府采购的有关规定。</w:t>
      </w:r>
    </w:p>
    <w:p w14:paraId="20A44B55">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1.3.3以采购代理机构认可的方式获得了本项目的采购文件。</w:t>
      </w:r>
    </w:p>
    <w:p w14:paraId="181D5599">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1.3.4符合供应商须知表1.3.4条中规定的其他要求。</w:t>
      </w:r>
    </w:p>
    <w:p w14:paraId="30224BCB">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1.3.5若供应商须知表1.3.5条中写明专门面向中小企业采购的，如工程为非中小企业承建，其响应将被认定为</w:t>
      </w:r>
      <w:r>
        <w:rPr>
          <w:rFonts w:hint="eastAsia" w:ascii="仿宋" w:hAnsi="仿宋" w:eastAsia="仿宋" w:cs="仿宋"/>
          <w:b/>
          <w:bCs/>
          <w:sz w:val="24"/>
          <w:highlight w:val="none"/>
        </w:rPr>
        <w:t>无效响应</w:t>
      </w:r>
      <w:r>
        <w:rPr>
          <w:rFonts w:hint="eastAsia" w:ascii="仿宋" w:hAnsi="仿宋" w:eastAsia="仿宋" w:cs="仿宋"/>
          <w:sz w:val="24"/>
          <w:highlight w:val="none"/>
        </w:rPr>
        <w:t>。</w:t>
      </w:r>
    </w:p>
    <w:p w14:paraId="06E78DC2">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1.3.5.1中小企业，是指在中华人民共和国境内依法设立，依据国务院批准的中小企业划分标准确定的中型企业、小型企业和微型企业，但与大企业的负责人为同一人，或者与大企业存在直接控股、管理关系的除外。</w:t>
      </w:r>
    </w:p>
    <w:p w14:paraId="79DFB632">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符合中小企业划分标准的个体工商户，在政府采购活动中视同中小企业。</w:t>
      </w:r>
    </w:p>
    <w:p w14:paraId="0FE47D9A">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1.3.5.2工程由中小企业承建，即工程施工单位为中小企业。</w:t>
      </w:r>
    </w:p>
    <w:p w14:paraId="37A80653">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1.3.5.3以联合体形式参加政府采购活动，联合体各方均为中小企业的，联合体视同中小企业。其中，联合体各方均为小微企业的，联合体视同小微企业。</w:t>
      </w:r>
    </w:p>
    <w:p w14:paraId="062BEDF8">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1.3.5.4组成联合体或者接受分包合同的中小企业与联合体内其他企业、分包企业之间不得存在直接控股、管理关系。</w:t>
      </w:r>
    </w:p>
    <w:p w14:paraId="5E3F58F2">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1.3.6若供应商须知表1.3.6条中写明采购的产品为财政部、发展改革委、生态环境部等部门发布的品目清单中属于实施政府强制采购品目清单范围的节能产品，如供应商所响应产品不具备依据国家确定的认证机构出具的、处于有效期之内的节能产品认证证书，其响应将被认定为</w:t>
      </w:r>
      <w:r>
        <w:rPr>
          <w:rFonts w:hint="eastAsia" w:ascii="仿宋" w:hAnsi="仿宋" w:eastAsia="仿宋" w:cs="仿宋"/>
          <w:b/>
          <w:bCs/>
          <w:sz w:val="24"/>
          <w:highlight w:val="none"/>
        </w:rPr>
        <w:t>无效响应</w:t>
      </w:r>
      <w:r>
        <w:rPr>
          <w:rFonts w:hint="eastAsia" w:ascii="仿宋" w:hAnsi="仿宋" w:eastAsia="仿宋" w:cs="仿宋"/>
          <w:sz w:val="24"/>
          <w:highlight w:val="none"/>
        </w:rPr>
        <w:t>。</w:t>
      </w:r>
    </w:p>
    <w:p w14:paraId="1D55E22D">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★1.4如供应商须知表1.4条中允许联合体参加采购活动的，对联合体规定如下：</w:t>
      </w:r>
    </w:p>
    <w:p w14:paraId="09A18C8E">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1.4.1两个以上供应商可以组成一个联合体，以一个供应商的身份参加采购活动。</w:t>
      </w:r>
    </w:p>
    <w:p w14:paraId="37139D56">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1.4.2联合体各方均应符合《中华人民共和国政府采购法》第二十二条规定的条件。</w:t>
      </w:r>
    </w:p>
    <w:p w14:paraId="5F203B5D">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1.4.3采购人根据采购项目对供应商的特殊要求，联合体中至少应当有一方符合相关规定。</w:t>
      </w:r>
    </w:p>
    <w:p w14:paraId="247CFDCD">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1.4.4联合体各方应签订共同参加采购活动协议，明确约定联合体各方承担的工作和相应的责任。</w:t>
      </w:r>
    </w:p>
    <w:p w14:paraId="1ABCE909">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1.4.5联合体中有同类资质的供应商按照联合体分工承担相同工作的，按照较低的资质等级确定联合体的资质等级。</w:t>
      </w:r>
    </w:p>
    <w:p w14:paraId="0F86AB61">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1.4.6以联合体形式参加政府采购活动的，联合体各方不得再单独参加或者与其他供应商另外组成联合体参加本项目采购活动，否则相关响应文件将被认定为无效响应。</w:t>
      </w:r>
    </w:p>
    <w:p w14:paraId="4B999C22">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（1）两个以上的自然人、法人或者其他组织可以组成一个联合体，以一个供应商的身份共同参加政府采购活动。</w:t>
      </w:r>
    </w:p>
    <w:p w14:paraId="6D363187">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（2）联合体成交的，联合体各方应共同与采购人签订采购合同，就采购合同约定的事项对采购人承担连带责任。</w:t>
      </w:r>
    </w:p>
    <w:p w14:paraId="5D96FF19">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1.4.7对联合体参加采购活动的其他资格要求见供应商须知表1.4.7条。</w:t>
      </w:r>
    </w:p>
    <w:p w14:paraId="218BB85F">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★1.5单位负责人为同一人或者存在直接控股、管理关系的不同供应商，其相关响应将被认定为</w:t>
      </w:r>
      <w:r>
        <w:rPr>
          <w:rFonts w:hint="eastAsia" w:ascii="仿宋" w:hAnsi="仿宋" w:eastAsia="仿宋" w:cs="仿宋"/>
          <w:b/>
          <w:sz w:val="24"/>
          <w:highlight w:val="none"/>
        </w:rPr>
        <w:t>无效响应</w:t>
      </w:r>
      <w:r>
        <w:rPr>
          <w:rFonts w:hint="eastAsia" w:ascii="仿宋" w:hAnsi="仿宋" w:eastAsia="仿宋" w:cs="仿宋"/>
          <w:sz w:val="24"/>
          <w:highlight w:val="none"/>
        </w:rPr>
        <w:t>。</w:t>
      </w:r>
    </w:p>
    <w:p w14:paraId="219821D0">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★1.6为本项目提供过整体设计、规范编制或者项目管理、监理、检测等服务的供应商，不得再参加本项目上述服务以外的其他采购活动，否则其响应文件将被认定为</w:t>
      </w:r>
      <w:r>
        <w:rPr>
          <w:rFonts w:hint="eastAsia" w:ascii="仿宋" w:hAnsi="仿宋" w:eastAsia="仿宋" w:cs="仿宋"/>
          <w:b/>
          <w:sz w:val="24"/>
          <w:highlight w:val="none"/>
        </w:rPr>
        <w:t>无效响应</w:t>
      </w:r>
      <w:r>
        <w:rPr>
          <w:rFonts w:hint="eastAsia" w:ascii="仿宋" w:hAnsi="仿宋" w:eastAsia="仿宋" w:cs="仿宋"/>
          <w:sz w:val="24"/>
          <w:highlight w:val="none"/>
        </w:rPr>
        <w:t>。</w:t>
      </w:r>
    </w:p>
    <w:p w14:paraId="5F633457">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★1.7供应商在磋商过程中不得向采购人提供、给予</w:t>
      </w:r>
      <w:bookmarkStart w:id="49" w:name="_Hlk227658671"/>
      <w:r>
        <w:rPr>
          <w:rFonts w:hint="eastAsia" w:ascii="仿宋" w:hAnsi="仿宋" w:eastAsia="仿宋" w:cs="仿宋"/>
          <w:sz w:val="24"/>
          <w:highlight w:val="none"/>
        </w:rPr>
        <w:t>赠品、回扣或者与采购无关的其他商品、服务。</w:t>
      </w:r>
      <w:bookmarkEnd w:id="49"/>
      <w:r>
        <w:rPr>
          <w:rFonts w:hint="eastAsia" w:ascii="仿宋" w:hAnsi="仿宋" w:eastAsia="仿宋" w:cs="仿宋"/>
          <w:sz w:val="24"/>
          <w:highlight w:val="none"/>
        </w:rPr>
        <w:t>一经发现，其将被认定为</w:t>
      </w:r>
      <w:r>
        <w:rPr>
          <w:rFonts w:hint="eastAsia" w:ascii="仿宋" w:hAnsi="仿宋" w:eastAsia="仿宋" w:cs="仿宋"/>
          <w:b/>
          <w:sz w:val="24"/>
          <w:highlight w:val="none"/>
        </w:rPr>
        <w:t>无效响应</w:t>
      </w:r>
      <w:r>
        <w:rPr>
          <w:rFonts w:hint="eastAsia" w:ascii="仿宋" w:hAnsi="仿宋" w:eastAsia="仿宋" w:cs="仿宋"/>
          <w:sz w:val="24"/>
          <w:highlight w:val="none"/>
        </w:rPr>
        <w:t>。</w:t>
      </w:r>
    </w:p>
    <w:p w14:paraId="3AF3D66A">
      <w:pPr>
        <w:adjustRightInd w:val="0"/>
        <w:snapToGrid w:val="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2.资金来源</w:t>
      </w:r>
    </w:p>
    <w:p w14:paraId="3E493DC4">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2.1本项目的采购人已获得足以支付本次磋商后所签订的合同项下的资金（包括财政性资金和本项目采购中无法与财政性资金分割的非财政性资金）。</w:t>
      </w:r>
    </w:p>
    <w:p w14:paraId="70791ADA">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★2.2项目预算金额和分项或分包最高限价见供应商须知表2.2条。</w:t>
      </w:r>
    </w:p>
    <w:p w14:paraId="24F8DE01">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★2.3供应商报价超过采购文件规定的预算金额或者分项、分包最高限价的，其响应文件将被认定为</w:t>
      </w:r>
      <w:r>
        <w:rPr>
          <w:rFonts w:hint="eastAsia" w:ascii="仿宋" w:hAnsi="仿宋" w:eastAsia="仿宋" w:cs="仿宋"/>
          <w:b/>
          <w:sz w:val="24"/>
          <w:highlight w:val="none"/>
        </w:rPr>
        <w:t>无效响应</w:t>
      </w:r>
      <w:r>
        <w:rPr>
          <w:rFonts w:hint="eastAsia" w:ascii="仿宋" w:hAnsi="仿宋" w:eastAsia="仿宋" w:cs="仿宋"/>
          <w:sz w:val="24"/>
          <w:highlight w:val="none"/>
        </w:rPr>
        <w:t>。</w:t>
      </w:r>
    </w:p>
    <w:p w14:paraId="280ACBA2">
      <w:pPr>
        <w:adjustRightInd w:val="0"/>
        <w:snapToGrid w:val="0"/>
        <w:spacing w:line="360" w:lineRule="auto"/>
        <w:rPr>
          <w:rFonts w:hint="eastAsia" w:ascii="仿宋" w:hAnsi="仿宋" w:eastAsia="仿宋" w:cs="仿宋"/>
          <w:b/>
          <w:sz w:val="24"/>
          <w:highlight w:val="none"/>
        </w:rPr>
      </w:pPr>
      <w:bookmarkStart w:id="50" w:name="_Toc266951048"/>
      <w:r>
        <w:rPr>
          <w:rFonts w:hint="eastAsia" w:ascii="仿宋" w:hAnsi="仿宋" w:eastAsia="仿宋" w:cs="仿宋"/>
          <w:b/>
          <w:sz w:val="24"/>
          <w:highlight w:val="none"/>
        </w:rPr>
        <w:t>3.语言文字</w:t>
      </w:r>
      <w:bookmarkEnd w:id="50"/>
    </w:p>
    <w:p w14:paraId="1A26515E">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除专用术语外，与磋商有关的语言均使用中文。必要时专用术语应附有中文注释。对不同文字文本响应文件的解释发生异议的，以中文文本为准。</w:t>
      </w:r>
    </w:p>
    <w:p w14:paraId="4380CEB7">
      <w:pPr>
        <w:adjustRightInd w:val="0"/>
        <w:snapToGrid w:val="0"/>
        <w:spacing w:line="360" w:lineRule="auto"/>
        <w:rPr>
          <w:rFonts w:hint="eastAsia" w:ascii="仿宋" w:hAnsi="仿宋" w:eastAsia="仿宋" w:cs="仿宋"/>
          <w:b/>
          <w:sz w:val="24"/>
          <w:highlight w:val="none"/>
        </w:rPr>
      </w:pPr>
      <w:bookmarkStart w:id="51" w:name="_1.8_计量单位"/>
      <w:bookmarkEnd w:id="51"/>
      <w:bookmarkStart w:id="52" w:name="_Toc266951049"/>
      <w:r>
        <w:rPr>
          <w:rFonts w:hint="eastAsia" w:ascii="仿宋" w:hAnsi="仿宋" w:eastAsia="仿宋" w:cs="仿宋"/>
          <w:b/>
          <w:sz w:val="24"/>
          <w:highlight w:val="none"/>
        </w:rPr>
        <w:t>★4.计量单位</w:t>
      </w:r>
      <w:bookmarkEnd w:id="52"/>
    </w:p>
    <w:p w14:paraId="4FB33971">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除供应商须知表4条中有特殊要求外，响应文件中所使用的计量单位，应采用中华人民共和国法定计量单位。</w:t>
      </w:r>
    </w:p>
    <w:p w14:paraId="2059A0F6">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★5.磋商费用</w:t>
      </w:r>
    </w:p>
    <w:p w14:paraId="02D38085">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不论磋商的结果如何，供应商应承担所有与本次政府采购活动有关的费用。</w:t>
      </w:r>
    </w:p>
    <w:p w14:paraId="0967639F">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★6.现场考察、磋商前答疑会</w:t>
      </w:r>
    </w:p>
    <w:p w14:paraId="524616BB">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6.1</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"_踏勘现场" </w:instrText>
      </w:r>
      <w:r>
        <w:rPr>
          <w:rFonts w:hint="eastAsia" w:ascii="仿宋" w:hAnsi="仿宋" w:eastAsia="仿宋" w:cs="仿宋"/>
          <w:highlight w:val="none"/>
        </w:rPr>
        <w:fldChar w:fldCharType="separate"/>
      </w:r>
      <w:r>
        <w:rPr>
          <w:rFonts w:hint="eastAsia" w:ascii="仿宋" w:hAnsi="仿宋" w:eastAsia="仿宋" w:cs="仿宋"/>
          <w:sz w:val="24"/>
          <w:highlight w:val="none"/>
        </w:rPr>
        <w:t>供应商须知表</w:t>
      </w:r>
      <w:r>
        <w:rPr>
          <w:rFonts w:hint="eastAsia" w:ascii="仿宋" w:hAnsi="仿宋" w:eastAsia="仿宋" w:cs="仿宋"/>
          <w:sz w:val="24"/>
          <w:highlight w:val="none"/>
        </w:rPr>
        <w:fldChar w:fldCharType="end"/>
      </w:r>
      <w:r>
        <w:rPr>
          <w:rFonts w:hint="eastAsia" w:ascii="仿宋" w:hAnsi="仿宋" w:eastAsia="仿宋" w:cs="仿宋"/>
          <w:sz w:val="24"/>
          <w:highlight w:val="none"/>
        </w:rPr>
        <w:t>6.1条规定组织现场考察或磋商前答疑会的，采购人按</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"_踏勘现场" </w:instrText>
      </w:r>
      <w:r>
        <w:rPr>
          <w:rFonts w:hint="eastAsia" w:ascii="仿宋" w:hAnsi="仿宋" w:eastAsia="仿宋" w:cs="仿宋"/>
          <w:highlight w:val="none"/>
        </w:rPr>
        <w:fldChar w:fldCharType="separate"/>
      </w:r>
      <w:r>
        <w:rPr>
          <w:rFonts w:hint="eastAsia" w:ascii="仿宋" w:hAnsi="仿宋" w:eastAsia="仿宋" w:cs="仿宋"/>
          <w:sz w:val="24"/>
          <w:highlight w:val="none"/>
        </w:rPr>
        <w:t>供应商须知表</w:t>
      </w:r>
      <w:r>
        <w:rPr>
          <w:rFonts w:hint="eastAsia" w:ascii="仿宋" w:hAnsi="仿宋" w:eastAsia="仿宋" w:cs="仿宋"/>
          <w:sz w:val="24"/>
          <w:highlight w:val="none"/>
        </w:rPr>
        <w:fldChar w:fldCharType="end"/>
      </w:r>
      <w:r>
        <w:rPr>
          <w:rFonts w:hint="eastAsia" w:ascii="仿宋" w:hAnsi="仿宋" w:eastAsia="仿宋" w:cs="仿宋"/>
          <w:sz w:val="24"/>
          <w:highlight w:val="none"/>
        </w:rPr>
        <w:t>6.1条规定的时间、地点组织供应商现场考察或磋商前答疑会，或者在领取采购文件期限截止后以书面形式通知所有获取采购文件的潜在供应商。</w:t>
      </w:r>
    </w:p>
    <w:p w14:paraId="2B65C5AB">
      <w:pPr>
        <w:adjustRightInd w:val="0"/>
        <w:snapToGrid w:val="0"/>
        <w:spacing w:line="360" w:lineRule="auto"/>
        <w:rPr>
          <w:rFonts w:hint="eastAsia" w:ascii="仿宋" w:hAnsi="仿宋" w:eastAsia="仿宋" w:cs="仿宋"/>
          <w:sz w:val="24"/>
          <w:highlight w:val="none"/>
        </w:rPr>
      </w:pPr>
      <w:bookmarkStart w:id="53" w:name="_1.10_投标预备会"/>
      <w:bookmarkEnd w:id="53"/>
      <w:r>
        <w:rPr>
          <w:rFonts w:hint="eastAsia" w:ascii="仿宋" w:hAnsi="仿宋" w:eastAsia="仿宋" w:cs="仿宋"/>
          <w:sz w:val="24"/>
          <w:highlight w:val="none"/>
        </w:rPr>
        <w:t>6.2由于未参加现场考察或磋商前答疑而导致对项目实际情况不了解，影响技术文件编制、</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 w:hAnsi="仿宋" w:eastAsia="仿宋" w:cs="仿宋"/>
          <w:highlight w:val="none"/>
        </w:rPr>
        <w:fldChar w:fldCharType="separate"/>
      </w:r>
      <w:r>
        <w:rPr>
          <w:rFonts w:hint="eastAsia" w:ascii="仿宋" w:hAnsi="仿宋" w:eastAsia="仿宋" w:cs="仿宋"/>
          <w:sz w:val="24"/>
          <w:highlight w:val="none"/>
        </w:rPr>
        <w:t>响应报价</w:t>
      </w:r>
      <w:r>
        <w:rPr>
          <w:rFonts w:hint="eastAsia" w:ascii="仿宋" w:hAnsi="仿宋" w:eastAsia="仿宋" w:cs="仿宋"/>
          <w:sz w:val="24"/>
          <w:highlight w:val="none"/>
        </w:rPr>
        <w:fldChar w:fldCharType="end"/>
      </w:r>
      <w:r>
        <w:rPr>
          <w:rFonts w:hint="eastAsia" w:ascii="仿宋" w:hAnsi="仿宋" w:eastAsia="仿宋" w:cs="仿宋"/>
          <w:sz w:val="24"/>
          <w:highlight w:val="none"/>
        </w:rPr>
        <w:t>准确性、综合因素响应不全面等问题的，由供应商自行承担相应后果。</w:t>
      </w:r>
    </w:p>
    <w:p w14:paraId="5A8E5263">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6.3现场考察及磋商前答疑会所发生的费用及一切责任由供应商自行承担。</w:t>
      </w:r>
    </w:p>
    <w:p w14:paraId="187C3E6F">
      <w:pPr>
        <w:adjustRightInd w:val="0"/>
        <w:snapToGrid w:val="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7.适用法律</w:t>
      </w:r>
    </w:p>
    <w:p w14:paraId="69347C9B">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项目的采购人、采购代理机构、供应商、磋商小组的相关行为均受《中华人民共和国政府采购法》《中华人民共和国政府采购法实施条例》《政府采购竞争性磋商采购方式管理暂行办法》及本项目本级和上级财政部门关于政府采购有关规定的约束，其权利受到上述法律法规的保护。</w:t>
      </w:r>
    </w:p>
    <w:p w14:paraId="6C6204C2">
      <w:pPr>
        <w:pStyle w:val="3"/>
        <w:adjustRightInd w:val="0"/>
        <w:snapToGrid w:val="0"/>
        <w:spacing w:beforeLines="100" w:afterLines="50" w:line="360" w:lineRule="auto"/>
        <w:jc w:val="center"/>
        <w:rPr>
          <w:rFonts w:hint="eastAsia" w:ascii="仿宋" w:hAnsi="仿宋" w:eastAsia="仿宋" w:cs="仿宋"/>
          <w:szCs w:val="32"/>
          <w:highlight w:val="none"/>
        </w:rPr>
      </w:pPr>
      <w:bookmarkStart w:id="54" w:name="_Toc533340141"/>
      <w:bookmarkStart w:id="55" w:name="_Toc4485620"/>
      <w:r>
        <w:rPr>
          <w:rFonts w:hint="eastAsia" w:ascii="仿宋" w:hAnsi="仿宋" w:eastAsia="仿宋" w:cs="仿宋"/>
          <w:sz w:val="24"/>
          <w:highlight w:val="none"/>
        </w:rPr>
        <w:br w:type="page"/>
      </w:r>
      <w:r>
        <w:rPr>
          <w:rFonts w:hint="eastAsia" w:ascii="仿宋" w:hAnsi="仿宋" w:eastAsia="仿宋" w:cs="仿宋"/>
          <w:szCs w:val="32"/>
          <w:highlight w:val="none"/>
        </w:rPr>
        <w:t xml:space="preserve">三 </w:t>
      </w:r>
      <w:bookmarkEnd w:id="54"/>
      <w:bookmarkEnd w:id="55"/>
      <w:r>
        <w:rPr>
          <w:rFonts w:hint="eastAsia" w:ascii="仿宋" w:hAnsi="仿宋" w:eastAsia="仿宋" w:cs="仿宋"/>
          <w:szCs w:val="32"/>
          <w:highlight w:val="none"/>
        </w:rPr>
        <w:t>采购文件</w:t>
      </w:r>
    </w:p>
    <w:p w14:paraId="4FE3C4D8">
      <w:pPr>
        <w:adjustRightInd w:val="0"/>
        <w:snapToGrid w:val="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8.采购文件构成</w:t>
      </w:r>
    </w:p>
    <w:p w14:paraId="2CAA53D8">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8.1采购文件共六章，内容如下：</w:t>
      </w:r>
    </w:p>
    <w:p w14:paraId="05202191">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采购公告</w:t>
      </w:r>
    </w:p>
    <w:p w14:paraId="6E892E45">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第一章 供应商须知</w:t>
      </w:r>
    </w:p>
    <w:p w14:paraId="06526649">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第二章 响应文件内容及格式</w:t>
      </w:r>
    </w:p>
    <w:p w14:paraId="073BB4E0">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第三章 图纸、技术要求及工程量清单</w:t>
      </w:r>
    </w:p>
    <w:p w14:paraId="6C05DA92">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第四章 磋商内容、磋商过程中可能实质性变动的内容</w:t>
      </w:r>
    </w:p>
    <w:p w14:paraId="4B3FA444">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第五章 评审办法</w:t>
      </w:r>
    </w:p>
    <w:p w14:paraId="439DFAC1">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第六章 政府采购合同条款及格式</w:t>
      </w:r>
    </w:p>
    <w:p w14:paraId="24736C79">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★8.2供应商应认真阅读采购文件所有的事项、格式、条款等。如供应商没有按照采购文件要求提交资料，或者响应文件没有对采购文件做出实质性响应，可能导致其响应文件被认定为</w:t>
      </w:r>
      <w:r>
        <w:rPr>
          <w:rFonts w:hint="eastAsia" w:ascii="仿宋" w:hAnsi="仿宋" w:eastAsia="仿宋" w:cs="仿宋"/>
          <w:b/>
          <w:bCs/>
          <w:sz w:val="24"/>
          <w:highlight w:val="none"/>
        </w:rPr>
        <w:t>无效响应</w:t>
      </w:r>
      <w:r>
        <w:rPr>
          <w:rFonts w:hint="eastAsia" w:ascii="仿宋" w:hAnsi="仿宋" w:eastAsia="仿宋" w:cs="仿宋"/>
          <w:sz w:val="24"/>
          <w:highlight w:val="none"/>
        </w:rPr>
        <w:t>。</w:t>
      </w:r>
    </w:p>
    <w:p w14:paraId="14B76239">
      <w:pPr>
        <w:adjustRightInd w:val="0"/>
        <w:snapToGrid w:val="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9.采购文件的澄清与修改</w:t>
      </w:r>
    </w:p>
    <w:p w14:paraId="5794A50D">
      <w:pPr>
        <w:adjustRightInd w:val="0"/>
        <w:snapToGrid w:val="0"/>
        <w:spacing w:line="360" w:lineRule="auto"/>
        <w:rPr>
          <w:rFonts w:hint="eastAsia" w:ascii="仿宋" w:hAnsi="仿宋" w:eastAsia="仿宋" w:cs="仿宋"/>
          <w:sz w:val="24"/>
          <w:highlight w:val="none"/>
          <w:shd w:val="clear" w:color="auto" w:fill="FFFFFF"/>
        </w:rPr>
      </w:pPr>
      <w:r>
        <w:rPr>
          <w:rFonts w:hint="eastAsia" w:ascii="仿宋" w:hAnsi="仿宋" w:eastAsia="仿宋" w:cs="仿宋"/>
          <w:sz w:val="24"/>
          <w:highlight w:val="none"/>
        </w:rPr>
        <w:t>9.1</w:t>
      </w:r>
      <w:r>
        <w:rPr>
          <w:rFonts w:hint="eastAsia" w:ascii="仿宋" w:hAnsi="仿宋" w:eastAsia="仿宋" w:cs="仿宋"/>
          <w:sz w:val="24"/>
          <w:highlight w:val="none"/>
          <w:shd w:val="clear" w:color="auto" w:fill="FFFFFF"/>
        </w:rPr>
        <w:t>采购人、采购代理机构可以对已发出的采购文件进行必要的澄清或者修改。澄清或者修改的内容可能影响响应文件编制的，应当在递交首次响应文件截止时间至少5日前，</w:t>
      </w:r>
      <w:r>
        <w:rPr>
          <w:rFonts w:hint="eastAsia" w:ascii="仿宋" w:hAnsi="仿宋" w:eastAsia="仿宋" w:cs="仿宋"/>
          <w:sz w:val="24"/>
          <w:highlight w:val="none"/>
        </w:rPr>
        <w:t>在原公告发布媒体上发布变更公告</w:t>
      </w:r>
      <w:r>
        <w:rPr>
          <w:rFonts w:hint="eastAsia" w:ascii="仿宋" w:hAnsi="仿宋" w:eastAsia="仿宋" w:cs="仿宋"/>
          <w:sz w:val="24"/>
          <w:highlight w:val="none"/>
          <w:shd w:val="clear" w:color="auto" w:fill="FFFFFF"/>
        </w:rPr>
        <w:t>，以书面形式通知所有接收采购文件的供应商，不足5日的，应当顺延首次递交响应文件截止时间。</w:t>
      </w:r>
    </w:p>
    <w:p w14:paraId="2CFA64FF">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9.2澄清或者修改的内容为采购文件的组成部分，对所有采购文件的收受人具有约束力。供应商在收到上述通知后，应及时向采购代理机构回函确认。</w:t>
      </w:r>
    </w:p>
    <w:p w14:paraId="62C00FA9">
      <w:pPr>
        <w:pStyle w:val="3"/>
        <w:adjustRightInd w:val="0"/>
        <w:snapToGrid w:val="0"/>
        <w:spacing w:beforeLines="100" w:afterLines="50" w:line="360" w:lineRule="auto"/>
        <w:jc w:val="center"/>
        <w:rPr>
          <w:rFonts w:hint="eastAsia" w:ascii="仿宋" w:hAnsi="仿宋" w:eastAsia="仿宋" w:cs="仿宋"/>
          <w:szCs w:val="32"/>
          <w:highlight w:val="none"/>
        </w:rPr>
      </w:pPr>
      <w:bookmarkStart w:id="56" w:name="_Toc533340142"/>
      <w:bookmarkStart w:id="57" w:name="_Toc4485621"/>
      <w:r>
        <w:rPr>
          <w:rFonts w:hint="eastAsia" w:ascii="仿宋" w:hAnsi="仿宋" w:eastAsia="仿宋" w:cs="仿宋"/>
          <w:sz w:val="24"/>
          <w:highlight w:val="none"/>
        </w:rPr>
        <w:br w:type="page"/>
      </w:r>
      <w:r>
        <w:rPr>
          <w:rFonts w:hint="eastAsia" w:ascii="仿宋" w:hAnsi="仿宋" w:eastAsia="仿宋" w:cs="仿宋"/>
          <w:szCs w:val="32"/>
          <w:highlight w:val="none"/>
        </w:rPr>
        <w:t>四 响应文件的编制</w:t>
      </w:r>
      <w:bookmarkEnd w:id="56"/>
      <w:bookmarkEnd w:id="57"/>
    </w:p>
    <w:p w14:paraId="139A45CE">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bCs/>
          <w:sz w:val="24"/>
          <w:highlight w:val="none"/>
        </w:rPr>
        <w:t>10.</w:t>
      </w:r>
      <w:r>
        <w:rPr>
          <w:rFonts w:hint="eastAsia" w:ascii="仿宋" w:hAnsi="仿宋" w:eastAsia="仿宋" w:cs="仿宋"/>
          <w:b/>
          <w:sz w:val="24"/>
          <w:highlight w:val="none"/>
        </w:rPr>
        <w:t>响应范围</w:t>
      </w:r>
    </w:p>
    <w:p w14:paraId="39DCC4D0">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10.1项目有分包的，供应商可对采购文件其中某一个分包或几个分包进行响应。</w:t>
      </w:r>
    </w:p>
    <w:p w14:paraId="01F5DFF3">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★10.2供应商应当对所响应分包在竞争性磋商文件中“图纸、技术要求及工程量清单”所列的全部内容进行响应，如仅响应分包中某一部分内容，该响应将被认定为</w:t>
      </w:r>
      <w:r>
        <w:rPr>
          <w:rFonts w:hint="eastAsia" w:ascii="仿宋" w:hAnsi="仿宋" w:eastAsia="仿宋" w:cs="仿宋"/>
          <w:b/>
          <w:bCs/>
          <w:sz w:val="24"/>
          <w:highlight w:val="none"/>
        </w:rPr>
        <w:t>无效响应</w:t>
      </w:r>
      <w:r>
        <w:rPr>
          <w:rFonts w:hint="eastAsia" w:ascii="仿宋" w:hAnsi="仿宋" w:eastAsia="仿宋" w:cs="仿宋"/>
          <w:sz w:val="24"/>
          <w:highlight w:val="none"/>
        </w:rPr>
        <w:t>。</w:t>
      </w:r>
    </w:p>
    <w:p w14:paraId="3AACD782">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★10.3响应文件必须对竞争性磋商文件有关工期、响应有效期、质量要求等实质性内容作出响应。</w:t>
      </w:r>
    </w:p>
    <w:p w14:paraId="7C020473">
      <w:pPr>
        <w:adjustRightInd w:val="0"/>
        <w:snapToGrid w:val="0"/>
        <w:spacing w:line="360" w:lineRule="auto"/>
        <w:rPr>
          <w:rStyle w:val="45"/>
          <w:rFonts w:hint="eastAsia" w:ascii="仿宋" w:hAnsi="仿宋" w:eastAsia="仿宋" w:cs="仿宋"/>
          <w:sz w:val="24"/>
          <w:szCs w:val="24"/>
          <w:highlight w:val="none"/>
        </w:rPr>
      </w:pPr>
      <w:r>
        <w:rPr>
          <w:rFonts w:hint="eastAsia" w:ascii="仿宋" w:hAnsi="仿宋" w:eastAsia="仿宋" w:cs="仿宋"/>
          <w:sz w:val="24"/>
          <w:highlight w:val="none"/>
        </w:rPr>
        <w:t>★10.4无论采购文件第三章图纸、技术要求及工程量清单中是否要求，供应商所响应工程均应符合国家强制性标准。</w:t>
      </w:r>
    </w:p>
    <w:p w14:paraId="00DD0723">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11.响应文件构成</w:t>
      </w:r>
    </w:p>
    <w:p w14:paraId="11D343BC">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11.1供应商应完整地按采购文件提供的响应文件格式及要求编写响应文件。采购文件提供标准格式的按标准格式填列，未提供标准格式的可自行拟定。响应文件应包括资格证明文件、符合性证明文件、其他材料三部分。具体详见第二章 响应文件内容及格式。</w:t>
      </w:r>
    </w:p>
    <w:p w14:paraId="102A44BA">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11.2供应商应将响应文件分为“明标分册”与“暗标分册”。其中，“明标分册”主要包含响应函、响应报价明细表、资质证书、业绩证明材料、项目管理机构资质证明等涉及供应商直接标识信息的内容，以及货物的产品规格性能说明、技术参数偏离表等与产品特性直接相关的技术内容；“暗标分册”主要包含项目施工组织设计等内容。具体详见供应商须知前附表11.2款。</w:t>
      </w:r>
    </w:p>
    <w:p w14:paraId="3E0C22E4">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★11.3采用“暗标盲评”评审的，暗标分册响应文件编制应满足下列要求：</w:t>
      </w:r>
    </w:p>
    <w:p w14:paraId="62AFF6EF">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1）采用A4规格纸张，纸张方向为纵向，段落采用单倍行距，“文档网格”设置为“无网格”，对齐方式两端对齐，大纲级别正文文本，左侧、右侧缩进0个字符，首行缩进2个字符，段前、段后0行。编辑软件可采用Microsoft Word 2010及以上版本或WPS 2013版本及以上版本。</w:t>
      </w:r>
    </w:p>
    <w:p w14:paraId="15BA5A35">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（2）标题（包括章、节、条、款、项）、正文要求：采用A4规格纸张，文字为黑色小四号宋体，标题可加粗。</w:t>
      </w:r>
    </w:p>
    <w:p w14:paraId="7943603C">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3）图表要求：图表应尽可能采用A4规格白色底色，对于比较大的图表可使用A3规格白色底色。图表中的文字采用黑色，字体、字号不限（不包括纯表格，纯表格中文字要求同（2）正文要求且无需首行缩进）。图表（包括框图、流程图、结构图等，不包括纯表格）内容需转换为“图片”格式插入到文件对应位置上。</w:t>
      </w:r>
    </w:p>
    <w:p w14:paraId="3DD7CF43">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（4）禁止设置页眉、页脚（包括页码），仅可设置暗标分册标签。</w:t>
      </w:r>
    </w:p>
    <w:p w14:paraId="320B87AE">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（5）不允许涂改或删除痕迹，不允许字体涂色。</w:t>
      </w:r>
    </w:p>
    <w:p w14:paraId="7ACE46D2">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（6）任何情况下，</w:t>
      </w:r>
      <w:bookmarkStart w:id="58" w:name="OLE_LINK11"/>
      <w:r>
        <w:rPr>
          <w:rFonts w:hint="eastAsia" w:ascii="仿宋" w:hAnsi="仿宋" w:eastAsia="仿宋" w:cs="仿宋"/>
          <w:sz w:val="24"/>
          <w:highlight w:val="none"/>
        </w:rPr>
        <w:t>暗标分册</w:t>
      </w:r>
      <w:bookmarkEnd w:id="58"/>
      <w:r>
        <w:rPr>
          <w:rFonts w:hint="eastAsia" w:ascii="仿宋" w:hAnsi="仿宋" w:eastAsia="仿宋" w:cs="仿宋"/>
          <w:sz w:val="24"/>
          <w:highlight w:val="none"/>
        </w:rPr>
        <w:t>中不得出现投标人的名称和其他可以识别投标人身份的字符、徽标、人员名称等以及雷同性标记内容。</w:t>
      </w:r>
    </w:p>
    <w:p w14:paraId="2DAC0237">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（7）签章仅可放置于分册首页，其余页面严禁出现单位信息、印章痕迹；辽宁政府采购网将自动屏蔽首页内容，评审不予展示。</w:t>
      </w:r>
    </w:p>
    <w:p w14:paraId="41D3C376">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11.4样品要求详见供应商须知表11.4条。</w:t>
      </w:r>
    </w:p>
    <w:p w14:paraId="50D17763">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★12.响应报价</w:t>
      </w:r>
    </w:p>
    <w:p w14:paraId="71C9D370">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12.1所有响应均按供应商须知表12.1条中要求货币进行报价。供应商的响应报价应遵守《中华人民共和国价格法》。同时，根据《中华人民共和国政府采购法》第三条的规定，为保证公平竞争，如有采购主体部分的赠与行为，其响应文件将被认定为</w:t>
      </w:r>
      <w:r>
        <w:rPr>
          <w:rFonts w:hint="eastAsia" w:ascii="仿宋" w:hAnsi="仿宋" w:eastAsia="仿宋" w:cs="仿宋"/>
          <w:b/>
          <w:sz w:val="24"/>
          <w:highlight w:val="none"/>
        </w:rPr>
        <w:t>无效响应。</w:t>
      </w:r>
    </w:p>
    <w:p w14:paraId="0B4FF895">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12.2本工程采用工程量清单计价，供应商应按第三章中“工程量清单编制说明及响应报价说明”的要求进行报价。</w:t>
      </w:r>
    </w:p>
    <w:p w14:paraId="16652147">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12.3供应商在响应文件递交截止时间前，若修改响应函中的响应总报价，应同时修改“已标价工程量清单”中的相应报价。</w:t>
      </w:r>
    </w:p>
    <w:p w14:paraId="602A06CB">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12.4要求只能有一个报价。采购人不接受具有附加条件的报价。</w:t>
      </w:r>
    </w:p>
    <w:p w14:paraId="0759F755">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12.5除非采购文件另有规定，报价原则上精确到小数点后两位。</w:t>
      </w:r>
    </w:p>
    <w:p w14:paraId="1BBB7459">
      <w:pPr>
        <w:adjustRightInd w:val="0"/>
        <w:snapToGrid w:val="0"/>
        <w:spacing w:line="360" w:lineRule="auto"/>
        <w:jc w:val="left"/>
        <w:rPr>
          <w:rFonts w:hint="eastAsia" w:ascii="仿宋" w:hAnsi="仿宋" w:eastAsia="仿宋" w:cs="仿宋"/>
          <w:b/>
          <w:sz w:val="24"/>
          <w:highlight w:val="none"/>
        </w:rPr>
      </w:pPr>
      <w:r>
        <w:rPr>
          <w:rFonts w:hint="eastAsia" w:ascii="仿宋" w:hAnsi="仿宋" w:eastAsia="仿宋" w:cs="仿宋"/>
          <w:b/>
          <w:sz w:val="24"/>
          <w:highlight w:val="none"/>
        </w:rPr>
        <w:t>★13.磋商保证金</w:t>
      </w:r>
    </w:p>
    <w:p w14:paraId="29BDBBF3">
      <w:pPr>
        <w:adjustRightInd w:val="0"/>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13.1供应商应提交供应商须知表13.1条中规定的磋商保证金，并作为其响应文件的一部分。</w:t>
      </w:r>
    </w:p>
    <w:p w14:paraId="6791B00D">
      <w:pPr>
        <w:adjustRightInd w:val="0"/>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13.2磋商保证金缴纳人、采购文件领取人、提交响应文件登记人和供应商必须为同一组织机构或联合体内不同成员单位，否则将视同未按采购文件规定交纳保证金。</w:t>
      </w:r>
    </w:p>
    <w:p w14:paraId="6CAF17E4">
      <w:pPr>
        <w:adjustRightInd w:val="0"/>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13.3供应商存在下列情形的，磋商保证金不予退还：</w:t>
      </w:r>
    </w:p>
    <w:p w14:paraId="649D3B2A">
      <w:pPr>
        <w:adjustRightInd w:val="0"/>
        <w:snapToGrid w:val="0"/>
        <w:spacing w:line="360" w:lineRule="auto"/>
        <w:ind w:firstLine="249" w:firstLineChars="104"/>
        <w:jc w:val="left"/>
        <w:rPr>
          <w:rFonts w:hint="eastAsia" w:ascii="仿宋" w:hAnsi="仿宋" w:eastAsia="仿宋" w:cs="仿宋"/>
          <w:sz w:val="24"/>
          <w:highlight w:val="none"/>
        </w:rPr>
      </w:pPr>
      <w:r>
        <w:rPr>
          <w:rFonts w:hint="eastAsia" w:ascii="仿宋" w:hAnsi="仿宋" w:eastAsia="仿宋" w:cs="仿宋"/>
          <w:sz w:val="24"/>
          <w:highlight w:val="none"/>
        </w:rPr>
        <w:t>（1）供应商在提交响应文件截止时间后撤回响应文件的；</w:t>
      </w:r>
    </w:p>
    <w:p w14:paraId="069B7088">
      <w:pPr>
        <w:adjustRightInd w:val="0"/>
        <w:snapToGrid w:val="0"/>
        <w:spacing w:line="360" w:lineRule="auto"/>
        <w:ind w:firstLine="249" w:firstLineChars="104"/>
        <w:jc w:val="left"/>
        <w:rPr>
          <w:rFonts w:hint="eastAsia" w:ascii="仿宋" w:hAnsi="仿宋" w:eastAsia="仿宋" w:cs="仿宋"/>
          <w:sz w:val="24"/>
          <w:highlight w:val="none"/>
        </w:rPr>
      </w:pPr>
      <w:r>
        <w:rPr>
          <w:rFonts w:hint="eastAsia" w:ascii="仿宋" w:hAnsi="仿宋" w:eastAsia="仿宋" w:cs="仿宋"/>
          <w:sz w:val="24"/>
          <w:highlight w:val="none"/>
        </w:rPr>
        <w:t>（2）供应商在响应文件中提供虚假材料的；</w:t>
      </w:r>
    </w:p>
    <w:p w14:paraId="0776BEB5">
      <w:pPr>
        <w:adjustRightInd w:val="0"/>
        <w:snapToGrid w:val="0"/>
        <w:spacing w:line="360" w:lineRule="auto"/>
        <w:ind w:firstLine="249" w:firstLineChars="104"/>
        <w:jc w:val="left"/>
        <w:rPr>
          <w:rFonts w:hint="eastAsia" w:ascii="仿宋" w:hAnsi="仿宋" w:eastAsia="仿宋" w:cs="仿宋"/>
          <w:sz w:val="24"/>
          <w:highlight w:val="none"/>
        </w:rPr>
      </w:pPr>
      <w:r>
        <w:rPr>
          <w:rFonts w:hint="eastAsia" w:ascii="仿宋" w:hAnsi="仿宋" w:eastAsia="仿宋" w:cs="仿宋"/>
          <w:sz w:val="24"/>
          <w:highlight w:val="none"/>
        </w:rPr>
        <w:t>（3）成交后除因不可抗力或者采购文件认可的情形以外，不按本须知第36条的规定与采购人签订合同的；</w:t>
      </w:r>
    </w:p>
    <w:p w14:paraId="1D7D8AA9">
      <w:pPr>
        <w:adjustRightInd w:val="0"/>
        <w:snapToGrid w:val="0"/>
        <w:spacing w:line="360" w:lineRule="auto"/>
        <w:ind w:firstLine="249" w:firstLineChars="104"/>
        <w:jc w:val="left"/>
        <w:rPr>
          <w:rFonts w:hint="eastAsia" w:ascii="仿宋" w:hAnsi="仿宋" w:eastAsia="仿宋" w:cs="仿宋"/>
          <w:sz w:val="24"/>
          <w:highlight w:val="none"/>
        </w:rPr>
      </w:pPr>
      <w:r>
        <w:rPr>
          <w:rFonts w:hint="eastAsia" w:ascii="仿宋" w:hAnsi="仿宋" w:eastAsia="仿宋" w:cs="仿宋"/>
          <w:sz w:val="24"/>
          <w:highlight w:val="none"/>
        </w:rPr>
        <w:t>（4）成交后不按本须知第37条的规定提交履约保证金的；</w:t>
      </w:r>
    </w:p>
    <w:p w14:paraId="402A703E">
      <w:pPr>
        <w:adjustRightInd w:val="0"/>
        <w:snapToGrid w:val="0"/>
        <w:spacing w:line="360" w:lineRule="auto"/>
        <w:ind w:firstLine="249" w:firstLineChars="104"/>
        <w:jc w:val="left"/>
        <w:rPr>
          <w:rFonts w:hint="eastAsia" w:ascii="仿宋" w:hAnsi="仿宋" w:eastAsia="仿宋" w:cs="仿宋"/>
          <w:sz w:val="24"/>
          <w:highlight w:val="none"/>
        </w:rPr>
      </w:pPr>
      <w:r>
        <w:rPr>
          <w:rFonts w:hint="eastAsia" w:ascii="仿宋" w:hAnsi="仿宋" w:eastAsia="仿宋" w:cs="仿宋"/>
          <w:sz w:val="24"/>
          <w:highlight w:val="none"/>
        </w:rPr>
        <w:t>（5）成交后不按本须知第38条的规定缴纳采购代理服务费的；</w:t>
      </w:r>
    </w:p>
    <w:p w14:paraId="24E57DF5">
      <w:pPr>
        <w:adjustRightInd w:val="0"/>
        <w:snapToGrid w:val="0"/>
        <w:spacing w:line="360" w:lineRule="auto"/>
        <w:ind w:firstLine="249" w:firstLineChars="104"/>
        <w:jc w:val="left"/>
        <w:rPr>
          <w:rFonts w:hint="eastAsia" w:ascii="仿宋" w:hAnsi="仿宋" w:eastAsia="仿宋" w:cs="仿宋"/>
          <w:sz w:val="24"/>
          <w:highlight w:val="none"/>
        </w:rPr>
      </w:pPr>
      <w:r>
        <w:rPr>
          <w:rFonts w:hint="eastAsia" w:ascii="仿宋" w:hAnsi="仿宋" w:eastAsia="仿宋" w:cs="仿宋"/>
          <w:sz w:val="24"/>
          <w:highlight w:val="none"/>
        </w:rPr>
        <w:t>（6）采购文件规定的其他保证金不予退还情形或存在其他违法违规行为的。</w:t>
      </w:r>
    </w:p>
    <w:p w14:paraId="54F0BD05">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13.4联合体参加采购活动的，可以由联合体中的一方或者共同提交磋商保证金。以一方名义提交磋商保证金的，对联合体各方均具有约束力。</w:t>
      </w:r>
    </w:p>
    <w:p w14:paraId="38C4F911">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13.5磋商保证金的退还</w:t>
      </w:r>
    </w:p>
    <w:p w14:paraId="68BDA132">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13.5.1成交供应商应在与采购人签订合同之日起5个工作日内，及时联系保证金收受机构办理磋商保证金退还手续。</w:t>
      </w:r>
    </w:p>
    <w:p w14:paraId="010B62D6">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13.5.2未成交供应商的保证金将在成交通知书发出之日暨成交结果公告公布之日起5个工作日内无息退还。供应商应及时联系保证金收受机构办理退还磋商保证金手续。</w:t>
      </w:r>
    </w:p>
    <w:p w14:paraId="2E8C780F">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13.5.3供应商在递交响应文件截止时间前撤回已提交的响应文件的，供应商应自采购人或者采购代理机构收到供应商书面撤回通知之日起5个工作日内，及时联系保证金收受机构办理磋商保证金退还手续。</w:t>
      </w:r>
    </w:p>
    <w:p w14:paraId="6C70D9F2">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13.5.4政府采购担保函不予退回。</w:t>
      </w:r>
    </w:p>
    <w:p w14:paraId="30145EB1">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13.6因供应商自身原因导致无法及时退还的，采购人或采购代理机构将不承担相应责任。</w:t>
      </w:r>
    </w:p>
    <w:p w14:paraId="43CAB0F0">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★14.证明响应标的的合格性和符合采购文件规定的技术文件</w:t>
      </w:r>
    </w:p>
    <w:p w14:paraId="17D8EAF4">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14.1供应商应提交证明文件，证明其响应内容符合采购文件规定。该证明文件是响应文件的一部分。</w:t>
      </w:r>
    </w:p>
    <w:p w14:paraId="47E03DCE">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14.2上款所述的证明文件，可以是文字资料、图纸和数据。</w:t>
      </w:r>
    </w:p>
    <w:p w14:paraId="39D0F039">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★15.响应有效期</w:t>
      </w:r>
    </w:p>
    <w:p w14:paraId="029AD1D4">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15.1响应应在供应商须知表15.1条中规定的响应有效期内保持有效。响应有效期不满足要求的响应，其响应文件将被认定为无效响应。</w:t>
      </w:r>
    </w:p>
    <w:p w14:paraId="6E3D4419">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15.2在特殊情况下，采购人或采购代理机构可根据实际情况，在原响应有效期截止之前，要求供应商延长响应的有效期。接受该要求的供应商将不会被要求和允许修正其响应，且本须知中有关磋商保证金的要求须在延长的有效期内继续有效。供应商可以拒绝延长响应有效期的要求，其磋商保证金将及时无息退还。上述要求和答复都应以书面形式提交。</w:t>
      </w:r>
    </w:p>
    <w:p w14:paraId="3A85D49E">
      <w:pPr>
        <w:adjustRightInd w:val="0"/>
        <w:snapToGrid w:val="0"/>
        <w:spacing w:line="360" w:lineRule="auto"/>
        <w:rPr>
          <w:rFonts w:hint="eastAsia" w:ascii="仿宋" w:hAnsi="仿宋" w:eastAsia="仿宋" w:cs="仿宋"/>
          <w:b/>
          <w:bCs/>
          <w:sz w:val="24"/>
          <w:highlight w:val="none"/>
        </w:rPr>
      </w:pPr>
      <w:bookmarkStart w:id="59" w:name="_Toc533340143"/>
      <w:bookmarkStart w:id="60" w:name="_Toc4485622"/>
      <w:r>
        <w:rPr>
          <w:rFonts w:hint="eastAsia" w:ascii="仿宋" w:hAnsi="仿宋" w:eastAsia="仿宋" w:cs="仿宋"/>
          <w:sz w:val="24"/>
          <w:highlight w:val="none"/>
        </w:rPr>
        <w:t>★</w:t>
      </w:r>
      <w:r>
        <w:rPr>
          <w:rFonts w:hint="eastAsia" w:ascii="仿宋" w:hAnsi="仿宋" w:eastAsia="仿宋" w:cs="仿宋"/>
          <w:b/>
          <w:bCs/>
          <w:sz w:val="24"/>
          <w:highlight w:val="none"/>
        </w:rPr>
        <w:t>16.响应文件的签署</w:t>
      </w:r>
    </w:p>
    <w:p w14:paraId="53779F7D">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响应文件需按照采购文件规定的格式内容使用电子签章或盖章，并按采购文件规定的响应文件格式进行签章。（供应商应在辽宁政府采购网CA认证平台下载签章工具或向CA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45DAE161">
      <w:pPr>
        <w:pStyle w:val="3"/>
        <w:adjustRightInd w:val="0"/>
        <w:snapToGrid w:val="0"/>
        <w:spacing w:beforeLines="100" w:afterLines="50" w:line="360" w:lineRule="auto"/>
        <w:jc w:val="center"/>
        <w:rPr>
          <w:rFonts w:hint="eastAsia" w:ascii="仿宋" w:hAnsi="仿宋" w:eastAsia="仿宋" w:cs="仿宋"/>
          <w:szCs w:val="32"/>
          <w:highlight w:val="none"/>
        </w:rPr>
      </w:pPr>
      <w:r>
        <w:rPr>
          <w:rFonts w:hint="eastAsia" w:ascii="仿宋" w:hAnsi="仿宋" w:eastAsia="仿宋" w:cs="仿宋"/>
          <w:sz w:val="24"/>
          <w:highlight w:val="none"/>
        </w:rPr>
        <w:br w:type="page"/>
      </w:r>
      <w:r>
        <w:rPr>
          <w:rFonts w:hint="eastAsia" w:ascii="仿宋" w:hAnsi="仿宋" w:eastAsia="仿宋" w:cs="仿宋"/>
          <w:szCs w:val="32"/>
          <w:highlight w:val="none"/>
        </w:rPr>
        <w:t>五 响应文件的递交</w:t>
      </w:r>
      <w:bookmarkEnd w:id="59"/>
      <w:bookmarkEnd w:id="60"/>
    </w:p>
    <w:p w14:paraId="48AFACCE">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17.加密备份响应文件的递交</w:t>
      </w:r>
    </w:p>
    <w:p w14:paraId="0BC35AB1">
      <w:pPr>
        <w:adjustRightInd w:val="0"/>
        <w:snapToGrid w:val="0"/>
        <w:spacing w:line="360" w:lineRule="auto"/>
        <w:rPr>
          <w:rFonts w:hint="eastAsia" w:ascii="仿宋" w:hAnsi="仿宋" w:eastAsia="仿宋" w:cs="仿宋"/>
          <w:bCs/>
          <w:sz w:val="24"/>
          <w:highlight w:val="none"/>
        </w:rPr>
      </w:pPr>
      <w:bookmarkStart w:id="61" w:name="_Hlk227658757"/>
      <w:r>
        <w:rPr>
          <w:rFonts w:hint="eastAsia" w:ascii="仿宋" w:hAnsi="仿宋" w:eastAsia="仿宋" w:cs="仿宋"/>
          <w:bCs/>
          <w:sz w:val="24"/>
          <w:highlight w:val="none"/>
        </w:rPr>
        <w:t>★17.1供应商应按供应商须知表17.1的要求自愿递交加密备份响应文件。</w:t>
      </w:r>
      <w:bookmarkStart w:id="62" w:name="_Hlk227593461"/>
      <w:r>
        <w:rPr>
          <w:rFonts w:hint="eastAsia" w:ascii="仿宋" w:hAnsi="仿宋" w:eastAsia="仿宋" w:cs="仿宋"/>
          <w:bCs/>
          <w:sz w:val="24"/>
          <w:highlight w:val="none"/>
        </w:rPr>
        <w:t>如供应商选择现场递交，应将加密备份响应文件密封，并进行包封。</w:t>
      </w:r>
      <w:bookmarkEnd w:id="62"/>
      <w:r>
        <w:rPr>
          <w:rFonts w:hint="eastAsia" w:ascii="仿宋" w:hAnsi="仿宋" w:eastAsia="仿宋" w:cs="仿宋"/>
          <w:bCs/>
          <w:sz w:val="24"/>
          <w:highlight w:val="none"/>
        </w:rPr>
        <w:t>前附表11.2款规定采用“暗标盲评”评审的，需将明标分册及暗标分册加密备份响应文件分别单独密封、单独包封。</w:t>
      </w:r>
      <w:bookmarkStart w:id="63" w:name="_Hlk227593499"/>
      <w:r>
        <w:rPr>
          <w:rFonts w:hint="eastAsia" w:ascii="仿宋" w:hAnsi="仿宋" w:eastAsia="仿宋" w:cs="仿宋"/>
          <w:bCs/>
          <w:sz w:val="24"/>
          <w:highlight w:val="none"/>
        </w:rPr>
        <w:t>具体如下：</w:t>
      </w:r>
    </w:p>
    <w:p w14:paraId="64671051">
      <w:pPr>
        <w:adjustRightInd w:val="0"/>
        <w:snapToGrid w:val="0"/>
        <w:spacing w:line="360" w:lineRule="auto"/>
        <w:ind w:firstLine="240" w:firstLineChars="100"/>
        <w:rPr>
          <w:rFonts w:hint="eastAsia" w:ascii="仿宋" w:hAnsi="仿宋" w:eastAsia="仿宋" w:cs="仿宋"/>
          <w:bCs/>
          <w:sz w:val="24"/>
          <w:highlight w:val="none"/>
        </w:rPr>
      </w:pPr>
      <w:r>
        <w:rPr>
          <w:rFonts w:hint="eastAsia" w:ascii="仿宋" w:hAnsi="仿宋" w:eastAsia="仿宋" w:cs="仿宋"/>
          <w:bCs/>
          <w:sz w:val="24"/>
          <w:highlight w:val="none"/>
        </w:rPr>
        <w:t>明标分册包装封皮：</w:t>
      </w:r>
    </w:p>
    <w:bookmarkEnd w:id="63"/>
    <w:p w14:paraId="6CF14288">
      <w:pPr>
        <w:adjustRightInd w:val="0"/>
        <w:snapToGrid w:val="0"/>
        <w:spacing w:line="360" w:lineRule="auto"/>
        <w:ind w:firstLine="249" w:firstLineChars="104"/>
        <w:rPr>
          <w:rFonts w:hint="eastAsia" w:ascii="仿宋" w:hAnsi="仿宋" w:eastAsia="仿宋" w:cs="仿宋"/>
          <w:bCs/>
          <w:sz w:val="24"/>
          <w:highlight w:val="none"/>
        </w:rPr>
      </w:pPr>
      <w:r>
        <w:rPr>
          <w:rFonts w:hint="eastAsia" w:ascii="仿宋" w:hAnsi="仿宋" w:eastAsia="仿宋" w:cs="仿宋"/>
          <w:bCs/>
          <w:sz w:val="24"/>
          <w:highlight w:val="none"/>
        </w:rPr>
        <w:t>（1）注明项目名称、项目编号、包组编号、供应商名称。</w:t>
      </w:r>
    </w:p>
    <w:p w14:paraId="522AD1E9">
      <w:pPr>
        <w:adjustRightInd w:val="0"/>
        <w:snapToGrid w:val="0"/>
        <w:spacing w:line="360" w:lineRule="auto"/>
        <w:ind w:firstLine="249" w:firstLineChars="104"/>
        <w:rPr>
          <w:rFonts w:hint="eastAsia" w:ascii="仿宋" w:hAnsi="仿宋" w:eastAsia="仿宋" w:cs="仿宋"/>
          <w:bCs/>
          <w:sz w:val="24"/>
          <w:highlight w:val="none"/>
        </w:rPr>
      </w:pPr>
      <w:r>
        <w:rPr>
          <w:rFonts w:hint="eastAsia" w:ascii="仿宋" w:hAnsi="仿宋" w:eastAsia="仿宋" w:cs="仿宋"/>
          <w:bCs/>
          <w:sz w:val="24"/>
          <w:highlight w:val="none"/>
        </w:rPr>
        <w:t>（2）加盖供应商单位公章。</w:t>
      </w:r>
    </w:p>
    <w:p w14:paraId="7EE4D13E">
      <w:pPr>
        <w:adjustRightInd w:val="0"/>
        <w:snapToGrid w:val="0"/>
        <w:spacing w:line="360" w:lineRule="auto"/>
        <w:ind w:firstLine="240" w:firstLineChars="100"/>
        <w:rPr>
          <w:rFonts w:hint="eastAsia" w:ascii="仿宋" w:hAnsi="仿宋" w:eastAsia="仿宋" w:cs="仿宋"/>
          <w:bCs/>
          <w:sz w:val="24"/>
          <w:highlight w:val="none"/>
        </w:rPr>
      </w:pPr>
      <w:r>
        <w:rPr>
          <w:rFonts w:hint="eastAsia" w:ascii="仿宋" w:hAnsi="仿宋" w:eastAsia="仿宋" w:cs="仿宋"/>
          <w:bCs/>
          <w:sz w:val="24"/>
          <w:highlight w:val="none"/>
        </w:rPr>
        <w:t>暗标分册包装封皮：</w:t>
      </w:r>
    </w:p>
    <w:p w14:paraId="578DF32E">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注明项目名称、项目编号、包组编号。</w:t>
      </w:r>
    </w:p>
    <w:bookmarkEnd w:id="61"/>
    <w:p w14:paraId="3802A37A">
      <w:pPr>
        <w:adjustRightInd w:val="0"/>
        <w:snapToGrid w:val="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★17.2供应商自愿递交的加密备份响应文件的，应在供应商须知表18.1规定的递交响应文件截止时间前递交。同时递交《响应文件一致性承诺函》，承诺备份文件与电子评审系统中上传的响应文件内容、格式一致。</w:t>
      </w:r>
    </w:p>
    <w:p w14:paraId="50C809EB">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如供应商未在规定时间内递交加密备份文件，责任由供应商自行承担。</w:t>
      </w:r>
    </w:p>
    <w:p w14:paraId="341FF79B">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bCs/>
          <w:sz w:val="24"/>
          <w:highlight w:val="none"/>
        </w:rPr>
        <w:t>★17.3启用备份文件时，供应商未按供应商须知表17.1款中的规定提交加密备份响应文件的，其响应将被认定为无效响应。</w:t>
      </w:r>
    </w:p>
    <w:p w14:paraId="78CD9362">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★18.递交响应文件截止</w:t>
      </w:r>
    </w:p>
    <w:p w14:paraId="4CF5655B">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18.1供应商应在供应商须知表18.1条中规定的截止时间前，将响应文件递交到供应商须知表18.1条中规定的地点。</w:t>
      </w:r>
    </w:p>
    <w:p w14:paraId="2BADFE0D">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18.2采购人和采购代理机构有权按本须知的规定，延迟递交响应文件截止时间。在此情况下，采购人、采购代理机构和供应商受递交响应文件截止时间制约的所有权利和义务均应延长至新的截止时间。</w:t>
      </w:r>
    </w:p>
    <w:p w14:paraId="37F52EF2">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★19.响应文件的接收、修改与撤回</w:t>
      </w:r>
    </w:p>
    <w:p w14:paraId="0ECA13C6">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sz w:val="24"/>
          <w:highlight w:val="none"/>
        </w:rPr>
        <w:t>19.1在递交响应文件截止时间后送达的响应文件，采购人和采购代理机构将</w:t>
      </w:r>
      <w:r>
        <w:rPr>
          <w:rFonts w:hint="eastAsia" w:ascii="仿宋" w:hAnsi="仿宋" w:eastAsia="仿宋" w:cs="仿宋"/>
          <w:b/>
          <w:sz w:val="24"/>
          <w:highlight w:val="none"/>
        </w:rPr>
        <w:t>拒绝接收。</w:t>
      </w:r>
    </w:p>
    <w:p w14:paraId="73217374">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19.2采购人或者采购代理机构收到响应文件后，应当如实记载响应文件的送达时间和密封情况。</w:t>
      </w:r>
    </w:p>
    <w:p w14:paraId="51D48FE9">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19.3供应商应当在递交响应文件截止时间前完成响应文件的传输递交，并可以补充、修改或者撤回响应文件。递交响应文件截止时间前未完成响应文件传输的，视为撤回响应文件。</w:t>
      </w:r>
    </w:p>
    <w:p w14:paraId="4C6EADA5">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19.4递交加密备份响应文件以后，如果供应商要进行修改或撤回的，须提出书面申请并在递交响应文件截止时间前按照供应商须知表17.1款中的规定进行递交。采购人和采购代理机构将予以接收，并视为响应文件的组成部分。否则，加密备份响应文件的修改或撤回行为无效。</w:t>
      </w:r>
    </w:p>
    <w:p w14:paraId="3B7D197F">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19.5在提交响应文件截止时间之后，除需提交最后报价外，供应商不得对其响应文件做任何修改。</w:t>
      </w:r>
    </w:p>
    <w:p w14:paraId="541111DE">
      <w:pPr>
        <w:pStyle w:val="3"/>
        <w:adjustRightInd w:val="0"/>
        <w:snapToGrid w:val="0"/>
        <w:spacing w:beforeLines="100" w:after="0" w:line="360" w:lineRule="auto"/>
        <w:jc w:val="center"/>
        <w:rPr>
          <w:rFonts w:hint="eastAsia" w:ascii="仿宋" w:hAnsi="仿宋" w:eastAsia="仿宋" w:cs="仿宋"/>
          <w:szCs w:val="32"/>
          <w:highlight w:val="none"/>
        </w:rPr>
      </w:pPr>
      <w:bookmarkStart w:id="64" w:name="_Toc4485623"/>
      <w:bookmarkStart w:id="65" w:name="_Toc533340144"/>
      <w:r>
        <w:rPr>
          <w:rFonts w:hint="eastAsia" w:ascii="仿宋" w:hAnsi="仿宋" w:eastAsia="仿宋" w:cs="仿宋"/>
          <w:sz w:val="24"/>
          <w:highlight w:val="none"/>
        </w:rPr>
        <w:br w:type="page"/>
      </w:r>
      <w:r>
        <w:rPr>
          <w:rFonts w:hint="eastAsia" w:ascii="仿宋" w:hAnsi="仿宋" w:eastAsia="仿宋" w:cs="仿宋"/>
          <w:szCs w:val="32"/>
          <w:highlight w:val="none"/>
        </w:rPr>
        <w:t>六 磋商及评审</w:t>
      </w:r>
      <w:bookmarkEnd w:id="64"/>
      <w:bookmarkEnd w:id="65"/>
    </w:p>
    <w:p w14:paraId="68D53AB7">
      <w:pPr>
        <w:adjustRightInd w:val="0"/>
        <w:snapToGrid w:val="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★20.磋商会议</w:t>
      </w:r>
    </w:p>
    <w:p w14:paraId="4F6DB2F8">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20.1采购人和采购代理机构将按供应商须知表20.1款中规定的时间和地点组织磋商会议并邀请所有供应商代表参加。</w:t>
      </w:r>
    </w:p>
    <w:p w14:paraId="5E86E4C4">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供应商不足3家的，不得继续磋商。</w:t>
      </w:r>
    </w:p>
    <w:p w14:paraId="19C5453A">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20.2磋商会议时，由供应商对电子响应文件进行解密。本项目的解密时间规定见供应商须知表20.2条。</w:t>
      </w:r>
    </w:p>
    <w:p w14:paraId="3D6545AB">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20.3供应商在电子评审活动中出现以下情形的，应按如下规定进行处理：</w:t>
      </w:r>
    </w:p>
    <w:p w14:paraId="1E38DD85">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（1）因供应商原因造成响应文件未解密的；</w:t>
      </w:r>
    </w:p>
    <w:p w14:paraId="6EBC193D">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（2）因供应商自用设备原因造成的未在规定时间内解密、上传文件或最后报价等问题影响电子评审的；</w:t>
      </w:r>
    </w:p>
    <w:p w14:paraId="75570823">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（3）因供应商原因未对文件校验造成信息缺失、文件内容或格式不正确以及加密备份响应文件不符合要求等问题影响评审的。</w:t>
      </w:r>
    </w:p>
    <w:p w14:paraId="36BBFFDC">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出现前款（1）（2）情形的，视为供应商放弃；出现前款（3）情形的，由供应商自行承担相应责任。</w:t>
      </w:r>
    </w:p>
    <w:p w14:paraId="731F182C">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20.4供应商代表对磋商会议过程有疑义，以及认为采购人、采购代理机构相关工作人员有需要回避的情形的，应当场提出询问或者回避申请。</w:t>
      </w:r>
    </w:p>
    <w:p w14:paraId="448FF70A">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★21.组建磋商小组</w:t>
      </w:r>
    </w:p>
    <w:p w14:paraId="05491C4B">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21.1按照《政府采购竞争性磋商采购方式管理暂行办法》有关规定依法组建磋商小组，负责本项目评审工作。</w:t>
      </w:r>
    </w:p>
    <w:p w14:paraId="20D953F3">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21.2磋商小组由采购人代表和评审专家共3人以上单数组成。达到公开招标数额的项目，磋商小组应该由5人以上单数组成。本项目磋商小组组成详见供应商须知表21.2条。</w:t>
      </w:r>
    </w:p>
    <w:p w14:paraId="67D0B433">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★22.资格审查</w:t>
      </w:r>
    </w:p>
    <w:p w14:paraId="782A56D2">
      <w:pPr>
        <w:adjustRightInd w:val="0"/>
        <w:snapToGrid w:val="0"/>
        <w:spacing w:line="360" w:lineRule="auto"/>
        <w:rPr>
          <w:rFonts w:hint="eastAsia" w:ascii="仿宋" w:hAnsi="仿宋" w:eastAsia="仿宋" w:cs="仿宋"/>
          <w:sz w:val="24"/>
          <w:highlight w:val="none"/>
          <w:shd w:val="clear" w:color="auto" w:fill="FFFFFF"/>
        </w:rPr>
      </w:pPr>
      <w:r>
        <w:rPr>
          <w:rFonts w:hint="eastAsia" w:ascii="仿宋" w:hAnsi="仿宋" w:eastAsia="仿宋" w:cs="仿宋"/>
          <w:sz w:val="24"/>
          <w:highlight w:val="none"/>
        </w:rPr>
        <w:t>22.1磋商小组依据法律法规和采购文件中规定的内容，对供应商的资格（提交的资格证明材料）进行审查。未通过资格审查的供应商不能进入下一阶段评审；通过资格审查的供应商不足3家的</w:t>
      </w:r>
      <w:r>
        <w:rPr>
          <w:rFonts w:hint="eastAsia" w:ascii="仿宋" w:hAnsi="仿宋" w:eastAsia="仿宋" w:cs="仿宋"/>
          <w:sz w:val="24"/>
          <w:highlight w:val="none"/>
          <w:shd w:val="clear" w:color="auto" w:fill="FFFFFF"/>
        </w:rPr>
        <w:t>，不得进入下一阶段评审。</w:t>
      </w:r>
    </w:p>
    <w:p w14:paraId="32D11513">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22.2采购人或采购代理机构将在</w:t>
      </w:r>
      <w:bookmarkStart w:id="66" w:name="_Hlk227658792"/>
      <w:r>
        <w:rPr>
          <w:rFonts w:hint="eastAsia" w:ascii="仿宋" w:hAnsi="仿宋" w:eastAsia="仿宋" w:cs="仿宋"/>
          <w:sz w:val="24"/>
          <w:highlight w:val="none"/>
        </w:rPr>
        <w:t>资格审查环节</w:t>
      </w:r>
      <w:bookmarkEnd w:id="66"/>
      <w:r>
        <w:rPr>
          <w:rFonts w:hint="eastAsia" w:ascii="仿宋" w:hAnsi="仿宋" w:eastAsia="仿宋" w:cs="仿宋"/>
          <w:sz w:val="24"/>
          <w:highlight w:val="none"/>
        </w:rPr>
        <w:t>查询供应商的信用记录。供应商存在不良信用记录的，其响应将被认定为</w:t>
      </w:r>
      <w:r>
        <w:rPr>
          <w:rFonts w:hint="eastAsia" w:ascii="仿宋" w:hAnsi="仿宋" w:eastAsia="仿宋" w:cs="仿宋"/>
          <w:b/>
          <w:bCs/>
          <w:sz w:val="24"/>
          <w:highlight w:val="none"/>
        </w:rPr>
        <w:t>无效响应</w:t>
      </w:r>
      <w:r>
        <w:rPr>
          <w:rFonts w:hint="eastAsia" w:ascii="仿宋" w:hAnsi="仿宋" w:eastAsia="仿宋" w:cs="仿宋"/>
          <w:sz w:val="24"/>
          <w:highlight w:val="none"/>
        </w:rPr>
        <w:t>。</w:t>
      </w:r>
    </w:p>
    <w:p w14:paraId="651A2410">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shd w:val="clear" w:color="auto" w:fill="FFFFFF"/>
        </w:rPr>
        <w:t>22.2.1</w:t>
      </w:r>
      <w:r>
        <w:rPr>
          <w:rFonts w:hint="eastAsia" w:ascii="仿宋" w:hAnsi="仿宋" w:eastAsia="仿宋" w:cs="仿宋"/>
          <w:sz w:val="24"/>
          <w:highlight w:val="none"/>
        </w:rPr>
        <w:t>不良信用记录指：供应商在中国政府采购网（www.ccgp.gov.cn）被列入政府采购严重违法失信行为记录名单，或在“信用中国”网站（www.creditchina.gov.cn）被列入失信被执行人、重大税收违法失信主体名单，以及存在《中华人民共和国政府采购法实施条例》第十九条规定的行政处罚记录。</w:t>
      </w:r>
    </w:p>
    <w:p w14:paraId="49B9E089">
      <w:pPr>
        <w:adjustRightInd w:val="0"/>
        <w:snapToGrid w:val="0"/>
        <w:spacing w:line="360" w:lineRule="auto"/>
        <w:ind w:firstLine="480" w:firstLineChars="200"/>
        <w:rPr>
          <w:rFonts w:hint="eastAsia" w:ascii="仿宋" w:hAnsi="仿宋" w:eastAsia="仿宋" w:cs="仿宋"/>
          <w:sz w:val="24"/>
          <w:highlight w:val="none"/>
          <w:shd w:val="clear" w:color="auto" w:fill="FFFFFF"/>
        </w:rPr>
      </w:pPr>
      <w:r>
        <w:rPr>
          <w:rFonts w:hint="eastAsia" w:ascii="仿宋" w:hAnsi="仿宋" w:eastAsia="仿宋" w:cs="仿宋"/>
          <w:sz w:val="24"/>
          <w:highlight w:val="none"/>
        </w:rPr>
        <w:t>以</w:t>
      </w:r>
      <w:r>
        <w:rPr>
          <w:rFonts w:hint="eastAsia" w:ascii="仿宋" w:hAnsi="仿宋" w:eastAsia="仿宋" w:cs="仿宋"/>
          <w:sz w:val="24"/>
          <w:highlight w:val="none"/>
          <w:shd w:val="clear" w:color="auto" w:fill="FFFFFF"/>
        </w:rPr>
        <w:t>联合体形式参加政府采购活动的，联合体任何成员存在以上不良信用记录的，联合体响应文件将被认定为</w:t>
      </w:r>
      <w:r>
        <w:rPr>
          <w:rFonts w:hint="eastAsia" w:ascii="仿宋" w:hAnsi="仿宋" w:eastAsia="仿宋" w:cs="仿宋"/>
          <w:b/>
          <w:bCs/>
          <w:sz w:val="24"/>
          <w:highlight w:val="none"/>
          <w:shd w:val="clear" w:color="auto" w:fill="FFFFFF"/>
        </w:rPr>
        <w:t>无效响应</w:t>
      </w:r>
      <w:r>
        <w:rPr>
          <w:rFonts w:hint="eastAsia" w:ascii="仿宋" w:hAnsi="仿宋" w:eastAsia="仿宋" w:cs="仿宋"/>
          <w:sz w:val="24"/>
          <w:highlight w:val="none"/>
          <w:shd w:val="clear" w:color="auto" w:fill="FFFFFF"/>
        </w:rPr>
        <w:t>。</w:t>
      </w:r>
    </w:p>
    <w:p w14:paraId="2076CAFD">
      <w:pPr>
        <w:adjustRightInd w:val="0"/>
        <w:snapToGrid w:val="0"/>
        <w:spacing w:line="360" w:lineRule="auto"/>
        <w:rPr>
          <w:rFonts w:hint="eastAsia" w:ascii="仿宋" w:hAnsi="仿宋" w:eastAsia="仿宋" w:cs="仿宋"/>
          <w:sz w:val="24"/>
          <w:highlight w:val="none"/>
          <w:shd w:val="clear" w:color="auto" w:fill="FFFFFF"/>
        </w:rPr>
      </w:pPr>
      <w:r>
        <w:rPr>
          <w:rFonts w:hint="eastAsia" w:ascii="仿宋" w:hAnsi="仿宋" w:eastAsia="仿宋" w:cs="仿宋"/>
          <w:sz w:val="24"/>
          <w:highlight w:val="none"/>
        </w:rPr>
        <w:t>22.2.2</w:t>
      </w:r>
      <w:r>
        <w:rPr>
          <w:rFonts w:hint="eastAsia" w:ascii="仿宋" w:hAnsi="仿宋" w:eastAsia="仿宋" w:cs="仿宋"/>
          <w:sz w:val="24"/>
          <w:highlight w:val="none"/>
          <w:shd w:val="clear" w:color="auto" w:fill="FFFFFF"/>
        </w:rPr>
        <w:t>查询及记录方式：采购代理机构经办人将查询网页打印并存档备查。供应商不良信用记录以采购人或采购代理机构查询结果为准。</w:t>
      </w:r>
    </w:p>
    <w:p w14:paraId="36B285E0">
      <w:pPr>
        <w:adjustRightInd w:val="0"/>
        <w:snapToGrid w:val="0"/>
        <w:spacing w:line="360" w:lineRule="auto"/>
        <w:ind w:firstLine="480" w:firstLineChars="200"/>
        <w:rPr>
          <w:rFonts w:hint="eastAsia" w:ascii="仿宋" w:hAnsi="仿宋" w:eastAsia="仿宋" w:cs="仿宋"/>
          <w:sz w:val="24"/>
          <w:highlight w:val="none"/>
          <w:shd w:val="clear" w:color="auto" w:fill="FFFFFF"/>
        </w:rPr>
      </w:pPr>
      <w:r>
        <w:rPr>
          <w:rFonts w:hint="eastAsia" w:ascii="仿宋" w:hAnsi="仿宋" w:eastAsia="仿宋" w:cs="仿宋"/>
          <w:sz w:val="24"/>
          <w:highlight w:val="none"/>
          <w:shd w:val="clear" w:color="auto" w:fill="FFFFFF"/>
        </w:rPr>
        <w:t>在本采购文件规定的查询时间之后，网站信息发生的任何变更均不再作为评审依据。</w:t>
      </w:r>
    </w:p>
    <w:p w14:paraId="648E8F26">
      <w:pPr>
        <w:adjustRightInd w:val="0"/>
        <w:snapToGrid w:val="0"/>
        <w:spacing w:line="360" w:lineRule="auto"/>
        <w:ind w:firstLine="480" w:firstLineChars="200"/>
        <w:rPr>
          <w:rFonts w:hint="eastAsia" w:ascii="仿宋" w:hAnsi="仿宋" w:eastAsia="仿宋" w:cs="仿宋"/>
          <w:sz w:val="24"/>
          <w:highlight w:val="none"/>
          <w:shd w:val="clear" w:color="auto" w:fill="FFFFFF"/>
        </w:rPr>
      </w:pPr>
      <w:r>
        <w:rPr>
          <w:rFonts w:hint="eastAsia" w:ascii="仿宋" w:hAnsi="仿宋" w:eastAsia="仿宋" w:cs="仿宋"/>
          <w:sz w:val="24"/>
          <w:highlight w:val="none"/>
          <w:shd w:val="clear" w:color="auto" w:fill="FFFFFF"/>
        </w:rPr>
        <w:t>供应商在自行提供的与网站信息不一致的其他证明材料亦不作为资格审查依据。</w:t>
      </w:r>
    </w:p>
    <w:p w14:paraId="2B9AB022">
      <w:pPr>
        <w:adjustRightInd w:val="0"/>
        <w:snapToGrid w:val="0"/>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rPr>
        <w:t>★</w:t>
      </w:r>
      <w:r>
        <w:rPr>
          <w:rFonts w:hint="eastAsia" w:ascii="仿宋" w:hAnsi="仿宋" w:eastAsia="仿宋" w:cs="仿宋"/>
          <w:b/>
          <w:sz w:val="24"/>
          <w:highlight w:val="none"/>
          <w:shd w:val="clear" w:color="auto" w:fill="FFFFFF"/>
        </w:rPr>
        <w:t>23.符合性审查</w:t>
      </w:r>
    </w:p>
    <w:p w14:paraId="3343F3BF">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23.1</w:t>
      </w:r>
      <w:r>
        <w:rPr>
          <w:rFonts w:hint="eastAsia" w:ascii="仿宋" w:hAnsi="仿宋" w:eastAsia="仿宋" w:cs="仿宋"/>
          <w:sz w:val="24"/>
          <w:highlight w:val="none"/>
          <w:shd w:val="clear" w:color="auto" w:fill="FFFFFF"/>
        </w:rPr>
        <w:t>符合性审查是指依据采购文件的规定，从响应文件的有效性和完整性对采购文件的响应程度进行审查，以确定是否对采购文件的实质性要求做出响应。</w:t>
      </w:r>
      <w:r>
        <w:rPr>
          <w:rFonts w:hint="eastAsia" w:ascii="仿宋" w:hAnsi="仿宋" w:eastAsia="仿宋" w:cs="仿宋"/>
          <w:sz w:val="24"/>
          <w:highlight w:val="none"/>
        </w:rPr>
        <w:t>供应商应按照第二章《响应文件内容及格式》中的相应要求，提交符合性证明材料。未通过符合性审查的供应商不能进入下一阶段评审，其响应将被认定为</w:t>
      </w:r>
      <w:r>
        <w:rPr>
          <w:rFonts w:hint="eastAsia" w:ascii="仿宋" w:hAnsi="仿宋" w:eastAsia="仿宋" w:cs="仿宋"/>
          <w:b/>
          <w:bCs/>
          <w:sz w:val="24"/>
          <w:highlight w:val="none"/>
        </w:rPr>
        <w:t>无效响应</w:t>
      </w:r>
      <w:r>
        <w:rPr>
          <w:rFonts w:hint="eastAsia" w:ascii="仿宋" w:hAnsi="仿宋" w:eastAsia="仿宋" w:cs="仿宋"/>
          <w:sz w:val="24"/>
          <w:highlight w:val="none"/>
        </w:rPr>
        <w:t>；通过符合性审查的供应商数量不足3家的，不得作进一步的比较和评价，</w:t>
      </w:r>
    </w:p>
    <w:p w14:paraId="7BE2E9F9">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24.样品</w:t>
      </w:r>
    </w:p>
    <w:p w14:paraId="0A7B9CA6">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24.1供应商须知表11.4条中要求供应商提供样品的，按照供应商须知表24.1条中样品的评审办法以及评审标准进行评审。</w:t>
      </w:r>
    </w:p>
    <w:p w14:paraId="0AC2E657">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24.2采购活动结束后，对于未成交供应商提供的样品，应当及时退还或者经未成交供应商同意后自行处理；对于成交供应商提供的样品，应当按采购文件规定进行保管、封存，并作为履约验收的参考。具体内容见供应商须知表11.4条。</w:t>
      </w:r>
    </w:p>
    <w:p w14:paraId="01FE5ADA">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25.响应文件的澄清</w:t>
      </w:r>
    </w:p>
    <w:p w14:paraId="4FAD2594">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25.1</w:t>
      </w:r>
      <w:r>
        <w:rPr>
          <w:rFonts w:hint="eastAsia" w:ascii="仿宋" w:hAnsi="仿宋" w:eastAsia="仿宋" w:cs="仿宋"/>
          <w:sz w:val="24"/>
          <w:highlight w:val="none"/>
          <w:shd w:val="clear" w:color="auto" w:fill="FFFFFF"/>
        </w:rPr>
        <w:t>在磋商期间，磋商小组可以书面要求供应商对其响应文件中含义不明确、同类问题表述不一致或者有明显文字和计算错误的内容</w:t>
      </w:r>
      <w:r>
        <w:rPr>
          <w:rFonts w:hint="eastAsia" w:ascii="仿宋" w:hAnsi="仿宋" w:eastAsia="仿宋" w:cs="仿宋"/>
          <w:sz w:val="24"/>
          <w:highlight w:val="none"/>
        </w:rPr>
        <w:t>作必要的澄清、说明或补正。供应商的澄清、说明或补正应在磋商小组规定的时间内以书面方式进行，并不得超出响应文件范围或者改变响应文件的实质性内容。供应商拒不进行澄清、说明、补正的，或者不能在规定时间内作出书面澄清、说明、补正的，其响应文件将被作为无效响应处理。</w:t>
      </w:r>
    </w:p>
    <w:p w14:paraId="05CEF910">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25.1.1供应商的澄清、说明或者补正应当由法定代表人（或非法人组织负责人）或其授权代表签字或者加盖公章。供应商为自然人的，应当由本人签字并附身份证明。</w:t>
      </w:r>
    </w:p>
    <w:p w14:paraId="74F51B5F">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25.1.2供应商的澄清、说明或补正将作为响应文件的一部分。</w:t>
      </w:r>
    </w:p>
    <w:p w14:paraId="36A98BE6">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25.2响应文件报价出现前后不一致的，按照下列规定修正：</w:t>
      </w:r>
    </w:p>
    <w:p w14:paraId="1A873411">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（1）响应文件中报价一览表内容与响应文件中相应内容不一致的，以报价一览表为准；</w:t>
      </w:r>
    </w:p>
    <w:p w14:paraId="276F0E46">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（2）大写金额和小写金额不一致的，以大写金额为准；</w:t>
      </w:r>
    </w:p>
    <w:p w14:paraId="40495CBC">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（3）单价金额小数点或者百分比有明显错位的，以报价一览表的总价为准，并修改单价；</w:t>
      </w:r>
    </w:p>
    <w:p w14:paraId="31235438">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（4）总价金额与按单价汇总金额不一致的，以单价金额计算结果为准。</w:t>
      </w:r>
    </w:p>
    <w:p w14:paraId="4AE981F0">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同时出现两种以上不一致的，按照前款规定的顺序修正。修正后的报价经供应商确认后产生约束力，供应商不确认的，其响应文件将被认定为无效响应。</w:t>
      </w:r>
    </w:p>
    <w:p w14:paraId="54849A2B">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25.3供应商的最后报价属于启动异常低价审查程序情形的，磋商小组应当启动异常低价审查程序，要求相关供应商在评审现场合理的时间内对响应价格作出解释。供应商不能提供书面说明、证明材料，或者提供的书面说明、证明材料不能证明其报价合理性的，磋商小组应当将其作为</w:t>
      </w:r>
      <w:r>
        <w:rPr>
          <w:rFonts w:hint="eastAsia" w:ascii="仿宋" w:hAnsi="仿宋" w:eastAsia="仿宋" w:cs="仿宋"/>
          <w:b/>
          <w:bCs/>
          <w:sz w:val="24"/>
          <w:highlight w:val="none"/>
        </w:rPr>
        <w:t>无效响应</w:t>
      </w:r>
      <w:r>
        <w:rPr>
          <w:rFonts w:hint="eastAsia" w:ascii="仿宋" w:hAnsi="仿宋" w:eastAsia="仿宋" w:cs="仿宋"/>
          <w:sz w:val="24"/>
          <w:highlight w:val="none"/>
        </w:rPr>
        <w:t>处理。启动异常低价审查程序及提交证明材料要求具体详见第五章 评审办法。</w:t>
      </w:r>
    </w:p>
    <w:p w14:paraId="5FED3EE0">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★26.磋商</w:t>
      </w:r>
    </w:p>
    <w:p w14:paraId="6105F0AD">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26.1磋商小组将集中根据采购文件规定的程序、评定成交的标准等事项与实质性响应采购文件要求的供应商分别进行磋商。在磋商中，磋商的任何一方不得透露与磋商有关的其他供应商的技术资料、价格和其他信息。</w:t>
      </w:r>
    </w:p>
    <w:p w14:paraId="6E3F463D">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26.2在磋商过程中，磋商小组可以根据采购文件和磋商情况，</w:t>
      </w:r>
      <w:r>
        <w:rPr>
          <w:rFonts w:hint="eastAsia" w:ascii="仿宋" w:hAnsi="仿宋" w:eastAsia="仿宋" w:cs="仿宋"/>
          <w:b/>
          <w:sz w:val="24"/>
          <w:highlight w:val="none"/>
        </w:rPr>
        <w:t>经采购人代表确认后</w:t>
      </w:r>
      <w:r>
        <w:rPr>
          <w:rFonts w:hint="eastAsia" w:ascii="仿宋" w:hAnsi="仿宋" w:eastAsia="仿宋" w:cs="仿宋"/>
          <w:sz w:val="24"/>
          <w:highlight w:val="none"/>
        </w:rPr>
        <w:t>变动采购需求中的技术、服务要求以及合同草案条例等实质性内容。</w:t>
      </w:r>
    </w:p>
    <w:p w14:paraId="01ADBC9E">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26.3对采购文件作出实质性变动是采购文件的有效组成部分，磋商小组将以书面形式同时通知所有参加磋商的供应商。</w:t>
      </w:r>
    </w:p>
    <w:p w14:paraId="083D9816">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26.4供应商应当按照采购文件的变动情况和磋商小组的要求重新提交响应文件，并由其法定代表人或授权代表签字或者加盖公章。由授权代表签字的，应当附法定代表人（或非法人组织负责人）授权书。供应商为自然人的，应当由本人签字并附身份证明。</w:t>
      </w:r>
    </w:p>
    <w:p w14:paraId="689504B1">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★27.最后报价</w:t>
      </w:r>
    </w:p>
    <w:p w14:paraId="796B04D6">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27.1磋商结束后，磋商小组将要求所有实质性响应的供应商在规定时间内提交最后报价，且提交最后报价的供应商不少于3家。</w:t>
      </w:r>
    </w:p>
    <w:p w14:paraId="0D9A909F">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27.2最后报价是供应商响应文件的有效组成部分。</w:t>
      </w:r>
    </w:p>
    <w:p w14:paraId="68787DFC">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27.3已提交响应文件的供应商，在提交最后报价之前，可以根据磋商情况退出磋商，退出磋商不视为撤回响应文件，退出磋商不影响退出磋商的供应商对已经递交的响应文件承担法律、法规和采购文件中规定的相应责任。采购人、采购代理机构应当退还退出磋商的供应商的保证金。</w:t>
      </w:r>
    </w:p>
    <w:p w14:paraId="7765AC54">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★28.响应无效</w:t>
      </w:r>
    </w:p>
    <w:p w14:paraId="5F94D8BA">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28.1在比较与评价之前，根据本须知的规定，磋商小组将审查每份响应文件是否实质上响应了采购文件的要求。</w:t>
      </w:r>
    </w:p>
    <w:p w14:paraId="3AA79E86">
      <w:pPr>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实质性要求是指采购文件中带有★号标识内容（包括本级及其下级编号中所有内容）等文字说明的要求。</w:t>
      </w:r>
    </w:p>
    <w:p w14:paraId="06E96D3F">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kern w:val="0"/>
          <w:sz w:val="24"/>
          <w:highlight w:val="none"/>
        </w:rPr>
        <w:t>对采购文件的实质性要求进行响应是指与采购文件中带有★号标识内容的文字说明、条款、条件和规格等要求相符。</w:t>
      </w:r>
    </w:p>
    <w:p w14:paraId="73AF59B4">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如果响应文件没有对采购文件的实质性要求进行响应，将作为</w:t>
      </w:r>
      <w:r>
        <w:rPr>
          <w:rFonts w:hint="eastAsia" w:ascii="仿宋" w:hAnsi="仿宋" w:eastAsia="仿宋" w:cs="仿宋"/>
          <w:b/>
          <w:bCs/>
          <w:sz w:val="24"/>
          <w:highlight w:val="none"/>
        </w:rPr>
        <w:t>无效响应</w:t>
      </w:r>
      <w:r>
        <w:rPr>
          <w:rFonts w:hint="eastAsia" w:ascii="仿宋" w:hAnsi="仿宋" w:eastAsia="仿宋" w:cs="仿宋"/>
          <w:sz w:val="24"/>
          <w:highlight w:val="none"/>
        </w:rPr>
        <w:t>处理，供应商不得再对响应文件进行任何修正从而使其响应成为实质上响应。</w:t>
      </w:r>
    </w:p>
    <w:p w14:paraId="4ECDFD4D">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磋商小组决定是否实质性响应只根据采购文件要求、响应文件内容及财政主管部门指定媒体发布的相关信息。</w:t>
      </w:r>
    </w:p>
    <w:p w14:paraId="25482306">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28.2如发现下列情况之一的，其响应文件将被认定为无效响应：</w:t>
      </w:r>
    </w:p>
    <w:p w14:paraId="5009B683">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（1）未按采购文件的规定提交磋商保证金的；</w:t>
      </w:r>
    </w:p>
    <w:p w14:paraId="2A09F2A9">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（2）未按照采购文件规定要求签署、盖章的；</w:t>
      </w:r>
    </w:p>
    <w:p w14:paraId="423FAD67">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（3）供应商的报价超过了采购文件中规定的预算金额或者最高限价的；</w:t>
      </w:r>
    </w:p>
    <w:p w14:paraId="106D8F50">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（4）不具备采购文件中规定的资格要求的；</w:t>
      </w:r>
    </w:p>
    <w:p w14:paraId="27F7F405">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（5）不符合法律、法规和采购文件中规定的实质性要求的；</w:t>
      </w:r>
    </w:p>
    <w:p w14:paraId="556F4BA4">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（6）与其他供应商串通，或者与采购人串通；</w:t>
      </w:r>
    </w:p>
    <w:p w14:paraId="49808AE1">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（7）供应商的最后报价属于启动异常低价审查程序情形，供应商不能提供书面说明、证明材料，或者提供的书面说明、证明材料不能证明其报价合理性的；</w:t>
      </w:r>
    </w:p>
    <w:p w14:paraId="65E87DEC">
      <w:pPr>
        <w:adjustRightInd w:val="0"/>
        <w:snapToGrid w:val="0"/>
        <w:spacing w:line="360" w:lineRule="auto"/>
        <w:ind w:firstLine="249" w:firstLineChars="104"/>
        <w:rPr>
          <w:rFonts w:hint="eastAsia" w:ascii="仿宋" w:hAnsi="仿宋" w:eastAsia="仿宋" w:cs="仿宋"/>
          <w:sz w:val="24"/>
          <w:highlight w:val="none"/>
        </w:rPr>
      </w:pPr>
      <w:bookmarkStart w:id="67" w:name="_Hlk227658857"/>
      <w:r>
        <w:rPr>
          <w:rFonts w:hint="eastAsia" w:ascii="仿宋" w:hAnsi="仿宋" w:eastAsia="仿宋" w:cs="仿宋"/>
          <w:sz w:val="24"/>
          <w:highlight w:val="none"/>
        </w:rPr>
        <w:t>（8）未按采购文件要求拆分编制“明标分册”与“暗标分册”的；</w:t>
      </w:r>
    </w:p>
    <w:p w14:paraId="495CFB0A">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（9）“暗标分册”不符合采购文件暗标要求的；</w:t>
      </w:r>
    </w:p>
    <w:p w14:paraId="6D8B72CE">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（10）响应文件含有采购人不能接受的附加条件的；</w:t>
      </w:r>
    </w:p>
    <w:p w14:paraId="104954B5">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（11）属于法律、法规和采购文件中规定的其他无效响应情形的。</w:t>
      </w:r>
    </w:p>
    <w:bookmarkEnd w:id="67"/>
    <w:p w14:paraId="17A9AFBC">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29.比较与评价</w:t>
      </w:r>
    </w:p>
    <w:p w14:paraId="4408D5B3">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29.1经符合性审查合格的响应文件，磋商小组将根据采购文件确定的评审办法，对其技术部分和商务部分作进一步的比较和评价。</w:t>
      </w:r>
    </w:p>
    <w:p w14:paraId="73E6DE82">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29.2评审严格按照采购文件的要求和条件进行。按照供应商须知表29.2条规定的综合评分法进行评审，详细评审标准见采购文件第五章 评审方法。</w:t>
      </w:r>
    </w:p>
    <w:p w14:paraId="38CB976B">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综合评分法，是指响应文件满足采购文件全部实质性要求且按评审因素的量化指标评审得分最高的供应商为成交候选供应商的评审方法。</w:t>
      </w:r>
    </w:p>
    <w:p w14:paraId="7A28A083">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29.3根据《政府采购促进中小企业发展管理办法》（财库〔2020〕46号）、《财政部 司法部关于政府采购支持监狱企业发展有关问题的通知》（财库〔2014〕68号）、《财政部 民政部 中国残疾人联合会关于促进残疾人就业政府采购政策的通知》（财库〔2017〕141号）、《省财政厅省工业和信息化厅关于做好政府采购促进中小企业发展有关工作的通知》（辽财采〔2021〕153号）和《关于进一步促进政府采购公平竞争支持企业纾困发展的通知》（辽财采〔2022〕119号）的规定，对于非专门面向中小企业的项目，在满足价格扣除条件且在响应文件中提交了《中小企业声明函》，或《残疾人福利性单位声明函》，或省级以上监狱管理局、戒毒管理局（含新疆生产建设兵团）出具的属于监狱企业的证明文件的供应商，其响应报价扣除后参与评审。具体详见第五章 评审办法。</w:t>
      </w:r>
    </w:p>
    <w:p w14:paraId="6F85CD79">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29.4依据财政部、发展改革委、生态环境部等部门发布的品目清单和国家确定的认证机构出具的、处于有效期之内的节能产品、环境标志产品认证证书实施政府优先采购。具体优先采购办法详见第五章 评审办法。</w:t>
      </w:r>
    </w:p>
    <w:p w14:paraId="356EB953">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29.5采购需求标准</w:t>
      </w:r>
    </w:p>
    <w:p w14:paraId="2D266D40">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29.5.1商品包装、快递包装政府采购需求标准（试行）</w:t>
      </w:r>
    </w:p>
    <w:p w14:paraId="38FF1717">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三章 图纸、技术要求及工程量清单。</w:t>
      </w:r>
    </w:p>
    <w:p w14:paraId="562184F1">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29.5.2绿色建筑和绿色建材政府采购需求标准（2025年版）</w:t>
      </w:r>
    </w:p>
    <w:p w14:paraId="2E90CDB9">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为进一步扩大政府采购支持绿色建材促进建筑品质提升，根据财政部 住房城乡建设部 工业和信息化部《关于进一步扩大政府采购支持绿色建材促进建筑品质提升政策实施范围的通知》（财库〔2024〕36号），本项目如涉及绿色建筑和绿色建材，则具体要求见第三章 图纸、技术要求及工程量清单。</w:t>
      </w:r>
    </w:p>
    <w:p w14:paraId="361E4086">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★30.终止本次磋商</w:t>
      </w:r>
    </w:p>
    <w:p w14:paraId="36CE613F">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出现下列情形之一的，采购人或采购代理机构应当终止本次竞争性磋商。</w:t>
      </w:r>
    </w:p>
    <w:p w14:paraId="420064A1">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（1）因情况变化，不再符合规定的竞争性磋商采购方式适用情形的；</w:t>
      </w:r>
    </w:p>
    <w:p w14:paraId="7ED6DBC7">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（2）出现影响采购公正的违法、违规行为的；</w:t>
      </w:r>
    </w:p>
    <w:p w14:paraId="6416AC92">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（3）除本须知27.2条规定的情形外，在采购过程中符合要求的供应商或者报价未超过采购预算或最高限价的供应商不足3家的；</w:t>
      </w:r>
    </w:p>
    <w:p w14:paraId="1C288D16">
      <w:pPr>
        <w:adjustRightInd w:val="0"/>
        <w:snapToGrid w:val="0"/>
        <w:spacing w:line="360" w:lineRule="auto"/>
        <w:ind w:firstLine="249" w:firstLineChars="104"/>
        <w:rPr>
          <w:rFonts w:hint="eastAsia" w:ascii="仿宋" w:hAnsi="仿宋" w:eastAsia="仿宋" w:cs="仿宋"/>
          <w:sz w:val="24"/>
          <w:highlight w:val="none"/>
        </w:rPr>
      </w:pPr>
      <w:r>
        <w:rPr>
          <w:rFonts w:hint="eastAsia" w:ascii="仿宋" w:hAnsi="仿宋" w:eastAsia="仿宋" w:cs="仿宋"/>
          <w:sz w:val="24"/>
          <w:highlight w:val="none"/>
        </w:rPr>
        <w:t>（4）因重大变故，采购任务取消的。</w:t>
      </w:r>
    </w:p>
    <w:p w14:paraId="6A2BC1F8">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31.成交候选供应商的确定原则及标准</w:t>
      </w:r>
    </w:p>
    <w:p w14:paraId="5103C55A">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31.1除第34条规定外，磋商结束后，除了算数修正和落实政府采购政策需进行的价格扣除外，不对供应商的响应价格进行任何调整。评审结果按照得分由高至低的顺序排序。具体处理办法详见第五章 评审方法。</w:t>
      </w:r>
    </w:p>
    <w:p w14:paraId="24B1390A">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31.2磋商小组将按供应商须知表31.2条中规定的数量推荐成交候选供应商。</w:t>
      </w:r>
    </w:p>
    <w:p w14:paraId="7D2A231F">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31.3因推荐成交候选供应商名单产生其他问题，由磋商小组集体研究处理。</w:t>
      </w:r>
    </w:p>
    <w:p w14:paraId="68F89C67">
      <w:pPr>
        <w:adjustRightInd w:val="0"/>
        <w:snapToGrid w:val="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★32.保密原则</w:t>
      </w:r>
    </w:p>
    <w:p w14:paraId="1E0516F1">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32.1评审将在严格保密的情况下进行。</w:t>
      </w:r>
    </w:p>
    <w:p w14:paraId="691C4497">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32.2有关人员应当遵守评审工作纪律，不得泄露评审文件、评审情况和评审过程中获悉的国家秘密、商业秘密。</w:t>
      </w:r>
    </w:p>
    <w:p w14:paraId="2A06E7A5">
      <w:pPr>
        <w:pStyle w:val="3"/>
        <w:adjustRightInd w:val="0"/>
        <w:snapToGrid w:val="0"/>
        <w:spacing w:beforeLines="50" w:after="0" w:line="360" w:lineRule="auto"/>
        <w:jc w:val="center"/>
        <w:rPr>
          <w:rFonts w:hint="eastAsia" w:ascii="仿宋" w:hAnsi="仿宋" w:eastAsia="仿宋" w:cs="仿宋"/>
          <w:szCs w:val="32"/>
          <w:highlight w:val="none"/>
        </w:rPr>
      </w:pPr>
      <w:bookmarkStart w:id="68" w:name="_Toc4485624"/>
      <w:bookmarkStart w:id="69" w:name="_Toc533340145"/>
      <w:r>
        <w:rPr>
          <w:rFonts w:hint="eastAsia" w:ascii="仿宋" w:hAnsi="仿宋" w:eastAsia="仿宋" w:cs="仿宋"/>
          <w:sz w:val="24"/>
          <w:highlight w:val="none"/>
        </w:rPr>
        <w:br w:type="page"/>
      </w:r>
      <w:r>
        <w:rPr>
          <w:rFonts w:hint="eastAsia" w:ascii="仿宋" w:hAnsi="仿宋" w:eastAsia="仿宋" w:cs="仿宋"/>
          <w:szCs w:val="32"/>
          <w:highlight w:val="none"/>
        </w:rPr>
        <w:t>七 确定成交</w:t>
      </w:r>
      <w:bookmarkEnd w:id="68"/>
      <w:bookmarkEnd w:id="69"/>
    </w:p>
    <w:p w14:paraId="47F3C0A4">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33.确定成交供应商</w:t>
      </w:r>
    </w:p>
    <w:p w14:paraId="3DFAAA56">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采购人在收到评审报告5个工作日内，从评审报告提出的成交候选供应商中，根据质量和服务均能满足采购文件实质性响应要求且综合得分最高的原则确定成交供应商，也可以书面授权磋商小组直接确定成交供应商。本项目成交供应商确定方式详见供应商须知表33条。</w:t>
      </w:r>
    </w:p>
    <w:p w14:paraId="1AE9E5A5">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★34.采购任务取消</w:t>
      </w:r>
    </w:p>
    <w:p w14:paraId="4BB1F167">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因重大变故采购任务取消时，采购人有权拒绝任何供应商成交，且对受影响的供应商不承担任何责任。</w:t>
      </w:r>
    </w:p>
    <w:p w14:paraId="0F455FA1">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35.成交通知书</w:t>
      </w:r>
    </w:p>
    <w:p w14:paraId="0E75778F">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35.1采购人或者采购代理机构应当在成交供应商确定之日起2个工作日内，在辽宁政府采购网公告成交结果，同时向成交供应商发出成交通知书。</w:t>
      </w:r>
    </w:p>
    <w:p w14:paraId="616131AB">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35.2成交通知书是合同的组成部分。</w:t>
      </w:r>
    </w:p>
    <w:p w14:paraId="464F5948">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★36.签订合同</w:t>
      </w:r>
    </w:p>
    <w:p w14:paraId="4D096D5D">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36.1成交供应商应当自发出成交通知书之日起30日内，按照采购文件确定的事项签订政府采购合同。</w:t>
      </w:r>
    </w:p>
    <w:p w14:paraId="428B8849">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36.2除不可抗力等因素外，成交通知书发出后，采购人改变成交结果，或者成交供应商拒绝签订政府采购合同的，应当承担相应的法律责任。</w:t>
      </w:r>
    </w:p>
    <w:p w14:paraId="4A49F4C6">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36.3采购文件、成交供应商的响应文件及其澄清文件等，均为签订合同的依据。所签订的合同不得对采购文件确定的事项和成交供应商响应文件作实质性修改。采购人不得向成交供应商提出超出采购文件以外的任何不合理的要求，作为签订合同的条件，不得与成交供应商订立背离采购文件实质性内容的协议。</w:t>
      </w:r>
    </w:p>
    <w:p w14:paraId="3A7BA1B9">
      <w:pPr>
        <w:adjustRightInd w:val="0"/>
        <w:snapToGrid w:val="0"/>
        <w:spacing w:line="360" w:lineRule="auto"/>
        <w:rPr>
          <w:rFonts w:hint="eastAsia" w:ascii="仿宋" w:hAnsi="仿宋" w:eastAsia="仿宋" w:cs="仿宋"/>
          <w:kern w:val="0"/>
          <w:sz w:val="24"/>
          <w:highlight w:val="none"/>
        </w:rPr>
      </w:pPr>
      <w:r>
        <w:rPr>
          <w:rFonts w:hint="eastAsia" w:ascii="仿宋" w:hAnsi="仿宋" w:eastAsia="仿宋" w:cs="仿宋"/>
          <w:sz w:val="24"/>
          <w:highlight w:val="none"/>
        </w:rPr>
        <w:t>36.4成交供应商拒绝与采购人签订合同的，采购人可以按照评审报告推荐的成交候选供应商名单排序，确定下一成交候选供应商为成交供应商，也可以重新开展政府采购活动。拒绝签订政府采购合同的成交供应商不得参加对该项目重新开展的采购活动</w:t>
      </w:r>
      <w:r>
        <w:rPr>
          <w:rFonts w:hint="eastAsia" w:ascii="仿宋" w:hAnsi="仿宋" w:eastAsia="仿宋" w:cs="仿宋"/>
          <w:kern w:val="0"/>
          <w:sz w:val="24"/>
          <w:highlight w:val="none"/>
        </w:rPr>
        <w:t>。</w:t>
      </w:r>
    </w:p>
    <w:p w14:paraId="5D415E8D">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★37.履约保证金</w:t>
      </w:r>
    </w:p>
    <w:p w14:paraId="3156BA4A">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37.1成交供应商应按照供应商须知表37.1条规定向采购人缴纳履约保证金。</w:t>
      </w:r>
    </w:p>
    <w:p w14:paraId="1265D2CB">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37.2如果成交供应商没有按照上述履约保证金的规定执行，将视为拒绝签订合同并放弃成交资格，成交供应商的磋商保证金将不予退还。在此情况下，采购人可确定下一成交候选供应商为成交供应商，也可以重新开展采购活动。</w:t>
      </w:r>
    </w:p>
    <w:p w14:paraId="2075FF9E">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★38.采购代理服务费</w:t>
      </w:r>
    </w:p>
    <w:p w14:paraId="088AA1D4">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成交供应商须按照供应商须知表38条规定，向采购代理机构支付采购代理服务费。</w:t>
      </w:r>
    </w:p>
    <w:p w14:paraId="40F15EA0">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39.廉洁自律规定</w:t>
      </w:r>
    </w:p>
    <w:p w14:paraId="6E7FA779">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39.1采购代理机构工作人员不得以不正当手段获取政府采购代理业务，不得与采购人、供应商恶意串通操纵政府采购活动。</w:t>
      </w:r>
    </w:p>
    <w:p w14:paraId="52E77DC1">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39.2采购代理机构工作人员不得接受采购人或者供应商组织的宴请、旅游、娱乐，不得收受礼品、现金、有价证券等。</w:t>
      </w:r>
    </w:p>
    <w:p w14:paraId="29C33CA3">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40.人员回避</w:t>
      </w:r>
    </w:p>
    <w:p w14:paraId="2AC5A23C">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供应商认为采购人及其相关人员有法律法规所列与其他供应商有利害关系的，可以向采购人或采购代理机构书面提出回避申请，并说明理由。</w:t>
      </w:r>
    </w:p>
    <w:p w14:paraId="0810C4DB">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41.质疑与接收</w:t>
      </w:r>
    </w:p>
    <w:p w14:paraId="58A65938">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41.1供应商认为采购文件、采购过程和成交结果使自己的权益受到损害的，可以根据《中华人民共和国政府采购法》《中华人民共和国政府采购法实施条例》《政府采购竞争性磋商采购方式管理暂行办法》和《政府采购质疑和投诉办法》的有关规定，依法向采购人或其委托的采购代理机构提出质疑。</w:t>
      </w:r>
    </w:p>
    <w:p w14:paraId="242FB3A9">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41.2质疑供应商应按照财政部门制定的《政府采购质疑函范本》格式（详见辽宁政府采购网）和《政府采购质疑和投诉办法》的要求，在法定质疑期内以纸质形式提出质疑，针对同一采购程序环节的质疑应一次性提出，否则针对再次提出质疑将不予接收。</w:t>
      </w:r>
    </w:p>
    <w:p w14:paraId="5BB433DA">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41.3采购代理机构质疑函接收部门、联系电话和通讯地址，详见供应商须知表41.3条。</w:t>
      </w:r>
    </w:p>
    <w:p w14:paraId="69E5A480">
      <w:pPr>
        <w:adjustRightInd w:val="0"/>
        <w:snapToGrid w:val="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42.履约验收</w:t>
      </w:r>
    </w:p>
    <w:p w14:paraId="0DC17ED6">
      <w:pPr>
        <w:adjustRightInd w:val="0"/>
        <w:snapToGrid w:val="0"/>
        <w:spacing w:line="360" w:lineRule="auto"/>
        <w:ind w:firstLine="420"/>
        <w:rPr>
          <w:rFonts w:hint="eastAsia" w:ascii="仿宋" w:hAnsi="仿宋" w:eastAsia="仿宋" w:cs="仿宋"/>
          <w:sz w:val="24"/>
          <w:highlight w:val="none"/>
        </w:rPr>
      </w:pPr>
      <w:r>
        <w:rPr>
          <w:rFonts w:hint="eastAsia" w:ascii="仿宋" w:hAnsi="仿宋" w:eastAsia="仿宋" w:cs="仿宋"/>
          <w:sz w:val="24"/>
          <w:highlight w:val="none"/>
        </w:rPr>
        <w:t>本项目采购人及其委托的采购代理机构将严格按照《中华人民共和国政府采购法》《中华人民共和国政府采购法实施条例》《财政部关于进一步加强政府采购需求和履约验收管理的指导意见》（财库〔2016〕205号）、《关于推动解决政府采购异常低价问题的通知》（财库〔2026〕2号）、《辽宁省政府采购履约验收管理办法》（辽财采〔2017〕603号）的要求进行验收。</w:t>
      </w:r>
    </w:p>
    <w:p w14:paraId="5FBA1F00">
      <w:pPr>
        <w:adjustRightInd w:val="0"/>
        <w:snapToGrid w:val="0"/>
        <w:spacing w:line="360" w:lineRule="auto"/>
        <w:rPr>
          <w:rFonts w:hint="eastAsia" w:ascii="仿宋" w:hAnsi="仿宋" w:eastAsia="仿宋" w:cs="仿宋"/>
          <w:b/>
          <w:sz w:val="24"/>
          <w:highlight w:val="none"/>
        </w:rPr>
        <w:sectPr>
          <w:footerReference r:id="rId4" w:type="default"/>
          <w:pgSz w:w="11906" w:h="16838"/>
          <w:pgMar w:top="1440" w:right="1800" w:bottom="1440" w:left="1800" w:header="851" w:footer="992" w:gutter="0"/>
          <w:cols w:space="720" w:num="1"/>
          <w:docGrid w:type="lines" w:linePitch="312" w:charSpace="0"/>
        </w:sectPr>
      </w:pPr>
    </w:p>
    <w:p w14:paraId="1AC246EE">
      <w:pPr>
        <w:pStyle w:val="2"/>
        <w:adjustRightInd w:val="0"/>
        <w:snapToGrid w:val="0"/>
        <w:spacing w:before="0" w:after="0" w:line="240" w:lineRule="auto"/>
        <w:jc w:val="center"/>
        <w:rPr>
          <w:rFonts w:hint="eastAsia" w:ascii="仿宋" w:hAnsi="仿宋" w:eastAsia="仿宋" w:cs="仿宋"/>
          <w:b w:val="0"/>
          <w:bCs/>
          <w:sz w:val="36"/>
          <w:szCs w:val="36"/>
          <w:highlight w:val="none"/>
        </w:rPr>
      </w:pPr>
      <w:bookmarkStart w:id="70" w:name="_Toc25556"/>
      <w:bookmarkStart w:id="71" w:name="_Toc4485625"/>
      <w:r>
        <w:rPr>
          <w:rFonts w:hint="eastAsia" w:ascii="仿宋" w:hAnsi="仿宋" w:eastAsia="仿宋" w:cs="仿宋"/>
          <w:b w:val="0"/>
          <w:bCs/>
          <w:sz w:val="36"/>
          <w:szCs w:val="36"/>
          <w:highlight w:val="none"/>
        </w:rPr>
        <w:t>第二章 响应文件内容及格式</w:t>
      </w:r>
      <w:bookmarkEnd w:id="70"/>
      <w:bookmarkEnd w:id="71"/>
    </w:p>
    <w:p w14:paraId="211E8DFA">
      <w:pPr>
        <w:snapToGrid w:val="0"/>
        <w:spacing w:beforeLines="50" w:afterLines="50"/>
        <w:ind w:firstLine="482" w:firstLineChars="200"/>
        <w:rPr>
          <w:rFonts w:hint="eastAsia" w:ascii="仿宋" w:hAnsi="仿宋" w:eastAsia="仿宋" w:cs="仿宋"/>
          <w:sz w:val="24"/>
          <w:highlight w:val="none"/>
        </w:rPr>
      </w:pPr>
      <w:bookmarkStart w:id="72" w:name="投标文件内容及格式：Block"/>
      <w:bookmarkEnd w:id="72"/>
      <w:bookmarkStart w:id="73" w:name="sys_投标文件内容及格式：Block"/>
      <w:bookmarkEnd w:id="73"/>
      <w:r>
        <w:rPr>
          <w:rFonts w:hint="eastAsia" w:ascii="仿宋" w:hAnsi="仿宋" w:eastAsia="仿宋" w:cs="仿宋"/>
          <w:b/>
          <w:sz w:val="24"/>
          <w:highlight w:val="none"/>
        </w:rPr>
        <w:t>一、响应文件封皮及目录</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892"/>
        <w:gridCol w:w="882"/>
      </w:tblGrid>
      <w:tr w14:paraId="221CC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77" w:type="dxa"/>
            <w:vAlign w:val="center"/>
          </w:tcPr>
          <w:p w14:paraId="45FEB5DC">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6892" w:type="dxa"/>
            <w:vAlign w:val="center"/>
          </w:tcPr>
          <w:p w14:paraId="4E8A4D5B">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内容</w:t>
            </w:r>
          </w:p>
        </w:tc>
        <w:tc>
          <w:tcPr>
            <w:tcW w:w="882" w:type="dxa"/>
            <w:vAlign w:val="center"/>
          </w:tcPr>
          <w:p w14:paraId="283817AB">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格式</w:t>
            </w:r>
          </w:p>
        </w:tc>
      </w:tr>
      <w:tr w14:paraId="78EFD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6435A95D">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c>
          <w:tcPr>
            <w:tcW w:w="6892" w:type="dxa"/>
            <w:vAlign w:val="center"/>
          </w:tcPr>
          <w:p w14:paraId="6EC514EC">
            <w:pPr>
              <w:snapToGrid w:val="0"/>
              <w:spacing w:line="360" w:lineRule="exact"/>
              <w:jc w:val="left"/>
              <w:rPr>
                <w:rFonts w:hint="eastAsia" w:ascii="仿宋" w:hAnsi="仿宋" w:eastAsia="仿宋" w:cs="仿宋"/>
                <w:szCs w:val="21"/>
                <w:highlight w:val="none"/>
              </w:rPr>
            </w:pPr>
            <w:r>
              <w:rPr>
                <w:rFonts w:hint="eastAsia" w:ascii="仿宋" w:hAnsi="仿宋" w:eastAsia="仿宋" w:cs="仿宋"/>
                <w:szCs w:val="21"/>
                <w:highlight w:val="none"/>
              </w:rPr>
              <w:t>响应文件的封皮</w:t>
            </w:r>
          </w:p>
        </w:tc>
        <w:tc>
          <w:tcPr>
            <w:tcW w:w="882" w:type="dxa"/>
            <w:vAlign w:val="center"/>
          </w:tcPr>
          <w:p w14:paraId="29ADD13A">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r>
      <w:tr w14:paraId="17060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7562FC1B">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c>
          <w:tcPr>
            <w:tcW w:w="6892" w:type="dxa"/>
            <w:vAlign w:val="center"/>
          </w:tcPr>
          <w:p w14:paraId="0C6D887C">
            <w:pPr>
              <w:snapToGrid w:val="0"/>
              <w:spacing w:line="360" w:lineRule="exact"/>
              <w:jc w:val="left"/>
              <w:rPr>
                <w:rFonts w:hint="eastAsia" w:ascii="仿宋" w:hAnsi="仿宋" w:eastAsia="仿宋" w:cs="仿宋"/>
                <w:szCs w:val="21"/>
                <w:highlight w:val="none"/>
              </w:rPr>
            </w:pPr>
            <w:r>
              <w:rPr>
                <w:rFonts w:hint="eastAsia" w:ascii="仿宋" w:hAnsi="仿宋" w:eastAsia="仿宋" w:cs="仿宋"/>
                <w:szCs w:val="21"/>
                <w:highlight w:val="none"/>
              </w:rPr>
              <w:t>响应文件的目录</w:t>
            </w:r>
          </w:p>
        </w:tc>
        <w:tc>
          <w:tcPr>
            <w:tcW w:w="882" w:type="dxa"/>
            <w:vAlign w:val="center"/>
          </w:tcPr>
          <w:p w14:paraId="45A5F68E">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r>
    </w:tbl>
    <w:p w14:paraId="2BDE9F93">
      <w:pPr>
        <w:snapToGrid w:val="0"/>
        <w:spacing w:beforeLines="50" w:afterLines="50"/>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二、资格证明材料（有一项不符合要求，不能进入下一阶段评审）</w:t>
      </w:r>
    </w:p>
    <w:tbl>
      <w:tblPr>
        <w:tblStyle w:val="38"/>
        <w:tblW w:w="0" w:type="auto"/>
        <w:jc w:val="center"/>
        <w:tblLayout w:type="fixed"/>
        <w:tblCellMar>
          <w:top w:w="0" w:type="dxa"/>
          <w:left w:w="0" w:type="dxa"/>
          <w:bottom w:w="0" w:type="dxa"/>
          <w:right w:w="0" w:type="dxa"/>
        </w:tblCellMar>
      </w:tblPr>
      <w:tblGrid>
        <w:gridCol w:w="667"/>
        <w:gridCol w:w="6936"/>
        <w:gridCol w:w="856"/>
      </w:tblGrid>
      <w:tr w14:paraId="43739966">
        <w:tblPrEx>
          <w:tblCellMar>
            <w:top w:w="0" w:type="dxa"/>
            <w:left w:w="0" w:type="dxa"/>
            <w:bottom w:w="0" w:type="dxa"/>
            <w:right w:w="0" w:type="dxa"/>
          </w:tblCellMar>
        </w:tblPrEx>
        <w:trPr>
          <w:trHeight w:val="335" w:hRule="atLeast"/>
          <w:tblHeader/>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6475D7">
            <w:pPr>
              <w:adjustRightInd w:val="0"/>
              <w:snapToGrid w:val="0"/>
              <w:jc w:val="center"/>
              <w:rPr>
                <w:rFonts w:hint="eastAsia" w:ascii="仿宋" w:hAnsi="仿宋" w:eastAsia="仿宋" w:cs="仿宋"/>
                <w:szCs w:val="21"/>
                <w:highlight w:val="none"/>
              </w:rPr>
            </w:pPr>
            <w:bookmarkStart w:id="74" w:name="sys_资格性证明材料：Document"/>
            <w:bookmarkStart w:id="75" w:name="资格性证明材料：Document"/>
            <w:r>
              <w:rPr>
                <w:rFonts w:hint="eastAsia" w:ascii="仿宋" w:hAnsi="仿宋" w:eastAsia="仿宋" w:cs="仿宋"/>
                <w:szCs w:val="21"/>
                <w:highlight w:val="none"/>
              </w:rPr>
              <w:t>序号</w:t>
            </w:r>
          </w:p>
        </w:tc>
        <w:tc>
          <w:tcPr>
            <w:tcW w:w="69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1851F7">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资格证明材料</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EC683D">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格式</w:t>
            </w:r>
          </w:p>
        </w:tc>
      </w:tr>
      <w:tr w14:paraId="49F63A1A">
        <w:tblPrEx>
          <w:tblCellMar>
            <w:top w:w="0" w:type="dxa"/>
            <w:left w:w="0" w:type="dxa"/>
            <w:bottom w:w="0" w:type="dxa"/>
            <w:right w:w="0" w:type="dxa"/>
          </w:tblCellMar>
        </w:tblPrEx>
        <w:trPr>
          <w:trHeight w:val="859"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31E9670">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69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F63A4A">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营业执照或事业单位法人证书或执业许可证等证明文件复印件或自然人的身份证明复印件（自然人身份证明仅在自然人作为响应主体时适用）</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EA899A">
            <w:pPr>
              <w:adjustRightInd w:val="0"/>
              <w:snapToGrid w:val="0"/>
              <w:jc w:val="center"/>
              <w:rPr>
                <w:rFonts w:hint="eastAsia" w:ascii="仿宋" w:hAnsi="仿宋" w:eastAsia="仿宋" w:cs="仿宋"/>
                <w:szCs w:val="21"/>
                <w:highlight w:val="none"/>
              </w:rPr>
            </w:pPr>
          </w:p>
        </w:tc>
      </w:tr>
      <w:tr w14:paraId="3969397A">
        <w:tblPrEx>
          <w:tblCellMar>
            <w:top w:w="0" w:type="dxa"/>
            <w:left w:w="0" w:type="dxa"/>
            <w:bottom w:w="0" w:type="dxa"/>
            <w:right w:w="0" w:type="dxa"/>
          </w:tblCellMar>
        </w:tblPrEx>
        <w:trPr>
          <w:trHeight w:val="590"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EEA0BD">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69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190658">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法定代表人（或非法人组织负责人）身份证明书（自然人参加磋商的无需提供）（法定代表人参加磋商的须提供，授权委托人参加磋商的无须提供）</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01619C5">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3</w:t>
            </w:r>
          </w:p>
        </w:tc>
      </w:tr>
      <w:tr w14:paraId="6643F852">
        <w:tblPrEx>
          <w:tblCellMar>
            <w:top w:w="0" w:type="dxa"/>
            <w:left w:w="0" w:type="dxa"/>
            <w:bottom w:w="0" w:type="dxa"/>
            <w:right w:w="0" w:type="dxa"/>
          </w:tblCellMar>
        </w:tblPrEx>
        <w:trPr>
          <w:trHeight w:val="590"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71BF73">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69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2D994D">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法定代表人（或非法人组织负责人）授权委托书（法定代表人参加磋商的无须提供，授权委托人参加磋商的须提供）</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B41901">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4</w:t>
            </w:r>
          </w:p>
        </w:tc>
      </w:tr>
      <w:tr w14:paraId="38B07B0B">
        <w:tblPrEx>
          <w:tblCellMar>
            <w:top w:w="0" w:type="dxa"/>
            <w:left w:w="0" w:type="dxa"/>
            <w:bottom w:w="0" w:type="dxa"/>
            <w:right w:w="0" w:type="dxa"/>
          </w:tblCellMar>
        </w:tblPrEx>
        <w:trPr>
          <w:trHeight w:val="590"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64F974">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69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63CDF49">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具有良好的商业信誉和健全的财务会计制度的承诺函</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F39F52">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5</w:t>
            </w:r>
          </w:p>
        </w:tc>
      </w:tr>
      <w:tr w14:paraId="6C0F698D">
        <w:tblPrEx>
          <w:tblCellMar>
            <w:top w:w="0" w:type="dxa"/>
            <w:left w:w="0" w:type="dxa"/>
            <w:bottom w:w="0" w:type="dxa"/>
            <w:right w:w="0" w:type="dxa"/>
          </w:tblCellMar>
        </w:tblPrEx>
        <w:trPr>
          <w:trHeight w:val="590"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7ECE3B">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5</w:t>
            </w:r>
          </w:p>
        </w:tc>
        <w:tc>
          <w:tcPr>
            <w:tcW w:w="69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855A01">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磋商会议时间前六个月内任一个月的依法缴纳税收的证明材料复印件</w:t>
            </w:r>
          </w:p>
          <w:p w14:paraId="641D2CDD">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（注：依法免税的供应商，应提供相关证明材料，包括相关法规要求原文及加盖公章的情况说明）</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AD46A6">
            <w:pPr>
              <w:adjustRightInd w:val="0"/>
              <w:snapToGrid w:val="0"/>
              <w:jc w:val="center"/>
              <w:rPr>
                <w:rFonts w:hint="eastAsia" w:ascii="仿宋" w:hAnsi="仿宋" w:eastAsia="仿宋" w:cs="仿宋"/>
                <w:szCs w:val="21"/>
                <w:highlight w:val="none"/>
              </w:rPr>
            </w:pPr>
          </w:p>
        </w:tc>
      </w:tr>
      <w:tr w14:paraId="07AA7D68">
        <w:tblPrEx>
          <w:tblCellMar>
            <w:top w:w="0" w:type="dxa"/>
            <w:left w:w="0" w:type="dxa"/>
            <w:bottom w:w="0" w:type="dxa"/>
            <w:right w:w="0" w:type="dxa"/>
          </w:tblCellMar>
        </w:tblPrEx>
        <w:trPr>
          <w:trHeight w:val="590"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A43EA7">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6</w:t>
            </w:r>
          </w:p>
        </w:tc>
        <w:tc>
          <w:tcPr>
            <w:tcW w:w="69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1CE1467">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磋商会议时间前六个月内任一个月的依法缴纳社会保障资金的证明材料复印件</w:t>
            </w:r>
          </w:p>
          <w:p w14:paraId="21E88BDF">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（注：依法不需要缴纳社会保障资金的供应商，应提供相关证明材料，包括相关法规要求原文及加盖公章的情况说明）</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D31E62">
            <w:pPr>
              <w:adjustRightInd w:val="0"/>
              <w:snapToGrid w:val="0"/>
              <w:jc w:val="center"/>
              <w:rPr>
                <w:rFonts w:hint="eastAsia" w:ascii="仿宋" w:hAnsi="仿宋" w:eastAsia="仿宋" w:cs="仿宋"/>
                <w:szCs w:val="21"/>
                <w:highlight w:val="none"/>
              </w:rPr>
            </w:pPr>
          </w:p>
        </w:tc>
      </w:tr>
      <w:tr w14:paraId="3FC9DB33">
        <w:tblPrEx>
          <w:tblCellMar>
            <w:top w:w="0" w:type="dxa"/>
            <w:left w:w="0" w:type="dxa"/>
            <w:bottom w:w="0" w:type="dxa"/>
            <w:right w:w="0" w:type="dxa"/>
          </w:tblCellMar>
        </w:tblPrEx>
        <w:trPr>
          <w:trHeight w:val="560"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DA3F31">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7</w:t>
            </w:r>
          </w:p>
        </w:tc>
        <w:tc>
          <w:tcPr>
            <w:tcW w:w="69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EF2FE17">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具备履行合同所必需的设备和专业技术能力声明函</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F9E4188">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6</w:t>
            </w:r>
          </w:p>
        </w:tc>
      </w:tr>
      <w:tr w14:paraId="11C70C41">
        <w:tblPrEx>
          <w:tblCellMar>
            <w:top w:w="0" w:type="dxa"/>
            <w:left w:w="0" w:type="dxa"/>
            <w:bottom w:w="0" w:type="dxa"/>
            <w:right w:w="0" w:type="dxa"/>
          </w:tblCellMar>
        </w:tblPrEx>
        <w:trPr>
          <w:trHeight w:val="692"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44A53B">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8</w:t>
            </w:r>
          </w:p>
        </w:tc>
        <w:tc>
          <w:tcPr>
            <w:tcW w:w="69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1B6FBC">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参加政府采购活动前3年内在经营活动中没有重大违法记录的书面声明</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DC037B">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7</w:t>
            </w:r>
          </w:p>
        </w:tc>
      </w:tr>
      <w:tr w14:paraId="2C8C8508">
        <w:tblPrEx>
          <w:tblCellMar>
            <w:top w:w="0" w:type="dxa"/>
            <w:left w:w="0" w:type="dxa"/>
            <w:bottom w:w="0" w:type="dxa"/>
            <w:right w:w="0" w:type="dxa"/>
          </w:tblCellMar>
        </w:tblPrEx>
        <w:trPr>
          <w:trHeight w:val="491"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0B50BB">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9</w:t>
            </w:r>
          </w:p>
        </w:tc>
        <w:tc>
          <w:tcPr>
            <w:tcW w:w="69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6730F6">
            <w:pPr>
              <w:adjustRightInd w:val="0"/>
              <w:snapToGrid w:val="0"/>
              <w:jc w:val="left"/>
              <w:rPr>
                <w:rFonts w:hint="eastAsia" w:ascii="仿宋" w:hAnsi="仿宋" w:eastAsia="仿宋" w:cs="仿宋"/>
                <w:szCs w:val="21"/>
                <w:highlight w:val="none"/>
              </w:rPr>
            </w:pPr>
            <w:r>
              <w:rPr>
                <w:rFonts w:hint="eastAsia" w:ascii="仿宋" w:hAnsi="仿宋" w:eastAsia="仿宋" w:cs="仿宋"/>
                <w:kern w:val="0"/>
                <w:szCs w:val="21"/>
                <w:highlight w:val="none"/>
              </w:rPr>
              <w:t>供应商关联单位说明</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B8B3EC">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8</w:t>
            </w:r>
          </w:p>
        </w:tc>
      </w:tr>
      <w:tr w14:paraId="21BA5135">
        <w:tblPrEx>
          <w:tblCellMar>
            <w:top w:w="0" w:type="dxa"/>
            <w:left w:w="0" w:type="dxa"/>
            <w:bottom w:w="0" w:type="dxa"/>
            <w:right w:w="0" w:type="dxa"/>
          </w:tblCellMar>
        </w:tblPrEx>
        <w:trPr>
          <w:trHeight w:val="471"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E4C910">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10</w:t>
            </w:r>
          </w:p>
        </w:tc>
        <w:tc>
          <w:tcPr>
            <w:tcW w:w="69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08CEE7B">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其他资格证明文件（按供应商须知表1.3.4要求描述）</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3C9266">
            <w:pPr>
              <w:adjustRightInd w:val="0"/>
              <w:snapToGrid w:val="0"/>
              <w:jc w:val="center"/>
              <w:rPr>
                <w:rFonts w:hint="eastAsia" w:ascii="仿宋" w:hAnsi="仿宋" w:eastAsia="仿宋" w:cs="仿宋"/>
                <w:szCs w:val="21"/>
                <w:highlight w:val="none"/>
              </w:rPr>
            </w:pPr>
          </w:p>
        </w:tc>
      </w:tr>
      <w:tr w14:paraId="1B506EFF">
        <w:tblPrEx>
          <w:tblCellMar>
            <w:top w:w="0" w:type="dxa"/>
            <w:left w:w="0" w:type="dxa"/>
            <w:bottom w:w="0" w:type="dxa"/>
            <w:right w:w="0" w:type="dxa"/>
          </w:tblCellMar>
        </w:tblPrEx>
        <w:trPr>
          <w:trHeight w:val="532"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BFE745">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11</w:t>
            </w:r>
          </w:p>
        </w:tc>
        <w:tc>
          <w:tcPr>
            <w:tcW w:w="69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E90284">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项目经理（建造师）承诺书</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668CB8">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9</w:t>
            </w:r>
          </w:p>
        </w:tc>
      </w:tr>
      <w:tr w14:paraId="29DB043A">
        <w:tblPrEx>
          <w:tblCellMar>
            <w:top w:w="0" w:type="dxa"/>
            <w:left w:w="0" w:type="dxa"/>
            <w:bottom w:w="0" w:type="dxa"/>
            <w:right w:w="0" w:type="dxa"/>
          </w:tblCellMar>
        </w:tblPrEx>
        <w:trPr>
          <w:trHeight w:val="709"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63FED6">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12</w:t>
            </w:r>
          </w:p>
        </w:tc>
        <w:tc>
          <w:tcPr>
            <w:tcW w:w="69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3D5903">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信用记录（采购人或采购代理机构将按照采购文件规定的审查期间内进行查询）</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C04F84">
            <w:pPr>
              <w:adjustRightInd w:val="0"/>
              <w:snapToGrid w:val="0"/>
              <w:jc w:val="center"/>
              <w:rPr>
                <w:rFonts w:hint="eastAsia" w:ascii="仿宋" w:hAnsi="仿宋" w:eastAsia="仿宋" w:cs="仿宋"/>
                <w:szCs w:val="21"/>
                <w:highlight w:val="none"/>
              </w:rPr>
            </w:pPr>
          </w:p>
        </w:tc>
      </w:tr>
      <w:tr w14:paraId="3261FB37">
        <w:tblPrEx>
          <w:tblCellMar>
            <w:top w:w="0" w:type="dxa"/>
            <w:left w:w="0" w:type="dxa"/>
            <w:bottom w:w="0" w:type="dxa"/>
            <w:right w:w="0" w:type="dxa"/>
          </w:tblCellMar>
        </w:tblPrEx>
        <w:trPr>
          <w:trHeight w:val="601"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3C3A49">
            <w:pPr>
              <w:adjustRightInd w:val="0"/>
              <w:snapToGrid w:val="0"/>
              <w:jc w:val="center"/>
              <w:rPr>
                <w:rFonts w:hint="eastAsia" w:ascii="仿宋" w:hAnsi="仿宋" w:eastAsia="仿宋" w:cs="仿宋"/>
                <w:szCs w:val="21"/>
                <w:highlight w:val="none"/>
              </w:rPr>
            </w:pPr>
            <w:r>
              <w:rPr>
                <w:rFonts w:hint="eastAsia" w:ascii="仿宋" w:hAnsi="仿宋" w:eastAsia="仿宋" w:cs="仿宋"/>
                <w:kern w:val="0"/>
                <w:szCs w:val="21"/>
                <w:highlight w:val="none"/>
              </w:rPr>
              <w:t>13</w:t>
            </w:r>
          </w:p>
        </w:tc>
        <w:tc>
          <w:tcPr>
            <w:tcW w:w="69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446456">
            <w:pPr>
              <w:rPr>
                <w:rFonts w:hint="eastAsia" w:ascii="仿宋" w:hAnsi="仿宋" w:eastAsia="仿宋" w:cs="仿宋"/>
                <w:szCs w:val="21"/>
                <w:highlight w:val="none"/>
              </w:rPr>
            </w:pPr>
            <w:r>
              <w:rPr>
                <w:rFonts w:hint="eastAsia" w:ascii="仿宋" w:hAnsi="仿宋" w:eastAsia="仿宋" w:cs="仿宋"/>
                <w:kern w:val="0"/>
                <w:szCs w:val="21"/>
                <w:highlight w:val="none"/>
              </w:rPr>
              <w:t>中小企业声明函（工程）</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FAAA7B">
            <w:pPr>
              <w:adjustRightInd w:val="0"/>
              <w:snapToGrid w:val="0"/>
              <w:jc w:val="center"/>
              <w:rPr>
                <w:rFonts w:hint="eastAsia" w:ascii="仿宋" w:hAnsi="仿宋" w:eastAsia="仿宋" w:cs="仿宋"/>
                <w:szCs w:val="21"/>
                <w:highlight w:val="none"/>
              </w:rPr>
            </w:pPr>
            <w:r>
              <w:rPr>
                <w:rFonts w:hint="eastAsia" w:ascii="仿宋" w:hAnsi="仿宋" w:eastAsia="仿宋" w:cs="仿宋"/>
                <w:kern w:val="0"/>
                <w:szCs w:val="21"/>
                <w:highlight w:val="none"/>
              </w:rPr>
              <w:t>14</w:t>
            </w:r>
          </w:p>
        </w:tc>
      </w:tr>
    </w:tbl>
    <w:p w14:paraId="4D4CBFB1">
      <w:pPr>
        <w:rPr>
          <w:rFonts w:hint="eastAsia" w:ascii="仿宋" w:hAnsi="仿宋" w:eastAsia="仿宋" w:cs="仿宋"/>
          <w:b/>
          <w:sz w:val="24"/>
          <w:highlight w:val="none"/>
        </w:rPr>
      </w:pPr>
      <w:r>
        <w:rPr>
          <w:rFonts w:hint="eastAsia" w:ascii="仿宋" w:hAnsi="仿宋" w:eastAsia="仿宋" w:cs="仿宋"/>
          <w:b/>
          <w:sz w:val="24"/>
          <w:highlight w:val="none"/>
        </w:rPr>
        <w:br w:type="page"/>
      </w:r>
    </w:p>
    <w:p w14:paraId="24CA0AA3">
      <w:pPr>
        <w:snapToGrid w:val="0"/>
        <w:spacing w:beforeLines="50" w:afterLines="50"/>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三、符合性证明材料（有一项不符合要求，不能进入下一阶段评审）</w:t>
      </w:r>
    </w:p>
    <w:bookmarkEnd w:id="74"/>
    <w:bookmarkEnd w:id="75"/>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6965"/>
        <w:gridCol w:w="855"/>
      </w:tblGrid>
      <w:tr w14:paraId="208CE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blHeader/>
          <w:jc w:val="center"/>
        </w:trPr>
        <w:tc>
          <w:tcPr>
            <w:tcW w:w="663" w:type="dxa"/>
            <w:vAlign w:val="center"/>
          </w:tcPr>
          <w:p w14:paraId="11E7E1D4">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6965" w:type="dxa"/>
            <w:vAlign w:val="center"/>
          </w:tcPr>
          <w:p w14:paraId="2E4B9213">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符合性证明材料</w:t>
            </w:r>
          </w:p>
        </w:tc>
        <w:tc>
          <w:tcPr>
            <w:tcW w:w="855" w:type="dxa"/>
            <w:vAlign w:val="center"/>
          </w:tcPr>
          <w:p w14:paraId="392BF7B7">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格式</w:t>
            </w:r>
          </w:p>
        </w:tc>
      </w:tr>
      <w:tr w14:paraId="3ADD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6CF423B0">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c>
          <w:tcPr>
            <w:tcW w:w="6965" w:type="dxa"/>
            <w:vAlign w:val="center"/>
          </w:tcPr>
          <w:p w14:paraId="40757E3F">
            <w:pPr>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响应函</w:t>
            </w:r>
          </w:p>
        </w:tc>
        <w:tc>
          <w:tcPr>
            <w:tcW w:w="855" w:type="dxa"/>
            <w:vAlign w:val="center"/>
          </w:tcPr>
          <w:p w14:paraId="0FCD0B26">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w:t>
            </w:r>
          </w:p>
        </w:tc>
      </w:tr>
      <w:tr w14:paraId="66B69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0DE33C4E">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c>
          <w:tcPr>
            <w:tcW w:w="6965" w:type="dxa"/>
            <w:vAlign w:val="center"/>
          </w:tcPr>
          <w:p w14:paraId="72A8ABFC">
            <w:pPr>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报价一览表</w:t>
            </w:r>
          </w:p>
        </w:tc>
        <w:tc>
          <w:tcPr>
            <w:tcW w:w="855" w:type="dxa"/>
            <w:vAlign w:val="center"/>
          </w:tcPr>
          <w:p w14:paraId="4D516826">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11</w:t>
            </w:r>
          </w:p>
        </w:tc>
      </w:tr>
      <w:tr w14:paraId="54871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5267DDCE">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w:t>
            </w:r>
          </w:p>
        </w:tc>
        <w:tc>
          <w:tcPr>
            <w:tcW w:w="6965" w:type="dxa"/>
            <w:vAlign w:val="center"/>
          </w:tcPr>
          <w:p w14:paraId="5DE09F2C">
            <w:pPr>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已标价工程量清单</w:t>
            </w:r>
          </w:p>
        </w:tc>
        <w:tc>
          <w:tcPr>
            <w:tcW w:w="855" w:type="dxa"/>
            <w:vAlign w:val="center"/>
          </w:tcPr>
          <w:p w14:paraId="5F68758F">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12</w:t>
            </w:r>
          </w:p>
        </w:tc>
      </w:tr>
      <w:tr w14:paraId="4DDC4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1F5C18D9">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4</w:t>
            </w:r>
          </w:p>
        </w:tc>
        <w:tc>
          <w:tcPr>
            <w:tcW w:w="6965" w:type="dxa"/>
            <w:vAlign w:val="center"/>
          </w:tcPr>
          <w:p w14:paraId="306D4677">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商务条款偏离表</w:t>
            </w:r>
          </w:p>
        </w:tc>
        <w:tc>
          <w:tcPr>
            <w:tcW w:w="855" w:type="dxa"/>
            <w:vAlign w:val="center"/>
          </w:tcPr>
          <w:p w14:paraId="24F93B07">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w:t>
            </w:r>
          </w:p>
        </w:tc>
      </w:tr>
      <w:tr w14:paraId="06491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3" w:type="dxa"/>
            <w:vAlign w:val="center"/>
          </w:tcPr>
          <w:p w14:paraId="7E98C602">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5</w:t>
            </w:r>
          </w:p>
        </w:tc>
        <w:tc>
          <w:tcPr>
            <w:tcW w:w="6965" w:type="dxa"/>
            <w:vAlign w:val="center"/>
          </w:tcPr>
          <w:p w14:paraId="2C59BF46">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其他符合性证明材料</w:t>
            </w:r>
          </w:p>
        </w:tc>
        <w:tc>
          <w:tcPr>
            <w:tcW w:w="855" w:type="dxa"/>
            <w:vAlign w:val="center"/>
          </w:tcPr>
          <w:p w14:paraId="1C6ED494">
            <w:pPr>
              <w:adjustRightInd w:val="0"/>
              <w:snapToGrid w:val="0"/>
              <w:jc w:val="center"/>
              <w:rPr>
                <w:rFonts w:hint="eastAsia" w:ascii="仿宋" w:hAnsi="仿宋" w:eastAsia="仿宋" w:cs="仿宋"/>
                <w:kern w:val="0"/>
                <w:szCs w:val="21"/>
                <w:highlight w:val="none"/>
              </w:rPr>
            </w:pPr>
          </w:p>
        </w:tc>
      </w:tr>
    </w:tbl>
    <w:p w14:paraId="486514AD">
      <w:pPr>
        <w:snapToGrid w:val="0"/>
        <w:spacing w:beforeLines="50" w:afterLines="50"/>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四、其他材料（如有，请提供；如未提供，响应文件不作无效处理）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6886"/>
        <w:gridCol w:w="855"/>
      </w:tblGrid>
      <w:tr w14:paraId="4EEDC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78" w:type="dxa"/>
            <w:vAlign w:val="center"/>
          </w:tcPr>
          <w:p w14:paraId="6E8B3BEE">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6886" w:type="dxa"/>
            <w:vAlign w:val="center"/>
          </w:tcPr>
          <w:p w14:paraId="1748042F">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其他材料</w:t>
            </w:r>
          </w:p>
        </w:tc>
        <w:tc>
          <w:tcPr>
            <w:tcW w:w="855" w:type="dxa"/>
            <w:vAlign w:val="center"/>
          </w:tcPr>
          <w:p w14:paraId="586D8064">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格式</w:t>
            </w:r>
          </w:p>
        </w:tc>
      </w:tr>
      <w:tr w14:paraId="6212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14:paraId="4C5E4CA7">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c>
          <w:tcPr>
            <w:tcW w:w="6886" w:type="dxa"/>
            <w:vAlign w:val="center"/>
          </w:tcPr>
          <w:p w14:paraId="1D103E09">
            <w:pPr>
              <w:rPr>
                <w:rFonts w:hint="eastAsia" w:ascii="仿宋" w:hAnsi="仿宋" w:eastAsia="仿宋" w:cs="仿宋"/>
                <w:highlight w:val="none"/>
              </w:rPr>
            </w:pPr>
            <w:r>
              <w:rPr>
                <w:rFonts w:hint="eastAsia" w:ascii="仿宋" w:hAnsi="仿宋" w:eastAsia="仿宋" w:cs="仿宋"/>
                <w:kern w:val="0"/>
                <w:szCs w:val="21"/>
                <w:highlight w:val="none"/>
              </w:rPr>
              <w:t>监狱企业证明文件/</w:t>
            </w:r>
            <w:r>
              <w:rPr>
                <w:rFonts w:hint="eastAsia" w:ascii="仿宋" w:hAnsi="仿宋" w:eastAsia="仿宋" w:cs="仿宋"/>
                <w:szCs w:val="21"/>
                <w:highlight w:val="none"/>
              </w:rPr>
              <w:t>残疾人福利性单位声明函</w:t>
            </w:r>
          </w:p>
        </w:tc>
        <w:tc>
          <w:tcPr>
            <w:tcW w:w="855" w:type="dxa"/>
            <w:vAlign w:val="center"/>
          </w:tcPr>
          <w:p w14:paraId="0B67B65A">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15</w:t>
            </w:r>
          </w:p>
        </w:tc>
      </w:tr>
      <w:tr w14:paraId="6616C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14:paraId="0D647D4F">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c>
          <w:tcPr>
            <w:tcW w:w="6886" w:type="dxa"/>
            <w:vAlign w:val="center"/>
          </w:tcPr>
          <w:p w14:paraId="0EA01F9E">
            <w:pPr>
              <w:adjustRightInd w:val="0"/>
              <w:snapToGrid w:val="0"/>
              <w:ind w:left="25" w:leftChars="12"/>
              <w:rPr>
                <w:rFonts w:hint="eastAsia" w:ascii="仿宋" w:hAnsi="仿宋" w:eastAsia="仿宋" w:cs="仿宋"/>
                <w:szCs w:val="21"/>
                <w:highlight w:val="none"/>
              </w:rPr>
            </w:pPr>
            <w:r>
              <w:rPr>
                <w:rFonts w:hint="eastAsia" w:ascii="仿宋" w:hAnsi="仿宋" w:eastAsia="仿宋" w:cs="仿宋"/>
                <w:szCs w:val="21"/>
                <w:highlight w:val="none"/>
              </w:rPr>
              <w:t>施工组织设计</w:t>
            </w:r>
          </w:p>
        </w:tc>
        <w:tc>
          <w:tcPr>
            <w:tcW w:w="855" w:type="dxa"/>
            <w:vAlign w:val="center"/>
          </w:tcPr>
          <w:p w14:paraId="25ED5EE1">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16</w:t>
            </w:r>
          </w:p>
        </w:tc>
      </w:tr>
      <w:tr w14:paraId="046BD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14:paraId="1DEB04C6">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w:t>
            </w:r>
          </w:p>
        </w:tc>
        <w:tc>
          <w:tcPr>
            <w:tcW w:w="6886" w:type="dxa"/>
            <w:vAlign w:val="center"/>
          </w:tcPr>
          <w:p w14:paraId="7E8AB306">
            <w:pPr>
              <w:adjustRightInd w:val="0"/>
              <w:snapToGrid w:val="0"/>
              <w:ind w:left="25" w:leftChars="12"/>
              <w:rPr>
                <w:rFonts w:hint="eastAsia" w:ascii="仿宋" w:hAnsi="仿宋" w:eastAsia="仿宋" w:cs="仿宋"/>
                <w:szCs w:val="21"/>
                <w:highlight w:val="none"/>
              </w:rPr>
            </w:pPr>
            <w:r>
              <w:rPr>
                <w:rFonts w:hint="eastAsia" w:ascii="仿宋" w:hAnsi="仿宋" w:eastAsia="仿宋" w:cs="仿宋"/>
                <w:szCs w:val="21"/>
                <w:highlight w:val="none"/>
              </w:rPr>
              <w:t>项目管理机构</w:t>
            </w:r>
          </w:p>
        </w:tc>
        <w:tc>
          <w:tcPr>
            <w:tcW w:w="855" w:type="dxa"/>
            <w:vAlign w:val="center"/>
          </w:tcPr>
          <w:p w14:paraId="13984199">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17</w:t>
            </w:r>
          </w:p>
        </w:tc>
      </w:tr>
      <w:tr w14:paraId="31244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78" w:type="dxa"/>
            <w:vAlign w:val="center"/>
          </w:tcPr>
          <w:p w14:paraId="1DF68B0B">
            <w:pPr>
              <w:adjustRightInd w:val="0"/>
              <w:snapToGrid w:val="0"/>
              <w:jc w:val="center"/>
              <w:rPr>
                <w:rFonts w:hint="eastAsia" w:ascii="仿宋" w:hAnsi="仿宋" w:eastAsia="仿宋" w:cs="仿宋"/>
                <w:kern w:val="0"/>
                <w:szCs w:val="21"/>
                <w:highlight w:val="none"/>
              </w:rPr>
            </w:pPr>
          </w:p>
        </w:tc>
        <w:tc>
          <w:tcPr>
            <w:tcW w:w="6886" w:type="dxa"/>
            <w:vAlign w:val="center"/>
          </w:tcPr>
          <w:p w14:paraId="45E1E449">
            <w:pPr>
              <w:pStyle w:val="110"/>
              <w:adjustRightInd w:val="0"/>
              <w:snapToGrid w:val="0"/>
              <w:ind w:left="25" w:leftChars="12" w:firstLine="0" w:firstLineChars="0"/>
              <w:rPr>
                <w:rFonts w:hint="eastAsia" w:ascii="仿宋" w:hAnsi="仿宋" w:eastAsia="仿宋" w:cs="仿宋"/>
                <w:kern w:val="0"/>
                <w:szCs w:val="21"/>
                <w:highlight w:val="none"/>
              </w:rPr>
            </w:pPr>
            <w:r>
              <w:rPr>
                <w:rFonts w:hint="eastAsia" w:ascii="仿宋" w:hAnsi="仿宋" w:eastAsia="仿宋" w:cs="仿宋"/>
                <w:kern w:val="0"/>
                <w:szCs w:val="21"/>
                <w:highlight w:val="none"/>
              </w:rPr>
              <w:t>……</w:t>
            </w:r>
          </w:p>
        </w:tc>
        <w:tc>
          <w:tcPr>
            <w:tcW w:w="855" w:type="dxa"/>
            <w:vAlign w:val="center"/>
          </w:tcPr>
          <w:p w14:paraId="422E0B59">
            <w:pPr>
              <w:adjustRightInd w:val="0"/>
              <w:snapToGrid w:val="0"/>
              <w:jc w:val="center"/>
              <w:rPr>
                <w:rFonts w:hint="eastAsia" w:ascii="仿宋" w:hAnsi="仿宋" w:eastAsia="仿宋" w:cs="仿宋"/>
                <w:kern w:val="0"/>
                <w:szCs w:val="21"/>
                <w:highlight w:val="none"/>
              </w:rPr>
            </w:pPr>
          </w:p>
        </w:tc>
      </w:tr>
    </w:tbl>
    <w:p w14:paraId="38A40365">
      <w:pPr>
        <w:adjustRightInd w:val="0"/>
        <w:snapToGrid w:val="0"/>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重要提示：</w:t>
      </w:r>
    </w:p>
    <w:p w14:paraId="0F644284">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1.供应商提供的证明材料，除需要供应商填报或有特殊说明外，均须按要求提供。</w:t>
      </w:r>
      <w:r>
        <w:rPr>
          <w:rFonts w:hint="eastAsia" w:ascii="仿宋" w:hAnsi="仿宋" w:eastAsia="仿宋" w:cs="仿宋"/>
          <w:b/>
          <w:bCs/>
          <w:sz w:val="24"/>
          <w:highlight w:val="none"/>
        </w:rPr>
        <w:t xml:space="preserve"> </w:t>
      </w:r>
    </w:p>
    <w:p w14:paraId="11A93133">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2.供应商在编制响应文件时，对于给定格式的文件内容，必须按照给定的标准格式进行填报；对于没有给定标准格式的文件内容，可以由供应商自行设计。</w:t>
      </w:r>
    </w:p>
    <w:p w14:paraId="20C21063">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3.响应文件应用中文书写。响应文件中所附或所引用的材料不是中文时，应附中文译本，并加盖单位公章（自然人参与政府采购活动的，无需加盖单位公章，需要签字）。</w:t>
      </w:r>
    </w:p>
    <w:p w14:paraId="228EA0AE">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4.“资格证明材料”所列内容即为采购项目的资格审查条件，有一项不符合要求，不能进入下一阶段评审。</w:t>
      </w:r>
    </w:p>
    <w:p w14:paraId="310B43B9">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5.“符合性证明材料”所列内容即为采购项目的符合性审查条件，有一项不符合要求，不能进入下一阶段评审。</w:t>
      </w:r>
    </w:p>
    <w:p w14:paraId="07C804B0">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6.“其他材料”为供应商就采购文件要求的以及供应商认为需要提供的相应材料。</w:t>
      </w:r>
    </w:p>
    <w:p w14:paraId="6A2B31A1">
      <w:pPr>
        <w:adjustRightInd w:val="0"/>
        <w:snapToGrid w:val="0"/>
        <w:spacing w:line="360" w:lineRule="auto"/>
        <w:ind w:firstLine="420" w:firstLineChars="200"/>
        <w:jc w:val="left"/>
        <w:rPr>
          <w:rFonts w:hint="eastAsia" w:ascii="仿宋" w:hAnsi="仿宋" w:eastAsia="仿宋" w:cs="仿宋"/>
          <w:szCs w:val="21"/>
          <w:highlight w:val="none"/>
        </w:rPr>
      </w:pPr>
    </w:p>
    <w:p w14:paraId="7239B483">
      <w:pPr>
        <w:widowControl/>
        <w:jc w:val="left"/>
        <w:outlineLvl w:val="1"/>
        <w:rPr>
          <w:rFonts w:hint="eastAsia" w:ascii="仿宋" w:hAnsi="仿宋" w:eastAsia="仿宋" w:cs="仿宋"/>
          <w:b/>
          <w:bCs/>
          <w:sz w:val="28"/>
          <w:szCs w:val="28"/>
          <w:highlight w:val="none"/>
        </w:rPr>
        <w:sectPr>
          <w:footerReference r:id="rId5" w:type="default"/>
          <w:pgSz w:w="11906" w:h="16838"/>
          <w:pgMar w:top="1440" w:right="1803" w:bottom="1440" w:left="1803" w:header="851" w:footer="992" w:gutter="0"/>
          <w:cols w:space="720" w:num="1"/>
          <w:docGrid w:type="lines" w:linePitch="319" w:charSpace="0"/>
        </w:sectPr>
      </w:pPr>
      <w:bookmarkStart w:id="76" w:name="_Toc4485626"/>
      <w:bookmarkStart w:id="77" w:name="_Toc533340149"/>
    </w:p>
    <w:p w14:paraId="531075E3">
      <w:pPr>
        <w:widowControl/>
        <w:jc w:val="left"/>
        <w:outlineLvl w:val="1"/>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格式1</w:t>
      </w:r>
      <w:bookmarkEnd w:id="76"/>
      <w:bookmarkEnd w:id="77"/>
    </w:p>
    <w:p w14:paraId="280C6DD4">
      <w:pPr>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（响应文件的封皮）</w:t>
      </w:r>
    </w:p>
    <w:p w14:paraId="1B5C6314">
      <w:pPr>
        <w:rPr>
          <w:rFonts w:hint="eastAsia" w:ascii="仿宋" w:hAnsi="仿宋" w:eastAsia="仿宋" w:cs="仿宋"/>
          <w:highlight w:val="none"/>
        </w:rPr>
      </w:pPr>
    </w:p>
    <w:p w14:paraId="5D6E9C98">
      <w:pPr>
        <w:rPr>
          <w:rFonts w:hint="eastAsia" w:ascii="仿宋" w:hAnsi="仿宋" w:eastAsia="仿宋" w:cs="仿宋"/>
          <w:highlight w:val="none"/>
        </w:rPr>
      </w:pPr>
    </w:p>
    <w:p w14:paraId="1963DDC2">
      <w:pPr>
        <w:rPr>
          <w:rFonts w:hint="eastAsia" w:ascii="仿宋" w:hAnsi="仿宋" w:eastAsia="仿宋" w:cs="仿宋"/>
          <w:highlight w:val="none"/>
        </w:rPr>
      </w:pPr>
    </w:p>
    <w:p w14:paraId="5A1F6486">
      <w:pPr>
        <w:rPr>
          <w:rFonts w:hint="eastAsia" w:ascii="仿宋" w:hAnsi="仿宋" w:eastAsia="仿宋" w:cs="仿宋"/>
          <w:highlight w:val="none"/>
        </w:rPr>
      </w:pPr>
    </w:p>
    <w:p w14:paraId="5AEA8ADC">
      <w:pPr>
        <w:rPr>
          <w:rFonts w:hint="eastAsia" w:ascii="仿宋" w:hAnsi="仿宋" w:eastAsia="仿宋" w:cs="仿宋"/>
          <w:highlight w:val="none"/>
        </w:rPr>
      </w:pPr>
    </w:p>
    <w:p w14:paraId="28DFE8D3">
      <w:pPr>
        <w:rPr>
          <w:rFonts w:hint="eastAsia" w:ascii="仿宋" w:hAnsi="仿宋" w:eastAsia="仿宋" w:cs="仿宋"/>
          <w:highlight w:val="none"/>
        </w:rPr>
      </w:pPr>
    </w:p>
    <w:p w14:paraId="15057AA3">
      <w:pPr>
        <w:jc w:val="center"/>
        <w:rPr>
          <w:rFonts w:hint="eastAsia" w:ascii="仿宋" w:hAnsi="仿宋" w:eastAsia="仿宋" w:cs="仿宋"/>
          <w:b/>
          <w:bCs/>
          <w:sz w:val="52"/>
          <w:szCs w:val="52"/>
          <w:highlight w:val="none"/>
        </w:rPr>
      </w:pPr>
      <w:r>
        <w:rPr>
          <w:rFonts w:hint="eastAsia" w:ascii="仿宋" w:hAnsi="仿宋" w:eastAsia="仿宋" w:cs="仿宋"/>
          <w:b/>
          <w:bCs/>
          <w:sz w:val="52"/>
          <w:szCs w:val="52"/>
          <w:highlight w:val="none"/>
        </w:rPr>
        <w:t>响  应  文  件</w:t>
      </w:r>
    </w:p>
    <w:p w14:paraId="381EB5E6">
      <w:pPr>
        <w:rPr>
          <w:rFonts w:hint="eastAsia" w:ascii="仿宋" w:hAnsi="仿宋" w:eastAsia="仿宋" w:cs="仿宋"/>
          <w:highlight w:val="none"/>
        </w:rPr>
      </w:pPr>
    </w:p>
    <w:p w14:paraId="3C2216F9">
      <w:pPr>
        <w:rPr>
          <w:rFonts w:hint="eastAsia" w:ascii="仿宋" w:hAnsi="仿宋" w:eastAsia="仿宋" w:cs="仿宋"/>
          <w:highlight w:val="none"/>
        </w:rPr>
      </w:pPr>
    </w:p>
    <w:p w14:paraId="2A873A5B">
      <w:pPr>
        <w:rPr>
          <w:rFonts w:hint="eastAsia" w:ascii="仿宋" w:hAnsi="仿宋" w:eastAsia="仿宋" w:cs="仿宋"/>
          <w:highlight w:val="none"/>
        </w:rPr>
      </w:pPr>
    </w:p>
    <w:p w14:paraId="5F677263">
      <w:pPr>
        <w:rPr>
          <w:rFonts w:hint="eastAsia" w:ascii="仿宋" w:hAnsi="仿宋" w:eastAsia="仿宋" w:cs="仿宋"/>
          <w:sz w:val="28"/>
          <w:szCs w:val="28"/>
          <w:highlight w:val="none"/>
        </w:rPr>
      </w:pPr>
    </w:p>
    <w:p w14:paraId="62E9782A">
      <w:pPr>
        <w:rPr>
          <w:rFonts w:hint="eastAsia" w:ascii="仿宋" w:hAnsi="仿宋" w:eastAsia="仿宋" w:cs="仿宋"/>
          <w:sz w:val="28"/>
          <w:szCs w:val="28"/>
          <w:highlight w:val="none"/>
        </w:rPr>
      </w:pPr>
    </w:p>
    <w:p w14:paraId="4B264F3E">
      <w:pPr>
        <w:rPr>
          <w:rFonts w:hint="eastAsia" w:ascii="仿宋" w:hAnsi="仿宋" w:eastAsia="仿宋" w:cs="仿宋"/>
          <w:sz w:val="28"/>
          <w:szCs w:val="28"/>
          <w:highlight w:val="none"/>
        </w:rPr>
      </w:pPr>
    </w:p>
    <w:p w14:paraId="322FC72F">
      <w:pPr>
        <w:rPr>
          <w:rFonts w:hint="eastAsia" w:ascii="仿宋" w:hAnsi="仿宋" w:eastAsia="仿宋" w:cs="仿宋"/>
          <w:sz w:val="28"/>
          <w:szCs w:val="28"/>
          <w:highlight w:val="none"/>
        </w:rPr>
      </w:pPr>
    </w:p>
    <w:p w14:paraId="5140C200">
      <w:pPr>
        <w:rPr>
          <w:rFonts w:hint="eastAsia" w:ascii="仿宋" w:hAnsi="仿宋" w:eastAsia="仿宋" w:cs="仿宋"/>
          <w:sz w:val="28"/>
          <w:szCs w:val="28"/>
          <w:highlight w:val="none"/>
        </w:rPr>
      </w:pPr>
    </w:p>
    <w:p w14:paraId="5499DBD6">
      <w:pPr>
        <w:rPr>
          <w:rFonts w:hint="eastAsia" w:ascii="仿宋" w:hAnsi="仿宋" w:eastAsia="仿宋" w:cs="仿宋"/>
          <w:sz w:val="28"/>
          <w:szCs w:val="28"/>
          <w:highlight w:val="none"/>
        </w:rPr>
      </w:pPr>
    </w:p>
    <w:p w14:paraId="152E6245">
      <w:pPr>
        <w:rPr>
          <w:rFonts w:hint="eastAsia" w:ascii="仿宋" w:hAnsi="仿宋" w:eastAsia="仿宋" w:cs="仿宋"/>
          <w:sz w:val="28"/>
          <w:szCs w:val="28"/>
          <w:highlight w:val="none"/>
        </w:rPr>
      </w:pPr>
    </w:p>
    <w:p w14:paraId="024D456A">
      <w:pPr>
        <w:rPr>
          <w:rFonts w:hint="eastAsia" w:ascii="仿宋" w:hAnsi="仿宋" w:eastAsia="仿宋" w:cs="仿宋"/>
          <w:sz w:val="36"/>
          <w:szCs w:val="36"/>
          <w:highlight w:val="none"/>
        </w:rPr>
      </w:pPr>
      <w:r>
        <w:rPr>
          <w:rFonts w:hint="eastAsia" w:ascii="仿宋" w:hAnsi="仿宋" w:eastAsia="仿宋" w:cs="仿宋"/>
          <w:sz w:val="36"/>
          <w:szCs w:val="36"/>
          <w:highlight w:val="none"/>
        </w:rPr>
        <w:t>所响应包组编号：第  包</w:t>
      </w:r>
    </w:p>
    <w:p w14:paraId="03DE83DF">
      <w:pPr>
        <w:rPr>
          <w:rFonts w:hint="eastAsia" w:ascii="仿宋" w:hAnsi="仿宋" w:eastAsia="仿宋" w:cs="仿宋"/>
          <w:sz w:val="36"/>
          <w:szCs w:val="36"/>
          <w:highlight w:val="none"/>
        </w:rPr>
      </w:pPr>
      <w:r>
        <w:rPr>
          <w:rFonts w:hint="eastAsia" w:ascii="仿宋" w:hAnsi="仿宋" w:eastAsia="仿宋" w:cs="仿宋"/>
          <w:sz w:val="36"/>
          <w:szCs w:val="36"/>
          <w:highlight w:val="none"/>
        </w:rPr>
        <w:t>项目名称：</w:t>
      </w:r>
    </w:p>
    <w:p w14:paraId="100BD6F1">
      <w:pPr>
        <w:rPr>
          <w:rFonts w:hint="eastAsia" w:ascii="仿宋" w:hAnsi="仿宋" w:eastAsia="仿宋" w:cs="仿宋"/>
          <w:sz w:val="36"/>
          <w:szCs w:val="36"/>
          <w:highlight w:val="none"/>
        </w:rPr>
      </w:pPr>
      <w:r>
        <w:rPr>
          <w:rFonts w:hint="eastAsia" w:ascii="仿宋" w:hAnsi="仿宋" w:eastAsia="仿宋" w:cs="仿宋"/>
          <w:sz w:val="36"/>
          <w:szCs w:val="36"/>
          <w:highlight w:val="none"/>
        </w:rPr>
        <w:t>项目编号：</w:t>
      </w:r>
    </w:p>
    <w:p w14:paraId="30CAB902">
      <w:pPr>
        <w:rPr>
          <w:rFonts w:hint="eastAsia" w:ascii="仿宋" w:hAnsi="仿宋" w:eastAsia="仿宋" w:cs="仿宋"/>
          <w:sz w:val="36"/>
          <w:szCs w:val="36"/>
          <w:highlight w:val="none"/>
        </w:rPr>
      </w:pPr>
      <w:r>
        <w:rPr>
          <w:rFonts w:hint="eastAsia" w:ascii="仿宋" w:hAnsi="仿宋" w:eastAsia="仿宋" w:cs="仿宋"/>
          <w:sz w:val="36"/>
          <w:szCs w:val="36"/>
          <w:highlight w:val="none"/>
        </w:rPr>
        <w:t>供应商名称 ：</w:t>
      </w:r>
    </w:p>
    <w:p w14:paraId="6F99AEE4">
      <w:pPr>
        <w:outlineLvl w:val="1"/>
        <w:rPr>
          <w:rFonts w:hint="eastAsia" w:ascii="仿宋" w:hAnsi="仿宋" w:eastAsia="仿宋" w:cs="仿宋"/>
          <w:b/>
          <w:bCs/>
          <w:sz w:val="28"/>
          <w:szCs w:val="28"/>
          <w:highlight w:val="none"/>
        </w:rPr>
      </w:pPr>
      <w:r>
        <w:rPr>
          <w:rFonts w:hint="eastAsia" w:ascii="仿宋" w:hAnsi="仿宋" w:eastAsia="仿宋" w:cs="仿宋"/>
          <w:sz w:val="28"/>
          <w:szCs w:val="28"/>
          <w:highlight w:val="none"/>
        </w:rPr>
        <w:br w:type="page"/>
      </w:r>
      <w:bookmarkStart w:id="78" w:name="_Toc533340151"/>
      <w:bookmarkStart w:id="79" w:name="_Toc4485628"/>
      <w:r>
        <w:rPr>
          <w:rFonts w:hint="eastAsia" w:ascii="仿宋" w:hAnsi="仿宋" w:eastAsia="仿宋" w:cs="仿宋"/>
          <w:b/>
          <w:bCs/>
          <w:sz w:val="28"/>
          <w:szCs w:val="28"/>
          <w:highlight w:val="none"/>
        </w:rPr>
        <w:t>格式</w:t>
      </w:r>
      <w:bookmarkEnd w:id="78"/>
      <w:bookmarkEnd w:id="79"/>
      <w:r>
        <w:rPr>
          <w:rFonts w:hint="eastAsia" w:ascii="仿宋" w:hAnsi="仿宋" w:eastAsia="仿宋" w:cs="仿宋"/>
          <w:b/>
          <w:bCs/>
          <w:sz w:val="28"/>
          <w:szCs w:val="28"/>
          <w:highlight w:val="none"/>
        </w:rPr>
        <w:t>2</w:t>
      </w:r>
    </w:p>
    <w:p w14:paraId="2D079DF8">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目  录</w:t>
      </w:r>
    </w:p>
    <w:p w14:paraId="3CD9C15B">
      <w:pPr>
        <w:rPr>
          <w:rFonts w:hint="eastAsia" w:ascii="仿宋" w:hAnsi="仿宋" w:eastAsia="仿宋" w:cs="仿宋"/>
          <w:sz w:val="24"/>
          <w:highlight w:val="none"/>
        </w:rPr>
      </w:pPr>
      <w:r>
        <w:rPr>
          <w:rFonts w:hint="eastAsia" w:ascii="仿宋" w:hAnsi="仿宋" w:eastAsia="仿宋" w:cs="仿宋"/>
          <w:sz w:val="24"/>
          <w:highlight w:val="none"/>
        </w:rPr>
        <w:t>一、资格证明材料</w:t>
      </w:r>
    </w:p>
    <w:p w14:paraId="3052FB4C">
      <w:pPr>
        <w:rPr>
          <w:rFonts w:hint="eastAsia" w:ascii="仿宋" w:hAnsi="仿宋" w:eastAsia="仿宋" w:cs="仿宋"/>
          <w:sz w:val="24"/>
          <w:highlight w:val="none"/>
        </w:rPr>
      </w:pPr>
      <w:r>
        <w:rPr>
          <w:rFonts w:hint="eastAsia" w:ascii="仿宋" w:hAnsi="仿宋" w:eastAsia="仿宋" w:cs="仿宋"/>
          <w:sz w:val="24"/>
          <w:highlight w:val="none"/>
        </w:rPr>
        <w:t>……</w:t>
      </w:r>
    </w:p>
    <w:p w14:paraId="16385E91">
      <w:pPr>
        <w:rPr>
          <w:rFonts w:hint="eastAsia" w:ascii="仿宋" w:hAnsi="仿宋" w:eastAsia="仿宋" w:cs="仿宋"/>
          <w:sz w:val="24"/>
          <w:highlight w:val="none"/>
        </w:rPr>
      </w:pPr>
      <w:r>
        <w:rPr>
          <w:rFonts w:hint="eastAsia" w:ascii="仿宋" w:hAnsi="仿宋" w:eastAsia="仿宋" w:cs="仿宋"/>
          <w:sz w:val="24"/>
          <w:highlight w:val="none"/>
        </w:rPr>
        <w:t>二、符合性证明材料</w:t>
      </w:r>
    </w:p>
    <w:p w14:paraId="7FD3E90B">
      <w:pPr>
        <w:rPr>
          <w:rFonts w:hint="eastAsia" w:ascii="仿宋" w:hAnsi="仿宋" w:eastAsia="仿宋" w:cs="仿宋"/>
          <w:sz w:val="24"/>
          <w:highlight w:val="none"/>
        </w:rPr>
      </w:pPr>
      <w:r>
        <w:rPr>
          <w:rFonts w:hint="eastAsia" w:ascii="仿宋" w:hAnsi="仿宋" w:eastAsia="仿宋" w:cs="仿宋"/>
          <w:sz w:val="24"/>
          <w:highlight w:val="none"/>
        </w:rPr>
        <w:t>……</w:t>
      </w:r>
    </w:p>
    <w:p w14:paraId="194B6321">
      <w:pPr>
        <w:rPr>
          <w:rFonts w:hint="eastAsia" w:ascii="仿宋" w:hAnsi="仿宋" w:eastAsia="仿宋" w:cs="仿宋"/>
          <w:sz w:val="24"/>
          <w:highlight w:val="none"/>
        </w:rPr>
      </w:pPr>
      <w:r>
        <w:rPr>
          <w:rFonts w:hint="eastAsia" w:ascii="仿宋" w:hAnsi="仿宋" w:eastAsia="仿宋" w:cs="仿宋"/>
          <w:sz w:val="24"/>
          <w:highlight w:val="none"/>
        </w:rPr>
        <w:t>三、其他材料</w:t>
      </w:r>
    </w:p>
    <w:p w14:paraId="52EBE0B4">
      <w:pPr>
        <w:rPr>
          <w:rFonts w:hint="eastAsia" w:ascii="仿宋" w:hAnsi="仿宋" w:eastAsia="仿宋" w:cs="仿宋"/>
          <w:sz w:val="24"/>
          <w:highlight w:val="none"/>
        </w:rPr>
      </w:pPr>
      <w:r>
        <w:rPr>
          <w:rFonts w:hint="eastAsia" w:ascii="仿宋" w:hAnsi="仿宋" w:eastAsia="仿宋" w:cs="仿宋"/>
          <w:sz w:val="24"/>
          <w:highlight w:val="none"/>
        </w:rPr>
        <w:t>……</w:t>
      </w:r>
    </w:p>
    <w:p w14:paraId="7E40A17F">
      <w:pPr>
        <w:rPr>
          <w:rFonts w:hint="eastAsia" w:ascii="仿宋" w:hAnsi="仿宋" w:eastAsia="仿宋" w:cs="仿宋"/>
          <w:sz w:val="24"/>
          <w:highlight w:val="none"/>
        </w:rPr>
      </w:pPr>
    </w:p>
    <w:p w14:paraId="254DF265">
      <w:pPr>
        <w:rPr>
          <w:rFonts w:hint="eastAsia" w:ascii="仿宋" w:hAnsi="仿宋" w:eastAsia="仿宋" w:cs="仿宋"/>
          <w:sz w:val="24"/>
          <w:highlight w:val="none"/>
        </w:rPr>
      </w:pPr>
    </w:p>
    <w:p w14:paraId="784F11D9">
      <w:pPr>
        <w:rPr>
          <w:rFonts w:hint="eastAsia" w:ascii="仿宋" w:hAnsi="仿宋" w:eastAsia="仿宋" w:cs="仿宋"/>
          <w:sz w:val="24"/>
          <w:highlight w:val="none"/>
        </w:rPr>
      </w:pPr>
    </w:p>
    <w:p w14:paraId="50723277">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我单位的响应文件由资格证明材料、符合性证明材料和其他材料三部分组成，在此加盖单位公章并由法定代表人（或非法人组织负责人）或其授权委托人签字，保证响应文件中所有材料真实、有效。</w:t>
      </w:r>
    </w:p>
    <w:p w14:paraId="41C83EE4">
      <w:pPr>
        <w:rPr>
          <w:rFonts w:hint="eastAsia" w:ascii="仿宋" w:hAnsi="仿宋" w:eastAsia="仿宋" w:cs="仿宋"/>
          <w:sz w:val="24"/>
          <w:highlight w:val="none"/>
        </w:rPr>
      </w:pPr>
    </w:p>
    <w:p w14:paraId="20C3A489">
      <w:pPr>
        <w:spacing w:line="480" w:lineRule="auto"/>
        <w:rPr>
          <w:rFonts w:hint="eastAsia" w:ascii="仿宋" w:hAnsi="仿宋" w:eastAsia="仿宋" w:cs="仿宋"/>
          <w:sz w:val="24"/>
          <w:highlight w:val="none"/>
        </w:rPr>
      </w:pPr>
      <w:r>
        <w:rPr>
          <w:rFonts w:hint="eastAsia" w:ascii="仿宋" w:hAnsi="仿宋" w:eastAsia="仿宋" w:cs="仿宋"/>
          <w:sz w:val="24"/>
          <w:highlight w:val="none"/>
        </w:rPr>
        <w:t>供应商名称：</w:t>
      </w:r>
      <w:r>
        <w:rPr>
          <w:rFonts w:hint="eastAsia" w:ascii="仿宋" w:hAnsi="仿宋" w:eastAsia="仿宋" w:cs="仿宋"/>
          <w:sz w:val="24"/>
          <w:highlight w:val="none"/>
          <w:u w:val="single"/>
        </w:rPr>
        <w:t>（加盖单位公章）</w:t>
      </w:r>
      <w:r>
        <w:rPr>
          <w:rFonts w:hint="eastAsia" w:ascii="仿宋" w:hAnsi="仿宋" w:eastAsia="仿宋" w:cs="仿宋"/>
          <w:sz w:val="24"/>
          <w:highlight w:val="none"/>
        </w:rPr>
        <w:t xml:space="preserve">           </w:t>
      </w:r>
    </w:p>
    <w:p w14:paraId="4247FDC8">
      <w:pPr>
        <w:spacing w:line="48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法定代表人（或非法人组织负责人）或其授权委托人： </w:t>
      </w:r>
      <w:r>
        <w:rPr>
          <w:rFonts w:hint="eastAsia" w:ascii="仿宋" w:hAnsi="仿宋" w:eastAsia="仿宋" w:cs="仿宋"/>
          <w:sz w:val="24"/>
          <w:highlight w:val="none"/>
          <w:u w:val="single"/>
        </w:rPr>
        <w:t xml:space="preserve">          （签字或盖章） </w:t>
      </w:r>
    </w:p>
    <w:p w14:paraId="01BCF062">
      <w:pPr>
        <w:spacing w:line="480" w:lineRule="auto"/>
        <w:rPr>
          <w:rFonts w:hint="eastAsia" w:ascii="仿宋" w:hAnsi="仿宋" w:eastAsia="仿宋" w:cs="仿宋"/>
          <w:sz w:val="24"/>
          <w:highlight w:val="none"/>
        </w:rPr>
      </w:pPr>
      <w:r>
        <w:rPr>
          <w:rFonts w:hint="eastAsia" w:ascii="仿宋" w:hAnsi="仿宋" w:eastAsia="仿宋" w:cs="仿宋"/>
          <w:sz w:val="24"/>
          <w:highlight w:val="none"/>
        </w:rPr>
        <w:t xml:space="preserve">日期： </w:t>
      </w:r>
      <w:r>
        <w:rPr>
          <w:rFonts w:hint="eastAsia" w:ascii="仿宋" w:hAnsi="仿宋" w:eastAsia="仿宋" w:cs="仿宋"/>
          <w:sz w:val="24"/>
          <w:highlight w:val="none"/>
          <w:u w:val="single"/>
        </w:rPr>
        <w:t xml:space="preserve">            </w:t>
      </w:r>
    </w:p>
    <w:p w14:paraId="4EC4E4D1">
      <w:pPr>
        <w:pStyle w:val="3"/>
        <w:adjustRightInd w:val="0"/>
        <w:snapToGrid w:val="0"/>
        <w:spacing w:line="240" w:lineRule="auto"/>
        <w:jc w:val="left"/>
        <w:rPr>
          <w:rFonts w:hint="eastAsia" w:ascii="仿宋" w:hAnsi="仿宋" w:eastAsia="仿宋" w:cs="仿宋"/>
          <w:sz w:val="28"/>
          <w:szCs w:val="28"/>
          <w:highlight w:val="none"/>
        </w:rPr>
      </w:pPr>
      <w:r>
        <w:rPr>
          <w:rFonts w:hint="eastAsia" w:ascii="仿宋" w:hAnsi="仿宋" w:eastAsia="仿宋" w:cs="仿宋"/>
          <w:sz w:val="24"/>
          <w:highlight w:val="none"/>
        </w:rPr>
        <w:br w:type="page"/>
      </w:r>
      <w:bookmarkStart w:id="80" w:name="_Toc4485629"/>
      <w:bookmarkStart w:id="81" w:name="_Toc533340152"/>
      <w:r>
        <w:rPr>
          <w:rFonts w:hint="eastAsia" w:ascii="仿宋" w:hAnsi="仿宋" w:eastAsia="仿宋" w:cs="仿宋"/>
          <w:sz w:val="28"/>
          <w:szCs w:val="28"/>
          <w:highlight w:val="none"/>
        </w:rPr>
        <w:t>格式</w:t>
      </w:r>
      <w:bookmarkEnd w:id="80"/>
      <w:bookmarkEnd w:id="81"/>
      <w:r>
        <w:rPr>
          <w:rFonts w:hint="eastAsia" w:ascii="仿宋" w:hAnsi="仿宋" w:eastAsia="仿宋" w:cs="仿宋"/>
          <w:sz w:val="28"/>
          <w:szCs w:val="28"/>
          <w:highlight w:val="none"/>
        </w:rPr>
        <w:t>3</w:t>
      </w:r>
    </w:p>
    <w:p w14:paraId="0456C772">
      <w:pPr>
        <w:spacing w:beforeLines="100"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法定代表人（或非法人组织负责人）身份证明书</w:t>
      </w:r>
    </w:p>
    <w:p w14:paraId="47D69BD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姓名：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，性别：</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，出生日期：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，现任职务：</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4B3D664">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系</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（供应商名称）的法定代表人（或非法人组织负责人）。</w:t>
      </w:r>
    </w:p>
    <w:p w14:paraId="7BF87547">
      <w:pPr>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特此证明。</w:t>
      </w:r>
    </w:p>
    <w:p w14:paraId="1B57EE98">
      <w:pPr>
        <w:rPr>
          <w:rFonts w:hint="eastAsia" w:ascii="仿宋" w:hAnsi="仿宋" w:eastAsia="仿宋" w:cs="仿宋"/>
          <w:szCs w:val="21"/>
          <w:highlight w:val="none"/>
        </w:rPr>
      </w:pPr>
    </w:p>
    <w:p w14:paraId="0546FF7E">
      <w:pPr>
        <w:rPr>
          <w:rFonts w:hint="eastAsia" w:ascii="仿宋" w:hAnsi="仿宋" w:eastAsia="仿宋" w:cs="仿宋"/>
          <w:szCs w:val="21"/>
          <w:highlight w:val="none"/>
        </w:rPr>
      </w:pPr>
    </w:p>
    <w:p w14:paraId="28D5DDB1">
      <w:pPr>
        <w:rPr>
          <w:rFonts w:hint="eastAsia" w:ascii="仿宋" w:hAnsi="仿宋" w:eastAsia="仿宋" w:cs="仿宋"/>
          <w:szCs w:val="21"/>
          <w:highlight w:val="none"/>
        </w:rPr>
      </w:pP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65F3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2BB35DE1">
            <w:pPr>
              <w:jc w:val="center"/>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※法定代表人（或非法人组织负责人）身份证正、反面复印件※</w:t>
            </w:r>
          </w:p>
        </w:tc>
      </w:tr>
    </w:tbl>
    <w:p w14:paraId="26F7D345">
      <w:pPr>
        <w:rPr>
          <w:rFonts w:hint="eastAsia" w:ascii="仿宋" w:hAnsi="仿宋" w:eastAsia="仿宋" w:cs="仿宋"/>
          <w:szCs w:val="21"/>
          <w:highlight w:val="none"/>
        </w:rPr>
      </w:pPr>
    </w:p>
    <w:p w14:paraId="1A0D49E6">
      <w:pPr>
        <w:rPr>
          <w:rFonts w:hint="eastAsia" w:ascii="仿宋" w:hAnsi="仿宋" w:eastAsia="仿宋" w:cs="仿宋"/>
          <w:szCs w:val="21"/>
          <w:highlight w:val="none"/>
        </w:rPr>
      </w:pPr>
    </w:p>
    <w:p w14:paraId="2028FC08">
      <w:pPr>
        <w:rPr>
          <w:rFonts w:hint="eastAsia" w:ascii="仿宋" w:hAnsi="仿宋" w:eastAsia="仿宋" w:cs="仿宋"/>
          <w:szCs w:val="21"/>
          <w:highlight w:val="none"/>
        </w:rPr>
      </w:pPr>
    </w:p>
    <w:p w14:paraId="7FFA1BEB">
      <w:pPr>
        <w:rPr>
          <w:rFonts w:hint="eastAsia" w:ascii="仿宋" w:hAnsi="仿宋" w:eastAsia="仿宋" w:cs="仿宋"/>
          <w:szCs w:val="21"/>
          <w:highlight w:val="none"/>
        </w:rPr>
      </w:pPr>
    </w:p>
    <w:p w14:paraId="45412D92">
      <w:pPr>
        <w:rPr>
          <w:rFonts w:hint="eastAsia" w:ascii="仿宋" w:hAnsi="仿宋" w:eastAsia="仿宋" w:cs="仿宋"/>
          <w:szCs w:val="21"/>
          <w:highlight w:val="none"/>
        </w:rPr>
      </w:pPr>
    </w:p>
    <w:p w14:paraId="6FC17797">
      <w:pPr>
        <w:rPr>
          <w:rFonts w:hint="eastAsia" w:ascii="仿宋" w:hAnsi="仿宋" w:eastAsia="仿宋" w:cs="仿宋"/>
          <w:szCs w:val="21"/>
          <w:highlight w:val="none"/>
        </w:rPr>
      </w:pPr>
    </w:p>
    <w:p w14:paraId="62902DD5">
      <w:pPr>
        <w:rPr>
          <w:rFonts w:hint="eastAsia" w:ascii="仿宋" w:hAnsi="仿宋" w:eastAsia="仿宋" w:cs="仿宋"/>
          <w:szCs w:val="21"/>
          <w:highlight w:val="none"/>
        </w:rPr>
      </w:pPr>
    </w:p>
    <w:p w14:paraId="60E541D7">
      <w:pPr>
        <w:rPr>
          <w:rFonts w:hint="eastAsia" w:ascii="仿宋" w:hAnsi="仿宋" w:eastAsia="仿宋" w:cs="仿宋"/>
          <w:sz w:val="24"/>
          <w:highlight w:val="none"/>
        </w:rPr>
      </w:pPr>
    </w:p>
    <w:p w14:paraId="6F90FEEA">
      <w:pPr>
        <w:spacing w:line="480" w:lineRule="auto"/>
        <w:rPr>
          <w:rFonts w:hint="eastAsia" w:ascii="仿宋" w:hAnsi="仿宋" w:eastAsia="仿宋" w:cs="仿宋"/>
          <w:sz w:val="24"/>
          <w:highlight w:val="none"/>
        </w:rPr>
      </w:pPr>
      <w:r>
        <w:rPr>
          <w:rFonts w:hint="eastAsia" w:ascii="仿宋" w:hAnsi="仿宋" w:eastAsia="仿宋" w:cs="仿宋"/>
          <w:sz w:val="24"/>
          <w:highlight w:val="none"/>
        </w:rPr>
        <w:t>供应商名称（加盖单位公章）：</w:t>
      </w:r>
      <w:r>
        <w:rPr>
          <w:rFonts w:hint="eastAsia" w:ascii="仿宋" w:hAnsi="仿宋" w:eastAsia="仿宋" w:cs="仿宋"/>
          <w:sz w:val="24"/>
          <w:highlight w:val="none"/>
          <w:u w:val="single"/>
        </w:rPr>
        <w:t xml:space="preserve">           </w:t>
      </w:r>
    </w:p>
    <w:p w14:paraId="030CBBBD">
      <w:pPr>
        <w:spacing w:line="480" w:lineRule="auto"/>
        <w:rPr>
          <w:rFonts w:hint="eastAsia" w:ascii="仿宋" w:hAnsi="仿宋" w:eastAsia="仿宋" w:cs="仿宋"/>
          <w:sz w:val="24"/>
          <w:highlight w:val="non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p>
    <w:p w14:paraId="68F6949D">
      <w:pPr>
        <w:outlineLvl w:val="1"/>
        <w:rPr>
          <w:rFonts w:hint="eastAsia" w:ascii="仿宋" w:hAnsi="仿宋" w:eastAsia="仿宋" w:cs="仿宋"/>
          <w:b/>
          <w:bCs/>
          <w:sz w:val="28"/>
          <w:szCs w:val="28"/>
          <w:highlight w:val="none"/>
        </w:rPr>
      </w:pPr>
      <w:bookmarkStart w:id="82" w:name="_Toc4485630"/>
      <w:bookmarkStart w:id="83" w:name="_Toc533340153"/>
      <w:r>
        <w:rPr>
          <w:rFonts w:hint="eastAsia" w:ascii="仿宋" w:hAnsi="仿宋" w:eastAsia="仿宋" w:cs="仿宋"/>
          <w:b/>
          <w:bCs/>
          <w:sz w:val="28"/>
          <w:szCs w:val="28"/>
          <w:highlight w:val="none"/>
        </w:rPr>
        <w:br w:type="page"/>
      </w:r>
      <w:r>
        <w:rPr>
          <w:rFonts w:hint="eastAsia" w:ascii="仿宋" w:hAnsi="仿宋" w:eastAsia="仿宋" w:cs="仿宋"/>
          <w:b/>
          <w:bCs/>
          <w:sz w:val="28"/>
          <w:szCs w:val="28"/>
          <w:highlight w:val="none"/>
        </w:rPr>
        <w:t>格式</w:t>
      </w:r>
      <w:bookmarkEnd w:id="82"/>
      <w:bookmarkEnd w:id="83"/>
      <w:r>
        <w:rPr>
          <w:rFonts w:hint="eastAsia" w:ascii="仿宋" w:hAnsi="仿宋" w:eastAsia="仿宋" w:cs="仿宋"/>
          <w:b/>
          <w:bCs/>
          <w:sz w:val="28"/>
          <w:szCs w:val="28"/>
          <w:highlight w:val="none"/>
        </w:rPr>
        <w:t>4</w:t>
      </w:r>
    </w:p>
    <w:p w14:paraId="24754636">
      <w:pPr>
        <w:spacing w:beforeLines="100"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法定代表人（或非法人组织负责人）授权委托书</w:t>
      </w:r>
    </w:p>
    <w:p w14:paraId="138F31A0">
      <w:pPr>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单位名称：</w:t>
      </w:r>
      <w:r>
        <w:rPr>
          <w:rFonts w:hint="eastAsia" w:ascii="仿宋" w:hAnsi="仿宋" w:eastAsia="仿宋" w:cs="仿宋"/>
          <w:sz w:val="24"/>
          <w:highlight w:val="none"/>
          <w:u w:val="single"/>
        </w:rPr>
        <w:t xml:space="preserve">           </w:t>
      </w:r>
    </w:p>
    <w:p w14:paraId="2412FB77">
      <w:pPr>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法定代表人（或非法人组织负责人）姓名：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身份证号码：</w:t>
      </w:r>
      <w:r>
        <w:rPr>
          <w:rFonts w:hint="eastAsia" w:ascii="仿宋" w:hAnsi="仿宋" w:eastAsia="仿宋" w:cs="仿宋"/>
          <w:sz w:val="24"/>
          <w:highlight w:val="none"/>
          <w:u w:val="single"/>
        </w:rPr>
        <w:t xml:space="preserve">         </w:t>
      </w:r>
    </w:p>
    <w:p w14:paraId="52BE1F3F">
      <w:pPr>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住所地：</w:t>
      </w:r>
      <w:r>
        <w:rPr>
          <w:rFonts w:hint="eastAsia" w:ascii="仿宋" w:hAnsi="仿宋" w:eastAsia="仿宋" w:cs="仿宋"/>
          <w:sz w:val="24"/>
          <w:highlight w:val="none"/>
          <w:u w:val="single"/>
        </w:rPr>
        <w:t xml:space="preserve">                       </w:t>
      </w:r>
    </w:p>
    <w:p w14:paraId="34B6679E">
      <w:pPr>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授权委托人姓名：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身份证号码：</w:t>
      </w:r>
      <w:r>
        <w:rPr>
          <w:rFonts w:hint="eastAsia" w:ascii="仿宋" w:hAnsi="仿宋" w:eastAsia="仿宋" w:cs="仿宋"/>
          <w:sz w:val="24"/>
          <w:highlight w:val="none"/>
          <w:u w:val="single"/>
        </w:rPr>
        <w:t xml:space="preserve">         </w:t>
      </w:r>
    </w:p>
    <w:p w14:paraId="658E9F38">
      <w:pPr>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工作单位：</w:t>
      </w:r>
      <w:r>
        <w:rPr>
          <w:rFonts w:hint="eastAsia" w:ascii="仿宋" w:hAnsi="仿宋" w:eastAsia="仿宋" w:cs="仿宋"/>
          <w:sz w:val="24"/>
          <w:highlight w:val="none"/>
          <w:u w:val="single"/>
        </w:rPr>
        <w:t xml:space="preserve">                    </w:t>
      </w:r>
    </w:p>
    <w:p w14:paraId="66848DB7">
      <w:pPr>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住址：</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电话：</w:t>
      </w:r>
      <w:r>
        <w:rPr>
          <w:rFonts w:hint="eastAsia" w:ascii="仿宋" w:hAnsi="仿宋" w:eastAsia="仿宋" w:cs="仿宋"/>
          <w:sz w:val="24"/>
          <w:highlight w:val="none"/>
          <w:u w:val="single"/>
        </w:rPr>
        <w:t xml:space="preserve">               </w:t>
      </w:r>
    </w:p>
    <w:p w14:paraId="5303BF43">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现委托</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就</w:t>
      </w:r>
      <w:r>
        <w:rPr>
          <w:rFonts w:hint="eastAsia" w:ascii="仿宋" w:hAnsi="仿宋" w:eastAsia="仿宋" w:cs="仿宋"/>
          <w:sz w:val="24"/>
          <w:highlight w:val="none"/>
          <w:u w:val="single"/>
        </w:rPr>
        <w:t>（项目编号、项目名称、包组编号）</w:t>
      </w:r>
      <w:r>
        <w:rPr>
          <w:rFonts w:hint="eastAsia" w:ascii="仿宋" w:hAnsi="仿宋" w:eastAsia="仿宋" w:cs="仿宋"/>
          <w:sz w:val="24"/>
          <w:highlight w:val="none"/>
        </w:rPr>
        <w:t>政府采购活动，以我单位名义处理一切与之有关的事务。</w:t>
      </w:r>
    </w:p>
    <w:p w14:paraId="3A29E55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本授权书于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日签字或盖章生效，</w:t>
      </w:r>
      <w:r>
        <w:rPr>
          <w:rFonts w:hint="eastAsia" w:ascii="仿宋" w:hAnsi="仿宋" w:eastAsia="仿宋" w:cs="仿宋"/>
          <w:b/>
          <w:sz w:val="24"/>
          <w:highlight w:val="none"/>
        </w:rPr>
        <w:t>无转委托，</w:t>
      </w:r>
      <w:r>
        <w:rPr>
          <w:rFonts w:hint="eastAsia" w:ascii="仿宋" w:hAnsi="仿宋" w:eastAsia="仿宋" w:cs="仿宋"/>
          <w:sz w:val="24"/>
          <w:highlight w:val="none"/>
        </w:rPr>
        <w:t>特此声明。</w:t>
      </w:r>
    </w:p>
    <w:tbl>
      <w:tblPr>
        <w:tblStyle w:val="38"/>
        <w:tblpPr w:leftFromText="180" w:rightFromText="180" w:vertAnchor="text" w:horzAnchor="page" w:tblpX="1951" w:tblpY="14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5829B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5" w:hRule="atLeast"/>
        </w:trPr>
        <w:tc>
          <w:tcPr>
            <w:tcW w:w="8228" w:type="dxa"/>
          </w:tcPr>
          <w:p w14:paraId="26F5F2D5">
            <w:pPr>
              <w:jc w:val="center"/>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highlight w:val="none"/>
              </w:rPr>
              <w:t>授权委托人</w:t>
            </w:r>
            <w:r>
              <w:rPr>
                <w:rFonts w:hint="eastAsia" w:ascii="仿宋" w:hAnsi="仿宋" w:eastAsia="仿宋" w:cs="仿宋"/>
                <w:szCs w:val="21"/>
                <w:highlight w:val="none"/>
              </w:rPr>
              <w:t>身份证正、反面复印件※）</w:t>
            </w:r>
          </w:p>
        </w:tc>
      </w:tr>
    </w:tbl>
    <w:p w14:paraId="073CD291">
      <w:pPr>
        <w:spacing w:line="360" w:lineRule="auto"/>
        <w:ind w:firstLine="420" w:firstLineChars="200"/>
        <w:rPr>
          <w:rFonts w:hint="eastAsia" w:ascii="仿宋" w:hAnsi="仿宋" w:eastAsia="仿宋" w:cs="仿宋"/>
          <w:szCs w:val="21"/>
          <w:highlight w:val="none"/>
        </w:rPr>
      </w:pPr>
    </w:p>
    <w:p w14:paraId="7F5ECFD4">
      <w:pPr>
        <w:spacing w:line="360" w:lineRule="auto"/>
        <w:ind w:firstLine="480" w:firstLineChars="200"/>
        <w:rPr>
          <w:rFonts w:hint="eastAsia" w:ascii="仿宋" w:hAnsi="仿宋" w:eastAsia="仿宋" w:cs="仿宋"/>
          <w:sz w:val="24"/>
          <w:highlight w:val="none"/>
        </w:rPr>
      </w:pPr>
    </w:p>
    <w:p w14:paraId="07AC0438">
      <w:pPr>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委托人（加盖单位公章）：</w:t>
      </w:r>
      <w:r>
        <w:rPr>
          <w:rFonts w:hint="eastAsia" w:ascii="仿宋" w:hAnsi="仿宋" w:eastAsia="仿宋" w:cs="仿宋"/>
          <w:sz w:val="24"/>
          <w:highlight w:val="none"/>
          <w:u w:val="single"/>
        </w:rPr>
        <w:t xml:space="preserve">                </w:t>
      </w:r>
    </w:p>
    <w:p w14:paraId="16A55480">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法定代表人（或非法人组织负责人）（签字或盖章）：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p>
    <w:p w14:paraId="5087680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授权委托人（签字或盖章）：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p>
    <w:p w14:paraId="3C95E3A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详细通讯地址：</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邮政编码 ：</w:t>
      </w:r>
      <w:r>
        <w:rPr>
          <w:rFonts w:hint="eastAsia" w:ascii="仿宋" w:hAnsi="仿宋" w:eastAsia="仿宋" w:cs="仿宋"/>
          <w:sz w:val="24"/>
          <w:highlight w:val="none"/>
          <w:u w:val="single"/>
        </w:rPr>
        <w:t xml:space="preserve">              </w:t>
      </w:r>
    </w:p>
    <w:p w14:paraId="736C48C1">
      <w:pPr>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传真：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电话：</w:t>
      </w:r>
      <w:r>
        <w:rPr>
          <w:rFonts w:hint="eastAsia" w:ascii="仿宋" w:hAnsi="仿宋" w:eastAsia="仿宋" w:cs="仿宋"/>
          <w:sz w:val="24"/>
          <w:highlight w:val="none"/>
          <w:u w:val="single"/>
        </w:rPr>
        <w:t xml:space="preserve">              </w:t>
      </w:r>
    </w:p>
    <w:p w14:paraId="6902B9F4">
      <w:pPr>
        <w:spacing w:line="360" w:lineRule="auto"/>
        <w:ind w:firstLine="480" w:firstLineChars="200"/>
        <w:jc w:val="left"/>
        <w:rPr>
          <w:rFonts w:hint="eastAsia" w:ascii="仿宋" w:hAnsi="仿宋" w:eastAsia="仿宋" w:cs="仿宋"/>
          <w:sz w:val="24"/>
          <w:highlight w:val="none"/>
          <w:u w:val="single"/>
        </w:rPr>
        <w:sectPr>
          <w:pgSz w:w="11906" w:h="16838"/>
          <w:pgMar w:top="1440" w:right="1803" w:bottom="1440" w:left="1803" w:header="851" w:footer="992" w:gutter="0"/>
          <w:cols w:space="720" w:num="1"/>
          <w:docGrid w:type="lines" w:linePitch="319" w:charSpace="0"/>
        </w:sect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bookmarkStart w:id="84" w:name="_Toc4485631"/>
      <w:bookmarkStart w:id="85" w:name="_Toc533340154"/>
    </w:p>
    <w:p w14:paraId="3764E191">
      <w:pPr>
        <w:pStyle w:val="3"/>
        <w:adjustRightInd w:val="0"/>
        <w:snapToGrid w:val="0"/>
        <w:spacing w:before="0" w:after="0" w:line="240" w:lineRule="auto"/>
        <w:jc w:val="left"/>
        <w:rPr>
          <w:rFonts w:hint="eastAsia" w:ascii="仿宋" w:hAnsi="仿宋" w:eastAsia="仿宋" w:cs="仿宋"/>
          <w:sz w:val="28"/>
          <w:highlight w:val="none"/>
        </w:rPr>
      </w:pPr>
      <w:r>
        <w:rPr>
          <w:rFonts w:hint="eastAsia" w:ascii="仿宋" w:hAnsi="仿宋" w:eastAsia="仿宋" w:cs="仿宋"/>
          <w:sz w:val="28"/>
          <w:highlight w:val="none"/>
        </w:rPr>
        <w:t>格式</w:t>
      </w:r>
      <w:r>
        <w:rPr>
          <w:rFonts w:hint="eastAsia" w:ascii="仿宋" w:hAnsi="仿宋" w:eastAsia="仿宋" w:cs="仿宋"/>
          <w:sz w:val="28"/>
          <w:highlight w:val="none"/>
        </w:rPr>
        <w:t>5</w:t>
      </w:r>
    </w:p>
    <w:p w14:paraId="5717777A">
      <w:pPr>
        <w:spacing w:beforeLines="100" w:afterLines="100" w:line="360" w:lineRule="auto"/>
        <w:ind w:right="-21" w:rightChars="-1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具有良好的商业信誉和健全的财务会计制度的承诺函</w:t>
      </w:r>
    </w:p>
    <w:p w14:paraId="0B19AB8D">
      <w:pPr>
        <w:spacing w:beforeLines="100" w:afterLines="100" w:line="480" w:lineRule="exact"/>
        <w:ind w:right="630" w:rightChars="30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（格式自拟）</w:t>
      </w:r>
    </w:p>
    <w:p w14:paraId="54C6094C">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025D3121">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5ECD6640">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0F1118BE">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7B3E9FCE">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28B6F14A">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5EADD010">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68C237B4">
      <w:pPr>
        <w:adjustRightInd w:val="0"/>
        <w:snapToGrid w:val="0"/>
        <w:spacing w:line="360" w:lineRule="auto"/>
        <w:ind w:right="105" w:rightChars="50" w:firstLine="544" w:firstLineChars="227"/>
        <w:jc w:val="left"/>
        <w:rPr>
          <w:rFonts w:hint="eastAsia" w:ascii="仿宋" w:hAnsi="仿宋" w:eastAsia="仿宋" w:cs="仿宋"/>
          <w:sz w:val="24"/>
          <w:highlight w:val="none"/>
        </w:rPr>
      </w:pPr>
    </w:p>
    <w:p w14:paraId="005EB3C7">
      <w:pPr>
        <w:adjustRightInd w:val="0"/>
        <w:snapToGrid w:val="0"/>
        <w:spacing w:line="360" w:lineRule="auto"/>
        <w:ind w:right="105" w:rightChars="50" w:firstLine="544" w:firstLineChars="227"/>
        <w:jc w:val="left"/>
        <w:rPr>
          <w:rFonts w:hint="eastAsia" w:ascii="仿宋" w:hAnsi="仿宋" w:eastAsia="仿宋" w:cs="仿宋"/>
          <w:sz w:val="24"/>
          <w:highlight w:val="none"/>
        </w:rPr>
      </w:pPr>
    </w:p>
    <w:p w14:paraId="338B45A9">
      <w:pPr>
        <w:snapToGrid w:val="0"/>
        <w:spacing w:line="480" w:lineRule="auto"/>
        <w:rPr>
          <w:rFonts w:hint="eastAsia" w:ascii="仿宋" w:hAnsi="仿宋" w:eastAsia="仿宋" w:cs="仿宋"/>
          <w:sz w:val="24"/>
          <w:highlight w:val="none"/>
        </w:rPr>
      </w:pPr>
      <w:r>
        <w:rPr>
          <w:rFonts w:hint="eastAsia" w:ascii="仿宋" w:hAnsi="仿宋" w:eastAsia="仿宋" w:cs="仿宋"/>
          <w:sz w:val="24"/>
          <w:highlight w:val="none"/>
        </w:rPr>
        <w:t>供应商名称（加盖单位公章）：</w:t>
      </w:r>
      <w:r>
        <w:rPr>
          <w:rFonts w:hint="eastAsia" w:ascii="仿宋" w:hAnsi="仿宋" w:eastAsia="仿宋" w:cs="仿宋"/>
          <w:sz w:val="24"/>
          <w:highlight w:val="none"/>
          <w:u w:val="single"/>
        </w:rPr>
        <w:t xml:space="preserve">           </w:t>
      </w:r>
    </w:p>
    <w:p w14:paraId="26ED300E">
      <w:pPr>
        <w:snapToGrid w:val="0"/>
        <w:spacing w:line="480" w:lineRule="auto"/>
        <w:rPr>
          <w:rFonts w:hint="eastAsia" w:ascii="仿宋" w:hAnsi="仿宋" w:eastAsia="仿宋" w:cs="仿宋"/>
          <w:sz w:val="24"/>
          <w:highlight w:val="none"/>
        </w:rPr>
      </w:pPr>
      <w:r>
        <w:rPr>
          <w:rFonts w:hint="eastAsia" w:ascii="仿宋" w:hAnsi="仿宋" w:eastAsia="仿宋" w:cs="仿宋"/>
          <w:sz w:val="24"/>
          <w:highlight w:val="none"/>
        </w:rPr>
        <w:t>法定代表人（或非法人组织负责人）或其授权委托人（签字或盖章）：</w:t>
      </w:r>
      <w:r>
        <w:rPr>
          <w:rFonts w:hint="eastAsia" w:ascii="仿宋" w:hAnsi="仿宋" w:eastAsia="仿宋" w:cs="仿宋"/>
          <w:sz w:val="24"/>
          <w:highlight w:val="none"/>
          <w:u w:val="single"/>
        </w:rPr>
        <w:t xml:space="preserve">           </w:t>
      </w:r>
    </w:p>
    <w:p w14:paraId="3551BBE7">
      <w:pPr>
        <w:adjustRightInd w:val="0"/>
        <w:snapToGrid w:val="0"/>
        <w:spacing w:line="360" w:lineRule="auto"/>
        <w:ind w:right="105" w:rightChars="50"/>
        <w:jc w:val="left"/>
        <w:rPr>
          <w:rFonts w:hint="eastAsia" w:ascii="仿宋" w:hAnsi="仿宋" w:eastAsia="仿宋" w:cs="仿宋"/>
          <w:sz w:val="24"/>
          <w:highlight w:val="none"/>
          <w:u w:val="singl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p>
    <w:p w14:paraId="5FBC4D77">
      <w:pPr>
        <w:adjustRightInd w:val="0"/>
        <w:snapToGrid w:val="0"/>
        <w:spacing w:line="360" w:lineRule="auto"/>
        <w:ind w:right="105" w:rightChars="50"/>
        <w:jc w:val="left"/>
        <w:rPr>
          <w:rFonts w:hint="eastAsia" w:ascii="仿宋" w:hAnsi="仿宋" w:eastAsia="仿宋" w:cs="仿宋"/>
          <w:sz w:val="24"/>
          <w:highlight w:val="none"/>
          <w:u w:val="single"/>
        </w:rPr>
      </w:pPr>
    </w:p>
    <w:p w14:paraId="74292A9A">
      <w:pPr>
        <w:widowControl/>
        <w:jc w:val="left"/>
        <w:outlineLvl w:val="1"/>
        <w:rPr>
          <w:rFonts w:hint="eastAsia" w:ascii="仿宋" w:hAnsi="仿宋" w:eastAsia="仿宋" w:cs="仿宋"/>
          <w:b/>
          <w:bCs/>
          <w:sz w:val="28"/>
          <w:szCs w:val="28"/>
          <w:highlight w:val="none"/>
        </w:rPr>
      </w:pPr>
      <w:r>
        <w:rPr>
          <w:rFonts w:hint="eastAsia" w:ascii="仿宋" w:hAnsi="仿宋" w:eastAsia="仿宋" w:cs="仿宋"/>
          <w:szCs w:val="21"/>
          <w:highlight w:val="none"/>
          <w:u w:val="single"/>
        </w:rPr>
        <w:br w:type="page"/>
      </w:r>
      <w:r>
        <w:rPr>
          <w:rFonts w:hint="eastAsia" w:ascii="仿宋" w:hAnsi="仿宋" w:eastAsia="仿宋" w:cs="仿宋"/>
          <w:b/>
          <w:bCs/>
          <w:sz w:val="28"/>
          <w:szCs w:val="28"/>
          <w:highlight w:val="none"/>
        </w:rPr>
        <w:t>格式</w:t>
      </w:r>
      <w:bookmarkEnd w:id="84"/>
      <w:bookmarkEnd w:id="85"/>
      <w:r>
        <w:rPr>
          <w:rFonts w:hint="eastAsia" w:ascii="仿宋" w:hAnsi="仿宋" w:eastAsia="仿宋" w:cs="仿宋"/>
          <w:b/>
          <w:bCs/>
          <w:sz w:val="28"/>
          <w:szCs w:val="28"/>
          <w:highlight w:val="none"/>
        </w:rPr>
        <w:t>6</w:t>
      </w:r>
    </w:p>
    <w:p w14:paraId="018ABABF">
      <w:pPr>
        <w:spacing w:beforeLines="100"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具备履行合同所必需的设备和专业技术能力声明函</w:t>
      </w:r>
    </w:p>
    <w:p w14:paraId="2BDBEA75">
      <w:pPr>
        <w:spacing w:beforeLines="100" w:afterLines="100" w:line="480" w:lineRule="exact"/>
        <w:ind w:right="630" w:rightChars="30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（格式自拟）</w:t>
      </w:r>
    </w:p>
    <w:p w14:paraId="795053FB">
      <w:pPr>
        <w:spacing w:beforeLines="100" w:afterLines="100" w:line="480" w:lineRule="exact"/>
        <w:ind w:right="630" w:rightChars="300"/>
        <w:jc w:val="center"/>
        <w:rPr>
          <w:rFonts w:hint="eastAsia" w:ascii="仿宋" w:hAnsi="仿宋" w:eastAsia="仿宋" w:cs="仿宋"/>
          <w:b/>
          <w:sz w:val="28"/>
          <w:szCs w:val="28"/>
          <w:highlight w:val="none"/>
        </w:rPr>
      </w:pPr>
    </w:p>
    <w:p w14:paraId="5B60D558">
      <w:pPr>
        <w:spacing w:beforeLines="100" w:afterLines="100" w:line="480" w:lineRule="exact"/>
        <w:ind w:right="630" w:rightChars="300"/>
        <w:jc w:val="center"/>
        <w:rPr>
          <w:rFonts w:hint="eastAsia" w:ascii="仿宋" w:hAnsi="仿宋" w:eastAsia="仿宋" w:cs="仿宋"/>
          <w:b/>
          <w:sz w:val="28"/>
          <w:szCs w:val="28"/>
          <w:highlight w:val="none"/>
        </w:rPr>
      </w:pPr>
    </w:p>
    <w:p w14:paraId="2B4417BE">
      <w:pPr>
        <w:spacing w:beforeLines="100" w:afterLines="100" w:line="480" w:lineRule="exact"/>
        <w:ind w:right="630" w:rightChars="300"/>
        <w:jc w:val="center"/>
        <w:rPr>
          <w:rFonts w:hint="eastAsia" w:ascii="仿宋" w:hAnsi="仿宋" w:eastAsia="仿宋" w:cs="仿宋"/>
          <w:b/>
          <w:sz w:val="28"/>
          <w:szCs w:val="28"/>
          <w:highlight w:val="none"/>
        </w:rPr>
      </w:pPr>
    </w:p>
    <w:p w14:paraId="7512D16E">
      <w:pPr>
        <w:spacing w:beforeLines="100" w:afterLines="100" w:line="480" w:lineRule="exact"/>
        <w:ind w:right="630" w:rightChars="300"/>
        <w:jc w:val="center"/>
        <w:rPr>
          <w:rFonts w:hint="eastAsia" w:ascii="仿宋" w:hAnsi="仿宋" w:eastAsia="仿宋" w:cs="仿宋"/>
          <w:b/>
          <w:sz w:val="28"/>
          <w:szCs w:val="28"/>
          <w:highlight w:val="none"/>
        </w:rPr>
      </w:pPr>
    </w:p>
    <w:p w14:paraId="668F163B">
      <w:pPr>
        <w:spacing w:beforeLines="100" w:afterLines="100" w:line="480" w:lineRule="exact"/>
        <w:ind w:right="630" w:rightChars="300"/>
        <w:jc w:val="center"/>
        <w:rPr>
          <w:rFonts w:hint="eastAsia" w:ascii="仿宋" w:hAnsi="仿宋" w:eastAsia="仿宋" w:cs="仿宋"/>
          <w:b/>
          <w:sz w:val="28"/>
          <w:szCs w:val="28"/>
          <w:highlight w:val="none"/>
        </w:rPr>
      </w:pPr>
    </w:p>
    <w:p w14:paraId="4A3645AA">
      <w:pPr>
        <w:spacing w:beforeLines="100" w:afterLines="100" w:line="480" w:lineRule="exact"/>
        <w:ind w:right="630" w:rightChars="300"/>
        <w:jc w:val="center"/>
        <w:rPr>
          <w:rFonts w:hint="eastAsia" w:ascii="仿宋" w:hAnsi="仿宋" w:eastAsia="仿宋" w:cs="仿宋"/>
          <w:b/>
          <w:sz w:val="28"/>
          <w:szCs w:val="28"/>
          <w:highlight w:val="none"/>
        </w:rPr>
      </w:pPr>
    </w:p>
    <w:p w14:paraId="1AE5B820">
      <w:pPr>
        <w:spacing w:line="480" w:lineRule="auto"/>
        <w:rPr>
          <w:rFonts w:hint="eastAsia" w:ascii="仿宋" w:hAnsi="仿宋" w:eastAsia="仿宋" w:cs="仿宋"/>
          <w:sz w:val="24"/>
          <w:highlight w:val="none"/>
        </w:rPr>
      </w:pPr>
      <w:r>
        <w:rPr>
          <w:rFonts w:hint="eastAsia" w:ascii="仿宋" w:hAnsi="仿宋" w:eastAsia="仿宋" w:cs="仿宋"/>
          <w:sz w:val="24"/>
          <w:highlight w:val="none"/>
        </w:rPr>
        <w:t>供应商名称（加盖单位公章）：</w:t>
      </w:r>
      <w:r>
        <w:rPr>
          <w:rFonts w:hint="eastAsia" w:ascii="仿宋" w:hAnsi="仿宋" w:eastAsia="仿宋" w:cs="仿宋"/>
          <w:sz w:val="24"/>
          <w:highlight w:val="none"/>
          <w:u w:val="single"/>
        </w:rPr>
        <w:t xml:space="preserve">           </w:t>
      </w:r>
    </w:p>
    <w:p w14:paraId="3B4818AD">
      <w:pPr>
        <w:spacing w:line="480" w:lineRule="auto"/>
        <w:rPr>
          <w:rFonts w:hint="eastAsia" w:ascii="仿宋" w:hAnsi="仿宋" w:eastAsia="仿宋" w:cs="仿宋"/>
          <w:sz w:val="24"/>
          <w:highlight w:val="none"/>
        </w:rPr>
      </w:pPr>
      <w:r>
        <w:rPr>
          <w:rFonts w:hint="eastAsia" w:ascii="仿宋" w:hAnsi="仿宋" w:eastAsia="仿宋" w:cs="仿宋"/>
          <w:sz w:val="24"/>
          <w:highlight w:val="none"/>
        </w:rPr>
        <w:t>法定代表人（或非法人组织负责人）或其授权委托人（签字或盖章）：</w:t>
      </w:r>
      <w:r>
        <w:rPr>
          <w:rFonts w:hint="eastAsia" w:ascii="仿宋" w:hAnsi="仿宋" w:eastAsia="仿宋" w:cs="仿宋"/>
          <w:sz w:val="24"/>
          <w:highlight w:val="none"/>
          <w:u w:val="single"/>
        </w:rPr>
        <w:t xml:space="preserve">           </w:t>
      </w:r>
    </w:p>
    <w:p w14:paraId="1603A3E9">
      <w:pPr>
        <w:spacing w:line="480" w:lineRule="auto"/>
        <w:rPr>
          <w:rFonts w:hint="eastAsia" w:ascii="仿宋" w:hAnsi="仿宋" w:eastAsia="仿宋" w:cs="仿宋"/>
          <w:sz w:val="24"/>
          <w:highlight w:val="non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p>
    <w:p w14:paraId="238E5EA9">
      <w:pPr>
        <w:widowControl/>
        <w:jc w:val="left"/>
        <w:outlineLvl w:val="1"/>
        <w:rPr>
          <w:rFonts w:hint="eastAsia" w:ascii="仿宋" w:hAnsi="仿宋" w:eastAsia="仿宋" w:cs="仿宋"/>
          <w:b/>
          <w:bCs/>
          <w:sz w:val="28"/>
          <w:szCs w:val="28"/>
          <w:highlight w:val="none"/>
        </w:rPr>
      </w:pPr>
      <w:r>
        <w:rPr>
          <w:rFonts w:hint="eastAsia" w:ascii="仿宋" w:hAnsi="仿宋" w:eastAsia="仿宋" w:cs="仿宋"/>
          <w:b/>
          <w:sz w:val="28"/>
          <w:szCs w:val="28"/>
          <w:highlight w:val="none"/>
        </w:rPr>
        <w:br w:type="page"/>
      </w:r>
      <w:bookmarkStart w:id="86" w:name="_Toc4485632"/>
      <w:bookmarkStart w:id="87" w:name="_Toc533340155"/>
      <w:r>
        <w:rPr>
          <w:rFonts w:hint="eastAsia" w:ascii="仿宋" w:hAnsi="仿宋" w:eastAsia="仿宋" w:cs="仿宋"/>
          <w:b/>
          <w:bCs/>
          <w:sz w:val="28"/>
          <w:szCs w:val="28"/>
          <w:highlight w:val="none"/>
        </w:rPr>
        <w:t>格式</w:t>
      </w:r>
      <w:bookmarkEnd w:id="86"/>
      <w:bookmarkEnd w:id="87"/>
      <w:r>
        <w:rPr>
          <w:rFonts w:hint="eastAsia" w:ascii="仿宋" w:hAnsi="仿宋" w:eastAsia="仿宋" w:cs="仿宋"/>
          <w:b/>
          <w:bCs/>
          <w:sz w:val="28"/>
          <w:szCs w:val="28"/>
          <w:highlight w:val="none"/>
        </w:rPr>
        <w:t>7</w:t>
      </w:r>
    </w:p>
    <w:p w14:paraId="4B8E91C7">
      <w:pPr>
        <w:spacing w:beforeLines="100" w:afterLines="100" w:line="420" w:lineRule="exact"/>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 参加政府采购活动前3年内在经营活动中没有重大违法</w:t>
      </w:r>
    </w:p>
    <w:p w14:paraId="4DA2C7F8">
      <w:pPr>
        <w:spacing w:beforeLines="100" w:afterLines="100" w:line="420" w:lineRule="exact"/>
        <w:jc w:val="center"/>
        <w:rPr>
          <w:rFonts w:hint="eastAsia" w:ascii="仿宋" w:hAnsi="仿宋" w:eastAsia="仿宋" w:cs="仿宋"/>
          <w:b/>
          <w:sz w:val="32"/>
          <w:szCs w:val="32"/>
          <w:highlight w:val="none"/>
        </w:rPr>
      </w:pPr>
      <w:r>
        <w:rPr>
          <w:rFonts w:hint="eastAsia" w:ascii="仿宋" w:hAnsi="仿宋" w:eastAsia="仿宋" w:cs="仿宋"/>
          <w:b/>
          <w:bCs/>
          <w:sz w:val="32"/>
          <w:szCs w:val="32"/>
          <w:highlight w:val="none"/>
        </w:rPr>
        <w:t>记录的书面声明</w:t>
      </w:r>
    </w:p>
    <w:p w14:paraId="221B736E">
      <w:pPr>
        <w:spacing w:line="360" w:lineRule="auto"/>
        <w:ind w:right="630" w:rightChars="300"/>
        <w:rPr>
          <w:rFonts w:hint="eastAsia" w:ascii="仿宋" w:hAnsi="仿宋" w:eastAsia="仿宋" w:cs="仿宋"/>
          <w:b/>
          <w:sz w:val="24"/>
          <w:highlight w:val="none"/>
        </w:rPr>
      </w:pPr>
      <w:r>
        <w:rPr>
          <w:rFonts w:hint="eastAsia" w:ascii="仿宋" w:hAnsi="仿宋" w:eastAsia="仿宋" w:cs="仿宋"/>
          <w:b/>
          <w:sz w:val="24"/>
          <w:highlight w:val="none"/>
          <w:u w:val="single"/>
        </w:rPr>
        <w:t>（采购人或采购代理机构名称）</w:t>
      </w:r>
      <w:r>
        <w:rPr>
          <w:rFonts w:hint="eastAsia" w:ascii="仿宋" w:hAnsi="仿宋" w:eastAsia="仿宋" w:cs="仿宋"/>
          <w:b/>
          <w:sz w:val="24"/>
          <w:highlight w:val="none"/>
        </w:rPr>
        <w:t>：</w:t>
      </w:r>
    </w:p>
    <w:p w14:paraId="58F181B7">
      <w:pPr>
        <w:spacing w:line="360" w:lineRule="auto"/>
        <w:ind w:right="-21" w:rightChars="-10" w:firstLine="564" w:firstLineChars="235"/>
        <w:rPr>
          <w:rFonts w:hint="eastAsia" w:ascii="仿宋" w:hAnsi="仿宋" w:eastAsia="仿宋" w:cs="仿宋"/>
          <w:sz w:val="24"/>
          <w:highlight w:val="none"/>
        </w:rPr>
      </w:pPr>
      <w:r>
        <w:rPr>
          <w:rFonts w:hint="eastAsia" w:ascii="仿宋" w:hAnsi="仿宋" w:eastAsia="仿宋" w:cs="仿宋"/>
          <w:bCs/>
          <w:sz w:val="24"/>
          <w:highlight w:val="none"/>
        </w:rPr>
        <w:t>在本项目提交响应文件截止时间前，</w:t>
      </w:r>
      <w:r>
        <w:rPr>
          <w:rFonts w:hint="eastAsia" w:ascii="仿宋" w:hAnsi="仿宋" w:eastAsia="仿宋" w:cs="仿宋"/>
          <w:sz w:val="24"/>
          <w:highlight w:val="none"/>
        </w:rPr>
        <w:t>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名单、政府采购严重违法失信行为记录名单。</w:t>
      </w:r>
    </w:p>
    <w:p w14:paraId="2FDCA844">
      <w:pPr>
        <w:tabs>
          <w:tab w:val="left" w:pos="10065"/>
        </w:tabs>
        <w:spacing w:line="360" w:lineRule="auto"/>
        <w:ind w:right="-21" w:rightChars="-10" w:firstLine="424" w:firstLineChars="177"/>
        <w:rPr>
          <w:rFonts w:hint="eastAsia" w:ascii="仿宋" w:hAnsi="仿宋" w:eastAsia="仿宋" w:cs="仿宋"/>
          <w:sz w:val="24"/>
          <w:highlight w:val="none"/>
        </w:rPr>
      </w:pPr>
      <w:r>
        <w:rPr>
          <w:rFonts w:hint="eastAsia" w:ascii="仿宋" w:hAnsi="仿宋" w:eastAsia="仿宋" w:cs="仿宋"/>
          <w:sz w:val="24"/>
          <w:highlight w:val="none"/>
        </w:rPr>
        <w:t>如发现我单位提供的声明函不实时，我单位将按照《中华人民共和国政府采购法》有关提供虚假材料的规定，接受处罚。</w:t>
      </w:r>
    </w:p>
    <w:p w14:paraId="3F25A291">
      <w:pPr>
        <w:spacing w:line="360" w:lineRule="auto"/>
        <w:ind w:right="1050" w:rightChars="500" w:firstLine="480" w:firstLineChars="200"/>
        <w:rPr>
          <w:rFonts w:hint="eastAsia" w:ascii="仿宋" w:hAnsi="仿宋" w:eastAsia="仿宋" w:cs="仿宋"/>
          <w:sz w:val="24"/>
          <w:highlight w:val="none"/>
        </w:rPr>
      </w:pPr>
      <w:r>
        <w:rPr>
          <w:rFonts w:hint="eastAsia" w:ascii="仿宋" w:hAnsi="仿宋" w:eastAsia="仿宋" w:cs="仿宋"/>
          <w:sz w:val="24"/>
          <w:highlight w:val="none"/>
        </w:rPr>
        <w:t>特此声明。</w:t>
      </w:r>
    </w:p>
    <w:p w14:paraId="3BE5FF76">
      <w:pPr>
        <w:spacing w:line="500" w:lineRule="exact"/>
        <w:ind w:right="1050" w:rightChars="500" w:firstLine="480" w:firstLineChars="200"/>
        <w:rPr>
          <w:rFonts w:hint="eastAsia" w:ascii="仿宋" w:hAnsi="仿宋" w:eastAsia="仿宋" w:cs="仿宋"/>
          <w:sz w:val="24"/>
          <w:highlight w:val="none"/>
        </w:rPr>
      </w:pPr>
    </w:p>
    <w:p w14:paraId="0B2096FE">
      <w:pPr>
        <w:spacing w:beforeLines="50" w:afterLines="50" w:line="400" w:lineRule="exact"/>
        <w:ind w:right="1050" w:rightChars="500" w:firstLine="480" w:firstLineChars="200"/>
        <w:rPr>
          <w:rFonts w:hint="eastAsia" w:ascii="仿宋" w:hAnsi="仿宋" w:eastAsia="仿宋" w:cs="仿宋"/>
          <w:sz w:val="24"/>
          <w:highlight w:val="none"/>
        </w:rPr>
      </w:pPr>
    </w:p>
    <w:p w14:paraId="7190BAC4">
      <w:pPr>
        <w:spacing w:beforeLines="50" w:afterLines="50" w:line="400" w:lineRule="exact"/>
        <w:ind w:right="1050" w:rightChars="500" w:firstLine="480" w:firstLineChars="200"/>
        <w:rPr>
          <w:rFonts w:hint="eastAsia" w:ascii="仿宋" w:hAnsi="仿宋" w:eastAsia="仿宋" w:cs="仿宋"/>
          <w:sz w:val="24"/>
          <w:highlight w:val="none"/>
        </w:rPr>
      </w:pPr>
    </w:p>
    <w:p w14:paraId="4082823C">
      <w:pPr>
        <w:spacing w:line="360" w:lineRule="exact"/>
        <w:ind w:left="1050" w:leftChars="500" w:right="1050" w:rightChars="500" w:firstLine="480" w:firstLineChars="200"/>
        <w:rPr>
          <w:rFonts w:hint="eastAsia" w:ascii="仿宋" w:hAnsi="仿宋" w:eastAsia="仿宋" w:cs="仿宋"/>
          <w:sz w:val="24"/>
          <w:highlight w:val="none"/>
        </w:rPr>
      </w:pPr>
    </w:p>
    <w:p w14:paraId="3D310E1C">
      <w:pPr>
        <w:spacing w:line="480" w:lineRule="auto"/>
        <w:rPr>
          <w:rFonts w:hint="eastAsia" w:ascii="仿宋" w:hAnsi="仿宋" w:eastAsia="仿宋" w:cs="仿宋"/>
          <w:sz w:val="24"/>
          <w:highlight w:val="none"/>
        </w:rPr>
      </w:pPr>
      <w:r>
        <w:rPr>
          <w:rFonts w:hint="eastAsia" w:ascii="仿宋" w:hAnsi="仿宋" w:eastAsia="仿宋" w:cs="仿宋"/>
          <w:sz w:val="24"/>
          <w:highlight w:val="none"/>
        </w:rPr>
        <w:t>供应商名称（加盖单位公章）：</w:t>
      </w:r>
      <w:r>
        <w:rPr>
          <w:rFonts w:hint="eastAsia" w:ascii="仿宋" w:hAnsi="仿宋" w:eastAsia="仿宋" w:cs="仿宋"/>
          <w:sz w:val="24"/>
          <w:highlight w:val="none"/>
          <w:u w:val="single"/>
        </w:rPr>
        <w:t xml:space="preserve">           </w:t>
      </w:r>
    </w:p>
    <w:p w14:paraId="5B60C1C1">
      <w:pPr>
        <w:spacing w:line="480" w:lineRule="auto"/>
        <w:rPr>
          <w:rFonts w:hint="eastAsia" w:ascii="仿宋" w:hAnsi="仿宋" w:eastAsia="仿宋" w:cs="仿宋"/>
          <w:sz w:val="24"/>
          <w:highlight w:val="none"/>
        </w:rPr>
      </w:pPr>
      <w:r>
        <w:rPr>
          <w:rFonts w:hint="eastAsia" w:ascii="仿宋" w:hAnsi="仿宋" w:eastAsia="仿宋" w:cs="仿宋"/>
          <w:sz w:val="24"/>
          <w:highlight w:val="none"/>
        </w:rPr>
        <w:t>法定代表人（或非法人组织负责人）或其授权委托人（签字或盖章）：</w:t>
      </w:r>
      <w:r>
        <w:rPr>
          <w:rFonts w:hint="eastAsia" w:ascii="仿宋" w:hAnsi="仿宋" w:eastAsia="仿宋" w:cs="仿宋"/>
          <w:sz w:val="24"/>
          <w:highlight w:val="none"/>
          <w:u w:val="single"/>
        </w:rPr>
        <w:t xml:space="preserve">           </w:t>
      </w:r>
    </w:p>
    <w:p w14:paraId="28EE893B">
      <w:pPr>
        <w:spacing w:line="480" w:lineRule="auto"/>
        <w:rPr>
          <w:rFonts w:hint="eastAsia" w:ascii="仿宋" w:hAnsi="仿宋" w:eastAsia="仿宋" w:cs="仿宋"/>
          <w:sz w:val="24"/>
          <w:highlight w:val="none"/>
          <w:u w:val="singl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p>
    <w:p w14:paraId="0145C0B2">
      <w:pPr>
        <w:pStyle w:val="3"/>
        <w:adjustRightInd w:val="0"/>
        <w:snapToGrid w:val="0"/>
        <w:spacing w:before="0" w:after="0"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br w:type="page"/>
      </w:r>
      <w:r>
        <w:rPr>
          <w:rFonts w:hint="eastAsia" w:ascii="仿宋" w:hAnsi="仿宋" w:eastAsia="仿宋" w:cs="仿宋"/>
          <w:bCs/>
          <w:sz w:val="28"/>
          <w:szCs w:val="28"/>
          <w:highlight w:val="none"/>
        </w:rPr>
        <w:t>格式</w:t>
      </w:r>
      <w:r>
        <w:rPr>
          <w:rFonts w:hint="eastAsia" w:ascii="仿宋" w:hAnsi="仿宋" w:eastAsia="仿宋" w:cs="仿宋"/>
          <w:bCs/>
          <w:sz w:val="28"/>
          <w:szCs w:val="28"/>
          <w:highlight w:val="none"/>
        </w:rPr>
        <w:t>8</w:t>
      </w:r>
    </w:p>
    <w:p w14:paraId="11111550">
      <w:pPr>
        <w:spacing w:beforeLines="100"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供应商关联单位说明</w:t>
      </w:r>
    </w:p>
    <w:p w14:paraId="62D3FF2A">
      <w:pPr>
        <w:pStyle w:val="127"/>
        <w:ind w:firstLine="0" w:firstLineChars="0"/>
        <w:jc w:val="center"/>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（格式自拟）</w:t>
      </w:r>
    </w:p>
    <w:p w14:paraId="3D2637CE">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3D850834">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41A8E41F">
      <w:pPr>
        <w:adjustRightInd w:val="0"/>
        <w:snapToGrid w:val="0"/>
        <w:spacing w:line="360" w:lineRule="auto"/>
        <w:ind w:right="105" w:rightChars="50"/>
        <w:jc w:val="left"/>
        <w:rPr>
          <w:rFonts w:hint="eastAsia" w:ascii="仿宋" w:hAnsi="仿宋" w:eastAsia="仿宋" w:cs="仿宋"/>
          <w:szCs w:val="21"/>
          <w:highlight w:val="none"/>
        </w:rPr>
      </w:pPr>
    </w:p>
    <w:p w14:paraId="605F82D2">
      <w:pPr>
        <w:adjustRightInd w:val="0"/>
        <w:snapToGrid w:val="0"/>
        <w:spacing w:line="360" w:lineRule="auto"/>
        <w:ind w:right="105" w:rightChars="50"/>
        <w:jc w:val="left"/>
        <w:rPr>
          <w:rFonts w:hint="eastAsia" w:ascii="仿宋" w:hAnsi="仿宋" w:eastAsia="仿宋" w:cs="仿宋"/>
          <w:szCs w:val="21"/>
          <w:highlight w:val="none"/>
        </w:rPr>
      </w:pPr>
    </w:p>
    <w:p w14:paraId="42248F8A">
      <w:pPr>
        <w:adjustRightInd w:val="0"/>
        <w:snapToGrid w:val="0"/>
        <w:spacing w:line="360" w:lineRule="auto"/>
        <w:ind w:right="105" w:rightChars="50"/>
        <w:jc w:val="left"/>
        <w:rPr>
          <w:rFonts w:hint="eastAsia" w:ascii="仿宋" w:hAnsi="仿宋" w:eastAsia="仿宋" w:cs="仿宋"/>
          <w:szCs w:val="21"/>
          <w:highlight w:val="none"/>
        </w:rPr>
      </w:pPr>
    </w:p>
    <w:p w14:paraId="65FDCC6C">
      <w:pPr>
        <w:adjustRightInd w:val="0"/>
        <w:snapToGrid w:val="0"/>
        <w:spacing w:line="360" w:lineRule="auto"/>
        <w:ind w:right="105" w:rightChars="50"/>
        <w:jc w:val="left"/>
        <w:rPr>
          <w:rFonts w:hint="eastAsia" w:ascii="仿宋" w:hAnsi="仿宋" w:eastAsia="仿宋" w:cs="仿宋"/>
          <w:szCs w:val="21"/>
          <w:highlight w:val="none"/>
        </w:rPr>
      </w:pPr>
    </w:p>
    <w:p w14:paraId="07583610">
      <w:pPr>
        <w:adjustRightInd w:val="0"/>
        <w:snapToGrid w:val="0"/>
        <w:spacing w:line="360" w:lineRule="auto"/>
        <w:ind w:right="105" w:rightChars="50"/>
        <w:jc w:val="left"/>
        <w:rPr>
          <w:rFonts w:hint="eastAsia" w:ascii="仿宋" w:hAnsi="仿宋" w:eastAsia="仿宋" w:cs="仿宋"/>
          <w:szCs w:val="21"/>
          <w:highlight w:val="none"/>
        </w:rPr>
      </w:pPr>
    </w:p>
    <w:p w14:paraId="07D7171E">
      <w:pPr>
        <w:adjustRightInd w:val="0"/>
        <w:snapToGrid w:val="0"/>
        <w:spacing w:line="360" w:lineRule="auto"/>
        <w:ind w:right="105" w:rightChars="50"/>
        <w:jc w:val="left"/>
        <w:rPr>
          <w:rFonts w:hint="eastAsia" w:ascii="仿宋" w:hAnsi="仿宋" w:eastAsia="仿宋" w:cs="仿宋"/>
          <w:szCs w:val="21"/>
          <w:highlight w:val="none"/>
        </w:rPr>
      </w:pPr>
    </w:p>
    <w:p w14:paraId="454FB6DC">
      <w:pPr>
        <w:adjustRightInd w:val="0"/>
        <w:snapToGrid w:val="0"/>
        <w:spacing w:line="360" w:lineRule="auto"/>
        <w:ind w:right="105" w:rightChars="50"/>
        <w:jc w:val="left"/>
        <w:rPr>
          <w:rFonts w:hint="eastAsia" w:ascii="仿宋" w:hAnsi="仿宋" w:eastAsia="仿宋" w:cs="仿宋"/>
          <w:szCs w:val="21"/>
          <w:highlight w:val="none"/>
        </w:rPr>
      </w:pPr>
    </w:p>
    <w:p w14:paraId="12800776">
      <w:pPr>
        <w:spacing w:line="480" w:lineRule="auto"/>
        <w:rPr>
          <w:rFonts w:hint="eastAsia" w:ascii="仿宋" w:hAnsi="仿宋" w:eastAsia="仿宋" w:cs="仿宋"/>
          <w:sz w:val="24"/>
          <w:highlight w:val="none"/>
        </w:rPr>
      </w:pPr>
      <w:r>
        <w:rPr>
          <w:rFonts w:hint="eastAsia" w:ascii="仿宋" w:hAnsi="仿宋" w:eastAsia="仿宋" w:cs="仿宋"/>
          <w:sz w:val="24"/>
          <w:highlight w:val="none"/>
        </w:rPr>
        <w:t>供应商名称（加盖单位公章）：</w:t>
      </w:r>
      <w:r>
        <w:rPr>
          <w:rFonts w:hint="eastAsia" w:ascii="仿宋" w:hAnsi="仿宋" w:eastAsia="仿宋" w:cs="仿宋"/>
          <w:sz w:val="24"/>
          <w:highlight w:val="none"/>
          <w:u w:val="single"/>
        </w:rPr>
        <w:t xml:space="preserve">           </w:t>
      </w:r>
    </w:p>
    <w:p w14:paraId="5A159A53">
      <w:pPr>
        <w:spacing w:line="480" w:lineRule="auto"/>
        <w:rPr>
          <w:rFonts w:hint="eastAsia" w:ascii="仿宋" w:hAnsi="仿宋" w:eastAsia="仿宋" w:cs="仿宋"/>
          <w:sz w:val="24"/>
          <w:highlight w:val="none"/>
        </w:rPr>
      </w:pPr>
      <w:r>
        <w:rPr>
          <w:rFonts w:hint="eastAsia" w:ascii="仿宋" w:hAnsi="仿宋" w:eastAsia="仿宋" w:cs="仿宋"/>
          <w:sz w:val="24"/>
          <w:highlight w:val="none"/>
        </w:rPr>
        <w:t>法定代表人（或非法人组织负责人）或其授权委托人（签字或盖章）：</w:t>
      </w:r>
      <w:r>
        <w:rPr>
          <w:rFonts w:hint="eastAsia" w:ascii="仿宋" w:hAnsi="仿宋" w:eastAsia="仿宋" w:cs="仿宋"/>
          <w:sz w:val="24"/>
          <w:highlight w:val="none"/>
          <w:u w:val="single"/>
        </w:rPr>
        <w:t xml:space="preserve">           </w:t>
      </w:r>
    </w:p>
    <w:p w14:paraId="3DFD5A76">
      <w:pPr>
        <w:spacing w:line="480" w:lineRule="auto"/>
        <w:rPr>
          <w:rFonts w:hint="eastAsia" w:ascii="仿宋" w:hAnsi="仿宋" w:eastAsia="仿宋" w:cs="仿宋"/>
          <w:sz w:val="24"/>
          <w:highlight w:val="non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p>
    <w:p w14:paraId="150AD406">
      <w:pPr>
        <w:adjustRightInd w:val="0"/>
        <w:snapToGrid w:val="0"/>
        <w:spacing w:line="360" w:lineRule="auto"/>
        <w:ind w:right="105" w:rightChars="50"/>
        <w:jc w:val="left"/>
        <w:rPr>
          <w:rFonts w:hint="eastAsia" w:ascii="仿宋" w:hAnsi="仿宋" w:eastAsia="仿宋" w:cs="仿宋"/>
          <w:b/>
          <w:bCs/>
          <w:szCs w:val="21"/>
          <w:highlight w:val="none"/>
        </w:rPr>
      </w:pPr>
    </w:p>
    <w:p w14:paraId="5ED12B8B">
      <w:pPr>
        <w:adjustRightInd w:val="0"/>
        <w:snapToGrid w:val="0"/>
        <w:spacing w:line="360" w:lineRule="auto"/>
        <w:ind w:right="105" w:rightChars="50"/>
        <w:jc w:val="left"/>
        <w:rPr>
          <w:rFonts w:hint="eastAsia" w:ascii="仿宋" w:hAnsi="仿宋" w:eastAsia="仿宋" w:cs="仿宋"/>
          <w:b/>
          <w:bCs/>
          <w:sz w:val="24"/>
          <w:highlight w:val="none"/>
        </w:rPr>
      </w:pPr>
    </w:p>
    <w:p w14:paraId="435E0AE8">
      <w:pPr>
        <w:adjustRightInd w:val="0"/>
        <w:snapToGrid w:val="0"/>
        <w:spacing w:line="360" w:lineRule="auto"/>
        <w:ind w:right="105" w:rightChars="50"/>
        <w:jc w:val="left"/>
        <w:rPr>
          <w:rFonts w:hint="eastAsia" w:ascii="仿宋" w:hAnsi="仿宋" w:eastAsia="仿宋" w:cs="仿宋"/>
          <w:sz w:val="24"/>
          <w:highlight w:val="none"/>
        </w:rPr>
      </w:pPr>
      <w:r>
        <w:rPr>
          <w:rFonts w:hint="eastAsia" w:ascii="仿宋" w:hAnsi="仿宋" w:eastAsia="仿宋" w:cs="仿宋"/>
          <w:b/>
          <w:bCs/>
          <w:sz w:val="24"/>
          <w:highlight w:val="none"/>
        </w:rPr>
        <w:t>说明</w:t>
      </w:r>
      <w:r>
        <w:rPr>
          <w:rFonts w:hint="eastAsia" w:ascii="仿宋" w:hAnsi="仿宋" w:eastAsia="仿宋" w:cs="仿宋"/>
          <w:sz w:val="24"/>
          <w:highlight w:val="none"/>
        </w:rPr>
        <w:t>：供应商应当如实披露与本单位存在下列关联关系的单位名称：</w:t>
      </w:r>
    </w:p>
    <w:p w14:paraId="230FEB03">
      <w:pPr>
        <w:adjustRightInd w:val="0"/>
        <w:snapToGrid w:val="0"/>
        <w:spacing w:line="360" w:lineRule="auto"/>
        <w:ind w:right="105" w:rightChars="50" w:firstLine="544" w:firstLineChars="227"/>
        <w:jc w:val="left"/>
        <w:rPr>
          <w:rFonts w:hint="eastAsia" w:ascii="仿宋" w:hAnsi="仿宋" w:eastAsia="仿宋" w:cs="仿宋"/>
          <w:sz w:val="24"/>
          <w:highlight w:val="none"/>
        </w:rPr>
      </w:pPr>
      <w:r>
        <w:rPr>
          <w:rFonts w:hint="eastAsia" w:ascii="仿宋" w:hAnsi="仿宋" w:eastAsia="仿宋" w:cs="仿宋"/>
          <w:sz w:val="24"/>
          <w:highlight w:val="none"/>
        </w:rPr>
        <w:t>（1）与供应商单位法定代表人（或非法人组织负责人）为同一人的其他单位；</w:t>
      </w:r>
    </w:p>
    <w:p w14:paraId="4CAB311C">
      <w:pPr>
        <w:adjustRightInd w:val="0"/>
        <w:snapToGrid w:val="0"/>
        <w:spacing w:line="360" w:lineRule="auto"/>
        <w:ind w:right="105" w:rightChars="50" w:firstLine="544" w:firstLineChars="227"/>
        <w:jc w:val="left"/>
        <w:rPr>
          <w:rFonts w:hint="eastAsia" w:ascii="仿宋" w:hAnsi="仿宋" w:eastAsia="仿宋" w:cs="仿宋"/>
          <w:sz w:val="24"/>
          <w:highlight w:val="none"/>
        </w:rPr>
      </w:pPr>
      <w:r>
        <w:rPr>
          <w:rFonts w:hint="eastAsia" w:ascii="仿宋" w:hAnsi="仿宋" w:eastAsia="仿宋" w:cs="仿宋"/>
          <w:sz w:val="24"/>
          <w:highlight w:val="none"/>
        </w:rPr>
        <w:t>（2）与供应商存在直接控股、管理关系的其他单位。</w:t>
      </w:r>
    </w:p>
    <w:p w14:paraId="5DF52408">
      <w:pPr>
        <w:adjustRightInd w:val="0"/>
        <w:snapToGrid w:val="0"/>
        <w:spacing w:line="360" w:lineRule="auto"/>
        <w:ind w:right="105" w:rightChars="50" w:firstLine="544" w:firstLineChars="227"/>
        <w:jc w:val="left"/>
        <w:rPr>
          <w:rFonts w:hint="eastAsia" w:ascii="仿宋" w:hAnsi="仿宋" w:eastAsia="仿宋" w:cs="仿宋"/>
          <w:sz w:val="24"/>
          <w:highlight w:val="none"/>
        </w:rPr>
      </w:pPr>
    </w:p>
    <w:p w14:paraId="59FADF7E">
      <w:pPr>
        <w:rPr>
          <w:rFonts w:hint="eastAsia" w:ascii="仿宋" w:hAnsi="仿宋" w:eastAsia="仿宋" w:cs="仿宋"/>
          <w:sz w:val="24"/>
          <w:highlight w:val="none"/>
        </w:rPr>
      </w:pPr>
      <w:r>
        <w:rPr>
          <w:rFonts w:hint="eastAsia" w:ascii="仿宋" w:hAnsi="仿宋" w:eastAsia="仿宋" w:cs="仿宋"/>
          <w:sz w:val="24"/>
          <w:highlight w:val="none"/>
        </w:rPr>
        <w:t>注：若无此情形，写“无”即可。</w:t>
      </w:r>
    </w:p>
    <w:p w14:paraId="5164927C">
      <w:pPr>
        <w:widowControl/>
        <w:jc w:val="left"/>
        <w:outlineLvl w:val="1"/>
        <w:rPr>
          <w:rFonts w:hint="eastAsia" w:ascii="仿宋" w:hAnsi="仿宋" w:eastAsia="仿宋" w:cs="仿宋"/>
          <w:b/>
          <w:bCs/>
          <w:sz w:val="28"/>
          <w:szCs w:val="28"/>
          <w:highlight w:val="none"/>
        </w:rPr>
      </w:pPr>
      <w:r>
        <w:rPr>
          <w:rFonts w:hint="eastAsia" w:ascii="仿宋" w:hAnsi="仿宋" w:eastAsia="仿宋" w:cs="仿宋"/>
          <w:sz w:val="24"/>
          <w:highlight w:val="none"/>
        </w:rPr>
        <w:br w:type="page"/>
      </w:r>
      <w:bookmarkStart w:id="88" w:name="_Toc4485633"/>
      <w:bookmarkStart w:id="89" w:name="_Toc533340156"/>
      <w:r>
        <w:rPr>
          <w:rFonts w:hint="eastAsia" w:ascii="仿宋" w:hAnsi="仿宋" w:eastAsia="仿宋" w:cs="仿宋"/>
          <w:b/>
          <w:bCs/>
          <w:sz w:val="28"/>
          <w:szCs w:val="28"/>
          <w:highlight w:val="none"/>
        </w:rPr>
        <w:t>格式9</w:t>
      </w:r>
    </w:p>
    <w:p w14:paraId="377B4B83">
      <w:pPr>
        <w:spacing w:beforeLines="100"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项目经理（建造师）承诺书</w:t>
      </w:r>
    </w:p>
    <w:p w14:paraId="355C8D0A">
      <w:pPr>
        <w:pStyle w:val="116"/>
        <w:rPr>
          <w:rFonts w:hint="eastAsia" w:ascii="仿宋" w:hAnsi="仿宋" w:eastAsia="仿宋" w:cs="仿宋"/>
          <w:szCs w:val="21"/>
          <w:highlight w:val="none"/>
        </w:rPr>
      </w:pPr>
    </w:p>
    <w:p w14:paraId="302D0748">
      <w:pPr>
        <w:spacing w:line="360" w:lineRule="auto"/>
        <w:ind w:right="630" w:rightChars="300"/>
        <w:rPr>
          <w:rFonts w:hint="eastAsia" w:ascii="仿宋" w:hAnsi="仿宋" w:eastAsia="仿宋" w:cs="仿宋"/>
          <w:sz w:val="24"/>
          <w:highlight w:val="none"/>
        </w:rPr>
      </w:pPr>
      <w:r>
        <w:rPr>
          <w:rFonts w:hint="eastAsia" w:ascii="仿宋" w:hAnsi="仿宋" w:eastAsia="仿宋" w:cs="仿宋"/>
          <w:b/>
          <w:bCs/>
          <w:sz w:val="24"/>
          <w:highlight w:val="none"/>
        </w:rPr>
        <w:t>致：</w:t>
      </w:r>
      <w:r>
        <w:rPr>
          <w:rFonts w:hint="eastAsia" w:ascii="仿宋" w:hAnsi="仿宋" w:eastAsia="仿宋" w:cs="仿宋"/>
          <w:b/>
          <w:sz w:val="24"/>
          <w:highlight w:val="none"/>
          <w:u w:val="single"/>
        </w:rPr>
        <w:t>（采购人或采购代理机构名称）</w:t>
      </w:r>
    </w:p>
    <w:p w14:paraId="4D62BEE0">
      <w:pPr>
        <w:pStyle w:val="116"/>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（姓名）在此郑重承诺：我是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（供应商）单位的项目经理，目前无在建项目。</w:t>
      </w:r>
    </w:p>
    <w:p w14:paraId="707A3B7D">
      <w:pPr>
        <w:pStyle w:val="116"/>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（项目名称）响应文件中所提供的个人资格及业绩均属实，不存在其他公司借用我项目经理资格响应的现象。如我公司成交，我保证按期作为项目经理承担该项目的建设工作。</w:t>
      </w:r>
    </w:p>
    <w:p w14:paraId="486C7731">
      <w:pPr>
        <w:pStyle w:val="116"/>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如在评审、确定成交供应商、签订合同过程中发现本人承诺有虚假问题，或被举报核实有上述违反承诺行为，或在项目建设过程中有违规行为，我愿意无条件地接受相关部门处罚并取消我方供应商的成交资格。</w:t>
      </w:r>
    </w:p>
    <w:p w14:paraId="66510F6B">
      <w:pPr>
        <w:pStyle w:val="116"/>
        <w:spacing w:line="360" w:lineRule="auto"/>
        <w:ind w:firstLine="480" w:firstLineChars="200"/>
        <w:rPr>
          <w:rFonts w:hint="eastAsia" w:ascii="仿宋" w:hAnsi="仿宋" w:eastAsia="仿宋" w:cs="仿宋"/>
          <w:sz w:val="24"/>
          <w:szCs w:val="24"/>
          <w:highlight w:val="none"/>
        </w:rPr>
      </w:pPr>
    </w:p>
    <w:p w14:paraId="19785254">
      <w:pPr>
        <w:pStyle w:val="116"/>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供应商名称：（盖章）</w:t>
      </w:r>
    </w:p>
    <w:p w14:paraId="1CC8E36C">
      <w:pPr>
        <w:pStyle w:val="11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承诺人签字：</w:t>
      </w:r>
    </w:p>
    <w:p w14:paraId="3D3666D5">
      <w:pPr>
        <w:pStyle w:val="11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身份证号码：</w:t>
      </w:r>
    </w:p>
    <w:p w14:paraId="1641733E">
      <w:pPr>
        <w:pStyle w:val="11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项目经理（建造师）资格证书编码：</w:t>
      </w:r>
    </w:p>
    <w:p w14:paraId="0812E23E">
      <w:pPr>
        <w:pStyle w:val="11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办公电话：</w:t>
      </w:r>
    </w:p>
    <w:p w14:paraId="3BEEAA31">
      <w:pPr>
        <w:pStyle w:val="11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手机：</w:t>
      </w:r>
    </w:p>
    <w:p w14:paraId="14F24C54">
      <w:pPr>
        <w:pStyle w:val="116"/>
        <w:ind w:firstLine="2988" w:firstLineChars="124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年    月    日</w:t>
      </w:r>
    </w:p>
    <w:p w14:paraId="48439634">
      <w:pPr>
        <w:rPr>
          <w:rFonts w:hint="eastAsia" w:ascii="仿宋" w:hAnsi="仿宋" w:eastAsia="仿宋" w:cs="仿宋"/>
          <w:sz w:val="24"/>
          <w:highlight w:val="none"/>
        </w:rPr>
      </w:pPr>
    </w:p>
    <w:p w14:paraId="677EBD04">
      <w:pPr>
        <w:pStyle w:val="3"/>
        <w:adjustRightInd w:val="0"/>
        <w:snapToGrid w:val="0"/>
        <w:spacing w:line="240" w:lineRule="auto"/>
        <w:jc w:val="left"/>
        <w:rPr>
          <w:rFonts w:hint="eastAsia" w:ascii="仿宋" w:hAnsi="仿宋" w:eastAsia="仿宋" w:cs="仿宋"/>
          <w:sz w:val="28"/>
          <w:szCs w:val="28"/>
          <w:highlight w:val="none"/>
          <w:lang w:eastAsia="zh-CN"/>
        </w:rPr>
      </w:pPr>
      <w:r>
        <w:rPr>
          <w:rFonts w:hint="eastAsia" w:ascii="仿宋" w:hAnsi="仿宋" w:eastAsia="仿宋" w:cs="仿宋"/>
          <w:sz w:val="24"/>
          <w:highlight w:val="none"/>
        </w:rPr>
        <w:br w:type="page"/>
      </w:r>
      <w:r>
        <w:rPr>
          <w:rFonts w:hint="eastAsia" w:ascii="仿宋" w:hAnsi="仿宋" w:eastAsia="仿宋" w:cs="仿宋"/>
          <w:sz w:val="28"/>
          <w:szCs w:val="28"/>
          <w:highlight w:val="none"/>
        </w:rPr>
        <w:t>格式</w:t>
      </w:r>
      <w:bookmarkEnd w:id="88"/>
      <w:bookmarkEnd w:id="89"/>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0</w:t>
      </w:r>
    </w:p>
    <w:p w14:paraId="7082C51D">
      <w:pPr>
        <w:autoSpaceDE w:val="0"/>
        <w:autoSpaceDN w:val="0"/>
        <w:adjustRightInd w:val="0"/>
        <w:spacing w:line="360" w:lineRule="auto"/>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响应函</w:t>
      </w:r>
    </w:p>
    <w:p w14:paraId="50CD65B8">
      <w:pPr>
        <w:spacing w:line="420" w:lineRule="exact"/>
        <w:ind w:right="630" w:rightChars="300"/>
        <w:rPr>
          <w:rFonts w:hint="eastAsia" w:ascii="仿宋" w:hAnsi="仿宋" w:eastAsia="仿宋" w:cs="仿宋"/>
          <w:b/>
          <w:sz w:val="24"/>
          <w:highlight w:val="none"/>
        </w:rPr>
      </w:pPr>
      <w:r>
        <w:rPr>
          <w:rFonts w:hint="eastAsia" w:ascii="仿宋" w:hAnsi="仿宋" w:eastAsia="仿宋" w:cs="仿宋"/>
          <w:b/>
          <w:sz w:val="24"/>
          <w:highlight w:val="none"/>
          <w:u w:val="single"/>
        </w:rPr>
        <w:t>（采购人或采购代理机构名称）</w:t>
      </w:r>
      <w:r>
        <w:rPr>
          <w:rFonts w:hint="eastAsia" w:ascii="仿宋" w:hAnsi="仿宋" w:eastAsia="仿宋" w:cs="仿宋"/>
          <w:b/>
          <w:sz w:val="24"/>
          <w:highlight w:val="none"/>
        </w:rPr>
        <w:t>：</w:t>
      </w:r>
    </w:p>
    <w:p w14:paraId="45D14282">
      <w:pPr>
        <w:adjustRightInd w:val="0"/>
        <w:snapToGrid w:val="0"/>
        <w:spacing w:line="420" w:lineRule="exact"/>
        <w:ind w:right="-21" w:rightChars="-10" w:firstLine="480" w:firstLineChars="200"/>
        <w:rPr>
          <w:rFonts w:hint="eastAsia" w:ascii="仿宋" w:hAnsi="仿宋" w:eastAsia="仿宋" w:cs="仿宋"/>
          <w:sz w:val="24"/>
          <w:highlight w:val="none"/>
        </w:rPr>
      </w:pPr>
      <w:r>
        <w:rPr>
          <w:rFonts w:hint="eastAsia" w:ascii="仿宋" w:hAnsi="仿宋" w:eastAsia="仿宋" w:cs="仿宋"/>
          <w:sz w:val="24"/>
          <w:highlight w:val="none"/>
        </w:rPr>
        <w:t>根据贵方</w:t>
      </w:r>
      <w:r>
        <w:rPr>
          <w:rFonts w:hint="eastAsia" w:ascii="仿宋" w:hAnsi="仿宋" w:eastAsia="仿宋" w:cs="仿宋"/>
          <w:sz w:val="24"/>
          <w:highlight w:val="none"/>
          <w:u w:val="single"/>
        </w:rPr>
        <w:t xml:space="preserve">   （项目名称  ）</w:t>
      </w:r>
      <w:r>
        <w:rPr>
          <w:rFonts w:hint="eastAsia" w:ascii="仿宋" w:hAnsi="仿宋" w:eastAsia="仿宋" w:cs="仿宋"/>
          <w:sz w:val="24"/>
          <w:highlight w:val="none"/>
        </w:rPr>
        <w:t>项目的采购公告</w:t>
      </w:r>
      <w:r>
        <w:rPr>
          <w:rFonts w:hint="eastAsia" w:ascii="仿宋" w:hAnsi="仿宋" w:eastAsia="仿宋" w:cs="仿宋"/>
          <w:sz w:val="24"/>
          <w:highlight w:val="none"/>
          <w:u w:val="single"/>
        </w:rPr>
        <w:t xml:space="preserve">  （项目编号  ），</w:t>
      </w:r>
      <w:r>
        <w:rPr>
          <w:rFonts w:hint="eastAsia" w:ascii="仿宋" w:hAnsi="仿宋" w:eastAsia="仿宋" w:cs="仿宋"/>
          <w:sz w:val="24"/>
          <w:highlight w:val="none"/>
        </w:rPr>
        <w:t>签字代表</w:t>
      </w:r>
      <w:r>
        <w:rPr>
          <w:rFonts w:hint="eastAsia" w:ascii="仿宋" w:hAnsi="仿宋" w:eastAsia="仿宋" w:cs="仿宋"/>
          <w:sz w:val="24"/>
          <w:highlight w:val="none"/>
          <w:u w:val="single"/>
        </w:rPr>
        <w:t xml:space="preserve">  （姓名、职务）</w:t>
      </w:r>
      <w:r>
        <w:rPr>
          <w:rFonts w:hint="eastAsia" w:ascii="仿宋" w:hAnsi="仿宋" w:eastAsia="仿宋" w:cs="仿宋"/>
          <w:sz w:val="24"/>
          <w:highlight w:val="none"/>
        </w:rPr>
        <w:t>经正式授权并代表供应商</w:t>
      </w:r>
      <w:r>
        <w:rPr>
          <w:rFonts w:hint="eastAsia" w:ascii="仿宋" w:hAnsi="仿宋" w:eastAsia="仿宋" w:cs="仿宋"/>
          <w:sz w:val="24"/>
          <w:highlight w:val="none"/>
          <w:u w:val="single"/>
        </w:rPr>
        <w:t>（名称、地址）</w:t>
      </w:r>
      <w:r>
        <w:rPr>
          <w:rFonts w:hint="eastAsia" w:ascii="仿宋" w:hAnsi="仿宋" w:eastAsia="仿宋" w:cs="仿宋"/>
          <w:sz w:val="24"/>
          <w:highlight w:val="none"/>
        </w:rPr>
        <w:t>提交</w:t>
      </w:r>
      <w:bookmarkStart w:id="90" w:name="_Hlk221798643"/>
      <w:r>
        <w:rPr>
          <w:rFonts w:hint="eastAsia" w:ascii="仿宋" w:hAnsi="仿宋" w:eastAsia="仿宋" w:cs="仿宋"/>
          <w:sz w:val="24"/>
          <w:highlight w:val="none"/>
        </w:rPr>
        <w:t>电子响应文件，以</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形式自愿递交电子加密备份响应文件（</w:t>
      </w:r>
      <w:r>
        <w:rPr>
          <w:rFonts w:hint="eastAsia" w:ascii="仿宋" w:hAnsi="仿宋" w:eastAsia="仿宋" w:cs="仿宋"/>
          <w:kern w:val="0"/>
          <w:sz w:val="24"/>
          <w:highlight w:val="none"/>
        </w:rPr>
        <w:sym w:font="Wingdings 2" w:char="00A3"/>
      </w:r>
      <w:r>
        <w:rPr>
          <w:rFonts w:hint="eastAsia" w:ascii="仿宋" w:hAnsi="仿宋" w:eastAsia="仿宋" w:cs="仿宋"/>
          <w:kern w:val="0"/>
          <w:sz w:val="24"/>
          <w:highlight w:val="none"/>
        </w:rPr>
        <w:t>是/</w:t>
      </w:r>
      <w:r>
        <w:rPr>
          <w:rFonts w:hint="eastAsia" w:ascii="仿宋" w:hAnsi="仿宋" w:eastAsia="仿宋" w:cs="仿宋"/>
          <w:kern w:val="0"/>
          <w:sz w:val="24"/>
          <w:highlight w:val="none"/>
        </w:rPr>
        <w:sym w:font="Wingdings 2" w:char="00A3"/>
      </w:r>
      <w:r>
        <w:rPr>
          <w:rFonts w:hint="eastAsia" w:ascii="仿宋" w:hAnsi="仿宋" w:eastAsia="仿宋" w:cs="仿宋"/>
          <w:kern w:val="0"/>
          <w:sz w:val="24"/>
          <w:highlight w:val="none"/>
        </w:rPr>
        <w:t>否</w:t>
      </w:r>
      <w:r>
        <w:rPr>
          <w:rFonts w:hint="eastAsia" w:ascii="仿宋" w:hAnsi="仿宋" w:eastAsia="仿宋" w:cs="仿宋"/>
          <w:sz w:val="24"/>
          <w:highlight w:val="none"/>
        </w:rPr>
        <w:t>），以</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 形式出具金额为人民币</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 元的磋商保证金。</w:t>
      </w:r>
      <w:bookmarkEnd w:id="90"/>
    </w:p>
    <w:p w14:paraId="03DACBBF">
      <w:pPr>
        <w:adjustRightInd w:val="0"/>
        <w:snapToGrid w:val="0"/>
        <w:spacing w:line="420" w:lineRule="exact"/>
        <w:ind w:right="-21" w:rightChars="-10" w:firstLine="480" w:firstLineChars="200"/>
        <w:rPr>
          <w:rFonts w:hint="eastAsia" w:ascii="仿宋" w:hAnsi="仿宋" w:eastAsia="仿宋" w:cs="仿宋"/>
          <w:sz w:val="24"/>
          <w:highlight w:val="none"/>
        </w:rPr>
      </w:pPr>
      <w:r>
        <w:rPr>
          <w:rFonts w:hint="eastAsia" w:ascii="仿宋" w:hAnsi="仿宋" w:eastAsia="仿宋" w:cs="仿宋"/>
          <w:sz w:val="24"/>
          <w:highlight w:val="none"/>
        </w:rPr>
        <w:t>据此，签字代表宣布同意如下：</w:t>
      </w:r>
    </w:p>
    <w:p w14:paraId="546BA62F">
      <w:pPr>
        <w:adjustRightInd w:val="0"/>
        <w:snapToGrid w:val="0"/>
        <w:spacing w:line="420" w:lineRule="exact"/>
        <w:ind w:right="-21" w:rightChars="-10" w:firstLine="480" w:firstLineChars="200"/>
        <w:rPr>
          <w:rFonts w:hint="eastAsia" w:ascii="仿宋" w:hAnsi="仿宋" w:eastAsia="仿宋" w:cs="仿宋"/>
          <w:sz w:val="24"/>
          <w:highlight w:val="none"/>
        </w:rPr>
      </w:pPr>
      <w:r>
        <w:rPr>
          <w:rFonts w:hint="eastAsia" w:ascii="仿宋" w:hAnsi="仿宋" w:eastAsia="仿宋" w:cs="仿宋"/>
          <w:sz w:val="24"/>
          <w:highlight w:val="none"/>
        </w:rPr>
        <w:t>（1）本项目响应总价详见报价一览表。</w:t>
      </w:r>
    </w:p>
    <w:p w14:paraId="2EF4A848">
      <w:pPr>
        <w:adjustRightInd w:val="0"/>
        <w:snapToGrid w:val="0"/>
        <w:spacing w:line="420" w:lineRule="exact"/>
        <w:ind w:right="-21" w:rightChars="-10" w:firstLine="480" w:firstLineChars="200"/>
        <w:rPr>
          <w:rFonts w:hint="eastAsia" w:ascii="仿宋" w:hAnsi="仿宋" w:eastAsia="仿宋" w:cs="仿宋"/>
          <w:sz w:val="24"/>
          <w:highlight w:val="none"/>
        </w:rPr>
      </w:pPr>
      <w:r>
        <w:rPr>
          <w:rFonts w:hint="eastAsia" w:ascii="仿宋" w:hAnsi="仿宋" w:eastAsia="仿宋" w:cs="仿宋"/>
          <w:sz w:val="24"/>
          <w:highlight w:val="none"/>
        </w:rPr>
        <w:t>（2）本响应有效期为自递交响应文件截止之日起</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日历日。</w:t>
      </w:r>
    </w:p>
    <w:p w14:paraId="3F4A5394">
      <w:pPr>
        <w:adjustRightInd w:val="0"/>
        <w:snapToGrid w:val="0"/>
        <w:spacing w:line="420" w:lineRule="exact"/>
        <w:ind w:right="-21" w:rightChars="-10" w:firstLine="480" w:firstLineChars="200"/>
        <w:rPr>
          <w:rFonts w:hint="eastAsia" w:ascii="仿宋" w:hAnsi="仿宋" w:eastAsia="仿宋" w:cs="仿宋"/>
          <w:sz w:val="24"/>
          <w:highlight w:val="none"/>
        </w:rPr>
      </w:pPr>
      <w:r>
        <w:rPr>
          <w:rFonts w:hint="eastAsia" w:ascii="仿宋" w:hAnsi="仿宋" w:eastAsia="仿宋" w:cs="仿宋"/>
          <w:sz w:val="24"/>
          <w:highlight w:val="none"/>
        </w:rPr>
        <w:t>（3）已详细审查全部采购文件，包括所有补充通知（如果有的话）。</w:t>
      </w:r>
    </w:p>
    <w:p w14:paraId="211DC846">
      <w:pPr>
        <w:adjustRightInd w:val="0"/>
        <w:snapToGrid w:val="0"/>
        <w:spacing w:line="420" w:lineRule="exact"/>
        <w:ind w:right="-21" w:rightChars="-10" w:firstLine="480" w:firstLineChars="200"/>
        <w:rPr>
          <w:rFonts w:hint="eastAsia" w:ascii="仿宋" w:hAnsi="仿宋" w:eastAsia="仿宋" w:cs="仿宋"/>
          <w:sz w:val="24"/>
          <w:highlight w:val="none"/>
        </w:rPr>
      </w:pPr>
      <w:r>
        <w:rPr>
          <w:rFonts w:hint="eastAsia" w:ascii="仿宋" w:hAnsi="仿宋" w:eastAsia="仿宋" w:cs="仿宋"/>
          <w:sz w:val="24"/>
          <w:highlight w:val="none"/>
        </w:rPr>
        <w:t>（4）在规定的磋商时间后，遵守采购文件中有关保证金的规定。</w:t>
      </w:r>
    </w:p>
    <w:p w14:paraId="2347D9CD">
      <w:pPr>
        <w:adjustRightInd w:val="0"/>
        <w:snapToGrid w:val="0"/>
        <w:spacing w:line="420" w:lineRule="exact"/>
        <w:ind w:right="-21" w:rightChars="-10" w:firstLine="480" w:firstLineChars="200"/>
        <w:rPr>
          <w:rFonts w:hint="eastAsia" w:ascii="仿宋" w:hAnsi="仿宋" w:eastAsia="仿宋" w:cs="仿宋"/>
          <w:sz w:val="24"/>
          <w:highlight w:val="none"/>
        </w:rPr>
      </w:pPr>
      <w:r>
        <w:rPr>
          <w:rFonts w:hint="eastAsia" w:ascii="仿宋" w:hAnsi="仿宋" w:eastAsia="仿宋" w:cs="仿宋"/>
          <w:sz w:val="24"/>
          <w:highlight w:val="none"/>
        </w:rPr>
        <w:t>（5）我方不是为本项目提供整体设计、规范编制或者项目管理、监理、检测等服务的供应商，我方不是采购代理机构的附属机构。</w:t>
      </w:r>
    </w:p>
    <w:p w14:paraId="0CAA4DE2">
      <w:pPr>
        <w:adjustRightInd w:val="0"/>
        <w:snapToGrid w:val="0"/>
        <w:spacing w:line="420" w:lineRule="exact"/>
        <w:ind w:right="-21" w:rightChars="-10" w:firstLine="480" w:firstLineChars="200"/>
        <w:rPr>
          <w:rFonts w:hint="eastAsia" w:ascii="仿宋" w:hAnsi="仿宋" w:eastAsia="仿宋" w:cs="仿宋"/>
          <w:sz w:val="24"/>
          <w:highlight w:val="none"/>
        </w:rPr>
      </w:pPr>
      <w:r>
        <w:rPr>
          <w:rFonts w:hint="eastAsia" w:ascii="仿宋" w:hAnsi="仿宋" w:eastAsia="仿宋" w:cs="仿宋"/>
          <w:sz w:val="24"/>
          <w:highlight w:val="none"/>
        </w:rPr>
        <w:t>（6）在领取成交通知书的同时按采购文件规定的形式，向采购代理机构一次性支付服务费（适用于成交供应商支付采购代理服务费情形）。</w:t>
      </w:r>
    </w:p>
    <w:p w14:paraId="0B3717DE">
      <w:pPr>
        <w:adjustRightInd w:val="0"/>
        <w:snapToGrid w:val="0"/>
        <w:spacing w:line="420" w:lineRule="exact"/>
        <w:ind w:right="-21" w:rightChars="-10" w:firstLine="480" w:firstLineChars="200"/>
        <w:rPr>
          <w:rFonts w:hint="eastAsia" w:ascii="仿宋" w:hAnsi="仿宋" w:eastAsia="仿宋" w:cs="仿宋"/>
          <w:sz w:val="24"/>
          <w:highlight w:val="none"/>
        </w:rPr>
      </w:pPr>
      <w:r>
        <w:rPr>
          <w:rFonts w:hint="eastAsia" w:ascii="仿宋" w:hAnsi="仿宋" w:eastAsia="仿宋" w:cs="仿宋"/>
          <w:sz w:val="24"/>
          <w:highlight w:val="none"/>
        </w:rPr>
        <w:t>（7）按照贵方要求，提供与其响应有关的一切数据或资料，完全理解贵方不一定接受最低价的响应。</w:t>
      </w:r>
    </w:p>
    <w:p w14:paraId="468DAA17">
      <w:pPr>
        <w:adjustRightInd w:val="0"/>
        <w:snapToGrid w:val="0"/>
        <w:spacing w:line="420" w:lineRule="exact"/>
        <w:ind w:right="-21" w:rightChars="-10" w:firstLine="480" w:firstLineChars="200"/>
        <w:rPr>
          <w:rFonts w:hint="eastAsia" w:ascii="仿宋" w:hAnsi="仿宋" w:eastAsia="仿宋" w:cs="仿宋"/>
          <w:sz w:val="24"/>
          <w:highlight w:val="none"/>
        </w:rPr>
      </w:pPr>
      <w:r>
        <w:rPr>
          <w:rFonts w:hint="eastAsia" w:ascii="仿宋" w:hAnsi="仿宋" w:eastAsia="仿宋" w:cs="仿宋"/>
          <w:sz w:val="24"/>
          <w:highlight w:val="none"/>
        </w:rPr>
        <w:t>（8）按照采购文件的规定履行合同责任和义务。</w:t>
      </w:r>
    </w:p>
    <w:p w14:paraId="51E2C1DB">
      <w:pPr>
        <w:adjustRightInd w:val="0"/>
        <w:snapToGrid w:val="0"/>
        <w:spacing w:line="420" w:lineRule="exact"/>
        <w:ind w:right="-21" w:rightChars="-10" w:firstLine="480" w:firstLineChars="200"/>
        <w:rPr>
          <w:rFonts w:hint="eastAsia" w:ascii="仿宋" w:hAnsi="仿宋" w:eastAsia="仿宋" w:cs="仿宋"/>
          <w:sz w:val="24"/>
          <w:highlight w:val="none"/>
        </w:rPr>
      </w:pPr>
      <w:r>
        <w:rPr>
          <w:rFonts w:hint="eastAsia" w:ascii="仿宋" w:hAnsi="仿宋" w:eastAsia="仿宋" w:cs="仿宋"/>
          <w:sz w:val="24"/>
          <w:highlight w:val="none"/>
        </w:rPr>
        <w:t>（9）我方承诺响应文件中的证明材料真实、合法、有效。</w:t>
      </w:r>
    </w:p>
    <w:p w14:paraId="3995B6F9">
      <w:pPr>
        <w:adjustRightInd w:val="0"/>
        <w:snapToGrid w:val="0"/>
        <w:spacing w:line="420" w:lineRule="exact"/>
        <w:ind w:right="-21" w:rightChars="-10" w:firstLine="480" w:firstLineChars="200"/>
        <w:rPr>
          <w:rFonts w:hint="eastAsia" w:ascii="仿宋" w:hAnsi="仿宋" w:eastAsia="仿宋" w:cs="仿宋"/>
          <w:sz w:val="24"/>
          <w:highlight w:val="none"/>
        </w:rPr>
      </w:pPr>
      <w:r>
        <w:rPr>
          <w:rFonts w:hint="eastAsia" w:ascii="仿宋" w:hAnsi="仿宋" w:eastAsia="仿宋" w:cs="仿宋"/>
          <w:sz w:val="24"/>
          <w:highlight w:val="none"/>
        </w:rPr>
        <w:t>（10）我方承诺无串通行为。</w:t>
      </w:r>
    </w:p>
    <w:p w14:paraId="345AC8BA">
      <w:pPr>
        <w:tabs>
          <w:tab w:val="left" w:pos="10467"/>
        </w:tabs>
        <w:adjustRightInd w:val="0"/>
        <w:snapToGrid w:val="0"/>
        <w:spacing w:line="420" w:lineRule="exact"/>
        <w:ind w:right="1050" w:rightChars="500" w:firstLine="544" w:firstLineChars="227"/>
        <w:rPr>
          <w:rFonts w:hint="eastAsia" w:ascii="仿宋" w:hAnsi="仿宋" w:eastAsia="仿宋" w:cs="仿宋"/>
          <w:sz w:val="24"/>
          <w:highlight w:val="none"/>
        </w:rPr>
      </w:pPr>
    </w:p>
    <w:p w14:paraId="53A008A4">
      <w:pPr>
        <w:tabs>
          <w:tab w:val="left" w:pos="10467"/>
        </w:tabs>
        <w:adjustRightInd w:val="0"/>
        <w:snapToGrid w:val="0"/>
        <w:spacing w:line="420" w:lineRule="exact"/>
        <w:ind w:right="1050" w:rightChars="500"/>
        <w:rPr>
          <w:rFonts w:hint="eastAsia" w:ascii="仿宋" w:hAnsi="仿宋" w:eastAsia="仿宋" w:cs="仿宋"/>
          <w:sz w:val="24"/>
          <w:highlight w:val="none"/>
        </w:rPr>
      </w:pPr>
      <w:r>
        <w:rPr>
          <w:rFonts w:hint="eastAsia" w:ascii="仿宋" w:hAnsi="仿宋" w:eastAsia="仿宋" w:cs="仿宋"/>
          <w:sz w:val="24"/>
          <w:highlight w:val="none"/>
        </w:rPr>
        <w:t>与本项目有关的一切往来通讯请寄</w:t>
      </w:r>
    </w:p>
    <w:p w14:paraId="46521349">
      <w:pPr>
        <w:tabs>
          <w:tab w:val="left" w:pos="10467"/>
        </w:tabs>
        <w:adjustRightInd w:val="0"/>
        <w:snapToGrid w:val="0"/>
        <w:spacing w:line="420" w:lineRule="exact"/>
        <w:ind w:right="-21" w:rightChars="-10"/>
        <w:rPr>
          <w:rFonts w:hint="eastAsia" w:ascii="仿宋" w:hAnsi="仿宋" w:eastAsia="仿宋" w:cs="仿宋"/>
          <w:sz w:val="24"/>
          <w:highlight w:val="none"/>
          <w:u w:val="single"/>
        </w:rPr>
      </w:pPr>
      <w:r>
        <w:rPr>
          <w:rFonts w:hint="eastAsia" w:ascii="仿宋" w:hAnsi="仿宋" w:eastAsia="仿宋" w:cs="仿宋"/>
          <w:sz w:val="24"/>
          <w:highlight w:val="none"/>
        </w:rPr>
        <w:t>地址：</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传真：</w:t>
      </w:r>
      <w:r>
        <w:rPr>
          <w:rFonts w:hint="eastAsia" w:ascii="仿宋" w:hAnsi="仿宋" w:eastAsia="仿宋" w:cs="仿宋"/>
          <w:sz w:val="24"/>
          <w:highlight w:val="none"/>
          <w:u w:val="single"/>
        </w:rPr>
        <w:t xml:space="preserve">                     </w:t>
      </w:r>
    </w:p>
    <w:p w14:paraId="143C7D1D">
      <w:pPr>
        <w:tabs>
          <w:tab w:val="left" w:pos="10467"/>
        </w:tabs>
        <w:adjustRightInd w:val="0"/>
        <w:snapToGrid w:val="0"/>
        <w:spacing w:line="420" w:lineRule="exact"/>
        <w:ind w:right="-21" w:rightChars="-10"/>
        <w:rPr>
          <w:rFonts w:hint="eastAsia" w:ascii="仿宋" w:hAnsi="仿宋" w:eastAsia="仿宋" w:cs="仿宋"/>
          <w:sz w:val="24"/>
          <w:highlight w:val="none"/>
        </w:rPr>
      </w:pPr>
      <w:r>
        <w:rPr>
          <w:rFonts w:hint="eastAsia" w:ascii="仿宋" w:hAnsi="仿宋" w:eastAsia="仿宋" w:cs="仿宋"/>
          <w:sz w:val="24"/>
          <w:highlight w:val="none"/>
        </w:rPr>
        <w:t>电话：</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电子邮件：</w:t>
      </w:r>
      <w:r>
        <w:rPr>
          <w:rFonts w:hint="eastAsia" w:ascii="仿宋" w:hAnsi="仿宋" w:eastAsia="仿宋" w:cs="仿宋"/>
          <w:sz w:val="24"/>
          <w:highlight w:val="none"/>
          <w:u w:val="single"/>
        </w:rPr>
        <w:t xml:space="preserve">                     </w:t>
      </w:r>
    </w:p>
    <w:p w14:paraId="7531E660">
      <w:pPr>
        <w:tabs>
          <w:tab w:val="left" w:pos="10467"/>
        </w:tabs>
        <w:adjustRightInd w:val="0"/>
        <w:snapToGrid w:val="0"/>
        <w:spacing w:line="420" w:lineRule="exact"/>
        <w:ind w:right="260" w:rightChars="124"/>
        <w:rPr>
          <w:rFonts w:hint="eastAsia" w:ascii="仿宋" w:hAnsi="仿宋" w:eastAsia="仿宋" w:cs="仿宋"/>
          <w:sz w:val="24"/>
          <w:highlight w:val="none"/>
        </w:rPr>
      </w:pPr>
      <w:r>
        <w:rPr>
          <w:rFonts w:hint="eastAsia" w:ascii="仿宋" w:hAnsi="仿宋" w:eastAsia="仿宋" w:cs="仿宋"/>
          <w:sz w:val="24"/>
          <w:highlight w:val="none"/>
        </w:rPr>
        <w:t>法定代表人（非法人组织负责人）或其授权委托人（签字或盖章）：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p>
    <w:p w14:paraId="67A6B322">
      <w:pPr>
        <w:tabs>
          <w:tab w:val="left" w:pos="10467"/>
        </w:tabs>
        <w:adjustRightInd w:val="0"/>
        <w:snapToGrid w:val="0"/>
        <w:spacing w:line="420" w:lineRule="exact"/>
        <w:ind w:right="260" w:rightChars="124"/>
        <w:rPr>
          <w:rFonts w:hint="eastAsia" w:ascii="仿宋" w:hAnsi="仿宋" w:eastAsia="仿宋" w:cs="仿宋"/>
          <w:sz w:val="24"/>
          <w:highlight w:val="none"/>
        </w:rPr>
      </w:pPr>
      <w:r>
        <w:rPr>
          <w:rFonts w:hint="eastAsia" w:ascii="仿宋" w:hAnsi="仿宋" w:eastAsia="仿宋" w:cs="仿宋"/>
          <w:sz w:val="24"/>
          <w:highlight w:val="none"/>
        </w:rPr>
        <w:t>供应商名称（加盖单位公章）：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p>
    <w:p w14:paraId="4F5D078D">
      <w:pPr>
        <w:tabs>
          <w:tab w:val="left" w:pos="10467"/>
        </w:tabs>
        <w:adjustRightInd w:val="0"/>
        <w:snapToGrid w:val="0"/>
        <w:spacing w:line="420" w:lineRule="exact"/>
        <w:ind w:right="260" w:rightChars="124"/>
        <w:rPr>
          <w:rFonts w:hint="eastAsia" w:ascii="仿宋" w:hAnsi="仿宋" w:eastAsia="仿宋" w:cs="仿宋"/>
          <w:sz w:val="24"/>
          <w:highlight w:val="none"/>
        </w:rPr>
      </w:pPr>
      <w:r>
        <w:rPr>
          <w:rFonts w:hint="eastAsia" w:ascii="仿宋" w:hAnsi="仿宋" w:eastAsia="仿宋" w:cs="仿宋"/>
          <w:sz w:val="24"/>
          <w:highlight w:val="none"/>
        </w:rPr>
        <w:t>供应商开户银行（全称）：</w:t>
      </w:r>
      <w:r>
        <w:rPr>
          <w:rFonts w:hint="eastAsia" w:ascii="仿宋" w:hAnsi="仿宋" w:eastAsia="仿宋" w:cs="仿宋"/>
          <w:sz w:val="24"/>
          <w:highlight w:val="none"/>
          <w:u w:val="single"/>
        </w:rPr>
        <w:t xml:space="preserve">         </w:t>
      </w:r>
    </w:p>
    <w:p w14:paraId="0F6E637B">
      <w:pPr>
        <w:tabs>
          <w:tab w:val="left" w:pos="10467"/>
        </w:tabs>
        <w:adjustRightInd w:val="0"/>
        <w:snapToGrid w:val="0"/>
        <w:spacing w:line="420" w:lineRule="exact"/>
        <w:ind w:right="260" w:rightChars="124"/>
        <w:rPr>
          <w:rFonts w:hint="eastAsia" w:ascii="仿宋" w:hAnsi="仿宋" w:eastAsia="仿宋" w:cs="仿宋"/>
          <w:sz w:val="24"/>
          <w:highlight w:val="none"/>
        </w:rPr>
      </w:pPr>
      <w:r>
        <w:rPr>
          <w:rFonts w:hint="eastAsia" w:ascii="仿宋" w:hAnsi="仿宋" w:eastAsia="仿宋" w:cs="仿宋"/>
          <w:sz w:val="24"/>
          <w:highlight w:val="none"/>
        </w:rPr>
        <w:t>供应商银行账号：</w:t>
      </w:r>
      <w:r>
        <w:rPr>
          <w:rFonts w:hint="eastAsia" w:ascii="仿宋" w:hAnsi="仿宋" w:eastAsia="仿宋" w:cs="仿宋"/>
          <w:sz w:val="24"/>
          <w:highlight w:val="none"/>
          <w:u w:val="single"/>
        </w:rPr>
        <w:t xml:space="preserve">                 </w:t>
      </w:r>
    </w:p>
    <w:p w14:paraId="205BA2F3">
      <w:pPr>
        <w:adjustRightInd w:val="0"/>
        <w:snapToGrid w:val="0"/>
        <w:spacing w:line="420" w:lineRule="exact"/>
        <w:ind w:right="1050" w:rightChars="500"/>
        <w:rPr>
          <w:rFonts w:hint="eastAsia" w:ascii="仿宋" w:hAnsi="仿宋" w:eastAsia="仿宋" w:cs="仿宋"/>
          <w:sz w:val="24"/>
          <w:highlight w:val="non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p>
    <w:p w14:paraId="00FBD912">
      <w:pPr>
        <w:adjustRightInd w:val="0"/>
        <w:snapToGrid w:val="0"/>
        <w:spacing w:line="360" w:lineRule="auto"/>
        <w:ind w:right="1050" w:rightChars="500"/>
        <w:rPr>
          <w:rFonts w:hint="eastAsia" w:ascii="仿宋" w:hAnsi="仿宋" w:eastAsia="仿宋" w:cs="仿宋"/>
          <w:b/>
          <w:bCs/>
          <w:sz w:val="28"/>
          <w:szCs w:val="28"/>
          <w:highlight w:val="none"/>
        </w:rPr>
      </w:pPr>
      <w:bookmarkStart w:id="91" w:name="_Toc4485634"/>
      <w:bookmarkStart w:id="92" w:name="_Toc533340158"/>
    </w:p>
    <w:p w14:paraId="1E73A3BC">
      <w:pPr>
        <w:pStyle w:val="3"/>
        <w:rPr>
          <w:rFonts w:hint="eastAsia" w:ascii="仿宋" w:hAnsi="仿宋" w:eastAsia="仿宋" w:cs="仿宋"/>
          <w:highlight w:val="none"/>
          <w:lang w:val="en-US" w:eastAsia="zh-CN"/>
        </w:rPr>
      </w:pPr>
      <w:r>
        <w:rPr>
          <w:rFonts w:hint="eastAsia" w:ascii="仿宋" w:hAnsi="仿宋" w:eastAsia="仿宋" w:cs="仿宋"/>
          <w:highlight w:val="none"/>
        </w:rPr>
        <w:br w:type="page"/>
      </w:r>
      <w:r>
        <w:rPr>
          <w:rFonts w:hint="eastAsia" w:ascii="仿宋" w:hAnsi="仿宋" w:eastAsia="仿宋" w:cs="仿宋"/>
          <w:highlight w:val="none"/>
        </w:rPr>
        <w:t>格式1</w:t>
      </w:r>
      <w:bookmarkEnd w:id="91"/>
      <w:bookmarkEnd w:id="92"/>
      <w:r>
        <w:rPr>
          <w:rFonts w:hint="eastAsia" w:ascii="仿宋" w:hAnsi="仿宋" w:eastAsia="仿宋" w:cs="仿宋"/>
          <w:highlight w:val="none"/>
          <w:lang w:val="en-US" w:eastAsia="zh-CN"/>
        </w:rPr>
        <w:t>1</w:t>
      </w:r>
    </w:p>
    <w:p w14:paraId="34DCF6E0">
      <w:pPr>
        <w:spacing w:beforeLines="100"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报价一览表</w:t>
      </w:r>
    </w:p>
    <w:p w14:paraId="4F6067C7">
      <w:pPr>
        <w:adjustRightInd w:val="0"/>
        <w:snapToGrid w:val="0"/>
        <w:spacing w:line="360" w:lineRule="auto"/>
        <w:ind w:right="105" w:rightChars="50"/>
        <w:jc w:val="left"/>
        <w:rPr>
          <w:rFonts w:hint="eastAsia" w:ascii="仿宋" w:hAnsi="仿宋" w:eastAsia="仿宋" w:cs="仿宋"/>
          <w:b/>
          <w:bCs/>
          <w:szCs w:val="21"/>
          <w:highlight w:val="none"/>
        </w:rPr>
      </w:pPr>
      <w:r>
        <w:rPr>
          <w:rFonts w:hint="eastAsia" w:ascii="仿宋" w:hAnsi="仿宋" w:eastAsia="仿宋" w:cs="仿宋"/>
          <w:b/>
          <w:bCs/>
          <w:sz w:val="24"/>
          <w:highlight w:val="none"/>
        </w:rPr>
        <w:t xml:space="preserve">包组编号： </w:t>
      </w:r>
      <w:r>
        <w:rPr>
          <w:rFonts w:hint="eastAsia" w:ascii="仿宋" w:hAnsi="仿宋" w:eastAsia="仿宋" w:cs="仿宋"/>
          <w:b/>
          <w:bCs/>
          <w:szCs w:val="21"/>
          <w:highlight w:val="none"/>
        </w:rPr>
        <w:t xml:space="preserve">                                                    </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7"/>
        <w:gridCol w:w="5412"/>
      </w:tblGrid>
      <w:tr w14:paraId="77D85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027" w:type="dxa"/>
            <w:vAlign w:val="center"/>
          </w:tcPr>
          <w:p w14:paraId="0A904C54">
            <w:pPr>
              <w:adjustRightInd w:val="0"/>
              <w:snapToGrid w:val="0"/>
              <w:ind w:right="-48" w:rightChars="-23"/>
              <w:jc w:val="center"/>
              <w:rPr>
                <w:rFonts w:hint="eastAsia" w:ascii="仿宋" w:hAnsi="仿宋" w:eastAsia="仿宋" w:cs="仿宋"/>
                <w:szCs w:val="21"/>
                <w:highlight w:val="none"/>
              </w:rPr>
            </w:pPr>
            <w:r>
              <w:rPr>
                <w:rFonts w:hint="eastAsia" w:ascii="仿宋" w:hAnsi="仿宋" w:eastAsia="仿宋" w:cs="仿宋"/>
                <w:szCs w:val="21"/>
                <w:highlight w:val="none"/>
              </w:rPr>
              <w:t>包组名称</w:t>
            </w:r>
          </w:p>
        </w:tc>
        <w:tc>
          <w:tcPr>
            <w:tcW w:w="5412" w:type="dxa"/>
            <w:vAlign w:val="center"/>
          </w:tcPr>
          <w:p w14:paraId="04AE553F">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响应总价</w:t>
            </w:r>
          </w:p>
          <w:p w14:paraId="6C25013F">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（元）</w:t>
            </w:r>
          </w:p>
        </w:tc>
      </w:tr>
      <w:tr w14:paraId="7782B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jc w:val="center"/>
        </w:trPr>
        <w:tc>
          <w:tcPr>
            <w:tcW w:w="3027" w:type="dxa"/>
            <w:vAlign w:val="center"/>
          </w:tcPr>
          <w:p w14:paraId="1017A9A0">
            <w:pPr>
              <w:adjustRightInd w:val="0"/>
              <w:snapToGrid w:val="0"/>
              <w:ind w:right="105" w:rightChars="50"/>
              <w:jc w:val="center"/>
              <w:rPr>
                <w:rFonts w:hint="eastAsia" w:ascii="仿宋" w:hAnsi="仿宋" w:eastAsia="仿宋" w:cs="仿宋"/>
                <w:szCs w:val="21"/>
                <w:highlight w:val="none"/>
              </w:rPr>
            </w:pPr>
          </w:p>
        </w:tc>
        <w:tc>
          <w:tcPr>
            <w:tcW w:w="5412" w:type="dxa"/>
            <w:vAlign w:val="center"/>
          </w:tcPr>
          <w:p w14:paraId="4A55B14F">
            <w:pPr>
              <w:adjustRightInd w:val="0"/>
              <w:snapToGrid w:val="0"/>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小写：</w:t>
            </w:r>
          </w:p>
          <w:p w14:paraId="188EC620">
            <w:pPr>
              <w:adjustRightInd w:val="0"/>
              <w:snapToGrid w:val="0"/>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大写：</w:t>
            </w:r>
          </w:p>
        </w:tc>
      </w:tr>
      <w:tr w14:paraId="33001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3027" w:type="dxa"/>
            <w:vAlign w:val="center"/>
          </w:tcPr>
          <w:p w14:paraId="37BDCD95">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最后报价</w:t>
            </w:r>
          </w:p>
        </w:tc>
        <w:tc>
          <w:tcPr>
            <w:tcW w:w="5412" w:type="dxa"/>
            <w:vAlign w:val="center"/>
          </w:tcPr>
          <w:p w14:paraId="258E852C">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辽宁政府采购网填报</w:t>
            </w:r>
          </w:p>
        </w:tc>
      </w:tr>
    </w:tbl>
    <w:p w14:paraId="7005713C">
      <w:pPr>
        <w:adjustRightInd w:val="0"/>
        <w:snapToGrid w:val="0"/>
        <w:spacing w:line="360" w:lineRule="auto"/>
        <w:ind w:right="105" w:rightChars="50" w:firstLine="420" w:firstLineChars="200"/>
        <w:jc w:val="left"/>
        <w:rPr>
          <w:rFonts w:hint="eastAsia" w:ascii="仿宋" w:hAnsi="仿宋" w:eastAsia="仿宋" w:cs="仿宋"/>
          <w:szCs w:val="21"/>
          <w:highlight w:val="none"/>
        </w:rPr>
      </w:pPr>
    </w:p>
    <w:p w14:paraId="30A58282">
      <w:pPr>
        <w:adjustRightInd w:val="0"/>
        <w:snapToGrid w:val="0"/>
        <w:spacing w:line="360" w:lineRule="auto"/>
        <w:ind w:right="105" w:rightChars="50"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注：1.此表中，响应总价应和分项报价表的总价相一致。</w:t>
      </w:r>
    </w:p>
    <w:p w14:paraId="0B1200CB">
      <w:pPr>
        <w:adjustRightInd w:val="0"/>
        <w:snapToGrid w:val="0"/>
        <w:spacing w:line="360" w:lineRule="auto"/>
        <w:ind w:right="105" w:rightChars="50" w:firstLine="960" w:firstLineChars="400"/>
        <w:jc w:val="left"/>
        <w:rPr>
          <w:rFonts w:hint="eastAsia" w:ascii="仿宋" w:hAnsi="仿宋" w:eastAsia="仿宋" w:cs="仿宋"/>
          <w:sz w:val="24"/>
          <w:highlight w:val="none"/>
        </w:rPr>
      </w:pPr>
      <w:r>
        <w:rPr>
          <w:rFonts w:hint="eastAsia" w:ascii="仿宋" w:hAnsi="仿宋" w:eastAsia="仿宋" w:cs="仿宋"/>
          <w:sz w:val="24"/>
          <w:highlight w:val="none"/>
        </w:rPr>
        <w:t>2.供应商应按磋商小组要求，在规定时间内提交最后报价（辽宁政府采购网填报）。</w:t>
      </w:r>
    </w:p>
    <w:p w14:paraId="126B260F">
      <w:pPr>
        <w:adjustRightInd w:val="0"/>
        <w:snapToGrid w:val="0"/>
        <w:spacing w:line="360" w:lineRule="auto"/>
        <w:ind w:right="105" w:rightChars="50"/>
        <w:jc w:val="left"/>
        <w:rPr>
          <w:rFonts w:hint="eastAsia" w:ascii="仿宋" w:hAnsi="仿宋" w:eastAsia="仿宋" w:cs="仿宋"/>
          <w:sz w:val="24"/>
          <w:highlight w:val="none"/>
        </w:rPr>
      </w:pPr>
    </w:p>
    <w:p w14:paraId="620650ED">
      <w:pPr>
        <w:adjustRightInd w:val="0"/>
        <w:snapToGrid w:val="0"/>
        <w:spacing w:line="360" w:lineRule="auto"/>
        <w:ind w:right="105" w:rightChars="50" w:firstLine="544" w:firstLineChars="227"/>
        <w:jc w:val="left"/>
        <w:rPr>
          <w:rFonts w:hint="eastAsia" w:ascii="仿宋" w:hAnsi="仿宋" w:eastAsia="仿宋" w:cs="仿宋"/>
          <w:sz w:val="24"/>
          <w:highlight w:val="none"/>
        </w:rPr>
      </w:pPr>
    </w:p>
    <w:p w14:paraId="5A0EFF6B">
      <w:pPr>
        <w:spacing w:line="480" w:lineRule="auto"/>
        <w:rPr>
          <w:rFonts w:hint="eastAsia" w:ascii="仿宋" w:hAnsi="仿宋" w:eastAsia="仿宋" w:cs="仿宋"/>
          <w:sz w:val="24"/>
          <w:highlight w:val="none"/>
        </w:rPr>
      </w:pPr>
      <w:r>
        <w:rPr>
          <w:rFonts w:hint="eastAsia" w:ascii="仿宋" w:hAnsi="仿宋" w:eastAsia="仿宋" w:cs="仿宋"/>
          <w:sz w:val="24"/>
          <w:highlight w:val="none"/>
        </w:rPr>
        <w:t>供应商名称（加盖单位公章）：</w:t>
      </w:r>
      <w:r>
        <w:rPr>
          <w:rFonts w:hint="eastAsia" w:ascii="仿宋" w:hAnsi="仿宋" w:eastAsia="仿宋" w:cs="仿宋"/>
          <w:sz w:val="24"/>
          <w:highlight w:val="none"/>
          <w:u w:val="single"/>
        </w:rPr>
        <w:t xml:space="preserve">           </w:t>
      </w:r>
    </w:p>
    <w:p w14:paraId="0C7E56AF">
      <w:pPr>
        <w:spacing w:line="480" w:lineRule="auto"/>
        <w:rPr>
          <w:rFonts w:hint="eastAsia" w:ascii="仿宋" w:hAnsi="仿宋" w:eastAsia="仿宋" w:cs="仿宋"/>
          <w:sz w:val="24"/>
          <w:highlight w:val="none"/>
        </w:rPr>
      </w:pPr>
      <w:r>
        <w:rPr>
          <w:rFonts w:hint="eastAsia" w:ascii="仿宋" w:hAnsi="仿宋" w:eastAsia="仿宋" w:cs="仿宋"/>
          <w:sz w:val="24"/>
          <w:highlight w:val="none"/>
        </w:rPr>
        <w:t>法定代表人（或非法人组织负责人）或其授权委托人（签字或盖章）：</w:t>
      </w:r>
      <w:r>
        <w:rPr>
          <w:rFonts w:hint="eastAsia" w:ascii="仿宋" w:hAnsi="仿宋" w:eastAsia="仿宋" w:cs="仿宋"/>
          <w:sz w:val="24"/>
          <w:highlight w:val="none"/>
          <w:u w:val="single"/>
        </w:rPr>
        <w:t xml:space="preserve">           </w:t>
      </w:r>
    </w:p>
    <w:p w14:paraId="3020E45F">
      <w:pPr>
        <w:spacing w:line="480" w:lineRule="auto"/>
        <w:rPr>
          <w:rFonts w:hint="eastAsia" w:ascii="仿宋" w:hAnsi="仿宋" w:eastAsia="仿宋" w:cs="仿宋"/>
          <w:sz w:val="24"/>
          <w:highlight w:val="non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p>
    <w:p w14:paraId="2824FDAC">
      <w:pPr>
        <w:adjustRightInd w:val="0"/>
        <w:snapToGrid w:val="0"/>
        <w:spacing w:line="360" w:lineRule="auto"/>
        <w:ind w:right="105" w:rightChars="50"/>
        <w:jc w:val="left"/>
        <w:rPr>
          <w:rFonts w:hint="eastAsia" w:ascii="仿宋" w:hAnsi="仿宋" w:eastAsia="仿宋" w:cs="仿宋"/>
          <w:sz w:val="24"/>
          <w:highlight w:val="none"/>
        </w:rPr>
      </w:pPr>
    </w:p>
    <w:p w14:paraId="33E7A24D">
      <w:pPr>
        <w:adjustRightInd w:val="0"/>
        <w:snapToGrid w:val="0"/>
        <w:spacing w:line="360" w:lineRule="auto"/>
        <w:ind w:right="1050" w:rightChars="500"/>
        <w:outlineLvl w:val="1"/>
        <w:rPr>
          <w:rFonts w:hint="eastAsia" w:ascii="仿宋" w:hAnsi="仿宋" w:eastAsia="仿宋" w:cs="仿宋"/>
          <w:sz w:val="28"/>
          <w:szCs w:val="28"/>
          <w:highlight w:val="none"/>
        </w:rPr>
      </w:pPr>
      <w:r>
        <w:rPr>
          <w:rFonts w:hint="eastAsia" w:ascii="仿宋" w:hAnsi="仿宋" w:eastAsia="仿宋" w:cs="仿宋"/>
          <w:sz w:val="24"/>
          <w:highlight w:val="none"/>
        </w:rPr>
        <w:br w:type="page"/>
      </w:r>
      <w:bookmarkStart w:id="93" w:name="_Toc4485635"/>
      <w:bookmarkStart w:id="94" w:name="_Toc533340159"/>
      <w:r>
        <w:rPr>
          <w:rFonts w:hint="eastAsia" w:ascii="仿宋" w:hAnsi="仿宋" w:eastAsia="仿宋" w:cs="仿宋"/>
          <w:b/>
          <w:bCs/>
          <w:sz w:val="28"/>
          <w:szCs w:val="28"/>
          <w:highlight w:val="none"/>
        </w:rPr>
        <w:t>格式1</w:t>
      </w:r>
      <w:bookmarkEnd w:id="93"/>
      <w:bookmarkEnd w:id="94"/>
      <w:r>
        <w:rPr>
          <w:rFonts w:hint="eastAsia" w:ascii="仿宋" w:hAnsi="仿宋" w:eastAsia="仿宋" w:cs="仿宋"/>
          <w:b/>
          <w:bCs/>
          <w:sz w:val="28"/>
          <w:szCs w:val="28"/>
          <w:highlight w:val="none"/>
        </w:rPr>
        <w:t>2</w:t>
      </w:r>
    </w:p>
    <w:p w14:paraId="06DFDD43">
      <w:pPr>
        <w:spacing w:beforeLines="100"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已标价工程量清单</w:t>
      </w:r>
    </w:p>
    <w:p w14:paraId="74D25A1F">
      <w:pPr>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按照第三章工程量清单中要求执行。供应商填写工程量清单计价格式时，封面应按规定的内容填写、签字、盖章。</w:t>
      </w:r>
    </w:p>
    <w:p w14:paraId="2709FD62">
      <w:pPr>
        <w:spacing w:line="560" w:lineRule="exact"/>
        <w:jc w:val="center"/>
        <w:rPr>
          <w:rFonts w:hint="eastAsia" w:ascii="仿宋" w:hAnsi="仿宋" w:eastAsia="仿宋" w:cs="仿宋"/>
          <w:b/>
          <w:sz w:val="24"/>
          <w:highlight w:val="none"/>
        </w:rPr>
      </w:pPr>
    </w:p>
    <w:p w14:paraId="22656428">
      <w:pPr>
        <w:spacing w:line="560" w:lineRule="exact"/>
        <w:jc w:val="center"/>
        <w:rPr>
          <w:rFonts w:hint="eastAsia" w:ascii="仿宋" w:hAnsi="仿宋" w:eastAsia="仿宋" w:cs="仿宋"/>
          <w:b/>
          <w:sz w:val="24"/>
          <w:highlight w:val="none"/>
        </w:rPr>
      </w:pPr>
      <w:r>
        <w:rPr>
          <w:rFonts w:hint="eastAsia" w:ascii="仿宋" w:hAnsi="仿宋" w:eastAsia="仿宋" w:cs="仿宋"/>
          <w:b/>
          <w:sz w:val="24"/>
          <w:highlight w:val="none"/>
        </w:rPr>
        <w:t>工程量清单响应总价</w:t>
      </w:r>
    </w:p>
    <w:p w14:paraId="31FD2463">
      <w:pPr>
        <w:spacing w:line="560" w:lineRule="exact"/>
        <w:rPr>
          <w:rFonts w:hint="eastAsia" w:ascii="仿宋" w:hAnsi="仿宋" w:eastAsia="仿宋" w:cs="仿宋"/>
          <w:sz w:val="24"/>
          <w:highlight w:val="none"/>
        </w:rPr>
      </w:pPr>
    </w:p>
    <w:p w14:paraId="56FB1933">
      <w:pPr>
        <w:spacing w:line="56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采 购 人：</w:t>
      </w:r>
      <w:r>
        <w:rPr>
          <w:rFonts w:hint="eastAsia" w:ascii="仿宋" w:hAnsi="仿宋" w:eastAsia="仿宋" w:cs="仿宋"/>
          <w:sz w:val="24"/>
          <w:highlight w:val="none"/>
          <w:u w:val="single"/>
        </w:rPr>
        <w:t xml:space="preserve">                                         </w:t>
      </w:r>
    </w:p>
    <w:p w14:paraId="3BD4DBA8">
      <w:pPr>
        <w:spacing w:line="560" w:lineRule="exact"/>
        <w:ind w:firstLine="1070" w:firstLineChars="446"/>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18A7C67B">
      <w:pPr>
        <w:spacing w:line="56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    项目名称：</w:t>
      </w:r>
      <w:r>
        <w:rPr>
          <w:rFonts w:hint="eastAsia" w:ascii="仿宋" w:hAnsi="仿宋" w:eastAsia="仿宋" w:cs="仿宋"/>
          <w:sz w:val="24"/>
          <w:highlight w:val="none"/>
          <w:u w:val="single"/>
        </w:rPr>
        <w:t xml:space="preserve">                                         </w:t>
      </w:r>
    </w:p>
    <w:p w14:paraId="11857AAA">
      <w:pPr>
        <w:spacing w:line="560" w:lineRule="exact"/>
        <w:ind w:firstLine="1070" w:firstLineChars="446"/>
        <w:rPr>
          <w:rFonts w:hint="eastAsia" w:ascii="仿宋" w:hAnsi="仿宋" w:eastAsia="仿宋" w:cs="仿宋"/>
          <w:sz w:val="24"/>
          <w:highlight w:val="none"/>
          <w:u w:val="single"/>
        </w:rPr>
      </w:pPr>
    </w:p>
    <w:p w14:paraId="6706D952">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    响应总价（小写）：</w:t>
      </w:r>
      <w:r>
        <w:rPr>
          <w:rFonts w:hint="eastAsia" w:ascii="仿宋" w:hAnsi="仿宋" w:eastAsia="仿宋" w:cs="仿宋"/>
          <w:sz w:val="24"/>
          <w:highlight w:val="none"/>
          <w:u w:val="single"/>
        </w:rPr>
        <w:t xml:space="preserve">                                  </w:t>
      </w:r>
    </w:p>
    <w:p w14:paraId="5A9808B8">
      <w:pPr>
        <w:spacing w:line="560" w:lineRule="exact"/>
        <w:ind w:firstLine="1070" w:firstLineChars="446"/>
        <w:rPr>
          <w:rFonts w:hint="eastAsia" w:ascii="仿宋" w:hAnsi="仿宋" w:eastAsia="仿宋" w:cs="仿宋"/>
          <w:sz w:val="24"/>
          <w:highlight w:val="none"/>
        </w:rPr>
      </w:pPr>
    </w:p>
    <w:p w14:paraId="5FE85552">
      <w:pPr>
        <w:spacing w:line="560" w:lineRule="exact"/>
        <w:ind w:firstLine="960" w:firstLineChars="400"/>
        <w:rPr>
          <w:rFonts w:hint="eastAsia" w:ascii="仿宋" w:hAnsi="仿宋" w:eastAsia="仿宋" w:cs="仿宋"/>
          <w:sz w:val="24"/>
          <w:highlight w:val="none"/>
        </w:rPr>
      </w:pPr>
      <w:r>
        <w:rPr>
          <w:rFonts w:hint="eastAsia" w:ascii="仿宋" w:hAnsi="仿宋" w:eastAsia="仿宋" w:cs="仿宋"/>
          <w:sz w:val="24"/>
          <w:highlight w:val="none"/>
        </w:rPr>
        <w:t xml:space="preserve">    （大写）：</w:t>
      </w:r>
      <w:r>
        <w:rPr>
          <w:rFonts w:hint="eastAsia" w:ascii="仿宋" w:hAnsi="仿宋" w:eastAsia="仿宋" w:cs="仿宋"/>
          <w:sz w:val="24"/>
          <w:highlight w:val="none"/>
          <w:u w:val="single"/>
        </w:rPr>
        <w:t xml:space="preserve">                                  </w:t>
      </w:r>
    </w:p>
    <w:p w14:paraId="2733E607">
      <w:pPr>
        <w:rPr>
          <w:rFonts w:hint="eastAsia" w:ascii="仿宋" w:hAnsi="仿宋" w:eastAsia="仿宋" w:cs="仿宋"/>
          <w:sz w:val="24"/>
          <w:highlight w:val="none"/>
        </w:rPr>
      </w:pPr>
    </w:p>
    <w:p w14:paraId="1FD355BA">
      <w:pPr>
        <w:rPr>
          <w:rFonts w:hint="eastAsia" w:ascii="仿宋" w:hAnsi="仿宋" w:eastAsia="仿宋" w:cs="仿宋"/>
          <w:sz w:val="24"/>
          <w:highlight w:val="none"/>
        </w:rPr>
      </w:pPr>
    </w:p>
    <w:p w14:paraId="0F16B34B">
      <w:pPr>
        <w:rPr>
          <w:rFonts w:hint="eastAsia" w:ascii="仿宋" w:hAnsi="仿宋" w:eastAsia="仿宋" w:cs="仿宋"/>
          <w:sz w:val="24"/>
          <w:highlight w:val="none"/>
        </w:rPr>
      </w:pPr>
      <w:r>
        <w:rPr>
          <w:rFonts w:hint="eastAsia" w:ascii="仿宋" w:hAnsi="仿宋" w:eastAsia="仿宋" w:cs="仿宋"/>
          <w:sz w:val="24"/>
          <w:highlight w:val="none"/>
        </w:rPr>
        <w:t xml:space="preserve">                                 法定代表人或</w:t>
      </w:r>
    </w:p>
    <w:p w14:paraId="79C66B3D">
      <w:pPr>
        <w:ind w:firstLine="240" w:firstLineChars="100"/>
        <w:rPr>
          <w:rFonts w:hint="eastAsia" w:ascii="仿宋" w:hAnsi="仿宋" w:eastAsia="仿宋" w:cs="仿宋"/>
          <w:sz w:val="24"/>
          <w:highlight w:val="none"/>
        </w:rPr>
      </w:pPr>
      <w:r>
        <w:rPr>
          <w:rFonts w:hint="eastAsia" w:ascii="仿宋" w:hAnsi="仿宋" w:eastAsia="仿宋" w:cs="仿宋"/>
          <w:sz w:val="24"/>
          <w:highlight w:val="none"/>
        </w:rPr>
        <w:t>供 应 商：</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其授权委托人：</w:t>
      </w:r>
      <w:r>
        <w:rPr>
          <w:rFonts w:hint="eastAsia" w:ascii="仿宋" w:hAnsi="仿宋" w:eastAsia="仿宋" w:cs="仿宋"/>
          <w:sz w:val="24"/>
          <w:highlight w:val="none"/>
          <w:u w:val="single"/>
        </w:rPr>
        <w:t xml:space="preserve">                  </w:t>
      </w:r>
    </w:p>
    <w:p w14:paraId="0FF02E2C">
      <w:pPr>
        <w:tabs>
          <w:tab w:val="left" w:pos="5940"/>
          <w:tab w:val="left" w:pos="6300"/>
        </w:tabs>
        <w:ind w:firstLine="1200" w:firstLineChars="500"/>
        <w:rPr>
          <w:rFonts w:hint="eastAsia" w:ascii="仿宋" w:hAnsi="仿宋" w:eastAsia="仿宋" w:cs="仿宋"/>
          <w:sz w:val="24"/>
          <w:highlight w:val="none"/>
        </w:rPr>
      </w:pPr>
      <w:r>
        <w:rPr>
          <w:rFonts w:hint="eastAsia" w:ascii="仿宋" w:hAnsi="仿宋" w:eastAsia="仿宋" w:cs="仿宋"/>
          <w:sz w:val="24"/>
          <w:highlight w:val="none"/>
        </w:rPr>
        <w:t>（盖单位章）                       （签字或盖章）</w:t>
      </w:r>
    </w:p>
    <w:p w14:paraId="5997B2CF">
      <w:pPr>
        <w:tabs>
          <w:tab w:val="left" w:pos="4680"/>
        </w:tabs>
        <w:rPr>
          <w:rFonts w:hint="eastAsia" w:ascii="仿宋" w:hAnsi="仿宋" w:eastAsia="仿宋" w:cs="仿宋"/>
          <w:sz w:val="24"/>
          <w:highlight w:val="none"/>
        </w:rPr>
      </w:pPr>
    </w:p>
    <w:p w14:paraId="0DF89DDF">
      <w:pPr>
        <w:ind w:firstLine="240" w:firstLineChars="100"/>
        <w:rPr>
          <w:rFonts w:hint="eastAsia" w:ascii="仿宋" w:hAnsi="仿宋" w:eastAsia="仿宋" w:cs="仿宋"/>
          <w:sz w:val="24"/>
          <w:highlight w:val="none"/>
        </w:rPr>
      </w:pPr>
      <w:r>
        <w:rPr>
          <w:rFonts w:hint="eastAsia" w:ascii="仿宋" w:hAnsi="仿宋" w:eastAsia="仿宋" w:cs="仿宋"/>
          <w:sz w:val="24"/>
          <w:highlight w:val="none"/>
        </w:rPr>
        <w:t>造价人员：</w:t>
      </w:r>
      <w:r>
        <w:rPr>
          <w:rFonts w:hint="eastAsia" w:ascii="仿宋" w:hAnsi="仿宋" w:eastAsia="仿宋" w:cs="仿宋"/>
          <w:sz w:val="24"/>
          <w:highlight w:val="none"/>
          <w:u w:val="single"/>
        </w:rPr>
        <w:t xml:space="preserve">                    </w:t>
      </w:r>
    </w:p>
    <w:p w14:paraId="60B91C3B">
      <w:pPr>
        <w:ind w:firstLine="1320" w:firstLineChars="550"/>
        <w:rPr>
          <w:rFonts w:hint="eastAsia" w:ascii="仿宋" w:hAnsi="仿宋" w:eastAsia="仿宋" w:cs="仿宋"/>
          <w:sz w:val="24"/>
          <w:highlight w:val="none"/>
        </w:rPr>
      </w:pPr>
      <w:r>
        <w:rPr>
          <w:rFonts w:hint="eastAsia" w:ascii="仿宋" w:hAnsi="仿宋" w:eastAsia="仿宋" w:cs="仿宋"/>
          <w:sz w:val="24"/>
          <w:highlight w:val="none"/>
        </w:rPr>
        <w:t xml:space="preserve">（签字并盖执业专用章，造价师）   </w:t>
      </w:r>
    </w:p>
    <w:p w14:paraId="7D978122">
      <w:pPr>
        <w:rPr>
          <w:rFonts w:hint="eastAsia" w:ascii="仿宋" w:hAnsi="仿宋" w:eastAsia="仿宋" w:cs="仿宋"/>
          <w:sz w:val="24"/>
          <w:highlight w:val="none"/>
        </w:rPr>
      </w:pPr>
    </w:p>
    <w:p w14:paraId="42004BB3">
      <w:pPr>
        <w:ind w:firstLine="240" w:firstLineChars="100"/>
        <w:jc w:val="left"/>
        <w:rPr>
          <w:rFonts w:hint="eastAsia" w:ascii="仿宋" w:hAnsi="仿宋" w:eastAsia="仿宋" w:cs="仿宋"/>
          <w:sz w:val="24"/>
          <w:highlight w:val="none"/>
          <w:u w:val="single"/>
        </w:rPr>
      </w:pPr>
      <w:r>
        <w:rPr>
          <w:rFonts w:hint="eastAsia" w:ascii="仿宋" w:hAnsi="仿宋" w:eastAsia="仿宋" w:cs="仿宋"/>
          <w:sz w:val="24"/>
          <w:highlight w:val="none"/>
        </w:rPr>
        <w:t>编制时间：</w:t>
      </w:r>
      <w:r>
        <w:rPr>
          <w:rFonts w:hint="eastAsia" w:ascii="仿宋" w:hAnsi="仿宋" w:eastAsia="仿宋" w:cs="仿宋"/>
          <w:sz w:val="24"/>
          <w:highlight w:val="none"/>
          <w:u w:val="single"/>
        </w:rPr>
        <w:t xml:space="preserve">                    </w:t>
      </w:r>
      <w:bookmarkStart w:id="95" w:name="_Toc152042585"/>
      <w:bookmarkStart w:id="96" w:name="_Toc477507052"/>
      <w:bookmarkStart w:id="97" w:name="_Toc152045796"/>
      <w:bookmarkStart w:id="98" w:name="_Toc144974864"/>
    </w:p>
    <w:p w14:paraId="5B04B799">
      <w:pPr>
        <w:rPr>
          <w:rFonts w:hint="eastAsia" w:ascii="仿宋" w:hAnsi="仿宋" w:eastAsia="仿宋" w:cs="仿宋"/>
          <w:szCs w:val="21"/>
          <w:highlight w:val="none"/>
        </w:rPr>
      </w:pPr>
      <w:r>
        <w:rPr>
          <w:rFonts w:hint="eastAsia" w:ascii="仿宋" w:hAnsi="仿宋" w:eastAsia="仿宋" w:cs="仿宋"/>
          <w:sz w:val="24"/>
          <w:highlight w:val="none"/>
          <w:u w:val="single"/>
        </w:rPr>
        <w:br w:type="page"/>
      </w:r>
      <w:bookmarkEnd w:id="95"/>
      <w:bookmarkEnd w:id="96"/>
      <w:bookmarkEnd w:id="97"/>
      <w:bookmarkEnd w:id="98"/>
    </w:p>
    <w:p w14:paraId="2DFAAEBB">
      <w:pPr>
        <w:adjustRightInd w:val="0"/>
        <w:snapToGrid w:val="0"/>
        <w:spacing w:line="360" w:lineRule="auto"/>
        <w:ind w:right="1050" w:rightChars="500"/>
        <w:outlineLvl w:val="1"/>
        <w:rPr>
          <w:rFonts w:hint="eastAsia" w:ascii="仿宋" w:hAnsi="仿宋" w:eastAsia="仿宋" w:cs="仿宋"/>
          <w:b/>
          <w:bCs/>
          <w:sz w:val="28"/>
          <w:szCs w:val="28"/>
          <w:highlight w:val="none"/>
        </w:rPr>
      </w:pPr>
      <w:bookmarkStart w:id="99" w:name="_Toc533340161"/>
      <w:bookmarkStart w:id="100" w:name="_Toc4485637"/>
      <w:r>
        <w:rPr>
          <w:rFonts w:hint="eastAsia" w:ascii="仿宋" w:hAnsi="仿宋" w:eastAsia="仿宋" w:cs="仿宋"/>
          <w:b/>
          <w:bCs/>
          <w:sz w:val="28"/>
          <w:szCs w:val="28"/>
          <w:highlight w:val="none"/>
        </w:rPr>
        <w:t>格式1</w:t>
      </w:r>
      <w:bookmarkEnd w:id="99"/>
      <w:bookmarkEnd w:id="100"/>
      <w:r>
        <w:rPr>
          <w:rFonts w:hint="eastAsia" w:ascii="仿宋" w:hAnsi="仿宋" w:eastAsia="仿宋" w:cs="仿宋"/>
          <w:b/>
          <w:bCs/>
          <w:sz w:val="28"/>
          <w:szCs w:val="28"/>
          <w:highlight w:val="none"/>
        </w:rPr>
        <w:t>3</w:t>
      </w:r>
    </w:p>
    <w:p w14:paraId="28A52635">
      <w:pPr>
        <w:adjustRightInd w:val="0"/>
        <w:snapToGrid w:val="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商务条款响应表</w:t>
      </w:r>
    </w:p>
    <w:p w14:paraId="0E7944EE">
      <w:pPr>
        <w:adjustRightInd w:val="0"/>
        <w:snapToGrid w:val="0"/>
        <w:spacing w:line="360" w:lineRule="auto"/>
        <w:ind w:right="105" w:rightChars="50"/>
        <w:jc w:val="left"/>
        <w:rPr>
          <w:rFonts w:hint="eastAsia" w:ascii="仿宋" w:hAnsi="仿宋" w:eastAsia="仿宋" w:cs="仿宋"/>
          <w:b/>
          <w:bCs/>
          <w:sz w:val="24"/>
          <w:highlight w:val="none"/>
        </w:rPr>
      </w:pPr>
      <w:r>
        <w:rPr>
          <w:rFonts w:hint="eastAsia" w:ascii="仿宋" w:hAnsi="仿宋" w:eastAsia="仿宋" w:cs="仿宋"/>
          <w:b/>
          <w:bCs/>
          <w:sz w:val="24"/>
          <w:highlight w:val="none"/>
        </w:rPr>
        <w:t xml:space="preserve">包组编号： </w:t>
      </w:r>
    </w:p>
    <w:tbl>
      <w:tblPr>
        <w:tblStyle w:val="38"/>
        <w:tblW w:w="8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6"/>
        <w:gridCol w:w="3900"/>
        <w:gridCol w:w="2372"/>
        <w:gridCol w:w="1109"/>
        <w:gridCol w:w="1096"/>
      </w:tblGrid>
      <w:tr w14:paraId="3046A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486" w:type="dxa"/>
            <w:vAlign w:val="center"/>
          </w:tcPr>
          <w:p w14:paraId="6BD8FD66">
            <w:pPr>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3900" w:type="dxa"/>
            <w:vAlign w:val="center"/>
          </w:tcPr>
          <w:p w14:paraId="76795C54">
            <w:pPr>
              <w:jc w:val="center"/>
              <w:rPr>
                <w:rFonts w:hint="eastAsia" w:ascii="仿宋" w:hAnsi="仿宋" w:eastAsia="仿宋" w:cs="仿宋"/>
                <w:szCs w:val="21"/>
                <w:highlight w:val="none"/>
              </w:rPr>
            </w:pPr>
            <w:r>
              <w:rPr>
                <w:rFonts w:hint="eastAsia" w:ascii="仿宋" w:hAnsi="仿宋" w:eastAsia="仿宋" w:cs="仿宋"/>
                <w:szCs w:val="21"/>
                <w:highlight w:val="none"/>
              </w:rPr>
              <w:t>采购文件的商务条款</w:t>
            </w:r>
          </w:p>
          <w:p w14:paraId="418FC8DF">
            <w:pPr>
              <w:jc w:val="center"/>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b/>
                <w:sz w:val="18"/>
                <w:szCs w:val="18"/>
                <w:highlight w:val="none"/>
              </w:rPr>
              <w:t>实质性要求及重要指标用★标注，★标注项不得负偏离，如果负偏离，则响应文件无效。</w:t>
            </w:r>
            <w:r>
              <w:rPr>
                <w:rFonts w:hint="eastAsia" w:ascii="仿宋" w:hAnsi="仿宋" w:eastAsia="仿宋" w:cs="仿宋"/>
                <w:szCs w:val="21"/>
                <w:highlight w:val="none"/>
              </w:rPr>
              <w:t>）</w:t>
            </w:r>
          </w:p>
        </w:tc>
        <w:tc>
          <w:tcPr>
            <w:tcW w:w="2372" w:type="dxa"/>
            <w:vAlign w:val="center"/>
          </w:tcPr>
          <w:p w14:paraId="5D0C224B">
            <w:pPr>
              <w:jc w:val="center"/>
              <w:rPr>
                <w:rFonts w:hint="eastAsia" w:ascii="仿宋" w:hAnsi="仿宋" w:eastAsia="仿宋" w:cs="仿宋"/>
                <w:szCs w:val="21"/>
                <w:highlight w:val="none"/>
              </w:rPr>
            </w:pPr>
            <w:r>
              <w:rPr>
                <w:rFonts w:hint="eastAsia" w:ascii="仿宋" w:hAnsi="仿宋" w:eastAsia="仿宋" w:cs="仿宋"/>
                <w:szCs w:val="21"/>
                <w:highlight w:val="none"/>
              </w:rPr>
              <w:t>响应文件响应内容</w:t>
            </w:r>
          </w:p>
        </w:tc>
        <w:tc>
          <w:tcPr>
            <w:tcW w:w="1109" w:type="dxa"/>
            <w:vAlign w:val="center"/>
          </w:tcPr>
          <w:p w14:paraId="7D3E8267">
            <w:pPr>
              <w:jc w:val="center"/>
              <w:rPr>
                <w:rFonts w:hint="eastAsia" w:ascii="仿宋" w:hAnsi="仿宋" w:eastAsia="仿宋" w:cs="仿宋"/>
                <w:szCs w:val="21"/>
                <w:highlight w:val="none"/>
              </w:rPr>
            </w:pPr>
            <w:r>
              <w:rPr>
                <w:rFonts w:hint="eastAsia" w:ascii="仿宋" w:hAnsi="仿宋" w:eastAsia="仿宋" w:cs="仿宋"/>
                <w:szCs w:val="21"/>
                <w:highlight w:val="none"/>
              </w:rPr>
              <w:t>偏离程度</w:t>
            </w:r>
          </w:p>
        </w:tc>
        <w:tc>
          <w:tcPr>
            <w:tcW w:w="1096" w:type="dxa"/>
            <w:vAlign w:val="center"/>
          </w:tcPr>
          <w:p w14:paraId="72AEA684">
            <w:pPr>
              <w:jc w:val="center"/>
              <w:rPr>
                <w:rFonts w:hint="eastAsia" w:ascii="仿宋" w:hAnsi="仿宋" w:eastAsia="仿宋" w:cs="仿宋"/>
                <w:szCs w:val="21"/>
                <w:highlight w:val="none"/>
              </w:rPr>
            </w:pPr>
            <w:r>
              <w:rPr>
                <w:rFonts w:hint="eastAsia" w:ascii="仿宋" w:hAnsi="仿宋" w:eastAsia="仿宋" w:cs="仿宋"/>
                <w:szCs w:val="21"/>
                <w:highlight w:val="none"/>
              </w:rPr>
              <w:t>偏离说明</w:t>
            </w:r>
          </w:p>
        </w:tc>
      </w:tr>
      <w:tr w14:paraId="658AB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486" w:type="dxa"/>
            <w:vAlign w:val="center"/>
          </w:tcPr>
          <w:p w14:paraId="79484DB4">
            <w:pPr>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3900" w:type="dxa"/>
            <w:vAlign w:val="center"/>
          </w:tcPr>
          <w:p w14:paraId="76F93D95">
            <w:pPr>
              <w:rPr>
                <w:rFonts w:hint="eastAsia" w:ascii="仿宋" w:hAnsi="仿宋" w:eastAsia="仿宋" w:cs="仿宋"/>
                <w:szCs w:val="21"/>
                <w:highlight w:val="none"/>
              </w:rPr>
            </w:pPr>
            <w:r>
              <w:rPr>
                <w:rFonts w:hint="eastAsia" w:ascii="仿宋" w:hAnsi="仿宋" w:eastAsia="仿宋" w:cs="仿宋"/>
                <w:szCs w:val="21"/>
                <w:highlight w:val="none"/>
              </w:rPr>
              <w:t>★工期：合同签订后90天内完工（具体开竣工日期以甲乙双方签订合同为准）。</w:t>
            </w:r>
          </w:p>
        </w:tc>
        <w:tc>
          <w:tcPr>
            <w:tcW w:w="2372" w:type="dxa"/>
            <w:vAlign w:val="center"/>
          </w:tcPr>
          <w:p w14:paraId="3C966D02">
            <w:pPr>
              <w:jc w:val="center"/>
              <w:rPr>
                <w:rFonts w:hint="eastAsia" w:ascii="仿宋" w:hAnsi="仿宋" w:eastAsia="仿宋" w:cs="仿宋"/>
                <w:szCs w:val="21"/>
                <w:highlight w:val="none"/>
              </w:rPr>
            </w:pPr>
          </w:p>
        </w:tc>
        <w:tc>
          <w:tcPr>
            <w:tcW w:w="1109" w:type="dxa"/>
            <w:vAlign w:val="center"/>
          </w:tcPr>
          <w:p w14:paraId="1027015B">
            <w:pPr>
              <w:jc w:val="center"/>
              <w:rPr>
                <w:rFonts w:hint="eastAsia" w:ascii="仿宋" w:hAnsi="仿宋" w:eastAsia="仿宋" w:cs="仿宋"/>
                <w:szCs w:val="21"/>
                <w:highlight w:val="none"/>
              </w:rPr>
            </w:pPr>
          </w:p>
        </w:tc>
        <w:tc>
          <w:tcPr>
            <w:tcW w:w="1096" w:type="dxa"/>
            <w:vAlign w:val="center"/>
          </w:tcPr>
          <w:p w14:paraId="481FF430">
            <w:pPr>
              <w:jc w:val="center"/>
              <w:rPr>
                <w:rFonts w:hint="eastAsia" w:ascii="仿宋" w:hAnsi="仿宋" w:eastAsia="仿宋" w:cs="仿宋"/>
                <w:szCs w:val="21"/>
                <w:highlight w:val="none"/>
              </w:rPr>
            </w:pPr>
          </w:p>
        </w:tc>
      </w:tr>
      <w:tr w14:paraId="6EFF5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486" w:type="dxa"/>
            <w:vAlign w:val="center"/>
          </w:tcPr>
          <w:p w14:paraId="256EA735">
            <w:pPr>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3900" w:type="dxa"/>
            <w:vAlign w:val="center"/>
          </w:tcPr>
          <w:p w14:paraId="2EB62059">
            <w:pPr>
              <w:rPr>
                <w:rFonts w:hint="eastAsia" w:ascii="仿宋" w:hAnsi="仿宋" w:eastAsia="仿宋" w:cs="仿宋"/>
                <w:szCs w:val="21"/>
                <w:highlight w:val="none"/>
              </w:rPr>
            </w:pPr>
            <w:r>
              <w:rPr>
                <w:rFonts w:hint="eastAsia" w:ascii="仿宋" w:hAnsi="仿宋" w:eastAsia="仿宋" w:cs="仿宋"/>
                <w:szCs w:val="21"/>
                <w:highlight w:val="none"/>
              </w:rPr>
              <w:t>★施工全过程所投入的全部材料、设备质量均须验收合格，各项性能指标符合现行国家工程验收规范标准，满足项目竣工验收相关要求</w:t>
            </w:r>
          </w:p>
        </w:tc>
        <w:tc>
          <w:tcPr>
            <w:tcW w:w="2372" w:type="dxa"/>
            <w:vAlign w:val="center"/>
          </w:tcPr>
          <w:p w14:paraId="71132DD9">
            <w:pPr>
              <w:jc w:val="center"/>
              <w:rPr>
                <w:rFonts w:hint="eastAsia" w:ascii="仿宋" w:hAnsi="仿宋" w:eastAsia="仿宋" w:cs="仿宋"/>
                <w:szCs w:val="21"/>
                <w:highlight w:val="none"/>
              </w:rPr>
            </w:pPr>
          </w:p>
        </w:tc>
        <w:tc>
          <w:tcPr>
            <w:tcW w:w="1109" w:type="dxa"/>
            <w:vAlign w:val="center"/>
          </w:tcPr>
          <w:p w14:paraId="6977A09D">
            <w:pPr>
              <w:jc w:val="center"/>
              <w:rPr>
                <w:rFonts w:hint="eastAsia" w:ascii="仿宋" w:hAnsi="仿宋" w:eastAsia="仿宋" w:cs="仿宋"/>
                <w:szCs w:val="21"/>
                <w:highlight w:val="none"/>
              </w:rPr>
            </w:pPr>
          </w:p>
        </w:tc>
        <w:tc>
          <w:tcPr>
            <w:tcW w:w="1096" w:type="dxa"/>
            <w:vAlign w:val="center"/>
          </w:tcPr>
          <w:p w14:paraId="0E923E5E">
            <w:pPr>
              <w:jc w:val="center"/>
              <w:rPr>
                <w:rFonts w:hint="eastAsia" w:ascii="仿宋" w:hAnsi="仿宋" w:eastAsia="仿宋" w:cs="仿宋"/>
                <w:szCs w:val="21"/>
                <w:highlight w:val="none"/>
              </w:rPr>
            </w:pPr>
          </w:p>
        </w:tc>
      </w:tr>
      <w:tr w14:paraId="71F30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486" w:type="dxa"/>
            <w:vAlign w:val="center"/>
          </w:tcPr>
          <w:p w14:paraId="194B26DC">
            <w:pPr>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3900" w:type="dxa"/>
            <w:vAlign w:val="center"/>
          </w:tcPr>
          <w:p w14:paraId="49627138">
            <w:pPr>
              <w:rPr>
                <w:rFonts w:hint="eastAsia" w:ascii="仿宋" w:hAnsi="仿宋" w:eastAsia="仿宋" w:cs="仿宋"/>
                <w:szCs w:val="21"/>
                <w:highlight w:val="none"/>
              </w:rPr>
            </w:pPr>
            <w:r>
              <w:rPr>
                <w:rFonts w:hint="eastAsia" w:ascii="仿宋" w:hAnsi="仿宋" w:eastAsia="仿宋" w:cs="仿宋"/>
                <w:szCs w:val="21"/>
                <w:highlight w:val="none"/>
              </w:rPr>
              <w:t>★质量标准：合格，并达到国家现行工程施工质量验收规范合格标准。</w:t>
            </w:r>
          </w:p>
        </w:tc>
        <w:tc>
          <w:tcPr>
            <w:tcW w:w="2372" w:type="dxa"/>
            <w:vAlign w:val="center"/>
          </w:tcPr>
          <w:p w14:paraId="7DC45C49">
            <w:pPr>
              <w:jc w:val="center"/>
              <w:rPr>
                <w:rFonts w:hint="eastAsia" w:ascii="仿宋" w:hAnsi="仿宋" w:eastAsia="仿宋" w:cs="仿宋"/>
                <w:szCs w:val="21"/>
                <w:highlight w:val="none"/>
              </w:rPr>
            </w:pPr>
          </w:p>
        </w:tc>
        <w:tc>
          <w:tcPr>
            <w:tcW w:w="1109" w:type="dxa"/>
            <w:vAlign w:val="center"/>
          </w:tcPr>
          <w:p w14:paraId="4C46A341">
            <w:pPr>
              <w:jc w:val="center"/>
              <w:rPr>
                <w:rFonts w:hint="eastAsia" w:ascii="仿宋" w:hAnsi="仿宋" w:eastAsia="仿宋" w:cs="仿宋"/>
                <w:szCs w:val="21"/>
                <w:highlight w:val="none"/>
              </w:rPr>
            </w:pPr>
          </w:p>
        </w:tc>
        <w:tc>
          <w:tcPr>
            <w:tcW w:w="1096" w:type="dxa"/>
            <w:vAlign w:val="center"/>
          </w:tcPr>
          <w:p w14:paraId="73C88928">
            <w:pPr>
              <w:jc w:val="center"/>
              <w:rPr>
                <w:rFonts w:hint="eastAsia" w:ascii="仿宋" w:hAnsi="仿宋" w:eastAsia="仿宋" w:cs="仿宋"/>
                <w:szCs w:val="21"/>
                <w:highlight w:val="none"/>
              </w:rPr>
            </w:pPr>
          </w:p>
        </w:tc>
      </w:tr>
      <w:tr w14:paraId="42C67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486" w:type="dxa"/>
            <w:vAlign w:val="center"/>
          </w:tcPr>
          <w:p w14:paraId="07851E30">
            <w:pPr>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3900" w:type="dxa"/>
            <w:vAlign w:val="center"/>
          </w:tcPr>
          <w:p w14:paraId="6B6ABC46">
            <w:pPr>
              <w:rPr>
                <w:rFonts w:hint="eastAsia" w:ascii="仿宋" w:hAnsi="仿宋" w:eastAsia="仿宋" w:cs="仿宋"/>
                <w:szCs w:val="21"/>
                <w:highlight w:val="none"/>
              </w:rPr>
            </w:pPr>
            <w:r>
              <w:rPr>
                <w:rFonts w:hint="eastAsia" w:ascii="仿宋" w:hAnsi="仿宋" w:eastAsia="仿宋" w:cs="仿宋"/>
                <w:szCs w:val="21"/>
                <w:highlight w:val="none"/>
              </w:rPr>
              <w:t>★建设地点：采购人指定地点</w:t>
            </w:r>
          </w:p>
        </w:tc>
        <w:tc>
          <w:tcPr>
            <w:tcW w:w="2372" w:type="dxa"/>
            <w:vAlign w:val="center"/>
          </w:tcPr>
          <w:p w14:paraId="009DA745">
            <w:pPr>
              <w:jc w:val="center"/>
              <w:rPr>
                <w:rFonts w:hint="eastAsia" w:ascii="仿宋" w:hAnsi="仿宋" w:eastAsia="仿宋" w:cs="仿宋"/>
                <w:szCs w:val="21"/>
                <w:highlight w:val="none"/>
              </w:rPr>
            </w:pPr>
          </w:p>
        </w:tc>
        <w:tc>
          <w:tcPr>
            <w:tcW w:w="1109" w:type="dxa"/>
            <w:vAlign w:val="center"/>
          </w:tcPr>
          <w:p w14:paraId="33946442">
            <w:pPr>
              <w:jc w:val="center"/>
              <w:rPr>
                <w:rFonts w:hint="eastAsia" w:ascii="仿宋" w:hAnsi="仿宋" w:eastAsia="仿宋" w:cs="仿宋"/>
                <w:szCs w:val="21"/>
                <w:highlight w:val="none"/>
              </w:rPr>
            </w:pPr>
          </w:p>
        </w:tc>
        <w:tc>
          <w:tcPr>
            <w:tcW w:w="1096" w:type="dxa"/>
            <w:vAlign w:val="center"/>
          </w:tcPr>
          <w:p w14:paraId="0390B1EC">
            <w:pPr>
              <w:jc w:val="center"/>
              <w:rPr>
                <w:rFonts w:hint="eastAsia" w:ascii="仿宋" w:hAnsi="仿宋" w:eastAsia="仿宋" w:cs="仿宋"/>
                <w:szCs w:val="21"/>
                <w:highlight w:val="none"/>
              </w:rPr>
            </w:pPr>
          </w:p>
        </w:tc>
      </w:tr>
      <w:tr w14:paraId="6A7F2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486" w:type="dxa"/>
            <w:vAlign w:val="center"/>
          </w:tcPr>
          <w:p w14:paraId="7497CEAF">
            <w:pPr>
              <w:jc w:val="center"/>
              <w:rPr>
                <w:rFonts w:hint="eastAsia" w:ascii="仿宋" w:hAnsi="仿宋" w:eastAsia="仿宋" w:cs="仿宋"/>
                <w:szCs w:val="21"/>
                <w:highlight w:val="none"/>
              </w:rPr>
            </w:pPr>
            <w:r>
              <w:rPr>
                <w:rFonts w:hint="eastAsia" w:ascii="仿宋" w:hAnsi="仿宋" w:eastAsia="仿宋" w:cs="仿宋"/>
                <w:szCs w:val="21"/>
                <w:highlight w:val="none"/>
              </w:rPr>
              <w:t>5</w:t>
            </w:r>
          </w:p>
        </w:tc>
        <w:tc>
          <w:tcPr>
            <w:tcW w:w="3900" w:type="dxa"/>
            <w:vAlign w:val="center"/>
          </w:tcPr>
          <w:p w14:paraId="7095D31A">
            <w:pPr>
              <w:rPr>
                <w:rFonts w:hint="eastAsia" w:ascii="仿宋" w:hAnsi="仿宋" w:eastAsia="仿宋" w:cs="仿宋"/>
                <w:szCs w:val="21"/>
                <w:highlight w:val="none"/>
              </w:rPr>
            </w:pPr>
            <w:r>
              <w:rPr>
                <w:rFonts w:hint="eastAsia" w:ascii="仿宋" w:hAnsi="仿宋" w:eastAsia="仿宋" w:cs="仿宋"/>
                <w:szCs w:val="21"/>
                <w:highlight w:val="none"/>
              </w:rPr>
              <w:t>★付款方式及条件：工程完成50%支付合同总价款的30%，竣工验收合格后支付至合同总价款的97%，剩余3%作为质保金，质保期满后无息返还。</w:t>
            </w:r>
          </w:p>
        </w:tc>
        <w:tc>
          <w:tcPr>
            <w:tcW w:w="2372" w:type="dxa"/>
            <w:vAlign w:val="center"/>
          </w:tcPr>
          <w:p w14:paraId="61A722BA">
            <w:pPr>
              <w:jc w:val="center"/>
              <w:rPr>
                <w:rFonts w:hint="eastAsia" w:ascii="仿宋" w:hAnsi="仿宋" w:eastAsia="仿宋" w:cs="仿宋"/>
                <w:szCs w:val="21"/>
                <w:highlight w:val="none"/>
              </w:rPr>
            </w:pPr>
          </w:p>
        </w:tc>
        <w:tc>
          <w:tcPr>
            <w:tcW w:w="1109" w:type="dxa"/>
            <w:vAlign w:val="center"/>
          </w:tcPr>
          <w:p w14:paraId="26F0F2F0">
            <w:pPr>
              <w:jc w:val="center"/>
              <w:rPr>
                <w:rFonts w:hint="eastAsia" w:ascii="仿宋" w:hAnsi="仿宋" w:eastAsia="仿宋" w:cs="仿宋"/>
                <w:szCs w:val="21"/>
                <w:highlight w:val="none"/>
              </w:rPr>
            </w:pPr>
          </w:p>
        </w:tc>
        <w:tc>
          <w:tcPr>
            <w:tcW w:w="1096" w:type="dxa"/>
            <w:vAlign w:val="center"/>
          </w:tcPr>
          <w:p w14:paraId="10F52F1E">
            <w:pPr>
              <w:jc w:val="center"/>
              <w:rPr>
                <w:rFonts w:hint="eastAsia" w:ascii="仿宋" w:hAnsi="仿宋" w:eastAsia="仿宋" w:cs="仿宋"/>
                <w:szCs w:val="21"/>
                <w:highlight w:val="none"/>
              </w:rPr>
            </w:pPr>
          </w:p>
        </w:tc>
      </w:tr>
      <w:tr w14:paraId="00E5A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486" w:type="dxa"/>
            <w:vAlign w:val="center"/>
          </w:tcPr>
          <w:p w14:paraId="4D5F66D0">
            <w:pPr>
              <w:jc w:val="center"/>
              <w:rPr>
                <w:rFonts w:hint="eastAsia" w:ascii="仿宋" w:hAnsi="仿宋" w:eastAsia="仿宋" w:cs="仿宋"/>
                <w:szCs w:val="21"/>
                <w:highlight w:val="none"/>
              </w:rPr>
            </w:pPr>
            <w:r>
              <w:rPr>
                <w:rFonts w:hint="eastAsia" w:ascii="仿宋" w:hAnsi="仿宋" w:eastAsia="仿宋" w:cs="仿宋"/>
                <w:szCs w:val="21"/>
                <w:highlight w:val="none"/>
              </w:rPr>
              <w:t>6</w:t>
            </w:r>
          </w:p>
        </w:tc>
        <w:tc>
          <w:tcPr>
            <w:tcW w:w="3900" w:type="dxa"/>
            <w:vAlign w:val="center"/>
          </w:tcPr>
          <w:p w14:paraId="2E7F7FAD">
            <w:pPr>
              <w:rPr>
                <w:rFonts w:hint="eastAsia" w:ascii="仿宋" w:hAnsi="仿宋" w:eastAsia="仿宋" w:cs="仿宋"/>
                <w:szCs w:val="21"/>
                <w:highlight w:val="none"/>
              </w:rPr>
            </w:pPr>
            <w:r>
              <w:rPr>
                <w:rFonts w:hint="eastAsia" w:ascii="仿宋" w:hAnsi="仿宋" w:eastAsia="仿宋" w:cs="仿宋"/>
                <w:szCs w:val="21"/>
                <w:highlight w:val="none"/>
              </w:rPr>
              <w:t>★质量保证金：工程结算款的3%</w:t>
            </w:r>
          </w:p>
          <w:p w14:paraId="4D725409">
            <w:pPr>
              <w:rPr>
                <w:rFonts w:hint="eastAsia" w:ascii="仿宋" w:hAnsi="仿宋" w:eastAsia="仿宋" w:cs="仿宋"/>
                <w:szCs w:val="21"/>
                <w:highlight w:val="none"/>
              </w:rPr>
            </w:pPr>
            <w:r>
              <w:rPr>
                <w:rFonts w:hint="eastAsia" w:ascii="仿宋" w:hAnsi="仿宋" w:eastAsia="仿宋" w:cs="仿宋"/>
                <w:szCs w:val="21"/>
                <w:highlight w:val="none"/>
              </w:rPr>
              <w:t>★质保期：自验收合格之日起1年。</w:t>
            </w:r>
          </w:p>
        </w:tc>
        <w:tc>
          <w:tcPr>
            <w:tcW w:w="2372" w:type="dxa"/>
            <w:vAlign w:val="center"/>
          </w:tcPr>
          <w:p w14:paraId="4105D46E">
            <w:pPr>
              <w:jc w:val="center"/>
              <w:rPr>
                <w:rFonts w:hint="eastAsia" w:ascii="仿宋" w:hAnsi="仿宋" w:eastAsia="仿宋" w:cs="仿宋"/>
                <w:szCs w:val="21"/>
                <w:highlight w:val="none"/>
              </w:rPr>
            </w:pPr>
          </w:p>
        </w:tc>
        <w:tc>
          <w:tcPr>
            <w:tcW w:w="1109" w:type="dxa"/>
            <w:vAlign w:val="center"/>
          </w:tcPr>
          <w:p w14:paraId="1748576B">
            <w:pPr>
              <w:jc w:val="center"/>
              <w:rPr>
                <w:rFonts w:hint="eastAsia" w:ascii="仿宋" w:hAnsi="仿宋" w:eastAsia="仿宋" w:cs="仿宋"/>
                <w:szCs w:val="21"/>
                <w:highlight w:val="none"/>
              </w:rPr>
            </w:pPr>
          </w:p>
        </w:tc>
        <w:tc>
          <w:tcPr>
            <w:tcW w:w="1096" w:type="dxa"/>
            <w:vAlign w:val="center"/>
          </w:tcPr>
          <w:p w14:paraId="43E33C48">
            <w:pPr>
              <w:jc w:val="center"/>
              <w:rPr>
                <w:rFonts w:hint="eastAsia" w:ascii="仿宋" w:hAnsi="仿宋" w:eastAsia="仿宋" w:cs="仿宋"/>
                <w:szCs w:val="21"/>
                <w:highlight w:val="none"/>
              </w:rPr>
            </w:pPr>
          </w:p>
        </w:tc>
      </w:tr>
      <w:tr w14:paraId="3F080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486" w:type="dxa"/>
            <w:vAlign w:val="center"/>
          </w:tcPr>
          <w:p w14:paraId="52DB9816">
            <w:pPr>
              <w:jc w:val="center"/>
              <w:rPr>
                <w:rFonts w:hint="eastAsia" w:ascii="仿宋" w:hAnsi="仿宋" w:eastAsia="仿宋" w:cs="仿宋"/>
                <w:szCs w:val="21"/>
                <w:highlight w:val="none"/>
              </w:rPr>
            </w:pPr>
            <w:r>
              <w:rPr>
                <w:rFonts w:hint="eastAsia" w:ascii="仿宋" w:hAnsi="仿宋" w:eastAsia="仿宋" w:cs="仿宋"/>
                <w:szCs w:val="21"/>
                <w:highlight w:val="none"/>
              </w:rPr>
              <w:t>7</w:t>
            </w:r>
          </w:p>
        </w:tc>
        <w:tc>
          <w:tcPr>
            <w:tcW w:w="3900" w:type="dxa"/>
            <w:vAlign w:val="center"/>
          </w:tcPr>
          <w:p w14:paraId="4BA0EF40">
            <w:pPr>
              <w:rPr>
                <w:rFonts w:hint="eastAsia" w:ascii="仿宋" w:hAnsi="仿宋" w:eastAsia="仿宋" w:cs="仿宋"/>
                <w:szCs w:val="21"/>
                <w:highlight w:val="none"/>
              </w:rPr>
            </w:pPr>
            <w:r>
              <w:rPr>
                <w:rFonts w:hint="eastAsia" w:ascii="仿宋" w:hAnsi="仿宋" w:eastAsia="仿宋" w:cs="仿宋"/>
                <w:szCs w:val="21"/>
                <w:highlight w:val="none"/>
              </w:rPr>
              <w:t>★工程施工期间的安全责任由施工单位负责，因施工安全问题给施工人员或其他人造成损害的均由施工单位承担。</w:t>
            </w:r>
          </w:p>
        </w:tc>
        <w:tc>
          <w:tcPr>
            <w:tcW w:w="2372" w:type="dxa"/>
            <w:vAlign w:val="center"/>
          </w:tcPr>
          <w:p w14:paraId="69C8C5B2">
            <w:pPr>
              <w:jc w:val="center"/>
              <w:rPr>
                <w:rFonts w:hint="eastAsia" w:ascii="仿宋" w:hAnsi="仿宋" w:eastAsia="仿宋" w:cs="仿宋"/>
                <w:szCs w:val="21"/>
                <w:highlight w:val="none"/>
              </w:rPr>
            </w:pPr>
          </w:p>
        </w:tc>
        <w:tc>
          <w:tcPr>
            <w:tcW w:w="1109" w:type="dxa"/>
            <w:vAlign w:val="center"/>
          </w:tcPr>
          <w:p w14:paraId="478189AE">
            <w:pPr>
              <w:jc w:val="center"/>
              <w:rPr>
                <w:rFonts w:hint="eastAsia" w:ascii="仿宋" w:hAnsi="仿宋" w:eastAsia="仿宋" w:cs="仿宋"/>
                <w:szCs w:val="21"/>
                <w:highlight w:val="none"/>
              </w:rPr>
            </w:pPr>
          </w:p>
        </w:tc>
        <w:tc>
          <w:tcPr>
            <w:tcW w:w="1096" w:type="dxa"/>
            <w:vAlign w:val="center"/>
          </w:tcPr>
          <w:p w14:paraId="14140945">
            <w:pPr>
              <w:jc w:val="center"/>
              <w:rPr>
                <w:rFonts w:hint="eastAsia" w:ascii="仿宋" w:hAnsi="仿宋" w:eastAsia="仿宋" w:cs="仿宋"/>
                <w:szCs w:val="21"/>
                <w:highlight w:val="none"/>
              </w:rPr>
            </w:pPr>
          </w:p>
        </w:tc>
      </w:tr>
      <w:tr w14:paraId="6E74E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5" w:hRule="atLeast"/>
          <w:jc w:val="center"/>
        </w:trPr>
        <w:tc>
          <w:tcPr>
            <w:tcW w:w="486" w:type="dxa"/>
            <w:vAlign w:val="center"/>
          </w:tcPr>
          <w:p w14:paraId="63413229">
            <w:pPr>
              <w:jc w:val="center"/>
              <w:rPr>
                <w:rFonts w:hint="eastAsia" w:ascii="仿宋" w:hAnsi="仿宋" w:eastAsia="仿宋" w:cs="仿宋"/>
                <w:szCs w:val="21"/>
                <w:highlight w:val="none"/>
              </w:rPr>
            </w:pPr>
            <w:r>
              <w:rPr>
                <w:rFonts w:hint="eastAsia" w:ascii="仿宋" w:hAnsi="仿宋" w:eastAsia="仿宋" w:cs="仿宋"/>
                <w:szCs w:val="21"/>
                <w:highlight w:val="none"/>
              </w:rPr>
              <w:t>8</w:t>
            </w:r>
          </w:p>
        </w:tc>
        <w:tc>
          <w:tcPr>
            <w:tcW w:w="3900" w:type="dxa"/>
            <w:vAlign w:val="center"/>
          </w:tcPr>
          <w:p w14:paraId="0CC4EE02">
            <w:pPr>
              <w:rPr>
                <w:rFonts w:hint="eastAsia" w:ascii="仿宋" w:hAnsi="仿宋" w:eastAsia="仿宋" w:cs="仿宋"/>
                <w:szCs w:val="21"/>
                <w:highlight w:val="none"/>
              </w:rPr>
            </w:pPr>
            <w:r>
              <w:rPr>
                <w:rFonts w:hint="eastAsia" w:ascii="仿宋" w:hAnsi="仿宋" w:eastAsia="仿宋" w:cs="仿宋"/>
                <w:szCs w:val="21"/>
                <w:highlight w:val="none"/>
              </w:rPr>
              <w:t>★验收标准：执行《辽宁省政府采购相关机构及人员行为规则》[辽财采〔2008〕95号]、《政府采购合同履约验收管理的通知》[辽财采[2017]603号]规定签署最终验收文件。</w:t>
            </w:r>
          </w:p>
          <w:p w14:paraId="7B1D90D5">
            <w:pPr>
              <w:rPr>
                <w:rFonts w:hint="eastAsia" w:ascii="仿宋" w:hAnsi="仿宋" w:eastAsia="仿宋" w:cs="仿宋"/>
                <w:szCs w:val="21"/>
                <w:highlight w:val="none"/>
              </w:rPr>
            </w:pPr>
            <w:r>
              <w:rPr>
                <w:rFonts w:hint="eastAsia" w:ascii="仿宋" w:hAnsi="仿宋" w:eastAsia="仿宋" w:cs="仿宋"/>
                <w:szCs w:val="21"/>
                <w:highlight w:val="none"/>
              </w:rPr>
              <w:t>★验收程序：达到采购人要求</w:t>
            </w:r>
          </w:p>
          <w:p w14:paraId="1C2962F2">
            <w:pPr>
              <w:rPr>
                <w:rFonts w:hint="eastAsia" w:ascii="仿宋" w:hAnsi="仿宋" w:eastAsia="仿宋" w:cs="仿宋"/>
                <w:szCs w:val="21"/>
                <w:highlight w:val="none"/>
              </w:rPr>
            </w:pPr>
            <w:r>
              <w:rPr>
                <w:rFonts w:hint="eastAsia" w:ascii="仿宋" w:hAnsi="仿宋" w:eastAsia="仿宋" w:cs="仿宋"/>
                <w:szCs w:val="21"/>
                <w:highlight w:val="none"/>
              </w:rPr>
              <w:t>★验收报告：验收人员出具验收报告</w:t>
            </w:r>
          </w:p>
          <w:p w14:paraId="73B68517">
            <w:pPr>
              <w:rPr>
                <w:rFonts w:hint="eastAsia" w:ascii="仿宋" w:hAnsi="仿宋" w:eastAsia="仿宋" w:cs="仿宋"/>
                <w:szCs w:val="21"/>
                <w:highlight w:val="none"/>
              </w:rPr>
            </w:pPr>
            <w:r>
              <w:rPr>
                <w:rFonts w:hint="eastAsia" w:ascii="仿宋" w:hAnsi="仿宋" w:eastAsia="仿宋" w:cs="仿宋"/>
                <w:szCs w:val="21"/>
                <w:highlight w:val="none"/>
              </w:rPr>
              <w:t>★组织验收主体：本项目的履约验收工作由采购人依法组织实施。</w:t>
            </w:r>
          </w:p>
        </w:tc>
        <w:tc>
          <w:tcPr>
            <w:tcW w:w="2372" w:type="dxa"/>
            <w:vAlign w:val="center"/>
          </w:tcPr>
          <w:p w14:paraId="2565D476">
            <w:pPr>
              <w:jc w:val="center"/>
              <w:rPr>
                <w:rFonts w:hint="eastAsia" w:ascii="仿宋" w:hAnsi="仿宋" w:eastAsia="仿宋" w:cs="仿宋"/>
                <w:szCs w:val="21"/>
                <w:highlight w:val="none"/>
              </w:rPr>
            </w:pPr>
          </w:p>
        </w:tc>
        <w:tc>
          <w:tcPr>
            <w:tcW w:w="1109" w:type="dxa"/>
            <w:vAlign w:val="center"/>
          </w:tcPr>
          <w:p w14:paraId="761A8DAA">
            <w:pPr>
              <w:jc w:val="center"/>
              <w:rPr>
                <w:rFonts w:hint="eastAsia" w:ascii="仿宋" w:hAnsi="仿宋" w:eastAsia="仿宋" w:cs="仿宋"/>
                <w:szCs w:val="21"/>
                <w:highlight w:val="none"/>
              </w:rPr>
            </w:pPr>
          </w:p>
        </w:tc>
        <w:tc>
          <w:tcPr>
            <w:tcW w:w="1096" w:type="dxa"/>
            <w:vAlign w:val="center"/>
          </w:tcPr>
          <w:p w14:paraId="2C950A07">
            <w:pPr>
              <w:jc w:val="center"/>
              <w:rPr>
                <w:rFonts w:hint="eastAsia" w:ascii="仿宋" w:hAnsi="仿宋" w:eastAsia="仿宋" w:cs="仿宋"/>
                <w:szCs w:val="21"/>
                <w:highlight w:val="none"/>
              </w:rPr>
            </w:pPr>
          </w:p>
        </w:tc>
      </w:tr>
      <w:tr w14:paraId="74AF0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86" w:type="dxa"/>
            <w:vAlign w:val="center"/>
          </w:tcPr>
          <w:p w14:paraId="342599B2">
            <w:pPr>
              <w:jc w:val="center"/>
              <w:rPr>
                <w:rFonts w:hint="eastAsia" w:ascii="仿宋" w:hAnsi="仿宋" w:eastAsia="仿宋" w:cs="仿宋"/>
                <w:szCs w:val="21"/>
                <w:highlight w:val="none"/>
              </w:rPr>
            </w:pPr>
            <w:r>
              <w:rPr>
                <w:rFonts w:hint="eastAsia" w:ascii="仿宋" w:hAnsi="仿宋" w:eastAsia="仿宋" w:cs="仿宋"/>
                <w:szCs w:val="21"/>
                <w:highlight w:val="none"/>
              </w:rPr>
              <w:t>9</w:t>
            </w:r>
          </w:p>
        </w:tc>
        <w:tc>
          <w:tcPr>
            <w:tcW w:w="3900" w:type="dxa"/>
            <w:vAlign w:val="center"/>
          </w:tcPr>
          <w:p w14:paraId="1B1FAE04">
            <w:pPr>
              <w:rPr>
                <w:rFonts w:hint="eastAsia" w:ascii="仿宋" w:hAnsi="仿宋" w:eastAsia="仿宋" w:cs="仿宋"/>
                <w:szCs w:val="21"/>
                <w:highlight w:val="none"/>
              </w:rPr>
            </w:pPr>
            <w:r>
              <w:rPr>
                <w:rFonts w:hint="eastAsia" w:ascii="仿宋" w:hAnsi="仿宋" w:eastAsia="仿宋" w:cs="仿宋"/>
                <w:szCs w:val="21"/>
                <w:highlight w:val="none"/>
              </w:rPr>
              <w:t>★合同方式：固定综合单价合同</w:t>
            </w:r>
          </w:p>
        </w:tc>
        <w:tc>
          <w:tcPr>
            <w:tcW w:w="2372" w:type="dxa"/>
            <w:vAlign w:val="center"/>
          </w:tcPr>
          <w:p w14:paraId="557B7BEA">
            <w:pPr>
              <w:jc w:val="center"/>
              <w:rPr>
                <w:rFonts w:hint="eastAsia" w:ascii="仿宋" w:hAnsi="仿宋" w:eastAsia="仿宋" w:cs="仿宋"/>
                <w:szCs w:val="21"/>
                <w:highlight w:val="none"/>
              </w:rPr>
            </w:pPr>
          </w:p>
        </w:tc>
        <w:tc>
          <w:tcPr>
            <w:tcW w:w="1109" w:type="dxa"/>
            <w:vAlign w:val="center"/>
          </w:tcPr>
          <w:p w14:paraId="5FF04B97">
            <w:pPr>
              <w:jc w:val="center"/>
              <w:rPr>
                <w:rFonts w:hint="eastAsia" w:ascii="仿宋" w:hAnsi="仿宋" w:eastAsia="仿宋" w:cs="仿宋"/>
                <w:szCs w:val="21"/>
                <w:highlight w:val="none"/>
              </w:rPr>
            </w:pPr>
          </w:p>
        </w:tc>
        <w:tc>
          <w:tcPr>
            <w:tcW w:w="1096" w:type="dxa"/>
            <w:vAlign w:val="center"/>
          </w:tcPr>
          <w:p w14:paraId="1545136D">
            <w:pPr>
              <w:jc w:val="center"/>
              <w:rPr>
                <w:rFonts w:hint="eastAsia" w:ascii="仿宋" w:hAnsi="仿宋" w:eastAsia="仿宋" w:cs="仿宋"/>
                <w:szCs w:val="21"/>
                <w:highlight w:val="none"/>
              </w:rPr>
            </w:pPr>
          </w:p>
        </w:tc>
      </w:tr>
      <w:tr w14:paraId="202C5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jc w:val="center"/>
        </w:trPr>
        <w:tc>
          <w:tcPr>
            <w:tcW w:w="486" w:type="dxa"/>
            <w:vAlign w:val="center"/>
          </w:tcPr>
          <w:p w14:paraId="190409D4">
            <w:pPr>
              <w:jc w:val="center"/>
              <w:rPr>
                <w:rFonts w:hint="eastAsia" w:ascii="仿宋" w:hAnsi="仿宋" w:eastAsia="仿宋" w:cs="仿宋"/>
                <w:szCs w:val="21"/>
                <w:highlight w:val="none"/>
              </w:rPr>
            </w:pPr>
          </w:p>
        </w:tc>
        <w:tc>
          <w:tcPr>
            <w:tcW w:w="3900" w:type="dxa"/>
            <w:vAlign w:val="center"/>
          </w:tcPr>
          <w:p w14:paraId="3D01467E">
            <w:pPr>
              <w:rPr>
                <w:rFonts w:hint="eastAsia" w:ascii="仿宋" w:hAnsi="仿宋" w:eastAsia="仿宋" w:cs="仿宋"/>
                <w:szCs w:val="21"/>
                <w:highlight w:val="none"/>
              </w:rPr>
            </w:pPr>
            <w:r>
              <w:rPr>
                <w:rFonts w:hint="eastAsia" w:ascii="仿宋" w:hAnsi="仿宋" w:eastAsia="仿宋" w:cs="仿宋"/>
                <w:szCs w:val="21"/>
                <w:highlight w:val="none"/>
              </w:rPr>
              <w:t>其他</w:t>
            </w:r>
          </w:p>
        </w:tc>
        <w:tc>
          <w:tcPr>
            <w:tcW w:w="2372" w:type="dxa"/>
            <w:vAlign w:val="center"/>
          </w:tcPr>
          <w:p w14:paraId="1D8E5011">
            <w:pPr>
              <w:jc w:val="center"/>
              <w:rPr>
                <w:rFonts w:hint="eastAsia" w:ascii="仿宋" w:hAnsi="仿宋" w:eastAsia="仿宋" w:cs="仿宋"/>
                <w:szCs w:val="21"/>
                <w:highlight w:val="none"/>
              </w:rPr>
            </w:pPr>
            <w:r>
              <w:rPr>
                <w:rFonts w:hint="eastAsia" w:ascii="仿宋" w:hAnsi="仿宋" w:eastAsia="仿宋" w:cs="仿宋"/>
                <w:szCs w:val="21"/>
                <w:highlight w:val="none"/>
              </w:rPr>
              <w:t>采购单位未提供需求而供应商认为需说明及补充的内容在此填列</w:t>
            </w:r>
          </w:p>
        </w:tc>
        <w:tc>
          <w:tcPr>
            <w:tcW w:w="1109" w:type="dxa"/>
            <w:vAlign w:val="center"/>
          </w:tcPr>
          <w:p w14:paraId="1B74BA17">
            <w:pPr>
              <w:jc w:val="center"/>
              <w:rPr>
                <w:rFonts w:hint="eastAsia" w:ascii="仿宋" w:hAnsi="仿宋" w:eastAsia="仿宋" w:cs="仿宋"/>
                <w:szCs w:val="21"/>
                <w:highlight w:val="none"/>
              </w:rPr>
            </w:pPr>
          </w:p>
        </w:tc>
        <w:tc>
          <w:tcPr>
            <w:tcW w:w="1096" w:type="dxa"/>
            <w:vAlign w:val="center"/>
          </w:tcPr>
          <w:p w14:paraId="4F69FDC3">
            <w:pPr>
              <w:jc w:val="center"/>
              <w:rPr>
                <w:rFonts w:hint="eastAsia" w:ascii="仿宋" w:hAnsi="仿宋" w:eastAsia="仿宋" w:cs="仿宋"/>
                <w:szCs w:val="21"/>
                <w:highlight w:val="none"/>
              </w:rPr>
            </w:pPr>
          </w:p>
        </w:tc>
      </w:tr>
    </w:tbl>
    <w:p w14:paraId="3B32F9BE">
      <w:pPr>
        <w:adjustRightInd w:val="0"/>
        <w:snapToGrid w:val="0"/>
        <w:spacing w:line="360" w:lineRule="auto"/>
        <w:ind w:right="105" w:rightChars="50"/>
        <w:jc w:val="left"/>
        <w:rPr>
          <w:rFonts w:hint="eastAsia" w:ascii="仿宋" w:hAnsi="仿宋" w:eastAsia="仿宋" w:cs="仿宋"/>
          <w:sz w:val="24"/>
          <w:highlight w:val="none"/>
        </w:rPr>
      </w:pPr>
      <w:r>
        <w:rPr>
          <w:rFonts w:hint="eastAsia" w:ascii="仿宋" w:hAnsi="仿宋" w:eastAsia="仿宋" w:cs="仿宋"/>
          <w:b/>
          <w:sz w:val="24"/>
          <w:highlight w:val="none"/>
        </w:rPr>
        <w:t>填表说明：</w:t>
      </w:r>
    </w:p>
    <w:p w14:paraId="47308430">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1.“响应文件响应内容”一栏由供应商填写。</w:t>
      </w:r>
    </w:p>
    <w:p w14:paraId="79F7631B">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2.“偏离程度”一栏根据“响应文件响应内容”与采购文件逐项对照的结果填写。偏离必须用 “正偏离、负偏离或无偏离”三个名称中的一种进行标注。</w:t>
      </w:r>
    </w:p>
    <w:p w14:paraId="24CFE681">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3.“偏离说明”一栏由供应商对偏离的情况做详细说明。</w:t>
      </w:r>
    </w:p>
    <w:p w14:paraId="32448133">
      <w:pPr>
        <w:adjustRightInd w:val="0"/>
        <w:snapToGrid w:val="0"/>
        <w:spacing w:line="312" w:lineRule="auto"/>
        <w:ind w:right="105" w:rightChars="50" w:firstLine="480" w:firstLineChars="200"/>
        <w:jc w:val="left"/>
        <w:rPr>
          <w:rFonts w:hint="eastAsia" w:ascii="仿宋" w:hAnsi="仿宋" w:eastAsia="仿宋" w:cs="仿宋"/>
          <w:sz w:val="24"/>
          <w:highlight w:val="none"/>
        </w:rPr>
      </w:pPr>
    </w:p>
    <w:p w14:paraId="3D3C5986">
      <w:pPr>
        <w:adjustRightInd w:val="0"/>
        <w:snapToGrid w:val="0"/>
        <w:spacing w:line="480" w:lineRule="auto"/>
        <w:ind w:right="105" w:rightChars="50"/>
        <w:jc w:val="left"/>
        <w:rPr>
          <w:rFonts w:hint="eastAsia" w:ascii="仿宋" w:hAnsi="仿宋" w:eastAsia="仿宋" w:cs="仿宋"/>
          <w:sz w:val="24"/>
          <w:highlight w:val="none"/>
          <w:u w:val="single"/>
        </w:rPr>
      </w:pPr>
      <w:r>
        <w:rPr>
          <w:rFonts w:hint="eastAsia" w:ascii="仿宋" w:hAnsi="仿宋" w:eastAsia="仿宋" w:cs="仿宋"/>
          <w:sz w:val="24"/>
          <w:highlight w:val="none"/>
        </w:rPr>
        <w:t>供应商名称（加盖单位公章）:</w:t>
      </w:r>
      <w:r>
        <w:rPr>
          <w:rFonts w:hint="eastAsia" w:ascii="仿宋" w:hAnsi="仿宋" w:eastAsia="仿宋" w:cs="仿宋"/>
          <w:sz w:val="24"/>
          <w:highlight w:val="none"/>
          <w:u w:val="single"/>
        </w:rPr>
        <w:t xml:space="preserve">               </w:t>
      </w:r>
    </w:p>
    <w:p w14:paraId="367C20D2">
      <w:pPr>
        <w:adjustRightInd w:val="0"/>
        <w:snapToGrid w:val="0"/>
        <w:spacing w:line="480" w:lineRule="auto"/>
        <w:ind w:right="105" w:rightChars="50"/>
        <w:jc w:val="left"/>
        <w:rPr>
          <w:rFonts w:hint="eastAsia" w:ascii="仿宋" w:hAnsi="仿宋" w:eastAsia="仿宋" w:cs="仿宋"/>
          <w:sz w:val="24"/>
          <w:highlight w:val="none"/>
          <w:u w:val="single"/>
        </w:rPr>
      </w:pPr>
      <w:r>
        <w:rPr>
          <w:rFonts w:hint="eastAsia" w:ascii="仿宋" w:hAnsi="仿宋" w:eastAsia="仿宋" w:cs="仿宋"/>
          <w:sz w:val="24"/>
          <w:highlight w:val="none"/>
        </w:rPr>
        <w:t>法定代表人（或非法人组织负责人）或其授权委托人（签字或盖章）:</w:t>
      </w:r>
      <w:r>
        <w:rPr>
          <w:rFonts w:hint="eastAsia" w:ascii="仿宋" w:hAnsi="仿宋" w:eastAsia="仿宋" w:cs="仿宋"/>
          <w:sz w:val="24"/>
          <w:highlight w:val="none"/>
          <w:u w:val="single"/>
        </w:rPr>
        <w:t xml:space="preserve">               </w:t>
      </w:r>
    </w:p>
    <w:p w14:paraId="05578855">
      <w:pPr>
        <w:wordWrap w:val="0"/>
        <w:adjustRightInd w:val="0"/>
        <w:snapToGrid w:val="0"/>
        <w:spacing w:line="480" w:lineRule="auto"/>
        <w:ind w:right="105" w:rightChars="50"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p>
    <w:p w14:paraId="7D47699A">
      <w:pPr>
        <w:adjustRightInd w:val="0"/>
        <w:snapToGrid w:val="0"/>
        <w:spacing w:line="360" w:lineRule="auto"/>
        <w:ind w:right="105" w:rightChars="50"/>
        <w:jc w:val="left"/>
        <w:outlineLvl w:val="1"/>
        <w:rPr>
          <w:rFonts w:hint="eastAsia" w:ascii="仿宋" w:hAnsi="仿宋" w:eastAsia="仿宋" w:cs="仿宋"/>
          <w:b/>
          <w:bCs/>
          <w:sz w:val="28"/>
          <w:szCs w:val="28"/>
          <w:highlight w:val="none"/>
        </w:rPr>
      </w:pPr>
      <w:r>
        <w:rPr>
          <w:rFonts w:hint="eastAsia" w:ascii="仿宋" w:hAnsi="仿宋" w:eastAsia="仿宋" w:cs="仿宋"/>
          <w:szCs w:val="21"/>
          <w:highlight w:val="none"/>
        </w:rPr>
        <w:br w:type="page"/>
      </w:r>
      <w:bookmarkStart w:id="101" w:name="_Toc4485640"/>
      <w:bookmarkStart w:id="102" w:name="_Hlk211090604"/>
      <w:bookmarkStart w:id="103" w:name="_Toc533340164"/>
      <w:r>
        <w:rPr>
          <w:rFonts w:hint="eastAsia" w:ascii="仿宋" w:hAnsi="仿宋" w:eastAsia="仿宋" w:cs="仿宋"/>
          <w:b/>
          <w:bCs/>
          <w:sz w:val="28"/>
          <w:szCs w:val="28"/>
          <w:highlight w:val="none"/>
        </w:rPr>
        <w:t>格式1</w:t>
      </w:r>
      <w:bookmarkEnd w:id="101"/>
      <w:bookmarkEnd w:id="102"/>
      <w:bookmarkEnd w:id="103"/>
      <w:r>
        <w:rPr>
          <w:rFonts w:hint="eastAsia" w:ascii="仿宋" w:hAnsi="仿宋" w:eastAsia="仿宋" w:cs="仿宋"/>
          <w:b/>
          <w:bCs/>
          <w:sz w:val="28"/>
          <w:szCs w:val="28"/>
          <w:highlight w:val="none"/>
        </w:rPr>
        <w:t>4</w:t>
      </w:r>
    </w:p>
    <w:p w14:paraId="0E9A5265">
      <w:pPr>
        <w:spacing w:beforeLines="100"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中小企业声明函（工程）</w:t>
      </w:r>
    </w:p>
    <w:p w14:paraId="7B88992D">
      <w:pPr>
        <w:widowControl/>
        <w:spacing w:line="360" w:lineRule="auto"/>
        <w:ind w:firstLine="420"/>
        <w:jc w:val="center"/>
        <w:rPr>
          <w:rFonts w:hint="eastAsia" w:ascii="仿宋" w:hAnsi="仿宋" w:eastAsia="仿宋" w:cs="仿宋"/>
          <w:kern w:val="0"/>
          <w:sz w:val="24"/>
          <w:highlight w:val="none"/>
        </w:rPr>
      </w:pPr>
      <w:r>
        <w:rPr>
          <w:rFonts w:hint="eastAsia" w:ascii="仿宋" w:hAnsi="仿宋" w:eastAsia="仿宋" w:cs="仿宋"/>
          <w:kern w:val="0"/>
          <w:sz w:val="24"/>
          <w:highlight w:val="none"/>
        </w:rPr>
        <w:t>本公司（联合体）郑重声明，根据《政府采购促进中小企业发展管理办法》（财库</w:t>
      </w:r>
      <w:r>
        <w:rPr>
          <w:rFonts w:hint="eastAsia" w:ascii="仿宋" w:hAnsi="仿宋" w:eastAsia="仿宋" w:cs="仿宋"/>
          <w:sz w:val="24"/>
          <w:highlight w:val="none"/>
        </w:rPr>
        <w:t>〔2020〕</w:t>
      </w:r>
      <w:r>
        <w:rPr>
          <w:rFonts w:hint="eastAsia" w:ascii="仿宋" w:hAnsi="仿宋" w:eastAsia="仿宋" w:cs="仿宋"/>
          <w:kern w:val="0"/>
          <w:sz w:val="24"/>
          <w:highlight w:val="none"/>
        </w:rPr>
        <w:t xml:space="preserve">46号）的规定，本公司（联合体）参加 </w:t>
      </w:r>
      <w:r>
        <w:rPr>
          <w:rFonts w:hint="eastAsia" w:ascii="仿宋" w:hAnsi="仿宋" w:eastAsia="仿宋" w:cs="仿宋"/>
          <w:kern w:val="0"/>
          <w:sz w:val="24"/>
          <w:highlight w:val="none"/>
          <w:u w:val="single"/>
        </w:rPr>
        <w:t>（单位名称）</w:t>
      </w:r>
      <w:r>
        <w:rPr>
          <w:rFonts w:hint="eastAsia" w:ascii="仿宋" w:hAnsi="仿宋" w:eastAsia="仿宋" w:cs="仿宋"/>
          <w:kern w:val="0"/>
          <w:sz w:val="24"/>
          <w:highlight w:val="none"/>
        </w:rPr>
        <w:t xml:space="preserve"> 的</w:t>
      </w:r>
      <w:r>
        <w:rPr>
          <w:rFonts w:hint="eastAsia" w:ascii="仿宋" w:hAnsi="仿宋" w:eastAsia="仿宋" w:cs="仿宋"/>
          <w:kern w:val="0"/>
          <w:sz w:val="24"/>
          <w:highlight w:val="none"/>
          <w:u w:val="single"/>
        </w:rPr>
        <w:t>（项目名称）</w:t>
      </w:r>
      <w:r>
        <w:rPr>
          <w:rFonts w:hint="eastAsia" w:ascii="仿宋" w:hAnsi="仿宋" w:eastAsia="仿宋" w:cs="仿宋"/>
          <w:kern w:val="0"/>
          <w:sz w:val="24"/>
          <w:highlight w:val="none"/>
        </w:rPr>
        <w:t>采购活动，工程的施工单位全部为符合政策要求的中小企业。相关企业（含联合体中的中小企业、签订分包意向协议的中小企业）的具体情况如下：</w:t>
      </w:r>
    </w:p>
    <w:p w14:paraId="6434631C">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w:t>
      </w:r>
      <w:r>
        <w:rPr>
          <w:rFonts w:hint="eastAsia" w:ascii="仿宋" w:hAnsi="仿宋" w:eastAsia="仿宋" w:cs="仿宋"/>
          <w:kern w:val="0"/>
          <w:sz w:val="24"/>
          <w:highlight w:val="none"/>
          <w:u w:val="single"/>
        </w:rPr>
        <w:t>（标的名称）</w:t>
      </w:r>
      <w:r>
        <w:rPr>
          <w:rFonts w:hint="eastAsia" w:ascii="仿宋" w:hAnsi="仿宋" w:eastAsia="仿宋" w:cs="仿宋"/>
          <w:kern w:val="0"/>
          <w:sz w:val="24"/>
          <w:highlight w:val="none"/>
        </w:rPr>
        <w:t>，属于</w:t>
      </w:r>
      <w:r>
        <w:rPr>
          <w:rFonts w:hint="eastAsia" w:ascii="仿宋" w:hAnsi="仿宋" w:eastAsia="仿宋" w:cs="仿宋"/>
          <w:kern w:val="0"/>
          <w:sz w:val="24"/>
          <w:highlight w:val="none"/>
          <w:u w:val="single"/>
        </w:rPr>
        <w:t>（</w:t>
      </w:r>
      <w:r>
        <w:rPr>
          <w:rFonts w:hint="eastAsia" w:ascii="仿宋" w:hAnsi="仿宋" w:eastAsia="仿宋" w:cs="仿宋"/>
          <w:sz w:val="24"/>
          <w:highlight w:val="none"/>
          <w:u w:val="single"/>
        </w:rPr>
        <w:t>采购文件中明确的所属行业</w:t>
      </w:r>
      <w:r>
        <w:rPr>
          <w:rFonts w:hint="eastAsia" w:ascii="仿宋" w:hAnsi="仿宋" w:eastAsia="仿宋" w:cs="仿宋"/>
          <w:kern w:val="0"/>
          <w:sz w:val="24"/>
          <w:highlight w:val="none"/>
          <w:u w:val="single"/>
        </w:rPr>
        <w:t>）</w:t>
      </w:r>
      <w:r>
        <w:rPr>
          <w:rFonts w:hint="eastAsia" w:ascii="仿宋" w:hAnsi="仿宋" w:eastAsia="仿宋" w:cs="仿宋"/>
          <w:kern w:val="0"/>
          <w:sz w:val="24"/>
          <w:highlight w:val="none"/>
        </w:rPr>
        <w:t>承建（承接）企业为</w:t>
      </w:r>
      <w:r>
        <w:rPr>
          <w:rFonts w:hint="eastAsia" w:ascii="仿宋" w:hAnsi="仿宋" w:eastAsia="仿宋" w:cs="仿宋"/>
          <w:kern w:val="0"/>
          <w:sz w:val="24"/>
          <w:highlight w:val="none"/>
          <w:u w:val="single"/>
        </w:rPr>
        <w:t>（企业名称）</w:t>
      </w:r>
      <w:r>
        <w:rPr>
          <w:rFonts w:hint="eastAsia" w:ascii="仿宋" w:hAnsi="仿宋" w:eastAsia="仿宋" w:cs="仿宋"/>
          <w:kern w:val="0"/>
          <w:sz w:val="24"/>
          <w:highlight w:val="none"/>
        </w:rPr>
        <w:t>，从业人员</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人，营业收入为</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万元，资产总额为</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万元</w:t>
      </w:r>
      <w:r>
        <w:rPr>
          <w:rFonts w:hint="eastAsia" w:ascii="仿宋" w:hAnsi="仿宋" w:eastAsia="仿宋" w:cs="仿宋"/>
          <w:kern w:val="0"/>
          <w:sz w:val="24"/>
          <w:highlight w:val="none"/>
          <w:vertAlign w:val="superscript"/>
        </w:rPr>
        <w:t>1</w:t>
      </w:r>
      <w:r>
        <w:rPr>
          <w:rFonts w:hint="eastAsia" w:ascii="仿宋" w:hAnsi="仿宋" w:eastAsia="仿宋" w:cs="仿宋"/>
          <w:kern w:val="0"/>
          <w:sz w:val="24"/>
          <w:highlight w:val="none"/>
        </w:rPr>
        <w:t>，属于（</w:t>
      </w:r>
      <w:r>
        <w:rPr>
          <w:rFonts w:hint="eastAsia" w:ascii="仿宋" w:hAnsi="仿宋" w:eastAsia="仿宋" w:cs="仿宋"/>
          <w:kern w:val="0"/>
          <w:sz w:val="24"/>
          <w:highlight w:val="none"/>
          <w:u w:val="single"/>
        </w:rPr>
        <w:t>中型企业、小型企业、微型企业）</w:t>
      </w:r>
      <w:r>
        <w:rPr>
          <w:rFonts w:hint="eastAsia" w:ascii="仿宋" w:hAnsi="仿宋" w:eastAsia="仿宋" w:cs="仿宋"/>
          <w:kern w:val="0"/>
          <w:sz w:val="24"/>
          <w:highlight w:val="none"/>
        </w:rPr>
        <w:t>；</w:t>
      </w:r>
    </w:p>
    <w:p w14:paraId="48E7F857">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w:t>
      </w:r>
      <w:r>
        <w:rPr>
          <w:rFonts w:hint="eastAsia" w:ascii="仿宋" w:hAnsi="仿宋" w:eastAsia="仿宋" w:cs="仿宋"/>
          <w:kern w:val="0"/>
          <w:sz w:val="24"/>
          <w:highlight w:val="none"/>
          <w:u w:val="single"/>
        </w:rPr>
        <w:t>（标的名称）</w:t>
      </w:r>
      <w:r>
        <w:rPr>
          <w:rFonts w:hint="eastAsia" w:ascii="仿宋" w:hAnsi="仿宋" w:eastAsia="仿宋" w:cs="仿宋"/>
          <w:kern w:val="0"/>
          <w:sz w:val="24"/>
          <w:highlight w:val="none"/>
        </w:rPr>
        <w:t>，属于</w:t>
      </w:r>
      <w:r>
        <w:rPr>
          <w:rFonts w:hint="eastAsia" w:ascii="仿宋" w:hAnsi="仿宋" w:eastAsia="仿宋" w:cs="仿宋"/>
          <w:kern w:val="0"/>
          <w:sz w:val="24"/>
          <w:highlight w:val="none"/>
          <w:u w:val="single"/>
        </w:rPr>
        <w:t>（</w:t>
      </w:r>
      <w:r>
        <w:rPr>
          <w:rFonts w:hint="eastAsia" w:ascii="仿宋" w:hAnsi="仿宋" w:eastAsia="仿宋" w:cs="仿宋"/>
          <w:sz w:val="24"/>
          <w:highlight w:val="none"/>
          <w:u w:val="single"/>
        </w:rPr>
        <w:t>采购文件中明确的所属行业</w:t>
      </w:r>
      <w:r>
        <w:rPr>
          <w:rFonts w:hint="eastAsia" w:ascii="仿宋" w:hAnsi="仿宋" w:eastAsia="仿宋" w:cs="仿宋"/>
          <w:kern w:val="0"/>
          <w:sz w:val="24"/>
          <w:highlight w:val="none"/>
          <w:u w:val="single"/>
        </w:rPr>
        <w:t>）</w:t>
      </w:r>
      <w:r>
        <w:rPr>
          <w:rFonts w:hint="eastAsia" w:ascii="仿宋" w:hAnsi="仿宋" w:eastAsia="仿宋" w:cs="仿宋"/>
          <w:kern w:val="0"/>
          <w:sz w:val="24"/>
          <w:highlight w:val="none"/>
        </w:rPr>
        <w:t>承建（承接）企业为</w:t>
      </w:r>
      <w:r>
        <w:rPr>
          <w:rFonts w:hint="eastAsia" w:ascii="仿宋" w:hAnsi="仿宋" w:eastAsia="仿宋" w:cs="仿宋"/>
          <w:kern w:val="0"/>
          <w:sz w:val="24"/>
          <w:highlight w:val="none"/>
          <w:u w:val="single"/>
        </w:rPr>
        <w:t>（企业名称）</w:t>
      </w:r>
      <w:r>
        <w:rPr>
          <w:rFonts w:hint="eastAsia" w:ascii="仿宋" w:hAnsi="仿宋" w:eastAsia="仿宋" w:cs="仿宋"/>
          <w:kern w:val="0"/>
          <w:sz w:val="24"/>
          <w:highlight w:val="none"/>
        </w:rPr>
        <w:t>，从业人员</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人，营业收入为</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万元，资产总额为</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万元，属于（</w:t>
      </w:r>
      <w:r>
        <w:rPr>
          <w:rFonts w:hint="eastAsia" w:ascii="仿宋" w:hAnsi="仿宋" w:eastAsia="仿宋" w:cs="仿宋"/>
          <w:kern w:val="0"/>
          <w:sz w:val="24"/>
          <w:highlight w:val="none"/>
          <w:u w:val="single"/>
        </w:rPr>
        <w:t>中型企业、小型企业、微型企业）</w:t>
      </w:r>
      <w:r>
        <w:rPr>
          <w:rFonts w:hint="eastAsia" w:ascii="仿宋" w:hAnsi="仿宋" w:eastAsia="仿宋" w:cs="仿宋"/>
          <w:kern w:val="0"/>
          <w:sz w:val="24"/>
          <w:highlight w:val="none"/>
        </w:rPr>
        <w:t>；</w:t>
      </w:r>
    </w:p>
    <w:p w14:paraId="334F4973">
      <w:pPr>
        <w:autoSpaceDN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w:t>
      </w:r>
    </w:p>
    <w:p w14:paraId="78C150DD">
      <w:pPr>
        <w:autoSpaceDN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以上企业，不属于大企业的分支机构，不存在控股股东为大企业的情形，也不存在与大企业的负责人为同一人的情形。</w:t>
      </w:r>
    </w:p>
    <w:p w14:paraId="582BFA1B">
      <w:pPr>
        <w:autoSpaceDN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本企业对上述声明内容的真实性负责。如有虚假，将依法承担相应责任。</w:t>
      </w:r>
    </w:p>
    <w:p w14:paraId="1DC26921">
      <w:pPr>
        <w:autoSpaceDN w:val="0"/>
        <w:spacing w:line="440" w:lineRule="exact"/>
        <w:ind w:firstLine="480" w:firstLineChars="200"/>
        <w:rPr>
          <w:rFonts w:hint="eastAsia" w:ascii="仿宋" w:hAnsi="仿宋" w:eastAsia="仿宋" w:cs="仿宋"/>
          <w:sz w:val="24"/>
          <w:highlight w:val="none"/>
        </w:rPr>
      </w:pPr>
    </w:p>
    <w:p w14:paraId="64702CE7">
      <w:pPr>
        <w:ind w:firstLine="480" w:firstLineChars="200"/>
        <w:rPr>
          <w:rFonts w:hint="eastAsia" w:ascii="仿宋" w:hAnsi="仿宋" w:eastAsia="仿宋" w:cs="仿宋"/>
          <w:sz w:val="24"/>
          <w:highlight w:val="none"/>
        </w:rPr>
      </w:pPr>
    </w:p>
    <w:p w14:paraId="61BBD9DB">
      <w:pPr>
        <w:ind w:firstLine="480" w:firstLineChars="200"/>
        <w:rPr>
          <w:rFonts w:hint="eastAsia" w:ascii="仿宋" w:hAnsi="仿宋" w:eastAsia="仿宋" w:cs="仿宋"/>
          <w:sz w:val="24"/>
          <w:highlight w:val="none"/>
        </w:rPr>
      </w:pPr>
    </w:p>
    <w:p w14:paraId="40358DA9">
      <w:pPr>
        <w:autoSpaceDN w:val="0"/>
        <w:spacing w:line="440" w:lineRule="exact"/>
        <w:ind w:firstLine="480" w:firstLineChars="200"/>
        <w:rPr>
          <w:rFonts w:hint="eastAsia" w:ascii="仿宋" w:hAnsi="仿宋" w:eastAsia="仿宋" w:cs="仿宋"/>
          <w:sz w:val="24"/>
          <w:highlight w:val="none"/>
        </w:rPr>
      </w:pPr>
    </w:p>
    <w:p w14:paraId="0320F180">
      <w:pPr>
        <w:adjustRightInd w:val="0"/>
        <w:snapToGrid w:val="0"/>
        <w:spacing w:line="480" w:lineRule="auto"/>
        <w:ind w:right="105" w:rightChars="50"/>
        <w:rPr>
          <w:rFonts w:hint="eastAsia" w:ascii="仿宋" w:hAnsi="仿宋" w:eastAsia="仿宋" w:cs="仿宋"/>
          <w:sz w:val="24"/>
          <w:highlight w:val="none"/>
          <w:u w:val="single"/>
        </w:rPr>
      </w:pPr>
      <w:r>
        <w:rPr>
          <w:rFonts w:hint="eastAsia" w:ascii="仿宋" w:hAnsi="仿宋" w:eastAsia="仿宋" w:cs="仿宋"/>
          <w:sz w:val="24"/>
          <w:highlight w:val="none"/>
        </w:rPr>
        <w:t>企业名称（加盖单位公章）：</w:t>
      </w:r>
      <w:r>
        <w:rPr>
          <w:rFonts w:hint="eastAsia" w:ascii="仿宋" w:hAnsi="仿宋" w:eastAsia="仿宋" w:cs="仿宋"/>
          <w:sz w:val="24"/>
          <w:highlight w:val="none"/>
          <w:u w:val="single"/>
        </w:rPr>
        <w:t xml:space="preserve">               </w:t>
      </w:r>
    </w:p>
    <w:p w14:paraId="20A8CD64">
      <w:pPr>
        <w:adjustRightInd w:val="0"/>
        <w:snapToGrid w:val="0"/>
        <w:spacing w:line="480" w:lineRule="auto"/>
        <w:ind w:right="105" w:rightChars="50"/>
        <w:rPr>
          <w:rFonts w:hint="eastAsia" w:ascii="仿宋" w:hAnsi="仿宋" w:eastAsia="仿宋" w:cs="仿宋"/>
          <w:sz w:val="24"/>
          <w:highlight w:val="none"/>
          <w:u w:val="singl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p>
    <w:p w14:paraId="300D2514">
      <w:pPr>
        <w:spacing w:after="120"/>
        <w:ind w:left="420" w:leftChars="200" w:firstLine="480" w:firstLineChars="200"/>
        <w:rPr>
          <w:rFonts w:hint="eastAsia" w:ascii="仿宋" w:hAnsi="仿宋" w:eastAsia="仿宋" w:cs="仿宋"/>
          <w:sz w:val="24"/>
          <w:highlight w:val="none"/>
        </w:rPr>
      </w:pPr>
    </w:p>
    <w:p w14:paraId="6BE09FB7">
      <w:pPr>
        <w:spacing w:after="120"/>
        <w:jc w:val="left"/>
        <w:rPr>
          <w:rFonts w:hint="eastAsia" w:ascii="仿宋" w:hAnsi="仿宋" w:eastAsia="仿宋" w:cs="仿宋"/>
          <w:sz w:val="24"/>
          <w:highlight w:val="none"/>
        </w:rPr>
      </w:pPr>
    </w:p>
    <w:p w14:paraId="4190C454">
      <w:pPr>
        <w:adjustRightInd w:val="0"/>
        <w:snapToGrid w:val="0"/>
        <w:spacing w:line="480" w:lineRule="auto"/>
        <w:ind w:right="105" w:rightChars="50"/>
        <w:rPr>
          <w:rFonts w:hint="eastAsia" w:ascii="仿宋" w:hAnsi="仿宋" w:eastAsia="仿宋" w:cs="仿宋"/>
          <w:highlight w:val="none"/>
        </w:rPr>
      </w:pPr>
      <w:r>
        <w:rPr>
          <w:rFonts w:hint="eastAsia" w:ascii="仿宋" w:hAnsi="仿宋" w:eastAsia="仿宋" w:cs="仿宋"/>
          <w:bCs/>
          <w:sz w:val="24"/>
          <w:highlight w:val="none"/>
        </w:rPr>
        <w:t>注：1从业人员、营业收入、资产总额填报上一年度数据，无上一年度数据的新成立企业可不填报。</w:t>
      </w:r>
    </w:p>
    <w:p w14:paraId="13937392">
      <w:pPr>
        <w:adjustRightInd w:val="0"/>
        <w:snapToGrid w:val="0"/>
        <w:spacing w:line="312" w:lineRule="auto"/>
        <w:rPr>
          <w:rFonts w:hint="eastAsia" w:ascii="仿宋" w:hAnsi="仿宋" w:eastAsia="仿宋" w:cs="仿宋"/>
          <w:b/>
          <w:sz w:val="24"/>
          <w:highlight w:val="none"/>
        </w:rPr>
      </w:pPr>
      <w:r>
        <w:rPr>
          <w:rFonts w:hint="eastAsia" w:ascii="仿宋" w:hAnsi="仿宋" w:eastAsia="仿宋" w:cs="仿宋"/>
          <w:b/>
          <w:sz w:val="24"/>
          <w:highlight w:val="none"/>
        </w:rPr>
        <w:t>填表说明：</w:t>
      </w:r>
    </w:p>
    <w:p w14:paraId="0036BCD3">
      <w:pPr>
        <w:autoSpaceDN w:val="0"/>
        <w:adjustRightInd w:val="0"/>
        <w:snapToGrid w:val="0"/>
        <w:spacing w:line="312" w:lineRule="auto"/>
        <w:ind w:left="424" w:leftChars="202"/>
        <w:rPr>
          <w:rFonts w:hint="eastAsia" w:ascii="仿宋" w:hAnsi="仿宋" w:eastAsia="仿宋" w:cs="仿宋"/>
          <w:sz w:val="24"/>
          <w:highlight w:val="none"/>
        </w:rPr>
      </w:pPr>
      <w:r>
        <w:rPr>
          <w:rFonts w:hint="eastAsia" w:ascii="仿宋" w:hAnsi="仿宋" w:eastAsia="仿宋" w:cs="仿宋"/>
          <w:b/>
          <w:sz w:val="24"/>
          <w:highlight w:val="none"/>
        </w:rPr>
        <w:t>1.标的名称：</w:t>
      </w:r>
      <w:r>
        <w:rPr>
          <w:rFonts w:hint="eastAsia" w:ascii="仿宋" w:hAnsi="仿宋" w:eastAsia="仿宋" w:cs="仿宋"/>
          <w:sz w:val="24"/>
          <w:highlight w:val="none"/>
        </w:rPr>
        <w:t>01标的：</w:t>
      </w:r>
      <w:r>
        <w:rPr>
          <w:rFonts w:hint="eastAsia" w:ascii="仿宋" w:hAnsi="仿宋" w:eastAsia="仿宋" w:cs="仿宋"/>
          <w:sz w:val="24"/>
          <w:highlight w:val="none"/>
          <w:u w:val="single"/>
        </w:rPr>
        <w:t>新庄子镇曹家村、南马村、九道村、新庄子村、姜木村、李坨村联合发展修建冷库项目-设备、10KV配电、配套工程</w:t>
      </w:r>
      <w:r>
        <w:rPr>
          <w:rFonts w:hint="eastAsia" w:ascii="仿宋" w:hAnsi="仿宋" w:eastAsia="仿宋" w:cs="仿宋"/>
          <w:sz w:val="24"/>
          <w:highlight w:val="none"/>
        </w:rPr>
        <w:t>；</w:t>
      </w:r>
    </w:p>
    <w:p w14:paraId="08822D7D">
      <w:pPr>
        <w:autoSpaceDN w:val="0"/>
        <w:adjustRightInd w:val="0"/>
        <w:snapToGrid w:val="0"/>
        <w:spacing w:line="312" w:lineRule="auto"/>
        <w:ind w:left="424" w:leftChars="202"/>
        <w:rPr>
          <w:rFonts w:hint="eastAsia" w:ascii="仿宋" w:hAnsi="仿宋" w:eastAsia="仿宋" w:cs="仿宋"/>
          <w:b/>
          <w:sz w:val="24"/>
          <w:highlight w:val="none"/>
        </w:rPr>
      </w:pPr>
      <w:r>
        <w:rPr>
          <w:rFonts w:hint="eastAsia" w:ascii="仿宋" w:hAnsi="仿宋" w:eastAsia="仿宋" w:cs="仿宋"/>
          <w:b/>
          <w:sz w:val="24"/>
          <w:highlight w:val="none"/>
        </w:rPr>
        <w:t>2.所属行业：</w:t>
      </w:r>
    </w:p>
    <w:p w14:paraId="5D659100">
      <w:pPr>
        <w:autoSpaceDN w:val="0"/>
        <w:adjustRightInd w:val="0"/>
        <w:snapToGrid w:val="0"/>
        <w:spacing w:line="312" w:lineRule="auto"/>
        <w:ind w:firstLine="482" w:firstLineChars="200"/>
        <w:rPr>
          <w:rFonts w:hint="eastAsia" w:ascii="仿宋" w:hAnsi="仿宋" w:eastAsia="仿宋" w:cs="仿宋"/>
          <w:sz w:val="24"/>
          <w:highlight w:val="none"/>
        </w:rPr>
      </w:pPr>
      <w:r>
        <w:rPr>
          <w:rFonts w:hint="eastAsia" w:ascii="仿宋" w:hAnsi="仿宋" w:eastAsia="仿宋" w:cs="仿宋"/>
          <w:b/>
          <w:sz w:val="24"/>
          <w:highlight w:val="none"/>
        </w:rPr>
        <w:t>001标的：</w:t>
      </w:r>
      <w:r>
        <w:rPr>
          <w:rFonts w:hint="eastAsia" w:ascii="仿宋" w:hAnsi="仿宋" w:eastAsia="仿宋" w:cs="仿宋"/>
          <w:sz w:val="24"/>
          <w:highlight w:val="none"/>
        </w:rPr>
        <w:t>所属行业为《工业和信息化部、国家统计局、国家发展和改革委员会、财政部关于印发中小企业划型标准规定的通知》（工信部联企业〔2011〕300号）中规定的</w:t>
      </w:r>
      <w:r>
        <w:rPr>
          <w:rFonts w:hint="eastAsia" w:ascii="仿宋" w:hAnsi="仿宋" w:eastAsia="仿宋" w:cs="仿宋"/>
          <w:b/>
          <w:bCs/>
          <w:sz w:val="24"/>
          <w:highlight w:val="none"/>
        </w:rPr>
        <w:t>“</w:t>
      </w:r>
      <w:r>
        <w:rPr>
          <w:rFonts w:hint="eastAsia" w:ascii="仿宋" w:hAnsi="仿宋" w:eastAsia="仿宋" w:cs="仿宋"/>
          <w:b/>
          <w:bCs/>
          <w:sz w:val="24"/>
          <w:highlight w:val="none"/>
          <w:u w:val="single"/>
        </w:rPr>
        <w:t xml:space="preserve"> 建筑业 </w:t>
      </w:r>
      <w:r>
        <w:rPr>
          <w:rFonts w:hint="eastAsia" w:ascii="仿宋" w:hAnsi="仿宋" w:eastAsia="仿宋" w:cs="仿宋"/>
          <w:b/>
          <w:bCs/>
          <w:sz w:val="24"/>
          <w:highlight w:val="none"/>
        </w:rPr>
        <w:t>”</w:t>
      </w:r>
      <w:r>
        <w:rPr>
          <w:rFonts w:hint="eastAsia" w:ascii="仿宋" w:hAnsi="仿宋" w:eastAsia="仿宋" w:cs="仿宋"/>
          <w:sz w:val="24"/>
          <w:highlight w:val="none"/>
        </w:rPr>
        <w:t>；</w:t>
      </w:r>
    </w:p>
    <w:p w14:paraId="751CDEB2">
      <w:pPr>
        <w:autoSpaceDN w:val="0"/>
        <w:adjustRightInd w:val="0"/>
        <w:snapToGrid w:val="0"/>
        <w:spacing w:line="312" w:lineRule="auto"/>
        <w:ind w:left="424" w:leftChars="202"/>
        <w:rPr>
          <w:rFonts w:hint="eastAsia" w:ascii="仿宋" w:hAnsi="仿宋" w:eastAsia="仿宋" w:cs="仿宋"/>
          <w:b/>
          <w:sz w:val="24"/>
          <w:highlight w:val="none"/>
        </w:rPr>
      </w:pPr>
      <w:r>
        <w:rPr>
          <w:rFonts w:hint="eastAsia" w:ascii="仿宋" w:hAnsi="仿宋" w:eastAsia="仿宋" w:cs="仿宋"/>
          <w:b/>
          <w:sz w:val="24"/>
          <w:highlight w:val="none"/>
        </w:rPr>
        <w:t>3.落款处企业名称（盖章）：此处的企业名称是指参与本次采购活动的供应商名称。</w:t>
      </w:r>
    </w:p>
    <w:p w14:paraId="0685F6F7">
      <w:pPr>
        <w:autoSpaceDN w:val="0"/>
        <w:adjustRightInd w:val="0"/>
        <w:snapToGrid w:val="0"/>
        <w:spacing w:line="312" w:lineRule="auto"/>
        <w:ind w:left="424" w:leftChars="202"/>
        <w:rPr>
          <w:rFonts w:hint="eastAsia" w:ascii="仿宋" w:hAnsi="仿宋" w:eastAsia="仿宋" w:cs="仿宋"/>
          <w:b/>
          <w:sz w:val="24"/>
          <w:highlight w:val="none"/>
        </w:rPr>
      </w:pPr>
      <w:r>
        <w:rPr>
          <w:rFonts w:hint="eastAsia" w:ascii="仿宋" w:hAnsi="仿宋" w:eastAsia="仿宋" w:cs="仿宋"/>
          <w:b/>
          <w:sz w:val="24"/>
          <w:highlight w:val="none"/>
        </w:rPr>
        <w:t>4.从业人员、营业收入、资产总额填报上一年度数据，无上一年度数据的新成立企业可不填报。</w:t>
      </w:r>
    </w:p>
    <w:p w14:paraId="5C09DDA5">
      <w:pPr>
        <w:autoSpaceDN w:val="0"/>
        <w:adjustRightInd w:val="0"/>
        <w:snapToGrid w:val="0"/>
        <w:spacing w:line="312" w:lineRule="auto"/>
        <w:ind w:left="424" w:leftChars="202"/>
        <w:rPr>
          <w:rFonts w:hint="eastAsia" w:ascii="仿宋" w:hAnsi="仿宋" w:eastAsia="仿宋" w:cs="仿宋"/>
          <w:b/>
          <w:sz w:val="24"/>
          <w:highlight w:val="none"/>
        </w:rPr>
      </w:pPr>
      <w:r>
        <w:rPr>
          <w:rFonts w:hint="eastAsia" w:ascii="仿宋" w:hAnsi="仿宋" w:eastAsia="仿宋" w:cs="仿宋"/>
          <w:b/>
          <w:sz w:val="24"/>
          <w:highlight w:val="none"/>
        </w:rPr>
        <w:t>5.企业类型：</w:t>
      </w:r>
    </w:p>
    <w:p w14:paraId="7B8743E6">
      <w:pPr>
        <w:pStyle w:val="111"/>
        <w:adjustRightInd w:val="0"/>
        <w:snapToGrid w:val="0"/>
        <w:spacing w:line="312" w:lineRule="auto"/>
        <w:ind w:left="426" w:firstLine="0" w:firstLineChars="0"/>
        <w:jc w:val="left"/>
        <w:rPr>
          <w:rFonts w:hint="eastAsia" w:ascii="仿宋" w:hAnsi="仿宋" w:eastAsia="仿宋" w:cs="仿宋"/>
          <w:sz w:val="24"/>
          <w:highlight w:val="none"/>
        </w:rPr>
      </w:pPr>
      <w:r>
        <w:rPr>
          <w:rFonts w:hint="eastAsia" w:ascii="仿宋" w:hAnsi="仿宋" w:eastAsia="仿宋" w:cs="仿宋"/>
          <w:sz w:val="24"/>
          <w:highlight w:val="none"/>
        </w:rPr>
        <w:t>（1）供应商需在中型企业、小型企业、微型企业中选择其中一类进行填报；</w:t>
      </w:r>
    </w:p>
    <w:p w14:paraId="3DF3A597">
      <w:pPr>
        <w:adjustRightInd w:val="0"/>
        <w:snapToGrid w:val="0"/>
        <w:spacing w:line="312"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（2）企业划型标准依据《关于印发中小企业划型标准规定的通知》（工信部联企业〔2011〕300号）、《国家统计局关于印发〈统计上大中小微型企业划分办法（2017）〉的通知》（国统字〔2017〕213号）文件执行。</w:t>
      </w:r>
    </w:p>
    <w:p w14:paraId="574440D3">
      <w:pPr>
        <w:adjustRightInd w:val="0"/>
        <w:snapToGrid w:val="0"/>
        <w:spacing w:line="312" w:lineRule="auto"/>
        <w:jc w:val="left"/>
        <w:outlineLvl w:val="1"/>
        <w:rPr>
          <w:rFonts w:hint="eastAsia" w:ascii="仿宋" w:hAnsi="仿宋" w:eastAsia="仿宋" w:cs="仿宋"/>
          <w:b/>
          <w:bCs/>
          <w:sz w:val="28"/>
          <w:szCs w:val="28"/>
          <w:highlight w:val="none"/>
        </w:rPr>
      </w:pPr>
      <w:r>
        <w:rPr>
          <w:rFonts w:hint="eastAsia" w:ascii="仿宋" w:hAnsi="仿宋" w:eastAsia="仿宋" w:cs="仿宋"/>
          <w:b/>
          <w:sz w:val="24"/>
          <w:highlight w:val="none"/>
        </w:rPr>
        <w:br w:type="page"/>
      </w:r>
      <w:r>
        <w:rPr>
          <w:rFonts w:hint="eastAsia" w:ascii="仿宋" w:hAnsi="仿宋" w:eastAsia="仿宋" w:cs="仿宋"/>
          <w:b/>
          <w:bCs/>
          <w:sz w:val="28"/>
          <w:szCs w:val="28"/>
          <w:highlight w:val="none"/>
        </w:rPr>
        <w:t>格式15</w:t>
      </w:r>
    </w:p>
    <w:p w14:paraId="67D4C225">
      <w:pPr>
        <w:adjustRightInd w:val="0"/>
        <w:snapToGrid w:val="0"/>
        <w:spacing w:beforeLines="100" w:afterLines="100" w:line="360" w:lineRule="auto"/>
        <w:ind w:right="105" w:rightChars="50"/>
        <w:jc w:val="center"/>
        <w:rPr>
          <w:rFonts w:hint="eastAsia" w:ascii="仿宋" w:hAnsi="仿宋" w:eastAsia="仿宋" w:cs="仿宋"/>
          <w:b/>
          <w:bCs/>
          <w:sz w:val="32"/>
          <w:szCs w:val="32"/>
          <w:highlight w:val="none"/>
        </w:rPr>
      </w:pPr>
      <w:bookmarkStart w:id="104" w:name="_Toc29880_WPSOffice_Level2"/>
      <w:bookmarkStart w:id="105" w:name="_Toc13566_WPSOffice_Level2"/>
      <w:r>
        <w:rPr>
          <w:rFonts w:hint="eastAsia" w:ascii="仿宋" w:hAnsi="仿宋" w:eastAsia="仿宋" w:cs="仿宋"/>
          <w:b/>
          <w:bCs/>
          <w:sz w:val="32"/>
          <w:szCs w:val="32"/>
          <w:highlight w:val="none"/>
        </w:rPr>
        <w:t>残疾人福利性单位声明函</w:t>
      </w:r>
      <w:bookmarkEnd w:id="104"/>
      <w:bookmarkEnd w:id="105"/>
    </w:p>
    <w:p w14:paraId="3045A894">
      <w:pPr>
        <w:adjustRightInd w:val="0"/>
        <w:snapToGrid w:val="0"/>
        <w:spacing w:line="360" w:lineRule="auto"/>
        <w:ind w:right="105" w:rightChars="50" w:firstLine="544" w:firstLineChars="227"/>
        <w:jc w:val="left"/>
        <w:rPr>
          <w:rFonts w:hint="eastAsia" w:ascii="仿宋" w:hAnsi="仿宋" w:eastAsia="仿宋" w:cs="仿宋"/>
          <w:sz w:val="24"/>
          <w:highlight w:val="none"/>
        </w:rPr>
      </w:pPr>
      <w:r>
        <w:rPr>
          <w:rFonts w:hint="eastAsia" w:ascii="仿宋" w:hAnsi="仿宋" w:eastAsia="仿宋" w:cs="仿宋"/>
          <w:sz w:val="24"/>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单位的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项目采购活动，提供本单位制造的货物（由本单位承担工程/提供服务），或者提供其他残疾人福利性单位制造的货物（不包括使用非残疾人福利性单位注册商标的货物）</w:t>
      </w:r>
    </w:p>
    <w:p w14:paraId="51DADEC0">
      <w:pPr>
        <w:adjustRightInd w:val="0"/>
        <w:snapToGrid w:val="0"/>
        <w:spacing w:line="360" w:lineRule="auto"/>
        <w:ind w:right="105" w:rightChars="50" w:firstLine="544" w:firstLineChars="227"/>
        <w:jc w:val="left"/>
        <w:rPr>
          <w:rFonts w:hint="eastAsia" w:ascii="仿宋" w:hAnsi="仿宋" w:eastAsia="仿宋" w:cs="仿宋"/>
          <w:sz w:val="24"/>
          <w:highlight w:val="none"/>
        </w:rPr>
      </w:pPr>
      <w:r>
        <w:rPr>
          <w:rFonts w:hint="eastAsia" w:ascii="仿宋" w:hAnsi="仿宋" w:eastAsia="仿宋" w:cs="仿宋"/>
          <w:sz w:val="24"/>
          <w:highlight w:val="none"/>
        </w:rPr>
        <w:t>本单位对上述声明的真实性负责。如有虚假，将依法承担相应责任。</w:t>
      </w:r>
    </w:p>
    <w:p w14:paraId="50C9DDFB">
      <w:pPr>
        <w:adjustRightInd w:val="0"/>
        <w:snapToGrid w:val="0"/>
        <w:spacing w:line="360" w:lineRule="auto"/>
        <w:ind w:right="105" w:rightChars="50" w:firstLine="544" w:firstLineChars="227"/>
        <w:jc w:val="left"/>
        <w:rPr>
          <w:rFonts w:hint="eastAsia" w:ascii="仿宋" w:hAnsi="仿宋" w:eastAsia="仿宋" w:cs="仿宋"/>
          <w:sz w:val="24"/>
          <w:highlight w:val="none"/>
        </w:rPr>
      </w:pPr>
    </w:p>
    <w:p w14:paraId="740583ED">
      <w:pPr>
        <w:adjustRightInd w:val="0"/>
        <w:snapToGrid w:val="0"/>
        <w:spacing w:line="360" w:lineRule="auto"/>
        <w:ind w:right="105" w:rightChars="50" w:firstLine="547" w:firstLineChars="227"/>
        <w:jc w:val="left"/>
        <w:rPr>
          <w:rFonts w:hint="eastAsia" w:ascii="仿宋" w:hAnsi="仿宋" w:eastAsia="仿宋" w:cs="仿宋"/>
          <w:b/>
          <w:sz w:val="24"/>
          <w:highlight w:val="none"/>
        </w:rPr>
      </w:pPr>
      <w:r>
        <w:rPr>
          <w:rFonts w:hint="eastAsia" w:ascii="仿宋" w:hAnsi="仿宋" w:eastAsia="仿宋" w:cs="仿宋"/>
          <w:b/>
          <w:sz w:val="24"/>
          <w:highlight w:val="none"/>
        </w:rPr>
        <w:t>注：供应商为非残疾人福利性单位的，无需填写此声明函。</w:t>
      </w:r>
    </w:p>
    <w:p w14:paraId="5F7898A6">
      <w:pPr>
        <w:adjustRightInd w:val="0"/>
        <w:snapToGrid w:val="0"/>
        <w:spacing w:line="360" w:lineRule="auto"/>
        <w:ind w:right="105" w:rightChars="50"/>
        <w:jc w:val="left"/>
        <w:rPr>
          <w:rFonts w:hint="eastAsia" w:ascii="仿宋" w:hAnsi="仿宋" w:eastAsia="仿宋" w:cs="仿宋"/>
          <w:sz w:val="24"/>
          <w:highlight w:val="none"/>
        </w:rPr>
      </w:pPr>
    </w:p>
    <w:p w14:paraId="0C4C8490">
      <w:pPr>
        <w:adjustRightInd w:val="0"/>
        <w:snapToGrid w:val="0"/>
        <w:spacing w:line="360" w:lineRule="auto"/>
        <w:ind w:right="105" w:rightChars="50"/>
        <w:jc w:val="left"/>
        <w:rPr>
          <w:rFonts w:hint="eastAsia" w:ascii="仿宋" w:hAnsi="仿宋" w:eastAsia="仿宋" w:cs="仿宋"/>
          <w:sz w:val="24"/>
          <w:highlight w:val="none"/>
        </w:rPr>
      </w:pPr>
    </w:p>
    <w:p w14:paraId="4945F2D2">
      <w:pPr>
        <w:adjustRightInd w:val="0"/>
        <w:snapToGrid w:val="0"/>
        <w:spacing w:line="360" w:lineRule="auto"/>
        <w:ind w:right="105" w:rightChars="50"/>
        <w:jc w:val="left"/>
        <w:rPr>
          <w:rFonts w:hint="eastAsia" w:ascii="仿宋" w:hAnsi="仿宋" w:eastAsia="仿宋" w:cs="仿宋"/>
          <w:sz w:val="24"/>
          <w:highlight w:val="none"/>
        </w:rPr>
      </w:pPr>
    </w:p>
    <w:p w14:paraId="396734A0">
      <w:pPr>
        <w:adjustRightInd w:val="0"/>
        <w:snapToGrid w:val="0"/>
        <w:spacing w:line="360" w:lineRule="auto"/>
        <w:ind w:right="105" w:rightChars="50"/>
        <w:jc w:val="left"/>
        <w:rPr>
          <w:rFonts w:hint="eastAsia" w:ascii="仿宋" w:hAnsi="仿宋" w:eastAsia="仿宋" w:cs="仿宋"/>
          <w:sz w:val="24"/>
          <w:highlight w:val="none"/>
        </w:rPr>
      </w:pPr>
    </w:p>
    <w:p w14:paraId="3BC8D943">
      <w:pPr>
        <w:adjustRightInd w:val="0"/>
        <w:snapToGrid w:val="0"/>
        <w:spacing w:line="480" w:lineRule="auto"/>
        <w:ind w:right="105" w:rightChars="50"/>
        <w:jc w:val="right"/>
        <w:rPr>
          <w:rFonts w:hint="eastAsia" w:ascii="仿宋" w:hAnsi="仿宋" w:eastAsia="仿宋" w:cs="仿宋"/>
          <w:sz w:val="24"/>
          <w:highlight w:val="none"/>
        </w:rPr>
      </w:pPr>
      <w:r>
        <w:rPr>
          <w:rFonts w:hint="eastAsia" w:ascii="仿宋" w:hAnsi="仿宋" w:eastAsia="仿宋" w:cs="仿宋"/>
          <w:sz w:val="24"/>
          <w:highlight w:val="none"/>
        </w:rPr>
        <w:t>供应商名称（加盖单位公章）：</w:t>
      </w:r>
      <w:r>
        <w:rPr>
          <w:rFonts w:hint="eastAsia" w:ascii="仿宋" w:hAnsi="仿宋" w:eastAsia="仿宋" w:cs="仿宋"/>
          <w:sz w:val="24"/>
          <w:highlight w:val="none"/>
          <w:u w:val="single"/>
        </w:rPr>
        <w:t xml:space="preserve">              </w:t>
      </w:r>
    </w:p>
    <w:p w14:paraId="576EDD3C">
      <w:pPr>
        <w:adjustRightInd w:val="0"/>
        <w:snapToGrid w:val="0"/>
        <w:spacing w:line="480" w:lineRule="auto"/>
        <w:ind w:right="105" w:rightChars="50" w:firstLine="6009" w:firstLineChars="2504"/>
        <w:jc w:val="left"/>
        <w:rPr>
          <w:rFonts w:hint="eastAsia" w:ascii="仿宋" w:hAnsi="仿宋" w:eastAsia="仿宋" w:cs="仿宋"/>
          <w:b/>
          <w:sz w:val="24"/>
          <w:highlight w:val="non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p>
    <w:p w14:paraId="70C0A666">
      <w:pPr>
        <w:adjustRightInd w:val="0"/>
        <w:snapToGrid w:val="0"/>
        <w:spacing w:line="360" w:lineRule="auto"/>
        <w:ind w:right="105" w:rightChars="50"/>
        <w:jc w:val="left"/>
        <w:rPr>
          <w:rFonts w:hint="eastAsia" w:ascii="仿宋" w:hAnsi="仿宋" w:eastAsia="仿宋" w:cs="仿宋"/>
          <w:szCs w:val="21"/>
          <w:highlight w:val="none"/>
          <w:u w:val="single"/>
        </w:rPr>
      </w:pPr>
    </w:p>
    <w:p w14:paraId="27531992">
      <w:pPr>
        <w:widowControl/>
        <w:jc w:val="left"/>
        <w:rPr>
          <w:rFonts w:hint="eastAsia" w:ascii="仿宋" w:hAnsi="仿宋" w:eastAsia="仿宋" w:cs="仿宋"/>
          <w:szCs w:val="21"/>
          <w:highlight w:val="none"/>
          <w:u w:val="single"/>
        </w:rPr>
      </w:pPr>
    </w:p>
    <w:p w14:paraId="55A8C106">
      <w:pPr>
        <w:adjustRightInd w:val="0"/>
        <w:snapToGrid w:val="0"/>
        <w:spacing w:line="480" w:lineRule="auto"/>
        <w:ind w:right="105" w:rightChars="50"/>
        <w:jc w:val="left"/>
        <w:rPr>
          <w:rFonts w:hint="eastAsia" w:ascii="仿宋" w:hAnsi="仿宋" w:eastAsia="仿宋" w:cs="仿宋"/>
          <w:szCs w:val="21"/>
          <w:highlight w:val="none"/>
          <w:u w:val="single"/>
        </w:rPr>
      </w:pPr>
    </w:p>
    <w:p w14:paraId="044AA13A">
      <w:pPr>
        <w:adjustRightInd w:val="0"/>
        <w:snapToGrid w:val="0"/>
        <w:spacing w:line="480" w:lineRule="auto"/>
        <w:ind w:right="105" w:rightChars="50" w:firstLine="476" w:firstLineChars="227"/>
        <w:jc w:val="left"/>
        <w:rPr>
          <w:rFonts w:hint="eastAsia" w:ascii="仿宋" w:hAnsi="仿宋" w:eastAsia="仿宋" w:cs="仿宋"/>
          <w:szCs w:val="21"/>
          <w:highlight w:val="none"/>
          <w:u w:val="single"/>
        </w:rPr>
      </w:pPr>
    </w:p>
    <w:p w14:paraId="4ECBD8B9">
      <w:pPr>
        <w:adjustRightInd w:val="0"/>
        <w:snapToGrid w:val="0"/>
        <w:spacing w:line="360" w:lineRule="auto"/>
        <w:ind w:right="105" w:rightChars="50"/>
        <w:jc w:val="left"/>
        <w:outlineLvl w:val="1"/>
        <w:rPr>
          <w:rFonts w:hint="eastAsia" w:ascii="仿宋" w:hAnsi="仿宋" w:eastAsia="仿宋" w:cs="仿宋"/>
          <w:b/>
          <w:sz w:val="28"/>
          <w:szCs w:val="28"/>
          <w:highlight w:val="none"/>
        </w:rPr>
      </w:pPr>
      <w:bookmarkStart w:id="106" w:name="_Toc4485643"/>
      <w:r>
        <w:rPr>
          <w:rFonts w:hint="eastAsia" w:ascii="仿宋" w:hAnsi="仿宋" w:eastAsia="仿宋" w:cs="仿宋"/>
          <w:highlight w:val="none"/>
        </w:rPr>
        <w:br w:type="page"/>
      </w:r>
      <w:bookmarkStart w:id="107" w:name="_Toc18158"/>
      <w:r>
        <w:rPr>
          <w:rFonts w:hint="eastAsia" w:ascii="仿宋" w:hAnsi="仿宋" w:eastAsia="仿宋" w:cs="仿宋"/>
          <w:b/>
          <w:bCs/>
          <w:sz w:val="28"/>
          <w:szCs w:val="28"/>
          <w:highlight w:val="none"/>
        </w:rPr>
        <w:t>格式16</w:t>
      </w:r>
    </w:p>
    <w:p w14:paraId="2FA777C2">
      <w:pPr>
        <w:spacing w:beforeLines="100"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施工组织设计</w:t>
      </w:r>
    </w:p>
    <w:p w14:paraId="1CBEFDA4">
      <w:pPr>
        <w:spacing w:line="400" w:lineRule="exact"/>
        <w:ind w:firstLine="410" w:firstLineChars="171"/>
        <w:rPr>
          <w:rFonts w:hint="eastAsia" w:ascii="仿宋" w:hAnsi="仿宋" w:eastAsia="仿宋" w:cs="仿宋"/>
          <w:sz w:val="24"/>
          <w:highlight w:val="none"/>
        </w:rPr>
      </w:pPr>
      <w:r>
        <w:rPr>
          <w:rFonts w:hint="eastAsia" w:ascii="仿宋" w:hAnsi="仿宋" w:eastAsia="仿宋" w:cs="仿宋"/>
          <w:sz w:val="24"/>
          <w:highlight w:val="none"/>
        </w:rPr>
        <w:t>1. 供应商应根据磋商文件和对现场的勘察情况，采用文字并结合图表形式，参考以下要点编制本工程的施工组织设计：</w:t>
      </w:r>
    </w:p>
    <w:p w14:paraId="65826260">
      <w:pPr>
        <w:pStyle w:val="108"/>
        <w:tabs>
          <w:tab w:val="left" w:pos="1080"/>
        </w:tabs>
        <w:spacing w:line="400" w:lineRule="exact"/>
        <w:ind w:left="420"/>
        <w:rPr>
          <w:rFonts w:hint="eastAsia" w:ascii="仿宋" w:hAnsi="仿宋" w:eastAsia="仿宋" w:cs="仿宋"/>
          <w:sz w:val="24"/>
          <w:highlight w:val="none"/>
        </w:rPr>
      </w:pPr>
      <w:r>
        <w:rPr>
          <w:rFonts w:hint="eastAsia" w:ascii="仿宋" w:hAnsi="仿宋" w:eastAsia="仿宋" w:cs="仿宋"/>
          <w:sz w:val="24"/>
          <w:highlight w:val="none"/>
        </w:rPr>
        <w:t>（1）施工方案及技术措施：</w:t>
      </w:r>
    </w:p>
    <w:p w14:paraId="76E124F8">
      <w:pPr>
        <w:pStyle w:val="108"/>
        <w:tabs>
          <w:tab w:val="left" w:pos="1080"/>
        </w:tabs>
        <w:spacing w:line="400" w:lineRule="exact"/>
        <w:ind w:left="420"/>
        <w:rPr>
          <w:rFonts w:hint="eastAsia" w:ascii="仿宋" w:hAnsi="仿宋" w:eastAsia="仿宋" w:cs="仿宋"/>
          <w:sz w:val="24"/>
          <w:highlight w:val="none"/>
        </w:rPr>
      </w:pPr>
      <w:r>
        <w:rPr>
          <w:rFonts w:hint="eastAsia" w:ascii="仿宋" w:hAnsi="仿宋" w:eastAsia="仿宋" w:cs="仿宋"/>
          <w:sz w:val="24"/>
          <w:highlight w:val="none"/>
        </w:rPr>
        <w:t>（2）质量保证措施和创优计划；</w:t>
      </w:r>
    </w:p>
    <w:p w14:paraId="1F9F45D6">
      <w:pPr>
        <w:pStyle w:val="108"/>
        <w:tabs>
          <w:tab w:val="left" w:pos="1080"/>
        </w:tabs>
        <w:spacing w:line="400" w:lineRule="exact"/>
        <w:ind w:left="420"/>
        <w:rPr>
          <w:rFonts w:hint="eastAsia" w:ascii="仿宋" w:hAnsi="仿宋" w:eastAsia="仿宋" w:cs="仿宋"/>
          <w:sz w:val="24"/>
          <w:highlight w:val="none"/>
        </w:rPr>
      </w:pPr>
      <w:r>
        <w:rPr>
          <w:rFonts w:hint="eastAsia" w:ascii="仿宋" w:hAnsi="仿宋" w:eastAsia="仿宋" w:cs="仿宋"/>
          <w:sz w:val="24"/>
          <w:highlight w:val="none"/>
        </w:rPr>
        <w:t>（3）施工总进度计划及保证措施（包括以横道图或标明关键线路的网络进度计划、保障进度计划需要的主要施工机械设备、劳动力需求计划及保证措施、材料设备进场计划及其他保证措施等）；</w:t>
      </w:r>
    </w:p>
    <w:p w14:paraId="46AF5427">
      <w:pPr>
        <w:pStyle w:val="108"/>
        <w:tabs>
          <w:tab w:val="left" w:pos="1080"/>
        </w:tabs>
        <w:spacing w:line="400" w:lineRule="exact"/>
        <w:ind w:left="420"/>
        <w:rPr>
          <w:rFonts w:hint="eastAsia" w:ascii="仿宋" w:hAnsi="仿宋" w:eastAsia="仿宋" w:cs="仿宋"/>
          <w:sz w:val="24"/>
          <w:highlight w:val="none"/>
        </w:rPr>
      </w:pPr>
      <w:r>
        <w:rPr>
          <w:rFonts w:hint="eastAsia" w:ascii="仿宋" w:hAnsi="仿宋" w:eastAsia="仿宋" w:cs="仿宋"/>
          <w:sz w:val="24"/>
          <w:highlight w:val="none"/>
        </w:rPr>
        <w:t>（4）施工安全措施计划；</w:t>
      </w:r>
    </w:p>
    <w:p w14:paraId="0037C651">
      <w:pPr>
        <w:pStyle w:val="108"/>
        <w:tabs>
          <w:tab w:val="left" w:pos="1080"/>
        </w:tabs>
        <w:spacing w:line="400" w:lineRule="exact"/>
        <w:ind w:left="420"/>
        <w:rPr>
          <w:rFonts w:hint="eastAsia" w:ascii="仿宋" w:hAnsi="仿宋" w:eastAsia="仿宋" w:cs="仿宋"/>
          <w:sz w:val="24"/>
          <w:highlight w:val="none"/>
        </w:rPr>
      </w:pPr>
      <w:r>
        <w:rPr>
          <w:rFonts w:hint="eastAsia" w:ascii="仿宋" w:hAnsi="仿宋" w:eastAsia="仿宋" w:cs="仿宋"/>
          <w:sz w:val="24"/>
          <w:highlight w:val="none"/>
        </w:rPr>
        <w:t>（5）文明施工措施计划；</w:t>
      </w:r>
    </w:p>
    <w:p w14:paraId="545D0163">
      <w:pPr>
        <w:pStyle w:val="108"/>
        <w:tabs>
          <w:tab w:val="left" w:pos="1080"/>
        </w:tabs>
        <w:spacing w:line="400" w:lineRule="exact"/>
        <w:ind w:left="420"/>
        <w:rPr>
          <w:rFonts w:hint="eastAsia" w:ascii="仿宋" w:hAnsi="仿宋" w:eastAsia="仿宋" w:cs="仿宋"/>
          <w:sz w:val="24"/>
          <w:highlight w:val="none"/>
        </w:rPr>
      </w:pPr>
      <w:r>
        <w:rPr>
          <w:rFonts w:hint="eastAsia" w:ascii="仿宋" w:hAnsi="仿宋" w:eastAsia="仿宋" w:cs="仿宋"/>
          <w:sz w:val="24"/>
          <w:highlight w:val="none"/>
        </w:rPr>
        <w:t>（6）施工场地治安保卫管理计划；</w:t>
      </w:r>
    </w:p>
    <w:p w14:paraId="3361F9CB">
      <w:pPr>
        <w:pStyle w:val="108"/>
        <w:tabs>
          <w:tab w:val="left" w:pos="1080"/>
        </w:tabs>
        <w:spacing w:line="400" w:lineRule="exact"/>
        <w:ind w:left="420"/>
        <w:rPr>
          <w:rFonts w:hint="eastAsia" w:ascii="仿宋" w:hAnsi="仿宋" w:eastAsia="仿宋" w:cs="仿宋"/>
          <w:sz w:val="24"/>
          <w:highlight w:val="none"/>
        </w:rPr>
      </w:pPr>
      <w:r>
        <w:rPr>
          <w:rFonts w:hint="eastAsia" w:ascii="仿宋" w:hAnsi="仿宋" w:eastAsia="仿宋" w:cs="仿宋"/>
          <w:sz w:val="24"/>
          <w:highlight w:val="none"/>
        </w:rPr>
        <w:t>（7）施工环保措施计划；</w:t>
      </w:r>
    </w:p>
    <w:p w14:paraId="6896C7AB">
      <w:pPr>
        <w:pStyle w:val="108"/>
        <w:tabs>
          <w:tab w:val="left" w:pos="1080"/>
        </w:tabs>
        <w:spacing w:line="400" w:lineRule="exact"/>
        <w:ind w:left="420"/>
        <w:rPr>
          <w:rFonts w:hint="eastAsia" w:ascii="仿宋" w:hAnsi="仿宋" w:eastAsia="仿宋" w:cs="仿宋"/>
          <w:sz w:val="24"/>
          <w:highlight w:val="none"/>
        </w:rPr>
      </w:pPr>
      <w:r>
        <w:rPr>
          <w:rFonts w:hint="eastAsia" w:ascii="仿宋" w:hAnsi="仿宋" w:eastAsia="仿宋" w:cs="仿宋"/>
          <w:sz w:val="24"/>
          <w:highlight w:val="none"/>
        </w:rPr>
        <w:t>（8）冬季和雨季施工方案；</w:t>
      </w:r>
    </w:p>
    <w:p w14:paraId="2511B0E9">
      <w:pPr>
        <w:pStyle w:val="108"/>
        <w:tabs>
          <w:tab w:val="left" w:pos="1080"/>
        </w:tabs>
        <w:spacing w:line="400" w:lineRule="exact"/>
        <w:ind w:left="420"/>
        <w:rPr>
          <w:rFonts w:hint="eastAsia" w:ascii="仿宋" w:hAnsi="仿宋" w:eastAsia="仿宋" w:cs="仿宋"/>
          <w:sz w:val="24"/>
          <w:highlight w:val="none"/>
        </w:rPr>
      </w:pPr>
      <w:r>
        <w:rPr>
          <w:rFonts w:hint="eastAsia" w:ascii="仿宋" w:hAnsi="仿宋" w:eastAsia="仿宋" w:cs="仿宋"/>
          <w:sz w:val="24"/>
          <w:highlight w:val="none"/>
        </w:rPr>
        <w:t>（9）施工现场总平面布置（供应商应递交一份施工总平面图，绘出现场临时设施布置图表并附文字说明，说明临时设施、加工车间、现场办公、设备及仓储、供电、供水、卫生、生活、道路、消防等设施的情况和布置）；</w:t>
      </w:r>
    </w:p>
    <w:p w14:paraId="2A5819FA">
      <w:pPr>
        <w:pStyle w:val="86"/>
        <w:tabs>
          <w:tab w:val="left" w:pos="1080"/>
        </w:tabs>
        <w:spacing w:line="400" w:lineRule="exact"/>
        <w:ind w:left="420"/>
        <w:rPr>
          <w:rFonts w:hint="eastAsia" w:ascii="仿宋" w:hAnsi="仿宋" w:eastAsia="仿宋" w:cs="仿宋"/>
          <w:szCs w:val="24"/>
          <w:highlight w:val="none"/>
        </w:rPr>
      </w:pPr>
      <w:r>
        <w:rPr>
          <w:rFonts w:hint="eastAsia" w:ascii="仿宋" w:hAnsi="仿宋" w:eastAsia="仿宋" w:cs="仿宋"/>
          <w:szCs w:val="24"/>
          <w:highlight w:val="none"/>
          <w:lang w:eastAsia="zh-CN"/>
        </w:rPr>
        <w:t>（</w:t>
      </w:r>
      <w:r>
        <w:rPr>
          <w:rFonts w:hint="eastAsia" w:ascii="仿宋" w:hAnsi="仿宋" w:eastAsia="仿宋" w:cs="仿宋"/>
          <w:szCs w:val="24"/>
          <w:highlight w:val="none"/>
          <w:lang w:val="en-US" w:eastAsia="zh-CN"/>
        </w:rPr>
        <w:t>10</w:t>
      </w:r>
      <w:r>
        <w:rPr>
          <w:rFonts w:hint="eastAsia" w:ascii="仿宋" w:hAnsi="仿宋" w:eastAsia="仿宋" w:cs="仿宋"/>
          <w:szCs w:val="24"/>
          <w:highlight w:val="none"/>
          <w:lang w:eastAsia="zh-CN"/>
        </w:rPr>
        <w:t>）</w:t>
      </w:r>
      <w:r>
        <w:rPr>
          <w:rFonts w:hint="eastAsia" w:ascii="仿宋" w:hAnsi="仿宋" w:eastAsia="仿宋" w:cs="仿宋"/>
          <w:szCs w:val="24"/>
          <w:highlight w:val="none"/>
        </w:rPr>
        <w:t>成品保护和工程保修工作的管理措施和承诺；</w:t>
      </w:r>
    </w:p>
    <w:p w14:paraId="2A2FDB73">
      <w:pPr>
        <w:pStyle w:val="86"/>
        <w:tabs>
          <w:tab w:val="left" w:pos="1080"/>
        </w:tabs>
        <w:spacing w:line="400" w:lineRule="exact"/>
        <w:ind w:left="420"/>
        <w:rPr>
          <w:rFonts w:hint="eastAsia" w:ascii="仿宋" w:hAnsi="仿宋" w:eastAsia="仿宋" w:cs="仿宋"/>
          <w:szCs w:val="24"/>
          <w:highlight w:val="none"/>
        </w:rPr>
      </w:pPr>
      <w:r>
        <w:rPr>
          <w:rFonts w:hint="eastAsia" w:ascii="仿宋" w:hAnsi="仿宋" w:eastAsia="仿宋" w:cs="仿宋"/>
          <w:szCs w:val="24"/>
          <w:highlight w:val="none"/>
          <w:lang w:eastAsia="zh-CN"/>
        </w:rPr>
        <w:t>（</w:t>
      </w:r>
      <w:r>
        <w:rPr>
          <w:rFonts w:hint="eastAsia" w:ascii="仿宋" w:hAnsi="仿宋" w:eastAsia="仿宋" w:cs="仿宋"/>
          <w:szCs w:val="24"/>
          <w:highlight w:val="none"/>
          <w:lang w:val="en-US" w:eastAsia="zh-CN"/>
        </w:rPr>
        <w:t>11</w:t>
      </w:r>
      <w:r>
        <w:rPr>
          <w:rFonts w:hint="eastAsia" w:ascii="仿宋" w:hAnsi="仿宋" w:eastAsia="仿宋" w:cs="仿宋"/>
          <w:szCs w:val="24"/>
          <w:highlight w:val="none"/>
          <w:lang w:eastAsia="zh-CN"/>
        </w:rPr>
        <w:t>）</w:t>
      </w:r>
      <w:r>
        <w:rPr>
          <w:rFonts w:hint="eastAsia" w:ascii="仿宋" w:hAnsi="仿宋" w:eastAsia="仿宋" w:cs="仿宋"/>
          <w:szCs w:val="24"/>
          <w:highlight w:val="none"/>
        </w:rPr>
        <w:t>任何可能的紧急情况的处理措施、预案以及抵抗风险（包括工程施工过程中可能遇到的各种风险）的措施；</w:t>
      </w:r>
    </w:p>
    <w:p w14:paraId="47CAD06C">
      <w:pPr>
        <w:pStyle w:val="108"/>
        <w:tabs>
          <w:tab w:val="left" w:pos="1080"/>
        </w:tabs>
        <w:spacing w:line="400" w:lineRule="exact"/>
        <w:ind w:left="420"/>
        <w:rPr>
          <w:rFonts w:hint="eastAsia" w:ascii="仿宋" w:hAnsi="仿宋" w:eastAsia="仿宋" w:cs="仿宋"/>
          <w:sz w:val="24"/>
          <w:highlight w:val="none"/>
        </w:rPr>
      </w:pPr>
      <w:r>
        <w:rPr>
          <w:rFonts w:hint="eastAsia" w:ascii="仿宋" w:hAnsi="仿宋" w:eastAsia="仿宋" w:cs="仿宋"/>
          <w:sz w:val="24"/>
          <w:highlight w:val="none"/>
        </w:rPr>
        <w:t>（12）与发包人、监理及设计单位的配合；</w:t>
      </w:r>
    </w:p>
    <w:p w14:paraId="69ADA975">
      <w:pPr>
        <w:pStyle w:val="108"/>
        <w:tabs>
          <w:tab w:val="left" w:pos="1080"/>
        </w:tabs>
        <w:spacing w:line="400" w:lineRule="exact"/>
        <w:ind w:left="420"/>
        <w:rPr>
          <w:rFonts w:hint="eastAsia" w:ascii="仿宋" w:hAnsi="仿宋" w:eastAsia="仿宋" w:cs="仿宋"/>
          <w:sz w:val="24"/>
          <w:highlight w:val="none"/>
        </w:rPr>
      </w:pPr>
      <w:r>
        <w:rPr>
          <w:rFonts w:hint="eastAsia" w:ascii="仿宋" w:hAnsi="仿宋" w:eastAsia="仿宋" w:cs="仿宋"/>
          <w:sz w:val="24"/>
          <w:highlight w:val="none"/>
        </w:rPr>
        <w:t>（13）磋商文件规定的其他内容。</w:t>
      </w:r>
    </w:p>
    <w:p w14:paraId="76CA1F54">
      <w:pPr>
        <w:tabs>
          <w:tab w:val="left" w:pos="720"/>
        </w:tabs>
        <w:spacing w:line="4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2.施工组织设计除采用文字表述外可附下列图表，图表及格式要求附后。 </w:t>
      </w:r>
    </w:p>
    <w:p w14:paraId="458627E2">
      <w:pPr>
        <w:tabs>
          <w:tab w:val="left" w:pos="720"/>
        </w:tabs>
        <w:spacing w:line="400" w:lineRule="exact"/>
        <w:ind w:firstLine="864" w:firstLineChars="360"/>
        <w:rPr>
          <w:rFonts w:hint="eastAsia" w:ascii="仿宋" w:hAnsi="仿宋" w:eastAsia="仿宋" w:cs="仿宋"/>
          <w:sz w:val="24"/>
          <w:highlight w:val="none"/>
        </w:rPr>
      </w:pPr>
      <w:r>
        <w:rPr>
          <w:rFonts w:hint="eastAsia" w:ascii="仿宋" w:hAnsi="仿宋" w:eastAsia="仿宋" w:cs="仿宋"/>
          <w:sz w:val="24"/>
          <w:highlight w:val="none"/>
        </w:rPr>
        <w:t>附表一  拟投入本工程的主要施工设备表</w:t>
      </w:r>
    </w:p>
    <w:p w14:paraId="27AE12B3">
      <w:pPr>
        <w:tabs>
          <w:tab w:val="left" w:pos="720"/>
        </w:tabs>
        <w:spacing w:line="400" w:lineRule="exact"/>
        <w:ind w:firstLine="864" w:firstLineChars="360"/>
        <w:rPr>
          <w:rFonts w:hint="eastAsia" w:ascii="仿宋" w:hAnsi="仿宋" w:eastAsia="仿宋" w:cs="仿宋"/>
          <w:sz w:val="24"/>
          <w:highlight w:val="none"/>
        </w:rPr>
      </w:pPr>
      <w:r>
        <w:rPr>
          <w:rFonts w:hint="eastAsia" w:ascii="仿宋" w:hAnsi="仿宋" w:eastAsia="仿宋" w:cs="仿宋"/>
          <w:sz w:val="24"/>
          <w:highlight w:val="none"/>
        </w:rPr>
        <w:t>附表二  拟配备本工程的试验和检测仪器设备表</w:t>
      </w:r>
    </w:p>
    <w:p w14:paraId="4FC9A246">
      <w:pPr>
        <w:tabs>
          <w:tab w:val="left" w:pos="720"/>
        </w:tabs>
        <w:spacing w:line="400" w:lineRule="exact"/>
        <w:ind w:firstLine="864" w:firstLineChars="360"/>
        <w:rPr>
          <w:rFonts w:hint="eastAsia" w:ascii="仿宋" w:hAnsi="仿宋" w:eastAsia="仿宋" w:cs="仿宋"/>
          <w:sz w:val="24"/>
          <w:highlight w:val="none"/>
        </w:rPr>
      </w:pPr>
      <w:r>
        <w:rPr>
          <w:rFonts w:hint="eastAsia" w:ascii="仿宋" w:hAnsi="仿宋" w:eastAsia="仿宋" w:cs="仿宋"/>
          <w:sz w:val="24"/>
          <w:highlight w:val="none"/>
        </w:rPr>
        <w:t>附表三  劳动力计划表</w:t>
      </w:r>
    </w:p>
    <w:p w14:paraId="6808DC87">
      <w:pPr>
        <w:tabs>
          <w:tab w:val="left" w:pos="720"/>
        </w:tabs>
        <w:spacing w:line="400" w:lineRule="exact"/>
        <w:ind w:firstLine="864" w:firstLineChars="360"/>
        <w:rPr>
          <w:rFonts w:hint="eastAsia" w:ascii="仿宋" w:hAnsi="仿宋" w:eastAsia="仿宋" w:cs="仿宋"/>
          <w:sz w:val="24"/>
          <w:highlight w:val="none"/>
        </w:rPr>
      </w:pPr>
      <w:r>
        <w:rPr>
          <w:rFonts w:hint="eastAsia" w:ascii="仿宋" w:hAnsi="仿宋" w:eastAsia="仿宋" w:cs="仿宋"/>
          <w:sz w:val="24"/>
          <w:highlight w:val="none"/>
        </w:rPr>
        <w:t>附表四  计划开、竣工日期和施工进度网络图</w:t>
      </w:r>
    </w:p>
    <w:p w14:paraId="4EE43791">
      <w:pPr>
        <w:tabs>
          <w:tab w:val="left" w:pos="720"/>
        </w:tabs>
        <w:spacing w:line="400" w:lineRule="exact"/>
        <w:ind w:firstLine="864" w:firstLineChars="360"/>
        <w:rPr>
          <w:rFonts w:hint="eastAsia" w:ascii="仿宋" w:hAnsi="仿宋" w:eastAsia="仿宋" w:cs="仿宋"/>
          <w:sz w:val="24"/>
          <w:highlight w:val="none"/>
        </w:rPr>
      </w:pPr>
      <w:r>
        <w:rPr>
          <w:rFonts w:hint="eastAsia" w:ascii="仿宋" w:hAnsi="仿宋" w:eastAsia="仿宋" w:cs="仿宋"/>
          <w:sz w:val="24"/>
          <w:highlight w:val="none"/>
        </w:rPr>
        <w:t>附表五  施工总平面图</w:t>
      </w:r>
    </w:p>
    <w:p w14:paraId="29CA21FB">
      <w:pPr>
        <w:tabs>
          <w:tab w:val="left" w:pos="720"/>
        </w:tabs>
        <w:spacing w:line="400" w:lineRule="exact"/>
        <w:ind w:firstLine="864" w:firstLineChars="360"/>
        <w:rPr>
          <w:rFonts w:hint="eastAsia" w:ascii="仿宋" w:hAnsi="仿宋" w:eastAsia="仿宋" w:cs="仿宋"/>
          <w:sz w:val="24"/>
          <w:highlight w:val="none"/>
        </w:rPr>
      </w:pPr>
      <w:r>
        <w:rPr>
          <w:rFonts w:hint="eastAsia" w:ascii="仿宋" w:hAnsi="仿宋" w:eastAsia="仿宋" w:cs="仿宋"/>
          <w:sz w:val="24"/>
          <w:highlight w:val="none"/>
        </w:rPr>
        <w:t>附表六  临时用地表</w:t>
      </w:r>
    </w:p>
    <w:p w14:paraId="1B0E1295">
      <w:pPr>
        <w:tabs>
          <w:tab w:val="left" w:pos="720"/>
        </w:tabs>
        <w:spacing w:line="440" w:lineRule="exact"/>
        <w:ind w:firstLine="864" w:firstLineChars="360"/>
        <w:rPr>
          <w:rFonts w:hint="eastAsia" w:ascii="仿宋" w:hAnsi="仿宋" w:eastAsia="仿宋" w:cs="仿宋"/>
          <w:sz w:val="24"/>
          <w:highlight w:val="none"/>
        </w:rPr>
      </w:pPr>
      <w:r>
        <w:rPr>
          <w:rFonts w:hint="eastAsia" w:ascii="仿宋" w:hAnsi="仿宋" w:eastAsia="仿宋" w:cs="仿宋"/>
          <w:sz w:val="24"/>
          <w:highlight w:val="none"/>
        </w:rPr>
        <w:t>附件七  主要材料设备选用表</w:t>
      </w:r>
    </w:p>
    <w:p w14:paraId="7DD188F3">
      <w:pPr>
        <w:adjustRightInd w:val="0"/>
        <w:snapToGrid w:val="0"/>
        <w:spacing w:line="360" w:lineRule="auto"/>
        <w:ind w:right="105" w:rightChars="50"/>
        <w:jc w:val="left"/>
        <w:outlineLvl w:val="1"/>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r>
        <w:rPr>
          <w:rFonts w:hint="eastAsia" w:ascii="仿宋" w:hAnsi="仿宋" w:eastAsia="仿宋" w:cs="仿宋"/>
          <w:b/>
          <w:bCs/>
          <w:sz w:val="28"/>
          <w:szCs w:val="28"/>
          <w:highlight w:val="none"/>
        </w:rPr>
        <w:t>格式17</w:t>
      </w:r>
    </w:p>
    <w:p w14:paraId="62BC1C45">
      <w:pPr>
        <w:spacing w:beforeLines="100"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项目管理机构</w:t>
      </w:r>
    </w:p>
    <w:p w14:paraId="44EBA747">
      <w:pPr>
        <w:pStyle w:val="4"/>
        <w:jc w:val="center"/>
        <w:rPr>
          <w:rFonts w:hint="eastAsia" w:ascii="仿宋" w:hAnsi="仿宋" w:eastAsia="仿宋" w:cs="仿宋"/>
          <w:bCs w:val="0"/>
          <w:sz w:val="24"/>
          <w:szCs w:val="24"/>
          <w:highlight w:val="none"/>
        </w:rPr>
      </w:pPr>
      <w:bookmarkStart w:id="108" w:name="_Toc500331878"/>
      <w:bookmarkStart w:id="109" w:name="_Toc301957335"/>
      <w:bookmarkStart w:id="110" w:name="_Toc500331985"/>
      <w:r>
        <w:rPr>
          <w:rFonts w:hint="eastAsia" w:ascii="仿宋" w:hAnsi="仿宋" w:eastAsia="仿宋" w:cs="仿宋"/>
          <w:bCs w:val="0"/>
          <w:sz w:val="24"/>
          <w:szCs w:val="24"/>
          <w:highlight w:val="none"/>
        </w:rPr>
        <w:t>（一）项目管理机构组成表</w:t>
      </w:r>
      <w:bookmarkEnd w:id="108"/>
      <w:bookmarkEnd w:id="109"/>
      <w:bookmarkEnd w:id="110"/>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721"/>
        <w:gridCol w:w="720"/>
        <w:gridCol w:w="1081"/>
        <w:gridCol w:w="720"/>
        <w:gridCol w:w="721"/>
        <w:gridCol w:w="720"/>
        <w:gridCol w:w="2524"/>
        <w:gridCol w:w="669"/>
      </w:tblGrid>
      <w:tr w14:paraId="46929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52" w:type="dxa"/>
            <w:vMerge w:val="restart"/>
            <w:vAlign w:val="center"/>
          </w:tcPr>
          <w:p w14:paraId="6A3CB927">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职务</w:t>
            </w:r>
          </w:p>
        </w:tc>
        <w:tc>
          <w:tcPr>
            <w:tcW w:w="721" w:type="dxa"/>
            <w:vMerge w:val="restart"/>
            <w:vAlign w:val="center"/>
          </w:tcPr>
          <w:p w14:paraId="17B7C777">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姓名</w:t>
            </w:r>
          </w:p>
        </w:tc>
        <w:tc>
          <w:tcPr>
            <w:tcW w:w="720" w:type="dxa"/>
            <w:vMerge w:val="restart"/>
            <w:vAlign w:val="center"/>
          </w:tcPr>
          <w:p w14:paraId="31B9FC42">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职称</w:t>
            </w:r>
          </w:p>
        </w:tc>
        <w:tc>
          <w:tcPr>
            <w:tcW w:w="5766" w:type="dxa"/>
            <w:gridSpan w:val="5"/>
            <w:vAlign w:val="center"/>
          </w:tcPr>
          <w:p w14:paraId="3357FE84">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执业或职业资格证明</w:t>
            </w:r>
          </w:p>
        </w:tc>
        <w:tc>
          <w:tcPr>
            <w:tcW w:w="669" w:type="dxa"/>
            <w:vAlign w:val="center"/>
          </w:tcPr>
          <w:p w14:paraId="2E900A4C">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14:paraId="012D0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52" w:type="dxa"/>
            <w:vMerge w:val="continue"/>
            <w:vAlign w:val="center"/>
          </w:tcPr>
          <w:p w14:paraId="3945F607">
            <w:pPr>
              <w:spacing w:line="440" w:lineRule="exact"/>
              <w:jc w:val="center"/>
              <w:rPr>
                <w:rFonts w:hint="eastAsia" w:ascii="仿宋" w:hAnsi="仿宋" w:eastAsia="仿宋" w:cs="仿宋"/>
                <w:szCs w:val="21"/>
                <w:highlight w:val="none"/>
              </w:rPr>
            </w:pPr>
          </w:p>
        </w:tc>
        <w:tc>
          <w:tcPr>
            <w:tcW w:w="721" w:type="dxa"/>
            <w:vMerge w:val="continue"/>
            <w:vAlign w:val="center"/>
          </w:tcPr>
          <w:p w14:paraId="7AC87C6B">
            <w:pPr>
              <w:spacing w:line="440" w:lineRule="exact"/>
              <w:jc w:val="center"/>
              <w:rPr>
                <w:rFonts w:hint="eastAsia" w:ascii="仿宋" w:hAnsi="仿宋" w:eastAsia="仿宋" w:cs="仿宋"/>
                <w:szCs w:val="21"/>
                <w:highlight w:val="none"/>
              </w:rPr>
            </w:pPr>
          </w:p>
        </w:tc>
        <w:tc>
          <w:tcPr>
            <w:tcW w:w="720" w:type="dxa"/>
            <w:vMerge w:val="continue"/>
            <w:vAlign w:val="center"/>
          </w:tcPr>
          <w:p w14:paraId="40FC145B">
            <w:pPr>
              <w:spacing w:line="440" w:lineRule="exact"/>
              <w:jc w:val="center"/>
              <w:rPr>
                <w:rFonts w:hint="eastAsia" w:ascii="仿宋" w:hAnsi="仿宋" w:eastAsia="仿宋" w:cs="仿宋"/>
                <w:szCs w:val="21"/>
                <w:highlight w:val="none"/>
              </w:rPr>
            </w:pPr>
          </w:p>
        </w:tc>
        <w:tc>
          <w:tcPr>
            <w:tcW w:w="1081" w:type="dxa"/>
            <w:vAlign w:val="center"/>
          </w:tcPr>
          <w:p w14:paraId="2F54C942">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证书名称</w:t>
            </w:r>
          </w:p>
        </w:tc>
        <w:tc>
          <w:tcPr>
            <w:tcW w:w="720" w:type="dxa"/>
            <w:vAlign w:val="center"/>
          </w:tcPr>
          <w:p w14:paraId="22D6C1AA">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级别</w:t>
            </w:r>
          </w:p>
        </w:tc>
        <w:tc>
          <w:tcPr>
            <w:tcW w:w="721" w:type="dxa"/>
            <w:vAlign w:val="center"/>
          </w:tcPr>
          <w:p w14:paraId="7FD7AF1B">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证号</w:t>
            </w:r>
          </w:p>
        </w:tc>
        <w:tc>
          <w:tcPr>
            <w:tcW w:w="720" w:type="dxa"/>
            <w:vAlign w:val="center"/>
          </w:tcPr>
          <w:p w14:paraId="5DF91CC3">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专业</w:t>
            </w:r>
          </w:p>
        </w:tc>
        <w:tc>
          <w:tcPr>
            <w:tcW w:w="2524" w:type="dxa"/>
            <w:vAlign w:val="center"/>
          </w:tcPr>
          <w:p w14:paraId="17ED3E3E">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养老保险</w:t>
            </w:r>
          </w:p>
        </w:tc>
        <w:tc>
          <w:tcPr>
            <w:tcW w:w="669" w:type="dxa"/>
            <w:vAlign w:val="center"/>
          </w:tcPr>
          <w:p w14:paraId="04D6B1BC">
            <w:pPr>
              <w:spacing w:line="440" w:lineRule="exact"/>
              <w:jc w:val="center"/>
              <w:rPr>
                <w:rFonts w:hint="eastAsia" w:ascii="仿宋" w:hAnsi="仿宋" w:eastAsia="仿宋" w:cs="仿宋"/>
                <w:szCs w:val="21"/>
                <w:highlight w:val="none"/>
              </w:rPr>
            </w:pPr>
          </w:p>
        </w:tc>
      </w:tr>
      <w:tr w14:paraId="2989C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vAlign w:val="center"/>
          </w:tcPr>
          <w:p w14:paraId="72787FC7">
            <w:pPr>
              <w:spacing w:line="440" w:lineRule="exact"/>
              <w:jc w:val="center"/>
              <w:rPr>
                <w:rFonts w:hint="eastAsia" w:ascii="仿宋" w:hAnsi="仿宋" w:eastAsia="仿宋" w:cs="仿宋"/>
                <w:szCs w:val="21"/>
                <w:highlight w:val="none"/>
              </w:rPr>
            </w:pPr>
          </w:p>
        </w:tc>
        <w:tc>
          <w:tcPr>
            <w:tcW w:w="721" w:type="dxa"/>
            <w:vAlign w:val="center"/>
          </w:tcPr>
          <w:p w14:paraId="170419BD">
            <w:pPr>
              <w:spacing w:line="440" w:lineRule="exact"/>
              <w:jc w:val="center"/>
              <w:rPr>
                <w:rFonts w:hint="eastAsia" w:ascii="仿宋" w:hAnsi="仿宋" w:eastAsia="仿宋" w:cs="仿宋"/>
                <w:szCs w:val="21"/>
                <w:highlight w:val="none"/>
              </w:rPr>
            </w:pPr>
          </w:p>
        </w:tc>
        <w:tc>
          <w:tcPr>
            <w:tcW w:w="720" w:type="dxa"/>
            <w:vAlign w:val="center"/>
          </w:tcPr>
          <w:p w14:paraId="4477EC89">
            <w:pPr>
              <w:spacing w:line="440" w:lineRule="exact"/>
              <w:jc w:val="center"/>
              <w:rPr>
                <w:rFonts w:hint="eastAsia" w:ascii="仿宋" w:hAnsi="仿宋" w:eastAsia="仿宋" w:cs="仿宋"/>
                <w:szCs w:val="21"/>
                <w:highlight w:val="none"/>
              </w:rPr>
            </w:pPr>
          </w:p>
        </w:tc>
        <w:tc>
          <w:tcPr>
            <w:tcW w:w="1081" w:type="dxa"/>
            <w:vAlign w:val="center"/>
          </w:tcPr>
          <w:p w14:paraId="55992D07">
            <w:pPr>
              <w:spacing w:line="440" w:lineRule="exact"/>
              <w:jc w:val="center"/>
              <w:rPr>
                <w:rFonts w:hint="eastAsia" w:ascii="仿宋" w:hAnsi="仿宋" w:eastAsia="仿宋" w:cs="仿宋"/>
                <w:szCs w:val="21"/>
                <w:highlight w:val="none"/>
              </w:rPr>
            </w:pPr>
          </w:p>
        </w:tc>
        <w:tc>
          <w:tcPr>
            <w:tcW w:w="720" w:type="dxa"/>
            <w:vAlign w:val="center"/>
          </w:tcPr>
          <w:p w14:paraId="73B4EFA2">
            <w:pPr>
              <w:spacing w:line="440" w:lineRule="exact"/>
              <w:jc w:val="center"/>
              <w:rPr>
                <w:rFonts w:hint="eastAsia" w:ascii="仿宋" w:hAnsi="仿宋" w:eastAsia="仿宋" w:cs="仿宋"/>
                <w:szCs w:val="21"/>
                <w:highlight w:val="none"/>
              </w:rPr>
            </w:pPr>
          </w:p>
        </w:tc>
        <w:tc>
          <w:tcPr>
            <w:tcW w:w="721" w:type="dxa"/>
            <w:vAlign w:val="center"/>
          </w:tcPr>
          <w:p w14:paraId="4CFA8218">
            <w:pPr>
              <w:spacing w:line="440" w:lineRule="exact"/>
              <w:jc w:val="center"/>
              <w:rPr>
                <w:rFonts w:hint="eastAsia" w:ascii="仿宋" w:hAnsi="仿宋" w:eastAsia="仿宋" w:cs="仿宋"/>
                <w:szCs w:val="21"/>
                <w:highlight w:val="none"/>
              </w:rPr>
            </w:pPr>
          </w:p>
        </w:tc>
        <w:tc>
          <w:tcPr>
            <w:tcW w:w="720" w:type="dxa"/>
            <w:vAlign w:val="center"/>
          </w:tcPr>
          <w:p w14:paraId="26679C82">
            <w:pPr>
              <w:spacing w:line="440" w:lineRule="exact"/>
              <w:jc w:val="center"/>
              <w:rPr>
                <w:rFonts w:hint="eastAsia" w:ascii="仿宋" w:hAnsi="仿宋" w:eastAsia="仿宋" w:cs="仿宋"/>
                <w:szCs w:val="21"/>
                <w:highlight w:val="none"/>
              </w:rPr>
            </w:pPr>
          </w:p>
        </w:tc>
        <w:tc>
          <w:tcPr>
            <w:tcW w:w="2524" w:type="dxa"/>
            <w:vAlign w:val="center"/>
          </w:tcPr>
          <w:p w14:paraId="531A03ED">
            <w:pPr>
              <w:spacing w:line="440" w:lineRule="exact"/>
              <w:jc w:val="center"/>
              <w:rPr>
                <w:rFonts w:hint="eastAsia" w:ascii="仿宋" w:hAnsi="仿宋" w:eastAsia="仿宋" w:cs="仿宋"/>
                <w:szCs w:val="21"/>
                <w:highlight w:val="none"/>
              </w:rPr>
            </w:pPr>
          </w:p>
        </w:tc>
        <w:tc>
          <w:tcPr>
            <w:tcW w:w="669" w:type="dxa"/>
            <w:vAlign w:val="center"/>
          </w:tcPr>
          <w:p w14:paraId="4BDECC65">
            <w:pPr>
              <w:spacing w:line="440" w:lineRule="exact"/>
              <w:jc w:val="center"/>
              <w:rPr>
                <w:rFonts w:hint="eastAsia" w:ascii="仿宋" w:hAnsi="仿宋" w:eastAsia="仿宋" w:cs="仿宋"/>
                <w:szCs w:val="21"/>
                <w:highlight w:val="none"/>
              </w:rPr>
            </w:pPr>
          </w:p>
        </w:tc>
      </w:tr>
      <w:tr w14:paraId="50877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7F45CE22">
            <w:pPr>
              <w:spacing w:line="440" w:lineRule="exact"/>
              <w:jc w:val="center"/>
              <w:rPr>
                <w:rFonts w:hint="eastAsia" w:ascii="仿宋" w:hAnsi="仿宋" w:eastAsia="仿宋" w:cs="仿宋"/>
                <w:szCs w:val="21"/>
                <w:highlight w:val="none"/>
              </w:rPr>
            </w:pPr>
          </w:p>
        </w:tc>
        <w:tc>
          <w:tcPr>
            <w:tcW w:w="721" w:type="dxa"/>
          </w:tcPr>
          <w:p w14:paraId="6E615F7E">
            <w:pPr>
              <w:spacing w:line="440" w:lineRule="exact"/>
              <w:jc w:val="center"/>
              <w:rPr>
                <w:rFonts w:hint="eastAsia" w:ascii="仿宋" w:hAnsi="仿宋" w:eastAsia="仿宋" w:cs="仿宋"/>
                <w:szCs w:val="21"/>
                <w:highlight w:val="none"/>
              </w:rPr>
            </w:pPr>
          </w:p>
        </w:tc>
        <w:tc>
          <w:tcPr>
            <w:tcW w:w="720" w:type="dxa"/>
          </w:tcPr>
          <w:p w14:paraId="24E1E2D9">
            <w:pPr>
              <w:spacing w:line="440" w:lineRule="exact"/>
              <w:jc w:val="center"/>
              <w:rPr>
                <w:rFonts w:hint="eastAsia" w:ascii="仿宋" w:hAnsi="仿宋" w:eastAsia="仿宋" w:cs="仿宋"/>
                <w:szCs w:val="21"/>
                <w:highlight w:val="none"/>
              </w:rPr>
            </w:pPr>
          </w:p>
        </w:tc>
        <w:tc>
          <w:tcPr>
            <w:tcW w:w="1081" w:type="dxa"/>
          </w:tcPr>
          <w:p w14:paraId="0EB80E2D">
            <w:pPr>
              <w:spacing w:line="440" w:lineRule="exact"/>
              <w:jc w:val="center"/>
              <w:rPr>
                <w:rFonts w:hint="eastAsia" w:ascii="仿宋" w:hAnsi="仿宋" w:eastAsia="仿宋" w:cs="仿宋"/>
                <w:szCs w:val="21"/>
                <w:highlight w:val="none"/>
              </w:rPr>
            </w:pPr>
          </w:p>
        </w:tc>
        <w:tc>
          <w:tcPr>
            <w:tcW w:w="720" w:type="dxa"/>
          </w:tcPr>
          <w:p w14:paraId="208DE503">
            <w:pPr>
              <w:spacing w:line="440" w:lineRule="exact"/>
              <w:jc w:val="center"/>
              <w:rPr>
                <w:rFonts w:hint="eastAsia" w:ascii="仿宋" w:hAnsi="仿宋" w:eastAsia="仿宋" w:cs="仿宋"/>
                <w:szCs w:val="21"/>
                <w:highlight w:val="none"/>
              </w:rPr>
            </w:pPr>
          </w:p>
        </w:tc>
        <w:tc>
          <w:tcPr>
            <w:tcW w:w="721" w:type="dxa"/>
          </w:tcPr>
          <w:p w14:paraId="52CF63CB">
            <w:pPr>
              <w:spacing w:line="440" w:lineRule="exact"/>
              <w:jc w:val="center"/>
              <w:rPr>
                <w:rFonts w:hint="eastAsia" w:ascii="仿宋" w:hAnsi="仿宋" w:eastAsia="仿宋" w:cs="仿宋"/>
                <w:szCs w:val="21"/>
                <w:highlight w:val="none"/>
              </w:rPr>
            </w:pPr>
          </w:p>
        </w:tc>
        <w:tc>
          <w:tcPr>
            <w:tcW w:w="720" w:type="dxa"/>
          </w:tcPr>
          <w:p w14:paraId="2C73261B">
            <w:pPr>
              <w:spacing w:line="440" w:lineRule="exact"/>
              <w:jc w:val="center"/>
              <w:rPr>
                <w:rFonts w:hint="eastAsia" w:ascii="仿宋" w:hAnsi="仿宋" w:eastAsia="仿宋" w:cs="仿宋"/>
                <w:szCs w:val="21"/>
                <w:highlight w:val="none"/>
              </w:rPr>
            </w:pPr>
          </w:p>
        </w:tc>
        <w:tc>
          <w:tcPr>
            <w:tcW w:w="2524" w:type="dxa"/>
          </w:tcPr>
          <w:p w14:paraId="7EC5EEC9">
            <w:pPr>
              <w:spacing w:line="440" w:lineRule="exact"/>
              <w:jc w:val="center"/>
              <w:rPr>
                <w:rFonts w:hint="eastAsia" w:ascii="仿宋" w:hAnsi="仿宋" w:eastAsia="仿宋" w:cs="仿宋"/>
                <w:szCs w:val="21"/>
                <w:highlight w:val="none"/>
              </w:rPr>
            </w:pPr>
          </w:p>
        </w:tc>
        <w:tc>
          <w:tcPr>
            <w:tcW w:w="669" w:type="dxa"/>
          </w:tcPr>
          <w:p w14:paraId="0CB9FB40">
            <w:pPr>
              <w:spacing w:line="440" w:lineRule="exact"/>
              <w:jc w:val="center"/>
              <w:rPr>
                <w:rFonts w:hint="eastAsia" w:ascii="仿宋" w:hAnsi="仿宋" w:eastAsia="仿宋" w:cs="仿宋"/>
                <w:szCs w:val="21"/>
                <w:highlight w:val="none"/>
              </w:rPr>
            </w:pPr>
          </w:p>
        </w:tc>
      </w:tr>
      <w:tr w14:paraId="1F6C5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732D0B54">
            <w:pPr>
              <w:spacing w:line="440" w:lineRule="exact"/>
              <w:jc w:val="center"/>
              <w:rPr>
                <w:rFonts w:hint="eastAsia" w:ascii="仿宋" w:hAnsi="仿宋" w:eastAsia="仿宋" w:cs="仿宋"/>
                <w:szCs w:val="21"/>
                <w:highlight w:val="none"/>
              </w:rPr>
            </w:pPr>
          </w:p>
        </w:tc>
        <w:tc>
          <w:tcPr>
            <w:tcW w:w="721" w:type="dxa"/>
          </w:tcPr>
          <w:p w14:paraId="44284C24">
            <w:pPr>
              <w:spacing w:line="440" w:lineRule="exact"/>
              <w:jc w:val="center"/>
              <w:rPr>
                <w:rFonts w:hint="eastAsia" w:ascii="仿宋" w:hAnsi="仿宋" w:eastAsia="仿宋" w:cs="仿宋"/>
                <w:szCs w:val="21"/>
                <w:highlight w:val="none"/>
              </w:rPr>
            </w:pPr>
          </w:p>
        </w:tc>
        <w:tc>
          <w:tcPr>
            <w:tcW w:w="720" w:type="dxa"/>
          </w:tcPr>
          <w:p w14:paraId="497C94DF">
            <w:pPr>
              <w:spacing w:line="440" w:lineRule="exact"/>
              <w:jc w:val="center"/>
              <w:rPr>
                <w:rFonts w:hint="eastAsia" w:ascii="仿宋" w:hAnsi="仿宋" w:eastAsia="仿宋" w:cs="仿宋"/>
                <w:szCs w:val="21"/>
                <w:highlight w:val="none"/>
              </w:rPr>
            </w:pPr>
          </w:p>
        </w:tc>
        <w:tc>
          <w:tcPr>
            <w:tcW w:w="1081" w:type="dxa"/>
          </w:tcPr>
          <w:p w14:paraId="3E606E4F">
            <w:pPr>
              <w:spacing w:line="440" w:lineRule="exact"/>
              <w:jc w:val="center"/>
              <w:rPr>
                <w:rFonts w:hint="eastAsia" w:ascii="仿宋" w:hAnsi="仿宋" w:eastAsia="仿宋" w:cs="仿宋"/>
                <w:szCs w:val="21"/>
                <w:highlight w:val="none"/>
              </w:rPr>
            </w:pPr>
          </w:p>
        </w:tc>
        <w:tc>
          <w:tcPr>
            <w:tcW w:w="720" w:type="dxa"/>
          </w:tcPr>
          <w:p w14:paraId="01B01C36">
            <w:pPr>
              <w:spacing w:line="440" w:lineRule="exact"/>
              <w:jc w:val="center"/>
              <w:rPr>
                <w:rFonts w:hint="eastAsia" w:ascii="仿宋" w:hAnsi="仿宋" w:eastAsia="仿宋" w:cs="仿宋"/>
                <w:szCs w:val="21"/>
                <w:highlight w:val="none"/>
              </w:rPr>
            </w:pPr>
          </w:p>
        </w:tc>
        <w:tc>
          <w:tcPr>
            <w:tcW w:w="721" w:type="dxa"/>
          </w:tcPr>
          <w:p w14:paraId="42851F1B">
            <w:pPr>
              <w:spacing w:line="440" w:lineRule="exact"/>
              <w:jc w:val="center"/>
              <w:rPr>
                <w:rFonts w:hint="eastAsia" w:ascii="仿宋" w:hAnsi="仿宋" w:eastAsia="仿宋" w:cs="仿宋"/>
                <w:szCs w:val="21"/>
                <w:highlight w:val="none"/>
              </w:rPr>
            </w:pPr>
          </w:p>
        </w:tc>
        <w:tc>
          <w:tcPr>
            <w:tcW w:w="720" w:type="dxa"/>
          </w:tcPr>
          <w:p w14:paraId="3CDCE3EA">
            <w:pPr>
              <w:spacing w:line="440" w:lineRule="exact"/>
              <w:jc w:val="center"/>
              <w:rPr>
                <w:rFonts w:hint="eastAsia" w:ascii="仿宋" w:hAnsi="仿宋" w:eastAsia="仿宋" w:cs="仿宋"/>
                <w:szCs w:val="21"/>
                <w:highlight w:val="none"/>
              </w:rPr>
            </w:pPr>
          </w:p>
        </w:tc>
        <w:tc>
          <w:tcPr>
            <w:tcW w:w="2524" w:type="dxa"/>
          </w:tcPr>
          <w:p w14:paraId="14572096">
            <w:pPr>
              <w:spacing w:line="440" w:lineRule="exact"/>
              <w:jc w:val="center"/>
              <w:rPr>
                <w:rFonts w:hint="eastAsia" w:ascii="仿宋" w:hAnsi="仿宋" w:eastAsia="仿宋" w:cs="仿宋"/>
                <w:szCs w:val="21"/>
                <w:highlight w:val="none"/>
              </w:rPr>
            </w:pPr>
          </w:p>
        </w:tc>
        <w:tc>
          <w:tcPr>
            <w:tcW w:w="669" w:type="dxa"/>
          </w:tcPr>
          <w:p w14:paraId="2D097897">
            <w:pPr>
              <w:spacing w:line="440" w:lineRule="exact"/>
              <w:jc w:val="center"/>
              <w:rPr>
                <w:rFonts w:hint="eastAsia" w:ascii="仿宋" w:hAnsi="仿宋" w:eastAsia="仿宋" w:cs="仿宋"/>
                <w:szCs w:val="21"/>
                <w:highlight w:val="none"/>
              </w:rPr>
            </w:pPr>
          </w:p>
        </w:tc>
      </w:tr>
      <w:tr w14:paraId="0409B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39377655">
            <w:pPr>
              <w:spacing w:line="440" w:lineRule="exact"/>
              <w:jc w:val="center"/>
              <w:rPr>
                <w:rFonts w:hint="eastAsia" w:ascii="仿宋" w:hAnsi="仿宋" w:eastAsia="仿宋" w:cs="仿宋"/>
                <w:szCs w:val="21"/>
                <w:highlight w:val="none"/>
              </w:rPr>
            </w:pPr>
          </w:p>
        </w:tc>
        <w:tc>
          <w:tcPr>
            <w:tcW w:w="721" w:type="dxa"/>
          </w:tcPr>
          <w:p w14:paraId="57A5133B">
            <w:pPr>
              <w:spacing w:line="440" w:lineRule="exact"/>
              <w:jc w:val="center"/>
              <w:rPr>
                <w:rFonts w:hint="eastAsia" w:ascii="仿宋" w:hAnsi="仿宋" w:eastAsia="仿宋" w:cs="仿宋"/>
                <w:szCs w:val="21"/>
                <w:highlight w:val="none"/>
              </w:rPr>
            </w:pPr>
          </w:p>
        </w:tc>
        <w:tc>
          <w:tcPr>
            <w:tcW w:w="720" w:type="dxa"/>
          </w:tcPr>
          <w:p w14:paraId="3F341D03">
            <w:pPr>
              <w:spacing w:line="440" w:lineRule="exact"/>
              <w:jc w:val="center"/>
              <w:rPr>
                <w:rFonts w:hint="eastAsia" w:ascii="仿宋" w:hAnsi="仿宋" w:eastAsia="仿宋" w:cs="仿宋"/>
                <w:szCs w:val="21"/>
                <w:highlight w:val="none"/>
              </w:rPr>
            </w:pPr>
          </w:p>
        </w:tc>
        <w:tc>
          <w:tcPr>
            <w:tcW w:w="1081" w:type="dxa"/>
          </w:tcPr>
          <w:p w14:paraId="163A2B15">
            <w:pPr>
              <w:spacing w:line="440" w:lineRule="exact"/>
              <w:jc w:val="center"/>
              <w:rPr>
                <w:rFonts w:hint="eastAsia" w:ascii="仿宋" w:hAnsi="仿宋" w:eastAsia="仿宋" w:cs="仿宋"/>
                <w:szCs w:val="21"/>
                <w:highlight w:val="none"/>
              </w:rPr>
            </w:pPr>
          </w:p>
        </w:tc>
        <w:tc>
          <w:tcPr>
            <w:tcW w:w="720" w:type="dxa"/>
          </w:tcPr>
          <w:p w14:paraId="6059C7D3">
            <w:pPr>
              <w:spacing w:line="440" w:lineRule="exact"/>
              <w:jc w:val="center"/>
              <w:rPr>
                <w:rFonts w:hint="eastAsia" w:ascii="仿宋" w:hAnsi="仿宋" w:eastAsia="仿宋" w:cs="仿宋"/>
                <w:szCs w:val="21"/>
                <w:highlight w:val="none"/>
              </w:rPr>
            </w:pPr>
          </w:p>
        </w:tc>
        <w:tc>
          <w:tcPr>
            <w:tcW w:w="721" w:type="dxa"/>
          </w:tcPr>
          <w:p w14:paraId="6EC61B0F">
            <w:pPr>
              <w:spacing w:line="440" w:lineRule="exact"/>
              <w:jc w:val="center"/>
              <w:rPr>
                <w:rFonts w:hint="eastAsia" w:ascii="仿宋" w:hAnsi="仿宋" w:eastAsia="仿宋" w:cs="仿宋"/>
                <w:szCs w:val="21"/>
                <w:highlight w:val="none"/>
              </w:rPr>
            </w:pPr>
          </w:p>
        </w:tc>
        <w:tc>
          <w:tcPr>
            <w:tcW w:w="720" w:type="dxa"/>
          </w:tcPr>
          <w:p w14:paraId="3EDF34BA">
            <w:pPr>
              <w:spacing w:line="440" w:lineRule="exact"/>
              <w:jc w:val="center"/>
              <w:rPr>
                <w:rFonts w:hint="eastAsia" w:ascii="仿宋" w:hAnsi="仿宋" w:eastAsia="仿宋" w:cs="仿宋"/>
                <w:szCs w:val="21"/>
                <w:highlight w:val="none"/>
              </w:rPr>
            </w:pPr>
          </w:p>
        </w:tc>
        <w:tc>
          <w:tcPr>
            <w:tcW w:w="2524" w:type="dxa"/>
          </w:tcPr>
          <w:p w14:paraId="5D537732">
            <w:pPr>
              <w:spacing w:line="440" w:lineRule="exact"/>
              <w:jc w:val="center"/>
              <w:rPr>
                <w:rFonts w:hint="eastAsia" w:ascii="仿宋" w:hAnsi="仿宋" w:eastAsia="仿宋" w:cs="仿宋"/>
                <w:szCs w:val="21"/>
                <w:highlight w:val="none"/>
              </w:rPr>
            </w:pPr>
          </w:p>
        </w:tc>
        <w:tc>
          <w:tcPr>
            <w:tcW w:w="669" w:type="dxa"/>
          </w:tcPr>
          <w:p w14:paraId="7D429206">
            <w:pPr>
              <w:spacing w:line="440" w:lineRule="exact"/>
              <w:jc w:val="center"/>
              <w:rPr>
                <w:rFonts w:hint="eastAsia" w:ascii="仿宋" w:hAnsi="仿宋" w:eastAsia="仿宋" w:cs="仿宋"/>
                <w:szCs w:val="21"/>
                <w:highlight w:val="none"/>
              </w:rPr>
            </w:pPr>
          </w:p>
        </w:tc>
      </w:tr>
      <w:tr w14:paraId="309DA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2FEB94F1">
            <w:pPr>
              <w:spacing w:line="440" w:lineRule="exact"/>
              <w:jc w:val="center"/>
              <w:rPr>
                <w:rFonts w:hint="eastAsia" w:ascii="仿宋" w:hAnsi="仿宋" w:eastAsia="仿宋" w:cs="仿宋"/>
                <w:szCs w:val="21"/>
                <w:highlight w:val="none"/>
              </w:rPr>
            </w:pPr>
          </w:p>
        </w:tc>
        <w:tc>
          <w:tcPr>
            <w:tcW w:w="721" w:type="dxa"/>
          </w:tcPr>
          <w:p w14:paraId="586D16DC">
            <w:pPr>
              <w:spacing w:line="440" w:lineRule="exact"/>
              <w:jc w:val="center"/>
              <w:rPr>
                <w:rFonts w:hint="eastAsia" w:ascii="仿宋" w:hAnsi="仿宋" w:eastAsia="仿宋" w:cs="仿宋"/>
                <w:szCs w:val="21"/>
                <w:highlight w:val="none"/>
              </w:rPr>
            </w:pPr>
          </w:p>
        </w:tc>
        <w:tc>
          <w:tcPr>
            <w:tcW w:w="720" w:type="dxa"/>
          </w:tcPr>
          <w:p w14:paraId="0B3CDA9B">
            <w:pPr>
              <w:spacing w:line="440" w:lineRule="exact"/>
              <w:jc w:val="center"/>
              <w:rPr>
                <w:rFonts w:hint="eastAsia" w:ascii="仿宋" w:hAnsi="仿宋" w:eastAsia="仿宋" w:cs="仿宋"/>
                <w:szCs w:val="21"/>
                <w:highlight w:val="none"/>
              </w:rPr>
            </w:pPr>
          </w:p>
        </w:tc>
        <w:tc>
          <w:tcPr>
            <w:tcW w:w="1081" w:type="dxa"/>
          </w:tcPr>
          <w:p w14:paraId="75A29158">
            <w:pPr>
              <w:spacing w:line="440" w:lineRule="exact"/>
              <w:jc w:val="center"/>
              <w:rPr>
                <w:rFonts w:hint="eastAsia" w:ascii="仿宋" w:hAnsi="仿宋" w:eastAsia="仿宋" w:cs="仿宋"/>
                <w:szCs w:val="21"/>
                <w:highlight w:val="none"/>
              </w:rPr>
            </w:pPr>
          </w:p>
        </w:tc>
        <w:tc>
          <w:tcPr>
            <w:tcW w:w="720" w:type="dxa"/>
          </w:tcPr>
          <w:p w14:paraId="320F671A">
            <w:pPr>
              <w:spacing w:line="440" w:lineRule="exact"/>
              <w:jc w:val="center"/>
              <w:rPr>
                <w:rFonts w:hint="eastAsia" w:ascii="仿宋" w:hAnsi="仿宋" w:eastAsia="仿宋" w:cs="仿宋"/>
                <w:szCs w:val="21"/>
                <w:highlight w:val="none"/>
              </w:rPr>
            </w:pPr>
          </w:p>
        </w:tc>
        <w:tc>
          <w:tcPr>
            <w:tcW w:w="721" w:type="dxa"/>
          </w:tcPr>
          <w:p w14:paraId="629581C9">
            <w:pPr>
              <w:spacing w:line="440" w:lineRule="exact"/>
              <w:jc w:val="center"/>
              <w:rPr>
                <w:rFonts w:hint="eastAsia" w:ascii="仿宋" w:hAnsi="仿宋" w:eastAsia="仿宋" w:cs="仿宋"/>
                <w:szCs w:val="21"/>
                <w:highlight w:val="none"/>
              </w:rPr>
            </w:pPr>
          </w:p>
        </w:tc>
        <w:tc>
          <w:tcPr>
            <w:tcW w:w="720" w:type="dxa"/>
          </w:tcPr>
          <w:p w14:paraId="58E689A4">
            <w:pPr>
              <w:spacing w:line="440" w:lineRule="exact"/>
              <w:jc w:val="center"/>
              <w:rPr>
                <w:rFonts w:hint="eastAsia" w:ascii="仿宋" w:hAnsi="仿宋" w:eastAsia="仿宋" w:cs="仿宋"/>
                <w:szCs w:val="21"/>
                <w:highlight w:val="none"/>
              </w:rPr>
            </w:pPr>
          </w:p>
        </w:tc>
        <w:tc>
          <w:tcPr>
            <w:tcW w:w="2524" w:type="dxa"/>
          </w:tcPr>
          <w:p w14:paraId="6E36E38B">
            <w:pPr>
              <w:spacing w:line="440" w:lineRule="exact"/>
              <w:jc w:val="center"/>
              <w:rPr>
                <w:rFonts w:hint="eastAsia" w:ascii="仿宋" w:hAnsi="仿宋" w:eastAsia="仿宋" w:cs="仿宋"/>
                <w:szCs w:val="21"/>
                <w:highlight w:val="none"/>
              </w:rPr>
            </w:pPr>
          </w:p>
        </w:tc>
        <w:tc>
          <w:tcPr>
            <w:tcW w:w="669" w:type="dxa"/>
          </w:tcPr>
          <w:p w14:paraId="3347ABA6">
            <w:pPr>
              <w:spacing w:line="440" w:lineRule="exact"/>
              <w:jc w:val="center"/>
              <w:rPr>
                <w:rFonts w:hint="eastAsia" w:ascii="仿宋" w:hAnsi="仿宋" w:eastAsia="仿宋" w:cs="仿宋"/>
                <w:szCs w:val="21"/>
                <w:highlight w:val="none"/>
              </w:rPr>
            </w:pPr>
          </w:p>
        </w:tc>
      </w:tr>
      <w:tr w14:paraId="341A4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52695F0A">
            <w:pPr>
              <w:spacing w:line="440" w:lineRule="exact"/>
              <w:jc w:val="center"/>
              <w:rPr>
                <w:rFonts w:hint="eastAsia" w:ascii="仿宋" w:hAnsi="仿宋" w:eastAsia="仿宋" w:cs="仿宋"/>
                <w:szCs w:val="21"/>
                <w:highlight w:val="none"/>
              </w:rPr>
            </w:pPr>
          </w:p>
        </w:tc>
        <w:tc>
          <w:tcPr>
            <w:tcW w:w="721" w:type="dxa"/>
          </w:tcPr>
          <w:p w14:paraId="23796092">
            <w:pPr>
              <w:spacing w:line="440" w:lineRule="exact"/>
              <w:jc w:val="center"/>
              <w:rPr>
                <w:rFonts w:hint="eastAsia" w:ascii="仿宋" w:hAnsi="仿宋" w:eastAsia="仿宋" w:cs="仿宋"/>
                <w:szCs w:val="21"/>
                <w:highlight w:val="none"/>
              </w:rPr>
            </w:pPr>
          </w:p>
        </w:tc>
        <w:tc>
          <w:tcPr>
            <w:tcW w:w="720" w:type="dxa"/>
          </w:tcPr>
          <w:p w14:paraId="2B7806A0">
            <w:pPr>
              <w:spacing w:line="440" w:lineRule="exact"/>
              <w:jc w:val="center"/>
              <w:rPr>
                <w:rFonts w:hint="eastAsia" w:ascii="仿宋" w:hAnsi="仿宋" w:eastAsia="仿宋" w:cs="仿宋"/>
                <w:szCs w:val="21"/>
                <w:highlight w:val="none"/>
              </w:rPr>
            </w:pPr>
          </w:p>
        </w:tc>
        <w:tc>
          <w:tcPr>
            <w:tcW w:w="1081" w:type="dxa"/>
          </w:tcPr>
          <w:p w14:paraId="717D7F10">
            <w:pPr>
              <w:spacing w:line="440" w:lineRule="exact"/>
              <w:jc w:val="center"/>
              <w:rPr>
                <w:rFonts w:hint="eastAsia" w:ascii="仿宋" w:hAnsi="仿宋" w:eastAsia="仿宋" w:cs="仿宋"/>
                <w:szCs w:val="21"/>
                <w:highlight w:val="none"/>
              </w:rPr>
            </w:pPr>
          </w:p>
        </w:tc>
        <w:tc>
          <w:tcPr>
            <w:tcW w:w="720" w:type="dxa"/>
          </w:tcPr>
          <w:p w14:paraId="7373A0F0">
            <w:pPr>
              <w:spacing w:line="440" w:lineRule="exact"/>
              <w:jc w:val="center"/>
              <w:rPr>
                <w:rFonts w:hint="eastAsia" w:ascii="仿宋" w:hAnsi="仿宋" w:eastAsia="仿宋" w:cs="仿宋"/>
                <w:szCs w:val="21"/>
                <w:highlight w:val="none"/>
              </w:rPr>
            </w:pPr>
          </w:p>
        </w:tc>
        <w:tc>
          <w:tcPr>
            <w:tcW w:w="721" w:type="dxa"/>
          </w:tcPr>
          <w:p w14:paraId="2E78A39F">
            <w:pPr>
              <w:spacing w:line="440" w:lineRule="exact"/>
              <w:jc w:val="center"/>
              <w:rPr>
                <w:rFonts w:hint="eastAsia" w:ascii="仿宋" w:hAnsi="仿宋" w:eastAsia="仿宋" w:cs="仿宋"/>
                <w:szCs w:val="21"/>
                <w:highlight w:val="none"/>
              </w:rPr>
            </w:pPr>
          </w:p>
        </w:tc>
        <w:tc>
          <w:tcPr>
            <w:tcW w:w="720" w:type="dxa"/>
          </w:tcPr>
          <w:p w14:paraId="5FC2E975">
            <w:pPr>
              <w:spacing w:line="440" w:lineRule="exact"/>
              <w:jc w:val="center"/>
              <w:rPr>
                <w:rFonts w:hint="eastAsia" w:ascii="仿宋" w:hAnsi="仿宋" w:eastAsia="仿宋" w:cs="仿宋"/>
                <w:szCs w:val="21"/>
                <w:highlight w:val="none"/>
              </w:rPr>
            </w:pPr>
          </w:p>
        </w:tc>
        <w:tc>
          <w:tcPr>
            <w:tcW w:w="2524" w:type="dxa"/>
          </w:tcPr>
          <w:p w14:paraId="522DE9C0">
            <w:pPr>
              <w:spacing w:line="440" w:lineRule="exact"/>
              <w:jc w:val="center"/>
              <w:rPr>
                <w:rFonts w:hint="eastAsia" w:ascii="仿宋" w:hAnsi="仿宋" w:eastAsia="仿宋" w:cs="仿宋"/>
                <w:szCs w:val="21"/>
                <w:highlight w:val="none"/>
              </w:rPr>
            </w:pPr>
          </w:p>
        </w:tc>
        <w:tc>
          <w:tcPr>
            <w:tcW w:w="669" w:type="dxa"/>
          </w:tcPr>
          <w:p w14:paraId="7F249F4B">
            <w:pPr>
              <w:spacing w:line="440" w:lineRule="exact"/>
              <w:jc w:val="center"/>
              <w:rPr>
                <w:rFonts w:hint="eastAsia" w:ascii="仿宋" w:hAnsi="仿宋" w:eastAsia="仿宋" w:cs="仿宋"/>
                <w:szCs w:val="21"/>
                <w:highlight w:val="none"/>
              </w:rPr>
            </w:pPr>
          </w:p>
        </w:tc>
      </w:tr>
      <w:tr w14:paraId="5ED1F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56184A13">
            <w:pPr>
              <w:spacing w:line="440" w:lineRule="exact"/>
              <w:jc w:val="center"/>
              <w:rPr>
                <w:rFonts w:hint="eastAsia" w:ascii="仿宋" w:hAnsi="仿宋" w:eastAsia="仿宋" w:cs="仿宋"/>
                <w:szCs w:val="21"/>
                <w:highlight w:val="none"/>
              </w:rPr>
            </w:pPr>
          </w:p>
        </w:tc>
        <w:tc>
          <w:tcPr>
            <w:tcW w:w="721" w:type="dxa"/>
          </w:tcPr>
          <w:p w14:paraId="371BCE7C">
            <w:pPr>
              <w:spacing w:line="440" w:lineRule="exact"/>
              <w:jc w:val="center"/>
              <w:rPr>
                <w:rFonts w:hint="eastAsia" w:ascii="仿宋" w:hAnsi="仿宋" w:eastAsia="仿宋" w:cs="仿宋"/>
                <w:szCs w:val="21"/>
                <w:highlight w:val="none"/>
              </w:rPr>
            </w:pPr>
          </w:p>
        </w:tc>
        <w:tc>
          <w:tcPr>
            <w:tcW w:w="720" w:type="dxa"/>
          </w:tcPr>
          <w:p w14:paraId="5C33AFF7">
            <w:pPr>
              <w:spacing w:line="440" w:lineRule="exact"/>
              <w:jc w:val="center"/>
              <w:rPr>
                <w:rFonts w:hint="eastAsia" w:ascii="仿宋" w:hAnsi="仿宋" w:eastAsia="仿宋" w:cs="仿宋"/>
                <w:szCs w:val="21"/>
                <w:highlight w:val="none"/>
              </w:rPr>
            </w:pPr>
          </w:p>
        </w:tc>
        <w:tc>
          <w:tcPr>
            <w:tcW w:w="1081" w:type="dxa"/>
          </w:tcPr>
          <w:p w14:paraId="00BE4B88">
            <w:pPr>
              <w:spacing w:line="440" w:lineRule="exact"/>
              <w:jc w:val="center"/>
              <w:rPr>
                <w:rFonts w:hint="eastAsia" w:ascii="仿宋" w:hAnsi="仿宋" w:eastAsia="仿宋" w:cs="仿宋"/>
                <w:szCs w:val="21"/>
                <w:highlight w:val="none"/>
              </w:rPr>
            </w:pPr>
          </w:p>
        </w:tc>
        <w:tc>
          <w:tcPr>
            <w:tcW w:w="720" w:type="dxa"/>
          </w:tcPr>
          <w:p w14:paraId="11C8B55A">
            <w:pPr>
              <w:spacing w:line="440" w:lineRule="exact"/>
              <w:jc w:val="center"/>
              <w:rPr>
                <w:rFonts w:hint="eastAsia" w:ascii="仿宋" w:hAnsi="仿宋" w:eastAsia="仿宋" w:cs="仿宋"/>
                <w:szCs w:val="21"/>
                <w:highlight w:val="none"/>
              </w:rPr>
            </w:pPr>
          </w:p>
        </w:tc>
        <w:tc>
          <w:tcPr>
            <w:tcW w:w="721" w:type="dxa"/>
          </w:tcPr>
          <w:p w14:paraId="6D99706C">
            <w:pPr>
              <w:spacing w:line="440" w:lineRule="exact"/>
              <w:jc w:val="center"/>
              <w:rPr>
                <w:rFonts w:hint="eastAsia" w:ascii="仿宋" w:hAnsi="仿宋" w:eastAsia="仿宋" w:cs="仿宋"/>
                <w:szCs w:val="21"/>
                <w:highlight w:val="none"/>
              </w:rPr>
            </w:pPr>
          </w:p>
        </w:tc>
        <w:tc>
          <w:tcPr>
            <w:tcW w:w="720" w:type="dxa"/>
          </w:tcPr>
          <w:p w14:paraId="680E5EA0">
            <w:pPr>
              <w:spacing w:line="440" w:lineRule="exact"/>
              <w:jc w:val="center"/>
              <w:rPr>
                <w:rFonts w:hint="eastAsia" w:ascii="仿宋" w:hAnsi="仿宋" w:eastAsia="仿宋" w:cs="仿宋"/>
                <w:szCs w:val="21"/>
                <w:highlight w:val="none"/>
              </w:rPr>
            </w:pPr>
          </w:p>
        </w:tc>
        <w:tc>
          <w:tcPr>
            <w:tcW w:w="2524" w:type="dxa"/>
          </w:tcPr>
          <w:p w14:paraId="17544883">
            <w:pPr>
              <w:spacing w:line="440" w:lineRule="exact"/>
              <w:jc w:val="center"/>
              <w:rPr>
                <w:rFonts w:hint="eastAsia" w:ascii="仿宋" w:hAnsi="仿宋" w:eastAsia="仿宋" w:cs="仿宋"/>
                <w:szCs w:val="21"/>
                <w:highlight w:val="none"/>
              </w:rPr>
            </w:pPr>
          </w:p>
        </w:tc>
        <w:tc>
          <w:tcPr>
            <w:tcW w:w="669" w:type="dxa"/>
          </w:tcPr>
          <w:p w14:paraId="4E57D1C3">
            <w:pPr>
              <w:spacing w:line="440" w:lineRule="exact"/>
              <w:jc w:val="center"/>
              <w:rPr>
                <w:rFonts w:hint="eastAsia" w:ascii="仿宋" w:hAnsi="仿宋" w:eastAsia="仿宋" w:cs="仿宋"/>
                <w:szCs w:val="21"/>
                <w:highlight w:val="none"/>
              </w:rPr>
            </w:pPr>
          </w:p>
        </w:tc>
      </w:tr>
      <w:tr w14:paraId="1245C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4B1F5EF7">
            <w:pPr>
              <w:spacing w:line="440" w:lineRule="exact"/>
              <w:jc w:val="center"/>
              <w:rPr>
                <w:rFonts w:hint="eastAsia" w:ascii="仿宋" w:hAnsi="仿宋" w:eastAsia="仿宋" w:cs="仿宋"/>
                <w:szCs w:val="21"/>
                <w:highlight w:val="none"/>
              </w:rPr>
            </w:pPr>
          </w:p>
        </w:tc>
        <w:tc>
          <w:tcPr>
            <w:tcW w:w="721" w:type="dxa"/>
          </w:tcPr>
          <w:p w14:paraId="3CF1EA91">
            <w:pPr>
              <w:spacing w:line="440" w:lineRule="exact"/>
              <w:jc w:val="center"/>
              <w:rPr>
                <w:rFonts w:hint="eastAsia" w:ascii="仿宋" w:hAnsi="仿宋" w:eastAsia="仿宋" w:cs="仿宋"/>
                <w:szCs w:val="21"/>
                <w:highlight w:val="none"/>
              </w:rPr>
            </w:pPr>
          </w:p>
        </w:tc>
        <w:tc>
          <w:tcPr>
            <w:tcW w:w="720" w:type="dxa"/>
          </w:tcPr>
          <w:p w14:paraId="670FE800">
            <w:pPr>
              <w:spacing w:line="440" w:lineRule="exact"/>
              <w:jc w:val="center"/>
              <w:rPr>
                <w:rFonts w:hint="eastAsia" w:ascii="仿宋" w:hAnsi="仿宋" w:eastAsia="仿宋" w:cs="仿宋"/>
                <w:szCs w:val="21"/>
                <w:highlight w:val="none"/>
              </w:rPr>
            </w:pPr>
          </w:p>
        </w:tc>
        <w:tc>
          <w:tcPr>
            <w:tcW w:w="1081" w:type="dxa"/>
          </w:tcPr>
          <w:p w14:paraId="5C35D820">
            <w:pPr>
              <w:spacing w:line="440" w:lineRule="exact"/>
              <w:jc w:val="center"/>
              <w:rPr>
                <w:rFonts w:hint="eastAsia" w:ascii="仿宋" w:hAnsi="仿宋" w:eastAsia="仿宋" w:cs="仿宋"/>
                <w:szCs w:val="21"/>
                <w:highlight w:val="none"/>
              </w:rPr>
            </w:pPr>
          </w:p>
        </w:tc>
        <w:tc>
          <w:tcPr>
            <w:tcW w:w="720" w:type="dxa"/>
          </w:tcPr>
          <w:p w14:paraId="0AB07DE6">
            <w:pPr>
              <w:spacing w:line="440" w:lineRule="exact"/>
              <w:jc w:val="center"/>
              <w:rPr>
                <w:rFonts w:hint="eastAsia" w:ascii="仿宋" w:hAnsi="仿宋" w:eastAsia="仿宋" w:cs="仿宋"/>
                <w:szCs w:val="21"/>
                <w:highlight w:val="none"/>
              </w:rPr>
            </w:pPr>
          </w:p>
        </w:tc>
        <w:tc>
          <w:tcPr>
            <w:tcW w:w="721" w:type="dxa"/>
          </w:tcPr>
          <w:p w14:paraId="7534230C">
            <w:pPr>
              <w:spacing w:line="440" w:lineRule="exact"/>
              <w:jc w:val="center"/>
              <w:rPr>
                <w:rFonts w:hint="eastAsia" w:ascii="仿宋" w:hAnsi="仿宋" w:eastAsia="仿宋" w:cs="仿宋"/>
                <w:szCs w:val="21"/>
                <w:highlight w:val="none"/>
              </w:rPr>
            </w:pPr>
          </w:p>
        </w:tc>
        <w:tc>
          <w:tcPr>
            <w:tcW w:w="720" w:type="dxa"/>
          </w:tcPr>
          <w:p w14:paraId="1A3E638B">
            <w:pPr>
              <w:spacing w:line="440" w:lineRule="exact"/>
              <w:jc w:val="center"/>
              <w:rPr>
                <w:rFonts w:hint="eastAsia" w:ascii="仿宋" w:hAnsi="仿宋" w:eastAsia="仿宋" w:cs="仿宋"/>
                <w:szCs w:val="21"/>
                <w:highlight w:val="none"/>
              </w:rPr>
            </w:pPr>
          </w:p>
        </w:tc>
        <w:tc>
          <w:tcPr>
            <w:tcW w:w="2524" w:type="dxa"/>
          </w:tcPr>
          <w:p w14:paraId="17027F3A">
            <w:pPr>
              <w:spacing w:line="440" w:lineRule="exact"/>
              <w:jc w:val="center"/>
              <w:rPr>
                <w:rFonts w:hint="eastAsia" w:ascii="仿宋" w:hAnsi="仿宋" w:eastAsia="仿宋" w:cs="仿宋"/>
                <w:szCs w:val="21"/>
                <w:highlight w:val="none"/>
              </w:rPr>
            </w:pPr>
          </w:p>
        </w:tc>
        <w:tc>
          <w:tcPr>
            <w:tcW w:w="669" w:type="dxa"/>
          </w:tcPr>
          <w:p w14:paraId="6835364D">
            <w:pPr>
              <w:spacing w:line="440" w:lineRule="exact"/>
              <w:jc w:val="center"/>
              <w:rPr>
                <w:rFonts w:hint="eastAsia" w:ascii="仿宋" w:hAnsi="仿宋" w:eastAsia="仿宋" w:cs="仿宋"/>
                <w:szCs w:val="21"/>
                <w:highlight w:val="none"/>
              </w:rPr>
            </w:pPr>
          </w:p>
        </w:tc>
      </w:tr>
      <w:tr w14:paraId="34E49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42C8D3A3">
            <w:pPr>
              <w:spacing w:line="440" w:lineRule="exact"/>
              <w:jc w:val="center"/>
              <w:rPr>
                <w:rFonts w:hint="eastAsia" w:ascii="仿宋" w:hAnsi="仿宋" w:eastAsia="仿宋" w:cs="仿宋"/>
                <w:szCs w:val="21"/>
                <w:highlight w:val="none"/>
              </w:rPr>
            </w:pPr>
          </w:p>
        </w:tc>
        <w:tc>
          <w:tcPr>
            <w:tcW w:w="721" w:type="dxa"/>
          </w:tcPr>
          <w:p w14:paraId="6CE7E546">
            <w:pPr>
              <w:spacing w:line="440" w:lineRule="exact"/>
              <w:jc w:val="center"/>
              <w:rPr>
                <w:rFonts w:hint="eastAsia" w:ascii="仿宋" w:hAnsi="仿宋" w:eastAsia="仿宋" w:cs="仿宋"/>
                <w:szCs w:val="21"/>
                <w:highlight w:val="none"/>
              </w:rPr>
            </w:pPr>
          </w:p>
        </w:tc>
        <w:tc>
          <w:tcPr>
            <w:tcW w:w="720" w:type="dxa"/>
          </w:tcPr>
          <w:p w14:paraId="4C7D87FB">
            <w:pPr>
              <w:spacing w:line="440" w:lineRule="exact"/>
              <w:jc w:val="center"/>
              <w:rPr>
                <w:rFonts w:hint="eastAsia" w:ascii="仿宋" w:hAnsi="仿宋" w:eastAsia="仿宋" w:cs="仿宋"/>
                <w:szCs w:val="21"/>
                <w:highlight w:val="none"/>
              </w:rPr>
            </w:pPr>
          </w:p>
        </w:tc>
        <w:tc>
          <w:tcPr>
            <w:tcW w:w="1081" w:type="dxa"/>
          </w:tcPr>
          <w:p w14:paraId="6AA043E4">
            <w:pPr>
              <w:spacing w:line="440" w:lineRule="exact"/>
              <w:jc w:val="center"/>
              <w:rPr>
                <w:rFonts w:hint="eastAsia" w:ascii="仿宋" w:hAnsi="仿宋" w:eastAsia="仿宋" w:cs="仿宋"/>
                <w:szCs w:val="21"/>
                <w:highlight w:val="none"/>
              </w:rPr>
            </w:pPr>
          </w:p>
        </w:tc>
        <w:tc>
          <w:tcPr>
            <w:tcW w:w="720" w:type="dxa"/>
          </w:tcPr>
          <w:p w14:paraId="2AA73D89">
            <w:pPr>
              <w:spacing w:line="440" w:lineRule="exact"/>
              <w:jc w:val="center"/>
              <w:rPr>
                <w:rFonts w:hint="eastAsia" w:ascii="仿宋" w:hAnsi="仿宋" w:eastAsia="仿宋" w:cs="仿宋"/>
                <w:szCs w:val="21"/>
                <w:highlight w:val="none"/>
              </w:rPr>
            </w:pPr>
          </w:p>
        </w:tc>
        <w:tc>
          <w:tcPr>
            <w:tcW w:w="721" w:type="dxa"/>
          </w:tcPr>
          <w:p w14:paraId="6528CB2C">
            <w:pPr>
              <w:spacing w:line="440" w:lineRule="exact"/>
              <w:jc w:val="center"/>
              <w:rPr>
                <w:rFonts w:hint="eastAsia" w:ascii="仿宋" w:hAnsi="仿宋" w:eastAsia="仿宋" w:cs="仿宋"/>
                <w:szCs w:val="21"/>
                <w:highlight w:val="none"/>
              </w:rPr>
            </w:pPr>
          </w:p>
        </w:tc>
        <w:tc>
          <w:tcPr>
            <w:tcW w:w="720" w:type="dxa"/>
          </w:tcPr>
          <w:p w14:paraId="14DE0E3E">
            <w:pPr>
              <w:spacing w:line="440" w:lineRule="exact"/>
              <w:jc w:val="center"/>
              <w:rPr>
                <w:rFonts w:hint="eastAsia" w:ascii="仿宋" w:hAnsi="仿宋" w:eastAsia="仿宋" w:cs="仿宋"/>
                <w:szCs w:val="21"/>
                <w:highlight w:val="none"/>
              </w:rPr>
            </w:pPr>
          </w:p>
        </w:tc>
        <w:tc>
          <w:tcPr>
            <w:tcW w:w="2524" w:type="dxa"/>
          </w:tcPr>
          <w:p w14:paraId="1934D93C">
            <w:pPr>
              <w:spacing w:line="440" w:lineRule="exact"/>
              <w:jc w:val="center"/>
              <w:rPr>
                <w:rFonts w:hint="eastAsia" w:ascii="仿宋" w:hAnsi="仿宋" w:eastAsia="仿宋" w:cs="仿宋"/>
                <w:szCs w:val="21"/>
                <w:highlight w:val="none"/>
              </w:rPr>
            </w:pPr>
          </w:p>
        </w:tc>
        <w:tc>
          <w:tcPr>
            <w:tcW w:w="669" w:type="dxa"/>
          </w:tcPr>
          <w:p w14:paraId="56243826">
            <w:pPr>
              <w:spacing w:line="440" w:lineRule="exact"/>
              <w:jc w:val="center"/>
              <w:rPr>
                <w:rFonts w:hint="eastAsia" w:ascii="仿宋" w:hAnsi="仿宋" w:eastAsia="仿宋" w:cs="仿宋"/>
                <w:szCs w:val="21"/>
                <w:highlight w:val="none"/>
              </w:rPr>
            </w:pPr>
          </w:p>
        </w:tc>
      </w:tr>
      <w:tr w14:paraId="503DB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0DE3B8BC">
            <w:pPr>
              <w:spacing w:line="440" w:lineRule="exact"/>
              <w:jc w:val="center"/>
              <w:rPr>
                <w:rFonts w:hint="eastAsia" w:ascii="仿宋" w:hAnsi="仿宋" w:eastAsia="仿宋" w:cs="仿宋"/>
                <w:szCs w:val="21"/>
                <w:highlight w:val="none"/>
              </w:rPr>
            </w:pPr>
          </w:p>
        </w:tc>
        <w:tc>
          <w:tcPr>
            <w:tcW w:w="721" w:type="dxa"/>
          </w:tcPr>
          <w:p w14:paraId="609935E1">
            <w:pPr>
              <w:spacing w:line="440" w:lineRule="exact"/>
              <w:jc w:val="center"/>
              <w:rPr>
                <w:rFonts w:hint="eastAsia" w:ascii="仿宋" w:hAnsi="仿宋" w:eastAsia="仿宋" w:cs="仿宋"/>
                <w:szCs w:val="21"/>
                <w:highlight w:val="none"/>
              </w:rPr>
            </w:pPr>
          </w:p>
        </w:tc>
        <w:tc>
          <w:tcPr>
            <w:tcW w:w="720" w:type="dxa"/>
          </w:tcPr>
          <w:p w14:paraId="09407C18">
            <w:pPr>
              <w:spacing w:line="440" w:lineRule="exact"/>
              <w:jc w:val="center"/>
              <w:rPr>
                <w:rFonts w:hint="eastAsia" w:ascii="仿宋" w:hAnsi="仿宋" w:eastAsia="仿宋" w:cs="仿宋"/>
                <w:szCs w:val="21"/>
                <w:highlight w:val="none"/>
              </w:rPr>
            </w:pPr>
          </w:p>
        </w:tc>
        <w:tc>
          <w:tcPr>
            <w:tcW w:w="1081" w:type="dxa"/>
          </w:tcPr>
          <w:p w14:paraId="66FFF440">
            <w:pPr>
              <w:spacing w:line="440" w:lineRule="exact"/>
              <w:jc w:val="center"/>
              <w:rPr>
                <w:rFonts w:hint="eastAsia" w:ascii="仿宋" w:hAnsi="仿宋" w:eastAsia="仿宋" w:cs="仿宋"/>
                <w:szCs w:val="21"/>
                <w:highlight w:val="none"/>
              </w:rPr>
            </w:pPr>
          </w:p>
        </w:tc>
        <w:tc>
          <w:tcPr>
            <w:tcW w:w="720" w:type="dxa"/>
          </w:tcPr>
          <w:p w14:paraId="51487F5E">
            <w:pPr>
              <w:spacing w:line="440" w:lineRule="exact"/>
              <w:jc w:val="center"/>
              <w:rPr>
                <w:rFonts w:hint="eastAsia" w:ascii="仿宋" w:hAnsi="仿宋" w:eastAsia="仿宋" w:cs="仿宋"/>
                <w:szCs w:val="21"/>
                <w:highlight w:val="none"/>
              </w:rPr>
            </w:pPr>
          </w:p>
        </w:tc>
        <w:tc>
          <w:tcPr>
            <w:tcW w:w="721" w:type="dxa"/>
          </w:tcPr>
          <w:p w14:paraId="2B489007">
            <w:pPr>
              <w:spacing w:line="440" w:lineRule="exact"/>
              <w:jc w:val="center"/>
              <w:rPr>
                <w:rFonts w:hint="eastAsia" w:ascii="仿宋" w:hAnsi="仿宋" w:eastAsia="仿宋" w:cs="仿宋"/>
                <w:szCs w:val="21"/>
                <w:highlight w:val="none"/>
              </w:rPr>
            </w:pPr>
          </w:p>
        </w:tc>
        <w:tc>
          <w:tcPr>
            <w:tcW w:w="720" w:type="dxa"/>
          </w:tcPr>
          <w:p w14:paraId="0FD27842">
            <w:pPr>
              <w:spacing w:line="440" w:lineRule="exact"/>
              <w:jc w:val="center"/>
              <w:rPr>
                <w:rFonts w:hint="eastAsia" w:ascii="仿宋" w:hAnsi="仿宋" w:eastAsia="仿宋" w:cs="仿宋"/>
                <w:szCs w:val="21"/>
                <w:highlight w:val="none"/>
              </w:rPr>
            </w:pPr>
          </w:p>
        </w:tc>
        <w:tc>
          <w:tcPr>
            <w:tcW w:w="2524" w:type="dxa"/>
          </w:tcPr>
          <w:p w14:paraId="3C0E8FDE">
            <w:pPr>
              <w:spacing w:line="440" w:lineRule="exact"/>
              <w:jc w:val="center"/>
              <w:rPr>
                <w:rFonts w:hint="eastAsia" w:ascii="仿宋" w:hAnsi="仿宋" w:eastAsia="仿宋" w:cs="仿宋"/>
                <w:szCs w:val="21"/>
                <w:highlight w:val="none"/>
              </w:rPr>
            </w:pPr>
          </w:p>
        </w:tc>
        <w:tc>
          <w:tcPr>
            <w:tcW w:w="669" w:type="dxa"/>
          </w:tcPr>
          <w:p w14:paraId="7EE66C26">
            <w:pPr>
              <w:spacing w:line="440" w:lineRule="exact"/>
              <w:jc w:val="center"/>
              <w:rPr>
                <w:rFonts w:hint="eastAsia" w:ascii="仿宋" w:hAnsi="仿宋" w:eastAsia="仿宋" w:cs="仿宋"/>
                <w:szCs w:val="21"/>
                <w:highlight w:val="none"/>
              </w:rPr>
            </w:pPr>
          </w:p>
        </w:tc>
      </w:tr>
      <w:tr w14:paraId="0BDFB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291B53DE">
            <w:pPr>
              <w:spacing w:line="440" w:lineRule="exact"/>
              <w:jc w:val="center"/>
              <w:rPr>
                <w:rFonts w:hint="eastAsia" w:ascii="仿宋" w:hAnsi="仿宋" w:eastAsia="仿宋" w:cs="仿宋"/>
                <w:szCs w:val="21"/>
                <w:highlight w:val="none"/>
              </w:rPr>
            </w:pPr>
          </w:p>
        </w:tc>
        <w:tc>
          <w:tcPr>
            <w:tcW w:w="721" w:type="dxa"/>
          </w:tcPr>
          <w:p w14:paraId="4359216D">
            <w:pPr>
              <w:spacing w:line="440" w:lineRule="exact"/>
              <w:jc w:val="center"/>
              <w:rPr>
                <w:rFonts w:hint="eastAsia" w:ascii="仿宋" w:hAnsi="仿宋" w:eastAsia="仿宋" w:cs="仿宋"/>
                <w:szCs w:val="21"/>
                <w:highlight w:val="none"/>
              </w:rPr>
            </w:pPr>
          </w:p>
        </w:tc>
        <w:tc>
          <w:tcPr>
            <w:tcW w:w="720" w:type="dxa"/>
          </w:tcPr>
          <w:p w14:paraId="10F8E0FE">
            <w:pPr>
              <w:spacing w:line="440" w:lineRule="exact"/>
              <w:jc w:val="center"/>
              <w:rPr>
                <w:rFonts w:hint="eastAsia" w:ascii="仿宋" w:hAnsi="仿宋" w:eastAsia="仿宋" w:cs="仿宋"/>
                <w:szCs w:val="21"/>
                <w:highlight w:val="none"/>
              </w:rPr>
            </w:pPr>
          </w:p>
        </w:tc>
        <w:tc>
          <w:tcPr>
            <w:tcW w:w="1081" w:type="dxa"/>
          </w:tcPr>
          <w:p w14:paraId="32BDD839">
            <w:pPr>
              <w:spacing w:line="440" w:lineRule="exact"/>
              <w:jc w:val="center"/>
              <w:rPr>
                <w:rFonts w:hint="eastAsia" w:ascii="仿宋" w:hAnsi="仿宋" w:eastAsia="仿宋" w:cs="仿宋"/>
                <w:szCs w:val="21"/>
                <w:highlight w:val="none"/>
              </w:rPr>
            </w:pPr>
          </w:p>
        </w:tc>
        <w:tc>
          <w:tcPr>
            <w:tcW w:w="720" w:type="dxa"/>
          </w:tcPr>
          <w:p w14:paraId="2BCEEAF7">
            <w:pPr>
              <w:spacing w:line="440" w:lineRule="exact"/>
              <w:jc w:val="center"/>
              <w:rPr>
                <w:rFonts w:hint="eastAsia" w:ascii="仿宋" w:hAnsi="仿宋" w:eastAsia="仿宋" w:cs="仿宋"/>
                <w:szCs w:val="21"/>
                <w:highlight w:val="none"/>
              </w:rPr>
            </w:pPr>
          </w:p>
        </w:tc>
        <w:tc>
          <w:tcPr>
            <w:tcW w:w="721" w:type="dxa"/>
          </w:tcPr>
          <w:p w14:paraId="792DE181">
            <w:pPr>
              <w:spacing w:line="440" w:lineRule="exact"/>
              <w:jc w:val="center"/>
              <w:rPr>
                <w:rFonts w:hint="eastAsia" w:ascii="仿宋" w:hAnsi="仿宋" w:eastAsia="仿宋" w:cs="仿宋"/>
                <w:szCs w:val="21"/>
                <w:highlight w:val="none"/>
              </w:rPr>
            </w:pPr>
          </w:p>
        </w:tc>
        <w:tc>
          <w:tcPr>
            <w:tcW w:w="720" w:type="dxa"/>
          </w:tcPr>
          <w:p w14:paraId="357E1B7B">
            <w:pPr>
              <w:spacing w:line="440" w:lineRule="exact"/>
              <w:jc w:val="center"/>
              <w:rPr>
                <w:rFonts w:hint="eastAsia" w:ascii="仿宋" w:hAnsi="仿宋" w:eastAsia="仿宋" w:cs="仿宋"/>
                <w:szCs w:val="21"/>
                <w:highlight w:val="none"/>
              </w:rPr>
            </w:pPr>
          </w:p>
        </w:tc>
        <w:tc>
          <w:tcPr>
            <w:tcW w:w="2524" w:type="dxa"/>
          </w:tcPr>
          <w:p w14:paraId="2B5F4D4A">
            <w:pPr>
              <w:spacing w:line="440" w:lineRule="exact"/>
              <w:jc w:val="center"/>
              <w:rPr>
                <w:rFonts w:hint="eastAsia" w:ascii="仿宋" w:hAnsi="仿宋" w:eastAsia="仿宋" w:cs="仿宋"/>
                <w:szCs w:val="21"/>
                <w:highlight w:val="none"/>
              </w:rPr>
            </w:pPr>
          </w:p>
        </w:tc>
        <w:tc>
          <w:tcPr>
            <w:tcW w:w="669" w:type="dxa"/>
          </w:tcPr>
          <w:p w14:paraId="56C4C8C8">
            <w:pPr>
              <w:spacing w:line="440" w:lineRule="exact"/>
              <w:jc w:val="center"/>
              <w:rPr>
                <w:rFonts w:hint="eastAsia" w:ascii="仿宋" w:hAnsi="仿宋" w:eastAsia="仿宋" w:cs="仿宋"/>
                <w:szCs w:val="21"/>
                <w:highlight w:val="none"/>
              </w:rPr>
            </w:pPr>
          </w:p>
        </w:tc>
      </w:tr>
      <w:tr w14:paraId="03DD5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299B6BFA">
            <w:pPr>
              <w:spacing w:line="440" w:lineRule="exact"/>
              <w:jc w:val="center"/>
              <w:rPr>
                <w:rFonts w:hint="eastAsia" w:ascii="仿宋" w:hAnsi="仿宋" w:eastAsia="仿宋" w:cs="仿宋"/>
                <w:szCs w:val="21"/>
                <w:highlight w:val="none"/>
              </w:rPr>
            </w:pPr>
          </w:p>
        </w:tc>
        <w:tc>
          <w:tcPr>
            <w:tcW w:w="721" w:type="dxa"/>
          </w:tcPr>
          <w:p w14:paraId="372C44DA">
            <w:pPr>
              <w:spacing w:line="440" w:lineRule="exact"/>
              <w:jc w:val="center"/>
              <w:rPr>
                <w:rFonts w:hint="eastAsia" w:ascii="仿宋" w:hAnsi="仿宋" w:eastAsia="仿宋" w:cs="仿宋"/>
                <w:szCs w:val="21"/>
                <w:highlight w:val="none"/>
              </w:rPr>
            </w:pPr>
          </w:p>
        </w:tc>
        <w:tc>
          <w:tcPr>
            <w:tcW w:w="720" w:type="dxa"/>
          </w:tcPr>
          <w:p w14:paraId="547ED0E1">
            <w:pPr>
              <w:spacing w:line="440" w:lineRule="exact"/>
              <w:jc w:val="center"/>
              <w:rPr>
                <w:rFonts w:hint="eastAsia" w:ascii="仿宋" w:hAnsi="仿宋" w:eastAsia="仿宋" w:cs="仿宋"/>
                <w:szCs w:val="21"/>
                <w:highlight w:val="none"/>
              </w:rPr>
            </w:pPr>
          </w:p>
        </w:tc>
        <w:tc>
          <w:tcPr>
            <w:tcW w:w="1081" w:type="dxa"/>
          </w:tcPr>
          <w:p w14:paraId="391B8CEF">
            <w:pPr>
              <w:spacing w:line="440" w:lineRule="exact"/>
              <w:jc w:val="center"/>
              <w:rPr>
                <w:rFonts w:hint="eastAsia" w:ascii="仿宋" w:hAnsi="仿宋" w:eastAsia="仿宋" w:cs="仿宋"/>
                <w:szCs w:val="21"/>
                <w:highlight w:val="none"/>
              </w:rPr>
            </w:pPr>
          </w:p>
        </w:tc>
        <w:tc>
          <w:tcPr>
            <w:tcW w:w="720" w:type="dxa"/>
          </w:tcPr>
          <w:p w14:paraId="44DAE06A">
            <w:pPr>
              <w:spacing w:line="440" w:lineRule="exact"/>
              <w:jc w:val="center"/>
              <w:rPr>
                <w:rFonts w:hint="eastAsia" w:ascii="仿宋" w:hAnsi="仿宋" w:eastAsia="仿宋" w:cs="仿宋"/>
                <w:szCs w:val="21"/>
                <w:highlight w:val="none"/>
              </w:rPr>
            </w:pPr>
          </w:p>
        </w:tc>
        <w:tc>
          <w:tcPr>
            <w:tcW w:w="721" w:type="dxa"/>
          </w:tcPr>
          <w:p w14:paraId="54EB50B7">
            <w:pPr>
              <w:spacing w:line="440" w:lineRule="exact"/>
              <w:jc w:val="center"/>
              <w:rPr>
                <w:rFonts w:hint="eastAsia" w:ascii="仿宋" w:hAnsi="仿宋" w:eastAsia="仿宋" w:cs="仿宋"/>
                <w:szCs w:val="21"/>
                <w:highlight w:val="none"/>
              </w:rPr>
            </w:pPr>
          </w:p>
        </w:tc>
        <w:tc>
          <w:tcPr>
            <w:tcW w:w="720" w:type="dxa"/>
          </w:tcPr>
          <w:p w14:paraId="6B36555C">
            <w:pPr>
              <w:spacing w:line="440" w:lineRule="exact"/>
              <w:jc w:val="center"/>
              <w:rPr>
                <w:rFonts w:hint="eastAsia" w:ascii="仿宋" w:hAnsi="仿宋" w:eastAsia="仿宋" w:cs="仿宋"/>
                <w:szCs w:val="21"/>
                <w:highlight w:val="none"/>
              </w:rPr>
            </w:pPr>
          </w:p>
        </w:tc>
        <w:tc>
          <w:tcPr>
            <w:tcW w:w="2524" w:type="dxa"/>
          </w:tcPr>
          <w:p w14:paraId="2270C58C">
            <w:pPr>
              <w:spacing w:line="440" w:lineRule="exact"/>
              <w:jc w:val="center"/>
              <w:rPr>
                <w:rFonts w:hint="eastAsia" w:ascii="仿宋" w:hAnsi="仿宋" w:eastAsia="仿宋" w:cs="仿宋"/>
                <w:szCs w:val="21"/>
                <w:highlight w:val="none"/>
              </w:rPr>
            </w:pPr>
          </w:p>
        </w:tc>
        <w:tc>
          <w:tcPr>
            <w:tcW w:w="669" w:type="dxa"/>
          </w:tcPr>
          <w:p w14:paraId="2AB601B4">
            <w:pPr>
              <w:spacing w:line="440" w:lineRule="exact"/>
              <w:jc w:val="center"/>
              <w:rPr>
                <w:rFonts w:hint="eastAsia" w:ascii="仿宋" w:hAnsi="仿宋" w:eastAsia="仿宋" w:cs="仿宋"/>
                <w:szCs w:val="21"/>
                <w:highlight w:val="none"/>
              </w:rPr>
            </w:pPr>
          </w:p>
        </w:tc>
      </w:tr>
      <w:tr w14:paraId="4BDBC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52BA3025">
            <w:pPr>
              <w:spacing w:line="440" w:lineRule="exact"/>
              <w:jc w:val="center"/>
              <w:rPr>
                <w:rFonts w:hint="eastAsia" w:ascii="仿宋" w:hAnsi="仿宋" w:eastAsia="仿宋" w:cs="仿宋"/>
                <w:szCs w:val="21"/>
                <w:highlight w:val="none"/>
              </w:rPr>
            </w:pPr>
          </w:p>
        </w:tc>
        <w:tc>
          <w:tcPr>
            <w:tcW w:w="721" w:type="dxa"/>
          </w:tcPr>
          <w:p w14:paraId="645B01CA">
            <w:pPr>
              <w:spacing w:line="440" w:lineRule="exact"/>
              <w:jc w:val="center"/>
              <w:rPr>
                <w:rFonts w:hint="eastAsia" w:ascii="仿宋" w:hAnsi="仿宋" w:eastAsia="仿宋" w:cs="仿宋"/>
                <w:szCs w:val="21"/>
                <w:highlight w:val="none"/>
              </w:rPr>
            </w:pPr>
          </w:p>
        </w:tc>
        <w:tc>
          <w:tcPr>
            <w:tcW w:w="720" w:type="dxa"/>
          </w:tcPr>
          <w:p w14:paraId="4AB5FA4B">
            <w:pPr>
              <w:spacing w:line="440" w:lineRule="exact"/>
              <w:jc w:val="center"/>
              <w:rPr>
                <w:rFonts w:hint="eastAsia" w:ascii="仿宋" w:hAnsi="仿宋" w:eastAsia="仿宋" w:cs="仿宋"/>
                <w:szCs w:val="21"/>
                <w:highlight w:val="none"/>
              </w:rPr>
            </w:pPr>
          </w:p>
        </w:tc>
        <w:tc>
          <w:tcPr>
            <w:tcW w:w="1081" w:type="dxa"/>
          </w:tcPr>
          <w:p w14:paraId="45212227">
            <w:pPr>
              <w:spacing w:line="440" w:lineRule="exact"/>
              <w:jc w:val="center"/>
              <w:rPr>
                <w:rFonts w:hint="eastAsia" w:ascii="仿宋" w:hAnsi="仿宋" w:eastAsia="仿宋" w:cs="仿宋"/>
                <w:szCs w:val="21"/>
                <w:highlight w:val="none"/>
              </w:rPr>
            </w:pPr>
          </w:p>
        </w:tc>
        <w:tc>
          <w:tcPr>
            <w:tcW w:w="720" w:type="dxa"/>
          </w:tcPr>
          <w:p w14:paraId="11ABA568">
            <w:pPr>
              <w:spacing w:line="440" w:lineRule="exact"/>
              <w:jc w:val="center"/>
              <w:rPr>
                <w:rFonts w:hint="eastAsia" w:ascii="仿宋" w:hAnsi="仿宋" w:eastAsia="仿宋" w:cs="仿宋"/>
                <w:szCs w:val="21"/>
                <w:highlight w:val="none"/>
              </w:rPr>
            </w:pPr>
          </w:p>
        </w:tc>
        <w:tc>
          <w:tcPr>
            <w:tcW w:w="721" w:type="dxa"/>
          </w:tcPr>
          <w:p w14:paraId="5013A0D7">
            <w:pPr>
              <w:spacing w:line="440" w:lineRule="exact"/>
              <w:jc w:val="center"/>
              <w:rPr>
                <w:rFonts w:hint="eastAsia" w:ascii="仿宋" w:hAnsi="仿宋" w:eastAsia="仿宋" w:cs="仿宋"/>
                <w:szCs w:val="21"/>
                <w:highlight w:val="none"/>
              </w:rPr>
            </w:pPr>
          </w:p>
        </w:tc>
        <w:tc>
          <w:tcPr>
            <w:tcW w:w="720" w:type="dxa"/>
          </w:tcPr>
          <w:p w14:paraId="3AF4D2AC">
            <w:pPr>
              <w:spacing w:line="440" w:lineRule="exact"/>
              <w:jc w:val="center"/>
              <w:rPr>
                <w:rFonts w:hint="eastAsia" w:ascii="仿宋" w:hAnsi="仿宋" w:eastAsia="仿宋" w:cs="仿宋"/>
                <w:szCs w:val="21"/>
                <w:highlight w:val="none"/>
              </w:rPr>
            </w:pPr>
          </w:p>
        </w:tc>
        <w:tc>
          <w:tcPr>
            <w:tcW w:w="2524" w:type="dxa"/>
          </w:tcPr>
          <w:p w14:paraId="62E7ACA3">
            <w:pPr>
              <w:spacing w:line="440" w:lineRule="exact"/>
              <w:jc w:val="center"/>
              <w:rPr>
                <w:rFonts w:hint="eastAsia" w:ascii="仿宋" w:hAnsi="仿宋" w:eastAsia="仿宋" w:cs="仿宋"/>
                <w:szCs w:val="21"/>
                <w:highlight w:val="none"/>
              </w:rPr>
            </w:pPr>
          </w:p>
        </w:tc>
        <w:tc>
          <w:tcPr>
            <w:tcW w:w="669" w:type="dxa"/>
          </w:tcPr>
          <w:p w14:paraId="1EA77ED4">
            <w:pPr>
              <w:spacing w:line="440" w:lineRule="exact"/>
              <w:jc w:val="center"/>
              <w:rPr>
                <w:rFonts w:hint="eastAsia" w:ascii="仿宋" w:hAnsi="仿宋" w:eastAsia="仿宋" w:cs="仿宋"/>
                <w:szCs w:val="21"/>
                <w:highlight w:val="none"/>
              </w:rPr>
            </w:pPr>
          </w:p>
        </w:tc>
      </w:tr>
      <w:tr w14:paraId="483F5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3E0CE326">
            <w:pPr>
              <w:spacing w:line="440" w:lineRule="exact"/>
              <w:jc w:val="center"/>
              <w:rPr>
                <w:rFonts w:hint="eastAsia" w:ascii="仿宋" w:hAnsi="仿宋" w:eastAsia="仿宋" w:cs="仿宋"/>
                <w:szCs w:val="21"/>
                <w:highlight w:val="none"/>
              </w:rPr>
            </w:pPr>
          </w:p>
        </w:tc>
        <w:tc>
          <w:tcPr>
            <w:tcW w:w="721" w:type="dxa"/>
          </w:tcPr>
          <w:p w14:paraId="19568BD8">
            <w:pPr>
              <w:spacing w:line="440" w:lineRule="exact"/>
              <w:jc w:val="center"/>
              <w:rPr>
                <w:rFonts w:hint="eastAsia" w:ascii="仿宋" w:hAnsi="仿宋" w:eastAsia="仿宋" w:cs="仿宋"/>
                <w:szCs w:val="21"/>
                <w:highlight w:val="none"/>
              </w:rPr>
            </w:pPr>
          </w:p>
        </w:tc>
        <w:tc>
          <w:tcPr>
            <w:tcW w:w="720" w:type="dxa"/>
          </w:tcPr>
          <w:p w14:paraId="2ECB9DE6">
            <w:pPr>
              <w:spacing w:line="440" w:lineRule="exact"/>
              <w:jc w:val="center"/>
              <w:rPr>
                <w:rFonts w:hint="eastAsia" w:ascii="仿宋" w:hAnsi="仿宋" w:eastAsia="仿宋" w:cs="仿宋"/>
                <w:szCs w:val="21"/>
                <w:highlight w:val="none"/>
              </w:rPr>
            </w:pPr>
          </w:p>
        </w:tc>
        <w:tc>
          <w:tcPr>
            <w:tcW w:w="1081" w:type="dxa"/>
          </w:tcPr>
          <w:p w14:paraId="3343A478">
            <w:pPr>
              <w:spacing w:line="440" w:lineRule="exact"/>
              <w:jc w:val="center"/>
              <w:rPr>
                <w:rFonts w:hint="eastAsia" w:ascii="仿宋" w:hAnsi="仿宋" w:eastAsia="仿宋" w:cs="仿宋"/>
                <w:szCs w:val="21"/>
                <w:highlight w:val="none"/>
              </w:rPr>
            </w:pPr>
          </w:p>
        </w:tc>
        <w:tc>
          <w:tcPr>
            <w:tcW w:w="720" w:type="dxa"/>
          </w:tcPr>
          <w:p w14:paraId="0411DB73">
            <w:pPr>
              <w:spacing w:line="440" w:lineRule="exact"/>
              <w:jc w:val="center"/>
              <w:rPr>
                <w:rFonts w:hint="eastAsia" w:ascii="仿宋" w:hAnsi="仿宋" w:eastAsia="仿宋" w:cs="仿宋"/>
                <w:szCs w:val="21"/>
                <w:highlight w:val="none"/>
              </w:rPr>
            </w:pPr>
          </w:p>
        </w:tc>
        <w:tc>
          <w:tcPr>
            <w:tcW w:w="721" w:type="dxa"/>
          </w:tcPr>
          <w:p w14:paraId="36D2C5F7">
            <w:pPr>
              <w:spacing w:line="440" w:lineRule="exact"/>
              <w:jc w:val="center"/>
              <w:rPr>
                <w:rFonts w:hint="eastAsia" w:ascii="仿宋" w:hAnsi="仿宋" w:eastAsia="仿宋" w:cs="仿宋"/>
                <w:szCs w:val="21"/>
                <w:highlight w:val="none"/>
              </w:rPr>
            </w:pPr>
          </w:p>
        </w:tc>
        <w:tc>
          <w:tcPr>
            <w:tcW w:w="720" w:type="dxa"/>
          </w:tcPr>
          <w:p w14:paraId="49ED152C">
            <w:pPr>
              <w:spacing w:line="440" w:lineRule="exact"/>
              <w:jc w:val="center"/>
              <w:rPr>
                <w:rFonts w:hint="eastAsia" w:ascii="仿宋" w:hAnsi="仿宋" w:eastAsia="仿宋" w:cs="仿宋"/>
                <w:szCs w:val="21"/>
                <w:highlight w:val="none"/>
              </w:rPr>
            </w:pPr>
          </w:p>
        </w:tc>
        <w:tc>
          <w:tcPr>
            <w:tcW w:w="2524" w:type="dxa"/>
          </w:tcPr>
          <w:p w14:paraId="62CFEAEE">
            <w:pPr>
              <w:spacing w:line="440" w:lineRule="exact"/>
              <w:jc w:val="center"/>
              <w:rPr>
                <w:rFonts w:hint="eastAsia" w:ascii="仿宋" w:hAnsi="仿宋" w:eastAsia="仿宋" w:cs="仿宋"/>
                <w:szCs w:val="21"/>
                <w:highlight w:val="none"/>
              </w:rPr>
            </w:pPr>
          </w:p>
        </w:tc>
        <w:tc>
          <w:tcPr>
            <w:tcW w:w="669" w:type="dxa"/>
          </w:tcPr>
          <w:p w14:paraId="7A70D159">
            <w:pPr>
              <w:spacing w:line="440" w:lineRule="exact"/>
              <w:jc w:val="center"/>
              <w:rPr>
                <w:rFonts w:hint="eastAsia" w:ascii="仿宋" w:hAnsi="仿宋" w:eastAsia="仿宋" w:cs="仿宋"/>
                <w:szCs w:val="21"/>
                <w:highlight w:val="none"/>
              </w:rPr>
            </w:pPr>
          </w:p>
        </w:tc>
      </w:tr>
      <w:tr w14:paraId="0EA12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3093188F">
            <w:pPr>
              <w:spacing w:line="440" w:lineRule="exact"/>
              <w:jc w:val="center"/>
              <w:rPr>
                <w:rFonts w:hint="eastAsia" w:ascii="仿宋" w:hAnsi="仿宋" w:eastAsia="仿宋" w:cs="仿宋"/>
                <w:szCs w:val="21"/>
                <w:highlight w:val="none"/>
              </w:rPr>
            </w:pPr>
          </w:p>
        </w:tc>
        <w:tc>
          <w:tcPr>
            <w:tcW w:w="721" w:type="dxa"/>
          </w:tcPr>
          <w:p w14:paraId="2DC78266">
            <w:pPr>
              <w:spacing w:line="440" w:lineRule="exact"/>
              <w:jc w:val="center"/>
              <w:rPr>
                <w:rFonts w:hint="eastAsia" w:ascii="仿宋" w:hAnsi="仿宋" w:eastAsia="仿宋" w:cs="仿宋"/>
                <w:szCs w:val="21"/>
                <w:highlight w:val="none"/>
              </w:rPr>
            </w:pPr>
          </w:p>
        </w:tc>
        <w:tc>
          <w:tcPr>
            <w:tcW w:w="720" w:type="dxa"/>
          </w:tcPr>
          <w:p w14:paraId="41E87BA6">
            <w:pPr>
              <w:spacing w:line="440" w:lineRule="exact"/>
              <w:jc w:val="center"/>
              <w:rPr>
                <w:rFonts w:hint="eastAsia" w:ascii="仿宋" w:hAnsi="仿宋" w:eastAsia="仿宋" w:cs="仿宋"/>
                <w:szCs w:val="21"/>
                <w:highlight w:val="none"/>
              </w:rPr>
            </w:pPr>
          </w:p>
        </w:tc>
        <w:tc>
          <w:tcPr>
            <w:tcW w:w="1081" w:type="dxa"/>
          </w:tcPr>
          <w:p w14:paraId="15D544D0">
            <w:pPr>
              <w:spacing w:line="440" w:lineRule="exact"/>
              <w:jc w:val="center"/>
              <w:rPr>
                <w:rFonts w:hint="eastAsia" w:ascii="仿宋" w:hAnsi="仿宋" w:eastAsia="仿宋" w:cs="仿宋"/>
                <w:szCs w:val="21"/>
                <w:highlight w:val="none"/>
              </w:rPr>
            </w:pPr>
          </w:p>
        </w:tc>
        <w:tc>
          <w:tcPr>
            <w:tcW w:w="720" w:type="dxa"/>
          </w:tcPr>
          <w:p w14:paraId="3AC675B3">
            <w:pPr>
              <w:spacing w:line="440" w:lineRule="exact"/>
              <w:jc w:val="center"/>
              <w:rPr>
                <w:rFonts w:hint="eastAsia" w:ascii="仿宋" w:hAnsi="仿宋" w:eastAsia="仿宋" w:cs="仿宋"/>
                <w:szCs w:val="21"/>
                <w:highlight w:val="none"/>
              </w:rPr>
            </w:pPr>
          </w:p>
        </w:tc>
        <w:tc>
          <w:tcPr>
            <w:tcW w:w="721" w:type="dxa"/>
          </w:tcPr>
          <w:p w14:paraId="1FA93350">
            <w:pPr>
              <w:spacing w:line="440" w:lineRule="exact"/>
              <w:jc w:val="center"/>
              <w:rPr>
                <w:rFonts w:hint="eastAsia" w:ascii="仿宋" w:hAnsi="仿宋" w:eastAsia="仿宋" w:cs="仿宋"/>
                <w:szCs w:val="21"/>
                <w:highlight w:val="none"/>
              </w:rPr>
            </w:pPr>
          </w:p>
        </w:tc>
        <w:tc>
          <w:tcPr>
            <w:tcW w:w="720" w:type="dxa"/>
          </w:tcPr>
          <w:p w14:paraId="4CBB0C0C">
            <w:pPr>
              <w:spacing w:line="440" w:lineRule="exact"/>
              <w:jc w:val="center"/>
              <w:rPr>
                <w:rFonts w:hint="eastAsia" w:ascii="仿宋" w:hAnsi="仿宋" w:eastAsia="仿宋" w:cs="仿宋"/>
                <w:szCs w:val="21"/>
                <w:highlight w:val="none"/>
              </w:rPr>
            </w:pPr>
          </w:p>
        </w:tc>
        <w:tc>
          <w:tcPr>
            <w:tcW w:w="2524" w:type="dxa"/>
          </w:tcPr>
          <w:p w14:paraId="12DE18C8">
            <w:pPr>
              <w:spacing w:line="440" w:lineRule="exact"/>
              <w:jc w:val="center"/>
              <w:rPr>
                <w:rFonts w:hint="eastAsia" w:ascii="仿宋" w:hAnsi="仿宋" w:eastAsia="仿宋" w:cs="仿宋"/>
                <w:szCs w:val="21"/>
                <w:highlight w:val="none"/>
              </w:rPr>
            </w:pPr>
          </w:p>
        </w:tc>
        <w:tc>
          <w:tcPr>
            <w:tcW w:w="669" w:type="dxa"/>
          </w:tcPr>
          <w:p w14:paraId="281863A8">
            <w:pPr>
              <w:spacing w:line="440" w:lineRule="exact"/>
              <w:jc w:val="center"/>
              <w:rPr>
                <w:rFonts w:hint="eastAsia" w:ascii="仿宋" w:hAnsi="仿宋" w:eastAsia="仿宋" w:cs="仿宋"/>
                <w:szCs w:val="21"/>
                <w:highlight w:val="none"/>
              </w:rPr>
            </w:pPr>
          </w:p>
        </w:tc>
      </w:tr>
      <w:tr w14:paraId="30A60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59A0A805">
            <w:pPr>
              <w:spacing w:line="440" w:lineRule="exact"/>
              <w:jc w:val="center"/>
              <w:rPr>
                <w:rFonts w:hint="eastAsia" w:ascii="仿宋" w:hAnsi="仿宋" w:eastAsia="仿宋" w:cs="仿宋"/>
                <w:szCs w:val="21"/>
                <w:highlight w:val="none"/>
              </w:rPr>
            </w:pPr>
          </w:p>
        </w:tc>
        <w:tc>
          <w:tcPr>
            <w:tcW w:w="721" w:type="dxa"/>
          </w:tcPr>
          <w:p w14:paraId="5364787C">
            <w:pPr>
              <w:spacing w:line="440" w:lineRule="exact"/>
              <w:jc w:val="center"/>
              <w:rPr>
                <w:rFonts w:hint="eastAsia" w:ascii="仿宋" w:hAnsi="仿宋" w:eastAsia="仿宋" w:cs="仿宋"/>
                <w:szCs w:val="21"/>
                <w:highlight w:val="none"/>
              </w:rPr>
            </w:pPr>
          </w:p>
        </w:tc>
        <w:tc>
          <w:tcPr>
            <w:tcW w:w="720" w:type="dxa"/>
          </w:tcPr>
          <w:p w14:paraId="03FEEFFA">
            <w:pPr>
              <w:spacing w:line="440" w:lineRule="exact"/>
              <w:jc w:val="center"/>
              <w:rPr>
                <w:rFonts w:hint="eastAsia" w:ascii="仿宋" w:hAnsi="仿宋" w:eastAsia="仿宋" w:cs="仿宋"/>
                <w:szCs w:val="21"/>
                <w:highlight w:val="none"/>
              </w:rPr>
            </w:pPr>
          </w:p>
        </w:tc>
        <w:tc>
          <w:tcPr>
            <w:tcW w:w="1081" w:type="dxa"/>
          </w:tcPr>
          <w:p w14:paraId="248CF128">
            <w:pPr>
              <w:spacing w:line="440" w:lineRule="exact"/>
              <w:jc w:val="center"/>
              <w:rPr>
                <w:rFonts w:hint="eastAsia" w:ascii="仿宋" w:hAnsi="仿宋" w:eastAsia="仿宋" w:cs="仿宋"/>
                <w:szCs w:val="21"/>
                <w:highlight w:val="none"/>
              </w:rPr>
            </w:pPr>
          </w:p>
        </w:tc>
        <w:tc>
          <w:tcPr>
            <w:tcW w:w="720" w:type="dxa"/>
          </w:tcPr>
          <w:p w14:paraId="0676E1A2">
            <w:pPr>
              <w:spacing w:line="440" w:lineRule="exact"/>
              <w:jc w:val="center"/>
              <w:rPr>
                <w:rFonts w:hint="eastAsia" w:ascii="仿宋" w:hAnsi="仿宋" w:eastAsia="仿宋" w:cs="仿宋"/>
                <w:szCs w:val="21"/>
                <w:highlight w:val="none"/>
              </w:rPr>
            </w:pPr>
          </w:p>
        </w:tc>
        <w:tc>
          <w:tcPr>
            <w:tcW w:w="721" w:type="dxa"/>
          </w:tcPr>
          <w:p w14:paraId="5B5EC408">
            <w:pPr>
              <w:spacing w:line="440" w:lineRule="exact"/>
              <w:jc w:val="center"/>
              <w:rPr>
                <w:rFonts w:hint="eastAsia" w:ascii="仿宋" w:hAnsi="仿宋" w:eastAsia="仿宋" w:cs="仿宋"/>
                <w:szCs w:val="21"/>
                <w:highlight w:val="none"/>
              </w:rPr>
            </w:pPr>
          </w:p>
        </w:tc>
        <w:tc>
          <w:tcPr>
            <w:tcW w:w="720" w:type="dxa"/>
          </w:tcPr>
          <w:p w14:paraId="06E76CD9">
            <w:pPr>
              <w:spacing w:line="440" w:lineRule="exact"/>
              <w:jc w:val="center"/>
              <w:rPr>
                <w:rFonts w:hint="eastAsia" w:ascii="仿宋" w:hAnsi="仿宋" w:eastAsia="仿宋" w:cs="仿宋"/>
                <w:szCs w:val="21"/>
                <w:highlight w:val="none"/>
              </w:rPr>
            </w:pPr>
          </w:p>
        </w:tc>
        <w:tc>
          <w:tcPr>
            <w:tcW w:w="2524" w:type="dxa"/>
          </w:tcPr>
          <w:p w14:paraId="018F1E64">
            <w:pPr>
              <w:spacing w:line="440" w:lineRule="exact"/>
              <w:jc w:val="center"/>
              <w:rPr>
                <w:rFonts w:hint="eastAsia" w:ascii="仿宋" w:hAnsi="仿宋" w:eastAsia="仿宋" w:cs="仿宋"/>
                <w:szCs w:val="21"/>
                <w:highlight w:val="none"/>
              </w:rPr>
            </w:pPr>
          </w:p>
        </w:tc>
        <w:tc>
          <w:tcPr>
            <w:tcW w:w="669" w:type="dxa"/>
          </w:tcPr>
          <w:p w14:paraId="094D4717">
            <w:pPr>
              <w:spacing w:line="440" w:lineRule="exact"/>
              <w:jc w:val="center"/>
              <w:rPr>
                <w:rFonts w:hint="eastAsia" w:ascii="仿宋" w:hAnsi="仿宋" w:eastAsia="仿宋" w:cs="仿宋"/>
                <w:szCs w:val="21"/>
                <w:highlight w:val="none"/>
              </w:rPr>
            </w:pPr>
          </w:p>
        </w:tc>
      </w:tr>
      <w:tr w14:paraId="7968A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678A667D">
            <w:pPr>
              <w:spacing w:line="440" w:lineRule="exact"/>
              <w:jc w:val="center"/>
              <w:rPr>
                <w:rFonts w:hint="eastAsia" w:ascii="仿宋" w:hAnsi="仿宋" w:eastAsia="仿宋" w:cs="仿宋"/>
                <w:szCs w:val="21"/>
                <w:highlight w:val="none"/>
              </w:rPr>
            </w:pPr>
          </w:p>
        </w:tc>
        <w:tc>
          <w:tcPr>
            <w:tcW w:w="721" w:type="dxa"/>
          </w:tcPr>
          <w:p w14:paraId="10E00A2B">
            <w:pPr>
              <w:spacing w:line="440" w:lineRule="exact"/>
              <w:jc w:val="center"/>
              <w:rPr>
                <w:rFonts w:hint="eastAsia" w:ascii="仿宋" w:hAnsi="仿宋" w:eastAsia="仿宋" w:cs="仿宋"/>
                <w:szCs w:val="21"/>
                <w:highlight w:val="none"/>
              </w:rPr>
            </w:pPr>
          </w:p>
        </w:tc>
        <w:tc>
          <w:tcPr>
            <w:tcW w:w="720" w:type="dxa"/>
          </w:tcPr>
          <w:p w14:paraId="5B5A7297">
            <w:pPr>
              <w:spacing w:line="440" w:lineRule="exact"/>
              <w:jc w:val="center"/>
              <w:rPr>
                <w:rFonts w:hint="eastAsia" w:ascii="仿宋" w:hAnsi="仿宋" w:eastAsia="仿宋" w:cs="仿宋"/>
                <w:szCs w:val="21"/>
                <w:highlight w:val="none"/>
              </w:rPr>
            </w:pPr>
          </w:p>
        </w:tc>
        <w:tc>
          <w:tcPr>
            <w:tcW w:w="1081" w:type="dxa"/>
          </w:tcPr>
          <w:p w14:paraId="43F77E91">
            <w:pPr>
              <w:spacing w:line="440" w:lineRule="exact"/>
              <w:jc w:val="center"/>
              <w:rPr>
                <w:rFonts w:hint="eastAsia" w:ascii="仿宋" w:hAnsi="仿宋" w:eastAsia="仿宋" w:cs="仿宋"/>
                <w:szCs w:val="21"/>
                <w:highlight w:val="none"/>
              </w:rPr>
            </w:pPr>
          </w:p>
        </w:tc>
        <w:tc>
          <w:tcPr>
            <w:tcW w:w="720" w:type="dxa"/>
          </w:tcPr>
          <w:p w14:paraId="56D95A61">
            <w:pPr>
              <w:spacing w:line="440" w:lineRule="exact"/>
              <w:jc w:val="center"/>
              <w:rPr>
                <w:rFonts w:hint="eastAsia" w:ascii="仿宋" w:hAnsi="仿宋" w:eastAsia="仿宋" w:cs="仿宋"/>
                <w:szCs w:val="21"/>
                <w:highlight w:val="none"/>
              </w:rPr>
            </w:pPr>
          </w:p>
        </w:tc>
        <w:tc>
          <w:tcPr>
            <w:tcW w:w="721" w:type="dxa"/>
          </w:tcPr>
          <w:p w14:paraId="6028FE85">
            <w:pPr>
              <w:spacing w:line="440" w:lineRule="exact"/>
              <w:jc w:val="center"/>
              <w:rPr>
                <w:rFonts w:hint="eastAsia" w:ascii="仿宋" w:hAnsi="仿宋" w:eastAsia="仿宋" w:cs="仿宋"/>
                <w:szCs w:val="21"/>
                <w:highlight w:val="none"/>
              </w:rPr>
            </w:pPr>
          </w:p>
        </w:tc>
        <w:tc>
          <w:tcPr>
            <w:tcW w:w="720" w:type="dxa"/>
          </w:tcPr>
          <w:p w14:paraId="345CA6BA">
            <w:pPr>
              <w:spacing w:line="440" w:lineRule="exact"/>
              <w:jc w:val="center"/>
              <w:rPr>
                <w:rFonts w:hint="eastAsia" w:ascii="仿宋" w:hAnsi="仿宋" w:eastAsia="仿宋" w:cs="仿宋"/>
                <w:szCs w:val="21"/>
                <w:highlight w:val="none"/>
              </w:rPr>
            </w:pPr>
          </w:p>
        </w:tc>
        <w:tc>
          <w:tcPr>
            <w:tcW w:w="2524" w:type="dxa"/>
          </w:tcPr>
          <w:p w14:paraId="39E1BF18">
            <w:pPr>
              <w:spacing w:line="440" w:lineRule="exact"/>
              <w:jc w:val="center"/>
              <w:rPr>
                <w:rFonts w:hint="eastAsia" w:ascii="仿宋" w:hAnsi="仿宋" w:eastAsia="仿宋" w:cs="仿宋"/>
                <w:szCs w:val="21"/>
                <w:highlight w:val="none"/>
              </w:rPr>
            </w:pPr>
          </w:p>
        </w:tc>
        <w:tc>
          <w:tcPr>
            <w:tcW w:w="669" w:type="dxa"/>
          </w:tcPr>
          <w:p w14:paraId="1B4313CE">
            <w:pPr>
              <w:spacing w:line="440" w:lineRule="exact"/>
              <w:jc w:val="center"/>
              <w:rPr>
                <w:rFonts w:hint="eastAsia" w:ascii="仿宋" w:hAnsi="仿宋" w:eastAsia="仿宋" w:cs="仿宋"/>
                <w:szCs w:val="21"/>
                <w:highlight w:val="none"/>
              </w:rPr>
            </w:pPr>
          </w:p>
        </w:tc>
      </w:tr>
      <w:tr w14:paraId="35D2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68F25820">
            <w:pPr>
              <w:spacing w:line="440" w:lineRule="exact"/>
              <w:jc w:val="center"/>
              <w:rPr>
                <w:rFonts w:hint="eastAsia" w:ascii="仿宋" w:hAnsi="仿宋" w:eastAsia="仿宋" w:cs="仿宋"/>
                <w:szCs w:val="21"/>
                <w:highlight w:val="none"/>
              </w:rPr>
            </w:pPr>
          </w:p>
        </w:tc>
        <w:tc>
          <w:tcPr>
            <w:tcW w:w="721" w:type="dxa"/>
          </w:tcPr>
          <w:p w14:paraId="354AB2BA">
            <w:pPr>
              <w:spacing w:line="440" w:lineRule="exact"/>
              <w:jc w:val="center"/>
              <w:rPr>
                <w:rFonts w:hint="eastAsia" w:ascii="仿宋" w:hAnsi="仿宋" w:eastAsia="仿宋" w:cs="仿宋"/>
                <w:szCs w:val="21"/>
                <w:highlight w:val="none"/>
              </w:rPr>
            </w:pPr>
          </w:p>
        </w:tc>
        <w:tc>
          <w:tcPr>
            <w:tcW w:w="720" w:type="dxa"/>
          </w:tcPr>
          <w:p w14:paraId="4D5EC9A7">
            <w:pPr>
              <w:spacing w:line="440" w:lineRule="exact"/>
              <w:jc w:val="center"/>
              <w:rPr>
                <w:rFonts w:hint="eastAsia" w:ascii="仿宋" w:hAnsi="仿宋" w:eastAsia="仿宋" w:cs="仿宋"/>
                <w:szCs w:val="21"/>
                <w:highlight w:val="none"/>
              </w:rPr>
            </w:pPr>
          </w:p>
        </w:tc>
        <w:tc>
          <w:tcPr>
            <w:tcW w:w="1081" w:type="dxa"/>
          </w:tcPr>
          <w:p w14:paraId="31C1C7DC">
            <w:pPr>
              <w:spacing w:line="440" w:lineRule="exact"/>
              <w:jc w:val="center"/>
              <w:rPr>
                <w:rFonts w:hint="eastAsia" w:ascii="仿宋" w:hAnsi="仿宋" w:eastAsia="仿宋" w:cs="仿宋"/>
                <w:szCs w:val="21"/>
                <w:highlight w:val="none"/>
              </w:rPr>
            </w:pPr>
          </w:p>
        </w:tc>
        <w:tc>
          <w:tcPr>
            <w:tcW w:w="720" w:type="dxa"/>
          </w:tcPr>
          <w:p w14:paraId="67F84FB5">
            <w:pPr>
              <w:spacing w:line="440" w:lineRule="exact"/>
              <w:jc w:val="center"/>
              <w:rPr>
                <w:rFonts w:hint="eastAsia" w:ascii="仿宋" w:hAnsi="仿宋" w:eastAsia="仿宋" w:cs="仿宋"/>
                <w:szCs w:val="21"/>
                <w:highlight w:val="none"/>
              </w:rPr>
            </w:pPr>
          </w:p>
        </w:tc>
        <w:tc>
          <w:tcPr>
            <w:tcW w:w="721" w:type="dxa"/>
          </w:tcPr>
          <w:p w14:paraId="635AF1A4">
            <w:pPr>
              <w:spacing w:line="440" w:lineRule="exact"/>
              <w:jc w:val="center"/>
              <w:rPr>
                <w:rFonts w:hint="eastAsia" w:ascii="仿宋" w:hAnsi="仿宋" w:eastAsia="仿宋" w:cs="仿宋"/>
                <w:szCs w:val="21"/>
                <w:highlight w:val="none"/>
              </w:rPr>
            </w:pPr>
          </w:p>
        </w:tc>
        <w:tc>
          <w:tcPr>
            <w:tcW w:w="720" w:type="dxa"/>
          </w:tcPr>
          <w:p w14:paraId="5789E700">
            <w:pPr>
              <w:spacing w:line="440" w:lineRule="exact"/>
              <w:jc w:val="center"/>
              <w:rPr>
                <w:rFonts w:hint="eastAsia" w:ascii="仿宋" w:hAnsi="仿宋" w:eastAsia="仿宋" w:cs="仿宋"/>
                <w:szCs w:val="21"/>
                <w:highlight w:val="none"/>
              </w:rPr>
            </w:pPr>
          </w:p>
        </w:tc>
        <w:tc>
          <w:tcPr>
            <w:tcW w:w="2524" w:type="dxa"/>
          </w:tcPr>
          <w:p w14:paraId="258FEE5C">
            <w:pPr>
              <w:spacing w:line="440" w:lineRule="exact"/>
              <w:jc w:val="center"/>
              <w:rPr>
                <w:rFonts w:hint="eastAsia" w:ascii="仿宋" w:hAnsi="仿宋" w:eastAsia="仿宋" w:cs="仿宋"/>
                <w:szCs w:val="21"/>
                <w:highlight w:val="none"/>
              </w:rPr>
            </w:pPr>
          </w:p>
        </w:tc>
        <w:tc>
          <w:tcPr>
            <w:tcW w:w="669" w:type="dxa"/>
          </w:tcPr>
          <w:p w14:paraId="033E81A3">
            <w:pPr>
              <w:spacing w:line="440" w:lineRule="exact"/>
              <w:jc w:val="center"/>
              <w:rPr>
                <w:rFonts w:hint="eastAsia" w:ascii="仿宋" w:hAnsi="仿宋" w:eastAsia="仿宋" w:cs="仿宋"/>
                <w:szCs w:val="21"/>
                <w:highlight w:val="none"/>
              </w:rPr>
            </w:pPr>
          </w:p>
        </w:tc>
      </w:tr>
    </w:tbl>
    <w:p w14:paraId="5C4122DA">
      <w:pPr>
        <w:spacing w:line="440" w:lineRule="exact"/>
        <w:ind w:left="210" w:leftChars="100"/>
        <w:jc w:val="center"/>
        <w:rPr>
          <w:rFonts w:hint="eastAsia" w:ascii="仿宋" w:hAnsi="仿宋" w:eastAsia="仿宋" w:cs="仿宋"/>
          <w:sz w:val="20"/>
          <w:szCs w:val="20"/>
          <w:highlight w:val="none"/>
        </w:rPr>
      </w:pPr>
    </w:p>
    <w:p w14:paraId="47BF4EE1">
      <w:pPr>
        <w:spacing w:line="440" w:lineRule="exact"/>
        <w:ind w:left="210" w:leftChars="100"/>
        <w:rPr>
          <w:rFonts w:hint="eastAsia" w:ascii="仿宋" w:hAnsi="仿宋" w:eastAsia="仿宋" w:cs="仿宋"/>
          <w:sz w:val="20"/>
          <w:szCs w:val="20"/>
          <w:highlight w:val="none"/>
        </w:rPr>
      </w:pPr>
    </w:p>
    <w:p w14:paraId="6C82EDF5">
      <w:pPr>
        <w:spacing w:line="440" w:lineRule="exact"/>
        <w:rPr>
          <w:rFonts w:hint="eastAsia" w:ascii="仿宋" w:hAnsi="仿宋" w:eastAsia="仿宋" w:cs="仿宋"/>
          <w:sz w:val="20"/>
          <w:szCs w:val="20"/>
          <w:highlight w:val="none"/>
        </w:rPr>
      </w:pPr>
    </w:p>
    <w:p w14:paraId="27F6B139">
      <w:pPr>
        <w:pStyle w:val="4"/>
        <w:jc w:val="center"/>
        <w:rPr>
          <w:rFonts w:hint="eastAsia" w:ascii="仿宋" w:hAnsi="仿宋" w:eastAsia="仿宋" w:cs="仿宋"/>
          <w:bCs w:val="0"/>
          <w:sz w:val="24"/>
          <w:szCs w:val="24"/>
          <w:highlight w:val="none"/>
        </w:rPr>
      </w:pPr>
      <w:bookmarkStart w:id="111" w:name="_Toc500331987"/>
      <w:bookmarkStart w:id="112" w:name="_Toc301957337"/>
      <w:bookmarkStart w:id="113" w:name="_Toc500331880"/>
      <w:r>
        <w:rPr>
          <w:rFonts w:hint="eastAsia" w:ascii="仿宋" w:hAnsi="仿宋" w:eastAsia="仿宋" w:cs="仿宋"/>
          <w:bCs w:val="0"/>
          <w:sz w:val="24"/>
          <w:szCs w:val="24"/>
          <w:highlight w:val="none"/>
        </w:rPr>
        <w:t>（二）主要人员简历表</w:t>
      </w:r>
      <w:bookmarkEnd w:id="111"/>
      <w:bookmarkEnd w:id="112"/>
      <w:bookmarkEnd w:id="113"/>
    </w:p>
    <w:p w14:paraId="7379F390">
      <w:pPr>
        <w:pStyle w:val="5"/>
        <w:rPr>
          <w:rFonts w:hint="eastAsia" w:ascii="仿宋" w:hAnsi="仿宋" w:eastAsia="仿宋" w:cs="仿宋"/>
          <w:bCs w:val="0"/>
          <w:kern w:val="2"/>
          <w:szCs w:val="24"/>
          <w:highlight w:val="none"/>
        </w:rPr>
      </w:pPr>
      <w:bookmarkStart w:id="114" w:name="_Toc500331881"/>
      <w:bookmarkStart w:id="115" w:name="_Toc500331988"/>
      <w:r>
        <w:rPr>
          <w:rFonts w:hint="eastAsia" w:ascii="仿宋" w:hAnsi="仿宋" w:eastAsia="仿宋" w:cs="仿宋"/>
          <w:bCs w:val="0"/>
          <w:kern w:val="2"/>
          <w:szCs w:val="24"/>
          <w:highlight w:val="none"/>
        </w:rPr>
        <w:t>附1：项目经理简历表</w:t>
      </w:r>
      <w:bookmarkEnd w:id="114"/>
      <w:bookmarkEnd w:id="115"/>
    </w:p>
    <w:p w14:paraId="65E0AE7C">
      <w:pPr>
        <w:spacing w:line="440" w:lineRule="exact"/>
        <w:jc w:val="center"/>
        <w:rPr>
          <w:rFonts w:hint="eastAsia" w:ascii="仿宋" w:hAnsi="仿宋" w:eastAsia="仿宋" w:cs="仿宋"/>
          <w:szCs w:val="21"/>
          <w:highlight w:val="none"/>
        </w:rPr>
      </w:pP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1079"/>
        <w:gridCol w:w="927"/>
        <w:gridCol w:w="1065"/>
        <w:gridCol w:w="1969"/>
        <w:gridCol w:w="161"/>
        <w:gridCol w:w="2135"/>
      </w:tblGrid>
      <w:tr w14:paraId="4C974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186" w:type="dxa"/>
            <w:vAlign w:val="center"/>
          </w:tcPr>
          <w:p w14:paraId="448EF251">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姓  名</w:t>
            </w:r>
          </w:p>
        </w:tc>
        <w:tc>
          <w:tcPr>
            <w:tcW w:w="1079" w:type="dxa"/>
            <w:vAlign w:val="center"/>
          </w:tcPr>
          <w:p w14:paraId="5946CC8B">
            <w:pPr>
              <w:spacing w:line="440" w:lineRule="exact"/>
              <w:jc w:val="center"/>
              <w:rPr>
                <w:rFonts w:hint="eastAsia" w:ascii="仿宋" w:hAnsi="仿宋" w:eastAsia="仿宋" w:cs="仿宋"/>
                <w:szCs w:val="21"/>
                <w:highlight w:val="none"/>
              </w:rPr>
            </w:pPr>
          </w:p>
        </w:tc>
        <w:tc>
          <w:tcPr>
            <w:tcW w:w="927" w:type="dxa"/>
            <w:vAlign w:val="center"/>
          </w:tcPr>
          <w:p w14:paraId="3557EAA3">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年 龄</w:t>
            </w:r>
          </w:p>
        </w:tc>
        <w:tc>
          <w:tcPr>
            <w:tcW w:w="1065" w:type="dxa"/>
            <w:vAlign w:val="center"/>
          </w:tcPr>
          <w:p w14:paraId="256C1C31">
            <w:pPr>
              <w:spacing w:line="440" w:lineRule="exact"/>
              <w:jc w:val="center"/>
              <w:rPr>
                <w:rFonts w:hint="eastAsia" w:ascii="仿宋" w:hAnsi="仿宋" w:eastAsia="仿宋" w:cs="仿宋"/>
                <w:szCs w:val="21"/>
                <w:highlight w:val="none"/>
              </w:rPr>
            </w:pPr>
          </w:p>
        </w:tc>
        <w:tc>
          <w:tcPr>
            <w:tcW w:w="2130" w:type="dxa"/>
            <w:gridSpan w:val="2"/>
            <w:vAlign w:val="center"/>
          </w:tcPr>
          <w:p w14:paraId="33BC2B33">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学 历</w:t>
            </w:r>
          </w:p>
        </w:tc>
        <w:tc>
          <w:tcPr>
            <w:tcW w:w="2135" w:type="dxa"/>
            <w:vAlign w:val="center"/>
          </w:tcPr>
          <w:p w14:paraId="3C40A383">
            <w:pPr>
              <w:spacing w:line="440" w:lineRule="exact"/>
              <w:jc w:val="center"/>
              <w:rPr>
                <w:rFonts w:hint="eastAsia" w:ascii="仿宋" w:hAnsi="仿宋" w:eastAsia="仿宋" w:cs="仿宋"/>
                <w:szCs w:val="21"/>
                <w:highlight w:val="none"/>
              </w:rPr>
            </w:pPr>
          </w:p>
        </w:tc>
      </w:tr>
      <w:tr w14:paraId="30942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14:paraId="2E970EF9">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职  称</w:t>
            </w:r>
          </w:p>
        </w:tc>
        <w:tc>
          <w:tcPr>
            <w:tcW w:w="1079" w:type="dxa"/>
            <w:vAlign w:val="center"/>
          </w:tcPr>
          <w:p w14:paraId="369A7227">
            <w:pPr>
              <w:spacing w:line="440" w:lineRule="exact"/>
              <w:jc w:val="center"/>
              <w:rPr>
                <w:rFonts w:hint="eastAsia" w:ascii="仿宋" w:hAnsi="仿宋" w:eastAsia="仿宋" w:cs="仿宋"/>
                <w:szCs w:val="21"/>
                <w:highlight w:val="none"/>
              </w:rPr>
            </w:pPr>
          </w:p>
        </w:tc>
        <w:tc>
          <w:tcPr>
            <w:tcW w:w="927" w:type="dxa"/>
            <w:vAlign w:val="center"/>
          </w:tcPr>
          <w:p w14:paraId="56A849D2">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职 务</w:t>
            </w:r>
          </w:p>
        </w:tc>
        <w:tc>
          <w:tcPr>
            <w:tcW w:w="1065" w:type="dxa"/>
            <w:vAlign w:val="center"/>
          </w:tcPr>
          <w:p w14:paraId="4DEBE9F3">
            <w:pPr>
              <w:spacing w:line="440" w:lineRule="exact"/>
              <w:jc w:val="center"/>
              <w:rPr>
                <w:rFonts w:hint="eastAsia" w:ascii="仿宋" w:hAnsi="仿宋" w:eastAsia="仿宋" w:cs="仿宋"/>
                <w:szCs w:val="21"/>
                <w:highlight w:val="none"/>
              </w:rPr>
            </w:pPr>
          </w:p>
        </w:tc>
        <w:tc>
          <w:tcPr>
            <w:tcW w:w="2130" w:type="dxa"/>
            <w:gridSpan w:val="2"/>
            <w:vAlign w:val="center"/>
          </w:tcPr>
          <w:p w14:paraId="7BA59D30">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拟在本工程任职</w:t>
            </w:r>
          </w:p>
        </w:tc>
        <w:tc>
          <w:tcPr>
            <w:tcW w:w="2135" w:type="dxa"/>
            <w:vAlign w:val="center"/>
          </w:tcPr>
          <w:p w14:paraId="70331798">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项目经理</w:t>
            </w:r>
          </w:p>
        </w:tc>
      </w:tr>
      <w:tr w14:paraId="6202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2" w:type="dxa"/>
            <w:gridSpan w:val="3"/>
            <w:vAlign w:val="center"/>
          </w:tcPr>
          <w:p w14:paraId="02C8F6DF">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注册建造师执业资格等级</w:t>
            </w:r>
          </w:p>
        </w:tc>
        <w:tc>
          <w:tcPr>
            <w:tcW w:w="1065" w:type="dxa"/>
            <w:vAlign w:val="center"/>
          </w:tcPr>
          <w:p w14:paraId="2BB05C51">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 xml:space="preserve">      级</w:t>
            </w:r>
          </w:p>
        </w:tc>
        <w:tc>
          <w:tcPr>
            <w:tcW w:w="2130" w:type="dxa"/>
            <w:gridSpan w:val="2"/>
            <w:vAlign w:val="center"/>
          </w:tcPr>
          <w:p w14:paraId="7D7F0231">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建造师专业</w:t>
            </w:r>
          </w:p>
        </w:tc>
        <w:tc>
          <w:tcPr>
            <w:tcW w:w="2135" w:type="dxa"/>
            <w:vAlign w:val="center"/>
          </w:tcPr>
          <w:p w14:paraId="6B0C1111">
            <w:pPr>
              <w:spacing w:line="440" w:lineRule="exact"/>
              <w:jc w:val="center"/>
              <w:rPr>
                <w:rFonts w:hint="eastAsia" w:ascii="仿宋" w:hAnsi="仿宋" w:eastAsia="仿宋" w:cs="仿宋"/>
                <w:szCs w:val="21"/>
                <w:highlight w:val="none"/>
              </w:rPr>
            </w:pPr>
          </w:p>
        </w:tc>
      </w:tr>
      <w:tr w14:paraId="37139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2" w:type="dxa"/>
            <w:gridSpan w:val="3"/>
            <w:vAlign w:val="center"/>
          </w:tcPr>
          <w:p w14:paraId="2C901F96">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安全生产考核合格证书</w:t>
            </w:r>
          </w:p>
        </w:tc>
        <w:tc>
          <w:tcPr>
            <w:tcW w:w="5330" w:type="dxa"/>
            <w:gridSpan w:val="4"/>
            <w:vAlign w:val="center"/>
          </w:tcPr>
          <w:p w14:paraId="5A92689E">
            <w:pPr>
              <w:spacing w:line="440" w:lineRule="exact"/>
              <w:jc w:val="center"/>
              <w:rPr>
                <w:rFonts w:hint="eastAsia" w:ascii="仿宋" w:hAnsi="仿宋" w:eastAsia="仿宋" w:cs="仿宋"/>
                <w:szCs w:val="21"/>
                <w:highlight w:val="none"/>
              </w:rPr>
            </w:pPr>
          </w:p>
        </w:tc>
      </w:tr>
      <w:tr w14:paraId="6970E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14:paraId="5DA39BFC">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毕业学校</w:t>
            </w:r>
          </w:p>
        </w:tc>
        <w:tc>
          <w:tcPr>
            <w:tcW w:w="7336" w:type="dxa"/>
            <w:gridSpan w:val="6"/>
          </w:tcPr>
          <w:p w14:paraId="5F3E707A">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 xml:space="preserve">      年毕业于            学校        专业</w:t>
            </w:r>
          </w:p>
        </w:tc>
      </w:tr>
      <w:tr w14:paraId="591A5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7"/>
            <w:vAlign w:val="center"/>
          </w:tcPr>
          <w:p w14:paraId="56716196">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主要工作经历</w:t>
            </w:r>
          </w:p>
        </w:tc>
      </w:tr>
      <w:tr w14:paraId="06BB0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6" w:type="dxa"/>
            <w:vAlign w:val="center"/>
          </w:tcPr>
          <w:p w14:paraId="20E8B8F4">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时  间</w:t>
            </w:r>
          </w:p>
        </w:tc>
        <w:tc>
          <w:tcPr>
            <w:tcW w:w="3071" w:type="dxa"/>
            <w:gridSpan w:val="3"/>
            <w:vAlign w:val="center"/>
          </w:tcPr>
          <w:p w14:paraId="06514161">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参加过的建筑工程项目名称</w:t>
            </w:r>
          </w:p>
        </w:tc>
        <w:tc>
          <w:tcPr>
            <w:tcW w:w="1969" w:type="dxa"/>
            <w:vAlign w:val="center"/>
          </w:tcPr>
          <w:p w14:paraId="1C0CEF98">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工程概况说明</w:t>
            </w:r>
          </w:p>
        </w:tc>
        <w:tc>
          <w:tcPr>
            <w:tcW w:w="2296" w:type="dxa"/>
            <w:gridSpan w:val="2"/>
            <w:vAlign w:val="center"/>
          </w:tcPr>
          <w:p w14:paraId="2A5FDE77">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发包人及联系电话</w:t>
            </w:r>
          </w:p>
        </w:tc>
      </w:tr>
      <w:tr w14:paraId="4E2A1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tcPr>
          <w:p w14:paraId="36F9FE9B">
            <w:pPr>
              <w:spacing w:line="440" w:lineRule="exact"/>
              <w:jc w:val="center"/>
              <w:rPr>
                <w:rFonts w:hint="eastAsia" w:ascii="仿宋" w:hAnsi="仿宋" w:eastAsia="仿宋" w:cs="仿宋"/>
                <w:szCs w:val="21"/>
                <w:highlight w:val="none"/>
              </w:rPr>
            </w:pPr>
          </w:p>
        </w:tc>
        <w:tc>
          <w:tcPr>
            <w:tcW w:w="3071" w:type="dxa"/>
            <w:gridSpan w:val="3"/>
          </w:tcPr>
          <w:p w14:paraId="03E60F86">
            <w:pPr>
              <w:spacing w:line="440" w:lineRule="exact"/>
              <w:jc w:val="center"/>
              <w:rPr>
                <w:rFonts w:hint="eastAsia" w:ascii="仿宋" w:hAnsi="仿宋" w:eastAsia="仿宋" w:cs="仿宋"/>
                <w:szCs w:val="21"/>
                <w:highlight w:val="none"/>
              </w:rPr>
            </w:pPr>
          </w:p>
        </w:tc>
        <w:tc>
          <w:tcPr>
            <w:tcW w:w="1969" w:type="dxa"/>
          </w:tcPr>
          <w:p w14:paraId="214A51C9">
            <w:pPr>
              <w:spacing w:line="440" w:lineRule="exact"/>
              <w:jc w:val="center"/>
              <w:rPr>
                <w:rFonts w:hint="eastAsia" w:ascii="仿宋" w:hAnsi="仿宋" w:eastAsia="仿宋" w:cs="仿宋"/>
                <w:szCs w:val="21"/>
                <w:highlight w:val="none"/>
              </w:rPr>
            </w:pPr>
          </w:p>
        </w:tc>
        <w:tc>
          <w:tcPr>
            <w:tcW w:w="2296" w:type="dxa"/>
            <w:gridSpan w:val="2"/>
          </w:tcPr>
          <w:p w14:paraId="6BD8CF45">
            <w:pPr>
              <w:spacing w:line="440" w:lineRule="exact"/>
              <w:jc w:val="center"/>
              <w:rPr>
                <w:rFonts w:hint="eastAsia" w:ascii="仿宋" w:hAnsi="仿宋" w:eastAsia="仿宋" w:cs="仿宋"/>
                <w:szCs w:val="21"/>
                <w:highlight w:val="none"/>
              </w:rPr>
            </w:pPr>
          </w:p>
        </w:tc>
      </w:tr>
      <w:tr w14:paraId="22A9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tcPr>
          <w:p w14:paraId="2E40F267">
            <w:pPr>
              <w:spacing w:line="440" w:lineRule="exact"/>
              <w:rPr>
                <w:rFonts w:hint="eastAsia" w:ascii="仿宋" w:hAnsi="仿宋" w:eastAsia="仿宋" w:cs="仿宋"/>
                <w:szCs w:val="21"/>
                <w:highlight w:val="none"/>
              </w:rPr>
            </w:pPr>
          </w:p>
        </w:tc>
        <w:tc>
          <w:tcPr>
            <w:tcW w:w="3071" w:type="dxa"/>
            <w:gridSpan w:val="3"/>
          </w:tcPr>
          <w:p w14:paraId="59190B4A">
            <w:pPr>
              <w:spacing w:line="440" w:lineRule="exact"/>
              <w:rPr>
                <w:rFonts w:hint="eastAsia" w:ascii="仿宋" w:hAnsi="仿宋" w:eastAsia="仿宋" w:cs="仿宋"/>
                <w:szCs w:val="21"/>
                <w:highlight w:val="none"/>
              </w:rPr>
            </w:pPr>
          </w:p>
        </w:tc>
        <w:tc>
          <w:tcPr>
            <w:tcW w:w="1969" w:type="dxa"/>
          </w:tcPr>
          <w:p w14:paraId="32E3D865">
            <w:pPr>
              <w:spacing w:line="440" w:lineRule="exact"/>
              <w:rPr>
                <w:rFonts w:hint="eastAsia" w:ascii="仿宋" w:hAnsi="仿宋" w:eastAsia="仿宋" w:cs="仿宋"/>
                <w:szCs w:val="21"/>
                <w:highlight w:val="none"/>
              </w:rPr>
            </w:pPr>
          </w:p>
        </w:tc>
        <w:tc>
          <w:tcPr>
            <w:tcW w:w="2296" w:type="dxa"/>
            <w:gridSpan w:val="2"/>
          </w:tcPr>
          <w:p w14:paraId="238876C1">
            <w:pPr>
              <w:spacing w:line="440" w:lineRule="exact"/>
              <w:rPr>
                <w:rFonts w:hint="eastAsia" w:ascii="仿宋" w:hAnsi="仿宋" w:eastAsia="仿宋" w:cs="仿宋"/>
                <w:szCs w:val="21"/>
                <w:highlight w:val="none"/>
              </w:rPr>
            </w:pPr>
          </w:p>
        </w:tc>
      </w:tr>
      <w:tr w14:paraId="1CF2B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tcPr>
          <w:p w14:paraId="243142EB">
            <w:pPr>
              <w:spacing w:line="440" w:lineRule="exact"/>
              <w:rPr>
                <w:rFonts w:hint="eastAsia" w:ascii="仿宋" w:hAnsi="仿宋" w:eastAsia="仿宋" w:cs="仿宋"/>
                <w:szCs w:val="21"/>
                <w:highlight w:val="none"/>
              </w:rPr>
            </w:pPr>
          </w:p>
        </w:tc>
        <w:tc>
          <w:tcPr>
            <w:tcW w:w="3071" w:type="dxa"/>
            <w:gridSpan w:val="3"/>
          </w:tcPr>
          <w:p w14:paraId="377F3A8D">
            <w:pPr>
              <w:spacing w:line="440" w:lineRule="exact"/>
              <w:rPr>
                <w:rFonts w:hint="eastAsia" w:ascii="仿宋" w:hAnsi="仿宋" w:eastAsia="仿宋" w:cs="仿宋"/>
                <w:szCs w:val="21"/>
                <w:highlight w:val="none"/>
              </w:rPr>
            </w:pPr>
          </w:p>
        </w:tc>
        <w:tc>
          <w:tcPr>
            <w:tcW w:w="1969" w:type="dxa"/>
          </w:tcPr>
          <w:p w14:paraId="5E01334C">
            <w:pPr>
              <w:spacing w:line="440" w:lineRule="exact"/>
              <w:rPr>
                <w:rFonts w:hint="eastAsia" w:ascii="仿宋" w:hAnsi="仿宋" w:eastAsia="仿宋" w:cs="仿宋"/>
                <w:szCs w:val="21"/>
                <w:highlight w:val="none"/>
              </w:rPr>
            </w:pPr>
          </w:p>
        </w:tc>
        <w:tc>
          <w:tcPr>
            <w:tcW w:w="2296" w:type="dxa"/>
            <w:gridSpan w:val="2"/>
          </w:tcPr>
          <w:p w14:paraId="3CFF4410">
            <w:pPr>
              <w:spacing w:line="440" w:lineRule="exact"/>
              <w:rPr>
                <w:rFonts w:hint="eastAsia" w:ascii="仿宋" w:hAnsi="仿宋" w:eastAsia="仿宋" w:cs="仿宋"/>
                <w:szCs w:val="21"/>
                <w:highlight w:val="none"/>
              </w:rPr>
            </w:pPr>
          </w:p>
        </w:tc>
      </w:tr>
      <w:tr w14:paraId="3510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734B40BB">
            <w:pPr>
              <w:spacing w:line="440" w:lineRule="exact"/>
              <w:rPr>
                <w:rFonts w:hint="eastAsia" w:ascii="仿宋" w:hAnsi="仿宋" w:eastAsia="仿宋" w:cs="仿宋"/>
                <w:szCs w:val="21"/>
                <w:highlight w:val="none"/>
              </w:rPr>
            </w:pPr>
          </w:p>
        </w:tc>
        <w:tc>
          <w:tcPr>
            <w:tcW w:w="3071" w:type="dxa"/>
            <w:gridSpan w:val="3"/>
            <w:vAlign w:val="center"/>
          </w:tcPr>
          <w:p w14:paraId="45AECAC5">
            <w:pPr>
              <w:spacing w:line="440" w:lineRule="exact"/>
              <w:rPr>
                <w:rFonts w:hint="eastAsia" w:ascii="仿宋" w:hAnsi="仿宋" w:eastAsia="仿宋" w:cs="仿宋"/>
                <w:szCs w:val="21"/>
                <w:highlight w:val="none"/>
              </w:rPr>
            </w:pPr>
          </w:p>
        </w:tc>
        <w:tc>
          <w:tcPr>
            <w:tcW w:w="1969" w:type="dxa"/>
            <w:vAlign w:val="center"/>
          </w:tcPr>
          <w:p w14:paraId="3CB4E812">
            <w:pPr>
              <w:spacing w:line="440" w:lineRule="exact"/>
              <w:rPr>
                <w:rFonts w:hint="eastAsia" w:ascii="仿宋" w:hAnsi="仿宋" w:eastAsia="仿宋" w:cs="仿宋"/>
                <w:szCs w:val="21"/>
                <w:highlight w:val="none"/>
              </w:rPr>
            </w:pPr>
          </w:p>
        </w:tc>
        <w:tc>
          <w:tcPr>
            <w:tcW w:w="2296" w:type="dxa"/>
            <w:gridSpan w:val="2"/>
            <w:vAlign w:val="center"/>
          </w:tcPr>
          <w:p w14:paraId="4DBEE28C">
            <w:pPr>
              <w:spacing w:line="440" w:lineRule="exact"/>
              <w:rPr>
                <w:rFonts w:hint="eastAsia" w:ascii="仿宋" w:hAnsi="仿宋" w:eastAsia="仿宋" w:cs="仿宋"/>
                <w:szCs w:val="21"/>
                <w:highlight w:val="none"/>
              </w:rPr>
            </w:pPr>
          </w:p>
        </w:tc>
      </w:tr>
      <w:tr w14:paraId="01AF7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7CCD94B8">
            <w:pPr>
              <w:spacing w:line="440" w:lineRule="exact"/>
              <w:rPr>
                <w:rFonts w:hint="eastAsia" w:ascii="仿宋" w:hAnsi="仿宋" w:eastAsia="仿宋" w:cs="仿宋"/>
                <w:szCs w:val="21"/>
                <w:highlight w:val="none"/>
              </w:rPr>
            </w:pPr>
          </w:p>
        </w:tc>
        <w:tc>
          <w:tcPr>
            <w:tcW w:w="3071" w:type="dxa"/>
            <w:gridSpan w:val="3"/>
            <w:vAlign w:val="center"/>
          </w:tcPr>
          <w:p w14:paraId="20188A1A">
            <w:pPr>
              <w:spacing w:line="440" w:lineRule="exact"/>
              <w:rPr>
                <w:rFonts w:hint="eastAsia" w:ascii="仿宋" w:hAnsi="仿宋" w:eastAsia="仿宋" w:cs="仿宋"/>
                <w:szCs w:val="21"/>
                <w:highlight w:val="none"/>
              </w:rPr>
            </w:pPr>
          </w:p>
        </w:tc>
        <w:tc>
          <w:tcPr>
            <w:tcW w:w="1969" w:type="dxa"/>
            <w:vAlign w:val="center"/>
          </w:tcPr>
          <w:p w14:paraId="4E7D525B">
            <w:pPr>
              <w:spacing w:line="440" w:lineRule="exact"/>
              <w:rPr>
                <w:rFonts w:hint="eastAsia" w:ascii="仿宋" w:hAnsi="仿宋" w:eastAsia="仿宋" w:cs="仿宋"/>
                <w:szCs w:val="21"/>
                <w:highlight w:val="none"/>
              </w:rPr>
            </w:pPr>
          </w:p>
        </w:tc>
        <w:tc>
          <w:tcPr>
            <w:tcW w:w="2296" w:type="dxa"/>
            <w:gridSpan w:val="2"/>
            <w:vAlign w:val="center"/>
          </w:tcPr>
          <w:p w14:paraId="424A2C41">
            <w:pPr>
              <w:spacing w:line="440" w:lineRule="exact"/>
              <w:rPr>
                <w:rFonts w:hint="eastAsia" w:ascii="仿宋" w:hAnsi="仿宋" w:eastAsia="仿宋" w:cs="仿宋"/>
                <w:szCs w:val="21"/>
                <w:highlight w:val="none"/>
              </w:rPr>
            </w:pPr>
          </w:p>
        </w:tc>
      </w:tr>
      <w:tr w14:paraId="2D505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04FD7228">
            <w:pPr>
              <w:spacing w:line="440" w:lineRule="exact"/>
              <w:rPr>
                <w:rFonts w:hint="eastAsia" w:ascii="仿宋" w:hAnsi="仿宋" w:eastAsia="仿宋" w:cs="仿宋"/>
                <w:szCs w:val="21"/>
                <w:highlight w:val="none"/>
              </w:rPr>
            </w:pPr>
          </w:p>
        </w:tc>
        <w:tc>
          <w:tcPr>
            <w:tcW w:w="3071" w:type="dxa"/>
            <w:gridSpan w:val="3"/>
            <w:vAlign w:val="center"/>
          </w:tcPr>
          <w:p w14:paraId="0A1B24E6">
            <w:pPr>
              <w:spacing w:line="440" w:lineRule="exact"/>
              <w:rPr>
                <w:rFonts w:hint="eastAsia" w:ascii="仿宋" w:hAnsi="仿宋" w:eastAsia="仿宋" w:cs="仿宋"/>
                <w:szCs w:val="21"/>
                <w:highlight w:val="none"/>
              </w:rPr>
            </w:pPr>
          </w:p>
        </w:tc>
        <w:tc>
          <w:tcPr>
            <w:tcW w:w="1969" w:type="dxa"/>
            <w:vAlign w:val="center"/>
          </w:tcPr>
          <w:p w14:paraId="57B08463">
            <w:pPr>
              <w:spacing w:line="440" w:lineRule="exact"/>
              <w:rPr>
                <w:rFonts w:hint="eastAsia" w:ascii="仿宋" w:hAnsi="仿宋" w:eastAsia="仿宋" w:cs="仿宋"/>
                <w:szCs w:val="21"/>
                <w:highlight w:val="none"/>
              </w:rPr>
            </w:pPr>
          </w:p>
        </w:tc>
        <w:tc>
          <w:tcPr>
            <w:tcW w:w="2296" w:type="dxa"/>
            <w:gridSpan w:val="2"/>
            <w:vAlign w:val="center"/>
          </w:tcPr>
          <w:p w14:paraId="391B90F6">
            <w:pPr>
              <w:spacing w:line="440" w:lineRule="exact"/>
              <w:rPr>
                <w:rFonts w:hint="eastAsia" w:ascii="仿宋" w:hAnsi="仿宋" w:eastAsia="仿宋" w:cs="仿宋"/>
                <w:szCs w:val="21"/>
                <w:highlight w:val="none"/>
              </w:rPr>
            </w:pPr>
          </w:p>
        </w:tc>
      </w:tr>
      <w:tr w14:paraId="3F8C2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04B2F509">
            <w:pPr>
              <w:spacing w:line="440" w:lineRule="exact"/>
              <w:rPr>
                <w:rFonts w:hint="eastAsia" w:ascii="仿宋" w:hAnsi="仿宋" w:eastAsia="仿宋" w:cs="仿宋"/>
                <w:szCs w:val="21"/>
                <w:highlight w:val="none"/>
              </w:rPr>
            </w:pPr>
          </w:p>
        </w:tc>
        <w:tc>
          <w:tcPr>
            <w:tcW w:w="3071" w:type="dxa"/>
            <w:gridSpan w:val="3"/>
            <w:vAlign w:val="center"/>
          </w:tcPr>
          <w:p w14:paraId="2019BEDF">
            <w:pPr>
              <w:spacing w:line="440" w:lineRule="exact"/>
              <w:rPr>
                <w:rFonts w:hint="eastAsia" w:ascii="仿宋" w:hAnsi="仿宋" w:eastAsia="仿宋" w:cs="仿宋"/>
                <w:szCs w:val="21"/>
                <w:highlight w:val="none"/>
              </w:rPr>
            </w:pPr>
          </w:p>
        </w:tc>
        <w:tc>
          <w:tcPr>
            <w:tcW w:w="1969" w:type="dxa"/>
            <w:vAlign w:val="center"/>
          </w:tcPr>
          <w:p w14:paraId="121348DB">
            <w:pPr>
              <w:spacing w:line="440" w:lineRule="exact"/>
              <w:rPr>
                <w:rFonts w:hint="eastAsia" w:ascii="仿宋" w:hAnsi="仿宋" w:eastAsia="仿宋" w:cs="仿宋"/>
                <w:szCs w:val="21"/>
                <w:highlight w:val="none"/>
              </w:rPr>
            </w:pPr>
          </w:p>
        </w:tc>
        <w:tc>
          <w:tcPr>
            <w:tcW w:w="2296" w:type="dxa"/>
            <w:gridSpan w:val="2"/>
            <w:vAlign w:val="center"/>
          </w:tcPr>
          <w:p w14:paraId="3C79817A">
            <w:pPr>
              <w:spacing w:line="440" w:lineRule="exact"/>
              <w:rPr>
                <w:rFonts w:hint="eastAsia" w:ascii="仿宋" w:hAnsi="仿宋" w:eastAsia="仿宋" w:cs="仿宋"/>
                <w:szCs w:val="21"/>
                <w:highlight w:val="none"/>
              </w:rPr>
            </w:pPr>
          </w:p>
        </w:tc>
      </w:tr>
      <w:tr w14:paraId="6C04D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12871D6C">
            <w:pPr>
              <w:spacing w:line="440" w:lineRule="exact"/>
              <w:rPr>
                <w:rFonts w:hint="eastAsia" w:ascii="仿宋" w:hAnsi="仿宋" w:eastAsia="仿宋" w:cs="仿宋"/>
                <w:szCs w:val="21"/>
                <w:highlight w:val="none"/>
              </w:rPr>
            </w:pPr>
          </w:p>
        </w:tc>
        <w:tc>
          <w:tcPr>
            <w:tcW w:w="3071" w:type="dxa"/>
            <w:gridSpan w:val="3"/>
            <w:vAlign w:val="center"/>
          </w:tcPr>
          <w:p w14:paraId="19D7690D">
            <w:pPr>
              <w:spacing w:line="440" w:lineRule="exact"/>
              <w:rPr>
                <w:rFonts w:hint="eastAsia" w:ascii="仿宋" w:hAnsi="仿宋" w:eastAsia="仿宋" w:cs="仿宋"/>
                <w:szCs w:val="21"/>
                <w:highlight w:val="none"/>
              </w:rPr>
            </w:pPr>
          </w:p>
        </w:tc>
        <w:tc>
          <w:tcPr>
            <w:tcW w:w="1969" w:type="dxa"/>
            <w:vAlign w:val="center"/>
          </w:tcPr>
          <w:p w14:paraId="74F3C24F">
            <w:pPr>
              <w:spacing w:line="440" w:lineRule="exact"/>
              <w:rPr>
                <w:rFonts w:hint="eastAsia" w:ascii="仿宋" w:hAnsi="仿宋" w:eastAsia="仿宋" w:cs="仿宋"/>
                <w:szCs w:val="21"/>
                <w:highlight w:val="none"/>
              </w:rPr>
            </w:pPr>
          </w:p>
        </w:tc>
        <w:tc>
          <w:tcPr>
            <w:tcW w:w="2296" w:type="dxa"/>
            <w:gridSpan w:val="2"/>
            <w:vAlign w:val="center"/>
          </w:tcPr>
          <w:p w14:paraId="6B68FB66">
            <w:pPr>
              <w:spacing w:line="440" w:lineRule="exact"/>
              <w:rPr>
                <w:rFonts w:hint="eastAsia" w:ascii="仿宋" w:hAnsi="仿宋" w:eastAsia="仿宋" w:cs="仿宋"/>
                <w:szCs w:val="21"/>
                <w:highlight w:val="none"/>
              </w:rPr>
            </w:pPr>
          </w:p>
        </w:tc>
      </w:tr>
      <w:tr w14:paraId="056C9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4B1134BC">
            <w:pPr>
              <w:spacing w:line="440" w:lineRule="exact"/>
              <w:rPr>
                <w:rFonts w:hint="eastAsia" w:ascii="仿宋" w:hAnsi="仿宋" w:eastAsia="仿宋" w:cs="仿宋"/>
                <w:szCs w:val="21"/>
                <w:highlight w:val="none"/>
              </w:rPr>
            </w:pPr>
          </w:p>
        </w:tc>
        <w:tc>
          <w:tcPr>
            <w:tcW w:w="3071" w:type="dxa"/>
            <w:gridSpan w:val="3"/>
            <w:vAlign w:val="center"/>
          </w:tcPr>
          <w:p w14:paraId="68DD48C9">
            <w:pPr>
              <w:spacing w:line="440" w:lineRule="exact"/>
              <w:rPr>
                <w:rFonts w:hint="eastAsia" w:ascii="仿宋" w:hAnsi="仿宋" w:eastAsia="仿宋" w:cs="仿宋"/>
                <w:szCs w:val="21"/>
                <w:highlight w:val="none"/>
              </w:rPr>
            </w:pPr>
          </w:p>
        </w:tc>
        <w:tc>
          <w:tcPr>
            <w:tcW w:w="1969" w:type="dxa"/>
            <w:vAlign w:val="center"/>
          </w:tcPr>
          <w:p w14:paraId="40A76BAF">
            <w:pPr>
              <w:spacing w:line="440" w:lineRule="exact"/>
              <w:rPr>
                <w:rFonts w:hint="eastAsia" w:ascii="仿宋" w:hAnsi="仿宋" w:eastAsia="仿宋" w:cs="仿宋"/>
                <w:szCs w:val="21"/>
                <w:highlight w:val="none"/>
              </w:rPr>
            </w:pPr>
          </w:p>
        </w:tc>
        <w:tc>
          <w:tcPr>
            <w:tcW w:w="2296" w:type="dxa"/>
            <w:gridSpan w:val="2"/>
            <w:vAlign w:val="center"/>
          </w:tcPr>
          <w:p w14:paraId="0E8A0CC7">
            <w:pPr>
              <w:spacing w:line="440" w:lineRule="exact"/>
              <w:rPr>
                <w:rFonts w:hint="eastAsia" w:ascii="仿宋" w:hAnsi="仿宋" w:eastAsia="仿宋" w:cs="仿宋"/>
                <w:szCs w:val="21"/>
                <w:highlight w:val="none"/>
              </w:rPr>
            </w:pPr>
          </w:p>
        </w:tc>
      </w:tr>
      <w:tr w14:paraId="1CE39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52F658F8">
            <w:pPr>
              <w:spacing w:line="440" w:lineRule="exact"/>
              <w:rPr>
                <w:rFonts w:hint="eastAsia" w:ascii="仿宋" w:hAnsi="仿宋" w:eastAsia="仿宋" w:cs="仿宋"/>
                <w:szCs w:val="21"/>
                <w:highlight w:val="none"/>
              </w:rPr>
            </w:pPr>
          </w:p>
        </w:tc>
        <w:tc>
          <w:tcPr>
            <w:tcW w:w="3071" w:type="dxa"/>
            <w:gridSpan w:val="3"/>
            <w:vAlign w:val="center"/>
          </w:tcPr>
          <w:p w14:paraId="0F1F7B49">
            <w:pPr>
              <w:spacing w:line="440" w:lineRule="exact"/>
              <w:rPr>
                <w:rFonts w:hint="eastAsia" w:ascii="仿宋" w:hAnsi="仿宋" w:eastAsia="仿宋" w:cs="仿宋"/>
                <w:szCs w:val="21"/>
                <w:highlight w:val="none"/>
              </w:rPr>
            </w:pPr>
          </w:p>
        </w:tc>
        <w:tc>
          <w:tcPr>
            <w:tcW w:w="1969" w:type="dxa"/>
            <w:vAlign w:val="center"/>
          </w:tcPr>
          <w:p w14:paraId="260233ED">
            <w:pPr>
              <w:spacing w:line="440" w:lineRule="exact"/>
              <w:rPr>
                <w:rFonts w:hint="eastAsia" w:ascii="仿宋" w:hAnsi="仿宋" w:eastAsia="仿宋" w:cs="仿宋"/>
                <w:szCs w:val="21"/>
                <w:highlight w:val="none"/>
              </w:rPr>
            </w:pPr>
          </w:p>
        </w:tc>
        <w:tc>
          <w:tcPr>
            <w:tcW w:w="2296" w:type="dxa"/>
            <w:gridSpan w:val="2"/>
            <w:vAlign w:val="center"/>
          </w:tcPr>
          <w:p w14:paraId="756876E3">
            <w:pPr>
              <w:spacing w:line="440" w:lineRule="exact"/>
              <w:rPr>
                <w:rFonts w:hint="eastAsia" w:ascii="仿宋" w:hAnsi="仿宋" w:eastAsia="仿宋" w:cs="仿宋"/>
                <w:szCs w:val="21"/>
                <w:highlight w:val="none"/>
              </w:rPr>
            </w:pPr>
          </w:p>
        </w:tc>
      </w:tr>
    </w:tbl>
    <w:p w14:paraId="466D8466">
      <w:pPr>
        <w:spacing w:line="400" w:lineRule="exact"/>
        <w:ind w:firstLine="422" w:firstLineChars="200"/>
        <w:rPr>
          <w:rFonts w:hint="eastAsia" w:ascii="仿宋" w:hAnsi="仿宋" w:eastAsia="仿宋" w:cs="仿宋"/>
          <w:b/>
          <w:highlight w:val="none"/>
        </w:rPr>
      </w:pPr>
    </w:p>
    <w:p w14:paraId="3B4C2338">
      <w:pPr>
        <w:spacing w:line="400" w:lineRule="exact"/>
        <w:ind w:firstLine="422" w:firstLineChars="200"/>
        <w:rPr>
          <w:rFonts w:hint="eastAsia" w:ascii="仿宋" w:hAnsi="仿宋" w:eastAsia="仿宋" w:cs="仿宋"/>
          <w:b/>
          <w:highlight w:val="none"/>
        </w:rPr>
      </w:pPr>
    </w:p>
    <w:p w14:paraId="3B632228">
      <w:pPr>
        <w:rPr>
          <w:rFonts w:hint="eastAsia" w:ascii="仿宋" w:hAnsi="仿宋" w:eastAsia="仿宋" w:cs="仿宋"/>
          <w:highlight w:val="none"/>
        </w:rPr>
      </w:pPr>
    </w:p>
    <w:p w14:paraId="188BB627">
      <w:pPr>
        <w:rPr>
          <w:rFonts w:hint="eastAsia" w:ascii="仿宋" w:hAnsi="仿宋" w:eastAsia="仿宋" w:cs="仿宋"/>
          <w:highlight w:val="none"/>
        </w:rPr>
      </w:pPr>
    </w:p>
    <w:p w14:paraId="6A8887E5">
      <w:pPr>
        <w:pStyle w:val="5"/>
        <w:rPr>
          <w:rFonts w:hint="eastAsia" w:ascii="仿宋" w:hAnsi="仿宋" w:eastAsia="仿宋" w:cs="仿宋"/>
          <w:bCs w:val="0"/>
          <w:kern w:val="2"/>
          <w:szCs w:val="24"/>
          <w:highlight w:val="none"/>
        </w:rPr>
      </w:pPr>
      <w:bookmarkStart w:id="116" w:name="_Toc500331882"/>
      <w:bookmarkStart w:id="117" w:name="_Toc500331989"/>
      <w:r>
        <w:rPr>
          <w:rFonts w:hint="eastAsia" w:ascii="仿宋" w:hAnsi="仿宋" w:eastAsia="仿宋" w:cs="仿宋"/>
          <w:bCs w:val="0"/>
          <w:kern w:val="2"/>
          <w:szCs w:val="24"/>
          <w:highlight w:val="none"/>
        </w:rPr>
        <w:t>附2：主要项目管理人员简历表</w:t>
      </w:r>
      <w:bookmarkEnd w:id="116"/>
      <w:bookmarkEnd w:id="117"/>
    </w:p>
    <w:p w14:paraId="1A28B5FA">
      <w:pPr>
        <w:spacing w:line="400" w:lineRule="exact"/>
        <w:rPr>
          <w:rFonts w:hint="eastAsia" w:ascii="仿宋" w:hAnsi="仿宋" w:eastAsia="仿宋" w:cs="仿宋"/>
          <w:szCs w:val="21"/>
          <w:highlight w:val="none"/>
        </w:rPr>
      </w:pPr>
    </w:p>
    <w:tbl>
      <w:tblPr>
        <w:tblStyle w:val="3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2082"/>
        <w:gridCol w:w="2082"/>
        <w:gridCol w:w="2083"/>
      </w:tblGrid>
      <w:tr w14:paraId="02030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vAlign w:val="center"/>
          </w:tcPr>
          <w:p w14:paraId="59C6E638">
            <w:pPr>
              <w:rPr>
                <w:rFonts w:hint="eastAsia" w:ascii="仿宋" w:hAnsi="仿宋" w:eastAsia="仿宋" w:cs="仿宋"/>
                <w:b/>
                <w:highlight w:val="none"/>
              </w:rPr>
            </w:pPr>
            <w:r>
              <w:rPr>
                <w:rFonts w:hint="eastAsia" w:ascii="仿宋" w:hAnsi="仿宋" w:eastAsia="仿宋" w:cs="仿宋"/>
                <w:highlight w:val="none"/>
              </w:rPr>
              <w:t>岗位名称</w:t>
            </w:r>
          </w:p>
        </w:tc>
        <w:tc>
          <w:tcPr>
            <w:tcW w:w="6247" w:type="dxa"/>
            <w:gridSpan w:val="3"/>
            <w:vAlign w:val="center"/>
          </w:tcPr>
          <w:p w14:paraId="064243FC">
            <w:pPr>
              <w:pStyle w:val="6"/>
              <w:rPr>
                <w:rFonts w:hint="eastAsia" w:ascii="仿宋" w:hAnsi="仿宋" w:eastAsia="仿宋" w:cs="仿宋"/>
                <w:b w:val="0"/>
                <w:bCs w:val="0"/>
                <w:sz w:val="21"/>
                <w:szCs w:val="21"/>
                <w:highlight w:val="none"/>
                <w:lang w:val="en-US" w:eastAsia="zh-CN"/>
              </w:rPr>
            </w:pPr>
          </w:p>
        </w:tc>
      </w:tr>
      <w:tr w14:paraId="2294A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vAlign w:val="center"/>
          </w:tcPr>
          <w:p w14:paraId="636C2597">
            <w:pPr>
              <w:rPr>
                <w:rFonts w:hint="eastAsia" w:ascii="仿宋" w:hAnsi="仿宋" w:eastAsia="仿宋" w:cs="仿宋"/>
                <w:highlight w:val="none"/>
              </w:rPr>
            </w:pPr>
            <w:r>
              <w:rPr>
                <w:rFonts w:hint="eastAsia" w:ascii="仿宋" w:hAnsi="仿宋" w:eastAsia="仿宋" w:cs="仿宋"/>
                <w:highlight w:val="none"/>
              </w:rPr>
              <w:t>姓     名</w:t>
            </w:r>
          </w:p>
        </w:tc>
        <w:tc>
          <w:tcPr>
            <w:tcW w:w="2082" w:type="dxa"/>
            <w:vAlign w:val="center"/>
          </w:tcPr>
          <w:p w14:paraId="7C04A39D">
            <w:pPr>
              <w:pStyle w:val="6"/>
              <w:rPr>
                <w:rFonts w:hint="eastAsia" w:ascii="仿宋" w:hAnsi="仿宋" w:eastAsia="仿宋" w:cs="仿宋"/>
                <w:b w:val="0"/>
                <w:bCs w:val="0"/>
                <w:sz w:val="21"/>
                <w:szCs w:val="21"/>
                <w:highlight w:val="none"/>
                <w:lang w:val="en-US" w:eastAsia="zh-CN"/>
              </w:rPr>
            </w:pPr>
          </w:p>
        </w:tc>
        <w:tc>
          <w:tcPr>
            <w:tcW w:w="2082" w:type="dxa"/>
            <w:vAlign w:val="center"/>
          </w:tcPr>
          <w:p w14:paraId="4AAE7077">
            <w:pPr>
              <w:pStyle w:val="6"/>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年    龄</w:t>
            </w:r>
          </w:p>
        </w:tc>
        <w:tc>
          <w:tcPr>
            <w:tcW w:w="2083" w:type="dxa"/>
            <w:vAlign w:val="center"/>
          </w:tcPr>
          <w:p w14:paraId="7B630819">
            <w:pPr>
              <w:pStyle w:val="6"/>
              <w:rPr>
                <w:rFonts w:hint="eastAsia" w:ascii="仿宋" w:hAnsi="仿宋" w:eastAsia="仿宋" w:cs="仿宋"/>
                <w:b w:val="0"/>
                <w:bCs w:val="0"/>
                <w:sz w:val="21"/>
                <w:szCs w:val="21"/>
                <w:highlight w:val="none"/>
                <w:lang w:val="en-US" w:eastAsia="zh-CN"/>
              </w:rPr>
            </w:pPr>
          </w:p>
        </w:tc>
      </w:tr>
      <w:tr w14:paraId="78C96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vAlign w:val="center"/>
          </w:tcPr>
          <w:p w14:paraId="70C85517">
            <w:pPr>
              <w:rPr>
                <w:rFonts w:hint="eastAsia" w:ascii="仿宋" w:hAnsi="仿宋" w:eastAsia="仿宋" w:cs="仿宋"/>
                <w:highlight w:val="none"/>
              </w:rPr>
            </w:pPr>
            <w:r>
              <w:rPr>
                <w:rFonts w:hint="eastAsia" w:ascii="仿宋" w:hAnsi="仿宋" w:eastAsia="仿宋" w:cs="仿宋"/>
                <w:highlight w:val="none"/>
              </w:rPr>
              <w:t>性     别</w:t>
            </w:r>
          </w:p>
        </w:tc>
        <w:tc>
          <w:tcPr>
            <w:tcW w:w="2082" w:type="dxa"/>
            <w:vAlign w:val="center"/>
          </w:tcPr>
          <w:p w14:paraId="7F948CF4">
            <w:pPr>
              <w:pStyle w:val="6"/>
              <w:rPr>
                <w:rFonts w:hint="eastAsia" w:ascii="仿宋" w:hAnsi="仿宋" w:eastAsia="仿宋" w:cs="仿宋"/>
                <w:b w:val="0"/>
                <w:bCs w:val="0"/>
                <w:sz w:val="21"/>
                <w:szCs w:val="21"/>
                <w:highlight w:val="none"/>
                <w:lang w:val="en-US" w:eastAsia="zh-CN"/>
              </w:rPr>
            </w:pPr>
          </w:p>
        </w:tc>
        <w:tc>
          <w:tcPr>
            <w:tcW w:w="2082" w:type="dxa"/>
            <w:vAlign w:val="center"/>
          </w:tcPr>
          <w:p w14:paraId="1B06F6FC">
            <w:pPr>
              <w:pStyle w:val="6"/>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毕业学校</w:t>
            </w:r>
          </w:p>
        </w:tc>
        <w:tc>
          <w:tcPr>
            <w:tcW w:w="2083" w:type="dxa"/>
            <w:vAlign w:val="center"/>
          </w:tcPr>
          <w:p w14:paraId="172C3569">
            <w:pPr>
              <w:pStyle w:val="6"/>
              <w:rPr>
                <w:rFonts w:hint="eastAsia" w:ascii="仿宋" w:hAnsi="仿宋" w:eastAsia="仿宋" w:cs="仿宋"/>
                <w:b w:val="0"/>
                <w:bCs w:val="0"/>
                <w:sz w:val="21"/>
                <w:szCs w:val="21"/>
                <w:highlight w:val="none"/>
                <w:lang w:val="en-US" w:eastAsia="zh-CN"/>
              </w:rPr>
            </w:pPr>
          </w:p>
        </w:tc>
      </w:tr>
      <w:tr w14:paraId="756FB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vAlign w:val="center"/>
          </w:tcPr>
          <w:p w14:paraId="272994EC">
            <w:pPr>
              <w:rPr>
                <w:rFonts w:hint="eastAsia" w:ascii="仿宋" w:hAnsi="仿宋" w:eastAsia="仿宋" w:cs="仿宋"/>
                <w:highlight w:val="none"/>
              </w:rPr>
            </w:pPr>
            <w:r>
              <w:rPr>
                <w:rFonts w:hint="eastAsia" w:ascii="仿宋" w:hAnsi="仿宋" w:eastAsia="仿宋" w:cs="仿宋"/>
                <w:highlight w:val="none"/>
              </w:rPr>
              <w:t>学历和专业</w:t>
            </w:r>
          </w:p>
        </w:tc>
        <w:tc>
          <w:tcPr>
            <w:tcW w:w="2082" w:type="dxa"/>
            <w:vAlign w:val="center"/>
          </w:tcPr>
          <w:p w14:paraId="5D4DCFDC">
            <w:pPr>
              <w:pStyle w:val="6"/>
              <w:rPr>
                <w:rFonts w:hint="eastAsia" w:ascii="仿宋" w:hAnsi="仿宋" w:eastAsia="仿宋" w:cs="仿宋"/>
                <w:b w:val="0"/>
                <w:bCs w:val="0"/>
                <w:sz w:val="21"/>
                <w:szCs w:val="21"/>
                <w:highlight w:val="none"/>
                <w:lang w:val="en-US" w:eastAsia="zh-CN"/>
              </w:rPr>
            </w:pPr>
          </w:p>
        </w:tc>
        <w:tc>
          <w:tcPr>
            <w:tcW w:w="2082" w:type="dxa"/>
            <w:vAlign w:val="center"/>
          </w:tcPr>
          <w:p w14:paraId="0300FA5E">
            <w:pPr>
              <w:pStyle w:val="6"/>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毕业时间</w:t>
            </w:r>
          </w:p>
        </w:tc>
        <w:tc>
          <w:tcPr>
            <w:tcW w:w="2083" w:type="dxa"/>
            <w:vAlign w:val="center"/>
          </w:tcPr>
          <w:p w14:paraId="26095D14">
            <w:pPr>
              <w:pStyle w:val="6"/>
              <w:rPr>
                <w:rFonts w:hint="eastAsia" w:ascii="仿宋" w:hAnsi="仿宋" w:eastAsia="仿宋" w:cs="仿宋"/>
                <w:b w:val="0"/>
                <w:bCs w:val="0"/>
                <w:sz w:val="21"/>
                <w:szCs w:val="21"/>
                <w:highlight w:val="none"/>
                <w:lang w:val="en-US" w:eastAsia="zh-CN"/>
              </w:rPr>
            </w:pPr>
          </w:p>
        </w:tc>
      </w:tr>
      <w:tr w14:paraId="13C21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vAlign w:val="center"/>
          </w:tcPr>
          <w:p w14:paraId="25D69E7F">
            <w:pPr>
              <w:rPr>
                <w:rFonts w:hint="eastAsia" w:ascii="仿宋" w:hAnsi="仿宋" w:eastAsia="仿宋" w:cs="仿宋"/>
                <w:highlight w:val="none"/>
              </w:rPr>
            </w:pPr>
            <w:r>
              <w:rPr>
                <w:rFonts w:hint="eastAsia" w:ascii="仿宋" w:hAnsi="仿宋" w:eastAsia="仿宋" w:cs="仿宋"/>
                <w:highlight w:val="none"/>
              </w:rPr>
              <w:t>拥有的执业资格</w:t>
            </w:r>
          </w:p>
        </w:tc>
        <w:tc>
          <w:tcPr>
            <w:tcW w:w="2082" w:type="dxa"/>
            <w:vAlign w:val="center"/>
          </w:tcPr>
          <w:p w14:paraId="016A7EBE">
            <w:pPr>
              <w:pStyle w:val="6"/>
              <w:rPr>
                <w:rFonts w:hint="eastAsia" w:ascii="仿宋" w:hAnsi="仿宋" w:eastAsia="仿宋" w:cs="仿宋"/>
                <w:b w:val="0"/>
                <w:bCs w:val="0"/>
                <w:sz w:val="21"/>
                <w:szCs w:val="21"/>
                <w:highlight w:val="none"/>
                <w:lang w:val="en-US" w:eastAsia="zh-CN"/>
              </w:rPr>
            </w:pPr>
          </w:p>
        </w:tc>
        <w:tc>
          <w:tcPr>
            <w:tcW w:w="2082" w:type="dxa"/>
            <w:vAlign w:val="center"/>
          </w:tcPr>
          <w:p w14:paraId="319493EA">
            <w:pPr>
              <w:pStyle w:val="6"/>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专业职称</w:t>
            </w:r>
          </w:p>
        </w:tc>
        <w:tc>
          <w:tcPr>
            <w:tcW w:w="2083" w:type="dxa"/>
            <w:vAlign w:val="center"/>
          </w:tcPr>
          <w:p w14:paraId="4A79C9AC">
            <w:pPr>
              <w:pStyle w:val="6"/>
              <w:rPr>
                <w:rFonts w:hint="eastAsia" w:ascii="仿宋" w:hAnsi="仿宋" w:eastAsia="仿宋" w:cs="仿宋"/>
                <w:b w:val="0"/>
                <w:bCs w:val="0"/>
                <w:sz w:val="21"/>
                <w:szCs w:val="21"/>
                <w:highlight w:val="none"/>
                <w:lang w:val="en-US" w:eastAsia="zh-CN"/>
              </w:rPr>
            </w:pPr>
          </w:p>
        </w:tc>
      </w:tr>
      <w:tr w14:paraId="30B2D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vAlign w:val="center"/>
          </w:tcPr>
          <w:p w14:paraId="6852EEF3">
            <w:pPr>
              <w:rPr>
                <w:rFonts w:hint="eastAsia" w:ascii="仿宋" w:hAnsi="仿宋" w:eastAsia="仿宋" w:cs="仿宋"/>
                <w:highlight w:val="none"/>
              </w:rPr>
            </w:pPr>
            <w:r>
              <w:rPr>
                <w:rFonts w:hint="eastAsia" w:ascii="仿宋" w:hAnsi="仿宋" w:eastAsia="仿宋" w:cs="仿宋"/>
                <w:highlight w:val="none"/>
              </w:rPr>
              <w:t>执业资格证书编号</w:t>
            </w:r>
          </w:p>
        </w:tc>
        <w:tc>
          <w:tcPr>
            <w:tcW w:w="2082" w:type="dxa"/>
            <w:vAlign w:val="center"/>
          </w:tcPr>
          <w:p w14:paraId="4AB68F57">
            <w:pPr>
              <w:pStyle w:val="6"/>
              <w:rPr>
                <w:rFonts w:hint="eastAsia" w:ascii="仿宋" w:hAnsi="仿宋" w:eastAsia="仿宋" w:cs="仿宋"/>
                <w:b w:val="0"/>
                <w:bCs w:val="0"/>
                <w:sz w:val="21"/>
                <w:szCs w:val="21"/>
                <w:highlight w:val="none"/>
                <w:lang w:val="en-US" w:eastAsia="zh-CN"/>
              </w:rPr>
            </w:pPr>
          </w:p>
        </w:tc>
        <w:tc>
          <w:tcPr>
            <w:tcW w:w="2082" w:type="dxa"/>
            <w:vAlign w:val="center"/>
          </w:tcPr>
          <w:p w14:paraId="4504ED26">
            <w:pPr>
              <w:pStyle w:val="6"/>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工作年限</w:t>
            </w:r>
          </w:p>
        </w:tc>
        <w:tc>
          <w:tcPr>
            <w:tcW w:w="2083" w:type="dxa"/>
            <w:vAlign w:val="center"/>
          </w:tcPr>
          <w:p w14:paraId="5B955332">
            <w:pPr>
              <w:pStyle w:val="6"/>
              <w:rPr>
                <w:rFonts w:hint="eastAsia" w:ascii="仿宋" w:hAnsi="仿宋" w:eastAsia="仿宋" w:cs="仿宋"/>
                <w:b w:val="0"/>
                <w:bCs w:val="0"/>
                <w:sz w:val="21"/>
                <w:szCs w:val="21"/>
                <w:highlight w:val="none"/>
                <w:lang w:val="en-US" w:eastAsia="zh-CN"/>
              </w:rPr>
            </w:pPr>
          </w:p>
        </w:tc>
      </w:tr>
      <w:tr w14:paraId="2492D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1" w:hRule="atLeast"/>
        </w:trPr>
        <w:tc>
          <w:tcPr>
            <w:tcW w:w="2082" w:type="dxa"/>
            <w:textDirection w:val="tbRlV"/>
            <w:vAlign w:val="center"/>
          </w:tcPr>
          <w:p w14:paraId="657E7021">
            <w:pPr>
              <w:pStyle w:val="6"/>
              <w:ind w:firstLine="210" w:firstLineChars="100"/>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主要工作业绩及担任的主要工作</w:t>
            </w:r>
          </w:p>
        </w:tc>
        <w:tc>
          <w:tcPr>
            <w:tcW w:w="6247" w:type="dxa"/>
            <w:gridSpan w:val="3"/>
            <w:vAlign w:val="center"/>
          </w:tcPr>
          <w:p w14:paraId="2B15EF3E">
            <w:pPr>
              <w:pStyle w:val="6"/>
              <w:rPr>
                <w:rFonts w:hint="eastAsia" w:ascii="仿宋" w:hAnsi="仿宋" w:eastAsia="仿宋" w:cs="仿宋"/>
                <w:b w:val="0"/>
                <w:bCs w:val="0"/>
                <w:sz w:val="21"/>
                <w:szCs w:val="21"/>
                <w:highlight w:val="none"/>
                <w:lang w:val="en-US" w:eastAsia="zh-CN"/>
              </w:rPr>
            </w:pPr>
          </w:p>
        </w:tc>
      </w:tr>
    </w:tbl>
    <w:p w14:paraId="34954740">
      <w:pPr>
        <w:spacing w:line="440" w:lineRule="exact"/>
        <w:rPr>
          <w:rFonts w:hint="eastAsia" w:ascii="仿宋" w:hAnsi="仿宋" w:eastAsia="仿宋" w:cs="仿宋"/>
          <w:highlight w:val="none"/>
        </w:rPr>
      </w:pPr>
      <w:r>
        <w:rPr>
          <w:rFonts w:hint="eastAsia" w:ascii="仿宋" w:hAnsi="仿宋" w:eastAsia="仿宋" w:cs="仿宋"/>
          <w:highlight w:val="none"/>
        </w:rPr>
        <w:t xml:space="preserve">   </w:t>
      </w:r>
    </w:p>
    <w:p w14:paraId="2FED8889">
      <w:pPr>
        <w:spacing w:line="440" w:lineRule="exact"/>
        <w:rPr>
          <w:rFonts w:hint="eastAsia" w:ascii="仿宋" w:hAnsi="仿宋" w:eastAsia="仿宋" w:cs="仿宋"/>
          <w:highlight w:val="none"/>
        </w:rPr>
      </w:pPr>
    </w:p>
    <w:p w14:paraId="44AF57D7">
      <w:pPr>
        <w:pStyle w:val="2"/>
        <w:tabs>
          <w:tab w:val="left" w:pos="285"/>
        </w:tabs>
        <w:jc w:val="center"/>
        <w:rPr>
          <w:rFonts w:hint="eastAsia" w:ascii="仿宋" w:hAnsi="仿宋" w:eastAsia="仿宋" w:cs="仿宋"/>
          <w:b w:val="0"/>
          <w:bCs/>
          <w:sz w:val="36"/>
          <w:szCs w:val="36"/>
          <w:highlight w:val="none"/>
        </w:rPr>
      </w:pPr>
      <w:r>
        <w:rPr>
          <w:rFonts w:hint="eastAsia" w:ascii="仿宋" w:hAnsi="仿宋" w:eastAsia="仿宋" w:cs="仿宋"/>
          <w:highlight w:val="none"/>
        </w:rPr>
        <w:br w:type="page"/>
      </w:r>
      <w:r>
        <w:rPr>
          <w:rFonts w:hint="eastAsia" w:ascii="仿宋" w:hAnsi="仿宋" w:eastAsia="仿宋" w:cs="仿宋"/>
          <w:b w:val="0"/>
          <w:bCs/>
          <w:sz w:val="36"/>
          <w:szCs w:val="36"/>
          <w:highlight w:val="none"/>
        </w:rPr>
        <w:t>第三章</w:t>
      </w:r>
      <w:bookmarkEnd w:id="106"/>
      <w:bookmarkEnd w:id="107"/>
      <w:r>
        <w:rPr>
          <w:rFonts w:hint="eastAsia" w:ascii="仿宋" w:hAnsi="仿宋" w:eastAsia="仿宋" w:cs="仿宋"/>
          <w:b w:val="0"/>
          <w:bCs/>
          <w:sz w:val="36"/>
          <w:szCs w:val="36"/>
          <w:highlight w:val="none"/>
        </w:rPr>
        <w:t xml:space="preserve"> 技术要求及工程量清单</w:t>
      </w:r>
    </w:p>
    <w:p w14:paraId="349372FF">
      <w:pPr>
        <w:numPr>
          <w:ilvl w:val="0"/>
          <w:numId w:val="1"/>
        </w:numPr>
        <w:spacing w:line="440" w:lineRule="exact"/>
        <w:jc w:val="left"/>
        <w:rPr>
          <w:rFonts w:hint="eastAsia" w:ascii="仿宋" w:hAnsi="仿宋" w:eastAsia="仿宋" w:cs="仿宋"/>
          <w:b/>
          <w:bCs/>
          <w:sz w:val="24"/>
          <w:highlight w:val="none"/>
        </w:rPr>
      </w:pPr>
      <w:r>
        <w:rPr>
          <w:rFonts w:hint="eastAsia" w:ascii="仿宋" w:hAnsi="仿宋" w:eastAsia="仿宋" w:cs="仿宋"/>
          <w:b/>
          <w:bCs/>
          <w:sz w:val="24"/>
          <w:highlight w:val="none"/>
        </w:rPr>
        <w:t>技术标准和要求</w:t>
      </w:r>
      <w:bookmarkStart w:id="118" w:name="EptNR_技术标准和要求"/>
      <w:bookmarkEnd w:id="118"/>
    </w:p>
    <w:p w14:paraId="490D59F5">
      <w:pPr>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一、工程概况</w:t>
      </w:r>
    </w:p>
    <w:p w14:paraId="6207D44A">
      <w:pPr>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1、项目名称：新庄子镇曹家村、南马村、九道村、新庄子村、姜木村、李坨村联合发展修建冷库项目-设备、10KV配电、配套工程</w:t>
      </w:r>
    </w:p>
    <w:p w14:paraId="46F38F4B">
      <w:pPr>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 xml:space="preserve">2、建设规模：具体详见工程量清单 </w:t>
      </w:r>
    </w:p>
    <w:p w14:paraId="724F42E0">
      <w:pPr>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3、以下给出的工程承包范围和说明描述只是概括的不应认为是全面的、无缺的，供应商应研究其他文件。</w:t>
      </w:r>
    </w:p>
    <w:p w14:paraId="243E86A0">
      <w:pPr>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4、供应商被认为已详细阅读过采购文件及合同文件等相关文件。</w:t>
      </w:r>
    </w:p>
    <w:p w14:paraId="2596F766">
      <w:pPr>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二、施工要求</w:t>
      </w:r>
    </w:p>
    <w:p w14:paraId="689319CB">
      <w:pPr>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在人员活动、材料堆放、施工时间安排上，按有关规定要求安排计划。</w:t>
      </w:r>
    </w:p>
    <w:p w14:paraId="11462445">
      <w:pPr>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三、技术规范</w:t>
      </w:r>
    </w:p>
    <w:p w14:paraId="2794C44A">
      <w:pPr>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按国家、行业、地方有关标准，规范执行。如上述标准、规范对同一问题要求不一致是以业主解释为准。</w:t>
      </w:r>
    </w:p>
    <w:p w14:paraId="6FD09279">
      <w:pPr>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四、具体施工要求以甲方要求为准。</w:t>
      </w:r>
    </w:p>
    <w:p w14:paraId="39FEC897">
      <w:pPr>
        <w:numPr>
          <w:ilvl w:val="0"/>
          <w:numId w:val="1"/>
        </w:numPr>
        <w:spacing w:line="440" w:lineRule="exact"/>
        <w:jc w:val="left"/>
        <w:rPr>
          <w:rFonts w:hint="eastAsia" w:ascii="仿宋" w:hAnsi="仿宋" w:eastAsia="仿宋" w:cs="仿宋"/>
          <w:b/>
          <w:bCs/>
          <w:sz w:val="24"/>
          <w:highlight w:val="none"/>
        </w:rPr>
      </w:pPr>
      <w:r>
        <w:rPr>
          <w:rFonts w:hint="eastAsia" w:ascii="仿宋" w:hAnsi="仿宋" w:eastAsia="仿宋" w:cs="仿宋"/>
          <w:b/>
          <w:bCs/>
          <w:sz w:val="24"/>
          <w:highlight w:val="none"/>
        </w:rPr>
        <w:t>工程量清单</w:t>
      </w:r>
    </w:p>
    <w:p w14:paraId="637D2C94">
      <w:pPr>
        <w:spacing w:line="440" w:lineRule="exact"/>
        <w:ind w:firstLine="480" w:firstLineChars="200"/>
        <w:jc w:val="left"/>
        <w:rPr>
          <w:rFonts w:hint="eastAsia" w:ascii="仿宋" w:hAnsi="仿宋" w:eastAsia="仿宋" w:cs="仿宋"/>
          <w:sz w:val="24"/>
          <w:highlight w:val="none"/>
        </w:rPr>
      </w:pPr>
      <w:bookmarkStart w:id="119" w:name="_Toc275956200"/>
      <w:r>
        <w:rPr>
          <w:rFonts w:hint="eastAsia" w:ascii="仿宋" w:hAnsi="仿宋" w:eastAsia="仿宋" w:cs="仿宋"/>
          <w:sz w:val="24"/>
          <w:highlight w:val="none"/>
        </w:rPr>
        <w:t>一、工程量清单编制说明及响应报价说明</w:t>
      </w:r>
    </w:p>
    <w:p w14:paraId="495E09DC">
      <w:pPr>
        <w:jc w:val="center"/>
        <w:rPr>
          <w:rFonts w:hint="eastAsia" w:ascii="仿宋" w:hAnsi="仿宋" w:eastAsia="仿宋" w:cs="仿宋"/>
          <w:sz w:val="24"/>
          <w:highlight w:val="none"/>
        </w:rPr>
      </w:pPr>
    </w:p>
    <w:p w14:paraId="459AF521">
      <w:pPr>
        <w:jc w:val="center"/>
        <w:rPr>
          <w:rFonts w:hint="eastAsia" w:ascii="仿宋" w:hAnsi="仿宋" w:eastAsia="仿宋" w:cs="仿宋"/>
          <w:sz w:val="24"/>
          <w:highlight w:val="none"/>
        </w:rPr>
      </w:pPr>
      <w:r>
        <w:rPr>
          <w:rFonts w:hint="eastAsia" w:ascii="仿宋" w:hAnsi="仿宋" w:eastAsia="仿宋" w:cs="仿宋"/>
          <w:sz w:val="30"/>
          <w:szCs w:val="30"/>
          <w:highlight w:val="none"/>
        </w:rPr>
        <w:object>
          <v:shape id="_x0000_i1025" o:spt="75" type="#_x0000_t75" style="height:41pt;width:85.5pt;" o:ole="t" filled="f" o:preferrelative="t" stroked="f" coordsize="21600,21600">
            <v:path/>
            <v:fill on="f" focussize="0,0"/>
            <v:stroke on="f" joinstyle="miter"/>
            <v:imagedata r:id="rId9" o:title=""/>
            <o:lock v:ext="edit" aspectratio="t"/>
            <w10:wrap type="none"/>
            <w10:anchorlock/>
          </v:shape>
          <o:OLEObject Type="Embed" ProgID="Package" ShapeID="_x0000_i1025" DrawAspect="Content" ObjectID="_1468075725" r:id="rId8">
            <o:LockedField>false</o:LockedField>
          </o:OLEObject>
        </w:object>
      </w:r>
    </w:p>
    <w:p w14:paraId="53ECD5BF">
      <w:pPr>
        <w:jc w:val="center"/>
        <w:rPr>
          <w:rFonts w:hint="eastAsia" w:ascii="仿宋" w:hAnsi="仿宋" w:eastAsia="仿宋" w:cs="仿宋"/>
          <w:sz w:val="24"/>
          <w:highlight w:val="none"/>
        </w:rPr>
      </w:pPr>
    </w:p>
    <w:bookmarkEnd w:id="119"/>
    <w:p w14:paraId="7D2AA2AB">
      <w:pPr>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二、工程量清单</w:t>
      </w:r>
    </w:p>
    <w:p w14:paraId="4F7B87B0">
      <w:pPr>
        <w:jc w:val="center"/>
        <w:rPr>
          <w:rFonts w:hint="eastAsia" w:ascii="仿宋" w:hAnsi="仿宋" w:eastAsia="仿宋" w:cs="仿宋"/>
          <w:bCs/>
          <w:sz w:val="36"/>
          <w:szCs w:val="36"/>
          <w:highlight w:val="none"/>
        </w:rPr>
      </w:pPr>
      <w:bookmarkStart w:id="120" w:name="_Toc4485644"/>
      <w:r>
        <w:rPr>
          <w:rFonts w:hint="eastAsia" w:ascii="仿宋" w:hAnsi="仿宋" w:eastAsia="仿宋" w:cs="仿宋"/>
          <w:sz w:val="30"/>
          <w:szCs w:val="30"/>
          <w:highlight w:val="none"/>
        </w:rPr>
        <w:object>
          <v:shape id="_x0000_i1026" o:spt="75" type="#_x0000_t75" style="height:41pt;width:487.5pt;" o:ole="t" filled="f" o:preferrelative="t" stroked="f" coordsize="21600,21600">
            <v:path/>
            <v:fill on="f" focussize="0,0"/>
            <v:stroke on="f" joinstyle="miter"/>
            <v:imagedata r:id="rId11" o:title=""/>
            <o:lock v:ext="edit" aspectratio="t"/>
            <w10:wrap type="none"/>
            <w10:anchorlock/>
          </v:shape>
          <o:OLEObject Type="Embed" ProgID="Package" ShapeID="_x0000_i1026" DrawAspect="Content" ObjectID="_1468075726" r:id="rId10">
            <o:LockedField>false</o:LockedField>
          </o:OLEObject>
        </w:object>
      </w:r>
      <w:r>
        <w:rPr>
          <w:rFonts w:hint="eastAsia" w:ascii="仿宋" w:hAnsi="仿宋" w:eastAsia="仿宋" w:cs="仿宋"/>
          <w:sz w:val="30"/>
          <w:szCs w:val="30"/>
          <w:highlight w:val="none"/>
        </w:rPr>
        <w:br w:type="page"/>
      </w:r>
      <w:bookmarkStart w:id="121" w:name="_Toc24220"/>
      <w:r>
        <w:rPr>
          <w:rFonts w:hint="eastAsia" w:ascii="仿宋" w:hAnsi="仿宋" w:eastAsia="仿宋" w:cs="仿宋"/>
          <w:bCs/>
          <w:sz w:val="36"/>
          <w:szCs w:val="36"/>
          <w:highlight w:val="none"/>
        </w:rPr>
        <w:t>第四章 磋商内容、磋商过程中可能实质性变动的内容</w:t>
      </w:r>
      <w:bookmarkEnd w:id="120"/>
      <w:bookmarkEnd w:id="121"/>
    </w:p>
    <w:p w14:paraId="7D6749B0">
      <w:pPr>
        <w:widowControl/>
        <w:snapToGrid w:val="0"/>
        <w:spacing w:line="500" w:lineRule="exact"/>
        <w:jc w:val="left"/>
        <w:rPr>
          <w:rFonts w:hint="eastAsia" w:ascii="仿宋" w:hAnsi="仿宋" w:eastAsia="仿宋" w:cs="仿宋"/>
          <w:bCs/>
          <w:kern w:val="0"/>
          <w:sz w:val="24"/>
          <w:highlight w:val="none"/>
        </w:rPr>
      </w:pPr>
      <w:r>
        <w:rPr>
          <w:rFonts w:hint="eastAsia" w:ascii="仿宋" w:hAnsi="仿宋" w:eastAsia="仿宋" w:cs="仿宋"/>
          <w:bCs/>
          <w:kern w:val="0"/>
          <w:szCs w:val="21"/>
          <w:highlight w:val="none"/>
        </w:rPr>
        <w:t xml:space="preserve">   </w:t>
      </w:r>
      <w:r>
        <w:rPr>
          <w:rFonts w:hint="eastAsia" w:ascii="仿宋" w:hAnsi="仿宋" w:eastAsia="仿宋" w:cs="仿宋"/>
          <w:bCs/>
          <w:kern w:val="0"/>
          <w:sz w:val="24"/>
          <w:highlight w:val="none"/>
        </w:rPr>
        <w:t xml:space="preserve"> 磋商小组根据与供应商磋商情况可能实质性变动的内容（不得变动采购文件中的其他内容）： </w:t>
      </w:r>
    </w:p>
    <w:p w14:paraId="445ED7FE">
      <w:pPr>
        <w:rPr>
          <w:rFonts w:hint="eastAsia" w:ascii="仿宋" w:hAnsi="仿宋" w:eastAsia="仿宋" w:cs="仿宋"/>
          <w:bCs/>
          <w:kern w:val="0"/>
          <w:sz w:val="24"/>
          <w:highlight w:val="none"/>
        </w:rPr>
      </w:pPr>
    </w:p>
    <w:p w14:paraId="7060961B">
      <w:pPr>
        <w:rPr>
          <w:rFonts w:hint="eastAsia" w:ascii="仿宋" w:hAnsi="仿宋" w:eastAsia="仿宋" w:cs="仿宋"/>
          <w:bCs/>
          <w:kern w:val="0"/>
          <w:sz w:val="24"/>
          <w:highlight w:val="none"/>
        </w:rPr>
      </w:pPr>
      <w:r>
        <w:rPr>
          <w:rFonts w:hint="eastAsia" w:ascii="仿宋" w:hAnsi="仿宋" w:eastAsia="仿宋" w:cs="仿宋"/>
          <w:bCs/>
          <w:kern w:val="0"/>
          <w:sz w:val="24"/>
          <w:highlight w:val="none"/>
        </w:rPr>
        <w:t>1.技术要求</w:t>
      </w:r>
    </w:p>
    <w:p w14:paraId="0A52328C">
      <w:pPr>
        <w:rPr>
          <w:rFonts w:hint="eastAsia" w:ascii="仿宋" w:hAnsi="仿宋" w:eastAsia="仿宋" w:cs="仿宋"/>
          <w:bCs/>
          <w:kern w:val="0"/>
          <w:sz w:val="24"/>
          <w:highlight w:val="none"/>
        </w:rPr>
      </w:pPr>
      <w:r>
        <w:rPr>
          <w:rFonts w:hint="eastAsia" w:ascii="仿宋" w:hAnsi="仿宋" w:eastAsia="仿宋" w:cs="仿宋"/>
          <w:bCs/>
          <w:kern w:val="0"/>
          <w:sz w:val="24"/>
          <w:highlight w:val="none"/>
        </w:rPr>
        <w:t>……</w:t>
      </w:r>
    </w:p>
    <w:p w14:paraId="3ED4CA80">
      <w:pPr>
        <w:rPr>
          <w:rFonts w:hint="eastAsia" w:ascii="仿宋" w:hAnsi="仿宋" w:eastAsia="仿宋" w:cs="仿宋"/>
          <w:bCs/>
          <w:kern w:val="0"/>
          <w:sz w:val="24"/>
          <w:highlight w:val="none"/>
        </w:rPr>
      </w:pPr>
      <w:r>
        <w:rPr>
          <w:rFonts w:hint="eastAsia" w:ascii="仿宋" w:hAnsi="仿宋" w:eastAsia="仿宋" w:cs="仿宋"/>
          <w:bCs/>
          <w:kern w:val="0"/>
          <w:sz w:val="24"/>
          <w:highlight w:val="none"/>
        </w:rPr>
        <w:t>2.服务要求</w:t>
      </w:r>
    </w:p>
    <w:p w14:paraId="60E58D2B">
      <w:pPr>
        <w:rPr>
          <w:rFonts w:hint="eastAsia" w:ascii="仿宋" w:hAnsi="仿宋" w:eastAsia="仿宋" w:cs="仿宋"/>
          <w:bCs/>
          <w:kern w:val="0"/>
          <w:sz w:val="24"/>
          <w:highlight w:val="none"/>
        </w:rPr>
      </w:pPr>
      <w:r>
        <w:rPr>
          <w:rFonts w:hint="eastAsia" w:ascii="仿宋" w:hAnsi="仿宋" w:eastAsia="仿宋" w:cs="仿宋"/>
          <w:bCs/>
          <w:kern w:val="0"/>
          <w:sz w:val="24"/>
          <w:highlight w:val="none"/>
        </w:rPr>
        <w:t>……</w:t>
      </w:r>
    </w:p>
    <w:p w14:paraId="22035D98">
      <w:pPr>
        <w:rPr>
          <w:rFonts w:hint="eastAsia" w:ascii="仿宋" w:hAnsi="仿宋" w:eastAsia="仿宋" w:cs="仿宋"/>
          <w:bCs/>
          <w:kern w:val="0"/>
          <w:sz w:val="24"/>
          <w:highlight w:val="none"/>
        </w:rPr>
      </w:pPr>
      <w:r>
        <w:rPr>
          <w:rFonts w:hint="eastAsia" w:ascii="仿宋" w:hAnsi="仿宋" w:eastAsia="仿宋" w:cs="仿宋"/>
          <w:bCs/>
          <w:kern w:val="0"/>
          <w:sz w:val="24"/>
          <w:highlight w:val="none"/>
        </w:rPr>
        <w:t>3.合同草案条款</w:t>
      </w:r>
    </w:p>
    <w:p w14:paraId="6DD4BB43">
      <w:pPr>
        <w:rPr>
          <w:rFonts w:hint="eastAsia" w:ascii="仿宋" w:hAnsi="仿宋" w:eastAsia="仿宋" w:cs="仿宋"/>
          <w:sz w:val="24"/>
          <w:highlight w:val="none"/>
        </w:rPr>
      </w:pPr>
      <w:r>
        <w:rPr>
          <w:rFonts w:hint="eastAsia" w:ascii="仿宋" w:hAnsi="仿宋" w:eastAsia="仿宋" w:cs="仿宋"/>
          <w:sz w:val="24"/>
          <w:highlight w:val="none"/>
        </w:rPr>
        <w:t>……</w:t>
      </w:r>
    </w:p>
    <w:p w14:paraId="1F12FCCD">
      <w:pPr>
        <w:rPr>
          <w:rFonts w:hint="eastAsia" w:ascii="仿宋" w:hAnsi="仿宋" w:eastAsia="仿宋" w:cs="仿宋"/>
          <w:sz w:val="24"/>
          <w:highlight w:val="none"/>
        </w:rPr>
      </w:pPr>
      <w:r>
        <w:rPr>
          <w:rFonts w:hint="eastAsia" w:ascii="仿宋" w:hAnsi="仿宋" w:eastAsia="仿宋" w:cs="仿宋"/>
          <w:sz w:val="24"/>
          <w:highlight w:val="none"/>
        </w:rPr>
        <w:t>……</w:t>
      </w:r>
    </w:p>
    <w:p w14:paraId="2DF53A1F">
      <w:pPr>
        <w:rPr>
          <w:rFonts w:hint="eastAsia" w:ascii="仿宋" w:hAnsi="仿宋" w:eastAsia="仿宋" w:cs="仿宋"/>
          <w:sz w:val="24"/>
          <w:highlight w:val="none"/>
        </w:rPr>
      </w:pPr>
    </w:p>
    <w:p w14:paraId="22F384DC">
      <w:pPr>
        <w:rPr>
          <w:rFonts w:hint="eastAsia" w:ascii="仿宋" w:hAnsi="仿宋" w:eastAsia="仿宋" w:cs="仿宋"/>
          <w:sz w:val="24"/>
          <w:highlight w:val="none"/>
        </w:rPr>
      </w:pPr>
    </w:p>
    <w:p w14:paraId="3AC298A3">
      <w:pPr>
        <w:rPr>
          <w:rFonts w:hint="eastAsia" w:ascii="仿宋" w:hAnsi="仿宋" w:eastAsia="仿宋" w:cs="仿宋"/>
          <w:sz w:val="24"/>
          <w:highlight w:val="none"/>
        </w:rPr>
      </w:pPr>
    </w:p>
    <w:p w14:paraId="3ECE920B">
      <w:pPr>
        <w:rPr>
          <w:rFonts w:hint="eastAsia" w:ascii="仿宋" w:hAnsi="仿宋" w:eastAsia="仿宋" w:cs="仿宋"/>
          <w:sz w:val="24"/>
          <w:highlight w:val="none"/>
        </w:rPr>
      </w:pPr>
    </w:p>
    <w:p w14:paraId="3A585E23">
      <w:pPr>
        <w:rPr>
          <w:rFonts w:hint="eastAsia" w:ascii="仿宋" w:hAnsi="仿宋" w:eastAsia="仿宋" w:cs="仿宋"/>
          <w:sz w:val="24"/>
          <w:highlight w:val="none"/>
        </w:rPr>
      </w:pPr>
    </w:p>
    <w:p w14:paraId="07D3887E">
      <w:pPr>
        <w:rPr>
          <w:rFonts w:hint="eastAsia" w:ascii="仿宋" w:hAnsi="仿宋" w:eastAsia="仿宋" w:cs="仿宋"/>
          <w:sz w:val="24"/>
          <w:highlight w:val="none"/>
        </w:rPr>
      </w:pPr>
    </w:p>
    <w:p w14:paraId="01139176">
      <w:pPr>
        <w:rPr>
          <w:rFonts w:hint="eastAsia" w:ascii="仿宋" w:hAnsi="仿宋" w:eastAsia="仿宋" w:cs="仿宋"/>
          <w:sz w:val="24"/>
          <w:highlight w:val="none"/>
        </w:rPr>
      </w:pPr>
    </w:p>
    <w:p w14:paraId="16872FB8">
      <w:pPr>
        <w:rPr>
          <w:rFonts w:hint="eastAsia" w:ascii="仿宋" w:hAnsi="仿宋" w:eastAsia="仿宋" w:cs="仿宋"/>
          <w:sz w:val="24"/>
          <w:highlight w:val="none"/>
        </w:rPr>
      </w:pPr>
    </w:p>
    <w:p w14:paraId="037AD5DB">
      <w:pPr>
        <w:rPr>
          <w:rFonts w:hint="eastAsia" w:ascii="仿宋" w:hAnsi="仿宋" w:eastAsia="仿宋" w:cs="仿宋"/>
          <w:bCs/>
          <w:kern w:val="0"/>
          <w:sz w:val="24"/>
          <w:highlight w:val="none"/>
        </w:rPr>
      </w:pPr>
      <w:r>
        <w:rPr>
          <w:rFonts w:hint="eastAsia" w:ascii="仿宋" w:hAnsi="仿宋" w:eastAsia="仿宋" w:cs="仿宋"/>
          <w:bCs/>
          <w:kern w:val="0"/>
          <w:sz w:val="24"/>
          <w:highlight w:val="none"/>
        </w:rPr>
        <w:t>注：采购人不同意采购文件在磋商过程中有任何变动的，直接写无，实质性变动的内容，须经采购人代表确认。</w:t>
      </w:r>
    </w:p>
    <w:p w14:paraId="7D26C4EF">
      <w:pPr>
        <w:jc w:val="center"/>
        <w:rPr>
          <w:rFonts w:hint="eastAsia" w:ascii="仿宋" w:hAnsi="仿宋" w:eastAsia="仿宋" w:cs="仿宋"/>
          <w:sz w:val="24"/>
          <w:highlight w:val="none"/>
        </w:rPr>
      </w:pPr>
    </w:p>
    <w:p w14:paraId="562CA932">
      <w:pPr>
        <w:pStyle w:val="2"/>
        <w:jc w:val="center"/>
        <w:rPr>
          <w:rFonts w:hint="eastAsia" w:ascii="仿宋" w:hAnsi="仿宋" w:eastAsia="仿宋" w:cs="仿宋"/>
          <w:b w:val="0"/>
          <w:bCs/>
          <w:sz w:val="36"/>
          <w:szCs w:val="36"/>
          <w:highlight w:val="none"/>
        </w:rPr>
      </w:pPr>
      <w:r>
        <w:rPr>
          <w:rFonts w:hint="eastAsia" w:ascii="仿宋" w:hAnsi="仿宋" w:eastAsia="仿宋" w:cs="仿宋"/>
          <w:highlight w:val="none"/>
        </w:rPr>
        <w:br w:type="page"/>
      </w:r>
      <w:bookmarkStart w:id="122" w:name="_Toc4177"/>
      <w:bookmarkStart w:id="123" w:name="_Toc4485645"/>
      <w:r>
        <w:rPr>
          <w:rFonts w:hint="eastAsia" w:ascii="仿宋" w:hAnsi="仿宋" w:eastAsia="仿宋" w:cs="仿宋"/>
          <w:b w:val="0"/>
          <w:bCs/>
          <w:sz w:val="36"/>
          <w:szCs w:val="36"/>
          <w:highlight w:val="none"/>
        </w:rPr>
        <w:t>第五章 评审办法</w:t>
      </w:r>
      <w:bookmarkEnd w:id="122"/>
      <w:bookmarkEnd w:id="123"/>
    </w:p>
    <w:p w14:paraId="013C7DE6">
      <w:pPr>
        <w:adjustRightInd w:val="0"/>
        <w:snapToGrid w:val="0"/>
        <w:spacing w:line="440" w:lineRule="exact"/>
        <w:ind w:firstLine="480" w:firstLineChars="200"/>
        <w:rPr>
          <w:rFonts w:hint="eastAsia" w:ascii="仿宋" w:hAnsi="仿宋" w:eastAsia="仿宋" w:cs="仿宋"/>
          <w:bCs/>
          <w:kern w:val="0"/>
          <w:sz w:val="24"/>
          <w:highlight w:val="none"/>
        </w:rPr>
      </w:pPr>
      <w:r>
        <w:rPr>
          <w:rFonts w:hint="eastAsia" w:ascii="仿宋" w:hAnsi="仿宋" w:eastAsia="仿宋" w:cs="仿宋"/>
          <w:bCs/>
          <w:kern w:val="0"/>
          <w:sz w:val="24"/>
          <w:highlight w:val="none"/>
        </w:rPr>
        <w:t>本项目将按照采购文件第一章供应商须知中“六 磋商及评审”“七 确定成交”及本章的规定评审。</w:t>
      </w:r>
    </w:p>
    <w:p w14:paraId="68EDE456">
      <w:pPr>
        <w:adjustRightInd w:val="0"/>
        <w:snapToGrid w:val="0"/>
        <w:spacing w:line="440" w:lineRule="exact"/>
        <w:ind w:firstLine="482" w:firstLineChars="200"/>
        <w:rPr>
          <w:rFonts w:hint="eastAsia" w:ascii="仿宋" w:hAnsi="仿宋" w:eastAsia="仿宋" w:cs="仿宋"/>
          <w:b/>
          <w:kern w:val="0"/>
          <w:sz w:val="24"/>
          <w:highlight w:val="none"/>
        </w:rPr>
      </w:pPr>
      <w:r>
        <w:rPr>
          <w:rFonts w:hint="eastAsia" w:ascii="仿宋" w:hAnsi="仿宋" w:eastAsia="仿宋" w:cs="仿宋"/>
          <w:b/>
          <w:kern w:val="0"/>
          <w:sz w:val="24"/>
          <w:highlight w:val="none"/>
        </w:rPr>
        <w:t>一、评审方法</w:t>
      </w:r>
    </w:p>
    <w:p w14:paraId="100C0E37">
      <w:pPr>
        <w:adjustRightInd w:val="0"/>
        <w:snapToGrid w:val="0"/>
        <w:spacing w:line="440" w:lineRule="exact"/>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本项目采用</w:t>
      </w:r>
      <w:r>
        <w:rPr>
          <w:rFonts w:hint="eastAsia" w:ascii="仿宋" w:hAnsi="仿宋" w:eastAsia="仿宋" w:cs="仿宋"/>
          <w:kern w:val="0"/>
          <w:sz w:val="24"/>
          <w:highlight w:val="none"/>
          <w:u w:val="single"/>
        </w:rPr>
        <w:t>综合评分法</w:t>
      </w:r>
      <w:r>
        <w:rPr>
          <w:rFonts w:hint="eastAsia" w:ascii="仿宋" w:hAnsi="仿宋" w:eastAsia="仿宋" w:cs="仿宋"/>
          <w:kern w:val="0"/>
          <w:sz w:val="24"/>
          <w:highlight w:val="none"/>
        </w:rPr>
        <w:t>进行</w:t>
      </w:r>
      <w:r>
        <w:rPr>
          <w:rFonts w:hint="eastAsia" w:ascii="仿宋" w:hAnsi="仿宋" w:eastAsia="仿宋" w:cs="仿宋"/>
          <w:bCs/>
          <w:kern w:val="0"/>
          <w:sz w:val="24"/>
          <w:highlight w:val="none"/>
        </w:rPr>
        <w:t>评审</w:t>
      </w:r>
      <w:r>
        <w:rPr>
          <w:rFonts w:hint="eastAsia" w:ascii="仿宋" w:hAnsi="仿宋" w:eastAsia="仿宋" w:cs="仿宋"/>
          <w:kern w:val="0"/>
          <w:sz w:val="24"/>
          <w:highlight w:val="none"/>
        </w:rPr>
        <w:t>。</w:t>
      </w:r>
    </w:p>
    <w:p w14:paraId="5F4AD3B5">
      <w:pPr>
        <w:adjustRightInd w:val="0"/>
        <w:snapToGrid w:val="0"/>
        <w:spacing w:line="440" w:lineRule="exact"/>
        <w:ind w:firstLine="482" w:firstLineChars="200"/>
        <w:textAlignment w:val="baseline"/>
        <w:rPr>
          <w:rFonts w:hint="eastAsia" w:ascii="仿宋" w:hAnsi="仿宋" w:eastAsia="仿宋" w:cs="仿宋"/>
          <w:b/>
          <w:kern w:val="0"/>
          <w:sz w:val="24"/>
          <w:highlight w:val="none"/>
        </w:rPr>
      </w:pPr>
      <w:r>
        <w:rPr>
          <w:rFonts w:hint="eastAsia" w:ascii="仿宋" w:hAnsi="仿宋" w:eastAsia="仿宋" w:cs="仿宋"/>
          <w:b/>
          <w:kern w:val="0"/>
          <w:sz w:val="24"/>
          <w:highlight w:val="none"/>
        </w:rPr>
        <w:t>二、评审原则及程序</w:t>
      </w:r>
    </w:p>
    <w:p w14:paraId="6823BCC8">
      <w:pPr>
        <w:adjustRightInd w:val="0"/>
        <w:snapToGrid w:val="0"/>
        <w:spacing w:line="440" w:lineRule="exact"/>
        <w:ind w:firstLine="482" w:firstLineChars="200"/>
        <w:textAlignment w:val="baseline"/>
        <w:rPr>
          <w:rFonts w:hint="eastAsia" w:ascii="仿宋" w:hAnsi="仿宋" w:eastAsia="仿宋" w:cs="仿宋"/>
          <w:b/>
          <w:kern w:val="0"/>
          <w:sz w:val="24"/>
          <w:highlight w:val="none"/>
        </w:rPr>
      </w:pPr>
      <w:r>
        <w:rPr>
          <w:rFonts w:hint="eastAsia" w:ascii="仿宋" w:hAnsi="仿宋" w:eastAsia="仿宋" w:cs="仿宋"/>
          <w:b/>
          <w:kern w:val="0"/>
          <w:sz w:val="24"/>
          <w:highlight w:val="none"/>
        </w:rPr>
        <w:t>（一）评审原则</w:t>
      </w:r>
    </w:p>
    <w:p w14:paraId="4A62F4C0">
      <w:pPr>
        <w:adjustRightInd w:val="0"/>
        <w:snapToGrid w:val="0"/>
        <w:spacing w:line="440" w:lineRule="exact"/>
        <w:ind w:firstLine="480" w:firstLineChars="200"/>
        <w:textAlignment w:val="baseline"/>
        <w:rPr>
          <w:rFonts w:hint="eastAsia" w:ascii="仿宋" w:hAnsi="仿宋" w:eastAsia="仿宋" w:cs="仿宋"/>
          <w:kern w:val="0"/>
          <w:sz w:val="24"/>
          <w:highlight w:val="none"/>
        </w:rPr>
      </w:pPr>
      <w:r>
        <w:rPr>
          <w:rFonts w:hint="eastAsia" w:ascii="仿宋" w:hAnsi="仿宋" w:eastAsia="仿宋" w:cs="仿宋"/>
          <w:kern w:val="0"/>
          <w:sz w:val="24"/>
          <w:highlight w:val="none"/>
        </w:rPr>
        <w:t>磋商小组应当按照客观、公正、审慎的原则，根据采购文件规定的评审程序、评审办法和评审标准进行独立评审。采购文件内容违反国家有关强制性规定的，磋商小组应当停止评审并向采购人或者采购代理机构说明情况。</w:t>
      </w:r>
    </w:p>
    <w:p w14:paraId="253C784A">
      <w:pPr>
        <w:adjustRightInd w:val="0"/>
        <w:snapToGrid w:val="0"/>
        <w:spacing w:line="440" w:lineRule="exact"/>
        <w:ind w:firstLine="482" w:firstLineChars="200"/>
        <w:textAlignment w:val="baseline"/>
        <w:rPr>
          <w:rFonts w:hint="eastAsia" w:ascii="仿宋" w:hAnsi="仿宋" w:eastAsia="仿宋" w:cs="仿宋"/>
          <w:b/>
          <w:kern w:val="0"/>
          <w:sz w:val="24"/>
          <w:highlight w:val="none"/>
        </w:rPr>
      </w:pPr>
      <w:r>
        <w:rPr>
          <w:rFonts w:hint="eastAsia" w:ascii="仿宋" w:hAnsi="仿宋" w:eastAsia="仿宋" w:cs="仿宋"/>
          <w:b/>
          <w:kern w:val="0"/>
          <w:sz w:val="24"/>
          <w:highlight w:val="none"/>
        </w:rPr>
        <w:t>（二）评审程序</w:t>
      </w:r>
    </w:p>
    <w:p w14:paraId="59068115">
      <w:pPr>
        <w:adjustRightInd w:val="0"/>
        <w:snapToGrid w:val="0"/>
        <w:spacing w:line="440" w:lineRule="exact"/>
        <w:ind w:firstLine="482" w:firstLineChars="200"/>
        <w:textAlignment w:val="baseline"/>
        <w:rPr>
          <w:rFonts w:hint="eastAsia" w:ascii="仿宋" w:hAnsi="仿宋" w:eastAsia="仿宋" w:cs="仿宋"/>
          <w:b/>
          <w:kern w:val="0"/>
          <w:sz w:val="24"/>
          <w:highlight w:val="none"/>
        </w:rPr>
      </w:pPr>
      <w:r>
        <w:rPr>
          <w:rFonts w:hint="eastAsia" w:ascii="仿宋" w:hAnsi="仿宋" w:eastAsia="仿宋" w:cs="仿宋"/>
          <w:b/>
          <w:kern w:val="0"/>
          <w:sz w:val="24"/>
          <w:highlight w:val="none"/>
        </w:rPr>
        <w:t>1.资格审查</w:t>
      </w:r>
    </w:p>
    <w:p w14:paraId="447EF94F">
      <w:pPr>
        <w:adjustRightInd w:val="0"/>
        <w:snapToGrid w:val="0"/>
        <w:spacing w:line="440" w:lineRule="exact"/>
        <w:ind w:firstLine="480" w:firstLineChars="200"/>
        <w:textAlignment w:val="baseline"/>
        <w:rPr>
          <w:rFonts w:hint="eastAsia" w:ascii="仿宋" w:hAnsi="仿宋" w:eastAsia="仿宋" w:cs="仿宋"/>
          <w:kern w:val="0"/>
          <w:sz w:val="24"/>
          <w:highlight w:val="none"/>
        </w:rPr>
      </w:pPr>
      <w:r>
        <w:rPr>
          <w:rFonts w:hint="eastAsia" w:ascii="仿宋" w:hAnsi="仿宋" w:eastAsia="仿宋" w:cs="仿宋"/>
          <w:kern w:val="0"/>
          <w:sz w:val="24"/>
          <w:highlight w:val="none"/>
        </w:rPr>
        <w:t>详见供应商须知22条。资格审查表详见本章附件1。</w:t>
      </w:r>
    </w:p>
    <w:p w14:paraId="63A9BD20">
      <w:pPr>
        <w:adjustRightInd w:val="0"/>
        <w:snapToGrid w:val="0"/>
        <w:spacing w:line="440" w:lineRule="exact"/>
        <w:ind w:firstLine="482" w:firstLineChars="200"/>
        <w:textAlignment w:val="baseline"/>
        <w:rPr>
          <w:rFonts w:hint="eastAsia" w:ascii="仿宋" w:hAnsi="仿宋" w:eastAsia="仿宋" w:cs="仿宋"/>
          <w:b/>
          <w:kern w:val="0"/>
          <w:sz w:val="24"/>
          <w:highlight w:val="none"/>
        </w:rPr>
      </w:pPr>
      <w:r>
        <w:rPr>
          <w:rFonts w:hint="eastAsia" w:ascii="仿宋" w:hAnsi="仿宋" w:eastAsia="仿宋" w:cs="仿宋"/>
          <w:b/>
          <w:kern w:val="0"/>
          <w:sz w:val="24"/>
          <w:highlight w:val="none"/>
        </w:rPr>
        <w:t>2.符合性审查</w:t>
      </w:r>
    </w:p>
    <w:p w14:paraId="764140F3">
      <w:pPr>
        <w:adjustRightInd w:val="0"/>
        <w:snapToGrid w:val="0"/>
        <w:spacing w:line="440" w:lineRule="exact"/>
        <w:ind w:firstLine="480" w:firstLineChars="200"/>
        <w:textAlignment w:val="baseline"/>
        <w:rPr>
          <w:rFonts w:hint="eastAsia" w:ascii="仿宋" w:hAnsi="仿宋" w:eastAsia="仿宋" w:cs="仿宋"/>
          <w:kern w:val="0"/>
          <w:sz w:val="24"/>
          <w:highlight w:val="none"/>
        </w:rPr>
      </w:pPr>
      <w:r>
        <w:rPr>
          <w:rFonts w:hint="eastAsia" w:ascii="仿宋" w:hAnsi="仿宋" w:eastAsia="仿宋" w:cs="仿宋"/>
          <w:kern w:val="0"/>
          <w:sz w:val="24"/>
          <w:highlight w:val="none"/>
        </w:rPr>
        <w:t>2.1详见供应商须知23条。符合性审查表详见本章附件2。</w:t>
      </w:r>
    </w:p>
    <w:p w14:paraId="79EE6E96">
      <w:pPr>
        <w:adjustRightInd w:val="0"/>
        <w:snapToGrid w:val="0"/>
        <w:spacing w:line="440" w:lineRule="exact"/>
        <w:ind w:firstLine="482" w:firstLineChars="200"/>
        <w:textAlignment w:val="baseline"/>
        <w:rPr>
          <w:rFonts w:hint="eastAsia" w:ascii="仿宋" w:hAnsi="仿宋" w:eastAsia="仿宋" w:cs="仿宋"/>
          <w:b/>
          <w:kern w:val="0"/>
          <w:sz w:val="24"/>
          <w:highlight w:val="none"/>
        </w:rPr>
      </w:pPr>
      <w:r>
        <w:rPr>
          <w:rFonts w:hint="eastAsia" w:ascii="仿宋" w:hAnsi="仿宋" w:eastAsia="仿宋" w:cs="仿宋"/>
          <w:b/>
          <w:kern w:val="0"/>
          <w:sz w:val="24"/>
          <w:highlight w:val="none"/>
        </w:rPr>
        <w:t>3.样品</w:t>
      </w:r>
    </w:p>
    <w:p w14:paraId="29D5B50D">
      <w:pPr>
        <w:adjustRightInd w:val="0"/>
        <w:snapToGrid w:val="0"/>
        <w:spacing w:line="440" w:lineRule="exact"/>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3.1</w:t>
      </w:r>
      <w:r>
        <w:rPr>
          <w:rFonts w:hint="eastAsia" w:ascii="仿宋" w:hAnsi="仿宋" w:eastAsia="仿宋" w:cs="仿宋"/>
          <w:kern w:val="0"/>
          <w:sz w:val="24"/>
          <w:highlight w:val="none"/>
        </w:rPr>
        <w:t>供应商须知表11.4条</w:t>
      </w:r>
      <w:r>
        <w:rPr>
          <w:rFonts w:hint="eastAsia" w:ascii="仿宋" w:hAnsi="仿宋" w:eastAsia="仿宋" w:cs="仿宋"/>
          <w:sz w:val="24"/>
          <w:highlight w:val="none"/>
        </w:rPr>
        <w:t>中要求供应商提供样品的，按照供</w:t>
      </w:r>
      <w:r>
        <w:rPr>
          <w:rFonts w:hint="eastAsia" w:ascii="仿宋" w:hAnsi="仿宋" w:eastAsia="仿宋" w:cs="仿宋"/>
          <w:kern w:val="0"/>
          <w:sz w:val="24"/>
          <w:highlight w:val="none"/>
        </w:rPr>
        <w:t>应商须知表24.1条</w:t>
      </w:r>
      <w:r>
        <w:rPr>
          <w:rFonts w:hint="eastAsia" w:ascii="仿宋" w:hAnsi="仿宋" w:eastAsia="仿宋" w:cs="仿宋"/>
          <w:sz w:val="24"/>
          <w:highlight w:val="none"/>
        </w:rPr>
        <w:t>中确定的评审方法以及评审标准进行评审。（样品属于符合性审查的，按照供应商</w:t>
      </w:r>
      <w:r>
        <w:rPr>
          <w:rFonts w:hint="eastAsia" w:ascii="仿宋" w:hAnsi="仿宋" w:eastAsia="仿宋" w:cs="仿宋"/>
          <w:kern w:val="0"/>
          <w:sz w:val="24"/>
          <w:highlight w:val="none"/>
        </w:rPr>
        <w:t>须知23条</w:t>
      </w:r>
      <w:r>
        <w:rPr>
          <w:rFonts w:hint="eastAsia" w:ascii="仿宋" w:hAnsi="仿宋" w:eastAsia="仿宋" w:cs="仿宋"/>
          <w:sz w:val="24"/>
          <w:highlight w:val="none"/>
        </w:rPr>
        <w:t>规定执行）</w:t>
      </w:r>
    </w:p>
    <w:p w14:paraId="60AC3E51">
      <w:pPr>
        <w:adjustRightInd w:val="0"/>
        <w:snapToGrid w:val="0"/>
        <w:spacing w:line="440" w:lineRule="exact"/>
        <w:ind w:firstLine="482" w:firstLineChars="200"/>
        <w:textAlignment w:val="baseline"/>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4.磋商</w:t>
      </w:r>
    </w:p>
    <w:p w14:paraId="60E97177">
      <w:pPr>
        <w:adjustRightInd w:val="0"/>
        <w:snapToGrid w:val="0"/>
        <w:spacing w:line="440" w:lineRule="exact"/>
        <w:ind w:firstLine="480" w:firstLineChars="200"/>
        <w:textAlignment w:val="baseline"/>
        <w:rPr>
          <w:rFonts w:hint="eastAsia" w:ascii="仿宋" w:hAnsi="仿宋" w:eastAsia="仿宋" w:cs="仿宋"/>
          <w:kern w:val="0"/>
          <w:sz w:val="24"/>
          <w:highlight w:val="none"/>
        </w:rPr>
      </w:pPr>
      <w:r>
        <w:rPr>
          <w:rFonts w:hint="eastAsia" w:ascii="仿宋" w:hAnsi="仿宋" w:eastAsia="仿宋" w:cs="仿宋"/>
          <w:kern w:val="0"/>
          <w:sz w:val="24"/>
          <w:highlight w:val="none"/>
        </w:rPr>
        <w:t>详见供应商须知26条。</w:t>
      </w:r>
    </w:p>
    <w:p w14:paraId="74B677AC">
      <w:pPr>
        <w:adjustRightInd w:val="0"/>
        <w:snapToGrid w:val="0"/>
        <w:spacing w:line="440" w:lineRule="exact"/>
        <w:ind w:firstLine="482" w:firstLineChars="200"/>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5.最后报价</w:t>
      </w:r>
    </w:p>
    <w:p w14:paraId="7987C414">
      <w:pPr>
        <w:adjustRightInd w:val="0"/>
        <w:snapToGrid w:val="0"/>
        <w:spacing w:line="440" w:lineRule="exact"/>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详见供应商须知27条。</w:t>
      </w:r>
    </w:p>
    <w:p w14:paraId="2ACDC0D8">
      <w:pPr>
        <w:adjustRightInd w:val="0"/>
        <w:snapToGrid w:val="0"/>
        <w:spacing w:line="440" w:lineRule="exact"/>
        <w:ind w:firstLine="482" w:firstLineChars="200"/>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6.比较及评价</w:t>
      </w:r>
    </w:p>
    <w:p w14:paraId="3CB1EEB9">
      <w:pPr>
        <w:adjustRightInd w:val="0"/>
        <w:snapToGrid w:val="0"/>
        <w:spacing w:line="440" w:lineRule="exact"/>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6.1磋商小组对通过资格审查、符合性审查的响应文件进行比较和评价。</w:t>
      </w:r>
    </w:p>
    <w:p w14:paraId="701C02FE">
      <w:pPr>
        <w:adjustRightInd w:val="0"/>
        <w:snapToGrid w:val="0"/>
        <w:spacing w:line="440" w:lineRule="exact"/>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6.2在磋商期间，对响应文件的澄清按供应商须知25条内容执行。</w:t>
      </w:r>
    </w:p>
    <w:p w14:paraId="641136CF">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6.3出现下列情形之一的，磋商小组应当启动异常低价审查程序：</w:t>
      </w:r>
    </w:p>
    <w:p w14:paraId="7C05447B">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（1）最后报价低于全部通过符合性审查供应商最后报价平均值</w:t>
      </w:r>
      <w:r>
        <w:rPr>
          <w:rFonts w:hint="eastAsia" w:ascii="仿宋" w:hAnsi="仿宋" w:eastAsia="仿宋" w:cs="仿宋"/>
          <w:kern w:val="0"/>
          <w:sz w:val="24"/>
          <w:highlight w:val="none"/>
          <w:u w:val="single"/>
        </w:rPr>
        <w:t xml:space="preserve"> 50 </w:t>
      </w:r>
      <w:r>
        <w:rPr>
          <w:rFonts w:hint="eastAsia" w:ascii="仿宋" w:hAnsi="仿宋" w:eastAsia="仿宋" w:cs="仿宋"/>
          <w:kern w:val="0"/>
          <w:sz w:val="24"/>
          <w:highlight w:val="none"/>
        </w:rPr>
        <w:t>%</w:t>
      </w:r>
      <w:r>
        <w:rPr>
          <w:rFonts w:hint="eastAsia" w:ascii="仿宋" w:hAnsi="仿宋" w:eastAsia="仿宋" w:cs="仿宋"/>
          <w:sz w:val="24"/>
          <w:highlight w:val="none"/>
        </w:rPr>
        <w:t>的，即最后报价&lt;全部通过符合性审查供应商最后报价平均值×</w:t>
      </w:r>
      <w:r>
        <w:rPr>
          <w:rFonts w:hint="eastAsia" w:ascii="仿宋" w:hAnsi="仿宋" w:eastAsia="仿宋" w:cs="仿宋"/>
          <w:kern w:val="0"/>
          <w:sz w:val="24"/>
          <w:highlight w:val="none"/>
          <w:u w:val="single"/>
        </w:rPr>
        <w:t xml:space="preserve"> 50 </w:t>
      </w:r>
      <w:r>
        <w:rPr>
          <w:rFonts w:hint="eastAsia" w:ascii="仿宋" w:hAnsi="仿宋" w:eastAsia="仿宋" w:cs="仿宋"/>
          <w:kern w:val="0"/>
          <w:sz w:val="24"/>
          <w:highlight w:val="none"/>
        </w:rPr>
        <w:t>%；</w:t>
      </w:r>
    </w:p>
    <w:p w14:paraId="74868CCF">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（2）最后报价低于通过符合性审查的次低报价供应商最后报价</w:t>
      </w:r>
      <w:r>
        <w:rPr>
          <w:rFonts w:hint="eastAsia" w:ascii="仿宋" w:hAnsi="仿宋" w:eastAsia="仿宋" w:cs="仿宋"/>
          <w:kern w:val="0"/>
          <w:sz w:val="24"/>
          <w:highlight w:val="none"/>
          <w:u w:val="single"/>
        </w:rPr>
        <w:t xml:space="preserve"> 50 </w:t>
      </w:r>
      <w:r>
        <w:rPr>
          <w:rFonts w:hint="eastAsia" w:ascii="仿宋" w:hAnsi="仿宋" w:eastAsia="仿宋" w:cs="仿宋"/>
          <w:kern w:val="0"/>
          <w:sz w:val="24"/>
          <w:highlight w:val="none"/>
        </w:rPr>
        <w:t>%</w:t>
      </w:r>
      <w:r>
        <w:rPr>
          <w:rFonts w:hint="eastAsia" w:ascii="仿宋" w:hAnsi="仿宋" w:eastAsia="仿宋" w:cs="仿宋"/>
          <w:sz w:val="24"/>
          <w:highlight w:val="none"/>
        </w:rPr>
        <w:t>的，即最后报价&lt;通过符合性审查的次低报价供应商最后报价×</w:t>
      </w:r>
      <w:r>
        <w:rPr>
          <w:rFonts w:hint="eastAsia" w:ascii="仿宋" w:hAnsi="仿宋" w:eastAsia="仿宋" w:cs="仿宋"/>
          <w:kern w:val="0"/>
          <w:sz w:val="24"/>
          <w:highlight w:val="none"/>
          <w:u w:val="single"/>
        </w:rPr>
        <w:t xml:space="preserve"> 50 </w:t>
      </w:r>
      <w:r>
        <w:rPr>
          <w:rFonts w:hint="eastAsia" w:ascii="仿宋" w:hAnsi="仿宋" w:eastAsia="仿宋" w:cs="仿宋"/>
          <w:kern w:val="0"/>
          <w:sz w:val="24"/>
          <w:highlight w:val="none"/>
        </w:rPr>
        <w:t>%；</w:t>
      </w:r>
    </w:p>
    <w:p w14:paraId="6EF55890">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（3）最后报价低于采购项目最高限价</w:t>
      </w:r>
      <w:r>
        <w:rPr>
          <w:rFonts w:hint="eastAsia" w:ascii="仿宋" w:hAnsi="仿宋" w:eastAsia="仿宋" w:cs="仿宋"/>
          <w:kern w:val="0"/>
          <w:sz w:val="24"/>
          <w:highlight w:val="none"/>
          <w:u w:val="single"/>
        </w:rPr>
        <w:t xml:space="preserve"> 45 </w:t>
      </w:r>
      <w:r>
        <w:rPr>
          <w:rFonts w:hint="eastAsia" w:ascii="仿宋" w:hAnsi="仿宋" w:eastAsia="仿宋" w:cs="仿宋"/>
          <w:kern w:val="0"/>
          <w:sz w:val="24"/>
          <w:highlight w:val="none"/>
        </w:rPr>
        <w:t>%</w:t>
      </w:r>
      <w:r>
        <w:rPr>
          <w:rFonts w:hint="eastAsia" w:ascii="仿宋" w:hAnsi="仿宋" w:eastAsia="仿宋" w:cs="仿宋"/>
          <w:sz w:val="24"/>
          <w:highlight w:val="none"/>
        </w:rPr>
        <w:t>的，即最后报价&lt;采购项目最高限价×</w:t>
      </w:r>
      <w:r>
        <w:rPr>
          <w:rFonts w:hint="eastAsia" w:ascii="仿宋" w:hAnsi="仿宋" w:eastAsia="仿宋" w:cs="仿宋"/>
          <w:kern w:val="0"/>
          <w:sz w:val="24"/>
          <w:highlight w:val="none"/>
          <w:u w:val="single"/>
        </w:rPr>
        <w:t xml:space="preserve"> 45 </w:t>
      </w:r>
      <w:r>
        <w:rPr>
          <w:rFonts w:hint="eastAsia" w:ascii="仿宋" w:hAnsi="仿宋" w:eastAsia="仿宋" w:cs="仿宋"/>
          <w:kern w:val="0"/>
          <w:sz w:val="24"/>
          <w:highlight w:val="none"/>
        </w:rPr>
        <w:t>%</w:t>
      </w:r>
      <w:r>
        <w:rPr>
          <w:rFonts w:hint="eastAsia" w:ascii="仿宋" w:hAnsi="仿宋" w:eastAsia="仿宋" w:cs="仿宋"/>
          <w:sz w:val="24"/>
          <w:highlight w:val="none"/>
        </w:rPr>
        <w:t>；</w:t>
      </w:r>
    </w:p>
    <w:p w14:paraId="324C9AA3">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（4）磋商小组基于专业判断，认为供应商最后报价过低，有可能影响产品质量或者不能诚信履约的其他情形。</w:t>
      </w:r>
    </w:p>
    <w:p w14:paraId="1317EF0A">
      <w:pPr>
        <w:adjustRightInd w:val="0"/>
        <w:snapToGrid w:val="0"/>
        <w:spacing w:line="440" w:lineRule="exact"/>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采购人可以结合具体项目实际情况，提高上述第（1）项至第（3）项中启动异常低价投标审查的数值标准，但是最高不得超过65%。</w:t>
      </w:r>
    </w:p>
    <w:p w14:paraId="33FF30AC">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相关法律法规对供应商报价有规定的，从其规定。</w:t>
      </w:r>
    </w:p>
    <w:p w14:paraId="1D053293">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磋商小组启动异常低价审查后，属于本章6.3中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标现场可不再重复提交。</w:t>
      </w:r>
    </w:p>
    <w:p w14:paraId="5ED53A1D">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供应商的书面说明应当签字确认或者加盖公章，否则无效。书面说明的签字确认，由其法定代表人（非法人单位负责人或自然人本人）或者其授权代表签字确认。</w:t>
      </w:r>
    </w:p>
    <w:p w14:paraId="0A2EF626">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磋商小组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149DFD30">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磋商小组借助互联网等渠道查询相关信息的，应当严格遵守评审工作纪律，不得实施影响评审公正的行为。</w:t>
      </w:r>
    </w:p>
    <w:p w14:paraId="74826910">
      <w:pPr>
        <w:adjustRightInd w:val="0"/>
        <w:snapToGrid w:val="0"/>
        <w:spacing w:line="440" w:lineRule="exact"/>
        <w:ind w:firstLine="482" w:firstLineChars="200"/>
        <w:rPr>
          <w:rFonts w:hint="eastAsia" w:ascii="仿宋" w:hAnsi="仿宋" w:eastAsia="仿宋" w:cs="仿宋"/>
          <w:b/>
          <w:kern w:val="0"/>
          <w:sz w:val="24"/>
          <w:highlight w:val="none"/>
        </w:rPr>
      </w:pPr>
      <w:r>
        <w:rPr>
          <w:rFonts w:hint="eastAsia" w:ascii="仿宋" w:hAnsi="仿宋" w:eastAsia="仿宋" w:cs="仿宋"/>
          <w:b/>
          <w:bCs/>
          <w:kern w:val="0"/>
          <w:sz w:val="24"/>
          <w:highlight w:val="none"/>
        </w:rPr>
        <w:t>7.需落实的政府采购政</w:t>
      </w:r>
      <w:r>
        <w:rPr>
          <w:rFonts w:hint="eastAsia" w:ascii="仿宋" w:hAnsi="仿宋" w:eastAsia="仿宋" w:cs="仿宋"/>
          <w:b/>
          <w:kern w:val="0"/>
          <w:sz w:val="24"/>
          <w:highlight w:val="none"/>
        </w:rPr>
        <w:t>策性规定：</w:t>
      </w:r>
    </w:p>
    <w:p w14:paraId="62B01075">
      <w:pPr>
        <w:adjustRightInd w:val="0"/>
        <w:snapToGrid w:val="0"/>
        <w:spacing w:line="440" w:lineRule="exact"/>
        <w:ind w:firstLine="482" w:firstLineChars="200"/>
        <w:rPr>
          <w:rFonts w:hint="eastAsia" w:ascii="仿宋" w:hAnsi="仿宋" w:eastAsia="仿宋" w:cs="仿宋"/>
          <w:b/>
          <w:kern w:val="0"/>
          <w:sz w:val="24"/>
          <w:highlight w:val="none"/>
        </w:rPr>
      </w:pPr>
      <w:r>
        <w:rPr>
          <w:rFonts w:hint="eastAsia" w:ascii="仿宋" w:hAnsi="仿宋" w:eastAsia="仿宋" w:cs="仿宋"/>
          <w:b/>
          <w:kern w:val="0"/>
          <w:sz w:val="24"/>
          <w:highlight w:val="none"/>
        </w:rPr>
        <w:t>7.1对中小微企业的相关规定</w:t>
      </w:r>
    </w:p>
    <w:p w14:paraId="0981EA15">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7.1.1对于非专门面向中小企业的项目，在满足价格扣除条件且在响应文件中按要求提交了《中小企业声明函》</w:t>
      </w:r>
      <w:r>
        <w:rPr>
          <w:rFonts w:hint="eastAsia" w:ascii="仿宋" w:hAnsi="仿宋" w:eastAsia="仿宋" w:cs="仿宋"/>
          <w:kern w:val="0"/>
          <w:sz w:val="24"/>
          <w:highlight w:val="none"/>
        </w:rPr>
        <w:t>，</w:t>
      </w:r>
      <w:r>
        <w:rPr>
          <w:rFonts w:hint="eastAsia" w:ascii="仿宋" w:hAnsi="仿宋" w:eastAsia="仿宋" w:cs="仿宋"/>
          <w:sz w:val="24"/>
          <w:highlight w:val="none"/>
        </w:rPr>
        <w:t>对最后报价给予价格扣除，用扣除后的价格参与评审。最后报价扣除比例如下：</w:t>
      </w:r>
    </w:p>
    <w:p w14:paraId="3745BADB">
      <w:pPr>
        <w:adjustRightInd w:val="0"/>
        <w:snapToGrid w:val="0"/>
        <w:spacing w:line="440" w:lineRule="exact"/>
        <w:ind w:firstLine="240" w:firstLineChars="100"/>
        <w:jc w:val="left"/>
        <w:rPr>
          <w:rFonts w:hint="eastAsia" w:ascii="仿宋" w:hAnsi="仿宋" w:eastAsia="仿宋" w:cs="仿宋"/>
          <w:sz w:val="24"/>
          <w:highlight w:val="none"/>
        </w:rPr>
      </w:pPr>
      <w:r>
        <w:rPr>
          <w:rFonts w:hint="eastAsia" w:ascii="仿宋" w:hAnsi="仿宋" w:eastAsia="仿宋" w:cs="仿宋"/>
          <w:sz w:val="24"/>
          <w:highlight w:val="none"/>
        </w:rPr>
        <w:t>（1）非联合体</w:t>
      </w:r>
    </w:p>
    <w:p w14:paraId="2E2A6708">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对小型或微型企业的最后报价给予</w:t>
      </w:r>
      <w:r>
        <w:rPr>
          <w:rFonts w:hint="eastAsia" w:ascii="仿宋" w:hAnsi="仿宋" w:eastAsia="仿宋" w:cs="仿宋"/>
          <w:kern w:val="0"/>
          <w:sz w:val="24"/>
          <w:highlight w:val="none"/>
          <w:u w:val="single"/>
        </w:rPr>
        <w:t xml:space="preserve">   /   </w:t>
      </w:r>
      <w:r>
        <w:rPr>
          <w:rFonts w:hint="eastAsia" w:ascii="仿宋" w:hAnsi="仿宋" w:eastAsia="仿宋" w:cs="仿宋"/>
          <w:kern w:val="0"/>
          <w:sz w:val="24"/>
          <w:highlight w:val="none"/>
        </w:rPr>
        <w:t>（3%—5%</w:t>
      </w:r>
      <w:r>
        <w:rPr>
          <w:rFonts w:hint="eastAsia" w:ascii="仿宋" w:hAnsi="仿宋" w:eastAsia="仿宋" w:cs="仿宋"/>
          <w:sz w:val="24"/>
          <w:highlight w:val="none"/>
        </w:rPr>
        <w:t>）的扣除。</w:t>
      </w:r>
    </w:p>
    <w:p w14:paraId="0B2B3174">
      <w:pPr>
        <w:adjustRightInd w:val="0"/>
        <w:snapToGrid w:val="0"/>
        <w:spacing w:line="440" w:lineRule="exact"/>
        <w:ind w:firstLine="240" w:firstLineChars="100"/>
        <w:jc w:val="left"/>
        <w:rPr>
          <w:rFonts w:hint="eastAsia" w:ascii="仿宋" w:hAnsi="仿宋" w:eastAsia="仿宋" w:cs="仿宋"/>
          <w:sz w:val="24"/>
          <w:highlight w:val="none"/>
        </w:rPr>
      </w:pPr>
      <w:r>
        <w:rPr>
          <w:rFonts w:hint="eastAsia" w:ascii="仿宋" w:hAnsi="仿宋" w:eastAsia="仿宋" w:cs="仿宋"/>
          <w:sz w:val="24"/>
          <w:highlight w:val="none"/>
        </w:rPr>
        <w:t>（2）联合体</w:t>
      </w:r>
    </w:p>
    <w:p w14:paraId="1B06ECF1">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接受大中型企业与小微企业组成联合体或者允许大中型企业向一家或者多家小微企业分包的，对于联合协议或者分包意向协议约定小微企业的合同份额占到合同总金额30%以上的，对联合体或者大中型企业的最后报价给予</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（1%—2%）的扣除，用扣除后的价格参加评审。</w:t>
      </w:r>
    </w:p>
    <w:p w14:paraId="1961EACA">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联合体各方均为小型、微型企业的，联合体视同为小型、微型企业，按第本款（1）项规定享受扶持政策。</w:t>
      </w:r>
    </w:p>
    <w:p w14:paraId="656C39F7">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组成联合体或者接受分包合同的中小企业与联合体内其他企业、分包企业之间不得存在直接控股、管理关系。</w:t>
      </w:r>
    </w:p>
    <w:p w14:paraId="3B373D3C">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7.1.2监狱企业视同小型、微型企业，在满足价格扣除条件且在响应文件中按要求提交了省级以上监狱管理局、戒毒管理局（含新疆生产建设兵团）出具的属于监狱企业的证明文件的，对其最后报价按本章7.1.1条款的比例予以扣除，</w:t>
      </w:r>
      <w:r>
        <w:rPr>
          <w:rFonts w:hint="eastAsia" w:ascii="仿宋" w:hAnsi="仿宋" w:eastAsia="仿宋" w:cs="仿宋"/>
          <w:kern w:val="0"/>
          <w:sz w:val="24"/>
          <w:highlight w:val="none"/>
        </w:rPr>
        <w:t>用扣除后的价格参与评审</w:t>
      </w:r>
      <w:r>
        <w:rPr>
          <w:rFonts w:hint="eastAsia" w:ascii="仿宋" w:hAnsi="仿宋" w:eastAsia="仿宋" w:cs="仿宋"/>
          <w:sz w:val="24"/>
          <w:highlight w:val="none"/>
        </w:rPr>
        <w:t>。</w:t>
      </w:r>
    </w:p>
    <w:p w14:paraId="6B0B79CF">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bCs/>
          <w:kern w:val="0"/>
          <w:sz w:val="24"/>
          <w:highlight w:val="none"/>
        </w:rPr>
        <w:t>7.1.3</w:t>
      </w:r>
      <w:r>
        <w:rPr>
          <w:rFonts w:hint="eastAsia" w:ascii="仿宋" w:hAnsi="仿宋" w:eastAsia="仿宋" w:cs="仿宋"/>
          <w:sz w:val="24"/>
          <w:highlight w:val="none"/>
        </w:rPr>
        <w:t>残疾人福利性单位视同小型、微型企业，在满足价格扣除条件且在</w:t>
      </w:r>
      <w:r>
        <w:rPr>
          <w:rFonts w:hint="eastAsia" w:ascii="仿宋" w:hAnsi="仿宋" w:eastAsia="仿宋" w:cs="仿宋"/>
          <w:kern w:val="0"/>
          <w:sz w:val="24"/>
          <w:highlight w:val="none"/>
        </w:rPr>
        <w:t>响应文件中提供了《残疾人福利性单位声明函》的，</w:t>
      </w:r>
      <w:r>
        <w:rPr>
          <w:rFonts w:hint="eastAsia" w:ascii="仿宋" w:hAnsi="仿宋" w:eastAsia="仿宋" w:cs="仿宋"/>
          <w:sz w:val="24"/>
          <w:highlight w:val="none"/>
        </w:rPr>
        <w:t>对其最后报价按本章7.1.1条款的比例予以扣除</w:t>
      </w:r>
      <w:r>
        <w:rPr>
          <w:rFonts w:hint="eastAsia" w:ascii="仿宋" w:hAnsi="仿宋" w:eastAsia="仿宋" w:cs="仿宋"/>
          <w:kern w:val="0"/>
          <w:sz w:val="24"/>
          <w:highlight w:val="none"/>
        </w:rPr>
        <w:t>，用扣除后的价格参与评审。</w:t>
      </w:r>
    </w:p>
    <w:p w14:paraId="38A3912B">
      <w:pPr>
        <w:adjustRightInd w:val="0"/>
        <w:snapToGrid w:val="0"/>
        <w:spacing w:line="4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7.1.4残疾人福利性单位属于小型、微型企业的，不重复享受政策。</w:t>
      </w:r>
    </w:p>
    <w:p w14:paraId="38EB2F46">
      <w:pPr>
        <w:adjustRightInd w:val="0"/>
        <w:snapToGrid w:val="0"/>
        <w:spacing w:line="440" w:lineRule="exact"/>
        <w:ind w:firstLine="482" w:firstLineChars="200"/>
        <w:rPr>
          <w:rFonts w:hint="eastAsia" w:ascii="仿宋" w:hAnsi="仿宋" w:eastAsia="仿宋" w:cs="仿宋"/>
          <w:b/>
          <w:kern w:val="0"/>
          <w:sz w:val="24"/>
          <w:highlight w:val="none"/>
        </w:rPr>
      </w:pPr>
      <w:r>
        <w:rPr>
          <w:rFonts w:hint="eastAsia" w:ascii="仿宋" w:hAnsi="仿宋" w:eastAsia="仿宋" w:cs="仿宋"/>
          <w:b/>
          <w:kern w:val="0"/>
          <w:sz w:val="24"/>
          <w:highlight w:val="none"/>
        </w:rPr>
        <w:t>7.2对节能产品、环境标志产品的相关规定</w:t>
      </w:r>
    </w:p>
    <w:p w14:paraId="09A2837D">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节能产品或环境标志产品，依据品目清单和认证证书实施政府优先采购。供应商应能够提供国家确定的认证机构出具的、处于有效期之内的节能产品、环境标志产品认证证书，方可对获得证书的产品优先推荐。</w:t>
      </w:r>
    </w:p>
    <w:p w14:paraId="07D8166E">
      <w:pPr>
        <w:adjustRightInd w:val="0"/>
        <w:snapToGrid w:val="0"/>
        <w:spacing w:line="440" w:lineRule="exact"/>
        <w:ind w:firstLine="720" w:firstLineChars="300"/>
        <w:jc w:val="left"/>
        <w:rPr>
          <w:rFonts w:hint="eastAsia" w:ascii="仿宋" w:hAnsi="仿宋" w:eastAsia="仿宋" w:cs="仿宋"/>
          <w:sz w:val="24"/>
          <w:highlight w:val="none"/>
        </w:rPr>
      </w:pPr>
      <w:r>
        <w:rPr>
          <w:rFonts w:hint="eastAsia" w:ascii="仿宋" w:hAnsi="仿宋" w:eastAsia="仿宋" w:cs="仿宋"/>
          <w:kern w:val="0"/>
          <w:sz w:val="24"/>
          <w:highlight w:val="none"/>
        </w:rPr>
        <w:t>评审时，对清单中产品给予相应的加分。（详见评分细则）</w:t>
      </w:r>
    </w:p>
    <w:p w14:paraId="6E3F7203">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（2）供应商应同时提供品目清单网络截图，并以明确标注所报产品信息和位置的方式，用以方便评审。</w:t>
      </w:r>
    </w:p>
    <w:p w14:paraId="573BABC3">
      <w:pPr>
        <w:adjustRightInd w:val="0"/>
        <w:snapToGrid w:val="0"/>
        <w:spacing w:line="440" w:lineRule="exact"/>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（3）认证机构和获证产品信息发布媒体：详见中国政府采购网（www.ccgp.gov.cn）建立的与认证结果信息发布平台的链接。</w:t>
      </w:r>
    </w:p>
    <w:p w14:paraId="5A7DAF91">
      <w:pPr>
        <w:adjustRightInd w:val="0"/>
        <w:snapToGrid w:val="0"/>
        <w:spacing w:line="440" w:lineRule="exact"/>
        <w:ind w:firstLine="482" w:firstLineChars="200"/>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8.响应无效</w:t>
      </w:r>
    </w:p>
    <w:p w14:paraId="4C824E5D">
      <w:pPr>
        <w:adjustRightInd w:val="0"/>
        <w:snapToGrid w:val="0"/>
        <w:spacing w:line="440" w:lineRule="exact"/>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详见供应商须知28条。</w:t>
      </w:r>
    </w:p>
    <w:p w14:paraId="5732E6BF">
      <w:pPr>
        <w:adjustRightInd w:val="0"/>
        <w:snapToGrid w:val="0"/>
        <w:spacing w:line="440" w:lineRule="exact"/>
        <w:ind w:firstLine="482" w:firstLineChars="200"/>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9.推荐成交供应商的原则</w:t>
      </w:r>
    </w:p>
    <w:p w14:paraId="7354EEEB">
      <w:pPr>
        <w:adjustRightInd w:val="0"/>
        <w:snapToGrid w:val="0"/>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详见第一章供应商须知第31条，具体处理办法如下：</w:t>
      </w:r>
    </w:p>
    <w:p w14:paraId="5BB399AB">
      <w:pPr>
        <w:adjustRightInd w:val="0"/>
        <w:snapToGrid w:val="0"/>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得分相同的，按扣除后的最后报价由低到高顺序排序；</w:t>
      </w:r>
    </w:p>
    <w:p w14:paraId="143B722A">
      <w:pPr>
        <w:adjustRightInd w:val="0"/>
        <w:snapToGrid w:val="0"/>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按前款不能区分的，按最后报价由低至高顺序排序；</w:t>
      </w:r>
    </w:p>
    <w:p w14:paraId="6690ED63">
      <w:pPr>
        <w:adjustRightInd w:val="0"/>
        <w:snapToGrid w:val="0"/>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按前款不能区分的，优先采购节能产品、环保产品；</w:t>
      </w:r>
    </w:p>
    <w:p w14:paraId="73AF5BF5">
      <w:pPr>
        <w:adjustRightInd w:val="0"/>
        <w:snapToGrid w:val="0"/>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按前款不能区分的，按技术指标优劣排序；</w:t>
      </w:r>
    </w:p>
    <w:p w14:paraId="6FC660DC">
      <w:pPr>
        <w:adjustRightInd w:val="0"/>
        <w:snapToGrid w:val="0"/>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其他情况，由磋商小组投票处理。</w:t>
      </w:r>
    </w:p>
    <w:p w14:paraId="5DF3C730">
      <w:pPr>
        <w:adjustRightInd w:val="0"/>
        <w:snapToGrid w:val="0"/>
        <w:spacing w:line="4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10.评审报告</w:t>
      </w:r>
    </w:p>
    <w:p w14:paraId="257DEB54">
      <w:pPr>
        <w:adjustRightInd w:val="0"/>
        <w:snapToGrid w:val="0"/>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10.1</w:t>
      </w:r>
      <w:r>
        <w:rPr>
          <w:rFonts w:hint="eastAsia" w:ascii="仿宋" w:hAnsi="仿宋" w:eastAsia="仿宋" w:cs="仿宋"/>
          <w:kern w:val="0"/>
          <w:sz w:val="24"/>
          <w:highlight w:val="none"/>
        </w:rPr>
        <w:t>磋商小组应当根据综合评分情况，编写评审报告。</w:t>
      </w:r>
      <w:r>
        <w:rPr>
          <w:rFonts w:hint="eastAsia" w:ascii="仿宋" w:hAnsi="仿宋" w:eastAsia="仿宋" w:cs="仿宋"/>
          <w:bCs/>
          <w:sz w:val="24"/>
          <w:highlight w:val="none"/>
        </w:rPr>
        <w:t>评审报告应当包括以下内容：</w:t>
      </w:r>
    </w:p>
    <w:p w14:paraId="19FE7589">
      <w:pPr>
        <w:adjustRightInd w:val="0"/>
        <w:snapToGrid w:val="0"/>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（1）邀请供应商参加采购活动的具体方式和相关情况；</w:t>
      </w:r>
    </w:p>
    <w:p w14:paraId="0E399DC6">
      <w:pPr>
        <w:adjustRightInd w:val="0"/>
        <w:snapToGrid w:val="0"/>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（2）响应文件开启日期和地点；</w:t>
      </w:r>
    </w:p>
    <w:p w14:paraId="1E27DDF1">
      <w:pPr>
        <w:adjustRightInd w:val="0"/>
        <w:snapToGrid w:val="0"/>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（3）获取磋商文件的供应商名单和磋商小组成员名单；</w:t>
      </w:r>
    </w:p>
    <w:p w14:paraId="3C87D3CF">
      <w:pPr>
        <w:adjustRightInd w:val="0"/>
        <w:snapToGrid w:val="0"/>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（4）评审情况记录和说明，包括对供应商的资格审查情况、供应商响应文件评审情况、磋商情况、报价情况等；</w:t>
      </w:r>
    </w:p>
    <w:p w14:paraId="38D13422">
      <w:pPr>
        <w:adjustRightInd w:val="0"/>
        <w:snapToGrid w:val="0"/>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（5）提出的成交候选供应商的排序名单及理由。</w:t>
      </w:r>
    </w:p>
    <w:p w14:paraId="1D958BF9">
      <w:pPr>
        <w:adjustRightInd w:val="0"/>
        <w:snapToGrid w:val="0"/>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10.2</w:t>
      </w:r>
      <w:r>
        <w:rPr>
          <w:rFonts w:hint="eastAsia" w:ascii="仿宋" w:hAnsi="仿宋" w:eastAsia="仿宋" w:cs="仿宋"/>
          <w:kern w:val="0"/>
          <w:sz w:val="24"/>
          <w:highlight w:val="none"/>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C747F03">
      <w:pPr>
        <w:adjustRightInd w:val="0"/>
        <w:snapToGrid w:val="0"/>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10.3如</w:t>
      </w:r>
      <w:r>
        <w:rPr>
          <w:rFonts w:hint="eastAsia" w:ascii="仿宋" w:hAnsi="仿宋" w:eastAsia="仿宋" w:cs="仿宋"/>
          <w:kern w:val="0"/>
          <w:sz w:val="24"/>
          <w:highlight w:val="none"/>
        </w:rPr>
        <w:t>磋商小组</w:t>
      </w:r>
      <w:r>
        <w:rPr>
          <w:rFonts w:hint="eastAsia" w:ascii="仿宋" w:hAnsi="仿宋" w:eastAsia="仿宋" w:cs="仿宋"/>
          <w:bCs/>
          <w:sz w:val="24"/>
          <w:highlight w:val="none"/>
        </w:rPr>
        <w:t>启动异常低价审查程序，则异常低价审查的启动原因、审查意见和审查结果应当在评审报告中记录，并随供应商提供的相关书面说明及证明材料，以及</w:t>
      </w:r>
      <w:r>
        <w:rPr>
          <w:rFonts w:hint="eastAsia" w:ascii="仿宋" w:hAnsi="仿宋" w:eastAsia="仿宋" w:cs="仿宋"/>
          <w:kern w:val="0"/>
          <w:sz w:val="24"/>
          <w:highlight w:val="none"/>
        </w:rPr>
        <w:t>磋商小组</w:t>
      </w:r>
      <w:r>
        <w:rPr>
          <w:rFonts w:hint="eastAsia" w:ascii="仿宋" w:hAnsi="仿宋" w:eastAsia="仿宋" w:cs="仿宋"/>
          <w:bCs/>
          <w:sz w:val="24"/>
          <w:highlight w:val="none"/>
        </w:rPr>
        <w:t>有关互联网浏览、查询历史一并归档。</w:t>
      </w:r>
    </w:p>
    <w:p w14:paraId="24FB5C11">
      <w:pPr>
        <w:adjustRightInd w:val="0"/>
        <w:snapToGrid w:val="0"/>
        <w:spacing w:line="440" w:lineRule="exact"/>
        <w:ind w:firstLine="482" w:firstLineChars="200"/>
        <w:rPr>
          <w:rFonts w:hint="eastAsia" w:ascii="仿宋" w:hAnsi="仿宋" w:eastAsia="仿宋" w:cs="仿宋"/>
          <w:b/>
          <w:kern w:val="0"/>
          <w:sz w:val="24"/>
          <w:highlight w:val="none"/>
        </w:rPr>
      </w:pPr>
      <w:r>
        <w:rPr>
          <w:rFonts w:hint="eastAsia" w:ascii="仿宋" w:hAnsi="仿宋" w:eastAsia="仿宋" w:cs="仿宋"/>
          <w:b/>
          <w:sz w:val="24"/>
          <w:highlight w:val="none"/>
        </w:rPr>
        <w:t>三、</w:t>
      </w:r>
      <w:r>
        <w:rPr>
          <w:rFonts w:hint="eastAsia" w:ascii="仿宋" w:hAnsi="仿宋" w:eastAsia="仿宋" w:cs="仿宋"/>
          <w:b/>
          <w:kern w:val="0"/>
          <w:sz w:val="24"/>
          <w:highlight w:val="none"/>
        </w:rPr>
        <w:t>确定成交供应商</w:t>
      </w:r>
    </w:p>
    <w:p w14:paraId="0B2B6548">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磋商小组根据全体磋商小组成员签字的原始评审记录和评审结果编写评审报告，并向采购人提交书面评审报告。</w:t>
      </w:r>
    </w:p>
    <w:p w14:paraId="6BD03DC9">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采购人按照评审报告确定的成交候选供应商名单按顺序确定成交供应商，或由采购人委托磋商小组按照第一章 供应商须知表33条中规定的方式确定成交供应商。</w:t>
      </w:r>
    </w:p>
    <w:p w14:paraId="2F0EE07C">
      <w:pPr>
        <w:pStyle w:val="3"/>
        <w:adjustRightInd w:val="0"/>
        <w:snapToGrid w:val="0"/>
        <w:spacing w:before="0" w:after="0" w:line="240" w:lineRule="auto"/>
        <w:jc w:val="left"/>
        <w:rPr>
          <w:rFonts w:hint="eastAsia" w:ascii="仿宋" w:hAnsi="仿宋" w:eastAsia="仿宋" w:cs="仿宋"/>
          <w:sz w:val="28"/>
          <w:szCs w:val="28"/>
          <w:highlight w:val="none"/>
        </w:rPr>
      </w:pPr>
      <w:r>
        <w:rPr>
          <w:rFonts w:hint="eastAsia" w:ascii="仿宋" w:hAnsi="仿宋" w:eastAsia="仿宋" w:cs="仿宋"/>
          <w:highlight w:val="none"/>
        </w:rPr>
        <w:br w:type="page"/>
      </w:r>
      <w:bookmarkStart w:id="124" w:name="_Toc4485646"/>
      <w:bookmarkStart w:id="125" w:name="_Toc533340170"/>
      <w:r>
        <w:rPr>
          <w:rFonts w:hint="eastAsia" w:ascii="仿宋" w:hAnsi="仿宋" w:eastAsia="仿宋" w:cs="仿宋"/>
          <w:sz w:val="28"/>
          <w:szCs w:val="28"/>
          <w:highlight w:val="none"/>
        </w:rPr>
        <w:t>附件1</w:t>
      </w:r>
      <w:bookmarkEnd w:id="124"/>
      <w:bookmarkEnd w:id="125"/>
    </w:p>
    <w:p w14:paraId="2E9FA8AB">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资格审查表</w:t>
      </w:r>
    </w:p>
    <w:tbl>
      <w:tblPr>
        <w:tblStyle w:val="38"/>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3731"/>
        <w:gridCol w:w="3421"/>
        <w:gridCol w:w="544"/>
        <w:gridCol w:w="570"/>
        <w:gridCol w:w="551"/>
      </w:tblGrid>
      <w:tr w14:paraId="1A04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701" w:type="dxa"/>
            <w:vMerge w:val="restart"/>
            <w:vAlign w:val="center"/>
          </w:tcPr>
          <w:p w14:paraId="48F57ED1">
            <w:pPr>
              <w:rPr>
                <w:rFonts w:hint="eastAsia" w:ascii="仿宋" w:hAnsi="仿宋" w:eastAsia="仿宋" w:cs="仿宋"/>
                <w:highlight w:val="none"/>
              </w:rPr>
            </w:pPr>
            <w:bookmarkStart w:id="126" w:name="_Toc4485647"/>
            <w:bookmarkStart w:id="127" w:name="_Toc533340171"/>
            <w:r>
              <w:rPr>
                <w:rFonts w:hint="eastAsia" w:ascii="仿宋" w:hAnsi="仿宋" w:eastAsia="仿宋" w:cs="仿宋"/>
                <w:highlight w:val="none"/>
              </w:rPr>
              <w:t>序号</w:t>
            </w:r>
          </w:p>
        </w:tc>
        <w:tc>
          <w:tcPr>
            <w:tcW w:w="3731" w:type="dxa"/>
            <w:vMerge w:val="restart"/>
            <w:vAlign w:val="center"/>
          </w:tcPr>
          <w:p w14:paraId="13D5F50C">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审查项目</w:t>
            </w:r>
            <w:bookmarkEnd w:id="126"/>
            <w:bookmarkEnd w:id="127"/>
          </w:p>
        </w:tc>
        <w:tc>
          <w:tcPr>
            <w:tcW w:w="3421" w:type="dxa"/>
            <w:vMerge w:val="restart"/>
            <w:vAlign w:val="center"/>
          </w:tcPr>
          <w:p w14:paraId="0C018CEF">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bookmarkStart w:id="128" w:name="_Toc533340172"/>
            <w:bookmarkStart w:id="129" w:name="_Toc4485648"/>
            <w:r>
              <w:rPr>
                <w:rFonts w:hint="eastAsia" w:ascii="仿宋" w:hAnsi="仿宋" w:eastAsia="仿宋" w:cs="仿宋"/>
                <w:b w:val="0"/>
                <w:sz w:val="21"/>
                <w:szCs w:val="21"/>
                <w:highlight w:val="none"/>
                <w:lang w:val="en-US" w:eastAsia="zh-CN"/>
              </w:rPr>
              <w:t>审查标准</w:t>
            </w:r>
            <w:bookmarkEnd w:id="128"/>
            <w:bookmarkEnd w:id="129"/>
          </w:p>
        </w:tc>
        <w:tc>
          <w:tcPr>
            <w:tcW w:w="1665" w:type="dxa"/>
            <w:gridSpan w:val="3"/>
            <w:vAlign w:val="center"/>
          </w:tcPr>
          <w:p w14:paraId="60621777">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bookmarkStart w:id="130" w:name="_Toc533340173"/>
            <w:bookmarkStart w:id="131" w:name="_Toc4485649"/>
            <w:r>
              <w:rPr>
                <w:rFonts w:hint="eastAsia" w:ascii="仿宋" w:hAnsi="仿宋" w:eastAsia="仿宋" w:cs="仿宋"/>
                <w:b w:val="0"/>
                <w:sz w:val="21"/>
                <w:szCs w:val="21"/>
                <w:highlight w:val="none"/>
                <w:lang w:val="en-US" w:eastAsia="zh-CN"/>
              </w:rPr>
              <w:t>供应商名称</w:t>
            </w:r>
            <w:bookmarkEnd w:id="130"/>
            <w:bookmarkEnd w:id="131"/>
          </w:p>
        </w:tc>
      </w:tr>
      <w:tr w14:paraId="0423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701" w:type="dxa"/>
            <w:vMerge w:val="continue"/>
            <w:vAlign w:val="center"/>
          </w:tcPr>
          <w:p w14:paraId="43D99F2C">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3731" w:type="dxa"/>
            <w:vMerge w:val="continue"/>
            <w:vAlign w:val="center"/>
          </w:tcPr>
          <w:p w14:paraId="4A8F3EC8">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3421" w:type="dxa"/>
            <w:vMerge w:val="continue"/>
            <w:vAlign w:val="center"/>
          </w:tcPr>
          <w:p w14:paraId="00CC796D">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44" w:type="dxa"/>
            <w:vAlign w:val="center"/>
          </w:tcPr>
          <w:p w14:paraId="5099CF28">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70" w:type="dxa"/>
            <w:vAlign w:val="center"/>
          </w:tcPr>
          <w:p w14:paraId="3854652E">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51" w:type="dxa"/>
            <w:vAlign w:val="center"/>
          </w:tcPr>
          <w:p w14:paraId="3E42EA12">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r>
      <w:tr w14:paraId="1988A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01" w:type="dxa"/>
            <w:vAlign w:val="center"/>
          </w:tcPr>
          <w:p w14:paraId="277E0A2E">
            <w:pPr>
              <w:snapToGrid w:val="0"/>
              <w:jc w:val="center"/>
              <w:rPr>
                <w:rFonts w:hint="eastAsia" w:ascii="仿宋" w:hAnsi="仿宋" w:eastAsia="仿宋" w:cs="仿宋"/>
                <w:highlight w:val="none"/>
              </w:rPr>
            </w:pPr>
            <w:r>
              <w:rPr>
                <w:rFonts w:hint="eastAsia" w:ascii="仿宋" w:hAnsi="仿宋" w:eastAsia="仿宋" w:cs="仿宋"/>
                <w:highlight w:val="none"/>
              </w:rPr>
              <w:t>1</w:t>
            </w:r>
          </w:p>
        </w:tc>
        <w:tc>
          <w:tcPr>
            <w:tcW w:w="3731" w:type="dxa"/>
            <w:vAlign w:val="center"/>
          </w:tcPr>
          <w:p w14:paraId="3ECA862C">
            <w:pPr>
              <w:snapToGrid w:val="0"/>
              <w:rPr>
                <w:rFonts w:hint="eastAsia" w:ascii="仿宋" w:hAnsi="仿宋" w:eastAsia="仿宋" w:cs="仿宋"/>
                <w:szCs w:val="21"/>
                <w:highlight w:val="none"/>
              </w:rPr>
            </w:pPr>
            <w:r>
              <w:rPr>
                <w:rFonts w:hint="eastAsia" w:ascii="仿宋" w:hAnsi="仿宋" w:eastAsia="仿宋" w:cs="仿宋"/>
                <w:highlight w:val="none"/>
              </w:rPr>
              <w:t>营业执照或事业单位法人证书或执业许可证等证明文件或自然人的身份证明</w:t>
            </w:r>
          </w:p>
        </w:tc>
        <w:tc>
          <w:tcPr>
            <w:tcW w:w="3421" w:type="dxa"/>
            <w:vAlign w:val="center"/>
          </w:tcPr>
          <w:p w14:paraId="1AE62AF0">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bookmarkStart w:id="132" w:name="_Toc533340174"/>
            <w:bookmarkStart w:id="133" w:name="_Toc4485650"/>
            <w:r>
              <w:rPr>
                <w:rFonts w:hint="eastAsia" w:ascii="仿宋" w:hAnsi="仿宋" w:eastAsia="仿宋" w:cs="仿宋"/>
                <w:b w:val="0"/>
                <w:sz w:val="21"/>
                <w:szCs w:val="21"/>
                <w:highlight w:val="none"/>
                <w:lang w:val="en-US" w:eastAsia="zh-CN"/>
              </w:rPr>
              <w:t>1.按要求提供</w:t>
            </w:r>
            <w:bookmarkEnd w:id="132"/>
            <w:bookmarkEnd w:id="133"/>
          </w:p>
          <w:p w14:paraId="0046A0A3">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bookmarkStart w:id="134" w:name="_Toc533340175"/>
            <w:bookmarkStart w:id="135" w:name="_Toc4485651"/>
            <w:r>
              <w:rPr>
                <w:rFonts w:hint="eastAsia" w:ascii="仿宋" w:hAnsi="仿宋" w:eastAsia="仿宋" w:cs="仿宋"/>
                <w:b w:val="0"/>
                <w:sz w:val="21"/>
                <w:szCs w:val="21"/>
                <w:highlight w:val="none"/>
                <w:lang w:val="en-US" w:eastAsia="zh-CN"/>
              </w:rPr>
              <w:t>2.合法有效</w:t>
            </w:r>
            <w:bookmarkEnd w:id="134"/>
            <w:bookmarkEnd w:id="135"/>
          </w:p>
        </w:tc>
        <w:tc>
          <w:tcPr>
            <w:tcW w:w="544" w:type="dxa"/>
            <w:vAlign w:val="center"/>
          </w:tcPr>
          <w:p w14:paraId="45BD7DDC">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70" w:type="dxa"/>
            <w:vAlign w:val="center"/>
          </w:tcPr>
          <w:p w14:paraId="53909537">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51" w:type="dxa"/>
            <w:vAlign w:val="center"/>
          </w:tcPr>
          <w:p w14:paraId="5100A6DC">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r>
      <w:tr w14:paraId="0E7ED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701" w:type="dxa"/>
            <w:vAlign w:val="center"/>
          </w:tcPr>
          <w:p w14:paraId="321E327F">
            <w:pPr>
              <w:widowControl/>
              <w:snapToGrid w:val="0"/>
              <w:jc w:val="center"/>
              <w:rPr>
                <w:rFonts w:hint="eastAsia" w:ascii="仿宋" w:hAnsi="仿宋" w:eastAsia="仿宋" w:cs="仿宋"/>
                <w:highlight w:val="none"/>
              </w:rPr>
            </w:pPr>
            <w:r>
              <w:rPr>
                <w:rFonts w:hint="eastAsia" w:ascii="仿宋" w:hAnsi="仿宋" w:eastAsia="仿宋" w:cs="仿宋"/>
                <w:highlight w:val="none"/>
              </w:rPr>
              <w:t>2</w:t>
            </w:r>
          </w:p>
        </w:tc>
        <w:tc>
          <w:tcPr>
            <w:tcW w:w="3731" w:type="dxa"/>
            <w:vAlign w:val="center"/>
          </w:tcPr>
          <w:p w14:paraId="10ED6834">
            <w:pPr>
              <w:widowControl/>
              <w:snapToGrid w:val="0"/>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法定代表人（或非法人组织负责人）身份证明书（自然人参加磋商的无需提供）（法定代表人参加磋商的须提供，授权委托人参加磋商的无须提供）</w:t>
            </w:r>
          </w:p>
        </w:tc>
        <w:tc>
          <w:tcPr>
            <w:tcW w:w="3421" w:type="dxa"/>
            <w:vAlign w:val="center"/>
          </w:tcPr>
          <w:p w14:paraId="2F5804BF">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1.按给定格式填写</w:t>
            </w:r>
          </w:p>
          <w:p w14:paraId="1A591059">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2.无供应商须知28.2（2）所述情形</w:t>
            </w:r>
          </w:p>
        </w:tc>
        <w:tc>
          <w:tcPr>
            <w:tcW w:w="544" w:type="dxa"/>
          </w:tcPr>
          <w:p w14:paraId="63FA61A3">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70" w:type="dxa"/>
          </w:tcPr>
          <w:p w14:paraId="24998BE0">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51" w:type="dxa"/>
          </w:tcPr>
          <w:p w14:paraId="56DAFC2D">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r>
      <w:tr w14:paraId="07AC0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701" w:type="dxa"/>
            <w:vAlign w:val="center"/>
          </w:tcPr>
          <w:p w14:paraId="06B30F67">
            <w:pPr>
              <w:widowControl/>
              <w:snapToGrid w:val="0"/>
              <w:jc w:val="center"/>
              <w:rPr>
                <w:rFonts w:hint="eastAsia" w:ascii="仿宋" w:hAnsi="仿宋" w:eastAsia="仿宋" w:cs="仿宋"/>
                <w:highlight w:val="none"/>
              </w:rPr>
            </w:pPr>
            <w:r>
              <w:rPr>
                <w:rFonts w:hint="eastAsia" w:ascii="仿宋" w:hAnsi="仿宋" w:eastAsia="仿宋" w:cs="仿宋"/>
                <w:highlight w:val="none"/>
              </w:rPr>
              <w:t>3</w:t>
            </w:r>
          </w:p>
        </w:tc>
        <w:tc>
          <w:tcPr>
            <w:tcW w:w="3731" w:type="dxa"/>
            <w:vAlign w:val="center"/>
          </w:tcPr>
          <w:p w14:paraId="501C6225">
            <w:pPr>
              <w:widowControl/>
              <w:snapToGrid w:val="0"/>
              <w:rPr>
                <w:rFonts w:hint="eastAsia" w:ascii="仿宋" w:hAnsi="仿宋" w:eastAsia="仿宋" w:cs="仿宋"/>
                <w:szCs w:val="21"/>
                <w:highlight w:val="none"/>
              </w:rPr>
            </w:pPr>
            <w:r>
              <w:rPr>
                <w:rFonts w:hint="eastAsia" w:ascii="仿宋" w:hAnsi="仿宋" w:eastAsia="仿宋" w:cs="仿宋"/>
                <w:highlight w:val="none"/>
              </w:rPr>
              <w:t>法定代表人（或非法人组织</w:t>
            </w:r>
            <w:r>
              <w:rPr>
                <w:rFonts w:hint="eastAsia" w:ascii="仿宋" w:hAnsi="仿宋" w:eastAsia="仿宋" w:cs="仿宋"/>
                <w:szCs w:val="21"/>
                <w:highlight w:val="none"/>
              </w:rPr>
              <w:t>负责人）</w:t>
            </w:r>
            <w:r>
              <w:rPr>
                <w:rFonts w:hint="eastAsia" w:ascii="仿宋" w:hAnsi="仿宋" w:eastAsia="仿宋" w:cs="仿宋"/>
                <w:highlight w:val="none"/>
              </w:rPr>
              <w:t>授权委托书</w:t>
            </w:r>
            <w:r>
              <w:rPr>
                <w:rFonts w:hint="eastAsia" w:ascii="仿宋" w:hAnsi="仿宋" w:eastAsia="仿宋" w:cs="仿宋"/>
                <w:szCs w:val="21"/>
                <w:highlight w:val="none"/>
              </w:rPr>
              <w:t>（法定代表人参加磋商的无须提供，授权委托人参加磋商的须提供）</w:t>
            </w:r>
          </w:p>
        </w:tc>
        <w:tc>
          <w:tcPr>
            <w:tcW w:w="3421" w:type="dxa"/>
            <w:vAlign w:val="center"/>
          </w:tcPr>
          <w:p w14:paraId="4EC7655D">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1.按给定格式填写</w:t>
            </w:r>
          </w:p>
          <w:p w14:paraId="70EF2B70">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2.无供应商须知28.2（2）所述情形</w:t>
            </w:r>
          </w:p>
        </w:tc>
        <w:tc>
          <w:tcPr>
            <w:tcW w:w="544" w:type="dxa"/>
          </w:tcPr>
          <w:p w14:paraId="15CAA6F5">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70" w:type="dxa"/>
          </w:tcPr>
          <w:p w14:paraId="1F4B14DF">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51" w:type="dxa"/>
          </w:tcPr>
          <w:p w14:paraId="24C6143B">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r>
      <w:tr w14:paraId="33EF4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1" w:type="dxa"/>
            <w:vAlign w:val="center"/>
          </w:tcPr>
          <w:p w14:paraId="49AACCAF">
            <w:pPr>
              <w:widowControl/>
              <w:snapToGrid w:val="0"/>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3731" w:type="dxa"/>
            <w:vAlign w:val="center"/>
          </w:tcPr>
          <w:p w14:paraId="6BEB462E">
            <w:pPr>
              <w:widowControl/>
              <w:snapToGrid w:val="0"/>
              <w:rPr>
                <w:rFonts w:hint="eastAsia" w:ascii="仿宋" w:hAnsi="仿宋" w:eastAsia="仿宋" w:cs="仿宋"/>
                <w:szCs w:val="21"/>
                <w:highlight w:val="none"/>
              </w:rPr>
            </w:pPr>
            <w:r>
              <w:rPr>
                <w:rFonts w:hint="eastAsia" w:ascii="仿宋" w:hAnsi="仿宋" w:eastAsia="仿宋" w:cs="仿宋"/>
                <w:highlight w:val="none"/>
              </w:rPr>
              <w:t>具有良好的商业信誉和健全的财务会计制度的承诺函</w:t>
            </w:r>
          </w:p>
        </w:tc>
        <w:tc>
          <w:tcPr>
            <w:tcW w:w="3421" w:type="dxa"/>
            <w:vAlign w:val="center"/>
          </w:tcPr>
          <w:p w14:paraId="7128607C">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1.信息完整</w:t>
            </w:r>
          </w:p>
          <w:p w14:paraId="7A92B7DF">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2.无供应商须知28.2（2）所述情形</w:t>
            </w:r>
          </w:p>
        </w:tc>
        <w:tc>
          <w:tcPr>
            <w:tcW w:w="544" w:type="dxa"/>
          </w:tcPr>
          <w:p w14:paraId="62866116">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70" w:type="dxa"/>
          </w:tcPr>
          <w:p w14:paraId="483E3011">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51" w:type="dxa"/>
          </w:tcPr>
          <w:p w14:paraId="26530E18">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r>
      <w:tr w14:paraId="37F53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701" w:type="dxa"/>
            <w:vAlign w:val="center"/>
          </w:tcPr>
          <w:p w14:paraId="0E4D0931">
            <w:pPr>
              <w:widowControl/>
              <w:snapToGrid w:val="0"/>
              <w:jc w:val="center"/>
              <w:rPr>
                <w:rFonts w:hint="eastAsia" w:ascii="仿宋" w:hAnsi="仿宋" w:eastAsia="仿宋" w:cs="仿宋"/>
                <w:highlight w:val="none"/>
              </w:rPr>
            </w:pPr>
            <w:r>
              <w:rPr>
                <w:rFonts w:hint="eastAsia" w:ascii="仿宋" w:hAnsi="仿宋" w:eastAsia="仿宋" w:cs="仿宋"/>
                <w:highlight w:val="none"/>
              </w:rPr>
              <w:t>5</w:t>
            </w:r>
          </w:p>
        </w:tc>
        <w:tc>
          <w:tcPr>
            <w:tcW w:w="3731" w:type="dxa"/>
            <w:vAlign w:val="center"/>
          </w:tcPr>
          <w:p w14:paraId="7D46512D">
            <w:pPr>
              <w:adjustRightInd w:val="0"/>
              <w:snapToGrid w:val="0"/>
              <w:jc w:val="left"/>
              <w:rPr>
                <w:rFonts w:hint="eastAsia" w:ascii="仿宋" w:hAnsi="仿宋" w:eastAsia="仿宋" w:cs="仿宋"/>
                <w:szCs w:val="21"/>
                <w:highlight w:val="none"/>
              </w:rPr>
            </w:pPr>
            <w:r>
              <w:rPr>
                <w:rFonts w:hint="eastAsia" w:ascii="仿宋" w:hAnsi="仿宋" w:eastAsia="仿宋" w:cs="仿宋"/>
                <w:highlight w:val="none"/>
              </w:rPr>
              <w:t>磋商会议前六个月内任一个月的依法缴纳税收的</w:t>
            </w:r>
            <w:r>
              <w:rPr>
                <w:rFonts w:hint="eastAsia" w:ascii="仿宋" w:hAnsi="仿宋" w:eastAsia="仿宋" w:cs="仿宋"/>
                <w:szCs w:val="21"/>
                <w:highlight w:val="none"/>
              </w:rPr>
              <w:t>证明材料复印件</w:t>
            </w:r>
          </w:p>
        </w:tc>
        <w:tc>
          <w:tcPr>
            <w:tcW w:w="3421" w:type="dxa"/>
            <w:vAlign w:val="center"/>
          </w:tcPr>
          <w:p w14:paraId="093C4A54">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1.按要求提供</w:t>
            </w:r>
          </w:p>
          <w:p w14:paraId="439E19FD">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2.合法有效</w:t>
            </w:r>
          </w:p>
        </w:tc>
        <w:tc>
          <w:tcPr>
            <w:tcW w:w="544" w:type="dxa"/>
          </w:tcPr>
          <w:p w14:paraId="45C8357B">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70" w:type="dxa"/>
          </w:tcPr>
          <w:p w14:paraId="15D60A78">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51" w:type="dxa"/>
          </w:tcPr>
          <w:p w14:paraId="08352D90">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r>
      <w:tr w14:paraId="31968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1" w:type="dxa"/>
            <w:vAlign w:val="center"/>
          </w:tcPr>
          <w:p w14:paraId="5C426C0E">
            <w:pPr>
              <w:widowControl/>
              <w:snapToGrid w:val="0"/>
              <w:jc w:val="center"/>
              <w:rPr>
                <w:rFonts w:hint="eastAsia" w:ascii="仿宋" w:hAnsi="仿宋" w:eastAsia="仿宋" w:cs="仿宋"/>
                <w:highlight w:val="none"/>
              </w:rPr>
            </w:pPr>
            <w:r>
              <w:rPr>
                <w:rFonts w:hint="eastAsia" w:ascii="仿宋" w:hAnsi="仿宋" w:eastAsia="仿宋" w:cs="仿宋"/>
                <w:highlight w:val="none"/>
              </w:rPr>
              <w:t>6</w:t>
            </w:r>
          </w:p>
        </w:tc>
        <w:tc>
          <w:tcPr>
            <w:tcW w:w="3731" w:type="dxa"/>
            <w:vAlign w:val="center"/>
          </w:tcPr>
          <w:p w14:paraId="3DC99FA9">
            <w:pPr>
              <w:adjustRightInd w:val="0"/>
              <w:snapToGrid w:val="0"/>
              <w:jc w:val="left"/>
              <w:rPr>
                <w:rFonts w:hint="eastAsia" w:ascii="仿宋" w:hAnsi="仿宋" w:eastAsia="仿宋" w:cs="仿宋"/>
                <w:szCs w:val="21"/>
                <w:highlight w:val="none"/>
              </w:rPr>
            </w:pPr>
            <w:r>
              <w:rPr>
                <w:rFonts w:hint="eastAsia" w:ascii="仿宋" w:hAnsi="仿宋" w:eastAsia="仿宋" w:cs="仿宋"/>
                <w:highlight w:val="none"/>
              </w:rPr>
              <w:t>磋商会议前六个月内任一个月的依法缴纳社会保障资金的</w:t>
            </w:r>
            <w:r>
              <w:rPr>
                <w:rFonts w:hint="eastAsia" w:ascii="仿宋" w:hAnsi="仿宋" w:eastAsia="仿宋" w:cs="仿宋"/>
                <w:szCs w:val="21"/>
                <w:highlight w:val="none"/>
              </w:rPr>
              <w:t>证明材料复印件</w:t>
            </w:r>
          </w:p>
        </w:tc>
        <w:tc>
          <w:tcPr>
            <w:tcW w:w="3421" w:type="dxa"/>
            <w:vAlign w:val="center"/>
          </w:tcPr>
          <w:p w14:paraId="073EECF9">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1.按要求提供</w:t>
            </w:r>
          </w:p>
          <w:p w14:paraId="7E551938">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2.合法有效</w:t>
            </w:r>
          </w:p>
        </w:tc>
        <w:tc>
          <w:tcPr>
            <w:tcW w:w="544" w:type="dxa"/>
          </w:tcPr>
          <w:p w14:paraId="1AB9451B">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70" w:type="dxa"/>
          </w:tcPr>
          <w:p w14:paraId="4BFC85BD">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51" w:type="dxa"/>
          </w:tcPr>
          <w:p w14:paraId="45FFD9CF">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r>
      <w:tr w14:paraId="68800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1" w:type="dxa"/>
            <w:vAlign w:val="center"/>
          </w:tcPr>
          <w:p w14:paraId="401FB466">
            <w:pPr>
              <w:snapToGrid w:val="0"/>
              <w:jc w:val="center"/>
              <w:rPr>
                <w:rFonts w:hint="eastAsia" w:ascii="仿宋" w:hAnsi="仿宋" w:eastAsia="仿宋" w:cs="仿宋"/>
                <w:highlight w:val="none"/>
              </w:rPr>
            </w:pPr>
            <w:r>
              <w:rPr>
                <w:rFonts w:hint="eastAsia" w:ascii="仿宋" w:hAnsi="仿宋" w:eastAsia="仿宋" w:cs="仿宋"/>
                <w:highlight w:val="none"/>
              </w:rPr>
              <w:t>7</w:t>
            </w:r>
          </w:p>
        </w:tc>
        <w:tc>
          <w:tcPr>
            <w:tcW w:w="3731" w:type="dxa"/>
            <w:vAlign w:val="center"/>
          </w:tcPr>
          <w:p w14:paraId="5C7BC9B5">
            <w:pPr>
              <w:snapToGrid w:val="0"/>
              <w:rPr>
                <w:rFonts w:hint="eastAsia" w:ascii="仿宋" w:hAnsi="仿宋" w:eastAsia="仿宋" w:cs="仿宋"/>
                <w:szCs w:val="21"/>
                <w:highlight w:val="none"/>
              </w:rPr>
            </w:pPr>
            <w:r>
              <w:rPr>
                <w:rFonts w:hint="eastAsia" w:ascii="仿宋" w:hAnsi="仿宋" w:eastAsia="仿宋" w:cs="仿宋"/>
                <w:highlight w:val="none"/>
              </w:rPr>
              <w:t>具备履行合同所必需的设备和专业技术能力声明函</w:t>
            </w:r>
          </w:p>
        </w:tc>
        <w:tc>
          <w:tcPr>
            <w:tcW w:w="3421" w:type="dxa"/>
            <w:vAlign w:val="center"/>
          </w:tcPr>
          <w:p w14:paraId="49EC10ED">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1.信息完整</w:t>
            </w:r>
          </w:p>
          <w:p w14:paraId="50D0E544">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2.无供应商须知28.2（2）所述情形</w:t>
            </w:r>
          </w:p>
        </w:tc>
        <w:tc>
          <w:tcPr>
            <w:tcW w:w="544" w:type="dxa"/>
          </w:tcPr>
          <w:p w14:paraId="217CA30F">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70" w:type="dxa"/>
          </w:tcPr>
          <w:p w14:paraId="293D98FF">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51" w:type="dxa"/>
          </w:tcPr>
          <w:p w14:paraId="7C21A4BA">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r>
      <w:tr w14:paraId="75AAA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701" w:type="dxa"/>
            <w:vAlign w:val="center"/>
          </w:tcPr>
          <w:p w14:paraId="3CCDA1B3">
            <w:pPr>
              <w:snapToGrid w:val="0"/>
              <w:jc w:val="center"/>
              <w:rPr>
                <w:rFonts w:hint="eastAsia" w:ascii="仿宋" w:hAnsi="仿宋" w:eastAsia="仿宋" w:cs="仿宋"/>
                <w:highlight w:val="none"/>
              </w:rPr>
            </w:pPr>
            <w:r>
              <w:rPr>
                <w:rFonts w:hint="eastAsia" w:ascii="仿宋" w:hAnsi="仿宋" w:eastAsia="仿宋" w:cs="仿宋"/>
                <w:highlight w:val="none"/>
              </w:rPr>
              <w:t>8</w:t>
            </w:r>
          </w:p>
        </w:tc>
        <w:tc>
          <w:tcPr>
            <w:tcW w:w="3731" w:type="dxa"/>
            <w:vAlign w:val="center"/>
          </w:tcPr>
          <w:p w14:paraId="32CB47BB">
            <w:pPr>
              <w:snapToGrid w:val="0"/>
              <w:rPr>
                <w:rFonts w:hint="eastAsia" w:ascii="仿宋" w:hAnsi="仿宋" w:eastAsia="仿宋" w:cs="仿宋"/>
                <w:highlight w:val="none"/>
              </w:rPr>
            </w:pPr>
            <w:r>
              <w:rPr>
                <w:rFonts w:hint="eastAsia" w:ascii="仿宋" w:hAnsi="仿宋" w:eastAsia="仿宋" w:cs="仿宋"/>
                <w:szCs w:val="21"/>
                <w:highlight w:val="none"/>
              </w:rPr>
              <w:t>参加政府采购活动前3年内在经营活动中没有重大违法记录的书面声明</w:t>
            </w:r>
          </w:p>
        </w:tc>
        <w:tc>
          <w:tcPr>
            <w:tcW w:w="3421" w:type="dxa"/>
            <w:vAlign w:val="center"/>
          </w:tcPr>
          <w:p w14:paraId="695E606A">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1.按给定格式填写</w:t>
            </w:r>
          </w:p>
          <w:p w14:paraId="0D7768B7">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2.无供应商须知28.2（2）所述情形</w:t>
            </w:r>
          </w:p>
        </w:tc>
        <w:tc>
          <w:tcPr>
            <w:tcW w:w="544" w:type="dxa"/>
          </w:tcPr>
          <w:p w14:paraId="4A31768E">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70" w:type="dxa"/>
          </w:tcPr>
          <w:p w14:paraId="6B370B2D">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51" w:type="dxa"/>
          </w:tcPr>
          <w:p w14:paraId="107FBBE7">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r>
      <w:tr w14:paraId="29213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701" w:type="dxa"/>
            <w:vAlign w:val="center"/>
          </w:tcPr>
          <w:p w14:paraId="2CB75A5B">
            <w:pPr>
              <w:snapToGrid w:val="0"/>
              <w:jc w:val="center"/>
              <w:rPr>
                <w:rFonts w:hint="eastAsia" w:ascii="仿宋" w:hAnsi="仿宋" w:eastAsia="仿宋" w:cs="仿宋"/>
                <w:highlight w:val="none"/>
              </w:rPr>
            </w:pPr>
            <w:r>
              <w:rPr>
                <w:rFonts w:hint="eastAsia" w:ascii="仿宋" w:hAnsi="仿宋" w:eastAsia="仿宋" w:cs="仿宋"/>
                <w:highlight w:val="none"/>
              </w:rPr>
              <w:t>9</w:t>
            </w:r>
          </w:p>
        </w:tc>
        <w:tc>
          <w:tcPr>
            <w:tcW w:w="3731" w:type="dxa"/>
            <w:vAlign w:val="center"/>
          </w:tcPr>
          <w:p w14:paraId="64F8EDC5">
            <w:pPr>
              <w:jc w:val="left"/>
              <w:rPr>
                <w:rFonts w:hint="eastAsia" w:ascii="仿宋" w:hAnsi="仿宋" w:eastAsia="仿宋" w:cs="仿宋"/>
                <w:szCs w:val="21"/>
                <w:highlight w:val="none"/>
              </w:rPr>
            </w:pPr>
            <w:r>
              <w:rPr>
                <w:rFonts w:hint="eastAsia" w:ascii="仿宋" w:hAnsi="仿宋" w:eastAsia="仿宋" w:cs="仿宋"/>
                <w:szCs w:val="21"/>
                <w:highlight w:val="none"/>
              </w:rPr>
              <w:t>供应商关联单位说明</w:t>
            </w:r>
          </w:p>
        </w:tc>
        <w:tc>
          <w:tcPr>
            <w:tcW w:w="3421" w:type="dxa"/>
            <w:vAlign w:val="center"/>
          </w:tcPr>
          <w:p w14:paraId="715A6717">
            <w:pPr>
              <w:pStyle w:val="3"/>
              <w:adjustRightInd w:val="0"/>
              <w:snapToGrid w:val="0"/>
              <w:spacing w:before="0" w:after="0" w:line="240" w:lineRule="auto"/>
              <w:rPr>
                <w:rFonts w:hint="eastAsia" w:ascii="仿宋" w:hAnsi="仿宋" w:eastAsia="仿宋" w:cs="仿宋"/>
                <w:b w:val="0"/>
                <w:bCs/>
                <w:sz w:val="21"/>
                <w:szCs w:val="21"/>
                <w:highlight w:val="none"/>
                <w:lang w:val="en-US" w:eastAsia="zh-CN"/>
              </w:rPr>
            </w:pPr>
            <w:r>
              <w:rPr>
                <w:rFonts w:hint="eastAsia" w:ascii="仿宋" w:hAnsi="仿宋" w:eastAsia="仿宋" w:cs="仿宋"/>
                <w:b w:val="0"/>
                <w:bCs/>
                <w:sz w:val="21"/>
                <w:szCs w:val="21"/>
                <w:highlight w:val="none"/>
                <w:lang w:val="en-US" w:eastAsia="zh-CN"/>
              </w:rPr>
              <w:t>1.按给定格式及填表要求填写</w:t>
            </w:r>
          </w:p>
          <w:p w14:paraId="578A4BF3">
            <w:pPr>
              <w:pStyle w:val="3"/>
              <w:adjustRightInd w:val="0"/>
              <w:snapToGrid w:val="0"/>
              <w:spacing w:before="0" w:after="0" w:line="240" w:lineRule="auto"/>
              <w:rPr>
                <w:rFonts w:hint="eastAsia" w:ascii="仿宋" w:hAnsi="仿宋" w:eastAsia="仿宋" w:cs="仿宋"/>
                <w:b w:val="0"/>
                <w:bCs/>
                <w:sz w:val="21"/>
                <w:szCs w:val="21"/>
                <w:highlight w:val="none"/>
                <w:lang w:val="en-US" w:eastAsia="zh-CN"/>
              </w:rPr>
            </w:pPr>
            <w:r>
              <w:rPr>
                <w:rFonts w:hint="eastAsia" w:ascii="仿宋" w:hAnsi="仿宋" w:eastAsia="仿宋" w:cs="仿宋"/>
                <w:b w:val="0"/>
                <w:bCs/>
                <w:sz w:val="21"/>
                <w:szCs w:val="21"/>
                <w:highlight w:val="none"/>
                <w:lang w:val="en-US" w:eastAsia="zh-CN"/>
              </w:rPr>
              <w:t>2.</w:t>
            </w:r>
            <w:r>
              <w:rPr>
                <w:rFonts w:hint="eastAsia" w:ascii="仿宋" w:hAnsi="仿宋" w:eastAsia="仿宋" w:cs="仿宋"/>
                <w:b w:val="0"/>
                <w:sz w:val="21"/>
                <w:szCs w:val="21"/>
                <w:highlight w:val="none"/>
                <w:lang w:val="en-US" w:eastAsia="zh-CN"/>
              </w:rPr>
              <w:t>无供应商须知28.2（2）所述情形</w:t>
            </w:r>
          </w:p>
          <w:p w14:paraId="24AEE2D0">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bCs/>
                <w:sz w:val="21"/>
                <w:szCs w:val="21"/>
                <w:highlight w:val="none"/>
                <w:lang w:val="en-US" w:eastAsia="zh-CN"/>
              </w:rPr>
              <w:t>3.无供应商须知1.5所述情形</w:t>
            </w:r>
          </w:p>
        </w:tc>
        <w:tc>
          <w:tcPr>
            <w:tcW w:w="544" w:type="dxa"/>
          </w:tcPr>
          <w:p w14:paraId="76E790B9">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70" w:type="dxa"/>
          </w:tcPr>
          <w:p w14:paraId="15EEA75B">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51" w:type="dxa"/>
          </w:tcPr>
          <w:p w14:paraId="45513C30">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r>
      <w:tr w14:paraId="3F4F8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701" w:type="dxa"/>
            <w:vAlign w:val="center"/>
          </w:tcPr>
          <w:p w14:paraId="6ED84791">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10</w:t>
            </w:r>
          </w:p>
        </w:tc>
        <w:tc>
          <w:tcPr>
            <w:tcW w:w="3731" w:type="dxa"/>
            <w:vAlign w:val="center"/>
          </w:tcPr>
          <w:p w14:paraId="482D007B">
            <w:pPr>
              <w:snapToGrid w:val="0"/>
              <w:rPr>
                <w:rFonts w:hint="eastAsia" w:ascii="仿宋" w:hAnsi="仿宋" w:eastAsia="仿宋" w:cs="仿宋"/>
                <w:szCs w:val="21"/>
                <w:highlight w:val="none"/>
              </w:rPr>
            </w:pPr>
            <w:r>
              <w:rPr>
                <w:rFonts w:hint="eastAsia" w:ascii="仿宋" w:hAnsi="仿宋" w:eastAsia="仿宋" w:cs="仿宋"/>
                <w:szCs w:val="21"/>
                <w:highlight w:val="none"/>
              </w:rPr>
              <w:t>其他资格证明文件（按供应商须知表1.3.4要求描述）</w:t>
            </w:r>
          </w:p>
        </w:tc>
        <w:tc>
          <w:tcPr>
            <w:tcW w:w="3421" w:type="dxa"/>
            <w:vAlign w:val="center"/>
          </w:tcPr>
          <w:p w14:paraId="1EE61012">
            <w:pPr>
              <w:pStyle w:val="3"/>
              <w:adjustRightInd w:val="0"/>
              <w:snapToGrid w:val="0"/>
              <w:spacing w:before="0" w:after="0" w:line="240" w:lineRule="auto"/>
              <w:rPr>
                <w:rFonts w:hint="eastAsia" w:ascii="仿宋" w:hAnsi="仿宋" w:eastAsia="仿宋" w:cs="仿宋"/>
                <w:b w:val="0"/>
                <w:bCs/>
                <w:sz w:val="21"/>
                <w:szCs w:val="21"/>
                <w:highlight w:val="none"/>
                <w:lang w:val="en-US" w:eastAsia="zh-CN"/>
              </w:rPr>
            </w:pPr>
            <w:r>
              <w:rPr>
                <w:rFonts w:hint="eastAsia" w:ascii="仿宋" w:hAnsi="仿宋" w:eastAsia="仿宋" w:cs="仿宋"/>
                <w:b w:val="0"/>
                <w:bCs/>
                <w:sz w:val="21"/>
                <w:szCs w:val="21"/>
                <w:highlight w:val="none"/>
                <w:lang w:val="en-US" w:eastAsia="zh-CN"/>
              </w:rPr>
              <w:t>1.按要求提供</w:t>
            </w:r>
          </w:p>
          <w:p w14:paraId="5E432F23">
            <w:pPr>
              <w:pStyle w:val="3"/>
              <w:adjustRightInd w:val="0"/>
              <w:snapToGrid w:val="0"/>
              <w:spacing w:before="0" w:after="0" w:line="240" w:lineRule="auto"/>
              <w:rPr>
                <w:rFonts w:hint="eastAsia" w:ascii="仿宋" w:hAnsi="仿宋" w:eastAsia="仿宋" w:cs="仿宋"/>
                <w:b w:val="0"/>
                <w:bCs/>
                <w:sz w:val="21"/>
                <w:szCs w:val="21"/>
                <w:highlight w:val="none"/>
                <w:lang w:val="en-US" w:eastAsia="zh-CN"/>
              </w:rPr>
            </w:pPr>
            <w:r>
              <w:rPr>
                <w:rFonts w:hint="eastAsia" w:ascii="仿宋" w:hAnsi="仿宋" w:eastAsia="仿宋" w:cs="仿宋"/>
                <w:b w:val="0"/>
                <w:bCs/>
                <w:sz w:val="21"/>
                <w:szCs w:val="21"/>
                <w:highlight w:val="none"/>
                <w:lang w:val="en-US" w:eastAsia="zh-CN"/>
              </w:rPr>
              <w:t>2.合法有效</w:t>
            </w:r>
          </w:p>
          <w:p w14:paraId="51E3A36A">
            <w:pPr>
              <w:pStyle w:val="3"/>
              <w:adjustRightInd w:val="0"/>
              <w:snapToGrid w:val="0"/>
              <w:spacing w:before="0" w:after="0" w:line="240" w:lineRule="auto"/>
              <w:rPr>
                <w:rFonts w:hint="eastAsia" w:ascii="仿宋" w:hAnsi="仿宋" w:eastAsia="仿宋" w:cs="仿宋"/>
                <w:highlight w:val="none"/>
                <w:lang w:val="en-US" w:eastAsia="zh-CN"/>
              </w:rPr>
            </w:pPr>
            <w:r>
              <w:rPr>
                <w:rFonts w:hint="eastAsia" w:ascii="仿宋" w:hAnsi="仿宋" w:eastAsia="仿宋" w:cs="仿宋"/>
                <w:b w:val="0"/>
                <w:bCs/>
                <w:sz w:val="21"/>
                <w:szCs w:val="21"/>
                <w:highlight w:val="none"/>
                <w:lang w:val="en-US" w:eastAsia="zh-CN"/>
              </w:rPr>
              <w:t>3.无供应商须知28.2（4）所述情形</w:t>
            </w:r>
          </w:p>
        </w:tc>
        <w:tc>
          <w:tcPr>
            <w:tcW w:w="544" w:type="dxa"/>
          </w:tcPr>
          <w:p w14:paraId="333FEBE1">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70" w:type="dxa"/>
          </w:tcPr>
          <w:p w14:paraId="3DBED31D">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51" w:type="dxa"/>
          </w:tcPr>
          <w:p w14:paraId="06B95D6D">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r>
      <w:tr w14:paraId="4DBD8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1" w:type="dxa"/>
            <w:vAlign w:val="center"/>
          </w:tcPr>
          <w:p w14:paraId="4D82BA37">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11</w:t>
            </w:r>
          </w:p>
        </w:tc>
        <w:tc>
          <w:tcPr>
            <w:tcW w:w="3731" w:type="dxa"/>
            <w:vAlign w:val="center"/>
          </w:tcPr>
          <w:p w14:paraId="1D8D0202">
            <w:pPr>
              <w:snapToGrid w:val="0"/>
              <w:rPr>
                <w:rFonts w:hint="eastAsia" w:ascii="仿宋" w:hAnsi="仿宋" w:eastAsia="仿宋" w:cs="仿宋"/>
                <w:szCs w:val="21"/>
                <w:highlight w:val="none"/>
              </w:rPr>
            </w:pPr>
            <w:r>
              <w:rPr>
                <w:rFonts w:hint="eastAsia" w:ascii="仿宋" w:hAnsi="仿宋" w:eastAsia="仿宋" w:cs="仿宋"/>
                <w:szCs w:val="21"/>
                <w:highlight w:val="none"/>
              </w:rPr>
              <w:t>项目经理（建造师）承诺书</w:t>
            </w:r>
          </w:p>
        </w:tc>
        <w:tc>
          <w:tcPr>
            <w:tcW w:w="3421" w:type="dxa"/>
            <w:vAlign w:val="center"/>
          </w:tcPr>
          <w:p w14:paraId="76178070">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1.按给定格式填写</w:t>
            </w:r>
          </w:p>
          <w:p w14:paraId="758C12EE">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2.无供应商须知28.2（2）所述情形</w:t>
            </w:r>
          </w:p>
        </w:tc>
        <w:tc>
          <w:tcPr>
            <w:tcW w:w="544" w:type="dxa"/>
          </w:tcPr>
          <w:p w14:paraId="1B9B2270">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70" w:type="dxa"/>
          </w:tcPr>
          <w:p w14:paraId="45F2FEB9">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51" w:type="dxa"/>
          </w:tcPr>
          <w:p w14:paraId="05845569">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r>
      <w:tr w14:paraId="0A9CC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701" w:type="dxa"/>
            <w:vAlign w:val="center"/>
          </w:tcPr>
          <w:p w14:paraId="3A56739F">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12</w:t>
            </w:r>
          </w:p>
        </w:tc>
        <w:tc>
          <w:tcPr>
            <w:tcW w:w="3731" w:type="dxa"/>
            <w:vAlign w:val="center"/>
          </w:tcPr>
          <w:p w14:paraId="52DED643">
            <w:pPr>
              <w:snapToGrid w:val="0"/>
              <w:rPr>
                <w:rFonts w:hint="eastAsia" w:ascii="仿宋" w:hAnsi="仿宋" w:eastAsia="仿宋" w:cs="仿宋"/>
                <w:szCs w:val="21"/>
                <w:highlight w:val="none"/>
              </w:rPr>
            </w:pPr>
            <w:r>
              <w:rPr>
                <w:rFonts w:hint="eastAsia" w:ascii="仿宋" w:hAnsi="仿宋" w:eastAsia="仿宋" w:cs="仿宋"/>
                <w:highlight w:val="none"/>
              </w:rPr>
              <w:t>信用记录（</w:t>
            </w:r>
            <w:r>
              <w:rPr>
                <w:rFonts w:hint="eastAsia" w:ascii="仿宋" w:hAnsi="仿宋" w:eastAsia="仿宋" w:cs="仿宋"/>
                <w:szCs w:val="21"/>
                <w:highlight w:val="none"/>
              </w:rPr>
              <w:t>采购人或采购代理机构将按照采购文件规定的审查期间内进行查询</w:t>
            </w:r>
            <w:r>
              <w:rPr>
                <w:rFonts w:hint="eastAsia" w:ascii="仿宋" w:hAnsi="仿宋" w:eastAsia="仿宋" w:cs="仿宋"/>
                <w:highlight w:val="none"/>
              </w:rPr>
              <w:t>）</w:t>
            </w:r>
          </w:p>
        </w:tc>
        <w:tc>
          <w:tcPr>
            <w:tcW w:w="3421" w:type="dxa"/>
            <w:vAlign w:val="center"/>
          </w:tcPr>
          <w:p w14:paraId="54A5AD65">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无供应商须知</w:t>
            </w:r>
          </w:p>
          <w:p w14:paraId="6A616852">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22.2.1所述的不良记录</w:t>
            </w:r>
          </w:p>
        </w:tc>
        <w:tc>
          <w:tcPr>
            <w:tcW w:w="544" w:type="dxa"/>
          </w:tcPr>
          <w:p w14:paraId="77497783">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70" w:type="dxa"/>
          </w:tcPr>
          <w:p w14:paraId="5B4158A1">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551" w:type="dxa"/>
          </w:tcPr>
          <w:p w14:paraId="4C452F16">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r>
      <w:tr w14:paraId="66646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1" w:type="dxa"/>
            <w:vAlign w:val="center"/>
          </w:tcPr>
          <w:p w14:paraId="47E3D702">
            <w:pPr>
              <w:adjustRightInd w:val="0"/>
              <w:snapToGrid w:val="0"/>
              <w:jc w:val="center"/>
              <w:rPr>
                <w:rFonts w:hint="eastAsia" w:ascii="仿宋" w:hAnsi="仿宋" w:eastAsia="仿宋" w:cs="仿宋"/>
                <w:szCs w:val="21"/>
                <w:highlight w:val="none"/>
              </w:rPr>
            </w:pPr>
            <w:r>
              <w:rPr>
                <w:rFonts w:hint="eastAsia" w:ascii="仿宋" w:hAnsi="仿宋" w:eastAsia="仿宋" w:cs="仿宋"/>
                <w:kern w:val="0"/>
                <w:szCs w:val="21"/>
                <w:highlight w:val="none"/>
              </w:rPr>
              <w:t>13</w:t>
            </w:r>
          </w:p>
        </w:tc>
        <w:tc>
          <w:tcPr>
            <w:tcW w:w="3731" w:type="dxa"/>
            <w:vAlign w:val="center"/>
          </w:tcPr>
          <w:p w14:paraId="1732A6D3">
            <w:pPr>
              <w:rPr>
                <w:rFonts w:hint="eastAsia" w:ascii="仿宋" w:hAnsi="仿宋" w:eastAsia="仿宋" w:cs="仿宋"/>
                <w:szCs w:val="21"/>
                <w:highlight w:val="none"/>
              </w:rPr>
            </w:pPr>
            <w:r>
              <w:rPr>
                <w:rFonts w:hint="eastAsia" w:ascii="仿宋" w:hAnsi="仿宋" w:eastAsia="仿宋" w:cs="仿宋"/>
                <w:kern w:val="0"/>
                <w:szCs w:val="21"/>
                <w:highlight w:val="none"/>
              </w:rPr>
              <w:t>中小企业声明函（工程）</w:t>
            </w:r>
          </w:p>
        </w:tc>
        <w:tc>
          <w:tcPr>
            <w:tcW w:w="3421" w:type="dxa"/>
            <w:vAlign w:val="center"/>
          </w:tcPr>
          <w:p w14:paraId="5E98D5BD">
            <w:pPr>
              <w:pStyle w:val="3"/>
              <w:adjustRightInd w:val="0"/>
              <w:snapToGrid w:val="0"/>
              <w:spacing w:before="0" w:after="0" w:line="240" w:lineRule="auto"/>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1.按给定格式填写</w:t>
            </w:r>
          </w:p>
          <w:p w14:paraId="42D9F19D">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2.无供应商须知28.2（2）所述情形</w:t>
            </w:r>
          </w:p>
        </w:tc>
        <w:tc>
          <w:tcPr>
            <w:tcW w:w="544" w:type="dxa"/>
          </w:tcPr>
          <w:p w14:paraId="42A797CC">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570" w:type="dxa"/>
          </w:tcPr>
          <w:p w14:paraId="6AE157EA">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551" w:type="dxa"/>
          </w:tcPr>
          <w:p w14:paraId="002C1324">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r>
      <w:tr w14:paraId="427F4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701" w:type="dxa"/>
            <w:vAlign w:val="center"/>
          </w:tcPr>
          <w:p w14:paraId="7A642086">
            <w:pPr>
              <w:snapToGrid w:val="0"/>
              <w:jc w:val="center"/>
              <w:rPr>
                <w:rFonts w:hint="eastAsia" w:ascii="仿宋" w:hAnsi="仿宋" w:eastAsia="仿宋" w:cs="仿宋"/>
                <w:highlight w:val="none"/>
              </w:rPr>
            </w:pPr>
          </w:p>
        </w:tc>
        <w:tc>
          <w:tcPr>
            <w:tcW w:w="3731" w:type="dxa"/>
            <w:vAlign w:val="center"/>
          </w:tcPr>
          <w:p w14:paraId="002B38EE">
            <w:pPr>
              <w:snapToGrid w:val="0"/>
              <w:jc w:val="center"/>
              <w:rPr>
                <w:rFonts w:hint="eastAsia" w:ascii="仿宋" w:hAnsi="仿宋" w:eastAsia="仿宋" w:cs="仿宋"/>
                <w:highlight w:val="none"/>
              </w:rPr>
            </w:pPr>
            <w:r>
              <w:rPr>
                <w:rFonts w:hint="eastAsia" w:ascii="仿宋" w:hAnsi="仿宋" w:eastAsia="仿宋" w:cs="仿宋"/>
                <w:highlight w:val="none"/>
              </w:rPr>
              <w:t>结论</w:t>
            </w:r>
          </w:p>
        </w:tc>
        <w:tc>
          <w:tcPr>
            <w:tcW w:w="3421" w:type="dxa"/>
          </w:tcPr>
          <w:p w14:paraId="63BAA670">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544" w:type="dxa"/>
          </w:tcPr>
          <w:p w14:paraId="45F13414">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570" w:type="dxa"/>
          </w:tcPr>
          <w:p w14:paraId="7A645B27">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551" w:type="dxa"/>
          </w:tcPr>
          <w:p w14:paraId="470DA910">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r>
    </w:tbl>
    <w:p w14:paraId="28EDE9D3">
      <w:pPr>
        <w:spacing w:line="340" w:lineRule="exact"/>
        <w:rPr>
          <w:rFonts w:hint="eastAsia" w:ascii="仿宋" w:hAnsi="仿宋" w:eastAsia="仿宋" w:cs="仿宋"/>
          <w:sz w:val="24"/>
          <w:highlight w:val="none"/>
        </w:rPr>
      </w:pPr>
      <w:r>
        <w:rPr>
          <w:rFonts w:hint="eastAsia" w:ascii="仿宋" w:hAnsi="仿宋" w:eastAsia="仿宋" w:cs="仿宋"/>
          <w:b/>
          <w:bCs/>
          <w:sz w:val="24"/>
          <w:highlight w:val="none"/>
        </w:rPr>
        <w:t>填表说明</w:t>
      </w:r>
      <w:r>
        <w:rPr>
          <w:rFonts w:hint="eastAsia" w:ascii="仿宋" w:hAnsi="仿宋" w:eastAsia="仿宋" w:cs="仿宋"/>
          <w:sz w:val="24"/>
          <w:highlight w:val="none"/>
        </w:rPr>
        <w:t>：1.每项内容审查合格，在表中填写“√”；不合格填写“×”</w:t>
      </w:r>
    </w:p>
    <w:p w14:paraId="78F4B6A0">
      <w:pPr>
        <w:spacing w:line="340" w:lineRule="exact"/>
        <w:ind w:firstLine="1200" w:firstLineChars="500"/>
        <w:rPr>
          <w:rFonts w:hint="eastAsia" w:ascii="仿宋" w:hAnsi="仿宋" w:eastAsia="仿宋" w:cs="仿宋"/>
          <w:sz w:val="24"/>
          <w:highlight w:val="none"/>
        </w:rPr>
      </w:pPr>
      <w:r>
        <w:rPr>
          <w:rFonts w:hint="eastAsia" w:ascii="仿宋" w:hAnsi="仿宋" w:eastAsia="仿宋" w:cs="仿宋"/>
          <w:sz w:val="24"/>
          <w:highlight w:val="none"/>
        </w:rPr>
        <w:t>2.审查结论填写“通过”或“不通过”</w:t>
      </w:r>
    </w:p>
    <w:p w14:paraId="7A80F1EA">
      <w:pPr>
        <w:spacing w:line="340" w:lineRule="exact"/>
        <w:rPr>
          <w:rFonts w:hint="eastAsia" w:ascii="仿宋" w:hAnsi="仿宋" w:eastAsia="仿宋" w:cs="仿宋"/>
          <w:b/>
          <w:bCs/>
          <w:sz w:val="24"/>
          <w:highlight w:val="none"/>
        </w:rPr>
      </w:pPr>
      <w:r>
        <w:rPr>
          <w:rFonts w:hint="eastAsia" w:ascii="仿宋" w:hAnsi="仿宋" w:eastAsia="仿宋" w:cs="仿宋"/>
          <w:b/>
          <w:bCs/>
          <w:sz w:val="24"/>
          <w:highlight w:val="none"/>
        </w:rPr>
        <w:t>审查人签字：</w:t>
      </w:r>
    </w:p>
    <w:p w14:paraId="4AB1723A">
      <w:pPr>
        <w:spacing w:line="340" w:lineRule="exact"/>
        <w:rPr>
          <w:rFonts w:hint="eastAsia" w:ascii="仿宋" w:hAnsi="仿宋" w:eastAsia="仿宋" w:cs="仿宋"/>
          <w:b/>
          <w:bCs/>
          <w:sz w:val="24"/>
          <w:highlight w:val="none"/>
        </w:rPr>
      </w:pPr>
      <w:r>
        <w:rPr>
          <w:rFonts w:hint="eastAsia" w:ascii="仿宋" w:hAnsi="仿宋" w:eastAsia="仿宋" w:cs="仿宋"/>
          <w:b/>
          <w:bCs/>
          <w:sz w:val="24"/>
          <w:highlight w:val="none"/>
        </w:rPr>
        <w:t>日期：</w:t>
      </w:r>
    </w:p>
    <w:p w14:paraId="05050210">
      <w:pPr>
        <w:pStyle w:val="3"/>
        <w:adjustRightInd w:val="0"/>
        <w:snapToGrid w:val="0"/>
        <w:spacing w:before="0" w:after="0" w:line="340" w:lineRule="exact"/>
        <w:jc w:val="left"/>
        <w:rPr>
          <w:rFonts w:hint="eastAsia" w:ascii="仿宋" w:hAnsi="仿宋" w:eastAsia="仿宋" w:cs="仿宋"/>
          <w:sz w:val="24"/>
          <w:highlight w:val="none"/>
        </w:rPr>
        <w:sectPr>
          <w:pgSz w:w="11906" w:h="16838"/>
          <w:pgMar w:top="1440" w:right="1803" w:bottom="1440" w:left="1803" w:header="851" w:footer="992" w:gutter="0"/>
          <w:cols w:space="720" w:num="1"/>
          <w:docGrid w:type="lines" w:linePitch="319" w:charSpace="0"/>
        </w:sectPr>
      </w:pPr>
      <w:bookmarkStart w:id="136" w:name="_Toc533340199"/>
      <w:bookmarkStart w:id="137" w:name="_Toc4485675"/>
    </w:p>
    <w:p w14:paraId="60A4D488">
      <w:pPr>
        <w:pStyle w:val="3"/>
        <w:adjustRightInd w:val="0"/>
        <w:snapToGrid w:val="0"/>
        <w:spacing w:before="0" w:after="0" w:line="24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附件2</w:t>
      </w:r>
      <w:bookmarkEnd w:id="136"/>
      <w:bookmarkEnd w:id="137"/>
    </w:p>
    <w:p w14:paraId="56A8B8E8">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符合性审查表</w:t>
      </w:r>
    </w:p>
    <w:tbl>
      <w:tblPr>
        <w:tblStyle w:val="38"/>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2"/>
        <w:gridCol w:w="2375"/>
        <w:gridCol w:w="3594"/>
        <w:gridCol w:w="778"/>
        <w:gridCol w:w="779"/>
        <w:gridCol w:w="780"/>
      </w:tblGrid>
      <w:tr w14:paraId="1C3D3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12" w:type="dxa"/>
            <w:vMerge w:val="restart"/>
            <w:vAlign w:val="center"/>
          </w:tcPr>
          <w:p w14:paraId="41F75D15">
            <w:pPr>
              <w:jc w:val="center"/>
              <w:rPr>
                <w:rFonts w:hint="eastAsia" w:ascii="仿宋" w:hAnsi="仿宋" w:eastAsia="仿宋" w:cs="仿宋"/>
                <w:highlight w:val="none"/>
              </w:rPr>
            </w:pPr>
            <w:bookmarkStart w:id="138" w:name="_Toc4485676"/>
            <w:bookmarkStart w:id="139" w:name="_Toc533340200"/>
            <w:r>
              <w:rPr>
                <w:rFonts w:hint="eastAsia" w:ascii="仿宋" w:hAnsi="仿宋" w:eastAsia="仿宋" w:cs="仿宋"/>
                <w:highlight w:val="none"/>
              </w:rPr>
              <w:t>序号</w:t>
            </w:r>
          </w:p>
        </w:tc>
        <w:tc>
          <w:tcPr>
            <w:tcW w:w="2375" w:type="dxa"/>
            <w:vMerge w:val="restart"/>
            <w:vAlign w:val="center"/>
          </w:tcPr>
          <w:p w14:paraId="24838C20">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审查项目</w:t>
            </w:r>
            <w:bookmarkEnd w:id="138"/>
            <w:bookmarkEnd w:id="139"/>
          </w:p>
        </w:tc>
        <w:tc>
          <w:tcPr>
            <w:tcW w:w="3594" w:type="dxa"/>
            <w:vMerge w:val="restart"/>
            <w:vAlign w:val="center"/>
          </w:tcPr>
          <w:p w14:paraId="0AD02DC1">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bookmarkStart w:id="140" w:name="_Toc4485677"/>
            <w:bookmarkStart w:id="141" w:name="_Toc533340201"/>
            <w:r>
              <w:rPr>
                <w:rFonts w:hint="eastAsia" w:ascii="仿宋" w:hAnsi="仿宋" w:eastAsia="仿宋" w:cs="仿宋"/>
                <w:b w:val="0"/>
                <w:sz w:val="21"/>
                <w:szCs w:val="21"/>
                <w:highlight w:val="none"/>
                <w:lang w:val="en-US" w:eastAsia="zh-CN"/>
              </w:rPr>
              <w:t>审查标准</w:t>
            </w:r>
            <w:bookmarkEnd w:id="140"/>
            <w:bookmarkEnd w:id="141"/>
          </w:p>
        </w:tc>
        <w:tc>
          <w:tcPr>
            <w:tcW w:w="2337" w:type="dxa"/>
            <w:gridSpan w:val="3"/>
            <w:vAlign w:val="center"/>
          </w:tcPr>
          <w:p w14:paraId="06183F9E">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bookmarkStart w:id="142" w:name="_Toc4485678"/>
            <w:bookmarkStart w:id="143" w:name="_Toc533340202"/>
            <w:r>
              <w:rPr>
                <w:rFonts w:hint="eastAsia" w:ascii="仿宋" w:hAnsi="仿宋" w:eastAsia="仿宋" w:cs="仿宋"/>
                <w:b w:val="0"/>
                <w:bCs/>
                <w:sz w:val="21"/>
                <w:szCs w:val="21"/>
                <w:highlight w:val="none"/>
                <w:lang w:val="en-US" w:eastAsia="zh-CN"/>
              </w:rPr>
              <w:t>供应商名称</w:t>
            </w:r>
            <w:bookmarkEnd w:id="142"/>
            <w:bookmarkEnd w:id="143"/>
          </w:p>
        </w:tc>
      </w:tr>
      <w:tr w14:paraId="0A5B5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12" w:type="dxa"/>
            <w:vMerge w:val="continue"/>
            <w:vAlign w:val="center"/>
          </w:tcPr>
          <w:p w14:paraId="7F462091">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2375" w:type="dxa"/>
            <w:vMerge w:val="continue"/>
            <w:vAlign w:val="center"/>
          </w:tcPr>
          <w:p w14:paraId="5EA74FA1">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3594" w:type="dxa"/>
            <w:vMerge w:val="continue"/>
            <w:vAlign w:val="center"/>
          </w:tcPr>
          <w:p w14:paraId="475FD201">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778" w:type="dxa"/>
            <w:vAlign w:val="center"/>
          </w:tcPr>
          <w:p w14:paraId="623D47D1">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779" w:type="dxa"/>
            <w:vAlign w:val="center"/>
          </w:tcPr>
          <w:p w14:paraId="29498E74">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780" w:type="dxa"/>
            <w:vAlign w:val="center"/>
          </w:tcPr>
          <w:p w14:paraId="697CE1D6">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r>
      <w:tr w14:paraId="1E18D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612" w:type="dxa"/>
            <w:vAlign w:val="center"/>
          </w:tcPr>
          <w:p w14:paraId="182ECFE5">
            <w:pPr>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2375" w:type="dxa"/>
            <w:vAlign w:val="center"/>
          </w:tcPr>
          <w:p w14:paraId="73B8FD23">
            <w:pPr>
              <w:jc w:val="left"/>
              <w:rPr>
                <w:rFonts w:hint="eastAsia" w:ascii="仿宋" w:hAnsi="仿宋" w:eastAsia="仿宋" w:cs="仿宋"/>
                <w:szCs w:val="21"/>
                <w:highlight w:val="none"/>
              </w:rPr>
            </w:pPr>
            <w:r>
              <w:rPr>
                <w:rFonts w:hint="eastAsia" w:ascii="仿宋" w:hAnsi="仿宋" w:eastAsia="仿宋" w:cs="仿宋"/>
                <w:szCs w:val="21"/>
                <w:highlight w:val="none"/>
              </w:rPr>
              <w:t>响应函</w:t>
            </w:r>
          </w:p>
        </w:tc>
        <w:tc>
          <w:tcPr>
            <w:tcW w:w="3594" w:type="dxa"/>
            <w:vAlign w:val="center"/>
          </w:tcPr>
          <w:p w14:paraId="25145018">
            <w:pPr>
              <w:pStyle w:val="3"/>
              <w:adjustRightInd w:val="0"/>
              <w:snapToGrid w:val="0"/>
              <w:spacing w:before="0" w:after="0" w:line="240" w:lineRule="auto"/>
              <w:jc w:val="left"/>
              <w:rPr>
                <w:rFonts w:hint="eastAsia" w:ascii="仿宋" w:hAnsi="仿宋" w:eastAsia="仿宋" w:cs="仿宋"/>
                <w:b w:val="0"/>
                <w:sz w:val="21"/>
                <w:szCs w:val="21"/>
                <w:highlight w:val="none"/>
                <w:lang w:val="en-US" w:eastAsia="zh-CN"/>
              </w:rPr>
            </w:pPr>
            <w:bookmarkStart w:id="144" w:name="_Toc4485679"/>
            <w:bookmarkStart w:id="145" w:name="_Toc533340203"/>
            <w:r>
              <w:rPr>
                <w:rFonts w:hint="eastAsia" w:ascii="仿宋" w:hAnsi="仿宋" w:eastAsia="仿宋" w:cs="仿宋"/>
                <w:b w:val="0"/>
                <w:sz w:val="21"/>
                <w:szCs w:val="21"/>
                <w:highlight w:val="none"/>
                <w:lang w:val="en-US" w:eastAsia="zh-CN"/>
              </w:rPr>
              <w:t>1.按给定格式填写</w:t>
            </w:r>
            <w:bookmarkEnd w:id="144"/>
            <w:bookmarkEnd w:id="145"/>
          </w:p>
          <w:p w14:paraId="58C9E21A">
            <w:pPr>
              <w:jc w:val="left"/>
              <w:rPr>
                <w:rFonts w:hint="eastAsia" w:ascii="仿宋" w:hAnsi="仿宋" w:eastAsia="仿宋" w:cs="仿宋"/>
                <w:szCs w:val="21"/>
                <w:highlight w:val="none"/>
              </w:rPr>
            </w:pPr>
            <w:r>
              <w:rPr>
                <w:rFonts w:hint="eastAsia" w:ascii="仿宋" w:hAnsi="仿宋" w:eastAsia="仿宋" w:cs="仿宋"/>
                <w:szCs w:val="21"/>
                <w:highlight w:val="none"/>
              </w:rPr>
              <w:t>2.响应采购文件实质性要求</w:t>
            </w:r>
          </w:p>
          <w:p w14:paraId="28B18232">
            <w:pPr>
              <w:pStyle w:val="3"/>
              <w:adjustRightInd w:val="0"/>
              <w:snapToGrid w:val="0"/>
              <w:spacing w:before="0" w:after="0" w:line="240" w:lineRule="auto"/>
              <w:jc w:val="left"/>
              <w:rPr>
                <w:rFonts w:hint="eastAsia" w:ascii="仿宋" w:hAnsi="仿宋" w:eastAsia="仿宋" w:cs="仿宋"/>
                <w:b w:val="0"/>
                <w:sz w:val="21"/>
                <w:szCs w:val="21"/>
                <w:highlight w:val="none"/>
                <w:lang w:val="en-US" w:eastAsia="zh-CN"/>
              </w:rPr>
            </w:pPr>
            <w:bookmarkStart w:id="146" w:name="_Toc533340204"/>
            <w:bookmarkStart w:id="147" w:name="_Toc4485680"/>
            <w:r>
              <w:rPr>
                <w:rFonts w:hint="eastAsia" w:ascii="仿宋" w:hAnsi="仿宋" w:eastAsia="仿宋" w:cs="仿宋"/>
                <w:b w:val="0"/>
                <w:sz w:val="21"/>
                <w:szCs w:val="21"/>
                <w:highlight w:val="none"/>
                <w:lang w:val="en-US" w:eastAsia="zh-CN"/>
              </w:rPr>
              <w:t>3.</w:t>
            </w:r>
            <w:bookmarkEnd w:id="146"/>
            <w:bookmarkEnd w:id="147"/>
            <w:r>
              <w:rPr>
                <w:rFonts w:hint="eastAsia" w:ascii="仿宋" w:hAnsi="仿宋" w:eastAsia="仿宋" w:cs="仿宋"/>
                <w:b w:val="0"/>
                <w:sz w:val="21"/>
                <w:szCs w:val="21"/>
                <w:highlight w:val="none"/>
                <w:lang w:val="en-US" w:eastAsia="zh-CN"/>
              </w:rPr>
              <w:t>无供应商须知28.2（2）所述情形</w:t>
            </w:r>
          </w:p>
        </w:tc>
        <w:tc>
          <w:tcPr>
            <w:tcW w:w="778" w:type="dxa"/>
            <w:vAlign w:val="center"/>
          </w:tcPr>
          <w:p w14:paraId="7766C2A7">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779" w:type="dxa"/>
            <w:vAlign w:val="center"/>
          </w:tcPr>
          <w:p w14:paraId="611EB431">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780" w:type="dxa"/>
            <w:vAlign w:val="center"/>
          </w:tcPr>
          <w:p w14:paraId="7E903707">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r>
      <w:tr w14:paraId="54D96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jc w:val="center"/>
        </w:trPr>
        <w:tc>
          <w:tcPr>
            <w:tcW w:w="612" w:type="dxa"/>
            <w:vAlign w:val="center"/>
          </w:tcPr>
          <w:p w14:paraId="4EB9949E">
            <w:pPr>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2375" w:type="dxa"/>
            <w:vAlign w:val="center"/>
          </w:tcPr>
          <w:p w14:paraId="3AC955D8">
            <w:pPr>
              <w:jc w:val="left"/>
              <w:rPr>
                <w:rFonts w:hint="eastAsia" w:ascii="仿宋" w:hAnsi="仿宋" w:eastAsia="仿宋" w:cs="仿宋"/>
                <w:szCs w:val="21"/>
                <w:highlight w:val="none"/>
              </w:rPr>
            </w:pPr>
            <w:r>
              <w:rPr>
                <w:rFonts w:hint="eastAsia" w:ascii="仿宋" w:hAnsi="仿宋" w:eastAsia="仿宋" w:cs="仿宋"/>
                <w:szCs w:val="21"/>
                <w:highlight w:val="none"/>
              </w:rPr>
              <w:t>报价一览表</w:t>
            </w:r>
          </w:p>
        </w:tc>
        <w:tc>
          <w:tcPr>
            <w:tcW w:w="3594" w:type="dxa"/>
            <w:vAlign w:val="center"/>
          </w:tcPr>
          <w:p w14:paraId="31EC2E6C">
            <w:pPr>
              <w:pStyle w:val="3"/>
              <w:adjustRightInd w:val="0"/>
              <w:snapToGrid w:val="0"/>
              <w:spacing w:before="0" w:after="0" w:line="240" w:lineRule="auto"/>
              <w:jc w:val="left"/>
              <w:rPr>
                <w:rFonts w:hint="eastAsia" w:ascii="仿宋" w:hAnsi="仿宋" w:eastAsia="仿宋" w:cs="仿宋"/>
                <w:b w:val="0"/>
                <w:sz w:val="21"/>
                <w:szCs w:val="21"/>
                <w:highlight w:val="none"/>
                <w:lang w:val="en-US" w:eastAsia="zh-CN"/>
              </w:rPr>
            </w:pPr>
            <w:bookmarkStart w:id="148" w:name="_Toc533340207"/>
            <w:bookmarkStart w:id="149" w:name="_Toc4485681"/>
            <w:r>
              <w:rPr>
                <w:rFonts w:hint="eastAsia" w:ascii="仿宋" w:hAnsi="仿宋" w:eastAsia="仿宋" w:cs="仿宋"/>
                <w:b w:val="0"/>
                <w:sz w:val="21"/>
                <w:szCs w:val="21"/>
                <w:highlight w:val="none"/>
                <w:lang w:val="en-US" w:eastAsia="zh-CN"/>
              </w:rPr>
              <w:t>1.按给定格式填写</w:t>
            </w:r>
            <w:bookmarkEnd w:id="148"/>
            <w:bookmarkEnd w:id="149"/>
          </w:p>
          <w:p w14:paraId="662C021C">
            <w:pPr>
              <w:jc w:val="left"/>
              <w:rPr>
                <w:rFonts w:hint="eastAsia" w:ascii="仿宋" w:hAnsi="仿宋" w:eastAsia="仿宋" w:cs="仿宋"/>
                <w:szCs w:val="21"/>
                <w:highlight w:val="none"/>
              </w:rPr>
            </w:pPr>
            <w:r>
              <w:rPr>
                <w:rFonts w:hint="eastAsia" w:ascii="仿宋" w:hAnsi="仿宋" w:eastAsia="仿宋" w:cs="仿宋"/>
                <w:szCs w:val="21"/>
                <w:highlight w:val="none"/>
              </w:rPr>
              <w:t>2.响应采购文件实质性要求</w:t>
            </w:r>
          </w:p>
          <w:p w14:paraId="4A554B18">
            <w:pPr>
              <w:pStyle w:val="3"/>
              <w:adjustRightInd w:val="0"/>
              <w:snapToGrid w:val="0"/>
              <w:spacing w:before="0" w:after="0" w:line="240" w:lineRule="auto"/>
              <w:jc w:val="left"/>
              <w:rPr>
                <w:rFonts w:hint="eastAsia" w:ascii="仿宋" w:hAnsi="仿宋" w:eastAsia="仿宋" w:cs="仿宋"/>
                <w:b w:val="0"/>
                <w:sz w:val="21"/>
                <w:szCs w:val="21"/>
                <w:highlight w:val="none"/>
                <w:lang w:val="en-US" w:eastAsia="zh-CN"/>
              </w:rPr>
            </w:pPr>
            <w:bookmarkStart w:id="150" w:name="_Toc533340208"/>
            <w:bookmarkStart w:id="151" w:name="_Toc4485682"/>
            <w:r>
              <w:rPr>
                <w:rFonts w:hint="eastAsia" w:ascii="仿宋" w:hAnsi="仿宋" w:eastAsia="仿宋" w:cs="仿宋"/>
                <w:b w:val="0"/>
                <w:sz w:val="21"/>
                <w:szCs w:val="21"/>
                <w:highlight w:val="none"/>
                <w:lang w:val="en-US" w:eastAsia="zh-CN"/>
              </w:rPr>
              <w:t>3.</w:t>
            </w:r>
            <w:bookmarkEnd w:id="150"/>
            <w:bookmarkEnd w:id="151"/>
            <w:r>
              <w:rPr>
                <w:rFonts w:hint="eastAsia" w:ascii="仿宋" w:hAnsi="仿宋" w:eastAsia="仿宋" w:cs="仿宋"/>
                <w:b w:val="0"/>
                <w:sz w:val="21"/>
                <w:szCs w:val="21"/>
                <w:highlight w:val="none"/>
                <w:lang w:val="en-US" w:eastAsia="zh-CN"/>
              </w:rPr>
              <w:t>无供应商须知28.2（2）所述情形</w:t>
            </w:r>
          </w:p>
        </w:tc>
        <w:tc>
          <w:tcPr>
            <w:tcW w:w="778" w:type="dxa"/>
            <w:vAlign w:val="center"/>
          </w:tcPr>
          <w:p w14:paraId="2F737CB8">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779" w:type="dxa"/>
            <w:vAlign w:val="center"/>
          </w:tcPr>
          <w:p w14:paraId="79EA6EF1">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780" w:type="dxa"/>
            <w:vAlign w:val="center"/>
          </w:tcPr>
          <w:p w14:paraId="1CFABB26">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r>
      <w:tr w14:paraId="4F12D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612" w:type="dxa"/>
            <w:vAlign w:val="center"/>
          </w:tcPr>
          <w:p w14:paraId="284E895F">
            <w:pPr>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2375" w:type="dxa"/>
            <w:vAlign w:val="center"/>
          </w:tcPr>
          <w:p w14:paraId="55404910">
            <w:pPr>
              <w:jc w:val="left"/>
              <w:rPr>
                <w:rFonts w:hint="eastAsia" w:ascii="仿宋" w:hAnsi="仿宋" w:eastAsia="仿宋" w:cs="仿宋"/>
                <w:szCs w:val="21"/>
                <w:highlight w:val="none"/>
              </w:rPr>
            </w:pPr>
            <w:r>
              <w:rPr>
                <w:rFonts w:hint="eastAsia" w:ascii="仿宋" w:hAnsi="仿宋" w:eastAsia="仿宋" w:cs="仿宋"/>
                <w:szCs w:val="21"/>
                <w:highlight w:val="none"/>
              </w:rPr>
              <w:t>已标价工程量清单</w:t>
            </w:r>
          </w:p>
        </w:tc>
        <w:tc>
          <w:tcPr>
            <w:tcW w:w="3594" w:type="dxa"/>
            <w:vAlign w:val="center"/>
          </w:tcPr>
          <w:p w14:paraId="6657049D">
            <w:pPr>
              <w:pStyle w:val="3"/>
              <w:adjustRightInd w:val="0"/>
              <w:snapToGrid w:val="0"/>
              <w:spacing w:before="0" w:after="0" w:line="240" w:lineRule="auto"/>
              <w:jc w:val="left"/>
              <w:rPr>
                <w:rFonts w:hint="eastAsia" w:ascii="仿宋" w:hAnsi="仿宋" w:eastAsia="仿宋" w:cs="仿宋"/>
                <w:b w:val="0"/>
                <w:sz w:val="21"/>
                <w:szCs w:val="21"/>
                <w:highlight w:val="none"/>
                <w:lang w:val="en-US" w:eastAsia="zh-CN"/>
              </w:rPr>
            </w:pPr>
            <w:bookmarkStart w:id="152" w:name="_Toc533340209"/>
            <w:bookmarkStart w:id="153" w:name="_Toc4485683"/>
            <w:r>
              <w:rPr>
                <w:rFonts w:hint="eastAsia" w:ascii="仿宋" w:hAnsi="仿宋" w:eastAsia="仿宋" w:cs="仿宋"/>
                <w:b w:val="0"/>
                <w:sz w:val="21"/>
                <w:szCs w:val="21"/>
                <w:highlight w:val="none"/>
                <w:lang w:val="en-US" w:eastAsia="zh-CN"/>
              </w:rPr>
              <w:t>1.按给定格式填写</w:t>
            </w:r>
            <w:bookmarkEnd w:id="152"/>
            <w:bookmarkEnd w:id="153"/>
          </w:p>
          <w:p w14:paraId="7668AC81">
            <w:pPr>
              <w:jc w:val="left"/>
              <w:rPr>
                <w:rFonts w:hint="eastAsia" w:ascii="仿宋" w:hAnsi="仿宋" w:eastAsia="仿宋" w:cs="仿宋"/>
                <w:szCs w:val="21"/>
                <w:highlight w:val="none"/>
              </w:rPr>
            </w:pPr>
            <w:r>
              <w:rPr>
                <w:rFonts w:hint="eastAsia" w:ascii="仿宋" w:hAnsi="仿宋" w:eastAsia="仿宋" w:cs="仿宋"/>
                <w:szCs w:val="21"/>
                <w:highlight w:val="none"/>
              </w:rPr>
              <w:t>2.响应采购文件实质性要求</w:t>
            </w:r>
          </w:p>
          <w:p w14:paraId="57B983F4">
            <w:pPr>
              <w:jc w:val="left"/>
              <w:rPr>
                <w:rFonts w:hint="eastAsia" w:ascii="仿宋" w:hAnsi="仿宋" w:eastAsia="仿宋" w:cs="仿宋"/>
                <w:szCs w:val="21"/>
                <w:highlight w:val="none"/>
              </w:rPr>
            </w:pPr>
            <w:r>
              <w:rPr>
                <w:rFonts w:hint="eastAsia" w:ascii="仿宋" w:hAnsi="仿宋" w:eastAsia="仿宋" w:cs="仿宋"/>
                <w:szCs w:val="21"/>
                <w:highlight w:val="none"/>
              </w:rPr>
              <w:t>3.无供应商须知28.2（2）所述情形</w:t>
            </w:r>
          </w:p>
        </w:tc>
        <w:tc>
          <w:tcPr>
            <w:tcW w:w="778" w:type="dxa"/>
            <w:vAlign w:val="center"/>
          </w:tcPr>
          <w:p w14:paraId="03F25FCC">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779" w:type="dxa"/>
            <w:vAlign w:val="center"/>
          </w:tcPr>
          <w:p w14:paraId="77CAD907">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780" w:type="dxa"/>
            <w:vAlign w:val="center"/>
          </w:tcPr>
          <w:p w14:paraId="7E79418E">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r>
      <w:tr w14:paraId="7EAA8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jc w:val="center"/>
        </w:trPr>
        <w:tc>
          <w:tcPr>
            <w:tcW w:w="612" w:type="dxa"/>
            <w:vAlign w:val="center"/>
          </w:tcPr>
          <w:p w14:paraId="14A140A3">
            <w:pPr>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2375" w:type="dxa"/>
            <w:vAlign w:val="center"/>
          </w:tcPr>
          <w:p w14:paraId="2077C9EE">
            <w:pPr>
              <w:jc w:val="left"/>
              <w:rPr>
                <w:rFonts w:hint="eastAsia" w:ascii="仿宋" w:hAnsi="仿宋" w:eastAsia="仿宋" w:cs="仿宋"/>
                <w:szCs w:val="21"/>
                <w:highlight w:val="none"/>
              </w:rPr>
            </w:pPr>
            <w:r>
              <w:rPr>
                <w:rFonts w:hint="eastAsia" w:ascii="仿宋" w:hAnsi="仿宋" w:eastAsia="仿宋" w:cs="仿宋"/>
                <w:szCs w:val="21"/>
                <w:highlight w:val="none"/>
              </w:rPr>
              <w:t>商务条款偏离表</w:t>
            </w:r>
          </w:p>
        </w:tc>
        <w:tc>
          <w:tcPr>
            <w:tcW w:w="3594" w:type="dxa"/>
            <w:vAlign w:val="center"/>
          </w:tcPr>
          <w:p w14:paraId="7BD1219B">
            <w:pPr>
              <w:pStyle w:val="3"/>
              <w:adjustRightInd w:val="0"/>
              <w:snapToGrid w:val="0"/>
              <w:spacing w:before="0" w:after="0" w:line="240" w:lineRule="auto"/>
              <w:jc w:val="left"/>
              <w:rPr>
                <w:rFonts w:hint="eastAsia" w:ascii="仿宋" w:hAnsi="仿宋" w:eastAsia="仿宋" w:cs="仿宋"/>
                <w:b w:val="0"/>
                <w:sz w:val="21"/>
                <w:szCs w:val="21"/>
                <w:highlight w:val="none"/>
                <w:lang w:val="en-US" w:eastAsia="zh-CN"/>
              </w:rPr>
            </w:pPr>
            <w:bookmarkStart w:id="154" w:name="_Toc533340213"/>
            <w:bookmarkStart w:id="155" w:name="_Toc4485687"/>
            <w:r>
              <w:rPr>
                <w:rFonts w:hint="eastAsia" w:ascii="仿宋" w:hAnsi="仿宋" w:eastAsia="仿宋" w:cs="仿宋"/>
                <w:b w:val="0"/>
                <w:sz w:val="21"/>
                <w:szCs w:val="21"/>
                <w:highlight w:val="none"/>
                <w:lang w:val="en-US" w:eastAsia="zh-CN"/>
              </w:rPr>
              <w:t>1.按给定格式填写</w:t>
            </w:r>
            <w:bookmarkEnd w:id="154"/>
            <w:bookmarkEnd w:id="155"/>
          </w:p>
          <w:p w14:paraId="7D4331C0">
            <w:pPr>
              <w:jc w:val="left"/>
              <w:rPr>
                <w:rFonts w:hint="eastAsia" w:ascii="仿宋" w:hAnsi="仿宋" w:eastAsia="仿宋" w:cs="仿宋"/>
                <w:szCs w:val="21"/>
                <w:highlight w:val="none"/>
              </w:rPr>
            </w:pPr>
            <w:r>
              <w:rPr>
                <w:rFonts w:hint="eastAsia" w:ascii="仿宋" w:hAnsi="仿宋" w:eastAsia="仿宋" w:cs="仿宋"/>
                <w:szCs w:val="21"/>
                <w:highlight w:val="none"/>
              </w:rPr>
              <w:t>2.响应采购文件实质性要求</w:t>
            </w:r>
          </w:p>
          <w:p w14:paraId="392256BC">
            <w:pPr>
              <w:pStyle w:val="3"/>
              <w:adjustRightInd w:val="0"/>
              <w:snapToGrid w:val="0"/>
              <w:spacing w:before="0" w:after="0" w:line="240" w:lineRule="auto"/>
              <w:jc w:val="left"/>
              <w:rPr>
                <w:rFonts w:hint="eastAsia" w:ascii="仿宋" w:hAnsi="仿宋" w:eastAsia="仿宋" w:cs="仿宋"/>
                <w:b w:val="0"/>
                <w:sz w:val="21"/>
                <w:szCs w:val="21"/>
                <w:highlight w:val="none"/>
                <w:lang w:val="en-US" w:eastAsia="zh-CN"/>
              </w:rPr>
            </w:pPr>
            <w:bookmarkStart w:id="156" w:name="_Toc533340214"/>
            <w:bookmarkStart w:id="157" w:name="_Toc4485688"/>
            <w:r>
              <w:rPr>
                <w:rFonts w:hint="eastAsia" w:ascii="仿宋" w:hAnsi="仿宋" w:eastAsia="仿宋" w:cs="仿宋"/>
                <w:b w:val="0"/>
                <w:sz w:val="21"/>
                <w:szCs w:val="21"/>
                <w:highlight w:val="none"/>
                <w:lang w:val="en-US" w:eastAsia="zh-CN"/>
              </w:rPr>
              <w:t>3.</w:t>
            </w:r>
            <w:bookmarkEnd w:id="156"/>
            <w:bookmarkEnd w:id="157"/>
            <w:r>
              <w:rPr>
                <w:rFonts w:hint="eastAsia" w:ascii="仿宋" w:hAnsi="仿宋" w:eastAsia="仿宋" w:cs="仿宋"/>
                <w:b w:val="0"/>
                <w:sz w:val="21"/>
                <w:szCs w:val="21"/>
                <w:highlight w:val="none"/>
                <w:lang w:val="en-US" w:eastAsia="zh-CN"/>
              </w:rPr>
              <w:t>无供应商须知28.2（2）所述情形</w:t>
            </w:r>
          </w:p>
        </w:tc>
        <w:tc>
          <w:tcPr>
            <w:tcW w:w="778" w:type="dxa"/>
            <w:vAlign w:val="center"/>
          </w:tcPr>
          <w:p w14:paraId="4B08E33C">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779" w:type="dxa"/>
            <w:vAlign w:val="center"/>
          </w:tcPr>
          <w:p w14:paraId="26F47042">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780" w:type="dxa"/>
            <w:vAlign w:val="center"/>
          </w:tcPr>
          <w:p w14:paraId="08F7230F">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r>
      <w:tr w14:paraId="0323E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612" w:type="dxa"/>
            <w:vAlign w:val="center"/>
          </w:tcPr>
          <w:p w14:paraId="415E9F28">
            <w:pPr>
              <w:jc w:val="center"/>
              <w:rPr>
                <w:rFonts w:hint="eastAsia" w:ascii="仿宋" w:hAnsi="仿宋" w:eastAsia="仿宋" w:cs="仿宋"/>
                <w:szCs w:val="21"/>
                <w:highlight w:val="none"/>
              </w:rPr>
            </w:pPr>
            <w:r>
              <w:rPr>
                <w:rFonts w:hint="eastAsia" w:ascii="仿宋" w:hAnsi="仿宋" w:eastAsia="仿宋" w:cs="仿宋"/>
                <w:szCs w:val="21"/>
                <w:highlight w:val="none"/>
              </w:rPr>
              <w:t>5</w:t>
            </w:r>
          </w:p>
        </w:tc>
        <w:tc>
          <w:tcPr>
            <w:tcW w:w="2375" w:type="dxa"/>
            <w:vAlign w:val="center"/>
          </w:tcPr>
          <w:p w14:paraId="615C7174">
            <w:pPr>
              <w:jc w:val="left"/>
              <w:rPr>
                <w:rFonts w:hint="eastAsia" w:ascii="仿宋" w:hAnsi="仿宋" w:eastAsia="仿宋" w:cs="仿宋"/>
                <w:szCs w:val="21"/>
                <w:highlight w:val="none"/>
              </w:rPr>
            </w:pPr>
            <w:r>
              <w:rPr>
                <w:rFonts w:hint="eastAsia" w:ascii="仿宋" w:hAnsi="仿宋" w:eastAsia="仿宋" w:cs="仿宋"/>
                <w:kern w:val="0"/>
                <w:szCs w:val="21"/>
                <w:highlight w:val="none"/>
              </w:rPr>
              <w:t>其他符合性证明材料</w:t>
            </w:r>
          </w:p>
        </w:tc>
        <w:tc>
          <w:tcPr>
            <w:tcW w:w="3594" w:type="dxa"/>
            <w:vAlign w:val="center"/>
          </w:tcPr>
          <w:p w14:paraId="566E570C">
            <w:pPr>
              <w:pStyle w:val="3"/>
              <w:adjustRightInd w:val="0"/>
              <w:snapToGrid w:val="0"/>
              <w:spacing w:before="0" w:after="0" w:line="240" w:lineRule="auto"/>
              <w:jc w:val="left"/>
              <w:rPr>
                <w:rFonts w:hint="eastAsia" w:ascii="仿宋" w:hAnsi="仿宋" w:eastAsia="仿宋" w:cs="仿宋"/>
                <w:b w:val="0"/>
                <w:sz w:val="21"/>
                <w:szCs w:val="21"/>
                <w:highlight w:val="none"/>
                <w:lang w:val="en-US" w:eastAsia="zh-CN"/>
              </w:rPr>
            </w:pPr>
            <w:r>
              <w:rPr>
                <w:rFonts w:hint="eastAsia" w:ascii="仿宋" w:hAnsi="仿宋" w:eastAsia="仿宋" w:cs="仿宋"/>
                <w:b w:val="0"/>
                <w:sz w:val="21"/>
                <w:szCs w:val="21"/>
                <w:highlight w:val="none"/>
                <w:lang w:val="en-US" w:eastAsia="zh-CN"/>
              </w:rPr>
              <w:t>1.响应采购文件实质性要求</w:t>
            </w:r>
          </w:p>
          <w:p w14:paraId="730F13AE">
            <w:pPr>
              <w:jc w:val="left"/>
              <w:rPr>
                <w:rFonts w:hint="eastAsia" w:ascii="仿宋" w:hAnsi="仿宋" w:eastAsia="仿宋" w:cs="仿宋"/>
                <w:szCs w:val="21"/>
                <w:highlight w:val="none"/>
              </w:rPr>
            </w:pPr>
            <w:r>
              <w:rPr>
                <w:rFonts w:hint="eastAsia" w:ascii="仿宋" w:hAnsi="仿宋" w:eastAsia="仿宋" w:cs="仿宋"/>
                <w:b w:val="0"/>
                <w:sz w:val="21"/>
                <w:szCs w:val="21"/>
                <w:highlight w:val="none"/>
                <w:lang w:val="en-US" w:eastAsia="zh-CN"/>
              </w:rPr>
              <w:t>2.无采购文件中所述的其他响应无效情形</w:t>
            </w:r>
          </w:p>
        </w:tc>
        <w:tc>
          <w:tcPr>
            <w:tcW w:w="778" w:type="dxa"/>
            <w:vAlign w:val="center"/>
          </w:tcPr>
          <w:p w14:paraId="2D02EC71">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779" w:type="dxa"/>
            <w:vAlign w:val="center"/>
          </w:tcPr>
          <w:p w14:paraId="3EDC8490">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780" w:type="dxa"/>
            <w:vAlign w:val="center"/>
          </w:tcPr>
          <w:p w14:paraId="362B1933">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r>
      <w:tr w14:paraId="0735F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612" w:type="dxa"/>
            <w:vAlign w:val="center"/>
          </w:tcPr>
          <w:p w14:paraId="46AF015F">
            <w:pPr>
              <w:snapToGrid w:val="0"/>
              <w:jc w:val="center"/>
              <w:rPr>
                <w:rFonts w:hint="eastAsia" w:ascii="仿宋" w:hAnsi="仿宋" w:eastAsia="仿宋" w:cs="仿宋"/>
                <w:szCs w:val="21"/>
                <w:highlight w:val="none"/>
              </w:rPr>
            </w:pPr>
          </w:p>
        </w:tc>
        <w:tc>
          <w:tcPr>
            <w:tcW w:w="2375" w:type="dxa"/>
            <w:vAlign w:val="center"/>
          </w:tcPr>
          <w:p w14:paraId="4C469845">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结论</w:t>
            </w:r>
          </w:p>
        </w:tc>
        <w:tc>
          <w:tcPr>
            <w:tcW w:w="3594" w:type="dxa"/>
            <w:vAlign w:val="center"/>
          </w:tcPr>
          <w:p w14:paraId="03A23388">
            <w:pPr>
              <w:pStyle w:val="3"/>
              <w:adjustRightInd w:val="0"/>
              <w:snapToGrid w:val="0"/>
              <w:spacing w:before="0" w:after="0" w:line="240" w:lineRule="auto"/>
              <w:jc w:val="center"/>
              <w:rPr>
                <w:rFonts w:hint="eastAsia" w:ascii="仿宋" w:hAnsi="仿宋" w:eastAsia="仿宋" w:cs="仿宋"/>
                <w:b w:val="0"/>
                <w:sz w:val="21"/>
                <w:szCs w:val="21"/>
                <w:highlight w:val="none"/>
                <w:lang w:val="en-US" w:eastAsia="zh-CN"/>
              </w:rPr>
            </w:pPr>
          </w:p>
        </w:tc>
        <w:tc>
          <w:tcPr>
            <w:tcW w:w="778" w:type="dxa"/>
            <w:vAlign w:val="center"/>
          </w:tcPr>
          <w:p w14:paraId="45E4AEDD">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779" w:type="dxa"/>
            <w:vAlign w:val="center"/>
          </w:tcPr>
          <w:p w14:paraId="7A2E13BB">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c>
          <w:tcPr>
            <w:tcW w:w="780" w:type="dxa"/>
            <w:vAlign w:val="center"/>
          </w:tcPr>
          <w:p w14:paraId="24CB2D79">
            <w:pPr>
              <w:pStyle w:val="3"/>
              <w:adjustRightInd w:val="0"/>
              <w:snapToGrid w:val="0"/>
              <w:spacing w:before="0" w:after="0" w:line="240" w:lineRule="auto"/>
              <w:jc w:val="center"/>
              <w:rPr>
                <w:rFonts w:hint="eastAsia" w:ascii="仿宋" w:hAnsi="仿宋" w:eastAsia="仿宋" w:cs="仿宋"/>
                <w:sz w:val="21"/>
                <w:szCs w:val="21"/>
                <w:highlight w:val="none"/>
                <w:lang w:val="en-US" w:eastAsia="zh-CN"/>
              </w:rPr>
            </w:pPr>
          </w:p>
        </w:tc>
      </w:tr>
    </w:tbl>
    <w:p w14:paraId="7BC6F43E">
      <w:pPr>
        <w:rPr>
          <w:rFonts w:hint="eastAsia" w:ascii="仿宋" w:hAnsi="仿宋" w:eastAsia="仿宋" w:cs="仿宋"/>
          <w:sz w:val="24"/>
          <w:highlight w:val="none"/>
        </w:rPr>
      </w:pPr>
      <w:r>
        <w:rPr>
          <w:rFonts w:hint="eastAsia" w:ascii="仿宋" w:hAnsi="仿宋" w:eastAsia="仿宋" w:cs="仿宋"/>
          <w:b/>
          <w:bCs/>
          <w:sz w:val="24"/>
          <w:highlight w:val="none"/>
        </w:rPr>
        <w:t>填表说明</w:t>
      </w:r>
      <w:r>
        <w:rPr>
          <w:rFonts w:hint="eastAsia" w:ascii="仿宋" w:hAnsi="仿宋" w:eastAsia="仿宋" w:cs="仿宋"/>
          <w:sz w:val="24"/>
          <w:highlight w:val="none"/>
        </w:rPr>
        <w:t>：1.每项内容审查合格，在表中填写“√”；不合格填写“×”</w:t>
      </w:r>
    </w:p>
    <w:p w14:paraId="3DB0C69B">
      <w:pPr>
        <w:ind w:firstLine="1200" w:firstLineChars="500"/>
        <w:rPr>
          <w:rFonts w:hint="eastAsia" w:ascii="仿宋" w:hAnsi="仿宋" w:eastAsia="仿宋" w:cs="仿宋"/>
          <w:sz w:val="24"/>
          <w:highlight w:val="none"/>
        </w:rPr>
      </w:pPr>
      <w:r>
        <w:rPr>
          <w:rFonts w:hint="eastAsia" w:ascii="仿宋" w:hAnsi="仿宋" w:eastAsia="仿宋" w:cs="仿宋"/>
          <w:sz w:val="24"/>
          <w:highlight w:val="none"/>
        </w:rPr>
        <w:t>2.审查结论填写“通过”或“不通过”</w:t>
      </w:r>
    </w:p>
    <w:p w14:paraId="1E01F793">
      <w:pPr>
        <w:spacing w:line="480" w:lineRule="auto"/>
        <w:rPr>
          <w:rFonts w:hint="eastAsia" w:ascii="仿宋" w:hAnsi="仿宋" w:eastAsia="仿宋" w:cs="仿宋"/>
          <w:b/>
          <w:bCs/>
          <w:sz w:val="24"/>
          <w:highlight w:val="none"/>
        </w:rPr>
      </w:pPr>
      <w:r>
        <w:rPr>
          <w:rFonts w:hint="eastAsia" w:ascii="仿宋" w:hAnsi="仿宋" w:eastAsia="仿宋" w:cs="仿宋"/>
          <w:b/>
          <w:bCs/>
          <w:sz w:val="24"/>
          <w:highlight w:val="none"/>
        </w:rPr>
        <w:t>审查人签字：</w:t>
      </w:r>
    </w:p>
    <w:p w14:paraId="4D51E8CE">
      <w:pPr>
        <w:spacing w:line="480" w:lineRule="auto"/>
        <w:rPr>
          <w:rFonts w:hint="eastAsia" w:ascii="仿宋" w:hAnsi="仿宋" w:eastAsia="仿宋" w:cs="仿宋"/>
          <w:sz w:val="24"/>
          <w:highlight w:val="none"/>
        </w:rPr>
        <w:sectPr>
          <w:pgSz w:w="11906" w:h="16838"/>
          <w:pgMar w:top="1440" w:right="1803" w:bottom="1440" w:left="1803" w:header="851" w:footer="992" w:gutter="0"/>
          <w:cols w:space="720" w:num="1"/>
          <w:docGrid w:type="lines" w:linePitch="319" w:charSpace="0"/>
        </w:sectPr>
      </w:pPr>
      <w:r>
        <w:rPr>
          <w:rFonts w:hint="eastAsia" w:ascii="仿宋" w:hAnsi="仿宋" w:eastAsia="仿宋" w:cs="仿宋"/>
          <w:b/>
          <w:bCs/>
          <w:sz w:val="24"/>
          <w:highlight w:val="none"/>
        </w:rPr>
        <w:t>日期</w:t>
      </w:r>
      <w:r>
        <w:rPr>
          <w:rFonts w:hint="eastAsia" w:ascii="仿宋" w:hAnsi="仿宋" w:eastAsia="仿宋" w:cs="仿宋"/>
          <w:sz w:val="24"/>
          <w:highlight w:val="none"/>
        </w:rPr>
        <w:t>：</w:t>
      </w:r>
    </w:p>
    <w:p w14:paraId="594DA037">
      <w:pPr>
        <w:pStyle w:val="3"/>
        <w:adjustRightInd w:val="0"/>
        <w:snapToGrid w:val="0"/>
        <w:spacing w:before="0" w:after="0" w:line="240" w:lineRule="auto"/>
        <w:jc w:val="left"/>
        <w:rPr>
          <w:rFonts w:hint="eastAsia" w:ascii="仿宋" w:hAnsi="仿宋" w:eastAsia="仿宋" w:cs="仿宋"/>
          <w:sz w:val="28"/>
          <w:szCs w:val="28"/>
          <w:highlight w:val="none"/>
        </w:rPr>
      </w:pPr>
      <w:bookmarkStart w:id="158" w:name="_Toc17433_WPSOffice_Level2"/>
      <w:r>
        <w:rPr>
          <w:rFonts w:hint="eastAsia" w:ascii="仿宋" w:hAnsi="仿宋" w:eastAsia="仿宋" w:cs="仿宋"/>
          <w:sz w:val="28"/>
          <w:szCs w:val="28"/>
          <w:highlight w:val="none"/>
        </w:rPr>
        <w:t>附件3</w:t>
      </w:r>
    </w:p>
    <w:p w14:paraId="5C5ABF2F">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评分细则</w:t>
      </w:r>
      <w:bookmarkEnd w:id="158"/>
    </w:p>
    <w:p w14:paraId="63509220">
      <w:pPr>
        <w:jc w:val="left"/>
        <w:rPr>
          <w:rFonts w:hint="eastAsia" w:ascii="仿宋" w:hAnsi="仿宋" w:eastAsia="仿宋" w:cs="仿宋"/>
          <w:b/>
          <w:sz w:val="24"/>
          <w:highlight w:val="none"/>
        </w:rPr>
      </w:pPr>
      <w:r>
        <w:rPr>
          <w:rFonts w:hint="eastAsia" w:ascii="仿宋" w:hAnsi="仿宋" w:eastAsia="仿宋" w:cs="仿宋"/>
          <w:b/>
          <w:sz w:val="24"/>
          <w:highlight w:val="none"/>
        </w:rPr>
        <w:t>（一）基本评分标准</w:t>
      </w:r>
    </w:p>
    <w:tbl>
      <w:tblPr>
        <w:tblStyle w:val="38"/>
        <w:tblpPr w:leftFromText="180" w:rightFromText="180" w:vertAnchor="text" w:horzAnchor="margin" w:tblpXSpec="center" w:tblpY="10"/>
        <w:tblW w:w="8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117"/>
        <w:gridCol w:w="5967"/>
        <w:gridCol w:w="988"/>
      </w:tblGrid>
      <w:tr w14:paraId="664E3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707" w:type="dxa"/>
            <w:tcBorders>
              <w:top w:val="single" w:color="auto" w:sz="4" w:space="0"/>
              <w:left w:val="single" w:color="auto" w:sz="4" w:space="0"/>
              <w:bottom w:val="single" w:color="auto" w:sz="4" w:space="0"/>
              <w:right w:val="single" w:color="auto" w:sz="4" w:space="0"/>
            </w:tcBorders>
            <w:vAlign w:val="center"/>
          </w:tcPr>
          <w:p w14:paraId="332E37FE">
            <w:pPr>
              <w:pStyle w:val="33"/>
              <w:adjustRightInd w:val="0"/>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包组编号</w:t>
            </w:r>
          </w:p>
        </w:tc>
        <w:tc>
          <w:tcPr>
            <w:tcW w:w="8072" w:type="dxa"/>
            <w:gridSpan w:val="3"/>
            <w:tcBorders>
              <w:top w:val="single" w:color="auto" w:sz="4" w:space="0"/>
              <w:left w:val="single" w:color="auto" w:sz="4" w:space="0"/>
              <w:bottom w:val="single" w:color="auto" w:sz="4" w:space="0"/>
              <w:right w:val="single" w:color="auto" w:sz="4" w:space="0"/>
            </w:tcBorders>
            <w:vAlign w:val="center"/>
          </w:tcPr>
          <w:p w14:paraId="4CD596CB">
            <w:pPr>
              <w:pStyle w:val="33"/>
              <w:adjustRightInd w:val="0"/>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001</w:t>
            </w:r>
          </w:p>
        </w:tc>
      </w:tr>
      <w:tr w14:paraId="677C0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707" w:type="dxa"/>
            <w:tcBorders>
              <w:top w:val="single" w:color="auto" w:sz="4" w:space="0"/>
              <w:left w:val="single" w:color="auto" w:sz="4" w:space="0"/>
              <w:bottom w:val="single" w:color="auto" w:sz="4" w:space="0"/>
              <w:right w:val="single" w:color="auto" w:sz="4" w:space="0"/>
            </w:tcBorders>
            <w:vAlign w:val="center"/>
          </w:tcPr>
          <w:p w14:paraId="01CC3147">
            <w:pPr>
              <w:pStyle w:val="33"/>
              <w:adjustRightInd w:val="0"/>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项目</w:t>
            </w:r>
          </w:p>
        </w:tc>
        <w:tc>
          <w:tcPr>
            <w:tcW w:w="1117" w:type="dxa"/>
            <w:tcBorders>
              <w:top w:val="single" w:color="auto" w:sz="4" w:space="0"/>
              <w:left w:val="single" w:color="auto" w:sz="4" w:space="0"/>
              <w:bottom w:val="single" w:color="auto" w:sz="4" w:space="0"/>
              <w:right w:val="single" w:color="auto" w:sz="4" w:space="0"/>
            </w:tcBorders>
            <w:vAlign w:val="center"/>
          </w:tcPr>
          <w:p w14:paraId="403C2A66">
            <w:pPr>
              <w:pStyle w:val="33"/>
              <w:adjustRightInd w:val="0"/>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分项名称</w:t>
            </w:r>
          </w:p>
        </w:tc>
        <w:tc>
          <w:tcPr>
            <w:tcW w:w="5967" w:type="dxa"/>
            <w:tcBorders>
              <w:top w:val="single" w:color="auto" w:sz="4" w:space="0"/>
              <w:left w:val="single" w:color="auto" w:sz="4" w:space="0"/>
              <w:bottom w:val="single" w:color="auto" w:sz="4" w:space="0"/>
              <w:right w:val="single" w:color="auto" w:sz="4" w:space="0"/>
            </w:tcBorders>
            <w:vAlign w:val="center"/>
          </w:tcPr>
          <w:p w14:paraId="6F47C7D2">
            <w:pPr>
              <w:pStyle w:val="33"/>
              <w:adjustRightInd w:val="0"/>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评分标准</w:t>
            </w:r>
          </w:p>
        </w:tc>
        <w:tc>
          <w:tcPr>
            <w:tcW w:w="988" w:type="dxa"/>
            <w:tcBorders>
              <w:top w:val="single" w:color="auto" w:sz="4" w:space="0"/>
              <w:left w:val="single" w:color="auto" w:sz="4" w:space="0"/>
              <w:bottom w:val="single" w:color="auto" w:sz="4" w:space="0"/>
              <w:right w:val="single" w:color="auto" w:sz="4" w:space="0"/>
            </w:tcBorders>
            <w:vAlign w:val="center"/>
          </w:tcPr>
          <w:p w14:paraId="428D900F">
            <w:pPr>
              <w:pStyle w:val="33"/>
              <w:adjustRightInd w:val="0"/>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满分</w:t>
            </w:r>
          </w:p>
        </w:tc>
      </w:tr>
      <w:tr w14:paraId="585D7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trPr>
        <w:tc>
          <w:tcPr>
            <w:tcW w:w="707" w:type="dxa"/>
            <w:tcBorders>
              <w:top w:val="single" w:color="auto" w:sz="4" w:space="0"/>
              <w:left w:val="single" w:color="auto" w:sz="4" w:space="0"/>
              <w:bottom w:val="single" w:color="auto" w:sz="4" w:space="0"/>
              <w:right w:val="single" w:color="auto" w:sz="4" w:space="0"/>
            </w:tcBorders>
            <w:vAlign w:val="center"/>
          </w:tcPr>
          <w:p w14:paraId="4AF28B7F">
            <w:pPr>
              <w:pStyle w:val="33"/>
              <w:adjustRightInd w:val="0"/>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价格部分</w:t>
            </w:r>
          </w:p>
        </w:tc>
        <w:tc>
          <w:tcPr>
            <w:tcW w:w="1117" w:type="dxa"/>
            <w:tcBorders>
              <w:top w:val="single" w:color="auto" w:sz="4" w:space="0"/>
              <w:left w:val="single" w:color="auto" w:sz="4" w:space="0"/>
              <w:bottom w:val="single" w:color="auto" w:sz="4" w:space="0"/>
              <w:right w:val="single" w:color="auto" w:sz="4" w:space="0"/>
            </w:tcBorders>
            <w:vAlign w:val="center"/>
          </w:tcPr>
          <w:p w14:paraId="1DAC17D4">
            <w:pPr>
              <w:pStyle w:val="33"/>
              <w:adjustRightInd w:val="0"/>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响应报价</w:t>
            </w:r>
          </w:p>
          <w:p w14:paraId="5176FF0A">
            <w:pPr>
              <w:pStyle w:val="33"/>
              <w:adjustRightInd w:val="0"/>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（30分）</w:t>
            </w:r>
          </w:p>
        </w:tc>
        <w:tc>
          <w:tcPr>
            <w:tcW w:w="5967" w:type="dxa"/>
            <w:tcBorders>
              <w:top w:val="single" w:color="auto" w:sz="4" w:space="0"/>
              <w:left w:val="single" w:color="auto" w:sz="4" w:space="0"/>
              <w:bottom w:val="single" w:color="auto" w:sz="4" w:space="0"/>
              <w:right w:val="single" w:color="auto" w:sz="4" w:space="0"/>
            </w:tcBorders>
            <w:vAlign w:val="center"/>
          </w:tcPr>
          <w:p w14:paraId="2E166AA3">
            <w:pPr>
              <w:adjustRightInd w:val="0"/>
              <w:snapToGrid w:val="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以满足采购文件要求且价格最低的响应报价为评标基准价，响应报价等于评标基准价的得满分（30分）其他有效供应商响应报价得分按此公式计算：</w:t>
            </w:r>
          </w:p>
          <w:p w14:paraId="57688141">
            <w:pPr>
              <w:adjustRightInd w:val="0"/>
              <w:snapToGrid w:val="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响应报价得分＝（评标基准价/响应报价）×30</w:t>
            </w:r>
          </w:p>
          <w:p w14:paraId="08721E54">
            <w:pPr>
              <w:adjustRightInd w:val="0"/>
              <w:snapToGrid w:val="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关于评标基准价的说明：供应商报价中的最低报价或者某些分项报价明显低于成本或者不合理，有可能影响商品质量和不能诚信履约的报价按无效响应报价处理。</w:t>
            </w:r>
          </w:p>
        </w:tc>
        <w:tc>
          <w:tcPr>
            <w:tcW w:w="988" w:type="dxa"/>
            <w:tcBorders>
              <w:top w:val="single" w:color="auto" w:sz="4" w:space="0"/>
              <w:left w:val="single" w:color="auto" w:sz="4" w:space="0"/>
              <w:bottom w:val="single" w:color="auto" w:sz="4" w:space="0"/>
              <w:right w:val="single" w:color="auto" w:sz="4" w:space="0"/>
            </w:tcBorders>
            <w:vAlign w:val="center"/>
          </w:tcPr>
          <w:p w14:paraId="7199E56C">
            <w:pPr>
              <w:pStyle w:val="33"/>
              <w:adjustRightInd w:val="0"/>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30</w:t>
            </w:r>
          </w:p>
        </w:tc>
      </w:tr>
      <w:tr w14:paraId="1549D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7" w:hRule="atLeast"/>
        </w:trPr>
        <w:tc>
          <w:tcPr>
            <w:tcW w:w="707" w:type="dxa"/>
            <w:vMerge w:val="restart"/>
            <w:tcBorders>
              <w:top w:val="single" w:color="auto" w:sz="4" w:space="0"/>
              <w:left w:val="single" w:color="auto" w:sz="4" w:space="0"/>
              <w:bottom w:val="single" w:color="auto" w:sz="4" w:space="0"/>
              <w:right w:val="single" w:color="auto" w:sz="4" w:space="0"/>
            </w:tcBorders>
            <w:vAlign w:val="center"/>
          </w:tcPr>
          <w:p w14:paraId="4D956C85">
            <w:pPr>
              <w:pStyle w:val="33"/>
              <w:adjustRightInd w:val="0"/>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技术部分</w:t>
            </w:r>
          </w:p>
        </w:tc>
        <w:tc>
          <w:tcPr>
            <w:tcW w:w="1117" w:type="dxa"/>
            <w:tcBorders>
              <w:top w:val="single" w:color="auto" w:sz="4" w:space="0"/>
              <w:left w:val="single" w:color="auto" w:sz="4" w:space="0"/>
              <w:bottom w:val="single" w:color="auto" w:sz="4" w:space="0"/>
              <w:right w:val="single" w:color="auto" w:sz="4" w:space="0"/>
            </w:tcBorders>
            <w:vAlign w:val="center"/>
          </w:tcPr>
          <w:p w14:paraId="0A973C72">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施工总体方案及施工技术措施</w:t>
            </w:r>
          </w:p>
        </w:tc>
        <w:tc>
          <w:tcPr>
            <w:tcW w:w="5967" w:type="dxa"/>
            <w:tcBorders>
              <w:top w:val="single" w:color="auto" w:sz="4" w:space="0"/>
              <w:left w:val="single" w:color="auto" w:sz="4" w:space="0"/>
              <w:bottom w:val="single" w:color="auto" w:sz="4" w:space="0"/>
              <w:right w:val="single" w:color="auto" w:sz="4" w:space="0"/>
            </w:tcBorders>
            <w:vAlign w:val="center"/>
          </w:tcPr>
          <w:p w14:paraId="735A5696">
            <w:pPr>
              <w:adjustRightInd w:val="0"/>
              <w:snapToGrid w:val="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提供符合本项目特点的施工总体方案及施工技术措施，方案完整，包含但不限于1.工程概况2.重难点分析3.总体施工部署4.进度计划5.保障措施，思路清晰、贴合本项目每提供一项描述满足需求、符合实际得2分，每项内容存在缺陷或不符合项目需求得1分，没有描述得0分，最多得10分。</w:t>
            </w:r>
          </w:p>
          <w:p w14:paraId="17E9ECF7">
            <w:pPr>
              <w:adjustRightInd w:val="0"/>
              <w:snapToGrid w:val="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缺陷指对项目需求理解存在偏差、存在相互矛盾内容、未针对本项目编写等任一情形，不符合项目需求指存在与本项目执行无关的内容、存在相关内容在实际操作中不能运用、使用的工作方法、标准、依据、流程有错误影响方案有效性等任一情形。</w:t>
            </w:r>
          </w:p>
        </w:tc>
        <w:tc>
          <w:tcPr>
            <w:tcW w:w="988" w:type="dxa"/>
            <w:tcBorders>
              <w:top w:val="single" w:color="auto" w:sz="4" w:space="0"/>
              <w:left w:val="single" w:color="auto" w:sz="4" w:space="0"/>
              <w:bottom w:val="single" w:color="auto" w:sz="4" w:space="0"/>
              <w:right w:val="single" w:color="auto" w:sz="4" w:space="0"/>
            </w:tcBorders>
            <w:vAlign w:val="center"/>
          </w:tcPr>
          <w:p w14:paraId="7B62D618">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w:t>
            </w:r>
          </w:p>
        </w:tc>
      </w:tr>
      <w:tr w14:paraId="344EF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4" w:hRule="atLeast"/>
        </w:trPr>
        <w:tc>
          <w:tcPr>
            <w:tcW w:w="707" w:type="dxa"/>
            <w:vMerge w:val="continue"/>
            <w:tcBorders>
              <w:top w:val="single" w:color="auto" w:sz="4" w:space="0"/>
              <w:left w:val="single" w:color="auto" w:sz="4" w:space="0"/>
              <w:bottom w:val="single" w:color="auto" w:sz="4" w:space="0"/>
              <w:right w:val="single" w:color="auto" w:sz="4" w:space="0"/>
            </w:tcBorders>
            <w:vAlign w:val="center"/>
          </w:tcPr>
          <w:p w14:paraId="0419FE03">
            <w:pPr>
              <w:widowControl/>
              <w:adjustRightInd w:val="0"/>
              <w:snapToGrid w:val="0"/>
              <w:jc w:val="center"/>
              <w:rPr>
                <w:rFonts w:hint="eastAsia" w:ascii="仿宋" w:hAnsi="仿宋" w:eastAsia="仿宋" w:cs="仿宋"/>
                <w:szCs w:val="21"/>
                <w:highlight w:val="none"/>
              </w:rPr>
            </w:pPr>
          </w:p>
        </w:tc>
        <w:tc>
          <w:tcPr>
            <w:tcW w:w="1117" w:type="dxa"/>
            <w:tcBorders>
              <w:top w:val="single" w:color="auto" w:sz="4" w:space="0"/>
              <w:left w:val="single" w:color="auto" w:sz="4" w:space="0"/>
              <w:bottom w:val="single" w:color="auto" w:sz="4" w:space="0"/>
              <w:right w:val="single" w:color="auto" w:sz="4" w:space="0"/>
            </w:tcBorders>
            <w:vAlign w:val="center"/>
          </w:tcPr>
          <w:p w14:paraId="03A106E8">
            <w:pPr>
              <w:jc w:val="center"/>
              <w:rPr>
                <w:rFonts w:hint="eastAsia" w:ascii="仿宋" w:hAnsi="仿宋" w:eastAsia="仿宋" w:cs="仿宋"/>
                <w:szCs w:val="21"/>
                <w:highlight w:val="none"/>
              </w:rPr>
            </w:pPr>
            <w:r>
              <w:rPr>
                <w:rFonts w:hint="eastAsia" w:ascii="仿宋" w:hAnsi="仿宋" w:eastAsia="仿宋" w:cs="仿宋"/>
                <w:szCs w:val="21"/>
                <w:highlight w:val="none"/>
              </w:rPr>
              <w:t>质量保证及检测方案</w:t>
            </w:r>
          </w:p>
        </w:tc>
        <w:tc>
          <w:tcPr>
            <w:tcW w:w="5967" w:type="dxa"/>
            <w:tcBorders>
              <w:top w:val="single" w:color="auto" w:sz="4" w:space="0"/>
              <w:left w:val="single" w:color="auto" w:sz="4" w:space="0"/>
              <w:bottom w:val="single" w:color="auto" w:sz="4" w:space="0"/>
              <w:right w:val="single" w:color="auto" w:sz="4" w:space="0"/>
            </w:tcBorders>
            <w:vAlign w:val="center"/>
          </w:tcPr>
          <w:p w14:paraId="504113D0">
            <w:pPr>
              <w:jc w:val="left"/>
              <w:rPr>
                <w:rFonts w:hint="eastAsia" w:ascii="仿宋" w:hAnsi="仿宋" w:eastAsia="仿宋" w:cs="仿宋"/>
                <w:szCs w:val="21"/>
                <w:highlight w:val="none"/>
              </w:rPr>
            </w:pPr>
            <w:r>
              <w:rPr>
                <w:rFonts w:hint="eastAsia" w:ascii="仿宋" w:hAnsi="仿宋" w:eastAsia="仿宋" w:cs="仿宋"/>
                <w:szCs w:val="21"/>
                <w:highlight w:val="none"/>
              </w:rPr>
              <w:t>提供符合本项目特点的质量管理体系与保证措施，包含但不限于1.质量管控体系2.进场检验3.过程检测4.试压、电气试验5.成品保护措施每提供一项描述满足需求、符合实际得2分，每项内容存在</w:t>
            </w:r>
            <w:r>
              <w:rPr>
                <w:rFonts w:hint="eastAsia" w:ascii="仿宋" w:hAnsi="仿宋" w:eastAsia="仿宋" w:cs="仿宋"/>
                <w:kern w:val="0"/>
                <w:szCs w:val="21"/>
                <w:highlight w:val="none"/>
              </w:rPr>
              <w:t>缺陷</w:t>
            </w:r>
            <w:r>
              <w:rPr>
                <w:rFonts w:hint="eastAsia" w:ascii="仿宋" w:hAnsi="仿宋" w:eastAsia="仿宋" w:cs="仿宋"/>
                <w:szCs w:val="21"/>
                <w:highlight w:val="none"/>
              </w:rPr>
              <w:t>或不符合项目需求得1分，没有描述得0分，最多得10分。</w:t>
            </w:r>
          </w:p>
          <w:p w14:paraId="155AEAF2">
            <w:pPr>
              <w:jc w:val="left"/>
              <w:rPr>
                <w:rFonts w:hint="eastAsia" w:ascii="仿宋" w:hAnsi="仿宋" w:eastAsia="仿宋" w:cs="仿宋"/>
                <w:szCs w:val="21"/>
                <w:highlight w:val="none"/>
              </w:rPr>
            </w:pPr>
            <w:r>
              <w:rPr>
                <w:rFonts w:hint="eastAsia" w:ascii="仿宋" w:hAnsi="仿宋" w:eastAsia="仿宋" w:cs="仿宋"/>
                <w:kern w:val="0"/>
                <w:szCs w:val="21"/>
                <w:highlight w:val="none"/>
              </w:rPr>
              <w:t>缺陷</w:t>
            </w:r>
            <w:r>
              <w:rPr>
                <w:rFonts w:hint="eastAsia" w:ascii="仿宋" w:hAnsi="仿宋" w:eastAsia="仿宋" w:cs="仿宋"/>
                <w:szCs w:val="21"/>
                <w:highlight w:val="none"/>
              </w:rPr>
              <w:t>指对项目需求理解存在偏差、存在相互矛盾内容、未针对本项目编写等任一情形，不符合项目需求指存在与本项目执行无关的内容、存在相关内容在实际操作中不能运用、使用的工作方法、标准、依据、流程有错误影响方案有效性等任一情形。</w:t>
            </w:r>
          </w:p>
        </w:tc>
        <w:tc>
          <w:tcPr>
            <w:tcW w:w="988" w:type="dxa"/>
            <w:tcBorders>
              <w:top w:val="single" w:color="auto" w:sz="4" w:space="0"/>
              <w:left w:val="single" w:color="auto" w:sz="4" w:space="0"/>
              <w:bottom w:val="single" w:color="auto" w:sz="4" w:space="0"/>
              <w:right w:val="single" w:color="auto" w:sz="4" w:space="0"/>
            </w:tcBorders>
            <w:vAlign w:val="center"/>
          </w:tcPr>
          <w:p w14:paraId="0EAB7F2D">
            <w:pPr>
              <w:pStyle w:val="33"/>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10</w:t>
            </w:r>
          </w:p>
        </w:tc>
      </w:tr>
      <w:tr w14:paraId="26BA0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1" w:hRule="atLeast"/>
        </w:trPr>
        <w:tc>
          <w:tcPr>
            <w:tcW w:w="707" w:type="dxa"/>
            <w:vMerge w:val="continue"/>
            <w:tcBorders>
              <w:top w:val="single" w:color="auto" w:sz="4" w:space="0"/>
              <w:left w:val="single" w:color="auto" w:sz="4" w:space="0"/>
              <w:bottom w:val="single" w:color="auto" w:sz="4" w:space="0"/>
              <w:right w:val="single" w:color="auto" w:sz="4" w:space="0"/>
            </w:tcBorders>
            <w:vAlign w:val="center"/>
          </w:tcPr>
          <w:p w14:paraId="05089109">
            <w:pPr>
              <w:widowControl/>
              <w:adjustRightInd w:val="0"/>
              <w:snapToGrid w:val="0"/>
              <w:jc w:val="center"/>
              <w:rPr>
                <w:rFonts w:hint="eastAsia" w:ascii="仿宋" w:hAnsi="仿宋" w:eastAsia="仿宋" w:cs="仿宋"/>
                <w:szCs w:val="21"/>
                <w:highlight w:val="none"/>
              </w:rPr>
            </w:pPr>
          </w:p>
        </w:tc>
        <w:tc>
          <w:tcPr>
            <w:tcW w:w="1117" w:type="dxa"/>
            <w:tcBorders>
              <w:top w:val="single" w:color="auto" w:sz="4" w:space="0"/>
              <w:left w:val="single" w:color="auto" w:sz="4" w:space="0"/>
              <w:bottom w:val="single" w:color="auto" w:sz="4" w:space="0"/>
              <w:right w:val="single" w:color="auto" w:sz="4" w:space="0"/>
            </w:tcBorders>
            <w:vAlign w:val="center"/>
          </w:tcPr>
          <w:p w14:paraId="1FAF49A3">
            <w:pPr>
              <w:rPr>
                <w:rFonts w:hint="eastAsia" w:ascii="仿宋" w:hAnsi="仿宋" w:eastAsia="仿宋" w:cs="仿宋"/>
                <w:szCs w:val="21"/>
                <w:highlight w:val="none"/>
              </w:rPr>
            </w:pPr>
            <w:r>
              <w:rPr>
                <w:rFonts w:hint="eastAsia" w:ascii="仿宋" w:hAnsi="仿宋" w:eastAsia="仿宋" w:cs="仿宋"/>
                <w:szCs w:val="21"/>
                <w:highlight w:val="none"/>
              </w:rPr>
              <w:t>具体施工方案及重难点分析</w:t>
            </w:r>
          </w:p>
        </w:tc>
        <w:tc>
          <w:tcPr>
            <w:tcW w:w="5967" w:type="dxa"/>
            <w:tcBorders>
              <w:top w:val="single" w:color="auto" w:sz="4" w:space="0"/>
              <w:left w:val="single" w:color="auto" w:sz="4" w:space="0"/>
              <w:bottom w:val="single" w:color="auto" w:sz="4" w:space="0"/>
              <w:right w:val="single" w:color="auto" w:sz="4" w:space="0"/>
            </w:tcBorders>
            <w:vAlign w:val="center"/>
          </w:tcPr>
          <w:p w14:paraId="3073FF1F">
            <w:pPr>
              <w:jc w:val="left"/>
              <w:rPr>
                <w:rFonts w:hint="eastAsia" w:ascii="仿宋" w:hAnsi="仿宋" w:eastAsia="仿宋" w:cs="仿宋"/>
                <w:szCs w:val="21"/>
                <w:highlight w:val="none"/>
              </w:rPr>
            </w:pPr>
            <w:r>
              <w:rPr>
                <w:rFonts w:hint="eastAsia" w:ascii="仿宋" w:hAnsi="仿宋" w:eastAsia="仿宋" w:cs="仿宋"/>
                <w:szCs w:val="21"/>
                <w:highlight w:val="none"/>
              </w:rPr>
              <w:t>提供符合本项目特点的具体施工方案及施工重难点分析，包含但不限于1.</w:t>
            </w:r>
            <w:r>
              <w:rPr>
                <w:rFonts w:hint="eastAsia" w:ascii="仿宋" w:hAnsi="仿宋" w:eastAsia="仿宋" w:cs="仿宋"/>
                <w:highlight w:val="none"/>
              </w:rPr>
              <w:t xml:space="preserve"> </w:t>
            </w:r>
            <w:r>
              <w:rPr>
                <w:rFonts w:hint="eastAsia" w:ascii="仿宋" w:hAnsi="仿宋" w:eastAsia="仿宋" w:cs="仿宋"/>
                <w:szCs w:val="21"/>
                <w:highlight w:val="none"/>
              </w:rPr>
              <w:t>冷库制冷系统设备及安装调试方案2.</w:t>
            </w:r>
            <w:r>
              <w:rPr>
                <w:rFonts w:hint="eastAsia" w:ascii="仿宋" w:hAnsi="仿宋" w:eastAsia="仿宋" w:cs="仿宋"/>
                <w:highlight w:val="none"/>
              </w:rPr>
              <w:t xml:space="preserve"> </w:t>
            </w:r>
            <w:r>
              <w:rPr>
                <w:rFonts w:hint="eastAsia" w:ascii="仿宋" w:hAnsi="仿宋" w:eastAsia="仿宋" w:cs="仿宋"/>
                <w:szCs w:val="21"/>
                <w:highlight w:val="none"/>
              </w:rPr>
              <w:t>10kV配电系统方案、室外电气工程等实施方案3.</w:t>
            </w:r>
            <w:r>
              <w:rPr>
                <w:rFonts w:hint="eastAsia" w:ascii="仿宋" w:hAnsi="仿宋" w:eastAsia="仿宋" w:cs="仿宋"/>
                <w:highlight w:val="none"/>
              </w:rPr>
              <w:t xml:space="preserve"> </w:t>
            </w:r>
            <w:r>
              <w:rPr>
                <w:rFonts w:hint="eastAsia" w:ascii="仿宋" w:hAnsi="仿宋" w:eastAsia="仿宋" w:cs="仿宋"/>
                <w:szCs w:val="21"/>
                <w:highlight w:val="none"/>
              </w:rPr>
              <w:t>重难点分析贴合本项目潮湿库区、高压带电作业特点，措施完善。每提供一项描述满足需求、符合实际得3分，每项内容存在</w:t>
            </w:r>
            <w:r>
              <w:rPr>
                <w:rFonts w:hint="eastAsia" w:ascii="仿宋" w:hAnsi="仿宋" w:eastAsia="仿宋" w:cs="仿宋"/>
                <w:kern w:val="0"/>
                <w:szCs w:val="21"/>
                <w:highlight w:val="none"/>
              </w:rPr>
              <w:t>缺陷</w:t>
            </w:r>
            <w:r>
              <w:rPr>
                <w:rFonts w:hint="eastAsia" w:ascii="仿宋" w:hAnsi="仿宋" w:eastAsia="仿宋" w:cs="仿宋"/>
                <w:szCs w:val="21"/>
                <w:highlight w:val="none"/>
              </w:rPr>
              <w:t>或不符合项目需求得2分，没有描述得0分，最多得9分。</w:t>
            </w:r>
          </w:p>
          <w:p w14:paraId="3206B677">
            <w:pPr>
              <w:jc w:val="left"/>
              <w:rPr>
                <w:rFonts w:hint="eastAsia" w:ascii="仿宋" w:hAnsi="仿宋" w:eastAsia="仿宋" w:cs="仿宋"/>
                <w:szCs w:val="21"/>
                <w:highlight w:val="none"/>
              </w:rPr>
            </w:pPr>
            <w:r>
              <w:rPr>
                <w:rFonts w:hint="eastAsia" w:ascii="仿宋" w:hAnsi="仿宋" w:eastAsia="仿宋" w:cs="仿宋"/>
                <w:kern w:val="0"/>
                <w:szCs w:val="21"/>
                <w:highlight w:val="none"/>
              </w:rPr>
              <w:t>缺陷</w:t>
            </w:r>
            <w:r>
              <w:rPr>
                <w:rFonts w:hint="eastAsia" w:ascii="仿宋" w:hAnsi="仿宋" w:eastAsia="仿宋" w:cs="仿宋"/>
                <w:szCs w:val="21"/>
                <w:highlight w:val="none"/>
              </w:rPr>
              <w:t>指对项目需求理解存在偏差、存在相互矛盾内容、未针对本项目编写等任一情形，不符合项目需求指存在与本项目执行无关的内容、存在相关内容在实际操作中不能运用、使用的工作方法、标准、依据、流程有错误影响方案有效性等任一情形。</w:t>
            </w:r>
          </w:p>
        </w:tc>
        <w:tc>
          <w:tcPr>
            <w:tcW w:w="988" w:type="dxa"/>
            <w:tcBorders>
              <w:top w:val="single" w:color="auto" w:sz="4" w:space="0"/>
              <w:left w:val="single" w:color="auto" w:sz="4" w:space="0"/>
              <w:bottom w:val="single" w:color="auto" w:sz="4" w:space="0"/>
              <w:right w:val="single" w:color="auto" w:sz="4" w:space="0"/>
            </w:tcBorders>
            <w:vAlign w:val="center"/>
          </w:tcPr>
          <w:p w14:paraId="32F8F6B1">
            <w:pPr>
              <w:pStyle w:val="33"/>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9</w:t>
            </w:r>
          </w:p>
        </w:tc>
      </w:tr>
      <w:tr w14:paraId="37406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1" w:hRule="atLeast"/>
        </w:trPr>
        <w:tc>
          <w:tcPr>
            <w:tcW w:w="707" w:type="dxa"/>
            <w:vMerge w:val="continue"/>
            <w:tcBorders>
              <w:top w:val="single" w:color="auto" w:sz="4" w:space="0"/>
              <w:left w:val="single" w:color="auto" w:sz="4" w:space="0"/>
              <w:bottom w:val="single" w:color="auto" w:sz="4" w:space="0"/>
              <w:right w:val="single" w:color="auto" w:sz="4" w:space="0"/>
            </w:tcBorders>
            <w:vAlign w:val="center"/>
          </w:tcPr>
          <w:p w14:paraId="28E47598">
            <w:pPr>
              <w:widowControl/>
              <w:adjustRightInd w:val="0"/>
              <w:snapToGrid w:val="0"/>
              <w:jc w:val="center"/>
              <w:rPr>
                <w:rFonts w:hint="eastAsia" w:ascii="仿宋" w:hAnsi="仿宋" w:eastAsia="仿宋" w:cs="仿宋"/>
                <w:szCs w:val="21"/>
                <w:highlight w:val="none"/>
              </w:rPr>
            </w:pPr>
          </w:p>
        </w:tc>
        <w:tc>
          <w:tcPr>
            <w:tcW w:w="1117" w:type="dxa"/>
            <w:tcBorders>
              <w:top w:val="single" w:color="auto" w:sz="4" w:space="0"/>
              <w:left w:val="single" w:color="auto" w:sz="4" w:space="0"/>
              <w:bottom w:val="single" w:color="auto" w:sz="4" w:space="0"/>
              <w:right w:val="single" w:color="auto" w:sz="4" w:space="0"/>
            </w:tcBorders>
            <w:vAlign w:val="center"/>
          </w:tcPr>
          <w:p w14:paraId="78CD6E41">
            <w:pPr>
              <w:jc w:val="center"/>
              <w:rPr>
                <w:rFonts w:hint="eastAsia" w:ascii="仿宋" w:hAnsi="仿宋" w:eastAsia="仿宋" w:cs="仿宋"/>
                <w:szCs w:val="21"/>
                <w:highlight w:val="none"/>
              </w:rPr>
            </w:pPr>
            <w:r>
              <w:rPr>
                <w:rFonts w:hint="eastAsia" w:ascii="仿宋" w:hAnsi="仿宋" w:eastAsia="仿宋" w:cs="仿宋"/>
                <w:szCs w:val="21"/>
                <w:highlight w:val="none"/>
              </w:rPr>
              <w:t>安全、文明施工及应急保障</w:t>
            </w:r>
          </w:p>
        </w:tc>
        <w:tc>
          <w:tcPr>
            <w:tcW w:w="5967" w:type="dxa"/>
            <w:tcBorders>
              <w:top w:val="single" w:color="auto" w:sz="4" w:space="0"/>
              <w:left w:val="single" w:color="auto" w:sz="4" w:space="0"/>
              <w:bottom w:val="single" w:color="auto" w:sz="4" w:space="0"/>
              <w:right w:val="single" w:color="auto" w:sz="4" w:space="0"/>
            </w:tcBorders>
            <w:vAlign w:val="center"/>
          </w:tcPr>
          <w:p w14:paraId="4E543925">
            <w:pPr>
              <w:jc w:val="left"/>
              <w:rPr>
                <w:rFonts w:hint="eastAsia" w:ascii="仿宋" w:hAnsi="仿宋" w:eastAsia="仿宋" w:cs="仿宋"/>
                <w:szCs w:val="21"/>
                <w:highlight w:val="none"/>
              </w:rPr>
            </w:pPr>
            <w:r>
              <w:rPr>
                <w:rFonts w:hint="eastAsia" w:ascii="仿宋" w:hAnsi="仿宋" w:eastAsia="仿宋" w:cs="仿宋"/>
                <w:szCs w:val="21"/>
                <w:highlight w:val="none"/>
              </w:rPr>
              <w:t>提供符合本项目特点的完整合理的安全生产、文明施工管理体系，包含但不限于1.安全、文明施工管理体系及措施2。高处作业、用电安全、防火、压力管道安全等3.触电应急、停电保供应急预案。每提供一项描述满足需求、符合实际得3分，每项内容存在</w:t>
            </w:r>
            <w:r>
              <w:rPr>
                <w:rFonts w:hint="eastAsia" w:ascii="仿宋" w:hAnsi="仿宋" w:eastAsia="仿宋" w:cs="仿宋"/>
                <w:kern w:val="0"/>
                <w:szCs w:val="21"/>
                <w:highlight w:val="none"/>
              </w:rPr>
              <w:t>缺陷</w:t>
            </w:r>
            <w:r>
              <w:rPr>
                <w:rFonts w:hint="eastAsia" w:ascii="仿宋" w:hAnsi="仿宋" w:eastAsia="仿宋" w:cs="仿宋"/>
                <w:szCs w:val="21"/>
                <w:highlight w:val="none"/>
              </w:rPr>
              <w:t>或不符合项目需求得2分，没有描述得0分，最多得9分。</w:t>
            </w:r>
          </w:p>
          <w:p w14:paraId="2073483C">
            <w:pPr>
              <w:jc w:val="left"/>
              <w:rPr>
                <w:rFonts w:hint="eastAsia" w:ascii="仿宋" w:hAnsi="仿宋" w:eastAsia="仿宋" w:cs="仿宋"/>
                <w:szCs w:val="21"/>
                <w:highlight w:val="none"/>
              </w:rPr>
            </w:pPr>
            <w:r>
              <w:rPr>
                <w:rFonts w:hint="eastAsia" w:ascii="仿宋" w:hAnsi="仿宋" w:eastAsia="仿宋" w:cs="仿宋"/>
                <w:kern w:val="0"/>
                <w:szCs w:val="21"/>
                <w:highlight w:val="none"/>
              </w:rPr>
              <w:t>缺陷</w:t>
            </w:r>
            <w:r>
              <w:rPr>
                <w:rFonts w:hint="eastAsia" w:ascii="仿宋" w:hAnsi="仿宋" w:eastAsia="仿宋" w:cs="仿宋"/>
                <w:szCs w:val="21"/>
                <w:highlight w:val="none"/>
              </w:rPr>
              <w:t>指对项目需求理解存在偏差、存在相互矛盾内容、未针对本项目编写等任一情形，不符合项目需求指存在与本项目执行无关的内容、存在相关内容在实际操作中不能运用、使用的工作方法、标准、依据、流程有错误影响方案有效性等任一情形。</w:t>
            </w:r>
          </w:p>
        </w:tc>
        <w:tc>
          <w:tcPr>
            <w:tcW w:w="988" w:type="dxa"/>
            <w:tcBorders>
              <w:top w:val="single" w:color="auto" w:sz="4" w:space="0"/>
              <w:left w:val="single" w:color="auto" w:sz="4" w:space="0"/>
              <w:bottom w:val="single" w:color="auto" w:sz="4" w:space="0"/>
              <w:right w:val="single" w:color="auto" w:sz="4" w:space="0"/>
            </w:tcBorders>
            <w:vAlign w:val="center"/>
          </w:tcPr>
          <w:p w14:paraId="4B6BFF26">
            <w:pPr>
              <w:pStyle w:val="33"/>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9</w:t>
            </w:r>
          </w:p>
        </w:tc>
      </w:tr>
      <w:tr w14:paraId="5262D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2" w:hRule="atLeast"/>
        </w:trPr>
        <w:tc>
          <w:tcPr>
            <w:tcW w:w="707" w:type="dxa"/>
            <w:vMerge w:val="continue"/>
            <w:tcBorders>
              <w:top w:val="single" w:color="auto" w:sz="4" w:space="0"/>
              <w:left w:val="single" w:color="auto" w:sz="4" w:space="0"/>
              <w:bottom w:val="single" w:color="auto" w:sz="4" w:space="0"/>
              <w:right w:val="single" w:color="auto" w:sz="4" w:space="0"/>
            </w:tcBorders>
            <w:vAlign w:val="center"/>
          </w:tcPr>
          <w:p w14:paraId="0160DC15">
            <w:pPr>
              <w:widowControl/>
              <w:adjustRightInd w:val="0"/>
              <w:snapToGrid w:val="0"/>
              <w:jc w:val="center"/>
              <w:rPr>
                <w:rFonts w:hint="eastAsia" w:ascii="仿宋" w:hAnsi="仿宋" w:eastAsia="仿宋" w:cs="仿宋"/>
                <w:szCs w:val="21"/>
                <w:highlight w:val="none"/>
              </w:rPr>
            </w:pPr>
          </w:p>
        </w:tc>
        <w:tc>
          <w:tcPr>
            <w:tcW w:w="1117" w:type="dxa"/>
            <w:tcBorders>
              <w:top w:val="single" w:color="auto" w:sz="4" w:space="0"/>
              <w:left w:val="single" w:color="auto" w:sz="4" w:space="0"/>
              <w:bottom w:val="single" w:color="auto" w:sz="4" w:space="0"/>
              <w:right w:val="single" w:color="auto" w:sz="4" w:space="0"/>
            </w:tcBorders>
            <w:vAlign w:val="center"/>
          </w:tcPr>
          <w:p w14:paraId="383FDAF1">
            <w:pPr>
              <w:jc w:val="center"/>
              <w:rPr>
                <w:rFonts w:hint="eastAsia" w:ascii="仿宋" w:hAnsi="仿宋" w:eastAsia="仿宋" w:cs="仿宋"/>
                <w:szCs w:val="21"/>
                <w:highlight w:val="none"/>
              </w:rPr>
            </w:pPr>
            <w:r>
              <w:rPr>
                <w:rFonts w:hint="eastAsia" w:ascii="仿宋" w:hAnsi="仿宋" w:eastAsia="仿宋" w:cs="仿宋"/>
                <w:szCs w:val="21"/>
                <w:highlight w:val="none"/>
              </w:rPr>
              <w:t>施工进度计划</w:t>
            </w:r>
          </w:p>
          <w:p w14:paraId="6B3E00E8">
            <w:pPr>
              <w:jc w:val="center"/>
              <w:rPr>
                <w:rFonts w:hint="eastAsia" w:ascii="仿宋" w:hAnsi="仿宋" w:eastAsia="仿宋" w:cs="仿宋"/>
                <w:szCs w:val="21"/>
                <w:highlight w:val="none"/>
              </w:rPr>
            </w:pPr>
            <w:r>
              <w:rPr>
                <w:rFonts w:hint="eastAsia" w:ascii="仿宋" w:hAnsi="仿宋" w:eastAsia="仿宋" w:cs="仿宋"/>
                <w:szCs w:val="21"/>
                <w:highlight w:val="none"/>
              </w:rPr>
              <w:t>及措施</w:t>
            </w:r>
          </w:p>
        </w:tc>
        <w:tc>
          <w:tcPr>
            <w:tcW w:w="5967" w:type="dxa"/>
            <w:tcBorders>
              <w:top w:val="single" w:color="auto" w:sz="4" w:space="0"/>
              <w:left w:val="single" w:color="auto" w:sz="4" w:space="0"/>
              <w:bottom w:val="single" w:color="auto" w:sz="4" w:space="0"/>
              <w:right w:val="single" w:color="auto" w:sz="4" w:space="0"/>
            </w:tcBorders>
            <w:vAlign w:val="center"/>
          </w:tcPr>
          <w:p w14:paraId="77A2E04F">
            <w:pPr>
              <w:jc w:val="left"/>
              <w:rPr>
                <w:rFonts w:hint="eastAsia" w:ascii="仿宋" w:hAnsi="仿宋" w:eastAsia="仿宋" w:cs="仿宋"/>
                <w:szCs w:val="21"/>
                <w:highlight w:val="none"/>
              </w:rPr>
            </w:pPr>
            <w:r>
              <w:rPr>
                <w:rFonts w:hint="eastAsia" w:ascii="仿宋" w:hAnsi="仿宋" w:eastAsia="仿宋" w:cs="仿宋"/>
                <w:szCs w:val="21"/>
                <w:highlight w:val="none"/>
              </w:rPr>
              <w:t>提供符合本项目特点的施工进度计划及措施，包含但不限于1.施工进度安排、2.人材机进场安排、3.物资与设备保障措施4.进度保障措施。每提供一项描述满足需求、符合实际得2分，每项内容存在</w:t>
            </w:r>
            <w:r>
              <w:rPr>
                <w:rFonts w:hint="eastAsia" w:ascii="仿宋" w:hAnsi="仿宋" w:eastAsia="仿宋" w:cs="仿宋"/>
                <w:kern w:val="0"/>
                <w:szCs w:val="21"/>
                <w:highlight w:val="none"/>
              </w:rPr>
              <w:t>缺陷</w:t>
            </w:r>
            <w:r>
              <w:rPr>
                <w:rFonts w:hint="eastAsia" w:ascii="仿宋" w:hAnsi="仿宋" w:eastAsia="仿宋" w:cs="仿宋"/>
                <w:szCs w:val="21"/>
                <w:highlight w:val="none"/>
              </w:rPr>
              <w:t>或不符合项目需求得1分，没有描述得0分，最多得8分。</w:t>
            </w:r>
          </w:p>
          <w:p w14:paraId="057BE3E0">
            <w:pPr>
              <w:rPr>
                <w:rFonts w:hint="eastAsia" w:ascii="仿宋" w:hAnsi="仿宋" w:eastAsia="仿宋" w:cs="仿宋"/>
                <w:szCs w:val="21"/>
                <w:highlight w:val="none"/>
              </w:rPr>
            </w:pPr>
            <w:r>
              <w:rPr>
                <w:rFonts w:hint="eastAsia" w:ascii="仿宋" w:hAnsi="仿宋" w:eastAsia="仿宋" w:cs="仿宋"/>
                <w:kern w:val="0"/>
                <w:szCs w:val="21"/>
                <w:highlight w:val="none"/>
              </w:rPr>
              <w:t>缺陷</w:t>
            </w:r>
            <w:r>
              <w:rPr>
                <w:rFonts w:hint="eastAsia" w:ascii="仿宋" w:hAnsi="仿宋" w:eastAsia="仿宋" w:cs="仿宋"/>
                <w:szCs w:val="21"/>
                <w:highlight w:val="none"/>
              </w:rPr>
              <w:t>指对项目需求理解存在偏差、存在相互矛盾内容、未针对本项目编写等任一情形，不符合项目需求指存在与本项目执行无关的内容、存在相关内容在实际操作中不能运用、使用的工作方法、标准、依据、流程有错误影响方案有效性等任一情形。</w:t>
            </w:r>
          </w:p>
        </w:tc>
        <w:tc>
          <w:tcPr>
            <w:tcW w:w="988" w:type="dxa"/>
            <w:tcBorders>
              <w:top w:val="single" w:color="auto" w:sz="4" w:space="0"/>
              <w:left w:val="single" w:color="auto" w:sz="4" w:space="0"/>
              <w:bottom w:val="single" w:color="auto" w:sz="4" w:space="0"/>
              <w:right w:val="single" w:color="auto" w:sz="4" w:space="0"/>
            </w:tcBorders>
            <w:vAlign w:val="center"/>
          </w:tcPr>
          <w:p w14:paraId="2B6C17BF">
            <w:pPr>
              <w:pStyle w:val="33"/>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8</w:t>
            </w:r>
          </w:p>
        </w:tc>
      </w:tr>
      <w:tr w14:paraId="3A0F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2" w:hRule="atLeast"/>
        </w:trPr>
        <w:tc>
          <w:tcPr>
            <w:tcW w:w="707" w:type="dxa"/>
            <w:vMerge w:val="continue"/>
            <w:tcBorders>
              <w:top w:val="single" w:color="auto" w:sz="4" w:space="0"/>
              <w:left w:val="single" w:color="auto" w:sz="4" w:space="0"/>
              <w:bottom w:val="single" w:color="auto" w:sz="4" w:space="0"/>
              <w:right w:val="single" w:color="auto" w:sz="4" w:space="0"/>
            </w:tcBorders>
            <w:vAlign w:val="center"/>
          </w:tcPr>
          <w:p w14:paraId="5C9E70F0">
            <w:pPr>
              <w:widowControl/>
              <w:adjustRightInd w:val="0"/>
              <w:snapToGrid w:val="0"/>
              <w:jc w:val="center"/>
              <w:rPr>
                <w:rFonts w:hint="eastAsia" w:ascii="仿宋" w:hAnsi="仿宋" w:eastAsia="仿宋" w:cs="仿宋"/>
                <w:szCs w:val="21"/>
                <w:highlight w:val="none"/>
              </w:rPr>
            </w:pPr>
          </w:p>
        </w:tc>
        <w:tc>
          <w:tcPr>
            <w:tcW w:w="1117" w:type="dxa"/>
            <w:tcBorders>
              <w:top w:val="single" w:color="auto" w:sz="4" w:space="0"/>
              <w:left w:val="single" w:color="auto" w:sz="4" w:space="0"/>
              <w:bottom w:val="single" w:color="auto" w:sz="4" w:space="0"/>
              <w:right w:val="single" w:color="auto" w:sz="4" w:space="0"/>
            </w:tcBorders>
            <w:vAlign w:val="center"/>
          </w:tcPr>
          <w:p w14:paraId="74CC210E">
            <w:pPr>
              <w:jc w:val="center"/>
              <w:rPr>
                <w:rFonts w:hint="eastAsia" w:ascii="仿宋" w:hAnsi="仿宋" w:eastAsia="仿宋" w:cs="仿宋"/>
                <w:szCs w:val="21"/>
                <w:highlight w:val="none"/>
              </w:rPr>
            </w:pPr>
            <w:r>
              <w:rPr>
                <w:rFonts w:hint="eastAsia" w:ascii="仿宋" w:hAnsi="仿宋" w:eastAsia="仿宋" w:cs="仿宋"/>
                <w:szCs w:val="21"/>
                <w:highlight w:val="none"/>
              </w:rPr>
              <w:t>成品保护和工程保修方案</w:t>
            </w:r>
          </w:p>
        </w:tc>
        <w:tc>
          <w:tcPr>
            <w:tcW w:w="5967" w:type="dxa"/>
            <w:tcBorders>
              <w:top w:val="single" w:color="auto" w:sz="4" w:space="0"/>
              <w:left w:val="single" w:color="auto" w:sz="4" w:space="0"/>
              <w:bottom w:val="single" w:color="auto" w:sz="4" w:space="0"/>
              <w:right w:val="single" w:color="auto" w:sz="4" w:space="0"/>
            </w:tcBorders>
            <w:vAlign w:val="center"/>
          </w:tcPr>
          <w:p w14:paraId="29262641">
            <w:pPr>
              <w:jc w:val="left"/>
              <w:rPr>
                <w:rFonts w:hint="eastAsia" w:ascii="仿宋" w:hAnsi="仿宋" w:eastAsia="仿宋" w:cs="仿宋"/>
                <w:szCs w:val="21"/>
                <w:highlight w:val="none"/>
              </w:rPr>
            </w:pPr>
            <w:r>
              <w:rPr>
                <w:rFonts w:hint="eastAsia" w:ascii="仿宋" w:hAnsi="仿宋" w:eastAsia="仿宋" w:cs="仿宋"/>
                <w:szCs w:val="21"/>
                <w:highlight w:val="none"/>
              </w:rPr>
              <w:t>提供符合本项目特点的成品保护和工程保修方案，包含但不限于1.成品保护的范围、2.成品保护的技术措施、3.工程保修阶段的整体计划及应对措施。每提供一项描述满足需求、符合实际得2分，每项内容存在</w:t>
            </w:r>
            <w:r>
              <w:rPr>
                <w:rFonts w:hint="eastAsia" w:ascii="仿宋" w:hAnsi="仿宋" w:eastAsia="仿宋" w:cs="仿宋"/>
                <w:kern w:val="0"/>
                <w:szCs w:val="21"/>
                <w:highlight w:val="none"/>
              </w:rPr>
              <w:t>缺陷</w:t>
            </w:r>
            <w:r>
              <w:rPr>
                <w:rFonts w:hint="eastAsia" w:ascii="仿宋" w:hAnsi="仿宋" w:eastAsia="仿宋" w:cs="仿宋"/>
                <w:szCs w:val="21"/>
                <w:highlight w:val="none"/>
              </w:rPr>
              <w:t>或不符合项目需求得1分，没有描述得0分，最多得6分。</w:t>
            </w:r>
          </w:p>
          <w:p w14:paraId="1EE37450">
            <w:pPr>
              <w:rPr>
                <w:rFonts w:hint="eastAsia" w:ascii="仿宋" w:hAnsi="仿宋" w:eastAsia="仿宋" w:cs="仿宋"/>
                <w:szCs w:val="21"/>
                <w:highlight w:val="none"/>
              </w:rPr>
            </w:pPr>
            <w:r>
              <w:rPr>
                <w:rFonts w:hint="eastAsia" w:ascii="仿宋" w:hAnsi="仿宋" w:eastAsia="仿宋" w:cs="仿宋"/>
                <w:kern w:val="0"/>
                <w:szCs w:val="21"/>
                <w:highlight w:val="none"/>
              </w:rPr>
              <w:t>缺陷</w:t>
            </w:r>
            <w:r>
              <w:rPr>
                <w:rFonts w:hint="eastAsia" w:ascii="仿宋" w:hAnsi="仿宋" w:eastAsia="仿宋" w:cs="仿宋"/>
                <w:szCs w:val="21"/>
                <w:highlight w:val="none"/>
              </w:rPr>
              <w:t>指对项目需求理解存在偏差、存在相互矛盾内容、未针对本项目编写等任一情形，不符合项目需求指存在与本项目执行无关的内容、存在相关内容在实际操作中不能运用、使用的工作方法、标准、依据、流程有错误影响方案有效性等任一情形。</w:t>
            </w:r>
          </w:p>
        </w:tc>
        <w:tc>
          <w:tcPr>
            <w:tcW w:w="988" w:type="dxa"/>
            <w:tcBorders>
              <w:top w:val="single" w:color="auto" w:sz="4" w:space="0"/>
              <w:left w:val="single" w:color="auto" w:sz="4" w:space="0"/>
              <w:bottom w:val="single" w:color="auto" w:sz="4" w:space="0"/>
              <w:right w:val="single" w:color="auto" w:sz="4" w:space="0"/>
            </w:tcBorders>
            <w:vAlign w:val="center"/>
          </w:tcPr>
          <w:p w14:paraId="656C252E">
            <w:pPr>
              <w:pStyle w:val="33"/>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6</w:t>
            </w:r>
          </w:p>
        </w:tc>
      </w:tr>
      <w:tr w14:paraId="0E136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3" w:hRule="atLeast"/>
        </w:trPr>
        <w:tc>
          <w:tcPr>
            <w:tcW w:w="707" w:type="dxa"/>
            <w:vMerge w:val="continue"/>
            <w:tcBorders>
              <w:top w:val="single" w:color="auto" w:sz="4" w:space="0"/>
              <w:left w:val="single" w:color="auto" w:sz="4" w:space="0"/>
              <w:bottom w:val="single" w:color="auto" w:sz="4" w:space="0"/>
              <w:right w:val="single" w:color="auto" w:sz="4" w:space="0"/>
            </w:tcBorders>
            <w:vAlign w:val="center"/>
          </w:tcPr>
          <w:p w14:paraId="4F5D935A">
            <w:pPr>
              <w:widowControl/>
              <w:adjustRightInd w:val="0"/>
              <w:snapToGrid w:val="0"/>
              <w:jc w:val="center"/>
              <w:rPr>
                <w:rFonts w:hint="eastAsia" w:ascii="仿宋" w:hAnsi="仿宋" w:eastAsia="仿宋" w:cs="仿宋"/>
                <w:szCs w:val="21"/>
                <w:highlight w:val="none"/>
              </w:rPr>
            </w:pPr>
          </w:p>
        </w:tc>
        <w:tc>
          <w:tcPr>
            <w:tcW w:w="1117" w:type="dxa"/>
            <w:tcBorders>
              <w:top w:val="single" w:color="auto" w:sz="4" w:space="0"/>
              <w:left w:val="single" w:color="auto" w:sz="4" w:space="0"/>
              <w:bottom w:val="single" w:color="auto" w:sz="4" w:space="0"/>
              <w:right w:val="single" w:color="auto" w:sz="4" w:space="0"/>
            </w:tcBorders>
            <w:vAlign w:val="center"/>
          </w:tcPr>
          <w:p w14:paraId="6C36F6D7">
            <w:pPr>
              <w:jc w:val="center"/>
              <w:rPr>
                <w:rFonts w:hint="eastAsia" w:ascii="仿宋" w:hAnsi="仿宋" w:eastAsia="仿宋" w:cs="仿宋"/>
                <w:szCs w:val="21"/>
                <w:highlight w:val="none"/>
              </w:rPr>
            </w:pPr>
            <w:r>
              <w:rPr>
                <w:rFonts w:hint="eastAsia" w:ascii="仿宋" w:hAnsi="仿宋" w:eastAsia="仿宋" w:cs="仿宋"/>
                <w:szCs w:val="21"/>
                <w:highlight w:val="none"/>
              </w:rPr>
              <w:t>售后服务及维保方案</w:t>
            </w:r>
          </w:p>
        </w:tc>
        <w:tc>
          <w:tcPr>
            <w:tcW w:w="5967" w:type="dxa"/>
            <w:tcBorders>
              <w:top w:val="single" w:color="auto" w:sz="4" w:space="0"/>
              <w:left w:val="single" w:color="auto" w:sz="4" w:space="0"/>
              <w:bottom w:val="single" w:color="auto" w:sz="4" w:space="0"/>
              <w:right w:val="single" w:color="auto" w:sz="4" w:space="0"/>
            </w:tcBorders>
            <w:vAlign w:val="center"/>
          </w:tcPr>
          <w:p w14:paraId="64FDE9ED">
            <w:pPr>
              <w:jc w:val="left"/>
              <w:rPr>
                <w:rFonts w:hint="eastAsia" w:ascii="仿宋" w:hAnsi="仿宋" w:eastAsia="仿宋" w:cs="仿宋"/>
                <w:szCs w:val="21"/>
                <w:highlight w:val="none"/>
              </w:rPr>
            </w:pPr>
            <w:r>
              <w:rPr>
                <w:rFonts w:hint="eastAsia" w:ascii="仿宋" w:hAnsi="仿宋" w:eastAsia="仿宋" w:cs="仿宋"/>
                <w:szCs w:val="21"/>
                <w:highlight w:val="none"/>
              </w:rPr>
              <w:t>提供符合本项目特点的售后服务方案及应急预案，包含但不限于1.质保期承诺2.故障响应时间3.巡检计划4.备品备件等每提供一项描述满足需求、符合实际得2分，每项内容存在</w:t>
            </w:r>
            <w:r>
              <w:rPr>
                <w:rFonts w:hint="eastAsia" w:ascii="仿宋" w:hAnsi="仿宋" w:eastAsia="仿宋" w:cs="仿宋"/>
                <w:kern w:val="0"/>
                <w:szCs w:val="21"/>
                <w:highlight w:val="none"/>
              </w:rPr>
              <w:t>缺陷</w:t>
            </w:r>
            <w:r>
              <w:rPr>
                <w:rFonts w:hint="eastAsia" w:ascii="仿宋" w:hAnsi="仿宋" w:eastAsia="仿宋" w:cs="仿宋"/>
                <w:szCs w:val="21"/>
                <w:highlight w:val="none"/>
              </w:rPr>
              <w:t>或不符合项目需求得1分，没有描述得0分，最多得8分。</w:t>
            </w:r>
          </w:p>
          <w:p w14:paraId="1BD200EC">
            <w:pPr>
              <w:rPr>
                <w:rFonts w:hint="eastAsia" w:ascii="仿宋" w:hAnsi="仿宋" w:eastAsia="仿宋" w:cs="仿宋"/>
                <w:szCs w:val="21"/>
                <w:highlight w:val="none"/>
              </w:rPr>
            </w:pPr>
            <w:r>
              <w:rPr>
                <w:rFonts w:hint="eastAsia" w:ascii="仿宋" w:hAnsi="仿宋" w:eastAsia="仿宋" w:cs="仿宋"/>
                <w:kern w:val="0"/>
                <w:szCs w:val="21"/>
                <w:highlight w:val="none"/>
              </w:rPr>
              <w:t>缺陷</w:t>
            </w:r>
            <w:r>
              <w:rPr>
                <w:rFonts w:hint="eastAsia" w:ascii="仿宋" w:hAnsi="仿宋" w:eastAsia="仿宋" w:cs="仿宋"/>
                <w:szCs w:val="21"/>
                <w:highlight w:val="none"/>
              </w:rPr>
              <w:t>指对项目需求理解存在偏差、存在相互矛盾内容、未针对本项目编写等任一情形，不符合项目需求指存在与本项目执行无关的内容、存在相关内容在实际操作中不能运用、使用的工作方法、标准、依据、流程有错误影响方案有效性等任一情形。</w:t>
            </w:r>
          </w:p>
        </w:tc>
        <w:tc>
          <w:tcPr>
            <w:tcW w:w="988" w:type="dxa"/>
            <w:tcBorders>
              <w:top w:val="single" w:color="auto" w:sz="4" w:space="0"/>
              <w:left w:val="single" w:color="auto" w:sz="4" w:space="0"/>
              <w:bottom w:val="single" w:color="auto" w:sz="4" w:space="0"/>
              <w:right w:val="single" w:color="auto" w:sz="4" w:space="0"/>
            </w:tcBorders>
            <w:vAlign w:val="center"/>
          </w:tcPr>
          <w:p w14:paraId="4E1E300C">
            <w:pPr>
              <w:pStyle w:val="33"/>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8</w:t>
            </w:r>
          </w:p>
        </w:tc>
      </w:tr>
      <w:tr w14:paraId="4F7F7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7" w:hRule="atLeast"/>
        </w:trPr>
        <w:tc>
          <w:tcPr>
            <w:tcW w:w="707" w:type="dxa"/>
            <w:vMerge w:val="restart"/>
            <w:tcBorders>
              <w:top w:val="single" w:color="auto" w:sz="4" w:space="0"/>
              <w:left w:val="single" w:color="auto" w:sz="4" w:space="0"/>
              <w:bottom w:val="single" w:color="auto" w:sz="4" w:space="0"/>
              <w:right w:val="single" w:color="auto" w:sz="4" w:space="0"/>
            </w:tcBorders>
            <w:vAlign w:val="center"/>
          </w:tcPr>
          <w:p w14:paraId="72369500">
            <w:pPr>
              <w:pStyle w:val="33"/>
              <w:adjustRightInd w:val="0"/>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商务部分</w:t>
            </w:r>
          </w:p>
        </w:tc>
        <w:tc>
          <w:tcPr>
            <w:tcW w:w="1117" w:type="dxa"/>
            <w:tcBorders>
              <w:top w:val="single" w:color="auto" w:sz="4" w:space="0"/>
              <w:left w:val="single" w:color="auto" w:sz="4" w:space="0"/>
              <w:bottom w:val="single" w:color="auto" w:sz="4" w:space="0"/>
              <w:right w:val="single" w:color="auto" w:sz="4" w:space="0"/>
            </w:tcBorders>
            <w:vAlign w:val="center"/>
          </w:tcPr>
          <w:p w14:paraId="2F1B75B3">
            <w:pPr>
              <w:spacing w:line="320" w:lineRule="exact"/>
              <w:jc w:val="center"/>
              <w:rPr>
                <w:rFonts w:hint="eastAsia" w:ascii="仿宋" w:hAnsi="仿宋" w:eastAsia="仿宋" w:cs="仿宋"/>
                <w:szCs w:val="21"/>
                <w:highlight w:val="none"/>
              </w:rPr>
            </w:pPr>
            <w:r>
              <w:rPr>
                <w:rFonts w:hint="eastAsia" w:ascii="仿宋" w:hAnsi="仿宋" w:eastAsia="仿宋" w:cs="仿宋"/>
                <w:szCs w:val="21"/>
                <w:highlight w:val="none"/>
              </w:rPr>
              <w:t>项目管理人员</w:t>
            </w:r>
          </w:p>
        </w:tc>
        <w:tc>
          <w:tcPr>
            <w:tcW w:w="5967" w:type="dxa"/>
            <w:tcBorders>
              <w:top w:val="single" w:color="auto" w:sz="4" w:space="0"/>
              <w:left w:val="single" w:color="auto" w:sz="4" w:space="0"/>
              <w:bottom w:val="single" w:color="auto" w:sz="4" w:space="0"/>
              <w:right w:val="single" w:color="auto" w:sz="4" w:space="0"/>
            </w:tcBorders>
          </w:tcPr>
          <w:p w14:paraId="28E1D44B">
            <w:pPr>
              <w:spacing w:line="320" w:lineRule="exact"/>
              <w:jc w:val="left"/>
              <w:rPr>
                <w:rFonts w:hint="eastAsia" w:ascii="仿宋" w:hAnsi="仿宋" w:eastAsia="仿宋" w:cs="仿宋"/>
                <w:szCs w:val="21"/>
                <w:highlight w:val="none"/>
              </w:rPr>
            </w:pPr>
            <w:r>
              <w:rPr>
                <w:rFonts w:hint="eastAsia" w:ascii="仿宋" w:hAnsi="仿宋" w:eastAsia="仿宋" w:cs="仿宋"/>
                <w:szCs w:val="21"/>
                <w:highlight w:val="none"/>
              </w:rPr>
              <w:t>技术负责人（中或高级职称证）、施工员（岗位证）、质检员（岗位证）、安全员（岗位证）共计4人4个证。以上人员除特殊标注外，应为供应商自有人员（需提供劳动合同或劳动保险缴费证明，如是退休人员，需提供退休证书及返聘协议），证件齐全得8分，缺一项扣2分，满分8分。</w:t>
            </w:r>
          </w:p>
        </w:tc>
        <w:tc>
          <w:tcPr>
            <w:tcW w:w="988" w:type="dxa"/>
            <w:tcBorders>
              <w:top w:val="single" w:color="auto" w:sz="4" w:space="0"/>
              <w:left w:val="single" w:color="auto" w:sz="4" w:space="0"/>
              <w:bottom w:val="single" w:color="auto" w:sz="4" w:space="0"/>
              <w:right w:val="single" w:color="auto" w:sz="4" w:space="0"/>
            </w:tcBorders>
            <w:vAlign w:val="center"/>
          </w:tcPr>
          <w:p w14:paraId="4C2385B1">
            <w:pPr>
              <w:pStyle w:val="33"/>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8</w:t>
            </w:r>
          </w:p>
        </w:tc>
      </w:tr>
      <w:tr w14:paraId="51DDF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07" w:type="dxa"/>
            <w:vMerge w:val="continue"/>
            <w:tcBorders>
              <w:top w:val="single" w:color="auto" w:sz="4" w:space="0"/>
              <w:left w:val="single" w:color="auto" w:sz="4" w:space="0"/>
              <w:bottom w:val="single" w:color="auto" w:sz="4" w:space="0"/>
              <w:right w:val="single" w:color="auto" w:sz="4" w:space="0"/>
            </w:tcBorders>
            <w:vAlign w:val="center"/>
          </w:tcPr>
          <w:p w14:paraId="3FC3973D">
            <w:pPr>
              <w:widowControl/>
              <w:adjustRightInd w:val="0"/>
              <w:snapToGrid w:val="0"/>
              <w:jc w:val="center"/>
              <w:rPr>
                <w:rFonts w:hint="eastAsia" w:ascii="仿宋" w:hAnsi="仿宋" w:eastAsia="仿宋" w:cs="仿宋"/>
                <w:szCs w:val="21"/>
                <w:highlight w:val="none"/>
              </w:rPr>
            </w:pPr>
          </w:p>
        </w:tc>
        <w:tc>
          <w:tcPr>
            <w:tcW w:w="1117" w:type="dxa"/>
            <w:tcBorders>
              <w:top w:val="single" w:color="auto" w:sz="4" w:space="0"/>
              <w:left w:val="single" w:color="auto" w:sz="4" w:space="0"/>
              <w:bottom w:val="single" w:color="auto" w:sz="4" w:space="0"/>
              <w:right w:val="single" w:color="auto" w:sz="4" w:space="0"/>
            </w:tcBorders>
            <w:vAlign w:val="center"/>
          </w:tcPr>
          <w:p w14:paraId="7784BD08">
            <w:pPr>
              <w:spacing w:line="320" w:lineRule="exact"/>
              <w:jc w:val="center"/>
              <w:rPr>
                <w:rFonts w:hint="eastAsia" w:ascii="仿宋" w:hAnsi="仿宋" w:eastAsia="仿宋" w:cs="仿宋"/>
                <w:szCs w:val="21"/>
                <w:highlight w:val="none"/>
              </w:rPr>
            </w:pPr>
            <w:r>
              <w:rPr>
                <w:rFonts w:hint="eastAsia" w:ascii="仿宋" w:hAnsi="仿宋" w:eastAsia="仿宋" w:cs="仿宋"/>
                <w:szCs w:val="21"/>
                <w:highlight w:val="none"/>
              </w:rPr>
              <w:t>企业业绩</w:t>
            </w:r>
          </w:p>
        </w:tc>
        <w:tc>
          <w:tcPr>
            <w:tcW w:w="5967" w:type="dxa"/>
            <w:tcBorders>
              <w:top w:val="single" w:color="auto" w:sz="4" w:space="0"/>
              <w:left w:val="single" w:color="auto" w:sz="4" w:space="0"/>
              <w:bottom w:val="single" w:color="auto" w:sz="4" w:space="0"/>
              <w:right w:val="single" w:color="auto" w:sz="4" w:space="0"/>
            </w:tcBorders>
            <w:vAlign w:val="center"/>
          </w:tcPr>
          <w:p w14:paraId="660C1171">
            <w:pPr>
              <w:spacing w:line="320" w:lineRule="exact"/>
              <w:jc w:val="left"/>
              <w:rPr>
                <w:rFonts w:hint="eastAsia" w:ascii="仿宋" w:hAnsi="仿宋" w:eastAsia="仿宋" w:cs="仿宋"/>
                <w:szCs w:val="21"/>
                <w:highlight w:val="none"/>
              </w:rPr>
            </w:pPr>
            <w:r>
              <w:rPr>
                <w:rFonts w:hint="eastAsia" w:ascii="仿宋" w:hAnsi="仿宋" w:eastAsia="仿宋" w:cs="仿宋"/>
                <w:szCs w:val="21"/>
                <w:highlight w:val="none"/>
              </w:rPr>
              <w:t>企业（2023年-今）工程业绩每有一项得1分，最多得2分。（须同时提供中标（成交）通知书、施工合同）</w:t>
            </w:r>
          </w:p>
        </w:tc>
        <w:tc>
          <w:tcPr>
            <w:tcW w:w="988" w:type="dxa"/>
            <w:tcBorders>
              <w:top w:val="single" w:color="auto" w:sz="4" w:space="0"/>
              <w:left w:val="single" w:color="auto" w:sz="4" w:space="0"/>
              <w:bottom w:val="single" w:color="auto" w:sz="4" w:space="0"/>
              <w:right w:val="single" w:color="auto" w:sz="4" w:space="0"/>
            </w:tcBorders>
            <w:vAlign w:val="center"/>
          </w:tcPr>
          <w:p w14:paraId="0C2AD7BB">
            <w:pPr>
              <w:pStyle w:val="33"/>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2</w:t>
            </w:r>
          </w:p>
        </w:tc>
      </w:tr>
      <w:tr w14:paraId="12778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707" w:type="dxa"/>
            <w:tcBorders>
              <w:top w:val="single" w:color="auto" w:sz="4" w:space="0"/>
              <w:left w:val="single" w:color="auto" w:sz="4" w:space="0"/>
              <w:bottom w:val="single" w:color="auto" w:sz="4" w:space="0"/>
              <w:right w:val="single" w:color="auto" w:sz="4" w:space="0"/>
            </w:tcBorders>
            <w:vAlign w:val="center"/>
          </w:tcPr>
          <w:p w14:paraId="7D54967A">
            <w:pPr>
              <w:pStyle w:val="33"/>
              <w:adjustRightInd w:val="0"/>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合  计</w:t>
            </w:r>
          </w:p>
        </w:tc>
        <w:tc>
          <w:tcPr>
            <w:tcW w:w="1117" w:type="dxa"/>
            <w:tcBorders>
              <w:top w:val="single" w:color="auto" w:sz="4" w:space="0"/>
              <w:left w:val="single" w:color="auto" w:sz="4" w:space="0"/>
              <w:bottom w:val="single" w:color="auto" w:sz="4" w:space="0"/>
              <w:right w:val="single" w:color="auto" w:sz="4" w:space="0"/>
            </w:tcBorders>
            <w:vAlign w:val="center"/>
          </w:tcPr>
          <w:p w14:paraId="1B620E30">
            <w:pPr>
              <w:pStyle w:val="33"/>
              <w:adjustRightInd w:val="0"/>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w:t>
            </w:r>
          </w:p>
        </w:tc>
        <w:tc>
          <w:tcPr>
            <w:tcW w:w="5967" w:type="dxa"/>
            <w:tcBorders>
              <w:top w:val="single" w:color="auto" w:sz="4" w:space="0"/>
              <w:left w:val="single" w:color="auto" w:sz="4" w:space="0"/>
              <w:bottom w:val="single" w:color="auto" w:sz="4" w:space="0"/>
              <w:right w:val="single" w:color="auto" w:sz="4" w:space="0"/>
            </w:tcBorders>
            <w:vAlign w:val="center"/>
          </w:tcPr>
          <w:p w14:paraId="5E4F5F82">
            <w:pPr>
              <w:pStyle w:val="33"/>
              <w:adjustRightInd w:val="0"/>
              <w:snapToGrid w:val="0"/>
              <w:spacing w:before="0" w:beforeAutospacing="0" w:after="0" w:afterAutospacing="0"/>
              <w:jc w:val="center"/>
              <w:rPr>
                <w:rFonts w:hint="eastAsia" w:ascii="仿宋" w:hAnsi="仿宋" w:eastAsia="仿宋" w:cs="仿宋"/>
                <w:kern w:val="2"/>
                <w:sz w:val="21"/>
                <w:szCs w:val="21"/>
                <w:highlight w:val="none"/>
              </w:rPr>
            </w:pPr>
          </w:p>
        </w:tc>
        <w:tc>
          <w:tcPr>
            <w:tcW w:w="988" w:type="dxa"/>
            <w:tcBorders>
              <w:top w:val="single" w:color="auto" w:sz="4" w:space="0"/>
              <w:left w:val="single" w:color="auto" w:sz="4" w:space="0"/>
              <w:bottom w:val="single" w:color="auto" w:sz="4" w:space="0"/>
              <w:right w:val="single" w:color="auto" w:sz="4" w:space="0"/>
            </w:tcBorders>
            <w:vAlign w:val="center"/>
          </w:tcPr>
          <w:p w14:paraId="20F18FDB">
            <w:pPr>
              <w:pStyle w:val="33"/>
              <w:adjustRightInd w:val="0"/>
              <w:snapToGrid w:val="0"/>
              <w:spacing w:before="0" w:beforeAutospacing="0" w:after="0" w:afterAutospacing="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100</w:t>
            </w:r>
          </w:p>
        </w:tc>
      </w:tr>
    </w:tbl>
    <w:p w14:paraId="7C843D69">
      <w:pPr>
        <w:rPr>
          <w:rFonts w:hint="eastAsia" w:ascii="仿宋" w:hAnsi="仿宋" w:eastAsia="仿宋" w:cs="仿宋"/>
          <w:b/>
          <w:szCs w:val="21"/>
          <w:highlight w:val="none"/>
        </w:rPr>
      </w:pPr>
    </w:p>
    <w:p w14:paraId="307C5524">
      <w:pPr>
        <w:pStyle w:val="2"/>
        <w:adjustRightInd w:val="0"/>
        <w:snapToGrid w:val="0"/>
        <w:spacing w:before="0" w:after="0" w:line="360" w:lineRule="auto"/>
        <w:jc w:val="center"/>
        <w:rPr>
          <w:rFonts w:hint="eastAsia" w:ascii="仿宋" w:hAnsi="仿宋" w:eastAsia="仿宋" w:cs="仿宋"/>
          <w:sz w:val="36"/>
          <w:szCs w:val="36"/>
          <w:highlight w:val="none"/>
        </w:rPr>
      </w:pPr>
      <w:bookmarkStart w:id="159" w:name="_Toc4485696"/>
      <w:bookmarkStart w:id="160" w:name="_Toc45552358"/>
      <w:r>
        <w:rPr>
          <w:rFonts w:hint="eastAsia" w:ascii="仿宋" w:hAnsi="仿宋" w:eastAsia="仿宋" w:cs="仿宋"/>
          <w:b w:val="0"/>
          <w:bCs/>
          <w:sz w:val="36"/>
          <w:szCs w:val="36"/>
          <w:highlight w:val="none"/>
        </w:rPr>
        <w:br w:type="page"/>
      </w:r>
      <w:r>
        <w:rPr>
          <w:rFonts w:hint="eastAsia" w:ascii="仿宋" w:hAnsi="仿宋" w:eastAsia="仿宋" w:cs="仿宋"/>
          <w:b w:val="0"/>
          <w:bCs/>
          <w:sz w:val="36"/>
          <w:szCs w:val="36"/>
          <w:highlight w:val="none"/>
        </w:rPr>
        <w:t xml:space="preserve">第六章 </w:t>
      </w:r>
      <w:bookmarkEnd w:id="159"/>
      <w:r>
        <w:rPr>
          <w:rFonts w:hint="eastAsia" w:ascii="仿宋" w:hAnsi="仿宋" w:eastAsia="仿宋" w:cs="仿宋"/>
          <w:b w:val="0"/>
          <w:bCs/>
          <w:sz w:val="36"/>
          <w:szCs w:val="36"/>
          <w:highlight w:val="none"/>
        </w:rPr>
        <w:t>政府采购合同条款及格式</w:t>
      </w:r>
      <w:bookmarkEnd w:id="160"/>
    </w:p>
    <w:p w14:paraId="2D3B8FEA">
      <w:pPr>
        <w:adjustRightInd w:val="0"/>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（以下内容仅供参考，采购文件中应提供拟签订的合同文本）</w:t>
      </w:r>
    </w:p>
    <w:p w14:paraId="79BB7F7E">
      <w:pPr>
        <w:adjustRightInd w:val="0"/>
        <w:snapToGrid w:val="0"/>
        <w:spacing w:line="360" w:lineRule="auto"/>
        <w:jc w:val="left"/>
        <w:rPr>
          <w:rFonts w:hint="eastAsia" w:ascii="仿宋" w:hAnsi="仿宋" w:eastAsia="仿宋" w:cs="仿宋"/>
          <w:b/>
          <w:sz w:val="44"/>
          <w:szCs w:val="44"/>
          <w:highlight w:val="none"/>
        </w:rPr>
      </w:pPr>
    </w:p>
    <w:p w14:paraId="7EB9BEA7">
      <w:pPr>
        <w:adjustRightInd w:val="0"/>
        <w:snapToGrid w:val="0"/>
        <w:spacing w:line="360" w:lineRule="auto"/>
        <w:jc w:val="left"/>
        <w:rPr>
          <w:rFonts w:hint="eastAsia" w:ascii="仿宋" w:hAnsi="仿宋" w:eastAsia="仿宋" w:cs="仿宋"/>
          <w:bCs/>
          <w:sz w:val="32"/>
          <w:szCs w:val="32"/>
          <w:highlight w:val="none"/>
        </w:rPr>
      </w:pPr>
      <w:r>
        <w:rPr>
          <w:rFonts w:hint="eastAsia" w:ascii="仿宋" w:hAnsi="仿宋" w:eastAsia="仿宋" w:cs="仿宋"/>
          <w:b/>
          <w:sz w:val="44"/>
          <w:szCs w:val="44"/>
          <w:highlight w:val="none"/>
        </w:rPr>
        <w:br w:type="page"/>
      </w:r>
      <w:r>
        <w:rPr>
          <w:rFonts w:hint="eastAsia" w:ascii="仿宋" w:hAnsi="仿宋" w:eastAsia="仿宋" w:cs="仿宋"/>
          <w:bCs/>
          <w:sz w:val="32"/>
          <w:szCs w:val="32"/>
          <w:highlight w:val="none"/>
        </w:rPr>
        <w:t>(GF—2017—0201)</w:t>
      </w:r>
    </w:p>
    <w:p w14:paraId="637DF609">
      <w:pPr>
        <w:adjustRightInd w:val="0"/>
        <w:snapToGrid w:val="0"/>
        <w:spacing w:line="360" w:lineRule="auto"/>
        <w:jc w:val="center"/>
        <w:rPr>
          <w:rFonts w:hint="eastAsia" w:ascii="仿宋" w:hAnsi="仿宋" w:eastAsia="仿宋" w:cs="仿宋"/>
          <w:b/>
          <w:sz w:val="52"/>
          <w:szCs w:val="52"/>
          <w:highlight w:val="none"/>
        </w:rPr>
      </w:pPr>
    </w:p>
    <w:p w14:paraId="08434EEB">
      <w:pPr>
        <w:adjustRightInd w:val="0"/>
        <w:snapToGrid w:val="0"/>
        <w:spacing w:line="360" w:lineRule="auto"/>
        <w:jc w:val="center"/>
        <w:rPr>
          <w:rFonts w:hint="eastAsia" w:ascii="仿宋" w:hAnsi="仿宋" w:eastAsia="仿宋" w:cs="仿宋"/>
          <w:b/>
          <w:sz w:val="72"/>
          <w:szCs w:val="72"/>
          <w:highlight w:val="none"/>
        </w:rPr>
      </w:pPr>
    </w:p>
    <w:p w14:paraId="74297498">
      <w:pPr>
        <w:adjustRightInd w:val="0"/>
        <w:snapToGrid w:val="0"/>
        <w:spacing w:line="360" w:lineRule="auto"/>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t>建设工程施工合同</w:t>
      </w:r>
      <w:r>
        <w:rPr>
          <w:rFonts w:hint="eastAsia" w:ascii="仿宋" w:hAnsi="仿宋" w:eastAsia="仿宋" w:cs="仿宋"/>
          <w:b/>
          <w:sz w:val="52"/>
          <w:szCs w:val="52"/>
          <w:highlight w:val="none"/>
        </w:rPr>
        <w:br w:type="textWrapping"/>
      </w:r>
      <w:r>
        <w:rPr>
          <w:rFonts w:hint="eastAsia" w:ascii="仿宋" w:hAnsi="仿宋" w:eastAsia="仿宋" w:cs="仿宋"/>
          <w:b/>
          <w:sz w:val="52"/>
          <w:szCs w:val="52"/>
          <w:highlight w:val="none"/>
        </w:rPr>
        <w:t>（示范文本）</w:t>
      </w:r>
    </w:p>
    <w:p w14:paraId="63B64EB3">
      <w:pPr>
        <w:adjustRightInd w:val="0"/>
        <w:snapToGrid w:val="0"/>
        <w:spacing w:line="360" w:lineRule="auto"/>
        <w:jc w:val="center"/>
        <w:rPr>
          <w:rFonts w:hint="eastAsia" w:ascii="仿宋" w:hAnsi="仿宋" w:eastAsia="仿宋" w:cs="仿宋"/>
          <w:b/>
          <w:sz w:val="72"/>
          <w:szCs w:val="72"/>
          <w:highlight w:val="none"/>
        </w:rPr>
      </w:pPr>
    </w:p>
    <w:p w14:paraId="10B5A6F9">
      <w:pPr>
        <w:adjustRightInd w:val="0"/>
        <w:snapToGrid w:val="0"/>
        <w:spacing w:line="360" w:lineRule="auto"/>
        <w:jc w:val="center"/>
        <w:rPr>
          <w:rFonts w:hint="eastAsia" w:ascii="仿宋" w:hAnsi="仿宋" w:eastAsia="仿宋" w:cs="仿宋"/>
          <w:b/>
          <w:sz w:val="72"/>
          <w:szCs w:val="72"/>
          <w:highlight w:val="none"/>
        </w:rPr>
      </w:pPr>
    </w:p>
    <w:p w14:paraId="006CFFDB">
      <w:pPr>
        <w:adjustRightInd w:val="0"/>
        <w:snapToGrid w:val="0"/>
        <w:spacing w:line="360" w:lineRule="auto"/>
        <w:jc w:val="center"/>
        <w:rPr>
          <w:rFonts w:hint="eastAsia" w:ascii="仿宋" w:hAnsi="仿宋" w:eastAsia="仿宋" w:cs="仿宋"/>
          <w:b/>
          <w:sz w:val="72"/>
          <w:szCs w:val="72"/>
          <w:highlight w:val="none"/>
        </w:rPr>
      </w:pPr>
    </w:p>
    <w:p w14:paraId="1C5D1B26">
      <w:pPr>
        <w:adjustRightInd w:val="0"/>
        <w:snapToGrid w:val="0"/>
        <w:spacing w:line="360" w:lineRule="auto"/>
        <w:jc w:val="center"/>
        <w:rPr>
          <w:rFonts w:hint="eastAsia" w:ascii="仿宋" w:hAnsi="仿宋" w:eastAsia="仿宋" w:cs="仿宋"/>
          <w:b/>
          <w:sz w:val="72"/>
          <w:szCs w:val="72"/>
          <w:highlight w:val="none"/>
        </w:rPr>
      </w:pPr>
    </w:p>
    <w:p w14:paraId="0C65CC99">
      <w:pPr>
        <w:adjustRightInd w:val="0"/>
        <w:snapToGrid w:val="0"/>
        <w:spacing w:line="360" w:lineRule="auto"/>
        <w:rPr>
          <w:rFonts w:hint="eastAsia" w:ascii="仿宋" w:hAnsi="仿宋" w:eastAsia="仿宋" w:cs="仿宋"/>
          <w:b/>
          <w:sz w:val="28"/>
          <w:szCs w:val="28"/>
          <w:highlight w:val="none"/>
        </w:rPr>
      </w:pPr>
    </w:p>
    <w:p w14:paraId="439F1B46">
      <w:pPr>
        <w:adjustRightInd w:val="0"/>
        <w:snapToGrid w:val="0"/>
        <w:spacing w:line="360" w:lineRule="auto"/>
        <w:rPr>
          <w:rFonts w:hint="eastAsia" w:ascii="仿宋" w:hAnsi="仿宋" w:eastAsia="仿宋" w:cs="仿宋"/>
          <w:b/>
          <w:sz w:val="28"/>
          <w:szCs w:val="28"/>
          <w:highlight w:val="none"/>
        </w:rPr>
      </w:pPr>
    </w:p>
    <w:p w14:paraId="239C66B7">
      <w:pPr>
        <w:adjustRightInd w:val="0"/>
        <w:snapToGrid w:val="0"/>
        <w:spacing w:line="360" w:lineRule="auto"/>
        <w:ind w:right="2719" w:rightChars="1295"/>
        <w:rPr>
          <w:rFonts w:hint="eastAsia" w:ascii="仿宋" w:hAnsi="仿宋" w:eastAsia="仿宋" w:cs="仿宋"/>
          <w:b/>
          <w:sz w:val="32"/>
          <w:szCs w:val="28"/>
          <w:highlight w:val="none"/>
        </w:rPr>
      </w:pPr>
      <w:r>
        <w:rPr>
          <w:rFonts w:hint="eastAsia" w:ascii="仿宋" w:hAnsi="仿宋" w:eastAsia="仿宋" w:cs="仿宋"/>
          <w:highlight w:val="none"/>
        </w:rPr>
        <w:pict>
          <v:shape id="文本框 2" o:spid="_x0000_s1029" o:spt="202" type="#_x0000_t202" style="position:absolute;left:0pt;margin-left:304.85pt;margin-top:9.45pt;height:36pt;width:122.95pt;z-index:251660288;mso-width-relative:page;mso-height-relative:page;" filled="f" stroked="t" coordsize="21600,21600">
            <v:path/>
            <v:fill on="f" focussize="0,0"/>
            <v:stroke color="#FFFFFF" joinstyle="miter"/>
            <v:imagedata o:title=""/>
            <o:lock v:ext="edit"/>
            <v:textbox>
              <w:txbxContent>
                <w:p w14:paraId="13472A02">
                  <w:pPr>
                    <w:rPr>
                      <w:rFonts w:hint="eastAsia"/>
                      <w:b/>
                      <w:bCs/>
                      <w:sz w:val="32"/>
                    </w:rPr>
                  </w:pPr>
                  <w:r>
                    <w:rPr>
                      <w:rFonts w:hint="eastAsia"/>
                      <w:b/>
                      <w:bCs/>
                      <w:sz w:val="32"/>
                    </w:rPr>
                    <w:t>制定</w:t>
                  </w:r>
                </w:p>
              </w:txbxContent>
            </v:textbox>
          </v:shape>
        </w:pict>
      </w:r>
      <w:r>
        <w:rPr>
          <w:rFonts w:hint="eastAsia" w:ascii="仿宋" w:hAnsi="仿宋" w:eastAsia="仿宋" w:cs="仿宋"/>
          <w:b/>
          <w:sz w:val="32"/>
          <w:szCs w:val="28"/>
          <w:highlight w:val="none"/>
        </w:rPr>
        <w:t xml:space="preserve">                住房城乡建设部</w:t>
      </w:r>
    </w:p>
    <w:p w14:paraId="565B235B">
      <w:pPr>
        <w:adjustRightInd w:val="0"/>
        <w:snapToGrid w:val="0"/>
        <w:spacing w:line="360" w:lineRule="auto"/>
        <w:ind w:right="2719" w:rightChars="1295"/>
        <w:rPr>
          <w:rFonts w:hint="eastAsia" w:ascii="仿宋" w:hAnsi="仿宋" w:eastAsia="仿宋" w:cs="仿宋"/>
          <w:b/>
          <w:sz w:val="32"/>
          <w:szCs w:val="28"/>
          <w:highlight w:val="none"/>
        </w:rPr>
      </w:pPr>
      <w:r>
        <w:rPr>
          <w:rFonts w:hint="eastAsia" w:ascii="仿宋" w:hAnsi="仿宋" w:eastAsia="仿宋" w:cs="仿宋"/>
          <w:b/>
          <w:sz w:val="32"/>
          <w:szCs w:val="28"/>
          <w:highlight w:val="none"/>
        </w:rPr>
        <w:t xml:space="preserve">             国家工商行政管理总局</w:t>
      </w:r>
    </w:p>
    <w:p w14:paraId="6BB22385">
      <w:pPr>
        <w:adjustRightInd w:val="0"/>
        <w:snapToGrid w:val="0"/>
        <w:spacing w:line="360" w:lineRule="auto"/>
        <w:rPr>
          <w:rFonts w:hint="eastAsia" w:ascii="仿宋" w:hAnsi="仿宋" w:eastAsia="仿宋" w:cs="仿宋"/>
          <w:b/>
          <w:highlight w:val="none"/>
        </w:rPr>
      </w:pPr>
    </w:p>
    <w:p w14:paraId="507AFF15">
      <w:pPr>
        <w:pStyle w:val="119"/>
        <w:adjustRightInd w:val="0"/>
        <w:snapToGrid w:val="0"/>
        <w:spacing w:before="0" w:after="0" w:line="360" w:lineRule="auto"/>
        <w:jc w:val="center"/>
        <w:outlineLvl w:val="1"/>
        <w:rPr>
          <w:rFonts w:hint="eastAsia" w:ascii="仿宋" w:hAnsi="仿宋" w:eastAsia="仿宋" w:cs="仿宋"/>
          <w:sz w:val="36"/>
          <w:szCs w:val="36"/>
          <w:highlight w:val="none"/>
          <w:lang w:val="zh-CN"/>
        </w:rPr>
      </w:pPr>
      <w:r>
        <w:rPr>
          <w:rFonts w:hint="eastAsia" w:ascii="仿宋" w:hAnsi="仿宋" w:eastAsia="仿宋" w:cs="仿宋"/>
          <w:b w:val="0"/>
          <w:sz w:val="24"/>
          <w:szCs w:val="24"/>
          <w:highlight w:val="none"/>
        </w:rPr>
        <w:br w:type="page"/>
      </w:r>
      <w:bookmarkStart w:id="161" w:name="_Toc18444"/>
      <w:bookmarkStart w:id="162" w:name="_Toc45552359"/>
      <w:bookmarkStart w:id="163" w:name="_Toc28768"/>
      <w:r>
        <w:rPr>
          <w:rFonts w:hint="eastAsia" w:ascii="仿宋" w:hAnsi="仿宋" w:eastAsia="仿宋" w:cs="仿宋"/>
          <w:sz w:val="36"/>
          <w:szCs w:val="36"/>
          <w:highlight w:val="none"/>
          <w:lang w:val="zh-CN"/>
        </w:rPr>
        <w:t>说  明</w:t>
      </w:r>
      <w:bookmarkEnd w:id="161"/>
      <w:bookmarkEnd w:id="162"/>
      <w:bookmarkEnd w:id="163"/>
    </w:p>
    <w:p w14:paraId="1A48A01F">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1C4589D4">
      <w:pPr>
        <w:adjustRightInd w:val="0"/>
        <w:snapToGrid w:val="0"/>
        <w:spacing w:line="360" w:lineRule="auto"/>
        <w:ind w:firstLine="480" w:firstLineChars="200"/>
        <w:rPr>
          <w:rFonts w:hint="eastAsia" w:ascii="仿宋" w:hAnsi="仿宋" w:eastAsia="仿宋" w:cs="仿宋"/>
          <w:bCs/>
          <w:sz w:val="24"/>
          <w:highlight w:val="none"/>
        </w:rPr>
      </w:pPr>
      <w:bookmarkStart w:id="164" w:name="_Toc19540"/>
      <w:bookmarkStart w:id="165" w:name="_Toc45552360"/>
      <w:bookmarkStart w:id="166" w:name="_Toc2100"/>
      <w:r>
        <w:rPr>
          <w:rFonts w:hint="eastAsia" w:ascii="仿宋" w:hAnsi="仿宋" w:eastAsia="仿宋" w:cs="仿宋"/>
          <w:bCs/>
          <w:sz w:val="24"/>
          <w:highlight w:val="none"/>
        </w:rPr>
        <w:t>一、《示范文本》的组成</w:t>
      </w:r>
      <w:bookmarkEnd w:id="164"/>
      <w:bookmarkEnd w:id="165"/>
      <w:bookmarkEnd w:id="166"/>
    </w:p>
    <w:p w14:paraId="3CFDBE6B">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《示范文本》由合同协议书、通用合同条款和专用合同条款三部分组成。</w:t>
      </w:r>
    </w:p>
    <w:p w14:paraId="24CAF983">
      <w:pPr>
        <w:adjustRightInd w:val="0"/>
        <w:snapToGrid w:val="0"/>
        <w:spacing w:line="360" w:lineRule="auto"/>
        <w:ind w:firstLine="480" w:firstLineChars="200"/>
        <w:rPr>
          <w:rFonts w:hint="eastAsia" w:ascii="仿宋" w:hAnsi="仿宋" w:eastAsia="仿宋" w:cs="仿宋"/>
          <w:sz w:val="24"/>
          <w:highlight w:val="none"/>
        </w:rPr>
      </w:pPr>
      <w:bookmarkStart w:id="167" w:name="_Toc17296"/>
      <w:bookmarkStart w:id="168" w:name="_Toc45552361"/>
      <w:bookmarkStart w:id="169" w:name="_Toc15680"/>
      <w:r>
        <w:rPr>
          <w:rFonts w:hint="eastAsia" w:ascii="仿宋" w:hAnsi="仿宋" w:eastAsia="仿宋" w:cs="仿宋"/>
          <w:sz w:val="24"/>
          <w:highlight w:val="none"/>
        </w:rPr>
        <w:t>（一）合同协议书</w:t>
      </w:r>
      <w:bookmarkEnd w:id="167"/>
      <w:bookmarkEnd w:id="168"/>
      <w:bookmarkEnd w:id="169"/>
    </w:p>
    <w:p w14:paraId="4EB22C7D">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49865342">
      <w:pPr>
        <w:adjustRightInd w:val="0"/>
        <w:snapToGrid w:val="0"/>
        <w:spacing w:line="360" w:lineRule="auto"/>
        <w:ind w:firstLine="480" w:firstLineChars="200"/>
        <w:rPr>
          <w:rFonts w:hint="eastAsia" w:ascii="仿宋" w:hAnsi="仿宋" w:eastAsia="仿宋" w:cs="仿宋"/>
          <w:sz w:val="24"/>
          <w:highlight w:val="none"/>
        </w:rPr>
      </w:pPr>
      <w:bookmarkStart w:id="170" w:name="_Toc18500"/>
      <w:bookmarkStart w:id="171" w:name="_Toc8001"/>
      <w:bookmarkStart w:id="172" w:name="_Toc45552362"/>
      <w:r>
        <w:rPr>
          <w:rFonts w:hint="eastAsia" w:ascii="仿宋" w:hAnsi="仿宋" w:eastAsia="仿宋" w:cs="仿宋"/>
          <w:sz w:val="24"/>
          <w:highlight w:val="none"/>
        </w:rPr>
        <w:t>（二）通用合同条款</w:t>
      </w:r>
      <w:bookmarkEnd w:id="170"/>
      <w:bookmarkEnd w:id="171"/>
      <w:bookmarkEnd w:id="172"/>
    </w:p>
    <w:p w14:paraId="7848097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通用合同条款是合同当事人根据《中华人民共和国建筑法》、《中华人民共和国民法典》等法律法规的规定，就工程建设的实施及相关事项，对合同当事人的权利义务作出的原则性约定。</w:t>
      </w:r>
    </w:p>
    <w:p w14:paraId="5BCF816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20ABB37D">
      <w:pPr>
        <w:adjustRightInd w:val="0"/>
        <w:snapToGrid w:val="0"/>
        <w:spacing w:line="360" w:lineRule="auto"/>
        <w:ind w:firstLine="480" w:firstLineChars="200"/>
        <w:rPr>
          <w:rFonts w:hint="eastAsia" w:ascii="仿宋" w:hAnsi="仿宋" w:eastAsia="仿宋" w:cs="仿宋"/>
          <w:sz w:val="24"/>
          <w:highlight w:val="none"/>
        </w:rPr>
      </w:pPr>
      <w:bookmarkStart w:id="173" w:name="_Toc18609"/>
      <w:bookmarkStart w:id="174" w:name="_Toc45552363"/>
      <w:bookmarkStart w:id="175" w:name="_Toc24560"/>
      <w:r>
        <w:rPr>
          <w:rFonts w:hint="eastAsia" w:ascii="仿宋" w:hAnsi="仿宋" w:eastAsia="仿宋" w:cs="仿宋"/>
          <w:sz w:val="24"/>
          <w:highlight w:val="none"/>
        </w:rPr>
        <w:t>（三）专用合同条款</w:t>
      </w:r>
      <w:bookmarkEnd w:id="173"/>
      <w:bookmarkEnd w:id="174"/>
      <w:bookmarkEnd w:id="175"/>
    </w:p>
    <w:p w14:paraId="10B278D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34DBF185">
      <w:pPr>
        <w:adjustRightInd w:val="0"/>
        <w:snapToGrid w:val="0"/>
        <w:spacing w:line="360" w:lineRule="auto"/>
        <w:ind w:right="25" w:rightChars="12" w:firstLine="480" w:firstLineChars="200"/>
        <w:rPr>
          <w:rFonts w:hint="eastAsia" w:ascii="仿宋" w:hAnsi="仿宋" w:eastAsia="仿宋" w:cs="仿宋"/>
          <w:sz w:val="24"/>
          <w:highlight w:val="none"/>
        </w:rPr>
      </w:pPr>
      <w:r>
        <w:rPr>
          <w:rFonts w:hint="eastAsia" w:ascii="仿宋" w:hAnsi="仿宋" w:eastAsia="仿宋" w:cs="仿宋"/>
          <w:sz w:val="24"/>
          <w:highlight w:val="none"/>
        </w:rPr>
        <w:t>1.专用合同条款的编号应与相应的通用合同条款的编号一致；</w:t>
      </w:r>
    </w:p>
    <w:p w14:paraId="63C27B19">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2.合同当事人可以通过对专用合同条款的修改，满足具体建设工程的特殊要求，避免直接修改通用合同条款；</w:t>
      </w:r>
    </w:p>
    <w:p w14:paraId="53D63BBE">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3.在专用合同条款中有横道线的地方，合同当事人可针对相应的通用合同条款进行细化、完善、补充、修改或另行约定；如无细化、完善、补充、修改或另行约定，则填写“无”或划“/”。</w:t>
      </w:r>
    </w:p>
    <w:p w14:paraId="4681F1CF">
      <w:pPr>
        <w:adjustRightInd w:val="0"/>
        <w:snapToGrid w:val="0"/>
        <w:spacing w:line="360" w:lineRule="auto"/>
        <w:ind w:firstLine="480" w:firstLineChars="200"/>
        <w:rPr>
          <w:rFonts w:hint="eastAsia" w:ascii="仿宋" w:hAnsi="仿宋" w:eastAsia="仿宋" w:cs="仿宋"/>
          <w:b/>
          <w:sz w:val="24"/>
          <w:highlight w:val="none"/>
        </w:rPr>
      </w:pPr>
      <w:bookmarkStart w:id="176" w:name="_Toc17197"/>
      <w:bookmarkStart w:id="177" w:name="_Toc45552364"/>
      <w:bookmarkStart w:id="178" w:name="_Toc6866"/>
      <w:r>
        <w:rPr>
          <w:rFonts w:hint="eastAsia" w:ascii="仿宋" w:hAnsi="仿宋" w:eastAsia="仿宋" w:cs="仿宋"/>
          <w:bCs/>
          <w:sz w:val="24"/>
          <w:highlight w:val="none"/>
        </w:rPr>
        <w:t>二、《示范文本》的性质和适用范围</w:t>
      </w:r>
      <w:bookmarkEnd w:id="176"/>
      <w:bookmarkEnd w:id="177"/>
      <w:bookmarkEnd w:id="178"/>
    </w:p>
    <w:p w14:paraId="5D06E7BB">
      <w:pPr>
        <w:adjustRightInd w:val="0"/>
        <w:snapToGrid w:val="0"/>
        <w:spacing w:line="360" w:lineRule="auto"/>
        <w:ind w:firstLine="480" w:firstLineChars="200"/>
        <w:rPr>
          <w:rFonts w:hint="eastAsia" w:ascii="仿宋" w:hAnsi="仿宋" w:eastAsia="仿宋" w:cs="仿宋"/>
          <w:sz w:val="24"/>
          <w:highlight w:val="none"/>
        </w:rPr>
        <w:sectPr>
          <w:pgSz w:w="11906" w:h="16838"/>
          <w:pgMar w:top="1135" w:right="1803" w:bottom="1276" w:left="1803" w:header="851" w:footer="992" w:gutter="0"/>
          <w:cols w:space="720" w:num="1"/>
          <w:docGrid w:type="lines" w:linePitch="312" w:charSpace="0"/>
        </w:sectPr>
      </w:pPr>
      <w:r>
        <w:rPr>
          <w:rFonts w:hint="eastAsia" w:ascii="仿宋" w:hAnsi="仿宋" w:eastAsia="仿宋" w:cs="仿宋"/>
          <w:sz w:val="24"/>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26C3FD16">
      <w:pPr>
        <w:pStyle w:val="117"/>
        <w:adjustRightInd w:val="0"/>
        <w:snapToGrid w:val="0"/>
        <w:spacing w:before="0" w:after="0" w:line="360" w:lineRule="auto"/>
        <w:jc w:val="center"/>
        <w:outlineLvl w:val="1"/>
        <w:rPr>
          <w:rFonts w:hint="eastAsia" w:ascii="仿宋" w:hAnsi="仿宋" w:eastAsia="仿宋" w:cs="仿宋"/>
          <w:b w:val="0"/>
          <w:sz w:val="24"/>
          <w:szCs w:val="24"/>
          <w:highlight w:val="none"/>
        </w:rPr>
      </w:pPr>
      <w:bookmarkStart w:id="179" w:name="_Toc455465429"/>
      <w:bookmarkStart w:id="180" w:name="_Toc453921443"/>
      <w:bookmarkStart w:id="181" w:name="_Toc462649361"/>
      <w:bookmarkStart w:id="182" w:name="_Toc500331911"/>
      <w:bookmarkStart w:id="183" w:name="_Toc500331804"/>
      <w:r>
        <w:rPr>
          <w:rFonts w:hint="eastAsia" w:ascii="仿宋" w:hAnsi="仿宋" w:eastAsia="仿宋" w:cs="仿宋"/>
          <w:sz w:val="24"/>
          <w:szCs w:val="24"/>
          <w:highlight w:val="none"/>
        </w:rPr>
        <w:t>第一部分 合同协议书</w:t>
      </w:r>
      <w:bookmarkEnd w:id="179"/>
      <w:bookmarkEnd w:id="180"/>
      <w:bookmarkEnd w:id="181"/>
      <w:bookmarkEnd w:id="182"/>
      <w:bookmarkEnd w:id="183"/>
    </w:p>
    <w:p w14:paraId="3EC5E987">
      <w:pPr>
        <w:pStyle w:val="118"/>
        <w:adjustRightInd w:val="0"/>
        <w:snapToGrid w:val="0"/>
        <w:spacing w:line="360" w:lineRule="auto"/>
        <w:rPr>
          <w:rFonts w:hint="eastAsia" w:ascii="仿宋" w:hAnsi="仿宋" w:eastAsia="仿宋" w:cs="仿宋"/>
          <w:b/>
          <w:sz w:val="21"/>
          <w:szCs w:val="21"/>
          <w:highlight w:val="none"/>
        </w:rPr>
      </w:pPr>
    </w:p>
    <w:p w14:paraId="516E1ADC">
      <w:pPr>
        <w:pStyle w:val="118"/>
        <w:adjustRightInd w:val="0"/>
        <w:snapToGrid w:val="0"/>
        <w:spacing w:line="360"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发包人（全称）：</w:t>
      </w:r>
      <w:r>
        <w:rPr>
          <w:rFonts w:hint="eastAsia" w:ascii="仿宋" w:hAnsi="仿宋" w:eastAsia="仿宋" w:cs="仿宋"/>
          <w:b/>
          <w:sz w:val="24"/>
          <w:szCs w:val="24"/>
          <w:highlight w:val="none"/>
          <w:u w:val="single"/>
        </w:rPr>
        <w:t xml:space="preserve">                                        </w:t>
      </w:r>
    </w:p>
    <w:p w14:paraId="78CC0A3A">
      <w:pPr>
        <w:pStyle w:val="118"/>
        <w:adjustRightInd w:val="0"/>
        <w:snapToGrid w:val="0"/>
        <w:spacing w:line="360"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承包人（全称）：</w:t>
      </w:r>
      <w:r>
        <w:rPr>
          <w:rFonts w:hint="eastAsia" w:ascii="仿宋" w:hAnsi="仿宋" w:eastAsia="仿宋" w:cs="仿宋"/>
          <w:b/>
          <w:sz w:val="24"/>
          <w:szCs w:val="24"/>
          <w:highlight w:val="none"/>
          <w:u w:val="single"/>
        </w:rPr>
        <w:t xml:space="preserve">                                        </w:t>
      </w:r>
    </w:p>
    <w:p w14:paraId="13BAFCFA">
      <w:pPr>
        <w:pStyle w:val="118"/>
        <w:wordWrap w:val="0"/>
        <w:adjustRightInd w:val="0"/>
        <w:snapToGrid w:val="0"/>
        <w:spacing w:line="360" w:lineRule="auto"/>
        <w:ind w:firstLine="482"/>
        <w:rPr>
          <w:rFonts w:hint="eastAsia" w:ascii="仿宋" w:hAnsi="仿宋" w:eastAsia="仿宋" w:cs="仿宋"/>
          <w:sz w:val="24"/>
          <w:szCs w:val="24"/>
          <w:highlight w:val="none"/>
        </w:rPr>
      </w:pPr>
      <w:r>
        <w:rPr>
          <w:rFonts w:hint="eastAsia" w:ascii="仿宋" w:hAnsi="仿宋" w:eastAsia="仿宋" w:cs="仿宋"/>
          <w:sz w:val="24"/>
          <w:szCs w:val="24"/>
          <w:highlight w:val="none"/>
        </w:rPr>
        <w:t>根据《中华人民共和国民法典》、《中华人民共和国建筑法》及有关法律规定，遵循平等、自愿、公平和诚实信用的原则，双方就</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工程施工及有关事项协商一致，共同达成如下协议：</w:t>
      </w:r>
    </w:p>
    <w:p w14:paraId="492C7D04">
      <w:pPr>
        <w:pStyle w:val="120"/>
        <w:adjustRightInd w:val="0"/>
        <w:snapToGrid w:val="0"/>
        <w:spacing w:before="0" w:after="0" w:line="360" w:lineRule="auto"/>
        <w:ind w:firstLine="480" w:firstLineChars="200"/>
        <w:outlineLvl w:val="9"/>
        <w:rPr>
          <w:rFonts w:hint="eastAsia" w:ascii="仿宋" w:hAnsi="仿宋" w:eastAsia="仿宋" w:cs="仿宋"/>
          <w:sz w:val="24"/>
          <w:szCs w:val="24"/>
          <w:highlight w:val="none"/>
        </w:rPr>
      </w:pPr>
      <w:bookmarkStart w:id="184" w:name="_Toc455465430"/>
      <w:bookmarkStart w:id="185" w:name="_Toc500331805"/>
      <w:bookmarkStart w:id="186" w:name="_Toc500331912"/>
      <w:bookmarkStart w:id="187" w:name="_Toc462649362"/>
      <w:bookmarkStart w:id="188" w:name="_Toc453921444"/>
      <w:r>
        <w:rPr>
          <w:rFonts w:hint="eastAsia" w:ascii="仿宋" w:hAnsi="仿宋" w:eastAsia="仿宋" w:cs="仿宋"/>
          <w:b w:val="0"/>
          <w:sz w:val="24"/>
          <w:szCs w:val="24"/>
          <w:highlight w:val="none"/>
        </w:rPr>
        <w:t>一、工程概况</w:t>
      </w:r>
      <w:bookmarkEnd w:id="184"/>
      <w:bookmarkEnd w:id="185"/>
      <w:bookmarkEnd w:id="186"/>
      <w:bookmarkEnd w:id="187"/>
      <w:bookmarkEnd w:id="188"/>
    </w:p>
    <w:p w14:paraId="2F23FDDE">
      <w:pPr>
        <w:pStyle w:val="118"/>
        <w:adjustRightInd w:val="0"/>
        <w:snapToGrid w:val="0"/>
        <w:spacing w:line="360" w:lineRule="auto"/>
        <w:ind w:firstLine="470"/>
        <w:rPr>
          <w:rFonts w:hint="eastAsia" w:ascii="仿宋" w:hAnsi="仿宋" w:eastAsia="仿宋" w:cs="仿宋"/>
          <w:sz w:val="24"/>
          <w:szCs w:val="24"/>
          <w:highlight w:val="none"/>
          <w:u w:val="single"/>
        </w:rPr>
      </w:pPr>
      <w:r>
        <w:rPr>
          <w:rFonts w:hint="eastAsia" w:ascii="仿宋" w:hAnsi="仿宋" w:eastAsia="仿宋" w:cs="仿宋"/>
          <w:bCs/>
          <w:sz w:val="24"/>
          <w:szCs w:val="24"/>
          <w:highlight w:val="none"/>
        </w:rPr>
        <w:t>1.工程名称</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7D8B7EE8">
      <w:pPr>
        <w:pStyle w:val="118"/>
        <w:adjustRightInd w:val="0"/>
        <w:snapToGrid w:val="0"/>
        <w:spacing w:line="360" w:lineRule="auto"/>
        <w:ind w:firstLine="470"/>
        <w:rPr>
          <w:rFonts w:hint="eastAsia" w:ascii="仿宋" w:hAnsi="仿宋" w:eastAsia="仿宋" w:cs="仿宋"/>
          <w:bCs/>
          <w:sz w:val="24"/>
          <w:szCs w:val="24"/>
          <w:highlight w:val="none"/>
        </w:rPr>
      </w:pPr>
      <w:r>
        <w:rPr>
          <w:rFonts w:hint="eastAsia" w:ascii="仿宋" w:hAnsi="仿宋" w:eastAsia="仿宋" w:cs="仿宋"/>
          <w:bCs/>
          <w:sz w:val="24"/>
          <w:szCs w:val="24"/>
          <w:highlight w:val="none"/>
        </w:rPr>
        <w:t>2.工程地点：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0D5F7070">
      <w:pPr>
        <w:pStyle w:val="118"/>
        <w:adjustRightInd w:val="0"/>
        <w:snapToGrid w:val="0"/>
        <w:spacing w:line="360" w:lineRule="auto"/>
        <w:ind w:firstLine="470"/>
        <w:rPr>
          <w:rFonts w:hint="eastAsia" w:ascii="仿宋" w:hAnsi="仿宋" w:eastAsia="仿宋" w:cs="仿宋"/>
          <w:bCs/>
          <w:sz w:val="24"/>
          <w:szCs w:val="24"/>
          <w:highlight w:val="none"/>
        </w:rPr>
      </w:pPr>
      <w:r>
        <w:rPr>
          <w:rFonts w:hint="eastAsia" w:ascii="仿宋" w:hAnsi="仿宋" w:eastAsia="仿宋" w:cs="仿宋"/>
          <w:bCs/>
          <w:sz w:val="24"/>
          <w:szCs w:val="24"/>
          <w:highlight w:val="none"/>
        </w:rPr>
        <w:t>3.工程立项批准文号：</w:t>
      </w:r>
      <w:r>
        <w:rPr>
          <w:rFonts w:hint="eastAsia" w:ascii="仿宋" w:hAnsi="仿宋" w:eastAsia="仿宋" w:cs="仿宋"/>
          <w:sz w:val="24"/>
          <w:szCs w:val="24"/>
          <w:highlight w:val="none"/>
          <w:u w:val="single"/>
        </w:rPr>
        <w:t xml:space="preserve">                             </w:t>
      </w:r>
      <w:r>
        <w:rPr>
          <w:rFonts w:hint="eastAsia" w:ascii="仿宋" w:hAnsi="仿宋" w:eastAsia="仿宋" w:cs="仿宋"/>
          <w:bCs/>
          <w:sz w:val="24"/>
          <w:szCs w:val="24"/>
          <w:highlight w:val="none"/>
        </w:rPr>
        <w:t>。</w:t>
      </w:r>
    </w:p>
    <w:p w14:paraId="63A88634">
      <w:pPr>
        <w:pStyle w:val="118"/>
        <w:adjustRightInd w:val="0"/>
        <w:snapToGrid w:val="0"/>
        <w:spacing w:line="360" w:lineRule="auto"/>
        <w:ind w:firstLine="470"/>
        <w:rPr>
          <w:rFonts w:hint="eastAsia" w:ascii="仿宋" w:hAnsi="仿宋" w:eastAsia="仿宋" w:cs="仿宋"/>
          <w:bCs/>
          <w:sz w:val="24"/>
          <w:szCs w:val="24"/>
          <w:highlight w:val="none"/>
        </w:rPr>
      </w:pPr>
      <w:r>
        <w:rPr>
          <w:rFonts w:hint="eastAsia" w:ascii="仿宋" w:hAnsi="仿宋" w:eastAsia="仿宋" w:cs="仿宋"/>
          <w:bCs/>
          <w:sz w:val="24"/>
          <w:szCs w:val="24"/>
          <w:highlight w:val="none"/>
        </w:rPr>
        <w:t>4.资金来源：</w:t>
      </w:r>
      <w:r>
        <w:rPr>
          <w:rFonts w:hint="eastAsia" w:ascii="仿宋" w:hAnsi="仿宋" w:eastAsia="仿宋" w:cs="仿宋"/>
          <w:sz w:val="24"/>
          <w:szCs w:val="24"/>
          <w:highlight w:val="none"/>
          <w:u w:val="single"/>
        </w:rPr>
        <w:t xml:space="preserve">                                     </w:t>
      </w:r>
      <w:r>
        <w:rPr>
          <w:rFonts w:hint="eastAsia" w:ascii="仿宋" w:hAnsi="仿宋" w:eastAsia="仿宋" w:cs="仿宋"/>
          <w:bCs/>
          <w:sz w:val="24"/>
          <w:szCs w:val="24"/>
          <w:highlight w:val="none"/>
        </w:rPr>
        <w:t>。</w:t>
      </w:r>
    </w:p>
    <w:p w14:paraId="7D9AB268">
      <w:pPr>
        <w:pStyle w:val="118"/>
        <w:adjustRightInd w:val="0"/>
        <w:snapToGrid w:val="0"/>
        <w:spacing w:line="360" w:lineRule="auto"/>
        <w:ind w:firstLine="470"/>
        <w:rPr>
          <w:rFonts w:hint="eastAsia" w:ascii="仿宋" w:hAnsi="仿宋" w:eastAsia="仿宋" w:cs="仿宋"/>
          <w:bCs/>
          <w:sz w:val="24"/>
          <w:szCs w:val="24"/>
          <w:highlight w:val="none"/>
        </w:rPr>
      </w:pPr>
      <w:r>
        <w:rPr>
          <w:rFonts w:hint="eastAsia" w:ascii="仿宋" w:hAnsi="仿宋" w:eastAsia="仿宋" w:cs="仿宋"/>
          <w:bCs/>
          <w:sz w:val="24"/>
          <w:szCs w:val="24"/>
          <w:highlight w:val="none"/>
        </w:rPr>
        <w:t>5.工程内容：</w:t>
      </w:r>
      <w:r>
        <w:rPr>
          <w:rFonts w:hint="eastAsia" w:ascii="仿宋" w:hAnsi="仿宋" w:eastAsia="仿宋" w:cs="仿宋"/>
          <w:sz w:val="24"/>
          <w:szCs w:val="24"/>
          <w:highlight w:val="none"/>
          <w:u w:val="single"/>
        </w:rPr>
        <w:t xml:space="preserve">                                     </w:t>
      </w:r>
      <w:r>
        <w:rPr>
          <w:rFonts w:hint="eastAsia" w:ascii="仿宋" w:hAnsi="仿宋" w:eastAsia="仿宋" w:cs="仿宋"/>
          <w:bCs/>
          <w:sz w:val="24"/>
          <w:szCs w:val="24"/>
          <w:highlight w:val="none"/>
        </w:rPr>
        <w:t>。</w:t>
      </w:r>
    </w:p>
    <w:p w14:paraId="662009EB">
      <w:pPr>
        <w:pStyle w:val="118"/>
        <w:adjustRightInd w:val="0"/>
        <w:snapToGrid w:val="0"/>
        <w:spacing w:line="360" w:lineRule="auto"/>
        <w:ind w:firstLine="470"/>
        <w:rPr>
          <w:rFonts w:hint="eastAsia" w:ascii="仿宋" w:hAnsi="仿宋" w:eastAsia="仿宋" w:cs="仿宋"/>
          <w:bCs/>
          <w:sz w:val="24"/>
          <w:szCs w:val="24"/>
          <w:highlight w:val="none"/>
        </w:rPr>
      </w:pPr>
      <w:r>
        <w:rPr>
          <w:rFonts w:hint="eastAsia" w:ascii="仿宋" w:hAnsi="仿宋" w:eastAsia="仿宋" w:cs="仿宋"/>
          <w:sz w:val="24"/>
          <w:szCs w:val="24"/>
          <w:highlight w:val="none"/>
        </w:rPr>
        <w:t>群体工程应附《承包人承揽工程项目一览表》（附件1）。</w:t>
      </w:r>
    </w:p>
    <w:p w14:paraId="69D1EF6E">
      <w:pPr>
        <w:pStyle w:val="118"/>
        <w:adjustRightInd w:val="0"/>
        <w:snapToGrid w:val="0"/>
        <w:spacing w:line="360" w:lineRule="auto"/>
        <w:ind w:firstLine="470"/>
        <w:rPr>
          <w:rFonts w:hint="eastAsia" w:ascii="仿宋" w:hAnsi="仿宋" w:eastAsia="仿宋" w:cs="仿宋"/>
          <w:bCs/>
          <w:sz w:val="24"/>
          <w:szCs w:val="24"/>
          <w:highlight w:val="none"/>
        </w:rPr>
      </w:pPr>
      <w:r>
        <w:rPr>
          <w:rFonts w:hint="eastAsia" w:ascii="仿宋" w:hAnsi="仿宋" w:eastAsia="仿宋" w:cs="仿宋"/>
          <w:bCs/>
          <w:sz w:val="24"/>
          <w:szCs w:val="24"/>
          <w:highlight w:val="none"/>
        </w:rPr>
        <w:t>6工程承包范围：</w:t>
      </w:r>
    </w:p>
    <w:p w14:paraId="5AB47A38">
      <w:pPr>
        <w:pStyle w:val="118"/>
        <w:adjustRightInd w:val="0"/>
        <w:snapToGrid w:val="0"/>
        <w:spacing w:line="360" w:lineRule="auto"/>
        <w:ind w:firstLine="470"/>
        <w:rPr>
          <w:rFonts w:hint="eastAsia" w:ascii="仿宋" w:hAnsi="仿宋" w:eastAsia="仿宋" w:cs="仿宋"/>
          <w:bCs/>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01FF892D">
      <w:pPr>
        <w:pStyle w:val="120"/>
        <w:adjustRightInd w:val="0"/>
        <w:snapToGrid w:val="0"/>
        <w:spacing w:before="0" w:after="0" w:line="360" w:lineRule="auto"/>
        <w:ind w:firstLine="482" w:firstLineChars="200"/>
        <w:outlineLvl w:val="9"/>
        <w:rPr>
          <w:rFonts w:hint="eastAsia" w:ascii="仿宋" w:hAnsi="仿宋" w:eastAsia="仿宋" w:cs="仿宋"/>
          <w:sz w:val="24"/>
          <w:szCs w:val="24"/>
          <w:highlight w:val="none"/>
        </w:rPr>
      </w:pPr>
      <w:bookmarkStart w:id="189" w:name="_Toc455465431"/>
      <w:bookmarkStart w:id="190" w:name="_Toc500331806"/>
      <w:bookmarkStart w:id="191" w:name="_Toc462649363"/>
      <w:bookmarkStart w:id="192" w:name="_Toc500331913"/>
      <w:bookmarkStart w:id="193" w:name="_Toc453921445"/>
      <w:r>
        <w:rPr>
          <w:rFonts w:hint="eastAsia" w:ascii="仿宋" w:hAnsi="仿宋" w:eastAsia="仿宋" w:cs="仿宋"/>
          <w:sz w:val="24"/>
          <w:szCs w:val="24"/>
          <w:highlight w:val="none"/>
        </w:rPr>
        <w:t>二、合同工期</w:t>
      </w:r>
      <w:bookmarkEnd w:id="189"/>
      <w:bookmarkEnd w:id="190"/>
      <w:bookmarkEnd w:id="191"/>
      <w:bookmarkEnd w:id="192"/>
      <w:bookmarkEnd w:id="193"/>
    </w:p>
    <w:p w14:paraId="3099791B">
      <w:pPr>
        <w:pStyle w:val="118"/>
        <w:adjustRightInd w:val="0"/>
        <w:snapToGrid w:val="0"/>
        <w:spacing w:line="360" w:lineRule="auto"/>
        <w:ind w:firstLine="459"/>
        <w:rPr>
          <w:rFonts w:hint="eastAsia" w:ascii="仿宋" w:hAnsi="仿宋" w:eastAsia="仿宋" w:cs="仿宋"/>
          <w:sz w:val="24"/>
          <w:szCs w:val="24"/>
          <w:highlight w:val="none"/>
        </w:rPr>
      </w:pPr>
      <w:r>
        <w:rPr>
          <w:rFonts w:hint="eastAsia" w:ascii="仿宋" w:hAnsi="仿宋" w:eastAsia="仿宋" w:cs="仿宋"/>
          <w:sz w:val="24"/>
          <w:szCs w:val="24"/>
          <w:highlight w:val="none"/>
        </w:rPr>
        <w:t>计划开工日期：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4941FE5B">
      <w:pPr>
        <w:pStyle w:val="118"/>
        <w:adjustRightInd w:val="0"/>
        <w:snapToGrid w:val="0"/>
        <w:spacing w:line="360" w:lineRule="auto"/>
        <w:ind w:firstLine="459"/>
        <w:rPr>
          <w:rFonts w:hint="eastAsia" w:ascii="仿宋" w:hAnsi="仿宋" w:eastAsia="仿宋" w:cs="仿宋"/>
          <w:sz w:val="24"/>
          <w:szCs w:val="24"/>
          <w:highlight w:val="none"/>
        </w:rPr>
      </w:pPr>
      <w:r>
        <w:rPr>
          <w:rFonts w:hint="eastAsia" w:ascii="仿宋" w:hAnsi="仿宋" w:eastAsia="仿宋" w:cs="仿宋"/>
          <w:sz w:val="24"/>
          <w:szCs w:val="24"/>
          <w:highlight w:val="none"/>
        </w:rPr>
        <w:t>计划竣工日期：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17F3092">
      <w:pPr>
        <w:pStyle w:val="118"/>
        <w:adjustRightInd w:val="0"/>
        <w:snapToGrid w:val="0"/>
        <w:spacing w:line="360" w:lineRule="auto"/>
        <w:ind w:firstLine="459"/>
        <w:rPr>
          <w:rFonts w:hint="eastAsia" w:ascii="仿宋" w:hAnsi="仿宋" w:eastAsia="仿宋" w:cs="仿宋"/>
          <w:sz w:val="24"/>
          <w:szCs w:val="24"/>
          <w:highlight w:val="none"/>
        </w:rPr>
      </w:pPr>
      <w:r>
        <w:rPr>
          <w:rFonts w:hint="eastAsia" w:ascii="仿宋" w:hAnsi="仿宋" w:eastAsia="仿宋" w:cs="仿宋"/>
          <w:sz w:val="24"/>
          <w:szCs w:val="24"/>
          <w:highlight w:val="none"/>
        </w:rPr>
        <w:t>工期总日历天数：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天。工期总日历天数与根据前述计划开竣工日期计算的工期天数不一致的，以工期总日历天数为准。</w:t>
      </w:r>
    </w:p>
    <w:p w14:paraId="79D71295">
      <w:pPr>
        <w:pStyle w:val="120"/>
        <w:adjustRightInd w:val="0"/>
        <w:snapToGrid w:val="0"/>
        <w:spacing w:before="0" w:after="0" w:line="360" w:lineRule="auto"/>
        <w:ind w:firstLine="482" w:firstLineChars="200"/>
        <w:outlineLvl w:val="9"/>
        <w:rPr>
          <w:rFonts w:hint="eastAsia" w:ascii="仿宋" w:hAnsi="仿宋" w:eastAsia="仿宋" w:cs="仿宋"/>
          <w:sz w:val="24"/>
          <w:szCs w:val="24"/>
          <w:highlight w:val="none"/>
        </w:rPr>
      </w:pPr>
      <w:bookmarkStart w:id="194" w:name="_Toc500331807"/>
      <w:bookmarkStart w:id="195" w:name="_Toc455465432"/>
      <w:bookmarkStart w:id="196" w:name="_Toc453921446"/>
      <w:bookmarkStart w:id="197" w:name="_Toc462649364"/>
      <w:bookmarkStart w:id="198" w:name="_Toc500331914"/>
      <w:r>
        <w:rPr>
          <w:rFonts w:hint="eastAsia" w:ascii="仿宋" w:hAnsi="仿宋" w:eastAsia="仿宋" w:cs="仿宋"/>
          <w:sz w:val="24"/>
          <w:szCs w:val="24"/>
          <w:highlight w:val="none"/>
        </w:rPr>
        <w:t>三、质量标准</w:t>
      </w:r>
      <w:bookmarkEnd w:id="194"/>
      <w:bookmarkEnd w:id="195"/>
      <w:bookmarkEnd w:id="196"/>
      <w:bookmarkEnd w:id="197"/>
      <w:bookmarkEnd w:id="198"/>
    </w:p>
    <w:p w14:paraId="1F6DDE4B">
      <w:pPr>
        <w:pStyle w:val="118"/>
        <w:adjustRightInd w:val="0"/>
        <w:snapToGrid w:val="0"/>
        <w:spacing w:line="360" w:lineRule="auto"/>
        <w:ind w:firstLine="459"/>
        <w:rPr>
          <w:rFonts w:hint="eastAsia" w:ascii="仿宋" w:hAnsi="仿宋" w:eastAsia="仿宋" w:cs="仿宋"/>
          <w:sz w:val="24"/>
          <w:szCs w:val="24"/>
          <w:highlight w:val="none"/>
        </w:rPr>
      </w:pPr>
      <w:r>
        <w:rPr>
          <w:rFonts w:hint="eastAsia" w:ascii="仿宋" w:hAnsi="仿宋" w:eastAsia="仿宋" w:cs="仿宋"/>
          <w:sz w:val="24"/>
          <w:szCs w:val="24"/>
          <w:highlight w:val="none"/>
        </w:rPr>
        <w:t>工程质量符合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标准。</w:t>
      </w:r>
    </w:p>
    <w:p w14:paraId="4A63FEF6">
      <w:pPr>
        <w:pStyle w:val="120"/>
        <w:adjustRightInd w:val="0"/>
        <w:snapToGrid w:val="0"/>
        <w:spacing w:before="0" w:after="0" w:line="360" w:lineRule="auto"/>
        <w:ind w:firstLine="482" w:firstLineChars="200"/>
        <w:outlineLvl w:val="9"/>
        <w:rPr>
          <w:rFonts w:hint="eastAsia" w:ascii="仿宋" w:hAnsi="仿宋" w:eastAsia="仿宋" w:cs="仿宋"/>
          <w:sz w:val="24"/>
          <w:szCs w:val="24"/>
          <w:highlight w:val="none"/>
        </w:rPr>
      </w:pPr>
      <w:bookmarkStart w:id="199" w:name="_Toc453921447"/>
      <w:bookmarkStart w:id="200" w:name="_Toc462649365"/>
      <w:bookmarkStart w:id="201" w:name="_Toc500331915"/>
      <w:bookmarkStart w:id="202" w:name="_Toc455465433"/>
      <w:bookmarkStart w:id="203" w:name="_Toc500331808"/>
      <w:r>
        <w:rPr>
          <w:rFonts w:hint="eastAsia" w:ascii="仿宋" w:hAnsi="仿宋" w:eastAsia="仿宋" w:cs="仿宋"/>
          <w:sz w:val="24"/>
          <w:szCs w:val="24"/>
          <w:highlight w:val="none"/>
        </w:rPr>
        <w:t>四、签约合同价与合同价格形式</w:t>
      </w:r>
      <w:bookmarkEnd w:id="199"/>
      <w:bookmarkEnd w:id="200"/>
      <w:bookmarkEnd w:id="201"/>
      <w:bookmarkEnd w:id="202"/>
      <w:bookmarkEnd w:id="203"/>
      <w:r>
        <w:rPr>
          <w:rFonts w:hint="eastAsia" w:ascii="仿宋" w:hAnsi="仿宋" w:eastAsia="仿宋" w:cs="仿宋"/>
          <w:sz w:val="24"/>
          <w:szCs w:val="24"/>
          <w:highlight w:val="none"/>
        </w:rPr>
        <w:tab/>
      </w:r>
    </w:p>
    <w:p w14:paraId="772D82EC">
      <w:pPr>
        <w:pStyle w:val="118"/>
        <w:adjustRightInd w:val="0"/>
        <w:snapToGrid w:val="0"/>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1.签约合同价为：</w:t>
      </w:r>
    </w:p>
    <w:p w14:paraId="14BFE623">
      <w:pPr>
        <w:pStyle w:val="118"/>
        <w:adjustRightInd w:val="0"/>
        <w:snapToGrid w:val="0"/>
        <w:spacing w:line="360" w:lineRule="auto"/>
        <w:ind w:firstLine="600"/>
        <w:rPr>
          <w:rFonts w:hint="eastAsia" w:ascii="仿宋" w:hAnsi="仿宋" w:eastAsia="仿宋" w:cs="仿宋"/>
          <w:sz w:val="24"/>
          <w:szCs w:val="24"/>
          <w:highlight w:val="none"/>
        </w:rPr>
      </w:pPr>
      <w:r>
        <w:rPr>
          <w:rFonts w:hint="eastAsia" w:ascii="仿宋" w:hAnsi="仿宋" w:eastAsia="仿宋" w:cs="仿宋"/>
          <w:sz w:val="24"/>
          <w:szCs w:val="24"/>
          <w:highlight w:val="none"/>
        </w:rPr>
        <w:t>人民币（大写）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元）；</w:t>
      </w:r>
    </w:p>
    <w:p w14:paraId="71FE3DC5">
      <w:pPr>
        <w:pStyle w:val="118"/>
        <w:adjustRightInd w:val="0"/>
        <w:snapToGrid w:val="0"/>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其中：</w:t>
      </w:r>
    </w:p>
    <w:p w14:paraId="1F237641">
      <w:pPr>
        <w:pStyle w:val="118"/>
        <w:adjustRightInd w:val="0"/>
        <w:snapToGrid w:val="0"/>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（1）安全文明施工费：</w:t>
      </w:r>
    </w:p>
    <w:p w14:paraId="3C2A8B81">
      <w:pPr>
        <w:pStyle w:val="118"/>
        <w:adjustRightInd w:val="0"/>
        <w:snapToGrid w:val="0"/>
        <w:spacing w:line="360" w:lineRule="auto"/>
        <w:ind w:firstLine="1080"/>
        <w:rPr>
          <w:rFonts w:hint="eastAsia" w:ascii="仿宋" w:hAnsi="仿宋" w:eastAsia="仿宋" w:cs="仿宋"/>
          <w:sz w:val="24"/>
          <w:szCs w:val="24"/>
          <w:highlight w:val="none"/>
        </w:rPr>
      </w:pPr>
      <w:r>
        <w:rPr>
          <w:rFonts w:hint="eastAsia" w:ascii="仿宋" w:hAnsi="仿宋" w:eastAsia="仿宋" w:cs="仿宋"/>
          <w:sz w:val="24"/>
          <w:szCs w:val="24"/>
          <w:highlight w:val="none"/>
        </w:rPr>
        <w:t>人民币（大写）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元）；</w:t>
      </w:r>
    </w:p>
    <w:p w14:paraId="7A3CB9D0">
      <w:pPr>
        <w:pStyle w:val="118"/>
        <w:adjustRightInd w:val="0"/>
        <w:snapToGrid w:val="0"/>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（2）材料和工程设备暂估价金额：</w:t>
      </w:r>
    </w:p>
    <w:p w14:paraId="0AB57054">
      <w:pPr>
        <w:pStyle w:val="118"/>
        <w:adjustRightInd w:val="0"/>
        <w:snapToGrid w:val="0"/>
        <w:spacing w:line="360" w:lineRule="auto"/>
        <w:ind w:firstLine="1080"/>
        <w:rPr>
          <w:rFonts w:hint="eastAsia" w:ascii="仿宋" w:hAnsi="仿宋" w:eastAsia="仿宋" w:cs="仿宋"/>
          <w:sz w:val="24"/>
          <w:szCs w:val="24"/>
          <w:highlight w:val="none"/>
        </w:rPr>
      </w:pPr>
      <w:r>
        <w:rPr>
          <w:rFonts w:hint="eastAsia" w:ascii="仿宋" w:hAnsi="仿宋" w:eastAsia="仿宋" w:cs="仿宋"/>
          <w:sz w:val="24"/>
          <w:szCs w:val="24"/>
          <w:highlight w:val="none"/>
        </w:rPr>
        <w:t>人民币（大写）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元）；</w:t>
      </w:r>
    </w:p>
    <w:p w14:paraId="5F2EB93D">
      <w:pPr>
        <w:pStyle w:val="118"/>
        <w:adjustRightInd w:val="0"/>
        <w:snapToGrid w:val="0"/>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（3）专业工程暂估价金额：</w:t>
      </w:r>
    </w:p>
    <w:p w14:paraId="1063826E">
      <w:pPr>
        <w:pStyle w:val="118"/>
        <w:adjustRightInd w:val="0"/>
        <w:snapToGrid w:val="0"/>
        <w:spacing w:line="360" w:lineRule="auto"/>
        <w:ind w:firstLine="1080"/>
        <w:rPr>
          <w:rFonts w:hint="eastAsia" w:ascii="仿宋" w:hAnsi="仿宋" w:eastAsia="仿宋" w:cs="仿宋"/>
          <w:sz w:val="21"/>
          <w:szCs w:val="21"/>
          <w:highlight w:val="none"/>
        </w:rPr>
      </w:pPr>
      <w:r>
        <w:rPr>
          <w:rFonts w:hint="eastAsia" w:ascii="仿宋" w:hAnsi="仿宋" w:eastAsia="仿宋" w:cs="仿宋"/>
          <w:sz w:val="21"/>
          <w:szCs w:val="21"/>
          <w:highlight w:val="none"/>
        </w:rPr>
        <w:t>人民币（大写）</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元）；</w:t>
      </w:r>
    </w:p>
    <w:p w14:paraId="560160FA">
      <w:pPr>
        <w:pStyle w:val="118"/>
        <w:adjustRightInd w:val="0"/>
        <w:snapToGrid w:val="0"/>
        <w:spacing w:line="360" w:lineRule="auto"/>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t>（4）暂列金额：</w:t>
      </w:r>
    </w:p>
    <w:p w14:paraId="3E05B245">
      <w:pPr>
        <w:pStyle w:val="118"/>
        <w:adjustRightInd w:val="0"/>
        <w:snapToGrid w:val="0"/>
        <w:spacing w:line="360" w:lineRule="auto"/>
        <w:ind w:firstLine="1080"/>
        <w:rPr>
          <w:rFonts w:hint="eastAsia" w:ascii="仿宋" w:hAnsi="仿宋" w:eastAsia="仿宋" w:cs="仿宋"/>
          <w:sz w:val="21"/>
          <w:szCs w:val="21"/>
          <w:highlight w:val="none"/>
        </w:rPr>
      </w:pPr>
      <w:r>
        <w:rPr>
          <w:rFonts w:hint="eastAsia" w:ascii="仿宋" w:hAnsi="仿宋" w:eastAsia="仿宋" w:cs="仿宋"/>
          <w:sz w:val="21"/>
          <w:szCs w:val="21"/>
          <w:highlight w:val="none"/>
        </w:rPr>
        <w:t>人民币（大写）</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元）。</w:t>
      </w:r>
    </w:p>
    <w:p w14:paraId="6D2B0B77">
      <w:pPr>
        <w:pStyle w:val="118"/>
        <w:adjustRightInd w:val="0"/>
        <w:snapToGrid w:val="0"/>
        <w:spacing w:line="360" w:lineRule="auto"/>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t>2.合同价格形式：</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w:t>
      </w:r>
    </w:p>
    <w:p w14:paraId="5380D017">
      <w:pPr>
        <w:pStyle w:val="120"/>
        <w:adjustRightInd w:val="0"/>
        <w:snapToGrid w:val="0"/>
        <w:spacing w:before="0" w:after="0" w:line="360" w:lineRule="auto"/>
        <w:ind w:firstLine="422" w:firstLineChars="200"/>
        <w:outlineLvl w:val="9"/>
        <w:rPr>
          <w:rFonts w:hint="eastAsia" w:ascii="仿宋" w:hAnsi="仿宋" w:eastAsia="仿宋" w:cs="仿宋"/>
          <w:sz w:val="21"/>
          <w:szCs w:val="21"/>
          <w:highlight w:val="none"/>
        </w:rPr>
      </w:pPr>
      <w:bookmarkStart w:id="204" w:name="_Toc462649366"/>
      <w:bookmarkStart w:id="205" w:name="_Toc500331809"/>
      <w:bookmarkStart w:id="206" w:name="_Toc500331916"/>
      <w:bookmarkStart w:id="207" w:name="_Toc455465434"/>
      <w:bookmarkStart w:id="208" w:name="_Toc453921448"/>
      <w:r>
        <w:rPr>
          <w:rFonts w:hint="eastAsia" w:ascii="仿宋" w:hAnsi="仿宋" w:eastAsia="仿宋" w:cs="仿宋"/>
          <w:sz w:val="21"/>
          <w:szCs w:val="21"/>
          <w:highlight w:val="none"/>
        </w:rPr>
        <w:t>五、项目经理</w:t>
      </w:r>
      <w:bookmarkEnd w:id="204"/>
      <w:bookmarkEnd w:id="205"/>
      <w:bookmarkEnd w:id="206"/>
      <w:bookmarkEnd w:id="207"/>
      <w:bookmarkEnd w:id="208"/>
    </w:p>
    <w:p w14:paraId="17190082">
      <w:pPr>
        <w:pStyle w:val="118"/>
        <w:adjustRightInd w:val="0"/>
        <w:snapToGrid w:val="0"/>
        <w:spacing w:line="360" w:lineRule="auto"/>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t>承包人项目经理：</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w:t>
      </w:r>
    </w:p>
    <w:p w14:paraId="3B38DAD1">
      <w:pPr>
        <w:pStyle w:val="120"/>
        <w:adjustRightInd w:val="0"/>
        <w:snapToGrid w:val="0"/>
        <w:spacing w:before="0" w:after="0" w:line="360" w:lineRule="auto"/>
        <w:ind w:firstLine="422" w:firstLineChars="200"/>
        <w:outlineLvl w:val="9"/>
        <w:rPr>
          <w:rFonts w:hint="eastAsia" w:ascii="仿宋" w:hAnsi="仿宋" w:eastAsia="仿宋" w:cs="仿宋"/>
          <w:sz w:val="21"/>
          <w:szCs w:val="21"/>
          <w:highlight w:val="none"/>
        </w:rPr>
      </w:pPr>
      <w:bookmarkStart w:id="209" w:name="_Toc453921449"/>
      <w:bookmarkStart w:id="210" w:name="_Toc462649367"/>
      <w:bookmarkStart w:id="211" w:name="_Toc500331917"/>
      <w:bookmarkStart w:id="212" w:name="_Toc455465435"/>
      <w:bookmarkStart w:id="213" w:name="_Toc500331810"/>
      <w:r>
        <w:rPr>
          <w:rFonts w:hint="eastAsia" w:ascii="仿宋" w:hAnsi="仿宋" w:eastAsia="仿宋" w:cs="仿宋"/>
          <w:sz w:val="21"/>
          <w:szCs w:val="21"/>
          <w:highlight w:val="none"/>
        </w:rPr>
        <w:t>六、合同文件构成</w:t>
      </w:r>
      <w:bookmarkEnd w:id="209"/>
      <w:bookmarkEnd w:id="210"/>
      <w:bookmarkEnd w:id="211"/>
      <w:bookmarkEnd w:id="212"/>
      <w:bookmarkEnd w:id="213"/>
    </w:p>
    <w:p w14:paraId="3E828F64">
      <w:pPr>
        <w:pStyle w:val="118"/>
        <w:adjustRightInd w:val="0"/>
        <w:snapToGrid w:val="0"/>
        <w:spacing w:line="360" w:lineRule="auto"/>
        <w:ind w:firstLine="480"/>
        <w:rPr>
          <w:rFonts w:hint="eastAsia" w:ascii="仿宋" w:hAnsi="仿宋" w:eastAsia="仿宋" w:cs="仿宋"/>
          <w:bCs/>
          <w:sz w:val="21"/>
          <w:szCs w:val="21"/>
          <w:highlight w:val="none"/>
        </w:rPr>
      </w:pPr>
      <w:r>
        <w:rPr>
          <w:rFonts w:hint="eastAsia" w:ascii="仿宋" w:hAnsi="仿宋" w:eastAsia="仿宋" w:cs="仿宋"/>
          <w:bCs/>
          <w:sz w:val="21"/>
          <w:szCs w:val="21"/>
          <w:highlight w:val="none"/>
        </w:rPr>
        <w:t>本协议书与下列文件一起构成合同文件：</w:t>
      </w:r>
    </w:p>
    <w:p w14:paraId="0CE4D0A0">
      <w:pPr>
        <w:pStyle w:val="118"/>
        <w:autoSpaceDE w:val="0"/>
        <w:autoSpaceDN w:val="0"/>
        <w:adjustRightInd w:val="0"/>
        <w:snapToGrid w:val="0"/>
        <w:spacing w:line="360" w:lineRule="auto"/>
        <w:ind w:firstLine="48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（1）中标通知书（如果有）；</w:t>
      </w:r>
    </w:p>
    <w:p w14:paraId="113B8959">
      <w:pPr>
        <w:pStyle w:val="118"/>
        <w:autoSpaceDE w:val="0"/>
        <w:autoSpaceDN w:val="0"/>
        <w:adjustRightInd w:val="0"/>
        <w:snapToGrid w:val="0"/>
        <w:spacing w:line="360" w:lineRule="auto"/>
        <w:ind w:firstLine="48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（2）投标函及其附录（如果有）； </w:t>
      </w:r>
    </w:p>
    <w:p w14:paraId="1A7FB7DA">
      <w:pPr>
        <w:pStyle w:val="118"/>
        <w:autoSpaceDE w:val="0"/>
        <w:autoSpaceDN w:val="0"/>
        <w:adjustRightInd w:val="0"/>
        <w:snapToGrid w:val="0"/>
        <w:spacing w:line="360" w:lineRule="auto"/>
        <w:ind w:firstLine="48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（3）专用合同条款及其附件；</w:t>
      </w:r>
    </w:p>
    <w:p w14:paraId="22E70365">
      <w:pPr>
        <w:pStyle w:val="118"/>
        <w:autoSpaceDE w:val="0"/>
        <w:autoSpaceDN w:val="0"/>
        <w:adjustRightInd w:val="0"/>
        <w:snapToGrid w:val="0"/>
        <w:spacing w:line="360" w:lineRule="auto"/>
        <w:ind w:firstLine="48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（4）通用合同条款；</w:t>
      </w:r>
    </w:p>
    <w:p w14:paraId="6F7813EE">
      <w:pPr>
        <w:pStyle w:val="118"/>
        <w:autoSpaceDE w:val="0"/>
        <w:autoSpaceDN w:val="0"/>
        <w:adjustRightInd w:val="0"/>
        <w:snapToGrid w:val="0"/>
        <w:spacing w:line="360" w:lineRule="auto"/>
        <w:ind w:firstLine="48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（5）技术标准和要求；</w:t>
      </w:r>
    </w:p>
    <w:p w14:paraId="0177410A">
      <w:pPr>
        <w:pStyle w:val="118"/>
        <w:autoSpaceDE w:val="0"/>
        <w:autoSpaceDN w:val="0"/>
        <w:adjustRightInd w:val="0"/>
        <w:snapToGrid w:val="0"/>
        <w:spacing w:line="360" w:lineRule="auto"/>
        <w:ind w:firstLine="48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（6）图纸；</w:t>
      </w:r>
    </w:p>
    <w:p w14:paraId="55639CEC">
      <w:pPr>
        <w:pStyle w:val="118"/>
        <w:autoSpaceDE w:val="0"/>
        <w:autoSpaceDN w:val="0"/>
        <w:adjustRightInd w:val="0"/>
        <w:snapToGrid w:val="0"/>
        <w:spacing w:line="360" w:lineRule="auto"/>
        <w:ind w:firstLine="48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（7）已标价工程量清单或预算书；</w:t>
      </w:r>
    </w:p>
    <w:p w14:paraId="2F6F0B38">
      <w:pPr>
        <w:pStyle w:val="118"/>
        <w:autoSpaceDE w:val="0"/>
        <w:autoSpaceDN w:val="0"/>
        <w:adjustRightInd w:val="0"/>
        <w:snapToGrid w:val="0"/>
        <w:spacing w:line="360" w:lineRule="auto"/>
        <w:ind w:firstLine="48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（8）其他合同文件。</w:t>
      </w:r>
    </w:p>
    <w:p w14:paraId="6CE1DE0D">
      <w:pPr>
        <w:pStyle w:val="118"/>
        <w:autoSpaceDE w:val="0"/>
        <w:autoSpaceDN w:val="0"/>
        <w:adjustRightInd w:val="0"/>
        <w:snapToGrid w:val="0"/>
        <w:spacing w:line="360" w:lineRule="auto"/>
        <w:ind w:firstLine="48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在合同订立及履行过程中形成的与合同有关的文件均构成合同文件组成部分。</w:t>
      </w:r>
    </w:p>
    <w:p w14:paraId="2ACBB51F">
      <w:pPr>
        <w:pStyle w:val="118"/>
        <w:autoSpaceDE w:val="0"/>
        <w:autoSpaceDN w:val="0"/>
        <w:adjustRightInd w:val="0"/>
        <w:snapToGrid w:val="0"/>
        <w:spacing w:line="360" w:lineRule="auto"/>
        <w:ind w:firstLine="48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387D34F6">
      <w:pPr>
        <w:pStyle w:val="120"/>
        <w:adjustRightInd w:val="0"/>
        <w:snapToGrid w:val="0"/>
        <w:spacing w:before="0" w:after="0" w:line="360" w:lineRule="auto"/>
        <w:ind w:firstLine="482" w:firstLineChars="200"/>
        <w:outlineLvl w:val="9"/>
        <w:rPr>
          <w:rFonts w:hint="eastAsia" w:ascii="仿宋" w:hAnsi="仿宋" w:eastAsia="仿宋" w:cs="仿宋"/>
          <w:sz w:val="24"/>
          <w:szCs w:val="24"/>
          <w:highlight w:val="none"/>
        </w:rPr>
      </w:pPr>
      <w:bookmarkStart w:id="214" w:name="_Toc500331918"/>
      <w:bookmarkStart w:id="215" w:name="_Toc500331811"/>
      <w:bookmarkStart w:id="216" w:name="_Toc462649368"/>
      <w:bookmarkStart w:id="217" w:name="_Toc453921450"/>
      <w:bookmarkStart w:id="218" w:name="_Toc455465436"/>
      <w:r>
        <w:rPr>
          <w:rFonts w:hint="eastAsia" w:ascii="仿宋" w:hAnsi="仿宋" w:eastAsia="仿宋" w:cs="仿宋"/>
          <w:sz w:val="24"/>
          <w:szCs w:val="24"/>
          <w:highlight w:val="none"/>
        </w:rPr>
        <w:t>七、承诺</w:t>
      </w:r>
      <w:bookmarkEnd w:id="214"/>
      <w:bookmarkEnd w:id="215"/>
      <w:bookmarkEnd w:id="216"/>
      <w:bookmarkEnd w:id="217"/>
      <w:bookmarkEnd w:id="218"/>
    </w:p>
    <w:p w14:paraId="5BBC3823">
      <w:pPr>
        <w:pStyle w:val="118"/>
        <w:adjustRightInd w:val="0"/>
        <w:snapToGrid w:val="0"/>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1.发包人承诺按照法律规定履行项目审批手续、筹集工程建设资金并按照合同约定的期限和方式支付合同价款。</w:t>
      </w:r>
    </w:p>
    <w:p w14:paraId="643B2BAB">
      <w:pPr>
        <w:pStyle w:val="118"/>
        <w:adjustRightInd w:val="0"/>
        <w:snapToGrid w:val="0"/>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2.承包人承诺按照法律规定及合同约定组织完成工程施工，确保工程质量和安全，不进行转包及违法分包，并在缺陷责任期及保修期内承担相应的工程维修责任。</w:t>
      </w:r>
    </w:p>
    <w:p w14:paraId="230789EB">
      <w:pPr>
        <w:pStyle w:val="118"/>
        <w:adjustRightInd w:val="0"/>
        <w:snapToGrid w:val="0"/>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3.发包人和承包人通过招投标形式签订合同的，双方理解并承诺不再就同一工程另行签订与合同实质性内容相背离的协议。</w:t>
      </w:r>
    </w:p>
    <w:p w14:paraId="3CF8900B">
      <w:pPr>
        <w:pStyle w:val="120"/>
        <w:adjustRightInd w:val="0"/>
        <w:snapToGrid w:val="0"/>
        <w:spacing w:before="0" w:after="0" w:line="360" w:lineRule="auto"/>
        <w:ind w:firstLine="482" w:firstLineChars="20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八、词语含义</w:t>
      </w:r>
    </w:p>
    <w:p w14:paraId="68EA043F">
      <w:pPr>
        <w:pStyle w:val="118"/>
        <w:adjustRightInd w:val="0"/>
        <w:snapToGrid w:val="0"/>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本协议书中词语含义与第二部分通用合同条款中赋予的含义相同。</w:t>
      </w:r>
    </w:p>
    <w:p w14:paraId="28B602FA">
      <w:pPr>
        <w:pStyle w:val="120"/>
        <w:adjustRightInd w:val="0"/>
        <w:snapToGrid w:val="0"/>
        <w:spacing w:before="0" w:after="0" w:line="360" w:lineRule="auto"/>
        <w:ind w:firstLine="482" w:firstLineChars="200"/>
        <w:outlineLvl w:val="9"/>
        <w:rPr>
          <w:rFonts w:hint="eastAsia" w:ascii="仿宋" w:hAnsi="仿宋" w:eastAsia="仿宋" w:cs="仿宋"/>
          <w:sz w:val="24"/>
          <w:szCs w:val="24"/>
          <w:highlight w:val="none"/>
        </w:rPr>
      </w:pPr>
      <w:bookmarkStart w:id="219" w:name="_Toc455465437"/>
      <w:bookmarkStart w:id="220" w:name="_Toc453921451"/>
      <w:bookmarkStart w:id="221" w:name="_Toc500331919"/>
      <w:bookmarkStart w:id="222" w:name="_Toc462649369"/>
      <w:bookmarkStart w:id="223" w:name="_Toc500331812"/>
      <w:r>
        <w:rPr>
          <w:rFonts w:hint="eastAsia" w:ascii="仿宋" w:hAnsi="仿宋" w:eastAsia="仿宋" w:cs="仿宋"/>
          <w:sz w:val="24"/>
          <w:szCs w:val="24"/>
          <w:highlight w:val="none"/>
        </w:rPr>
        <w:t>九、签订时间</w:t>
      </w:r>
      <w:bookmarkEnd w:id="219"/>
      <w:bookmarkEnd w:id="220"/>
      <w:bookmarkEnd w:id="221"/>
      <w:bookmarkEnd w:id="222"/>
      <w:bookmarkEnd w:id="223"/>
    </w:p>
    <w:p w14:paraId="2550F04C">
      <w:pPr>
        <w:pStyle w:val="118"/>
        <w:adjustRightInd w:val="0"/>
        <w:snapToGrid w:val="0"/>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本合同于</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年</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月</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日签订。</w:t>
      </w:r>
    </w:p>
    <w:p w14:paraId="49109BDC">
      <w:pPr>
        <w:pStyle w:val="120"/>
        <w:adjustRightInd w:val="0"/>
        <w:snapToGrid w:val="0"/>
        <w:spacing w:before="0" w:after="0" w:line="360" w:lineRule="auto"/>
        <w:ind w:firstLine="482" w:firstLineChars="200"/>
        <w:outlineLvl w:val="9"/>
        <w:rPr>
          <w:rFonts w:hint="eastAsia" w:ascii="仿宋" w:hAnsi="仿宋" w:eastAsia="仿宋" w:cs="仿宋"/>
          <w:sz w:val="24"/>
          <w:szCs w:val="24"/>
          <w:highlight w:val="none"/>
        </w:rPr>
      </w:pPr>
      <w:bookmarkStart w:id="224" w:name="_Toc453921452"/>
      <w:bookmarkStart w:id="225" w:name="_Toc462649370"/>
      <w:bookmarkStart w:id="226" w:name="_Toc500331813"/>
      <w:bookmarkStart w:id="227" w:name="_Toc455465438"/>
      <w:bookmarkStart w:id="228" w:name="_Toc500331920"/>
      <w:r>
        <w:rPr>
          <w:rFonts w:hint="eastAsia" w:ascii="仿宋" w:hAnsi="仿宋" w:eastAsia="仿宋" w:cs="仿宋"/>
          <w:sz w:val="24"/>
          <w:szCs w:val="24"/>
          <w:highlight w:val="none"/>
        </w:rPr>
        <w:t>十、签订地点</w:t>
      </w:r>
      <w:bookmarkEnd w:id="224"/>
      <w:bookmarkEnd w:id="225"/>
      <w:bookmarkEnd w:id="226"/>
      <w:bookmarkEnd w:id="227"/>
      <w:bookmarkEnd w:id="228"/>
    </w:p>
    <w:p w14:paraId="45577CFF">
      <w:pPr>
        <w:pStyle w:val="118"/>
        <w:adjustRightInd w:val="0"/>
        <w:snapToGrid w:val="0"/>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本合同在</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签订。</w:t>
      </w:r>
    </w:p>
    <w:p w14:paraId="5E933E7B">
      <w:pPr>
        <w:pStyle w:val="120"/>
        <w:adjustRightInd w:val="0"/>
        <w:snapToGrid w:val="0"/>
        <w:spacing w:before="0" w:after="0" w:line="360" w:lineRule="auto"/>
        <w:ind w:firstLine="482" w:firstLineChars="200"/>
        <w:outlineLvl w:val="9"/>
        <w:rPr>
          <w:rFonts w:hint="eastAsia" w:ascii="仿宋" w:hAnsi="仿宋" w:eastAsia="仿宋" w:cs="仿宋"/>
          <w:sz w:val="24"/>
          <w:szCs w:val="24"/>
          <w:highlight w:val="none"/>
        </w:rPr>
      </w:pPr>
      <w:bookmarkStart w:id="229" w:name="_Toc453921453"/>
      <w:bookmarkStart w:id="230" w:name="_Toc500331921"/>
      <w:bookmarkStart w:id="231" w:name="_Toc462649371"/>
      <w:bookmarkStart w:id="232" w:name="_Toc500331814"/>
      <w:bookmarkStart w:id="233" w:name="_Toc455465439"/>
      <w:r>
        <w:rPr>
          <w:rFonts w:hint="eastAsia" w:ascii="仿宋" w:hAnsi="仿宋" w:eastAsia="仿宋" w:cs="仿宋"/>
          <w:sz w:val="24"/>
          <w:szCs w:val="24"/>
          <w:highlight w:val="none"/>
        </w:rPr>
        <w:t>十一、补充协议</w:t>
      </w:r>
      <w:bookmarkEnd w:id="229"/>
      <w:bookmarkEnd w:id="230"/>
      <w:bookmarkEnd w:id="231"/>
      <w:bookmarkEnd w:id="232"/>
      <w:bookmarkEnd w:id="233"/>
    </w:p>
    <w:p w14:paraId="44E52638">
      <w:pPr>
        <w:pStyle w:val="118"/>
        <w:adjustRightInd w:val="0"/>
        <w:snapToGrid w:val="0"/>
        <w:spacing w:line="360" w:lineRule="auto"/>
        <w:ind w:firstLine="480"/>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合同未尽事宜，合同当事人另行签订补充协议，补充协议是合同的组成部分。</w:t>
      </w:r>
    </w:p>
    <w:p w14:paraId="2E38624B">
      <w:pPr>
        <w:pStyle w:val="120"/>
        <w:adjustRightInd w:val="0"/>
        <w:snapToGrid w:val="0"/>
        <w:spacing w:before="0" w:after="0" w:line="360" w:lineRule="auto"/>
        <w:ind w:firstLine="482" w:firstLineChars="200"/>
        <w:outlineLvl w:val="9"/>
        <w:rPr>
          <w:rFonts w:hint="eastAsia" w:ascii="仿宋" w:hAnsi="仿宋" w:eastAsia="仿宋" w:cs="仿宋"/>
          <w:sz w:val="24"/>
          <w:szCs w:val="24"/>
          <w:highlight w:val="none"/>
        </w:rPr>
      </w:pPr>
      <w:bookmarkStart w:id="234" w:name="_Toc500331922"/>
      <w:bookmarkStart w:id="235" w:name="_Toc455465440"/>
      <w:bookmarkStart w:id="236" w:name="_Toc500331815"/>
      <w:bookmarkStart w:id="237" w:name="_Toc453921454"/>
      <w:bookmarkStart w:id="238" w:name="_Toc462649372"/>
      <w:r>
        <w:rPr>
          <w:rFonts w:hint="eastAsia" w:ascii="仿宋" w:hAnsi="仿宋" w:eastAsia="仿宋" w:cs="仿宋"/>
          <w:sz w:val="24"/>
          <w:szCs w:val="24"/>
          <w:highlight w:val="none"/>
        </w:rPr>
        <w:t>十二、合同生效</w:t>
      </w:r>
      <w:bookmarkEnd w:id="234"/>
      <w:bookmarkEnd w:id="235"/>
      <w:bookmarkEnd w:id="236"/>
      <w:bookmarkEnd w:id="237"/>
      <w:bookmarkEnd w:id="238"/>
    </w:p>
    <w:p w14:paraId="129CFC01">
      <w:pPr>
        <w:pStyle w:val="118"/>
        <w:adjustRightInd w:val="0"/>
        <w:snapToGrid w:val="0"/>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本合同自</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生效。</w:t>
      </w:r>
    </w:p>
    <w:p w14:paraId="001383CF">
      <w:pPr>
        <w:pStyle w:val="120"/>
        <w:adjustRightInd w:val="0"/>
        <w:snapToGrid w:val="0"/>
        <w:spacing w:before="0" w:after="0" w:line="360" w:lineRule="auto"/>
        <w:ind w:firstLine="482" w:firstLineChars="200"/>
        <w:outlineLvl w:val="9"/>
        <w:rPr>
          <w:rFonts w:hint="eastAsia" w:ascii="仿宋" w:hAnsi="仿宋" w:eastAsia="仿宋" w:cs="仿宋"/>
          <w:sz w:val="24"/>
          <w:szCs w:val="24"/>
          <w:highlight w:val="none"/>
        </w:rPr>
      </w:pPr>
      <w:bookmarkStart w:id="239" w:name="_Toc500331816"/>
      <w:bookmarkStart w:id="240" w:name="_Toc500331923"/>
      <w:bookmarkStart w:id="241" w:name="_Toc453921455"/>
      <w:bookmarkStart w:id="242" w:name="_Toc462649373"/>
      <w:bookmarkStart w:id="243" w:name="_Toc455465441"/>
      <w:r>
        <w:rPr>
          <w:rFonts w:hint="eastAsia" w:ascii="仿宋" w:hAnsi="仿宋" w:eastAsia="仿宋" w:cs="仿宋"/>
          <w:sz w:val="24"/>
          <w:szCs w:val="24"/>
          <w:highlight w:val="none"/>
        </w:rPr>
        <w:t>十三、合同份数</w:t>
      </w:r>
      <w:bookmarkEnd w:id="239"/>
      <w:bookmarkEnd w:id="240"/>
      <w:bookmarkEnd w:id="241"/>
      <w:bookmarkEnd w:id="242"/>
      <w:bookmarkEnd w:id="243"/>
    </w:p>
    <w:p w14:paraId="7E312738">
      <w:pPr>
        <w:pStyle w:val="118"/>
        <w:adjustRightInd w:val="0"/>
        <w:snapToGrid w:val="0"/>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本合同一式</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份，均具有同等法律效力，发包人执</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份，承包人执</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份。</w:t>
      </w:r>
    </w:p>
    <w:p w14:paraId="7F6F9BAE">
      <w:pPr>
        <w:pStyle w:val="118"/>
        <w:adjustRightInd w:val="0"/>
        <w:snapToGrid w:val="0"/>
        <w:spacing w:line="360" w:lineRule="auto"/>
        <w:ind w:firstLine="480"/>
        <w:rPr>
          <w:rFonts w:hint="eastAsia" w:ascii="仿宋" w:hAnsi="仿宋" w:eastAsia="仿宋" w:cs="仿宋"/>
          <w:bCs/>
          <w:sz w:val="24"/>
          <w:szCs w:val="24"/>
          <w:highlight w:val="none"/>
        </w:rPr>
      </w:pPr>
    </w:p>
    <w:p w14:paraId="1B672BD7">
      <w:pPr>
        <w:pStyle w:val="118"/>
        <w:adjustRightInd w:val="0"/>
        <w:snapToGrid w:val="0"/>
        <w:spacing w:line="360" w:lineRule="auto"/>
        <w:ind w:firstLine="480"/>
        <w:rPr>
          <w:rFonts w:hint="eastAsia" w:ascii="仿宋" w:hAnsi="仿宋" w:eastAsia="仿宋" w:cs="仿宋"/>
          <w:bCs/>
          <w:sz w:val="24"/>
          <w:szCs w:val="24"/>
          <w:highlight w:val="none"/>
        </w:rPr>
      </w:pPr>
    </w:p>
    <w:p w14:paraId="6BA73929">
      <w:pPr>
        <w:pStyle w:val="118"/>
        <w:adjustRightInd w:val="0"/>
        <w:snapToGrid w:val="0"/>
        <w:spacing w:line="360" w:lineRule="auto"/>
        <w:ind w:firstLine="480"/>
        <w:rPr>
          <w:rFonts w:hint="eastAsia" w:ascii="仿宋" w:hAnsi="仿宋" w:eastAsia="仿宋" w:cs="仿宋"/>
          <w:bCs/>
          <w:sz w:val="24"/>
          <w:szCs w:val="24"/>
          <w:highlight w:val="none"/>
        </w:rPr>
      </w:pPr>
    </w:p>
    <w:p w14:paraId="22C0340E">
      <w:pPr>
        <w:pStyle w:val="118"/>
        <w:adjustRightInd w:val="0"/>
        <w:snapToGrid w:val="0"/>
        <w:spacing w:line="360" w:lineRule="auto"/>
        <w:rPr>
          <w:rFonts w:hint="eastAsia" w:ascii="仿宋" w:hAnsi="仿宋" w:eastAsia="仿宋" w:cs="仿宋"/>
          <w:sz w:val="24"/>
          <w:szCs w:val="24"/>
          <w:highlight w:val="none"/>
        </w:rPr>
      </w:pPr>
    </w:p>
    <w:p w14:paraId="5E244BC8">
      <w:pPr>
        <w:pStyle w:val="118"/>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发包人：  （公章）             承包人：  （公章）</w:t>
      </w:r>
    </w:p>
    <w:p w14:paraId="2C48BA01">
      <w:pPr>
        <w:pStyle w:val="118"/>
        <w:adjustRightInd w:val="0"/>
        <w:snapToGrid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w:t>
      </w:r>
    </w:p>
    <w:p w14:paraId="71848CFA">
      <w:pPr>
        <w:pStyle w:val="118"/>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法定代表人或其委托代理人：  法定代表人或其委托代理人：</w:t>
      </w:r>
    </w:p>
    <w:p w14:paraId="2777A2C6">
      <w:pPr>
        <w:pStyle w:val="118"/>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（签字）                    （签字）</w:t>
      </w:r>
    </w:p>
    <w:p w14:paraId="6D2E7F90">
      <w:pPr>
        <w:pStyle w:val="118"/>
        <w:adjustRightInd w:val="0"/>
        <w:snapToGrid w:val="0"/>
        <w:spacing w:line="360" w:lineRule="auto"/>
        <w:rPr>
          <w:rFonts w:hint="eastAsia" w:ascii="仿宋" w:hAnsi="仿宋" w:eastAsia="仿宋" w:cs="仿宋"/>
          <w:sz w:val="24"/>
          <w:szCs w:val="24"/>
          <w:highlight w:val="none"/>
          <w:u w:val="single"/>
        </w:rPr>
      </w:pPr>
    </w:p>
    <w:p w14:paraId="554CE947">
      <w:pPr>
        <w:pStyle w:val="118"/>
        <w:tabs>
          <w:tab w:val="left" w:pos="4410"/>
        </w:tabs>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组织机构代码：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组织机构代码：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4C0F79E">
      <w:pPr>
        <w:pStyle w:val="118"/>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地址：</w:t>
      </w:r>
      <w:r>
        <w:rPr>
          <w:rFonts w:hint="eastAsia" w:ascii="仿宋" w:hAnsi="仿宋" w:eastAsia="仿宋" w:cs="仿宋"/>
          <w:sz w:val="24"/>
          <w:szCs w:val="24"/>
          <w:highlight w:val="none"/>
          <w:u w:val="single"/>
        </w:rPr>
        <w:t xml:space="preserve">                     </w:t>
      </w:r>
    </w:p>
    <w:p w14:paraId="6029AD71">
      <w:pPr>
        <w:pStyle w:val="118"/>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邮政编码：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邮政编码：</w:t>
      </w:r>
      <w:r>
        <w:rPr>
          <w:rFonts w:hint="eastAsia" w:ascii="仿宋" w:hAnsi="仿宋" w:eastAsia="仿宋" w:cs="仿宋"/>
          <w:sz w:val="24"/>
          <w:szCs w:val="24"/>
          <w:highlight w:val="none"/>
          <w:u w:val="single"/>
        </w:rPr>
        <w:t xml:space="preserve">                   </w:t>
      </w:r>
    </w:p>
    <w:p w14:paraId="4107AE8C">
      <w:pPr>
        <w:pStyle w:val="118"/>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法定代表人：</w:t>
      </w:r>
      <w:r>
        <w:rPr>
          <w:rFonts w:hint="eastAsia" w:ascii="仿宋" w:hAnsi="仿宋" w:eastAsia="仿宋" w:cs="仿宋"/>
          <w:sz w:val="24"/>
          <w:szCs w:val="24"/>
          <w:highlight w:val="none"/>
          <w:u w:val="single"/>
        </w:rPr>
        <w:t xml:space="preserve">                 </w:t>
      </w:r>
    </w:p>
    <w:p w14:paraId="7ED50228">
      <w:pPr>
        <w:pStyle w:val="118"/>
        <w:adjustRightInd w:val="0"/>
        <w:snapToGrid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委托代理人：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委托代理人：</w:t>
      </w:r>
      <w:r>
        <w:rPr>
          <w:rFonts w:hint="eastAsia" w:ascii="仿宋" w:hAnsi="仿宋" w:eastAsia="仿宋" w:cs="仿宋"/>
          <w:sz w:val="24"/>
          <w:szCs w:val="24"/>
          <w:highlight w:val="none"/>
          <w:u w:val="single"/>
        </w:rPr>
        <w:t xml:space="preserve">                 </w:t>
      </w:r>
    </w:p>
    <w:p w14:paraId="04A9BD87">
      <w:pPr>
        <w:pStyle w:val="118"/>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电话：</w:t>
      </w:r>
      <w:r>
        <w:rPr>
          <w:rFonts w:hint="eastAsia" w:ascii="仿宋" w:hAnsi="仿宋" w:eastAsia="仿宋" w:cs="仿宋"/>
          <w:sz w:val="24"/>
          <w:szCs w:val="24"/>
          <w:highlight w:val="none"/>
          <w:u w:val="single"/>
        </w:rPr>
        <w:t xml:space="preserve">                     </w:t>
      </w:r>
    </w:p>
    <w:p w14:paraId="4AD37B8A">
      <w:pPr>
        <w:pStyle w:val="118"/>
        <w:adjustRightInd w:val="0"/>
        <w:snapToGrid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传真：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传真：</w:t>
      </w:r>
      <w:r>
        <w:rPr>
          <w:rFonts w:hint="eastAsia" w:ascii="仿宋" w:hAnsi="仿宋" w:eastAsia="仿宋" w:cs="仿宋"/>
          <w:sz w:val="24"/>
          <w:szCs w:val="24"/>
          <w:highlight w:val="none"/>
          <w:u w:val="single"/>
        </w:rPr>
        <w:t xml:space="preserve">                     </w:t>
      </w:r>
    </w:p>
    <w:p w14:paraId="506399C7">
      <w:pPr>
        <w:pStyle w:val="118"/>
        <w:adjustRightInd w:val="0"/>
        <w:snapToGrid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电子信箱：</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电子信箱：</w:t>
      </w:r>
      <w:r>
        <w:rPr>
          <w:rFonts w:hint="eastAsia" w:ascii="仿宋" w:hAnsi="仿宋" w:eastAsia="仿宋" w:cs="仿宋"/>
          <w:sz w:val="24"/>
          <w:szCs w:val="24"/>
          <w:highlight w:val="none"/>
          <w:u w:val="single"/>
        </w:rPr>
        <w:t xml:space="preserve">                   </w:t>
      </w:r>
    </w:p>
    <w:p w14:paraId="3986C073">
      <w:pPr>
        <w:pStyle w:val="118"/>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开户银行：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开户银行：</w:t>
      </w:r>
      <w:r>
        <w:rPr>
          <w:rFonts w:hint="eastAsia" w:ascii="仿宋" w:hAnsi="仿宋" w:eastAsia="仿宋" w:cs="仿宋"/>
          <w:sz w:val="24"/>
          <w:szCs w:val="24"/>
          <w:highlight w:val="none"/>
          <w:u w:val="single"/>
        </w:rPr>
        <w:t xml:space="preserve">                   </w:t>
      </w:r>
    </w:p>
    <w:p w14:paraId="2751865A">
      <w:pPr>
        <w:pStyle w:val="118"/>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账号：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账号：</w:t>
      </w:r>
      <w:r>
        <w:rPr>
          <w:rFonts w:hint="eastAsia" w:ascii="仿宋" w:hAnsi="仿宋" w:eastAsia="仿宋" w:cs="仿宋"/>
          <w:sz w:val="24"/>
          <w:szCs w:val="24"/>
          <w:highlight w:val="none"/>
          <w:u w:val="single"/>
        </w:rPr>
        <w:t xml:space="preserve">                     </w:t>
      </w:r>
    </w:p>
    <w:p w14:paraId="5077A628">
      <w:pPr>
        <w:pStyle w:val="117"/>
        <w:adjustRightInd w:val="0"/>
        <w:snapToGrid w:val="0"/>
        <w:spacing w:before="0" w:after="0" w:line="360" w:lineRule="auto"/>
        <w:jc w:val="center"/>
        <w:outlineLvl w:val="1"/>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bookmarkStart w:id="244" w:name="_Toc500331924"/>
      <w:bookmarkStart w:id="245" w:name="_Toc500331817"/>
      <w:bookmarkStart w:id="246" w:name="_Toc453921456"/>
      <w:bookmarkStart w:id="247" w:name="_Toc455465442"/>
      <w:bookmarkStart w:id="248" w:name="_Toc462649374"/>
      <w:r>
        <w:rPr>
          <w:rFonts w:hint="eastAsia" w:ascii="仿宋" w:hAnsi="仿宋" w:eastAsia="仿宋" w:cs="仿宋"/>
          <w:sz w:val="24"/>
          <w:szCs w:val="24"/>
          <w:highlight w:val="none"/>
        </w:rPr>
        <w:t>第二部分 通用合同条款</w:t>
      </w:r>
      <w:bookmarkEnd w:id="244"/>
      <w:bookmarkEnd w:id="245"/>
      <w:bookmarkEnd w:id="246"/>
      <w:bookmarkEnd w:id="247"/>
      <w:bookmarkEnd w:id="248"/>
      <w:bookmarkStart w:id="249" w:name="_Toc337558727"/>
    </w:p>
    <w:bookmarkEnd w:id="249"/>
    <w:p w14:paraId="348FC8B4">
      <w:pPr>
        <w:pStyle w:val="4"/>
        <w:adjustRightInd w:val="0"/>
        <w:snapToGrid w:val="0"/>
        <w:spacing w:before="0" w:after="0" w:line="440" w:lineRule="exact"/>
        <w:rPr>
          <w:rFonts w:hint="eastAsia" w:ascii="仿宋" w:hAnsi="仿宋" w:eastAsia="仿宋" w:cs="仿宋"/>
          <w:sz w:val="24"/>
          <w:szCs w:val="24"/>
          <w:highlight w:val="none"/>
        </w:rPr>
      </w:pPr>
      <w:bookmarkStart w:id="250" w:name="_Toc351203495"/>
      <w:r>
        <w:rPr>
          <w:rFonts w:hint="eastAsia" w:ascii="仿宋" w:hAnsi="仿宋" w:eastAsia="仿宋" w:cs="仿宋"/>
          <w:sz w:val="24"/>
          <w:szCs w:val="24"/>
          <w:highlight w:val="none"/>
        </w:rPr>
        <w:t>1.</w:t>
      </w:r>
      <w:bookmarkStart w:id="251" w:name="_Toc303538973"/>
      <w:bookmarkEnd w:id="251"/>
      <w:bookmarkStart w:id="252" w:name="_Toc303538974"/>
      <w:bookmarkEnd w:id="252"/>
      <w:bookmarkStart w:id="253" w:name="_Toc303538972"/>
      <w:bookmarkEnd w:id="253"/>
      <w:bookmarkStart w:id="254" w:name="_Toc303538976"/>
      <w:bookmarkEnd w:id="254"/>
      <w:bookmarkStart w:id="255" w:name="_Toc303538975"/>
      <w:bookmarkEnd w:id="255"/>
      <w:bookmarkStart w:id="256" w:name="_Toc296346528"/>
      <w:bookmarkStart w:id="257" w:name="_Toc296503027"/>
      <w:r>
        <w:rPr>
          <w:rFonts w:hint="eastAsia" w:ascii="仿宋" w:hAnsi="仿宋" w:eastAsia="仿宋" w:cs="仿宋"/>
          <w:sz w:val="24"/>
          <w:szCs w:val="24"/>
          <w:highlight w:val="none"/>
        </w:rPr>
        <w:t xml:space="preserve"> 一般约定</w:t>
      </w:r>
      <w:bookmarkEnd w:id="250"/>
      <w:bookmarkEnd w:id="256"/>
      <w:bookmarkEnd w:id="257"/>
    </w:p>
    <w:p w14:paraId="1AFFF5EC">
      <w:pPr>
        <w:pStyle w:val="5"/>
        <w:adjustRightInd w:val="0"/>
        <w:snapToGrid w:val="0"/>
        <w:spacing w:line="440" w:lineRule="exact"/>
        <w:ind w:firstLine="482" w:firstLineChars="200"/>
        <w:rPr>
          <w:rFonts w:hint="eastAsia" w:ascii="仿宋" w:hAnsi="仿宋" w:eastAsia="仿宋" w:cs="仿宋"/>
          <w:b/>
          <w:szCs w:val="24"/>
          <w:highlight w:val="none"/>
        </w:rPr>
      </w:pPr>
      <w:bookmarkStart w:id="258" w:name="_Toc337558728"/>
      <w:bookmarkStart w:id="259" w:name="_Toc296346529"/>
      <w:bookmarkStart w:id="260" w:name="_Toc296503028"/>
      <w:bookmarkStart w:id="261" w:name="_Toc351203496"/>
      <w:r>
        <w:rPr>
          <w:rFonts w:hint="eastAsia" w:ascii="仿宋" w:hAnsi="仿宋" w:eastAsia="仿宋" w:cs="仿宋"/>
          <w:b/>
          <w:szCs w:val="24"/>
          <w:highlight w:val="none"/>
        </w:rPr>
        <w:t>1.1词语定义</w:t>
      </w:r>
      <w:bookmarkEnd w:id="258"/>
      <w:bookmarkEnd w:id="259"/>
      <w:bookmarkEnd w:id="260"/>
      <w:r>
        <w:rPr>
          <w:rFonts w:hint="eastAsia" w:ascii="仿宋" w:hAnsi="仿宋" w:eastAsia="仿宋" w:cs="仿宋"/>
          <w:b/>
          <w:szCs w:val="24"/>
          <w:highlight w:val="none"/>
        </w:rPr>
        <w:t>与解释</w:t>
      </w:r>
      <w:bookmarkEnd w:id="261"/>
    </w:p>
    <w:p w14:paraId="455F0B7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合同协议书、通用合同条款、专用合同条款中的下列词语具有本款所赋予的含义：</w:t>
      </w:r>
    </w:p>
    <w:p w14:paraId="43F4D3E3">
      <w:pPr>
        <w:autoSpaceDE w:val="0"/>
        <w:autoSpaceDN w:val="0"/>
        <w:adjustRightInd w:val="0"/>
        <w:snapToGrid w:val="0"/>
        <w:spacing w:line="440" w:lineRule="exact"/>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    1.1.1 合同</w:t>
      </w:r>
    </w:p>
    <w:p w14:paraId="45A2C00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1.1.1.1 合同：是指根据法律规定和合同当事人约定具有约束力的文件，构成合同的文件包括合同协议书、中标通知书（如果有）、投标函及其附录（如果有）、专用合同条款</w:t>
      </w:r>
      <w:r>
        <w:rPr>
          <w:rFonts w:hint="eastAsia" w:ascii="仿宋" w:hAnsi="仿宋" w:eastAsia="仿宋" w:cs="仿宋"/>
          <w:sz w:val="24"/>
          <w:highlight w:val="none"/>
        </w:rPr>
        <w:t>及其附件</w:t>
      </w:r>
      <w:r>
        <w:rPr>
          <w:rFonts w:hint="eastAsia" w:ascii="仿宋" w:hAnsi="仿宋" w:eastAsia="仿宋" w:cs="仿宋"/>
          <w:kern w:val="0"/>
          <w:sz w:val="24"/>
          <w:highlight w:val="none"/>
        </w:rPr>
        <w:t>、通用合同条款、技术标准和要求、图纸、已标价工程量清单或预算书以及其他合同文件。</w:t>
      </w:r>
    </w:p>
    <w:p w14:paraId="6D43286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1.1.1.2 合同协议书：是指构成合同的由发包人和承包人共同签署的称为“合同协议书”的书面文件。</w:t>
      </w:r>
    </w:p>
    <w:p w14:paraId="5FC345C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1.1.1.3 中标通知书：是指构成合同的由发包人通知承包人中标的书面文件。</w:t>
      </w:r>
    </w:p>
    <w:p w14:paraId="6093043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1.1.1.4 投标函：是指构成合同的由承包人填写并签署的用于投标的称为“投标函”的文件。</w:t>
      </w:r>
    </w:p>
    <w:p w14:paraId="382264A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1.1.1.5 投标函附录：是指构成合同的附在投标函后的称为“投标函附录”的文件。</w:t>
      </w:r>
    </w:p>
    <w:p w14:paraId="592FD60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1.1.1.6 技术标准和要求：是指构成合同的施工应当遵守的或指导施工的国家、行业或地方的技术标准和要求，以及合同约定的技术标准和要求。</w:t>
      </w:r>
    </w:p>
    <w:p w14:paraId="44B5435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1.1.1.7 图纸：是指构成合同的图纸，包括由发包人按照合同约定提供或经发包人批准的设计文件、施工图、鸟瞰图及模型等，以及在合同履行过程中形成的图纸文件。图纸应当按照法律规定审查合格。</w:t>
      </w:r>
    </w:p>
    <w:p w14:paraId="09CF1AB8">
      <w:pPr>
        <w:autoSpaceDE w:val="0"/>
        <w:autoSpaceDN w:val="0"/>
        <w:adjustRightInd w:val="0"/>
        <w:snapToGrid w:val="0"/>
        <w:spacing w:line="440" w:lineRule="exact"/>
        <w:ind w:firstLine="468" w:firstLineChars="195"/>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1.1.1.8 已标价工程量清单：是指构成合同的由承包人按照规定的格式和要求填写并标明价格的工程量清单，包括说明和表格。</w:t>
      </w:r>
    </w:p>
    <w:p w14:paraId="6559B3D8">
      <w:pPr>
        <w:autoSpaceDE w:val="0"/>
        <w:autoSpaceDN w:val="0"/>
        <w:adjustRightInd w:val="0"/>
        <w:snapToGrid w:val="0"/>
        <w:spacing w:line="440" w:lineRule="exact"/>
        <w:ind w:firstLine="468" w:firstLineChars="195"/>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1.1.1.9 预算书：是指构成合同的由承包人按照发包人规定的格式和要求编制的工程预算文件。</w:t>
      </w:r>
    </w:p>
    <w:p w14:paraId="61FFA96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1.1.1.10 其他合同文件：是指经合同当事人约定的与工程施工有关的具有合同约束力的文件或书面协议。合同当事人可以在专用合同条款中进行约定。</w:t>
      </w:r>
    </w:p>
    <w:p w14:paraId="044BC9F1">
      <w:pPr>
        <w:autoSpaceDE w:val="0"/>
        <w:autoSpaceDN w:val="0"/>
        <w:adjustRightInd w:val="0"/>
        <w:snapToGrid w:val="0"/>
        <w:spacing w:line="440" w:lineRule="exact"/>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    1.1.2 合同当事人及其他相关方</w:t>
      </w:r>
    </w:p>
    <w:p w14:paraId="75BB1FB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1.1.2.1 合同当事人：是指发包人和（或）承包人。</w:t>
      </w:r>
    </w:p>
    <w:p w14:paraId="2CBF6BC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1.1.2.2 发包人：是指与承包人签订合同协议书的当事人及取得该当事人资格的合法继承人。</w:t>
      </w:r>
    </w:p>
    <w:p w14:paraId="1910C4D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1.1.2.3 承包人：是指与发包人签订合同协议书的，具有相应工程施工承包资质的当事人及取得该当事人资格的合法继承人。</w:t>
      </w:r>
    </w:p>
    <w:p w14:paraId="2E12610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1.1.2.4 监理人：是指在专用合同条款中指明的，受发包人委托按照法律规定进行工程监督管理的法人或其他组织。</w:t>
      </w:r>
    </w:p>
    <w:p w14:paraId="48EFF91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1.1.2.5 设计人：是指在专用合同条款中指明的，受发包人委托负责工程设计并具备相应工程设计资质的法人或其他组织。</w:t>
      </w:r>
    </w:p>
    <w:p w14:paraId="206E5D59">
      <w:pPr>
        <w:adjustRightInd w:val="0"/>
        <w:snapToGrid w:val="0"/>
        <w:spacing w:line="440" w:lineRule="exact"/>
        <w:ind w:firstLine="468" w:firstLineChars="195"/>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1.1.2.6 分包人：</w:t>
      </w:r>
      <w:bookmarkStart w:id="262" w:name="#go5"/>
      <w:bookmarkEnd w:id="262"/>
      <w:r>
        <w:rPr>
          <w:rFonts w:hint="eastAsia" w:ascii="仿宋" w:hAnsi="仿宋" w:eastAsia="仿宋" w:cs="仿宋"/>
          <w:kern w:val="0"/>
          <w:sz w:val="24"/>
          <w:highlight w:val="none"/>
        </w:rPr>
        <w:t>是指按照法律规定和合同约定，分包部分工程或工作，并与承包人签订分包合同的具有相应资质的法人。</w:t>
      </w:r>
    </w:p>
    <w:p w14:paraId="2DE0FD3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1.1.2.7 发包人代表：是指由发包人任命并派驻施工现场在发包人授权范围内行使发包人权利的人。</w:t>
      </w:r>
    </w:p>
    <w:p w14:paraId="7D25BCC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1.1.2.8 项目经理：是指由承包人任命并派驻施工现场，在承包人授权范围内负责合同履行，且按照法律规定具有相应资格的项目负责人。</w:t>
      </w:r>
    </w:p>
    <w:p w14:paraId="3EAE0E93">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1.1.2.9 总监理工程师：是指由监理人任命并派驻施工现场进行工程监理的总负责人。</w:t>
      </w:r>
    </w:p>
    <w:p w14:paraId="5129D5D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1.1.3 工程和设备</w:t>
      </w:r>
    </w:p>
    <w:p w14:paraId="5046B16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1.1.3.1 工程：是指与合同协议书中工程承包范围对应的永久工程和（或）临时工程。</w:t>
      </w:r>
    </w:p>
    <w:p w14:paraId="149FCB6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1.1.3.2 永久工程：是指按合同约定建造并移交给发包人的工程，包括工程设备。</w:t>
      </w:r>
    </w:p>
    <w:p w14:paraId="4394DCC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1.1.3.3 临时工程：是指为完成合同约定的永久工程所修建的各类临时性工程，不包括施工设备。</w:t>
      </w:r>
    </w:p>
    <w:p w14:paraId="5D62DD47">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1.1.3.4 单位工程：是指在合同协议书中指明的，具备独立施工条件并能形成独立使用功能的永久工程。</w:t>
      </w:r>
    </w:p>
    <w:p w14:paraId="1A63E48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1.1.3.5 工程设备：是指构成永久工程的机电设备、金属结构设备、仪器及其他类似的设备和装置。</w:t>
      </w:r>
    </w:p>
    <w:p w14:paraId="5D71841E">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1.1.3.6 施工设备：是指为完成合同约定的各项工作所需的设备、器具和其他物品，但不包括工程设备、临时工程和材料。</w:t>
      </w:r>
    </w:p>
    <w:p w14:paraId="4734502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1.1.3.7 施工现场：是指用于工程施工的场所，以及在专用合同条款中指明作为施工场所组成部分的其他场所，包括永久占地和临时占地。</w:t>
      </w:r>
    </w:p>
    <w:p w14:paraId="7978FDA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1.1.3.8临时设施：是指为完成合同约定的各项工作所服务的临时性生产和生活设施。</w:t>
      </w:r>
    </w:p>
    <w:p w14:paraId="0AD4DFC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1.1.3.9 永久占地：是指专用合同条款中指明为实施工程需永久占用的土地。</w:t>
      </w:r>
    </w:p>
    <w:p w14:paraId="5FE4FFD6">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1.1.3.10 临时占地：是指专用合同条款中指明为实施工程需要临时占用的土地。</w:t>
      </w:r>
    </w:p>
    <w:p w14:paraId="795F35B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1.1.4 日期和期限</w:t>
      </w:r>
    </w:p>
    <w:p w14:paraId="2D09A97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3C114E40">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1.1.4.2 竣工日期：包括计划竣工日期和实际竣工日期。计划竣工日期是指合同协议书约定的竣工日期；实际竣工日期按照第13.2.3项〔竣工日期〕的约定确定。 </w:t>
      </w:r>
    </w:p>
    <w:p w14:paraId="7651A67D">
      <w:pPr>
        <w:adjustRightInd w:val="0"/>
        <w:snapToGrid w:val="0"/>
        <w:spacing w:line="440" w:lineRule="exact"/>
        <w:ind w:firstLine="487" w:firstLineChars="203"/>
        <w:rPr>
          <w:rFonts w:hint="eastAsia" w:ascii="仿宋" w:hAnsi="仿宋" w:eastAsia="仿宋" w:cs="仿宋"/>
          <w:sz w:val="24"/>
          <w:highlight w:val="none"/>
        </w:rPr>
      </w:pPr>
      <w:r>
        <w:rPr>
          <w:rFonts w:hint="eastAsia" w:ascii="仿宋" w:hAnsi="仿宋" w:eastAsia="仿宋" w:cs="仿宋"/>
          <w:kern w:val="0"/>
          <w:sz w:val="24"/>
          <w:highlight w:val="none"/>
        </w:rPr>
        <w:t>1.1.4.3 工期：是指在合同协议书约定的承包人完成工程所需的期限，包括按照合同约定所作的期限变更。</w:t>
      </w:r>
    </w:p>
    <w:p w14:paraId="69C3A23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1.1.4.4 缺陷责任期：是指承包人按照合同约定承担缺陷修复义务，且发包人预留质量保证金（已缴纳履约保证金的除外）的期限，自工程实际竣工日期起计算。</w:t>
      </w:r>
    </w:p>
    <w:p w14:paraId="646F419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1.1.4.5 保修期：是指承包人按照合同约定对工程承担保修责任的期限，从工程竣工验收合格之日起计算。</w:t>
      </w:r>
    </w:p>
    <w:p w14:paraId="29B691B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1.1.4.6 基准日期：招标发包的工程以投标截止日前28天的日期为基准日期，直接发包的工程以合同签订日前28天的日期为基准日期。</w:t>
      </w:r>
    </w:p>
    <w:p w14:paraId="68A43D2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1.1.4.7 天：除特别指明外，均指日历天。合同中按天计算时间的，开始当天不计入，从次日开始计算，期限最后一天的截止时间为当天24:00时。</w:t>
      </w:r>
    </w:p>
    <w:p w14:paraId="24F652AD">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1.1.5 合同价格和费用</w:t>
      </w:r>
    </w:p>
    <w:p w14:paraId="679D8FF0">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1.1.5.1 签约合同价：是指</w:t>
      </w:r>
      <w:r>
        <w:rPr>
          <w:rFonts w:hint="eastAsia" w:ascii="仿宋" w:hAnsi="仿宋" w:eastAsia="仿宋" w:cs="仿宋"/>
          <w:sz w:val="24"/>
          <w:highlight w:val="none"/>
        </w:rPr>
        <w:t>发包人和承包人在合同协议书中确定的总金额，包括安全文明施工费、暂估价及暂列金额等。</w:t>
      </w:r>
    </w:p>
    <w:p w14:paraId="193593BD">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1.1.5.2 合同价格：是指发包人用于支付承包人按照合同约定完成承包范围内全部工作的金额，包括合同履行过程中按合同约定发生的价格变化。</w:t>
      </w:r>
    </w:p>
    <w:p w14:paraId="471720A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1.1.5.3 费用：是指为履行合同所发生的或将要发生的所有必需的开支，包括管理费和应分摊的其他费用，但不包括利润。</w:t>
      </w:r>
    </w:p>
    <w:p w14:paraId="4DC226A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1.1.5.4 暂估价：是指发包人在工程量清单或预算书中提供的用于支付必然发生但暂时不能确定价格的材料、工程设备的单价、专业工程以及服务工作的金额。</w:t>
      </w:r>
    </w:p>
    <w:p w14:paraId="57C580B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78CFAE1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1.1.5.6 计日工：是指合同履行过程中，承包人完成发包人提出的零星工作或需要采用计日工计价的变更工作时，按合同中约定的单价计价的一种方式。</w:t>
      </w:r>
    </w:p>
    <w:p w14:paraId="7A00F59A">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1.1.5.7 质量保证金</w:t>
      </w:r>
      <w:bookmarkStart w:id="263" w:name="#go2"/>
      <w:bookmarkEnd w:id="263"/>
      <w:r>
        <w:rPr>
          <w:rFonts w:hint="eastAsia" w:ascii="仿宋" w:hAnsi="仿宋" w:eastAsia="仿宋" w:cs="仿宋"/>
          <w:kern w:val="0"/>
          <w:sz w:val="24"/>
          <w:highlight w:val="none"/>
        </w:rPr>
        <w:t>：是指按照第15.3款〔质量保证金〕约定承包人用于保证其在缺陷责任期内履行缺陷修补义务的担保</w:t>
      </w:r>
      <w:r>
        <w:rPr>
          <w:rFonts w:hint="eastAsia" w:ascii="仿宋" w:hAnsi="仿宋" w:eastAsia="仿宋" w:cs="仿宋"/>
          <w:sz w:val="24"/>
          <w:highlight w:val="none"/>
        </w:rPr>
        <w:t>。</w:t>
      </w:r>
    </w:p>
    <w:p w14:paraId="786A865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1.1.5.8 总价项目：是指在现行国家、行业以及地方的计量规则中无工程量计算规则，在已标价工程量清单或预算书中以总价或以费率形式计算的项目。</w:t>
      </w:r>
    </w:p>
    <w:p w14:paraId="00CDFEEE">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1.1.6 其他</w:t>
      </w:r>
    </w:p>
    <w:p w14:paraId="1E71F034">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1.1.6.1 书面形式：是指合同文件、信函、电报、传真等可以有形地表现所载内容的形式。</w:t>
      </w:r>
    </w:p>
    <w:p w14:paraId="48ED5F40">
      <w:pPr>
        <w:pStyle w:val="5"/>
        <w:adjustRightInd w:val="0"/>
        <w:snapToGrid w:val="0"/>
        <w:spacing w:line="440" w:lineRule="exact"/>
        <w:ind w:firstLine="482" w:firstLineChars="200"/>
        <w:rPr>
          <w:rFonts w:hint="eastAsia" w:ascii="仿宋" w:hAnsi="仿宋" w:eastAsia="仿宋" w:cs="仿宋"/>
          <w:b/>
          <w:szCs w:val="24"/>
          <w:highlight w:val="none"/>
        </w:rPr>
      </w:pPr>
      <w:bookmarkStart w:id="264" w:name="_Toc296346530"/>
      <w:bookmarkStart w:id="265" w:name="_Toc351203497"/>
      <w:bookmarkStart w:id="266" w:name="_Toc296503029"/>
      <w:bookmarkStart w:id="267" w:name="_Toc337558729"/>
      <w:r>
        <w:rPr>
          <w:rFonts w:hint="eastAsia" w:ascii="仿宋" w:hAnsi="仿宋" w:eastAsia="仿宋" w:cs="仿宋"/>
          <w:b/>
          <w:szCs w:val="24"/>
          <w:highlight w:val="none"/>
        </w:rPr>
        <w:t>1.2语言文字</w:t>
      </w:r>
      <w:bookmarkEnd w:id="264"/>
      <w:bookmarkEnd w:id="265"/>
      <w:bookmarkEnd w:id="266"/>
      <w:bookmarkEnd w:id="267"/>
    </w:p>
    <w:p w14:paraId="06E13C4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合同以中国的汉语简体文字编写、解释和说明。合同当事人在专用合同条款中约定使用两种以上语言时，汉语为优先解释和说明合同的语言。</w:t>
      </w:r>
    </w:p>
    <w:p w14:paraId="7C40D5CE">
      <w:pPr>
        <w:pStyle w:val="5"/>
        <w:adjustRightInd w:val="0"/>
        <w:snapToGrid w:val="0"/>
        <w:spacing w:line="440" w:lineRule="exact"/>
        <w:ind w:firstLine="482" w:firstLineChars="200"/>
        <w:rPr>
          <w:rFonts w:hint="eastAsia" w:ascii="仿宋" w:hAnsi="仿宋" w:eastAsia="仿宋" w:cs="仿宋"/>
          <w:b/>
          <w:szCs w:val="24"/>
          <w:highlight w:val="none"/>
        </w:rPr>
      </w:pPr>
      <w:bookmarkStart w:id="268" w:name="_Toc351203498"/>
      <w:bookmarkStart w:id="269" w:name="_Toc296503030"/>
      <w:bookmarkStart w:id="270" w:name="_Toc337558730"/>
      <w:bookmarkStart w:id="271" w:name="_Toc296346531"/>
      <w:r>
        <w:rPr>
          <w:rFonts w:hint="eastAsia" w:ascii="仿宋" w:hAnsi="仿宋" w:eastAsia="仿宋" w:cs="仿宋"/>
          <w:b/>
          <w:szCs w:val="24"/>
          <w:highlight w:val="none"/>
        </w:rPr>
        <w:t>1.3法律</w:t>
      </w:r>
      <w:bookmarkEnd w:id="268"/>
      <w:bookmarkEnd w:id="269"/>
      <w:bookmarkEnd w:id="270"/>
      <w:bookmarkEnd w:id="271"/>
    </w:p>
    <w:p w14:paraId="62F2BAF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合同所称法律是指中华人民共和国法律、行政法规、部门规章，以及工程所在地的地方性法规、自治条例、单行条例和地方政府规章等。</w:t>
      </w:r>
    </w:p>
    <w:p w14:paraId="1BA9F25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合同当事人可以在专用合同条款中约定合同适用的其他规范性文件。</w:t>
      </w:r>
    </w:p>
    <w:p w14:paraId="7B843EB6">
      <w:pPr>
        <w:pStyle w:val="5"/>
        <w:adjustRightInd w:val="0"/>
        <w:snapToGrid w:val="0"/>
        <w:spacing w:line="440" w:lineRule="exact"/>
        <w:ind w:firstLine="482" w:firstLineChars="200"/>
        <w:rPr>
          <w:rFonts w:hint="eastAsia" w:ascii="仿宋" w:hAnsi="仿宋" w:eastAsia="仿宋" w:cs="仿宋"/>
          <w:b/>
          <w:szCs w:val="24"/>
          <w:highlight w:val="none"/>
        </w:rPr>
      </w:pPr>
      <w:bookmarkStart w:id="272" w:name="_Toc351203499"/>
      <w:r>
        <w:rPr>
          <w:rFonts w:hint="eastAsia" w:ascii="仿宋" w:hAnsi="仿宋" w:eastAsia="仿宋" w:cs="仿宋"/>
          <w:b/>
          <w:szCs w:val="24"/>
          <w:highlight w:val="none"/>
        </w:rPr>
        <w:t>1.4 标准和规范</w:t>
      </w:r>
      <w:bookmarkEnd w:id="272"/>
    </w:p>
    <w:p w14:paraId="25D8A42B">
      <w:pPr>
        <w:autoSpaceDE w:val="0"/>
        <w:autoSpaceDN w:val="0"/>
        <w:adjustRightInd w:val="0"/>
        <w:snapToGrid w:val="0"/>
        <w:spacing w:line="440" w:lineRule="exact"/>
        <w:ind w:firstLine="64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1.4.1 适用于工程的国家标准、行业标准、工程所在地的地方性标准，以及相应的规范、规程等，合同当事人有特别要求的，应在专用合同条款中约定。</w:t>
      </w:r>
    </w:p>
    <w:p w14:paraId="6815616D">
      <w:pPr>
        <w:autoSpaceDE w:val="0"/>
        <w:autoSpaceDN w:val="0"/>
        <w:adjustRightInd w:val="0"/>
        <w:snapToGrid w:val="0"/>
        <w:spacing w:line="440" w:lineRule="exact"/>
        <w:ind w:firstLine="64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1.4.2 发包人要求使用国外标准、规范的，发包人负责提供原文版本和中文译本，并在专用合同条款中约定提供标准规范的名称、份数和时间。</w:t>
      </w:r>
    </w:p>
    <w:p w14:paraId="06D36265">
      <w:pPr>
        <w:autoSpaceDE w:val="0"/>
        <w:autoSpaceDN w:val="0"/>
        <w:adjustRightInd w:val="0"/>
        <w:snapToGrid w:val="0"/>
        <w:spacing w:line="440" w:lineRule="exact"/>
        <w:ind w:firstLine="64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440EFD24">
      <w:pPr>
        <w:pStyle w:val="5"/>
        <w:adjustRightInd w:val="0"/>
        <w:snapToGrid w:val="0"/>
        <w:spacing w:line="440" w:lineRule="exact"/>
        <w:ind w:firstLine="482" w:firstLineChars="200"/>
        <w:rPr>
          <w:rFonts w:hint="eastAsia" w:ascii="仿宋" w:hAnsi="仿宋" w:eastAsia="仿宋" w:cs="仿宋"/>
          <w:b/>
          <w:szCs w:val="24"/>
          <w:highlight w:val="none"/>
        </w:rPr>
      </w:pPr>
      <w:bookmarkStart w:id="273" w:name="_Toc351203500"/>
      <w:r>
        <w:rPr>
          <w:rFonts w:hint="eastAsia" w:ascii="仿宋" w:hAnsi="仿宋" w:eastAsia="仿宋" w:cs="仿宋"/>
          <w:b/>
          <w:szCs w:val="24"/>
          <w:highlight w:val="none"/>
        </w:rPr>
        <w:t>1</w:t>
      </w:r>
      <w:bookmarkStart w:id="274" w:name="_Toc337558731"/>
      <w:bookmarkStart w:id="275" w:name="_Toc296503031"/>
      <w:bookmarkStart w:id="276" w:name="_Toc296346532"/>
      <w:r>
        <w:rPr>
          <w:rFonts w:hint="eastAsia" w:ascii="仿宋" w:hAnsi="仿宋" w:eastAsia="仿宋" w:cs="仿宋"/>
          <w:b/>
          <w:szCs w:val="24"/>
          <w:highlight w:val="none"/>
        </w:rPr>
        <w:t>.5 合同文件的优先顺序</w:t>
      </w:r>
      <w:bookmarkEnd w:id="273"/>
    </w:p>
    <w:bookmarkEnd w:id="274"/>
    <w:bookmarkEnd w:id="275"/>
    <w:bookmarkEnd w:id="276"/>
    <w:p w14:paraId="1C50FD2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组成合同的各项文件应互相解释，互为说明。除专用合同条款另有约定外，解释合同文件的优先顺序如下：</w:t>
      </w:r>
    </w:p>
    <w:p w14:paraId="0D86CAC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（1）合同协议书；</w:t>
      </w:r>
    </w:p>
    <w:p w14:paraId="5357A22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（2）中标通知书（如果有）；</w:t>
      </w:r>
    </w:p>
    <w:p w14:paraId="0BB3883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（3）投标函及其附录（如果有）；</w:t>
      </w:r>
    </w:p>
    <w:p w14:paraId="3426CD0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（4）专用合同条款</w:t>
      </w:r>
      <w:r>
        <w:rPr>
          <w:rFonts w:hint="eastAsia" w:ascii="仿宋" w:hAnsi="仿宋" w:eastAsia="仿宋" w:cs="仿宋"/>
          <w:sz w:val="24"/>
          <w:highlight w:val="none"/>
        </w:rPr>
        <w:t>及其附件</w:t>
      </w:r>
      <w:r>
        <w:rPr>
          <w:rFonts w:hint="eastAsia" w:ascii="仿宋" w:hAnsi="仿宋" w:eastAsia="仿宋" w:cs="仿宋"/>
          <w:kern w:val="0"/>
          <w:sz w:val="24"/>
          <w:highlight w:val="none"/>
        </w:rPr>
        <w:t>；</w:t>
      </w:r>
    </w:p>
    <w:p w14:paraId="799491D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（5）通用合同条款；</w:t>
      </w:r>
    </w:p>
    <w:p w14:paraId="34D04DC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（6）技术标准和要求；</w:t>
      </w:r>
    </w:p>
    <w:p w14:paraId="651428D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（7）图纸；</w:t>
      </w:r>
    </w:p>
    <w:p w14:paraId="17C9163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（8）已标价工程量清单或预算书；</w:t>
      </w:r>
    </w:p>
    <w:p w14:paraId="6EDC90A4">
      <w:pPr>
        <w:autoSpaceDE w:val="0"/>
        <w:autoSpaceDN w:val="0"/>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（9）其他合同文件。</w:t>
      </w:r>
    </w:p>
    <w:p w14:paraId="77930A99">
      <w:pPr>
        <w:adjustRightInd w:val="0"/>
        <w:snapToGrid w:val="0"/>
        <w:spacing w:line="440" w:lineRule="exact"/>
        <w:ind w:firstLine="511" w:firstLineChars="213"/>
        <w:rPr>
          <w:rFonts w:hint="eastAsia" w:ascii="仿宋" w:hAnsi="仿宋" w:eastAsia="仿宋" w:cs="仿宋"/>
          <w:sz w:val="24"/>
          <w:highlight w:val="none"/>
        </w:rPr>
      </w:pPr>
      <w:r>
        <w:rPr>
          <w:rFonts w:hint="eastAsia" w:ascii="仿宋" w:hAnsi="仿宋" w:eastAsia="仿宋" w:cs="仿宋"/>
          <w:sz w:val="24"/>
          <w:highlight w:val="none"/>
        </w:rPr>
        <w:t>上述各项合同文件包括合同当事人就该项合同文件所作出的补充和修改，属于同一类内容的文件，应以最新签署的为准。</w:t>
      </w:r>
    </w:p>
    <w:p w14:paraId="1BC73245">
      <w:pPr>
        <w:adjustRightInd w:val="0"/>
        <w:snapToGrid w:val="0"/>
        <w:spacing w:line="440" w:lineRule="exact"/>
        <w:ind w:firstLine="511" w:firstLineChars="213"/>
        <w:rPr>
          <w:rFonts w:hint="eastAsia" w:ascii="仿宋" w:hAnsi="仿宋" w:eastAsia="仿宋" w:cs="仿宋"/>
          <w:sz w:val="24"/>
          <w:highlight w:val="none"/>
        </w:rPr>
      </w:pPr>
      <w:r>
        <w:rPr>
          <w:rFonts w:hint="eastAsia" w:ascii="仿宋" w:hAnsi="仿宋" w:eastAsia="仿宋" w:cs="仿宋"/>
          <w:sz w:val="24"/>
          <w:highlight w:val="none"/>
        </w:rPr>
        <w:t>在合同订立及履行过程中形成的与合同有关的文件均构成合同文件组成部分，并根据其性质确定优先解释顺序。</w:t>
      </w:r>
    </w:p>
    <w:p w14:paraId="6EF4ECF0">
      <w:pPr>
        <w:pStyle w:val="5"/>
        <w:adjustRightInd w:val="0"/>
        <w:snapToGrid w:val="0"/>
        <w:spacing w:line="440" w:lineRule="exact"/>
        <w:ind w:firstLine="482" w:firstLineChars="200"/>
        <w:rPr>
          <w:rFonts w:hint="eastAsia" w:ascii="仿宋" w:hAnsi="仿宋" w:eastAsia="仿宋" w:cs="仿宋"/>
          <w:b/>
          <w:szCs w:val="24"/>
          <w:highlight w:val="none"/>
        </w:rPr>
      </w:pPr>
      <w:bookmarkStart w:id="277" w:name="_Toc351203501"/>
      <w:r>
        <w:rPr>
          <w:rFonts w:hint="eastAsia" w:ascii="仿宋" w:hAnsi="仿宋" w:eastAsia="仿宋" w:cs="仿宋"/>
          <w:b/>
          <w:szCs w:val="24"/>
          <w:highlight w:val="none"/>
        </w:rPr>
        <w:t>1</w:t>
      </w:r>
      <w:bookmarkStart w:id="278" w:name="_Toc296503032"/>
      <w:bookmarkStart w:id="279" w:name="_Toc337558732"/>
      <w:bookmarkStart w:id="280" w:name="_Toc296346533"/>
      <w:r>
        <w:rPr>
          <w:rFonts w:hint="eastAsia" w:ascii="仿宋" w:hAnsi="仿宋" w:eastAsia="仿宋" w:cs="仿宋"/>
          <w:b/>
          <w:szCs w:val="24"/>
          <w:highlight w:val="none"/>
        </w:rPr>
        <w:t>.6图纸和承包人文件</w:t>
      </w:r>
      <w:bookmarkEnd w:id="277"/>
    </w:p>
    <w:bookmarkEnd w:id="278"/>
    <w:bookmarkEnd w:id="279"/>
    <w:bookmarkEnd w:id="280"/>
    <w:p w14:paraId="2195074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1.6.1 图纸的提供和交底</w:t>
      </w:r>
    </w:p>
    <w:p w14:paraId="0C2957A3">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6517BA0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因发包人未按合同约定提供图纸导致承包人费用增加和（或）工期延误的，按照第7.5.1项〔因发包人原因导致工期延误〕约定办理。</w:t>
      </w:r>
    </w:p>
    <w:p w14:paraId="23EB330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1.6.2 图纸的错误</w:t>
      </w:r>
    </w:p>
    <w:p w14:paraId="7FAC7640">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774558BB">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1.6.3 图纸的修改和补充</w:t>
      </w:r>
    </w:p>
    <w:p w14:paraId="6B63C7AD">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图纸需要修改和补充的，应经图纸原设计人及审批部门同意，并由监理人在工程或工程相应部位施工前将修改后的图纸或补充图纸提交给承包人，承包人应按修改或补充后的图纸施工。</w:t>
      </w:r>
    </w:p>
    <w:p w14:paraId="2AE545CC">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1.6.4 承包人文件</w:t>
      </w:r>
    </w:p>
    <w:p w14:paraId="7AAE5FE0">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承包人应按照专用合同条款的约定提供应当由其编制的与工程施工有关的文件，并按照专用合同条款约定的期限、数量和形式提交监理人，并由监理人报送发包人。</w:t>
      </w:r>
    </w:p>
    <w:p w14:paraId="0742954C">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71D4DAD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1.6.5 图纸和承包人文件的保管</w:t>
      </w:r>
    </w:p>
    <w:p w14:paraId="20B3782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除专用合同条款另有约定外，承包人应在施工现场另外保存一套完整的图纸和承包人文件，供发包人、监理人及有关人员进行工程检查时使用。</w:t>
      </w:r>
    </w:p>
    <w:p w14:paraId="59CA0BC9">
      <w:pPr>
        <w:pStyle w:val="5"/>
        <w:adjustRightInd w:val="0"/>
        <w:snapToGrid w:val="0"/>
        <w:spacing w:line="440" w:lineRule="exact"/>
        <w:ind w:firstLine="482" w:firstLineChars="200"/>
        <w:rPr>
          <w:rFonts w:hint="eastAsia" w:ascii="仿宋" w:hAnsi="仿宋" w:eastAsia="仿宋" w:cs="仿宋"/>
          <w:b/>
          <w:szCs w:val="24"/>
          <w:highlight w:val="none"/>
        </w:rPr>
      </w:pPr>
      <w:bookmarkStart w:id="281" w:name="_Toc351203502"/>
      <w:r>
        <w:rPr>
          <w:rFonts w:hint="eastAsia" w:ascii="仿宋" w:hAnsi="仿宋" w:eastAsia="仿宋" w:cs="仿宋"/>
          <w:b/>
          <w:szCs w:val="24"/>
          <w:highlight w:val="none"/>
        </w:rPr>
        <w:t>1</w:t>
      </w:r>
      <w:bookmarkStart w:id="282" w:name="_Toc296503033"/>
      <w:bookmarkStart w:id="283" w:name="_Toc296346534"/>
      <w:bookmarkStart w:id="284" w:name="_Toc337558733"/>
      <w:r>
        <w:rPr>
          <w:rFonts w:hint="eastAsia" w:ascii="仿宋" w:hAnsi="仿宋" w:eastAsia="仿宋" w:cs="仿宋"/>
          <w:b/>
          <w:szCs w:val="24"/>
          <w:highlight w:val="none"/>
        </w:rPr>
        <w:t>.7联络</w:t>
      </w:r>
      <w:bookmarkEnd w:id="281"/>
    </w:p>
    <w:bookmarkEnd w:id="282"/>
    <w:bookmarkEnd w:id="283"/>
    <w:bookmarkEnd w:id="284"/>
    <w:p w14:paraId="0F94EF2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1.7.1 与合同有关的通知、批准、证明、证书、指示、指令、要求、请求、同意、意见、确定和决定等，均应采用书面形式，并应在合同约定的期限内送达接收人和送达地点。</w:t>
      </w:r>
    </w:p>
    <w:p w14:paraId="1C72EC1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1.7.2 发包人和承包人应在专用合同条款中约定各自的送达接收人和送达地点。任何一方合同当事人指定的接收人或送达地点发生变动的，应提前3天以书面形式通知对方。</w:t>
      </w:r>
    </w:p>
    <w:p w14:paraId="4583D51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1.7.3 发包人和承包人应当及时签收另一方送达至送达地点和指定接收人的来往信函。拒不签收的，由此增加的费用和（或）延误的工期由拒绝接收一方承担。</w:t>
      </w:r>
    </w:p>
    <w:p w14:paraId="35031399">
      <w:pPr>
        <w:pStyle w:val="5"/>
        <w:adjustRightInd w:val="0"/>
        <w:snapToGrid w:val="0"/>
        <w:spacing w:line="440" w:lineRule="exact"/>
        <w:ind w:firstLine="482" w:firstLineChars="200"/>
        <w:rPr>
          <w:rFonts w:hint="eastAsia" w:ascii="仿宋" w:hAnsi="仿宋" w:eastAsia="仿宋" w:cs="仿宋"/>
          <w:b/>
          <w:szCs w:val="24"/>
          <w:highlight w:val="none"/>
        </w:rPr>
      </w:pPr>
      <w:bookmarkStart w:id="285" w:name="_Toc351203503"/>
      <w:r>
        <w:rPr>
          <w:rFonts w:hint="eastAsia" w:ascii="仿宋" w:hAnsi="仿宋" w:eastAsia="仿宋" w:cs="仿宋"/>
          <w:b/>
          <w:szCs w:val="24"/>
          <w:highlight w:val="none"/>
        </w:rPr>
        <w:t>1</w:t>
      </w:r>
      <w:bookmarkStart w:id="286" w:name="_Toc337558734"/>
      <w:bookmarkStart w:id="287" w:name="_Toc296346536"/>
      <w:bookmarkStart w:id="288" w:name="_Toc296503035"/>
      <w:r>
        <w:rPr>
          <w:rFonts w:hint="eastAsia" w:ascii="仿宋" w:hAnsi="仿宋" w:eastAsia="仿宋" w:cs="仿宋"/>
          <w:b/>
          <w:szCs w:val="24"/>
          <w:highlight w:val="none"/>
        </w:rPr>
        <w:t>.8严禁贿赂</w:t>
      </w:r>
      <w:bookmarkEnd w:id="285"/>
    </w:p>
    <w:bookmarkEnd w:id="286"/>
    <w:bookmarkEnd w:id="287"/>
    <w:bookmarkEnd w:id="288"/>
    <w:p w14:paraId="3A93A72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合同当事人不得以贿赂或变相贿赂的方式，谋取非法利益或损害对方权益。因一方合同当事人的贿赂造成对方损失的，应赔偿损失，并承担相应的法律责任。</w:t>
      </w:r>
    </w:p>
    <w:p w14:paraId="7FAEA44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承包人不得与监理人或发包人聘请的第三方串通损害发包人利益。未经发包人书面同意，承包人不得为监理人提供合同约定以外的通讯设备、交通工具及其他任何形式的利益，不得向监理人支付报酬。</w:t>
      </w:r>
    </w:p>
    <w:p w14:paraId="54BF144C">
      <w:pPr>
        <w:pStyle w:val="5"/>
        <w:adjustRightInd w:val="0"/>
        <w:snapToGrid w:val="0"/>
        <w:spacing w:line="440" w:lineRule="exact"/>
        <w:ind w:firstLine="482" w:firstLineChars="200"/>
        <w:rPr>
          <w:rFonts w:hint="eastAsia" w:ascii="仿宋" w:hAnsi="仿宋" w:eastAsia="仿宋" w:cs="仿宋"/>
          <w:b/>
          <w:szCs w:val="24"/>
          <w:highlight w:val="none"/>
        </w:rPr>
      </w:pPr>
      <w:bookmarkStart w:id="289" w:name="_Toc351203504"/>
      <w:r>
        <w:rPr>
          <w:rFonts w:hint="eastAsia" w:ascii="仿宋" w:hAnsi="仿宋" w:eastAsia="仿宋" w:cs="仿宋"/>
          <w:b/>
          <w:szCs w:val="24"/>
          <w:highlight w:val="none"/>
        </w:rPr>
        <w:t>1</w:t>
      </w:r>
      <w:bookmarkStart w:id="290" w:name="_Toc296503036"/>
      <w:bookmarkStart w:id="291" w:name="_Toc337558735"/>
      <w:bookmarkStart w:id="292" w:name="_Toc296346537"/>
      <w:r>
        <w:rPr>
          <w:rFonts w:hint="eastAsia" w:ascii="仿宋" w:hAnsi="仿宋" w:eastAsia="仿宋" w:cs="仿宋"/>
          <w:b/>
          <w:szCs w:val="24"/>
          <w:highlight w:val="none"/>
        </w:rPr>
        <w:t>.9化石、文物</w:t>
      </w:r>
      <w:bookmarkEnd w:id="289"/>
    </w:p>
    <w:bookmarkEnd w:id="290"/>
    <w:bookmarkEnd w:id="291"/>
    <w:bookmarkEnd w:id="292"/>
    <w:p w14:paraId="6970877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57779A4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发包人、监理人和承包人应按有关政府行政管理部门要求采取妥善的保护措施，由此增加的费用和（或）延误的工期由发包人承担。</w:t>
      </w:r>
    </w:p>
    <w:p w14:paraId="075DB5A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承包人发现文物后不及时报告或隐瞒不报，致使文物丢失或损坏的，应赔偿损失，并承担相应的法律责任。</w:t>
      </w:r>
    </w:p>
    <w:p w14:paraId="34922546">
      <w:pPr>
        <w:pStyle w:val="5"/>
        <w:adjustRightInd w:val="0"/>
        <w:snapToGrid w:val="0"/>
        <w:spacing w:line="440" w:lineRule="exact"/>
        <w:ind w:firstLine="482" w:firstLineChars="200"/>
        <w:rPr>
          <w:rFonts w:hint="eastAsia" w:ascii="仿宋" w:hAnsi="仿宋" w:eastAsia="仿宋" w:cs="仿宋"/>
          <w:b/>
          <w:szCs w:val="24"/>
          <w:highlight w:val="none"/>
        </w:rPr>
      </w:pPr>
      <w:bookmarkStart w:id="293" w:name="_Toc351203505"/>
      <w:r>
        <w:rPr>
          <w:rFonts w:hint="eastAsia" w:ascii="仿宋" w:hAnsi="仿宋" w:eastAsia="仿宋" w:cs="仿宋"/>
          <w:b/>
          <w:szCs w:val="24"/>
          <w:highlight w:val="none"/>
        </w:rPr>
        <w:t>1</w:t>
      </w:r>
      <w:bookmarkStart w:id="294" w:name="_Toc337558736"/>
      <w:r>
        <w:rPr>
          <w:rFonts w:hint="eastAsia" w:ascii="仿宋" w:hAnsi="仿宋" w:eastAsia="仿宋" w:cs="仿宋"/>
          <w:b/>
          <w:szCs w:val="24"/>
          <w:highlight w:val="none"/>
        </w:rPr>
        <w:t>.10交通运输</w:t>
      </w:r>
      <w:bookmarkEnd w:id="293"/>
    </w:p>
    <w:bookmarkEnd w:id="294"/>
    <w:p w14:paraId="7E31CA6C">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1.10.1 出入现场的权利</w:t>
      </w:r>
    </w:p>
    <w:p w14:paraId="7DC1001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5575783D">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承包人应在订立合同前查勘施工现场，并根据工程规模及技术参数合理预见工程施工所需的进出施工现场的方式、手段、路径等。因承包人未合理预见所增加的费用和（或）延误的工期由承包人承担。</w:t>
      </w:r>
    </w:p>
    <w:p w14:paraId="7A876FA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1.10.2 场外交通</w:t>
      </w:r>
    </w:p>
    <w:p w14:paraId="300246CE">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7CBE657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1.10.3场内交通</w:t>
      </w:r>
    </w:p>
    <w:p w14:paraId="4BFDAB86">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7D125BFB">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2AC4C876">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场外交通和场内交通的边界由合同当事人在专用合同条款中约定。</w:t>
      </w:r>
    </w:p>
    <w:p w14:paraId="45AB39C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1.10.4 超大件和超重件的运输</w:t>
      </w:r>
    </w:p>
    <w:p w14:paraId="4CF9369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2A782506">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1.10.5 道路和桥梁的损坏责任</w:t>
      </w:r>
    </w:p>
    <w:p w14:paraId="035902A7">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因承包人运输造成施工场地内外公共道路和桥梁损坏的，由承包人承担修复损坏的全部费用和可能引起的赔偿。</w:t>
      </w:r>
    </w:p>
    <w:p w14:paraId="40FDD38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1.10.6 水路和航空运输</w:t>
      </w:r>
    </w:p>
    <w:p w14:paraId="568961D3">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本款前述各项的内容适用于水路运输和航空运输，其中“道路”一词的涵义包括河道、航线、船闸、机场、码头、堤防以及水路或航空运输中其他相似结构物；“车辆”一词的涵义包括船舶和飞机等。</w:t>
      </w:r>
    </w:p>
    <w:p w14:paraId="5553D767">
      <w:pPr>
        <w:pStyle w:val="5"/>
        <w:adjustRightInd w:val="0"/>
        <w:snapToGrid w:val="0"/>
        <w:spacing w:line="440" w:lineRule="exact"/>
        <w:ind w:firstLine="482" w:firstLineChars="200"/>
        <w:rPr>
          <w:rFonts w:hint="eastAsia" w:ascii="仿宋" w:hAnsi="仿宋" w:eastAsia="仿宋" w:cs="仿宋"/>
          <w:b/>
          <w:szCs w:val="24"/>
          <w:highlight w:val="none"/>
        </w:rPr>
      </w:pPr>
      <w:bookmarkStart w:id="295" w:name="_Toc351203506"/>
      <w:r>
        <w:rPr>
          <w:rFonts w:hint="eastAsia" w:ascii="仿宋" w:hAnsi="仿宋" w:eastAsia="仿宋" w:cs="仿宋"/>
          <w:b/>
          <w:szCs w:val="24"/>
          <w:highlight w:val="none"/>
        </w:rPr>
        <w:t>1</w:t>
      </w:r>
      <w:bookmarkStart w:id="296" w:name="_Toc337558737"/>
      <w:bookmarkStart w:id="297" w:name="_Toc296346538"/>
      <w:bookmarkStart w:id="298" w:name="_Toc296503037"/>
      <w:r>
        <w:rPr>
          <w:rFonts w:hint="eastAsia" w:ascii="仿宋" w:hAnsi="仿宋" w:eastAsia="仿宋" w:cs="仿宋"/>
          <w:b/>
          <w:szCs w:val="24"/>
          <w:highlight w:val="none"/>
        </w:rPr>
        <w:t>.11知识产权</w:t>
      </w:r>
      <w:bookmarkEnd w:id="295"/>
      <w:r>
        <w:rPr>
          <w:rFonts w:hint="eastAsia" w:ascii="仿宋" w:hAnsi="仿宋" w:eastAsia="仿宋" w:cs="仿宋"/>
          <w:b/>
          <w:szCs w:val="24"/>
          <w:highlight w:val="none"/>
        </w:rPr>
        <w:t xml:space="preserve"> </w:t>
      </w:r>
      <w:bookmarkEnd w:id="296"/>
    </w:p>
    <w:bookmarkEnd w:id="297"/>
    <w:bookmarkEnd w:id="298"/>
    <w:p w14:paraId="6E14B83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102B1DD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3A68202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13980B7E">
      <w:pPr>
        <w:adjustRightInd w:val="0"/>
        <w:snapToGrid w:val="0"/>
        <w:spacing w:line="440" w:lineRule="exact"/>
        <w:rPr>
          <w:rFonts w:hint="eastAsia" w:ascii="仿宋" w:hAnsi="仿宋" w:eastAsia="仿宋" w:cs="仿宋"/>
          <w:sz w:val="24"/>
          <w:highlight w:val="none"/>
        </w:rPr>
      </w:pPr>
      <w:r>
        <w:rPr>
          <w:rFonts w:hint="eastAsia" w:ascii="仿宋" w:hAnsi="仿宋" w:eastAsia="仿宋" w:cs="仿宋"/>
          <w:kern w:val="0"/>
          <w:sz w:val="24"/>
          <w:highlight w:val="none"/>
        </w:rPr>
        <w:t xml:space="preserve">    </w:t>
      </w:r>
      <w:r>
        <w:rPr>
          <w:rFonts w:hint="eastAsia" w:ascii="仿宋" w:hAnsi="仿宋" w:eastAsia="仿宋" w:cs="仿宋"/>
          <w:sz w:val="24"/>
          <w:highlight w:val="none"/>
        </w:rPr>
        <w:t>1.11.4 除专用合同条款另有约定外，承包人在合同签订前和签订时已确定采用的专利、专有技术、技术秘密的使用费已包含在签约合同价中。</w:t>
      </w:r>
    </w:p>
    <w:p w14:paraId="34B8532E">
      <w:pPr>
        <w:pStyle w:val="5"/>
        <w:adjustRightInd w:val="0"/>
        <w:snapToGrid w:val="0"/>
        <w:spacing w:line="440" w:lineRule="exact"/>
        <w:ind w:firstLine="482" w:firstLineChars="200"/>
        <w:rPr>
          <w:rFonts w:hint="eastAsia" w:ascii="仿宋" w:hAnsi="仿宋" w:eastAsia="仿宋" w:cs="仿宋"/>
          <w:b/>
          <w:szCs w:val="24"/>
          <w:highlight w:val="none"/>
        </w:rPr>
      </w:pPr>
      <w:bookmarkStart w:id="299" w:name="_Toc351203507"/>
      <w:r>
        <w:rPr>
          <w:rFonts w:hint="eastAsia" w:ascii="仿宋" w:hAnsi="仿宋" w:eastAsia="仿宋" w:cs="仿宋"/>
          <w:b/>
          <w:szCs w:val="24"/>
          <w:highlight w:val="none"/>
        </w:rPr>
        <w:t>1</w:t>
      </w:r>
      <w:bookmarkStart w:id="300" w:name="_Toc337558738"/>
      <w:r>
        <w:rPr>
          <w:rFonts w:hint="eastAsia" w:ascii="仿宋" w:hAnsi="仿宋" w:eastAsia="仿宋" w:cs="仿宋"/>
          <w:b/>
          <w:szCs w:val="24"/>
          <w:highlight w:val="none"/>
        </w:rPr>
        <w:t>.12保密</w:t>
      </w:r>
      <w:bookmarkEnd w:id="299"/>
    </w:p>
    <w:bookmarkEnd w:id="300"/>
    <w:p w14:paraId="1F79506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除法律规定或合同另有约定外，未经发包人同意，承包人不得将发包人提供的图纸、文件以及声明需要保密的资料信息等商业秘密泄露给第三方。</w:t>
      </w:r>
    </w:p>
    <w:p w14:paraId="0D3DDEB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除法律规定或合同另有约定外，未经承包人同意，发包人不得将承包人提供的技术秘密及声明需要保密的资料信息等商业秘密泄露给第三方。</w:t>
      </w:r>
    </w:p>
    <w:p w14:paraId="69FBC379">
      <w:pPr>
        <w:pStyle w:val="5"/>
        <w:adjustRightInd w:val="0"/>
        <w:snapToGrid w:val="0"/>
        <w:spacing w:line="440" w:lineRule="exact"/>
        <w:ind w:firstLine="482" w:firstLineChars="200"/>
        <w:rPr>
          <w:rFonts w:hint="eastAsia" w:ascii="仿宋" w:hAnsi="仿宋" w:eastAsia="仿宋" w:cs="仿宋"/>
          <w:b/>
          <w:szCs w:val="24"/>
          <w:highlight w:val="none"/>
        </w:rPr>
      </w:pPr>
      <w:bookmarkStart w:id="301" w:name="_Toc351203508"/>
      <w:r>
        <w:rPr>
          <w:rFonts w:hint="eastAsia" w:ascii="仿宋" w:hAnsi="仿宋" w:eastAsia="仿宋" w:cs="仿宋"/>
          <w:b/>
          <w:szCs w:val="24"/>
          <w:highlight w:val="none"/>
        </w:rPr>
        <w:t>1.13工程量清单错误的修正</w:t>
      </w:r>
      <w:bookmarkEnd w:id="301"/>
    </w:p>
    <w:p w14:paraId="647527E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除专用合同条款另有约定外，发包人提供的工程量清单，应被认为是准确的和完整的。出现下列情形之一时，发包人应予以修正，并相应调整合同价格：</w:t>
      </w:r>
    </w:p>
    <w:p w14:paraId="790B4B0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（1）工程量清单存在缺项、漏项的；</w:t>
      </w:r>
    </w:p>
    <w:p w14:paraId="3ABCAC6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（2）工程量清单偏差超出专用合同条款约定的工程量偏差范围的；</w:t>
      </w:r>
    </w:p>
    <w:p w14:paraId="08D3F88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（3）未按照国家现行计量规范强制性规定计量的。</w:t>
      </w:r>
    </w:p>
    <w:p w14:paraId="5A7672F5">
      <w:pPr>
        <w:pStyle w:val="4"/>
        <w:adjustRightInd w:val="0"/>
        <w:snapToGrid w:val="0"/>
        <w:spacing w:before="0" w:after="0" w:line="440" w:lineRule="exact"/>
        <w:rPr>
          <w:rFonts w:hint="eastAsia" w:ascii="仿宋" w:hAnsi="仿宋" w:eastAsia="仿宋" w:cs="仿宋"/>
          <w:sz w:val="24"/>
          <w:szCs w:val="24"/>
          <w:highlight w:val="none"/>
        </w:rPr>
      </w:pPr>
      <w:bookmarkStart w:id="302" w:name="_Toc351203509"/>
      <w:r>
        <w:rPr>
          <w:rFonts w:hint="eastAsia" w:ascii="仿宋" w:hAnsi="仿宋" w:eastAsia="仿宋" w:cs="仿宋"/>
          <w:sz w:val="24"/>
          <w:szCs w:val="24"/>
          <w:highlight w:val="none"/>
        </w:rPr>
        <w:t>2</w:t>
      </w:r>
      <w:bookmarkStart w:id="303" w:name="_Toc296346539"/>
      <w:bookmarkStart w:id="304" w:name="_Toc296503038"/>
      <w:bookmarkStart w:id="305" w:name="_Toc337558739"/>
      <w:bookmarkStart w:id="306" w:name="OLE_LINK2"/>
      <w:r>
        <w:rPr>
          <w:rFonts w:hint="eastAsia" w:ascii="仿宋" w:hAnsi="仿宋" w:eastAsia="仿宋" w:cs="仿宋"/>
          <w:sz w:val="24"/>
          <w:szCs w:val="24"/>
          <w:highlight w:val="none"/>
        </w:rPr>
        <w:t>. 发包人</w:t>
      </w:r>
      <w:bookmarkEnd w:id="302"/>
    </w:p>
    <w:bookmarkEnd w:id="303"/>
    <w:bookmarkEnd w:id="304"/>
    <w:bookmarkEnd w:id="305"/>
    <w:p w14:paraId="03A854A4">
      <w:pPr>
        <w:pStyle w:val="5"/>
        <w:adjustRightInd w:val="0"/>
        <w:snapToGrid w:val="0"/>
        <w:spacing w:line="440" w:lineRule="exact"/>
        <w:ind w:firstLine="480" w:firstLineChars="200"/>
        <w:rPr>
          <w:rFonts w:hint="eastAsia" w:ascii="仿宋" w:hAnsi="仿宋" w:eastAsia="仿宋" w:cs="仿宋"/>
          <w:szCs w:val="24"/>
          <w:highlight w:val="none"/>
        </w:rPr>
      </w:pPr>
      <w:bookmarkStart w:id="307" w:name="_Toc351203510"/>
      <w:r>
        <w:rPr>
          <w:rFonts w:hint="eastAsia" w:ascii="仿宋" w:hAnsi="仿宋" w:eastAsia="仿宋" w:cs="仿宋"/>
          <w:szCs w:val="24"/>
          <w:highlight w:val="none"/>
        </w:rPr>
        <w:t>2</w:t>
      </w:r>
      <w:bookmarkStart w:id="308" w:name="_Toc296503039"/>
      <w:bookmarkStart w:id="309" w:name="_Toc296346540"/>
      <w:bookmarkStart w:id="310" w:name="_Toc337558740"/>
      <w:r>
        <w:rPr>
          <w:rFonts w:hint="eastAsia" w:ascii="仿宋" w:hAnsi="仿宋" w:eastAsia="仿宋" w:cs="仿宋"/>
          <w:szCs w:val="24"/>
          <w:highlight w:val="none"/>
        </w:rPr>
        <w:t>.1 许可或批准</w:t>
      </w:r>
      <w:bookmarkEnd w:id="307"/>
    </w:p>
    <w:p w14:paraId="799BBE6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19C5E78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因发包人原因未能及时办理完毕前述许可、批准或备案，由发包人承担由此增加的费用和（或）延误的工期，并支付承包人合理的利润。</w:t>
      </w:r>
    </w:p>
    <w:p w14:paraId="093531B5">
      <w:pPr>
        <w:pStyle w:val="5"/>
        <w:adjustRightInd w:val="0"/>
        <w:snapToGrid w:val="0"/>
        <w:spacing w:line="440" w:lineRule="exact"/>
        <w:ind w:firstLine="480" w:firstLineChars="200"/>
        <w:rPr>
          <w:rFonts w:hint="eastAsia" w:ascii="仿宋" w:hAnsi="仿宋" w:eastAsia="仿宋" w:cs="仿宋"/>
          <w:szCs w:val="24"/>
          <w:highlight w:val="none"/>
        </w:rPr>
      </w:pPr>
      <w:bookmarkStart w:id="311" w:name="_Toc351203511"/>
      <w:r>
        <w:rPr>
          <w:rFonts w:hint="eastAsia" w:ascii="仿宋" w:hAnsi="仿宋" w:eastAsia="仿宋" w:cs="仿宋"/>
          <w:szCs w:val="24"/>
          <w:highlight w:val="none"/>
        </w:rPr>
        <w:t>2.2 发包人代表</w:t>
      </w:r>
      <w:bookmarkEnd w:id="311"/>
    </w:p>
    <w:p w14:paraId="6C893DD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23383537">
      <w:pPr>
        <w:adjustRightInd w:val="0"/>
        <w:snapToGrid w:val="0"/>
        <w:spacing w:line="440" w:lineRule="exact"/>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发包人代表不能按照合同约定履行其职责及义务，并导致合同无法继续正常履行的，承包人可以要求发包人撤换发包人代表。</w:t>
      </w:r>
    </w:p>
    <w:p w14:paraId="28DBED72">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kern w:val="0"/>
          <w:sz w:val="24"/>
          <w:highlight w:val="none"/>
        </w:rPr>
        <w:t>不属于法定必须监理的工程，监理人的职权可以由发包人代表或发包人指定的其他人员行使。</w:t>
      </w:r>
    </w:p>
    <w:p w14:paraId="635F2893">
      <w:pPr>
        <w:pStyle w:val="5"/>
        <w:adjustRightInd w:val="0"/>
        <w:snapToGrid w:val="0"/>
        <w:spacing w:line="440" w:lineRule="exact"/>
        <w:ind w:firstLine="480" w:firstLineChars="200"/>
        <w:rPr>
          <w:rFonts w:hint="eastAsia" w:ascii="仿宋" w:hAnsi="仿宋" w:eastAsia="仿宋" w:cs="仿宋"/>
          <w:szCs w:val="24"/>
          <w:highlight w:val="none"/>
        </w:rPr>
      </w:pPr>
      <w:bookmarkStart w:id="312" w:name="_Toc351203512"/>
      <w:r>
        <w:rPr>
          <w:rFonts w:hint="eastAsia" w:ascii="仿宋" w:hAnsi="仿宋" w:eastAsia="仿宋" w:cs="仿宋"/>
          <w:szCs w:val="24"/>
          <w:highlight w:val="none"/>
        </w:rPr>
        <w:t>2.3 发包人人员</w:t>
      </w:r>
      <w:bookmarkEnd w:id="312"/>
    </w:p>
    <w:p w14:paraId="5716AFB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发包人应要求在施工现场的发包人人员遵守法律及有关安全、质量、环境保护、文明施工等规定，并保障承包人免于承受因发包人人员未遵守上述要求给承包人造成的损失和责任。</w:t>
      </w:r>
    </w:p>
    <w:p w14:paraId="0BD433F1">
      <w:pPr>
        <w:adjustRightInd w:val="0"/>
        <w:snapToGrid w:val="0"/>
        <w:spacing w:line="440" w:lineRule="exact"/>
        <w:ind w:firstLine="64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发包人人员包括发包人代表及其他由发包人派驻施工现场的人员。</w:t>
      </w:r>
      <w:bookmarkEnd w:id="308"/>
      <w:bookmarkEnd w:id="309"/>
      <w:bookmarkEnd w:id="310"/>
    </w:p>
    <w:p w14:paraId="0DE2A5BE">
      <w:pPr>
        <w:pStyle w:val="5"/>
        <w:adjustRightInd w:val="0"/>
        <w:snapToGrid w:val="0"/>
        <w:spacing w:line="440" w:lineRule="exact"/>
        <w:ind w:firstLine="480" w:firstLineChars="200"/>
        <w:rPr>
          <w:rFonts w:hint="eastAsia" w:ascii="仿宋" w:hAnsi="仿宋" w:eastAsia="仿宋" w:cs="仿宋"/>
          <w:szCs w:val="24"/>
          <w:highlight w:val="none"/>
        </w:rPr>
      </w:pPr>
      <w:bookmarkStart w:id="313" w:name="_Toc351203513"/>
      <w:r>
        <w:rPr>
          <w:rFonts w:hint="eastAsia" w:ascii="仿宋" w:hAnsi="仿宋" w:eastAsia="仿宋" w:cs="仿宋"/>
          <w:szCs w:val="24"/>
          <w:highlight w:val="none"/>
        </w:rPr>
        <w:t>2</w:t>
      </w:r>
      <w:bookmarkStart w:id="314" w:name="_Toc337558741"/>
      <w:bookmarkStart w:id="315" w:name="_Toc296346541"/>
      <w:bookmarkStart w:id="316" w:name="_Toc296503040"/>
      <w:r>
        <w:rPr>
          <w:rFonts w:hint="eastAsia" w:ascii="仿宋" w:hAnsi="仿宋" w:eastAsia="仿宋" w:cs="仿宋"/>
          <w:szCs w:val="24"/>
          <w:highlight w:val="none"/>
        </w:rPr>
        <w:t>.4 施工现场、施工条件和基础资料的提供</w:t>
      </w:r>
      <w:bookmarkEnd w:id="313"/>
      <w:r>
        <w:rPr>
          <w:rFonts w:hint="eastAsia" w:ascii="仿宋" w:hAnsi="仿宋" w:eastAsia="仿宋" w:cs="仿宋"/>
          <w:szCs w:val="24"/>
          <w:highlight w:val="none"/>
        </w:rPr>
        <w:t xml:space="preserve"> </w:t>
      </w:r>
      <w:bookmarkEnd w:id="314"/>
      <w:bookmarkEnd w:id="315"/>
      <w:bookmarkEnd w:id="316"/>
      <w:r>
        <w:rPr>
          <w:rFonts w:hint="eastAsia" w:ascii="仿宋" w:hAnsi="仿宋" w:eastAsia="仿宋" w:cs="仿宋"/>
          <w:szCs w:val="24"/>
          <w:highlight w:val="none"/>
        </w:rPr>
        <w:t xml:space="preserve"> </w:t>
      </w:r>
    </w:p>
    <w:p w14:paraId="5732D16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2.4.1 提供施工现场</w:t>
      </w:r>
    </w:p>
    <w:p w14:paraId="189141A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w:t>
      </w:r>
      <w:bookmarkEnd w:id="306"/>
      <w:r>
        <w:rPr>
          <w:rFonts w:hint="eastAsia" w:ascii="仿宋" w:hAnsi="仿宋" w:eastAsia="仿宋" w:cs="仿宋"/>
          <w:kern w:val="0"/>
          <w:sz w:val="24"/>
          <w:highlight w:val="none"/>
        </w:rPr>
        <w:t>专用合同条款另有约定外，发包人应最迟于开工日期7天前向承包人移交施工现场。</w:t>
      </w:r>
    </w:p>
    <w:p w14:paraId="650F31B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2.4.2 提供施工条件</w:t>
      </w:r>
    </w:p>
    <w:p w14:paraId="2C3EDE2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除专用合同条款另有约定外，发包人应负责提供施工所需要的条件，包括：</w:t>
      </w:r>
    </w:p>
    <w:p w14:paraId="2B65DDF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（1）将施工用水、电力、通讯线路等施工所必需的条件接至施工现场内；</w:t>
      </w:r>
    </w:p>
    <w:p w14:paraId="4B984AD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（2）保证向承包人提供正常施工所需要的进入施工现场的交通条件；</w:t>
      </w:r>
    </w:p>
    <w:p w14:paraId="50E7BDE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（3）协调处理施工现场周围地下管线和邻近建筑物、构筑物、古树名木的保护工作，并承担相关费用；</w:t>
      </w:r>
    </w:p>
    <w:p w14:paraId="4953BF7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（4）按照专用合同条款约定应提供的其他设施和条件。</w:t>
      </w:r>
    </w:p>
    <w:p w14:paraId="66F89862">
      <w:pPr>
        <w:autoSpaceDE w:val="0"/>
        <w:autoSpaceDN w:val="0"/>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2.4.3 提供基础资料</w:t>
      </w:r>
    </w:p>
    <w:p w14:paraId="79712CA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023B74F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按照法律规定确需在开工后方能提供的基础资料，发包人应尽其努力及时地在相应工程施工前的合理期限内提供，合理期限应以不影响承包人的正常施工为限。</w:t>
      </w:r>
    </w:p>
    <w:p w14:paraId="6B856D19">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2.4.4 逾期提供的责任</w:t>
      </w:r>
    </w:p>
    <w:p w14:paraId="5CD48543">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因发包人原因未能按合同约定及时向承包人提供施工现场、施工条件、基础资料的，由发包人承担由此增加的费用和（或）延误的工期。</w:t>
      </w:r>
    </w:p>
    <w:p w14:paraId="62AC9C6E">
      <w:pPr>
        <w:pStyle w:val="5"/>
        <w:adjustRightInd w:val="0"/>
        <w:snapToGrid w:val="0"/>
        <w:spacing w:line="440" w:lineRule="exact"/>
        <w:ind w:firstLine="480" w:firstLineChars="200"/>
        <w:rPr>
          <w:rFonts w:hint="eastAsia" w:ascii="仿宋" w:hAnsi="仿宋" w:eastAsia="仿宋" w:cs="仿宋"/>
          <w:szCs w:val="24"/>
          <w:highlight w:val="none"/>
        </w:rPr>
      </w:pPr>
      <w:bookmarkStart w:id="317" w:name="_Toc351203514"/>
      <w:r>
        <w:rPr>
          <w:rFonts w:hint="eastAsia" w:ascii="仿宋" w:hAnsi="仿宋" w:eastAsia="仿宋" w:cs="仿宋"/>
          <w:szCs w:val="24"/>
          <w:highlight w:val="none"/>
        </w:rPr>
        <w:t>2</w:t>
      </w:r>
      <w:bookmarkStart w:id="318" w:name="_Toc296346543"/>
      <w:bookmarkStart w:id="319" w:name="_Toc337558745"/>
      <w:bookmarkStart w:id="320" w:name="_Toc296503042"/>
      <w:r>
        <w:rPr>
          <w:rFonts w:hint="eastAsia" w:ascii="仿宋" w:hAnsi="仿宋" w:eastAsia="仿宋" w:cs="仿宋"/>
          <w:szCs w:val="24"/>
          <w:highlight w:val="none"/>
        </w:rPr>
        <w:t>.5 资</w:t>
      </w:r>
      <w:bookmarkEnd w:id="318"/>
      <w:bookmarkEnd w:id="319"/>
      <w:bookmarkEnd w:id="320"/>
      <w:r>
        <w:rPr>
          <w:rFonts w:hint="eastAsia" w:ascii="仿宋" w:hAnsi="仿宋" w:eastAsia="仿宋" w:cs="仿宋"/>
          <w:szCs w:val="24"/>
          <w:highlight w:val="none"/>
        </w:rPr>
        <w:t>金来源证明及支付担保</w:t>
      </w:r>
      <w:bookmarkEnd w:id="317"/>
    </w:p>
    <w:p w14:paraId="589E1E6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除专用合同条款另有约定外，发包人应在收到承包人要求提供资金来源证明的书面通知后28天内，向承包人提供能够按照合同约定支付合同价款的相应资金来源证明。</w:t>
      </w:r>
    </w:p>
    <w:p w14:paraId="69CBF06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除专用合同条款另有约定外，发包人要求承包人提供履约担保的，发包人应当向承包人提供支付担保。支付担保可以采用银行保函或担保公司担保等形式，具体由合同当事人在专用合同条款中约定。</w:t>
      </w:r>
    </w:p>
    <w:p w14:paraId="53451C05">
      <w:pPr>
        <w:pStyle w:val="5"/>
        <w:adjustRightInd w:val="0"/>
        <w:snapToGrid w:val="0"/>
        <w:spacing w:line="440" w:lineRule="exact"/>
        <w:ind w:firstLine="480" w:firstLineChars="200"/>
        <w:rPr>
          <w:rFonts w:hint="eastAsia" w:ascii="仿宋" w:hAnsi="仿宋" w:eastAsia="仿宋" w:cs="仿宋"/>
          <w:szCs w:val="24"/>
          <w:highlight w:val="none"/>
        </w:rPr>
      </w:pPr>
      <w:bookmarkStart w:id="321" w:name="_Toc351203515"/>
      <w:r>
        <w:rPr>
          <w:rFonts w:hint="eastAsia" w:ascii="仿宋" w:hAnsi="仿宋" w:eastAsia="仿宋" w:cs="仿宋"/>
          <w:szCs w:val="24"/>
          <w:highlight w:val="none"/>
        </w:rPr>
        <w:t>2.6 支付合同价款</w:t>
      </w:r>
      <w:bookmarkEnd w:id="321"/>
    </w:p>
    <w:p w14:paraId="256E47C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发包人应按合同约定向承包人及时支付合同价款。</w:t>
      </w:r>
    </w:p>
    <w:p w14:paraId="1B7E9F84">
      <w:pPr>
        <w:pStyle w:val="5"/>
        <w:adjustRightInd w:val="0"/>
        <w:snapToGrid w:val="0"/>
        <w:spacing w:line="440" w:lineRule="exact"/>
        <w:ind w:firstLine="480" w:firstLineChars="200"/>
        <w:rPr>
          <w:rFonts w:hint="eastAsia" w:ascii="仿宋" w:hAnsi="仿宋" w:eastAsia="仿宋" w:cs="仿宋"/>
          <w:szCs w:val="24"/>
          <w:highlight w:val="none"/>
        </w:rPr>
      </w:pPr>
      <w:bookmarkStart w:id="322" w:name="_Toc351203516"/>
      <w:r>
        <w:rPr>
          <w:rFonts w:hint="eastAsia" w:ascii="仿宋" w:hAnsi="仿宋" w:eastAsia="仿宋" w:cs="仿宋"/>
          <w:szCs w:val="24"/>
          <w:highlight w:val="none"/>
        </w:rPr>
        <w:t>2.7 组织竣工验收</w:t>
      </w:r>
      <w:bookmarkEnd w:id="322"/>
    </w:p>
    <w:p w14:paraId="0E4FADC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发包人应按合同约定及时组织竣工验收。</w:t>
      </w:r>
    </w:p>
    <w:p w14:paraId="3AEA928D">
      <w:pPr>
        <w:pStyle w:val="5"/>
        <w:adjustRightInd w:val="0"/>
        <w:snapToGrid w:val="0"/>
        <w:spacing w:line="440" w:lineRule="exact"/>
        <w:ind w:firstLine="480" w:firstLineChars="200"/>
        <w:rPr>
          <w:rFonts w:hint="eastAsia" w:ascii="仿宋" w:hAnsi="仿宋" w:eastAsia="仿宋" w:cs="仿宋"/>
          <w:szCs w:val="24"/>
          <w:highlight w:val="none"/>
        </w:rPr>
      </w:pPr>
      <w:bookmarkStart w:id="323" w:name="_Toc351203517"/>
      <w:r>
        <w:rPr>
          <w:rFonts w:hint="eastAsia" w:ascii="仿宋" w:hAnsi="仿宋" w:eastAsia="仿宋" w:cs="仿宋"/>
          <w:szCs w:val="24"/>
          <w:highlight w:val="none"/>
        </w:rPr>
        <w:t>2.8 现场统一管理协议</w:t>
      </w:r>
      <w:bookmarkEnd w:id="323"/>
    </w:p>
    <w:p w14:paraId="31013F4D">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发包人应与承包人、由发包人直接发包的专业工程的承包人签订施工现场统一管理协议，明确各方的权利义务。施工现场统一管理协议作为专用合同条款的附件。</w:t>
      </w:r>
    </w:p>
    <w:p w14:paraId="65CF6DDC">
      <w:pPr>
        <w:pStyle w:val="4"/>
        <w:adjustRightInd w:val="0"/>
        <w:snapToGrid w:val="0"/>
        <w:spacing w:before="0" w:after="0" w:line="440" w:lineRule="exact"/>
        <w:rPr>
          <w:rFonts w:hint="eastAsia" w:ascii="仿宋" w:hAnsi="仿宋" w:eastAsia="仿宋" w:cs="仿宋"/>
          <w:sz w:val="24"/>
          <w:szCs w:val="24"/>
          <w:highlight w:val="none"/>
        </w:rPr>
      </w:pPr>
      <w:bookmarkStart w:id="324" w:name="_Toc351203518"/>
      <w:r>
        <w:rPr>
          <w:rFonts w:hint="eastAsia" w:ascii="仿宋" w:hAnsi="仿宋" w:eastAsia="仿宋" w:cs="仿宋"/>
          <w:sz w:val="24"/>
          <w:szCs w:val="24"/>
          <w:highlight w:val="none"/>
        </w:rPr>
        <w:t>3</w:t>
      </w:r>
      <w:bookmarkStart w:id="325" w:name="_Toc337558746"/>
      <w:bookmarkStart w:id="326" w:name="_Toc296346546"/>
      <w:bookmarkStart w:id="327" w:name="_Toc296503045"/>
      <w:r>
        <w:rPr>
          <w:rFonts w:hint="eastAsia" w:ascii="仿宋" w:hAnsi="仿宋" w:eastAsia="仿宋" w:cs="仿宋"/>
          <w:sz w:val="24"/>
          <w:szCs w:val="24"/>
          <w:highlight w:val="none"/>
        </w:rPr>
        <w:t>. 承包人</w:t>
      </w:r>
      <w:bookmarkEnd w:id="324"/>
    </w:p>
    <w:bookmarkEnd w:id="325"/>
    <w:bookmarkEnd w:id="326"/>
    <w:bookmarkEnd w:id="327"/>
    <w:p w14:paraId="6592AA7E">
      <w:pPr>
        <w:pStyle w:val="5"/>
        <w:adjustRightInd w:val="0"/>
        <w:snapToGrid w:val="0"/>
        <w:spacing w:line="440" w:lineRule="exact"/>
        <w:ind w:firstLine="480" w:firstLineChars="200"/>
        <w:rPr>
          <w:rFonts w:hint="eastAsia" w:ascii="仿宋" w:hAnsi="仿宋" w:eastAsia="仿宋" w:cs="仿宋"/>
          <w:szCs w:val="24"/>
          <w:highlight w:val="none"/>
        </w:rPr>
      </w:pPr>
      <w:bookmarkStart w:id="328" w:name="_Toc351203519"/>
      <w:r>
        <w:rPr>
          <w:rFonts w:hint="eastAsia" w:ascii="仿宋" w:hAnsi="仿宋" w:eastAsia="仿宋" w:cs="仿宋"/>
          <w:szCs w:val="24"/>
          <w:highlight w:val="none"/>
        </w:rPr>
        <w:t>3</w:t>
      </w:r>
      <w:bookmarkStart w:id="329" w:name="_Toc296346547"/>
      <w:bookmarkStart w:id="330" w:name="_Toc296503046"/>
      <w:bookmarkStart w:id="331" w:name="_Toc337558747"/>
      <w:r>
        <w:rPr>
          <w:rFonts w:hint="eastAsia" w:ascii="仿宋" w:hAnsi="仿宋" w:eastAsia="仿宋" w:cs="仿宋"/>
          <w:szCs w:val="24"/>
          <w:highlight w:val="none"/>
        </w:rPr>
        <w:t>.1 承包人的一般义务</w:t>
      </w:r>
      <w:bookmarkEnd w:id="328"/>
    </w:p>
    <w:bookmarkEnd w:id="329"/>
    <w:bookmarkEnd w:id="330"/>
    <w:bookmarkEnd w:id="331"/>
    <w:p w14:paraId="3D611C1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承包人在履行合同过程中应遵守法律和工程建设标准规范，并履行以下义务：</w:t>
      </w:r>
    </w:p>
    <w:p w14:paraId="0048EF15">
      <w:pPr>
        <w:numPr>
          <w:ilvl w:val="0"/>
          <w:numId w:val="2"/>
        </w:num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办理法律规定应由承包人办理的许可和批准，并将办理结果书面报送发包人留存；</w:t>
      </w:r>
    </w:p>
    <w:p w14:paraId="7135BC7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（2）按法律规定和合同约定完成工程，并在保修期内承担保修义务；</w:t>
      </w:r>
    </w:p>
    <w:p w14:paraId="05C2D7F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（3）按法律规定和合同约定采取施工安全和环境保护措施，办理工伤保险，确保工程及人员、材料、设备和设施的安全；</w:t>
      </w:r>
    </w:p>
    <w:p w14:paraId="3D0D810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（4）按合同约定的工作内容和施工进度要求，编制施工组织设计和施工措施计划，并对所有施工作业和施工方法的完备性和安全可靠性负责；</w:t>
      </w:r>
    </w:p>
    <w:p w14:paraId="5BEC6DE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2DD0E1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（6）按照第6.3款〔环境保护〕约定负责施工场地及其周边环境与生态的保护工作；</w:t>
      </w:r>
    </w:p>
    <w:p w14:paraId="2430B35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（7）按第6.1款〔安全文明施工〕约定采取施工安全措施，确保工程及其人员、材料、设备和设施的安全，防止因工程施工造成的人身伤害和财产损失；</w:t>
      </w:r>
    </w:p>
    <w:p w14:paraId="74BC829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（8）将发包人按合同约定支付的各项价款专用于合同工程，且应及时支付其雇用人员工资，并及时向分包人支付合同价款；</w:t>
      </w:r>
    </w:p>
    <w:p w14:paraId="531B477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（9）按照法律规定和合同约定编制竣工资料，完成竣工资料立卷及归档，并按专用合同条款约定的竣工资料的套数、内容、时间等要求移交发包人；</w:t>
      </w:r>
    </w:p>
    <w:p w14:paraId="1AF520B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（10）应履行的其他义务。</w:t>
      </w:r>
    </w:p>
    <w:p w14:paraId="1F2609A3">
      <w:pPr>
        <w:pStyle w:val="5"/>
        <w:adjustRightInd w:val="0"/>
        <w:snapToGrid w:val="0"/>
        <w:spacing w:line="440" w:lineRule="exact"/>
        <w:ind w:firstLine="480" w:firstLineChars="200"/>
        <w:rPr>
          <w:rFonts w:hint="eastAsia" w:ascii="仿宋" w:hAnsi="仿宋" w:eastAsia="仿宋" w:cs="仿宋"/>
          <w:szCs w:val="24"/>
          <w:highlight w:val="none"/>
        </w:rPr>
      </w:pPr>
      <w:bookmarkStart w:id="332" w:name="_Toc351203520"/>
      <w:r>
        <w:rPr>
          <w:rFonts w:hint="eastAsia" w:ascii="仿宋" w:hAnsi="仿宋" w:eastAsia="仿宋" w:cs="仿宋"/>
          <w:szCs w:val="24"/>
          <w:highlight w:val="none"/>
        </w:rPr>
        <w:t>3</w:t>
      </w:r>
      <w:bookmarkStart w:id="333" w:name="_Toc296503047"/>
      <w:bookmarkStart w:id="334" w:name="_Toc337558748"/>
      <w:bookmarkStart w:id="335" w:name="_Toc296346548"/>
      <w:r>
        <w:rPr>
          <w:rFonts w:hint="eastAsia" w:ascii="仿宋" w:hAnsi="仿宋" w:eastAsia="仿宋" w:cs="仿宋"/>
          <w:szCs w:val="24"/>
          <w:highlight w:val="none"/>
        </w:rPr>
        <w:t xml:space="preserve">.2 </w:t>
      </w:r>
      <w:bookmarkEnd w:id="332"/>
      <w:r>
        <w:rPr>
          <w:rFonts w:hint="eastAsia" w:ascii="仿宋" w:hAnsi="仿宋" w:eastAsia="仿宋" w:cs="仿宋"/>
          <w:szCs w:val="24"/>
          <w:highlight w:val="none"/>
        </w:rPr>
        <w:t>项目经理</w:t>
      </w:r>
    </w:p>
    <w:bookmarkEnd w:id="333"/>
    <w:bookmarkEnd w:id="334"/>
    <w:bookmarkEnd w:id="335"/>
    <w:p w14:paraId="0EAEA89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279471B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2491498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承包人违反上述约定的，应按照专用合同条款的约定，承担违约责任。</w:t>
      </w:r>
    </w:p>
    <w:p w14:paraId="28EBCFE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01A5FE8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7B29E43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55E435A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3.2.5 项目经理因特殊情况授权其下属人员履行其某项工作职责的，该下属人员应具备履行相应职责的能力，并应提前7天将上述人员的姓名和授权范围书面通知监理人，并征得发包人书面同意。</w:t>
      </w:r>
    </w:p>
    <w:p w14:paraId="69CCD356">
      <w:pPr>
        <w:pStyle w:val="5"/>
        <w:adjustRightInd w:val="0"/>
        <w:snapToGrid w:val="0"/>
        <w:spacing w:line="440" w:lineRule="exact"/>
        <w:ind w:firstLine="480" w:firstLineChars="200"/>
        <w:rPr>
          <w:rFonts w:hint="eastAsia" w:ascii="仿宋" w:hAnsi="仿宋" w:eastAsia="仿宋" w:cs="仿宋"/>
          <w:szCs w:val="24"/>
          <w:highlight w:val="none"/>
        </w:rPr>
      </w:pPr>
      <w:bookmarkStart w:id="336" w:name="_Toc351203521"/>
      <w:r>
        <w:rPr>
          <w:rFonts w:hint="eastAsia" w:ascii="仿宋" w:hAnsi="仿宋" w:eastAsia="仿宋" w:cs="仿宋"/>
          <w:szCs w:val="24"/>
          <w:highlight w:val="none"/>
        </w:rPr>
        <w:t>3</w:t>
      </w:r>
      <w:bookmarkStart w:id="337" w:name="_Toc296503048"/>
      <w:bookmarkStart w:id="338" w:name="_Toc296346549"/>
      <w:bookmarkStart w:id="339" w:name="_Toc337558749"/>
      <w:r>
        <w:rPr>
          <w:rFonts w:hint="eastAsia" w:ascii="仿宋" w:hAnsi="仿宋" w:eastAsia="仿宋" w:cs="仿宋"/>
          <w:szCs w:val="24"/>
          <w:highlight w:val="none"/>
        </w:rPr>
        <w:t xml:space="preserve">.3 </w:t>
      </w:r>
      <w:bookmarkEnd w:id="337"/>
      <w:bookmarkEnd w:id="338"/>
      <w:r>
        <w:rPr>
          <w:rFonts w:hint="eastAsia" w:ascii="仿宋" w:hAnsi="仿宋" w:eastAsia="仿宋" w:cs="仿宋"/>
          <w:szCs w:val="24"/>
          <w:highlight w:val="none"/>
        </w:rPr>
        <w:t>承包人人员</w:t>
      </w:r>
      <w:bookmarkEnd w:id="336"/>
    </w:p>
    <w:bookmarkEnd w:id="339"/>
    <w:p w14:paraId="6BFD2D3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6EFB4DA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2746F22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特殊工种作业人员均应持有相应的资格证明，监理人可以随时检查。</w:t>
      </w:r>
    </w:p>
    <w:p w14:paraId="7A200EA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6C5B9D1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7EFFA9A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3.3.5 承包人擅自更换主要施工管理人员，或前述人员未经监理人或发包人同意擅自离开施工现场的，应按照专用合同条款约定承担违约责任。</w:t>
      </w:r>
    </w:p>
    <w:p w14:paraId="1AC7FFC8">
      <w:pPr>
        <w:pStyle w:val="5"/>
        <w:adjustRightInd w:val="0"/>
        <w:snapToGrid w:val="0"/>
        <w:spacing w:line="440" w:lineRule="exact"/>
        <w:ind w:firstLine="480" w:firstLineChars="200"/>
        <w:rPr>
          <w:rFonts w:hint="eastAsia" w:ascii="仿宋" w:hAnsi="仿宋" w:eastAsia="仿宋" w:cs="仿宋"/>
          <w:szCs w:val="24"/>
          <w:highlight w:val="none"/>
        </w:rPr>
      </w:pPr>
      <w:bookmarkStart w:id="340" w:name="_Toc351203522"/>
      <w:r>
        <w:rPr>
          <w:rFonts w:hint="eastAsia" w:ascii="仿宋" w:hAnsi="仿宋" w:eastAsia="仿宋" w:cs="仿宋"/>
          <w:szCs w:val="24"/>
          <w:highlight w:val="none"/>
        </w:rPr>
        <w:t>3</w:t>
      </w:r>
      <w:bookmarkStart w:id="341" w:name="_Toc296503050"/>
      <w:bookmarkStart w:id="342" w:name="_Toc337558750"/>
      <w:bookmarkStart w:id="343" w:name="_Toc296346551"/>
      <w:r>
        <w:rPr>
          <w:rFonts w:hint="eastAsia" w:ascii="仿宋" w:hAnsi="仿宋" w:eastAsia="仿宋" w:cs="仿宋"/>
          <w:szCs w:val="24"/>
          <w:highlight w:val="none"/>
        </w:rPr>
        <w:t>.4 承包人现场查勘</w:t>
      </w:r>
      <w:bookmarkEnd w:id="340"/>
    </w:p>
    <w:bookmarkEnd w:id="341"/>
    <w:bookmarkEnd w:id="342"/>
    <w:bookmarkEnd w:id="343"/>
    <w:p w14:paraId="12DA0823">
      <w:pPr>
        <w:autoSpaceDE w:val="0"/>
        <w:autoSpaceDN w:val="0"/>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承包人应对基于发包人按照第2.4.3项〔提供基础资料〕提交的基础资料所做出的解释和推断负责，但因基础资料存在错误、遗漏导致承包人解释或推断失实的，由发包人承担责任。</w:t>
      </w:r>
    </w:p>
    <w:p w14:paraId="2073CD0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171B52CA">
      <w:pPr>
        <w:pStyle w:val="5"/>
        <w:adjustRightInd w:val="0"/>
        <w:snapToGrid w:val="0"/>
        <w:spacing w:line="440" w:lineRule="exact"/>
        <w:ind w:firstLine="480" w:firstLineChars="200"/>
        <w:rPr>
          <w:rFonts w:hint="eastAsia" w:ascii="仿宋" w:hAnsi="仿宋" w:eastAsia="仿宋" w:cs="仿宋"/>
          <w:szCs w:val="24"/>
          <w:highlight w:val="none"/>
        </w:rPr>
      </w:pPr>
      <w:bookmarkStart w:id="344" w:name="_Toc351203523"/>
      <w:r>
        <w:rPr>
          <w:rFonts w:hint="eastAsia" w:ascii="仿宋" w:hAnsi="仿宋" w:eastAsia="仿宋" w:cs="仿宋"/>
          <w:szCs w:val="24"/>
          <w:highlight w:val="none"/>
        </w:rPr>
        <w:t>3</w:t>
      </w:r>
      <w:bookmarkStart w:id="345" w:name="_Toc337558751"/>
      <w:bookmarkStart w:id="346" w:name="_Toc296503051"/>
      <w:bookmarkStart w:id="347" w:name="_Toc296346552"/>
      <w:r>
        <w:rPr>
          <w:rFonts w:hint="eastAsia" w:ascii="仿宋" w:hAnsi="仿宋" w:eastAsia="仿宋" w:cs="仿宋"/>
          <w:szCs w:val="24"/>
          <w:highlight w:val="none"/>
        </w:rPr>
        <w:t>.5 分包</w:t>
      </w:r>
      <w:bookmarkEnd w:id="344"/>
    </w:p>
    <w:bookmarkEnd w:id="345"/>
    <w:bookmarkEnd w:id="346"/>
    <w:bookmarkEnd w:id="347"/>
    <w:p w14:paraId="2C56358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3.5.1 分包的一般约定</w:t>
      </w:r>
    </w:p>
    <w:p w14:paraId="39D0C7D9">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0614B90C">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承包人不得以劳务分包的名义转包或违法分包工程。</w:t>
      </w:r>
    </w:p>
    <w:p w14:paraId="059724B9">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3.5.2 分包的确定</w:t>
      </w:r>
    </w:p>
    <w:p w14:paraId="6670365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0AACEC5E">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3.5.3 分包管理</w:t>
      </w:r>
    </w:p>
    <w:p w14:paraId="4582164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承包人应向监理人提交分包人的主要施工管理人员表，并对分包人的施工人员进行实名制管理，包括但不限于进出场管理、登记造册以及各种证照的办理。</w:t>
      </w:r>
    </w:p>
    <w:p w14:paraId="3895928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3.5.4 分包合同价款</w:t>
      </w:r>
    </w:p>
    <w:p w14:paraId="03FF972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（1）除本项第（2）目约定的情况或专用合同条款另有约定外，分包合同价款由承包人与分包人结算，未经承包人同意，发包人不得向分包人支付分包工程价款；</w:t>
      </w:r>
    </w:p>
    <w:p w14:paraId="1CF750B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（2）生效法律文书要求发包人向分包人支付分包合同价款的，发包人有权从应付承包人工程款中扣除该部分款项。</w:t>
      </w:r>
    </w:p>
    <w:p w14:paraId="1A9F2A2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3.5.5 分包合同权益的转让</w:t>
      </w:r>
    </w:p>
    <w:p w14:paraId="43C5791E">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348" w:name="_Toc351203524"/>
    </w:p>
    <w:p w14:paraId="7EED962C">
      <w:pPr>
        <w:pStyle w:val="5"/>
        <w:adjustRightInd w:val="0"/>
        <w:snapToGrid w:val="0"/>
        <w:spacing w:line="440" w:lineRule="exact"/>
        <w:ind w:firstLine="480" w:firstLineChars="200"/>
        <w:rPr>
          <w:rFonts w:hint="eastAsia" w:ascii="仿宋" w:hAnsi="仿宋" w:eastAsia="仿宋" w:cs="仿宋"/>
          <w:szCs w:val="24"/>
          <w:highlight w:val="none"/>
        </w:rPr>
      </w:pPr>
      <w:r>
        <w:rPr>
          <w:rFonts w:hint="eastAsia" w:ascii="仿宋" w:hAnsi="仿宋" w:eastAsia="仿宋" w:cs="仿宋"/>
          <w:szCs w:val="24"/>
          <w:highlight w:val="none"/>
        </w:rPr>
        <w:t>3.6 工程照管与成品、半成品保护</w:t>
      </w:r>
      <w:bookmarkEnd w:id="348"/>
    </w:p>
    <w:p w14:paraId="4AD686E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（1）除专用合同条款另有约定外，自发包人向承包人移交施工现场之日起，承包人应负责照管工程及工程相关的材料、工程设备，直到颁发工程接收证书之日止。</w:t>
      </w:r>
    </w:p>
    <w:p w14:paraId="729B5C2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（2）在承包人负责照管期间，因承包人原因造成工程、材料、工程设备损坏的，由承包人负责修复或更换，并承担由此增加的费用和（或）延误的工期。</w:t>
      </w:r>
    </w:p>
    <w:p w14:paraId="3AA9DB13">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（3）对合同内分期完成的成品和半成品，在工程接收证书颁发前，由承包人承担保护责任。因承包人原因造成成品或半成品损坏的，由承包人负责修复或更换，并承担由此增加的费用和（或）延误的工期。</w:t>
      </w:r>
    </w:p>
    <w:p w14:paraId="28C80268">
      <w:pPr>
        <w:pStyle w:val="5"/>
        <w:adjustRightInd w:val="0"/>
        <w:snapToGrid w:val="0"/>
        <w:spacing w:line="440" w:lineRule="exact"/>
        <w:ind w:firstLine="480" w:firstLineChars="200"/>
        <w:rPr>
          <w:rFonts w:hint="eastAsia" w:ascii="仿宋" w:hAnsi="仿宋" w:eastAsia="仿宋" w:cs="仿宋"/>
          <w:szCs w:val="24"/>
          <w:highlight w:val="none"/>
        </w:rPr>
      </w:pPr>
      <w:bookmarkStart w:id="349" w:name="_Toc351203525"/>
      <w:r>
        <w:rPr>
          <w:rFonts w:hint="eastAsia" w:ascii="仿宋" w:hAnsi="仿宋" w:eastAsia="仿宋" w:cs="仿宋"/>
          <w:szCs w:val="24"/>
          <w:highlight w:val="none"/>
        </w:rPr>
        <w:t>3</w:t>
      </w:r>
      <w:bookmarkStart w:id="350" w:name="_Toc296346553"/>
      <w:bookmarkStart w:id="351" w:name="_Toc337558752"/>
      <w:bookmarkStart w:id="352" w:name="_Toc296503052"/>
      <w:r>
        <w:rPr>
          <w:rFonts w:hint="eastAsia" w:ascii="仿宋" w:hAnsi="仿宋" w:eastAsia="仿宋" w:cs="仿宋"/>
          <w:szCs w:val="24"/>
          <w:highlight w:val="none"/>
        </w:rPr>
        <w:t>.7 履约担保</w:t>
      </w:r>
      <w:bookmarkEnd w:id="349"/>
    </w:p>
    <w:bookmarkEnd w:id="350"/>
    <w:bookmarkEnd w:id="351"/>
    <w:bookmarkEnd w:id="352"/>
    <w:p w14:paraId="2A02888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0C11D97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因承包人原因导致工期延长的，继续提供履约担保所增加的费用由承包人承担；非因承包人原因导致工期延长的，继续提供履约担保所增加的费用由发包人承担。</w:t>
      </w:r>
    </w:p>
    <w:p w14:paraId="0EB8B917">
      <w:pPr>
        <w:pStyle w:val="5"/>
        <w:adjustRightInd w:val="0"/>
        <w:snapToGrid w:val="0"/>
        <w:spacing w:line="440" w:lineRule="exact"/>
        <w:ind w:firstLine="480" w:firstLineChars="200"/>
        <w:rPr>
          <w:rFonts w:hint="eastAsia" w:ascii="仿宋" w:hAnsi="仿宋" w:eastAsia="仿宋" w:cs="仿宋"/>
          <w:szCs w:val="24"/>
          <w:highlight w:val="none"/>
        </w:rPr>
      </w:pPr>
      <w:bookmarkStart w:id="353" w:name="_Toc351203526"/>
      <w:r>
        <w:rPr>
          <w:rFonts w:hint="eastAsia" w:ascii="仿宋" w:hAnsi="仿宋" w:eastAsia="仿宋" w:cs="仿宋"/>
          <w:szCs w:val="24"/>
          <w:highlight w:val="none"/>
        </w:rPr>
        <w:t>3.8 联合体</w:t>
      </w:r>
      <w:bookmarkEnd w:id="353"/>
    </w:p>
    <w:p w14:paraId="6EAFC76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3.8.1 联合体各方应共同与发包人签订合同协议书。联合体各方应为履行合同向发包人承担连带责任。</w:t>
      </w:r>
    </w:p>
    <w:p w14:paraId="62D109E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3.8.2 联合体协议经发包人确认后作为合同附件。在履行合同过程中，未经发包人同意，不得修改联合体协议。</w:t>
      </w:r>
    </w:p>
    <w:p w14:paraId="0B82032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3.8.3 联合体牵头人负责与发包人和监理人联系，并接受指示，负责组织联合体各成员全面履行合同。</w:t>
      </w:r>
    </w:p>
    <w:p w14:paraId="03F1B93F">
      <w:pPr>
        <w:pStyle w:val="4"/>
        <w:adjustRightInd w:val="0"/>
        <w:snapToGrid w:val="0"/>
        <w:spacing w:before="0" w:after="0" w:line="440" w:lineRule="exact"/>
        <w:rPr>
          <w:rFonts w:hint="eastAsia" w:ascii="仿宋" w:hAnsi="仿宋" w:eastAsia="仿宋" w:cs="仿宋"/>
          <w:sz w:val="24"/>
          <w:szCs w:val="24"/>
          <w:highlight w:val="none"/>
        </w:rPr>
      </w:pPr>
      <w:bookmarkStart w:id="354" w:name="_Toc351203527"/>
      <w:r>
        <w:rPr>
          <w:rFonts w:hint="eastAsia" w:ascii="仿宋" w:hAnsi="仿宋" w:eastAsia="仿宋" w:cs="仿宋"/>
          <w:sz w:val="24"/>
          <w:szCs w:val="24"/>
          <w:highlight w:val="none"/>
        </w:rPr>
        <w:t>4</w:t>
      </w:r>
      <w:bookmarkStart w:id="355" w:name="_Toc296346554"/>
      <w:bookmarkStart w:id="356" w:name="_Toc296503053"/>
      <w:bookmarkStart w:id="357" w:name="_Toc337558753"/>
      <w:r>
        <w:rPr>
          <w:rFonts w:hint="eastAsia" w:ascii="仿宋" w:hAnsi="仿宋" w:eastAsia="仿宋" w:cs="仿宋"/>
          <w:sz w:val="24"/>
          <w:szCs w:val="24"/>
          <w:highlight w:val="none"/>
        </w:rPr>
        <w:t>. 监</w:t>
      </w:r>
      <w:bookmarkEnd w:id="355"/>
      <w:bookmarkEnd w:id="356"/>
      <w:r>
        <w:rPr>
          <w:rFonts w:hint="eastAsia" w:ascii="仿宋" w:hAnsi="仿宋" w:eastAsia="仿宋" w:cs="仿宋"/>
          <w:sz w:val="24"/>
          <w:szCs w:val="24"/>
          <w:highlight w:val="none"/>
        </w:rPr>
        <w:t>理人</w:t>
      </w:r>
      <w:bookmarkEnd w:id="354"/>
    </w:p>
    <w:bookmarkEnd w:id="357"/>
    <w:p w14:paraId="6E3DC0A4">
      <w:pPr>
        <w:pStyle w:val="5"/>
        <w:adjustRightInd w:val="0"/>
        <w:snapToGrid w:val="0"/>
        <w:spacing w:line="440" w:lineRule="exact"/>
        <w:ind w:firstLine="480" w:firstLineChars="200"/>
        <w:rPr>
          <w:rFonts w:hint="eastAsia" w:ascii="仿宋" w:hAnsi="仿宋" w:eastAsia="仿宋" w:cs="仿宋"/>
          <w:szCs w:val="24"/>
          <w:highlight w:val="none"/>
        </w:rPr>
      </w:pPr>
      <w:bookmarkStart w:id="358" w:name="_Toc351203528"/>
      <w:r>
        <w:rPr>
          <w:rFonts w:hint="eastAsia" w:ascii="仿宋" w:hAnsi="仿宋" w:eastAsia="仿宋" w:cs="仿宋"/>
          <w:szCs w:val="24"/>
          <w:highlight w:val="none"/>
        </w:rPr>
        <w:t>4</w:t>
      </w:r>
      <w:bookmarkStart w:id="359" w:name="_Toc296503054"/>
      <w:bookmarkStart w:id="360" w:name="_Toc296346555"/>
      <w:bookmarkStart w:id="361" w:name="_Toc337558754"/>
      <w:r>
        <w:rPr>
          <w:rFonts w:hint="eastAsia" w:ascii="仿宋" w:hAnsi="仿宋" w:eastAsia="仿宋" w:cs="仿宋"/>
          <w:szCs w:val="24"/>
          <w:highlight w:val="none"/>
        </w:rPr>
        <w:t>.1监理人的一般规定</w:t>
      </w:r>
      <w:bookmarkEnd w:id="358"/>
    </w:p>
    <w:bookmarkEnd w:id="359"/>
    <w:bookmarkEnd w:id="360"/>
    <w:bookmarkEnd w:id="361"/>
    <w:p w14:paraId="1C55F80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2075F69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除专用合同条款另有约定外，监理人在施工现场的办公场所、生活场所由承包人提供，所发生的费用由发包人承担。</w:t>
      </w:r>
    </w:p>
    <w:p w14:paraId="14CE4526">
      <w:pPr>
        <w:pStyle w:val="5"/>
        <w:adjustRightInd w:val="0"/>
        <w:snapToGrid w:val="0"/>
        <w:spacing w:line="440" w:lineRule="exact"/>
        <w:ind w:firstLine="480" w:firstLineChars="200"/>
        <w:rPr>
          <w:rFonts w:hint="eastAsia" w:ascii="仿宋" w:hAnsi="仿宋" w:eastAsia="仿宋" w:cs="仿宋"/>
          <w:szCs w:val="24"/>
          <w:highlight w:val="none"/>
        </w:rPr>
      </w:pPr>
      <w:bookmarkStart w:id="362" w:name="_Toc351203529"/>
      <w:r>
        <w:rPr>
          <w:rFonts w:hint="eastAsia" w:ascii="仿宋" w:hAnsi="仿宋" w:eastAsia="仿宋" w:cs="仿宋"/>
          <w:szCs w:val="24"/>
          <w:highlight w:val="none"/>
        </w:rPr>
        <w:t>4</w:t>
      </w:r>
      <w:bookmarkStart w:id="363" w:name="_Toc337558755"/>
      <w:r>
        <w:rPr>
          <w:rFonts w:hint="eastAsia" w:ascii="仿宋" w:hAnsi="仿宋" w:eastAsia="仿宋" w:cs="仿宋"/>
          <w:szCs w:val="24"/>
          <w:highlight w:val="none"/>
        </w:rPr>
        <w:t>.2监理人员</w:t>
      </w:r>
      <w:bookmarkEnd w:id="362"/>
    </w:p>
    <w:bookmarkEnd w:id="363"/>
    <w:p w14:paraId="0389AFD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1935354B">
      <w:pPr>
        <w:pStyle w:val="5"/>
        <w:adjustRightInd w:val="0"/>
        <w:snapToGrid w:val="0"/>
        <w:spacing w:line="440" w:lineRule="exact"/>
        <w:ind w:firstLine="480" w:firstLineChars="200"/>
        <w:rPr>
          <w:rFonts w:hint="eastAsia" w:ascii="仿宋" w:hAnsi="仿宋" w:eastAsia="仿宋" w:cs="仿宋"/>
          <w:szCs w:val="24"/>
          <w:highlight w:val="none"/>
        </w:rPr>
      </w:pPr>
      <w:bookmarkStart w:id="364" w:name="_Toc351203530"/>
      <w:r>
        <w:rPr>
          <w:rFonts w:hint="eastAsia" w:ascii="仿宋" w:hAnsi="仿宋" w:eastAsia="仿宋" w:cs="仿宋"/>
          <w:szCs w:val="24"/>
          <w:highlight w:val="none"/>
        </w:rPr>
        <w:t>4</w:t>
      </w:r>
      <w:bookmarkStart w:id="365" w:name="_Toc296346556"/>
      <w:bookmarkStart w:id="366" w:name="_Toc296503055"/>
      <w:bookmarkStart w:id="367" w:name="_Toc337558756"/>
      <w:r>
        <w:rPr>
          <w:rFonts w:hint="eastAsia" w:ascii="仿宋" w:hAnsi="仿宋" w:eastAsia="仿宋" w:cs="仿宋"/>
          <w:szCs w:val="24"/>
          <w:highlight w:val="none"/>
        </w:rPr>
        <w:t>.3</w:t>
      </w:r>
      <w:bookmarkEnd w:id="365"/>
      <w:bookmarkEnd w:id="366"/>
      <w:r>
        <w:rPr>
          <w:rFonts w:hint="eastAsia" w:ascii="仿宋" w:hAnsi="仿宋" w:eastAsia="仿宋" w:cs="仿宋"/>
          <w:szCs w:val="24"/>
          <w:highlight w:val="none"/>
        </w:rPr>
        <w:t>监理人的指</w:t>
      </w:r>
      <w:bookmarkEnd w:id="367"/>
      <w:r>
        <w:rPr>
          <w:rFonts w:hint="eastAsia" w:ascii="仿宋" w:hAnsi="仿宋" w:eastAsia="仿宋" w:cs="仿宋"/>
          <w:szCs w:val="24"/>
          <w:highlight w:val="none"/>
        </w:rPr>
        <w:t>示</w:t>
      </w:r>
      <w:bookmarkEnd w:id="364"/>
    </w:p>
    <w:p w14:paraId="6C1626B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33D53FE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765DF52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承包人对监理人发出的指示有疑问的，应向监理人提出书面异议，监理人应在48小时内对该指示予以确认、更改或撤销，监理人逾期未回复的，承包人有权拒绝执行上述指示。</w:t>
      </w:r>
    </w:p>
    <w:p w14:paraId="5195B19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监理人对承包人的任何工作、工程或其采用的材料和工程设备未在约定的或合理期限内提出意见的，视为批准，但不免除或减轻承包人对该工作、工程、材料、工程设备等应承担的责任和义务。</w:t>
      </w:r>
    </w:p>
    <w:p w14:paraId="0B4E9EDA">
      <w:pPr>
        <w:pStyle w:val="5"/>
        <w:adjustRightInd w:val="0"/>
        <w:snapToGrid w:val="0"/>
        <w:spacing w:line="440" w:lineRule="exact"/>
        <w:ind w:firstLine="480" w:firstLineChars="200"/>
        <w:rPr>
          <w:rFonts w:hint="eastAsia" w:ascii="仿宋" w:hAnsi="仿宋" w:eastAsia="仿宋" w:cs="仿宋"/>
          <w:szCs w:val="24"/>
          <w:highlight w:val="none"/>
        </w:rPr>
      </w:pPr>
      <w:bookmarkStart w:id="368" w:name="_Toc351203531"/>
      <w:r>
        <w:rPr>
          <w:rFonts w:hint="eastAsia" w:ascii="仿宋" w:hAnsi="仿宋" w:eastAsia="仿宋" w:cs="仿宋"/>
          <w:szCs w:val="24"/>
          <w:highlight w:val="none"/>
        </w:rPr>
        <w:t>4</w:t>
      </w:r>
      <w:bookmarkStart w:id="369" w:name="_Toc337558757"/>
      <w:bookmarkStart w:id="370" w:name="_Toc296503057"/>
      <w:bookmarkStart w:id="371" w:name="_Toc296346558"/>
      <w:r>
        <w:rPr>
          <w:rFonts w:hint="eastAsia" w:ascii="仿宋" w:hAnsi="仿宋" w:eastAsia="仿宋" w:cs="仿宋"/>
          <w:szCs w:val="24"/>
          <w:highlight w:val="none"/>
        </w:rPr>
        <w:t>.4 商定或确定</w:t>
      </w:r>
      <w:bookmarkEnd w:id="368"/>
    </w:p>
    <w:bookmarkEnd w:id="369"/>
    <w:bookmarkEnd w:id="370"/>
    <w:bookmarkEnd w:id="371"/>
    <w:p w14:paraId="4DA2712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合同当事人进行商定或确定时，总监理工程师应当会同合同当事人尽量通过协商达成一致，不能达成一致的，由总监理工程师按照合同约定审慎做出公正的确定。</w:t>
      </w:r>
    </w:p>
    <w:p w14:paraId="4D32E57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717B982D">
      <w:pPr>
        <w:pStyle w:val="4"/>
        <w:adjustRightInd w:val="0"/>
        <w:snapToGrid w:val="0"/>
        <w:spacing w:before="0" w:after="0" w:line="440" w:lineRule="exact"/>
        <w:rPr>
          <w:rFonts w:hint="eastAsia" w:ascii="仿宋" w:hAnsi="仿宋" w:eastAsia="仿宋" w:cs="仿宋"/>
          <w:sz w:val="24"/>
          <w:szCs w:val="24"/>
          <w:highlight w:val="none"/>
        </w:rPr>
      </w:pPr>
      <w:bookmarkStart w:id="372" w:name="_Toc351203532"/>
      <w:r>
        <w:rPr>
          <w:rFonts w:hint="eastAsia" w:ascii="仿宋" w:hAnsi="仿宋" w:eastAsia="仿宋" w:cs="仿宋"/>
          <w:sz w:val="24"/>
          <w:szCs w:val="24"/>
          <w:highlight w:val="none"/>
        </w:rPr>
        <w:t>5</w:t>
      </w:r>
      <w:bookmarkStart w:id="373" w:name="_Toc337558758"/>
      <w:r>
        <w:rPr>
          <w:rFonts w:hint="eastAsia" w:ascii="仿宋" w:hAnsi="仿宋" w:eastAsia="仿宋" w:cs="仿宋"/>
          <w:sz w:val="24"/>
          <w:szCs w:val="24"/>
          <w:highlight w:val="none"/>
        </w:rPr>
        <w:t>. 工程质量</w:t>
      </w:r>
      <w:bookmarkEnd w:id="372"/>
    </w:p>
    <w:bookmarkEnd w:id="373"/>
    <w:p w14:paraId="4F7769EB">
      <w:pPr>
        <w:pStyle w:val="5"/>
        <w:adjustRightInd w:val="0"/>
        <w:snapToGrid w:val="0"/>
        <w:spacing w:line="440" w:lineRule="exact"/>
        <w:ind w:firstLine="480" w:firstLineChars="200"/>
        <w:rPr>
          <w:rFonts w:hint="eastAsia" w:ascii="仿宋" w:hAnsi="仿宋" w:eastAsia="仿宋" w:cs="仿宋"/>
          <w:szCs w:val="24"/>
          <w:highlight w:val="none"/>
        </w:rPr>
      </w:pPr>
      <w:bookmarkStart w:id="374" w:name="_Toc351203533"/>
      <w:r>
        <w:rPr>
          <w:rFonts w:hint="eastAsia" w:ascii="仿宋" w:hAnsi="仿宋" w:eastAsia="仿宋" w:cs="仿宋"/>
          <w:szCs w:val="24"/>
          <w:highlight w:val="none"/>
        </w:rPr>
        <w:t>5</w:t>
      </w:r>
      <w:bookmarkStart w:id="375" w:name="_Toc337558759"/>
      <w:r>
        <w:rPr>
          <w:rFonts w:hint="eastAsia" w:ascii="仿宋" w:hAnsi="仿宋" w:eastAsia="仿宋" w:cs="仿宋"/>
          <w:szCs w:val="24"/>
          <w:highlight w:val="none"/>
        </w:rPr>
        <w:t>.1质量要求</w:t>
      </w:r>
      <w:bookmarkEnd w:id="374"/>
    </w:p>
    <w:bookmarkEnd w:id="375"/>
    <w:p w14:paraId="55DCEE2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5.1.1 工程质量标准必须符合现行国家有关工程施工质量验收规范和标准的要求。有关工程质量的特殊标准或要求由合同当事人在专用合同条款中约定。</w:t>
      </w:r>
    </w:p>
    <w:p w14:paraId="5982E24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5.1.2 因发包人原因造成工程质量未达到合同约定标准的，由发包人承担由此增加的费用和（或）延误的工期，并支付承包人合理的利润。</w:t>
      </w:r>
    </w:p>
    <w:p w14:paraId="33D9D20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5.1.3 因承包人原因造成工程质量未达到合同约定标准的，发包人有权要求承包人返工直至工程质量达到合同约定的标准为止，并由承包人承担由此增加的费用和（或）延误的工期。</w:t>
      </w:r>
    </w:p>
    <w:p w14:paraId="54E7432D">
      <w:pPr>
        <w:pStyle w:val="5"/>
        <w:adjustRightInd w:val="0"/>
        <w:snapToGrid w:val="0"/>
        <w:spacing w:line="440" w:lineRule="exact"/>
        <w:ind w:firstLine="480" w:firstLineChars="200"/>
        <w:rPr>
          <w:rFonts w:hint="eastAsia" w:ascii="仿宋" w:hAnsi="仿宋" w:eastAsia="仿宋" w:cs="仿宋"/>
          <w:szCs w:val="24"/>
          <w:highlight w:val="none"/>
        </w:rPr>
      </w:pPr>
      <w:bookmarkStart w:id="376" w:name="_Toc351203534"/>
      <w:r>
        <w:rPr>
          <w:rFonts w:hint="eastAsia" w:ascii="仿宋" w:hAnsi="仿宋" w:eastAsia="仿宋" w:cs="仿宋"/>
          <w:szCs w:val="24"/>
          <w:highlight w:val="none"/>
        </w:rPr>
        <w:t>5</w:t>
      </w:r>
      <w:bookmarkStart w:id="377" w:name="_Toc337558760"/>
      <w:r>
        <w:rPr>
          <w:rFonts w:hint="eastAsia" w:ascii="仿宋" w:hAnsi="仿宋" w:eastAsia="仿宋" w:cs="仿宋"/>
          <w:szCs w:val="24"/>
          <w:highlight w:val="none"/>
        </w:rPr>
        <w:t>.2质量保证措施</w:t>
      </w:r>
      <w:bookmarkEnd w:id="376"/>
    </w:p>
    <w:bookmarkEnd w:id="377"/>
    <w:p w14:paraId="4560A55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5.2.1 发包人的质量管理</w:t>
      </w:r>
    </w:p>
    <w:p w14:paraId="7DAE932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发包人应按照法律规定及合同约定完成与工程质量有关的各项工作。</w:t>
      </w:r>
    </w:p>
    <w:p w14:paraId="6370640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5.2.2 承包人的质量管理</w:t>
      </w:r>
    </w:p>
    <w:p w14:paraId="732B97A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0784179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承包人应对施工人员进行质量教育和技术培训，定期考核施工人员的劳动技能，严格执行施工规范和操作规程。</w:t>
      </w:r>
    </w:p>
    <w:p w14:paraId="7F8C627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4654882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5.2.3 监理人的质量检查和检验</w:t>
      </w:r>
    </w:p>
    <w:p w14:paraId="5BD0CF9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11C4F20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63A97E0A">
      <w:pPr>
        <w:pStyle w:val="5"/>
        <w:adjustRightInd w:val="0"/>
        <w:snapToGrid w:val="0"/>
        <w:spacing w:line="440" w:lineRule="exact"/>
        <w:ind w:firstLine="480" w:firstLineChars="200"/>
        <w:rPr>
          <w:rFonts w:hint="eastAsia" w:ascii="仿宋" w:hAnsi="仿宋" w:eastAsia="仿宋" w:cs="仿宋"/>
          <w:szCs w:val="24"/>
          <w:highlight w:val="none"/>
        </w:rPr>
      </w:pPr>
      <w:bookmarkStart w:id="378" w:name="_Toc351203535"/>
      <w:r>
        <w:rPr>
          <w:rFonts w:hint="eastAsia" w:ascii="仿宋" w:hAnsi="仿宋" w:eastAsia="仿宋" w:cs="仿宋"/>
          <w:szCs w:val="24"/>
          <w:highlight w:val="none"/>
        </w:rPr>
        <w:t>5</w:t>
      </w:r>
      <w:bookmarkStart w:id="379" w:name="_Toc337558761"/>
      <w:r>
        <w:rPr>
          <w:rFonts w:hint="eastAsia" w:ascii="仿宋" w:hAnsi="仿宋" w:eastAsia="仿宋" w:cs="仿宋"/>
          <w:szCs w:val="24"/>
          <w:highlight w:val="none"/>
        </w:rPr>
        <w:t>.3 隐蔽工程检查</w:t>
      </w:r>
      <w:bookmarkEnd w:id="378"/>
    </w:p>
    <w:bookmarkEnd w:id="379"/>
    <w:p w14:paraId="1CD6A1BE">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5.3.1承包人自检</w:t>
      </w:r>
    </w:p>
    <w:p w14:paraId="279E635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承包人应当对工程隐蔽部位进行自检，并经自检确认是否具备覆盖条件。</w:t>
      </w:r>
    </w:p>
    <w:p w14:paraId="7A7B6D1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5.3.2检查程序</w:t>
      </w:r>
    </w:p>
    <w:p w14:paraId="0BE964F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6545A2F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11695B63">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01468C5E">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5.3.3 重新检查</w:t>
      </w:r>
    </w:p>
    <w:p w14:paraId="42803F17">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416F39A7">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5.3.4 承包人私自覆盖</w:t>
      </w:r>
    </w:p>
    <w:p w14:paraId="465ED1C4">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承包人未通知监理人到场检查，私自将工程隐蔽部位覆盖的，监理人有权指示承包人钻孔探测或揭开检查，无论工程隐蔽部位质量是否合格，由此增加的费用和（或）延误的工期均由承包人承担。</w:t>
      </w:r>
    </w:p>
    <w:p w14:paraId="70B92DCC">
      <w:pPr>
        <w:pStyle w:val="5"/>
        <w:adjustRightInd w:val="0"/>
        <w:snapToGrid w:val="0"/>
        <w:spacing w:line="440" w:lineRule="exact"/>
        <w:ind w:firstLine="480" w:firstLineChars="200"/>
        <w:rPr>
          <w:rFonts w:hint="eastAsia" w:ascii="仿宋" w:hAnsi="仿宋" w:eastAsia="仿宋" w:cs="仿宋"/>
          <w:szCs w:val="24"/>
          <w:highlight w:val="none"/>
        </w:rPr>
      </w:pPr>
      <w:bookmarkStart w:id="380" w:name="_Toc351203536"/>
      <w:r>
        <w:rPr>
          <w:rFonts w:hint="eastAsia" w:ascii="仿宋" w:hAnsi="仿宋" w:eastAsia="仿宋" w:cs="仿宋"/>
          <w:szCs w:val="24"/>
          <w:highlight w:val="none"/>
        </w:rPr>
        <w:t>5</w:t>
      </w:r>
      <w:bookmarkStart w:id="381" w:name="_Toc337558762"/>
      <w:r>
        <w:rPr>
          <w:rFonts w:hint="eastAsia" w:ascii="仿宋" w:hAnsi="仿宋" w:eastAsia="仿宋" w:cs="仿宋"/>
          <w:szCs w:val="24"/>
          <w:highlight w:val="none"/>
        </w:rPr>
        <w:t>.4不合格工程的处理</w:t>
      </w:r>
      <w:bookmarkEnd w:id="380"/>
    </w:p>
    <w:bookmarkEnd w:id="381"/>
    <w:p w14:paraId="4962569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2E790FB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5.4.2 因发包人原因造成工程不合格的，由此增加的费用和（或）延误的工期由发包人承担，并支付承包人合理的利润。</w:t>
      </w:r>
    </w:p>
    <w:p w14:paraId="6A7B0A4B">
      <w:pPr>
        <w:pStyle w:val="5"/>
        <w:adjustRightInd w:val="0"/>
        <w:snapToGrid w:val="0"/>
        <w:spacing w:line="440" w:lineRule="exact"/>
        <w:ind w:firstLine="480" w:firstLineChars="200"/>
        <w:rPr>
          <w:rFonts w:hint="eastAsia" w:ascii="仿宋" w:hAnsi="仿宋" w:eastAsia="仿宋" w:cs="仿宋"/>
          <w:szCs w:val="24"/>
          <w:highlight w:val="none"/>
        </w:rPr>
      </w:pPr>
      <w:bookmarkStart w:id="382" w:name="_Toc351203537"/>
      <w:r>
        <w:rPr>
          <w:rFonts w:hint="eastAsia" w:ascii="仿宋" w:hAnsi="仿宋" w:eastAsia="仿宋" w:cs="仿宋"/>
          <w:szCs w:val="24"/>
          <w:highlight w:val="none"/>
        </w:rPr>
        <w:t>5.5 质量争议检测</w:t>
      </w:r>
      <w:bookmarkEnd w:id="382"/>
    </w:p>
    <w:p w14:paraId="45F03F8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合同当事人对工程质量有争议的，由双方协商确定的工程质量检测机构鉴定，由此产生的费用及因此造成的损失，由责任方承担。</w:t>
      </w:r>
    </w:p>
    <w:p w14:paraId="0F53258F">
      <w:pPr>
        <w:autoSpaceDE w:val="0"/>
        <w:autoSpaceDN w:val="0"/>
        <w:adjustRightInd w:val="0"/>
        <w:snapToGrid w:val="0"/>
        <w:spacing w:line="440" w:lineRule="exact"/>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合同当事人均有责任的，由双方根据其责任分别承担。合同当事人无法达成一致的，按照第4.4款〔商定或确定〕执行。</w:t>
      </w:r>
    </w:p>
    <w:p w14:paraId="1D401FD6">
      <w:pPr>
        <w:pStyle w:val="4"/>
        <w:adjustRightInd w:val="0"/>
        <w:snapToGrid w:val="0"/>
        <w:spacing w:before="0" w:after="0" w:line="440" w:lineRule="exact"/>
        <w:rPr>
          <w:rFonts w:hint="eastAsia" w:ascii="仿宋" w:hAnsi="仿宋" w:eastAsia="仿宋" w:cs="仿宋"/>
          <w:sz w:val="24"/>
          <w:szCs w:val="24"/>
          <w:highlight w:val="none"/>
        </w:rPr>
      </w:pPr>
      <w:bookmarkStart w:id="383" w:name="_Toc351203538"/>
      <w:r>
        <w:rPr>
          <w:rFonts w:hint="eastAsia" w:ascii="仿宋" w:hAnsi="仿宋" w:eastAsia="仿宋" w:cs="仿宋"/>
          <w:sz w:val="24"/>
          <w:szCs w:val="24"/>
          <w:highlight w:val="none"/>
        </w:rPr>
        <w:t>6</w:t>
      </w:r>
      <w:bookmarkStart w:id="384" w:name="_Toc337558763"/>
      <w:r>
        <w:rPr>
          <w:rFonts w:hint="eastAsia" w:ascii="仿宋" w:hAnsi="仿宋" w:eastAsia="仿宋" w:cs="仿宋"/>
          <w:sz w:val="24"/>
          <w:szCs w:val="24"/>
          <w:highlight w:val="none"/>
        </w:rPr>
        <w:t>. 安全文明施工与环境保护</w:t>
      </w:r>
      <w:bookmarkEnd w:id="383"/>
    </w:p>
    <w:bookmarkEnd w:id="384"/>
    <w:p w14:paraId="6726DC91">
      <w:pPr>
        <w:pStyle w:val="5"/>
        <w:adjustRightInd w:val="0"/>
        <w:snapToGrid w:val="0"/>
        <w:spacing w:line="440" w:lineRule="exact"/>
        <w:ind w:firstLine="480" w:firstLineChars="200"/>
        <w:rPr>
          <w:rFonts w:hint="eastAsia" w:ascii="仿宋" w:hAnsi="仿宋" w:eastAsia="仿宋" w:cs="仿宋"/>
          <w:szCs w:val="24"/>
          <w:highlight w:val="none"/>
        </w:rPr>
      </w:pPr>
      <w:bookmarkStart w:id="385" w:name="_Toc351203539"/>
      <w:r>
        <w:rPr>
          <w:rFonts w:hint="eastAsia" w:ascii="仿宋" w:hAnsi="仿宋" w:eastAsia="仿宋" w:cs="仿宋"/>
          <w:szCs w:val="24"/>
          <w:highlight w:val="none"/>
        </w:rPr>
        <w:t>6</w:t>
      </w:r>
      <w:bookmarkStart w:id="386" w:name="_Toc337558764"/>
      <w:r>
        <w:rPr>
          <w:rFonts w:hint="eastAsia" w:ascii="仿宋" w:hAnsi="仿宋" w:eastAsia="仿宋" w:cs="仿宋"/>
          <w:szCs w:val="24"/>
          <w:highlight w:val="none"/>
        </w:rPr>
        <w:t>.1安全文明施工</w:t>
      </w:r>
      <w:bookmarkEnd w:id="385"/>
    </w:p>
    <w:bookmarkEnd w:id="386"/>
    <w:p w14:paraId="5FDCCC20">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6.1.1安全生产要求</w:t>
      </w:r>
    </w:p>
    <w:p w14:paraId="3E2FF4AA">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47132DF4">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在施工过程中，如遇到突发的地质变动、事先未知的地下施工障碍等影响施工安全的紧急情况，承包人应及时报告监理人和发包人，发包人应当及时下令停工并报</w:t>
      </w:r>
      <w:r>
        <w:rPr>
          <w:rFonts w:hint="eastAsia" w:ascii="仿宋" w:hAnsi="仿宋" w:eastAsia="仿宋" w:cs="仿宋"/>
          <w:kern w:val="0"/>
          <w:sz w:val="24"/>
          <w:highlight w:val="none"/>
        </w:rPr>
        <w:t>政府有关行政管理部门</w:t>
      </w:r>
      <w:r>
        <w:rPr>
          <w:rFonts w:hint="eastAsia" w:ascii="仿宋" w:hAnsi="仿宋" w:eastAsia="仿宋" w:cs="仿宋"/>
          <w:sz w:val="24"/>
          <w:highlight w:val="none"/>
        </w:rPr>
        <w:t>采取应急措施。</w:t>
      </w:r>
    </w:p>
    <w:p w14:paraId="652188E6">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因安全生产需要暂停施工的，按照第7.8款〔暂停施工〕的约定执行。</w:t>
      </w:r>
    </w:p>
    <w:p w14:paraId="386E8BA5">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6.1.2 安全生产保证措施</w:t>
      </w:r>
    </w:p>
    <w:p w14:paraId="5F91EC0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承包人应当按照有关</w:t>
      </w:r>
      <w:r>
        <w:rPr>
          <w:rFonts w:hint="eastAsia" w:ascii="仿宋" w:hAnsi="仿宋" w:eastAsia="仿宋" w:cs="仿宋"/>
          <w:kern w:val="0"/>
          <w:sz w:val="24"/>
          <w:highlight w:val="none"/>
        </w:rPr>
        <w:t>规定编制安全技术措施或者专项施工方案，</w:t>
      </w:r>
      <w:r>
        <w:rPr>
          <w:rFonts w:hint="eastAsia" w:ascii="仿宋" w:hAnsi="仿宋" w:eastAsia="仿宋" w:cs="仿宋"/>
          <w:sz w:val="24"/>
          <w:highlight w:val="none"/>
        </w:rPr>
        <w:t>建立安全生产责任制度、治安保卫制度及安全生产教育培训制度，并</w:t>
      </w:r>
      <w:r>
        <w:rPr>
          <w:rFonts w:hint="eastAsia" w:ascii="仿宋" w:hAnsi="仿宋" w:eastAsia="仿宋" w:cs="仿宋"/>
          <w:kern w:val="0"/>
          <w:sz w:val="24"/>
          <w:highlight w:val="none"/>
        </w:rPr>
        <w:t>按安全生产法律规定及合同约定履行安全职责，如实</w:t>
      </w:r>
      <w:r>
        <w:rPr>
          <w:rFonts w:hint="eastAsia" w:ascii="仿宋" w:hAnsi="仿宋" w:eastAsia="仿宋" w:cs="仿宋"/>
          <w:sz w:val="24"/>
          <w:highlight w:val="none"/>
        </w:rPr>
        <w:t>编制工程安全生产的有关记录，</w:t>
      </w:r>
      <w:r>
        <w:rPr>
          <w:rFonts w:hint="eastAsia" w:ascii="仿宋" w:hAnsi="仿宋" w:eastAsia="仿宋" w:cs="仿宋"/>
          <w:kern w:val="0"/>
          <w:sz w:val="24"/>
          <w:highlight w:val="none"/>
        </w:rPr>
        <w:t>接受发包人、监理人及政府安全监督部门的检查与监督。</w:t>
      </w:r>
    </w:p>
    <w:p w14:paraId="494E9979">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6.1.3特别安全生产事项</w:t>
      </w:r>
    </w:p>
    <w:p w14:paraId="0CD2167B">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5853F926">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承包人在动力设备、输电线路、地下管道、密封防震车间、易燃易爆地段以及临街交通要道附近施工时，施工开始前应向发包人和监理人提出安全防护措施，经发包人认可后实施。 </w:t>
      </w:r>
    </w:p>
    <w:p w14:paraId="5CCA9752">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实施爆破作业，在放射、毒害性环境中施工（含储存、运输、使用）及使用毒害性、腐蚀性物品施工时，承包人应在施工前7天以书面通知发包人和监理人，并报送相应的安全防护措施，经发包人认可后实施。</w:t>
      </w:r>
    </w:p>
    <w:p w14:paraId="59572601">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需单独编制危险性较大分部分项专项工程施工方案的，及要求进行专家论证的超过一定规模的危险性较大的分部分项工程，承包人应及时编制和组织论证。</w:t>
      </w:r>
    </w:p>
    <w:p w14:paraId="395EBDB3">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6.1.4 治安保卫</w:t>
      </w:r>
    </w:p>
    <w:p w14:paraId="747ECF29">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除专用合同条款另有约定外，发包人应与当地公安部门协商，在现场建立治安管理机构或联防组织，统一管理施工场地的治安保卫事项，履行合同工程的治安保卫职责。</w:t>
      </w:r>
    </w:p>
    <w:p w14:paraId="4BD84729">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发包人和承包人除应协助现场治安管理机构或联防组织维护施工场地的社会治安外，还应做好包括生活区在内的各自管辖区的治安保卫工作。</w:t>
      </w:r>
    </w:p>
    <w:p w14:paraId="5BCB206A">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3E04BF8B">
      <w:pPr>
        <w:adjustRightInd w:val="0"/>
        <w:snapToGrid w:val="0"/>
        <w:spacing w:line="440" w:lineRule="exact"/>
        <w:ind w:firstLine="480" w:firstLineChars="200"/>
        <w:rPr>
          <w:rFonts w:hint="eastAsia" w:ascii="仿宋" w:hAnsi="仿宋" w:eastAsia="仿宋" w:cs="仿宋"/>
          <w:kern w:val="0"/>
          <w:sz w:val="24"/>
          <w:highlight w:val="none"/>
        </w:rPr>
      </w:pPr>
      <w:r>
        <w:rPr>
          <w:rFonts w:hint="eastAsia" w:ascii="仿宋" w:hAnsi="仿宋" w:eastAsia="仿宋" w:cs="仿宋"/>
          <w:sz w:val="24"/>
          <w:highlight w:val="none"/>
        </w:rPr>
        <w:t>6.1.5 文明施工</w:t>
      </w:r>
    </w:p>
    <w:p w14:paraId="256C6C1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20011CF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24B90FB2">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6.1.6 安全文明施工费</w:t>
      </w:r>
    </w:p>
    <w:p w14:paraId="1B77A05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安全文明施工费由发包人承担，发包人不得以任何形式扣减该部分费用。因基准日期后合同所适用的法律或政府有关规定发生变化，增加的安全文明施工费由发包人承担。</w:t>
      </w:r>
    </w:p>
    <w:p w14:paraId="169356C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0296524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44A7F88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49B7CE9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6.1.7 紧急情况处理</w:t>
      </w:r>
    </w:p>
    <w:p w14:paraId="47B3994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7F24752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6.1.8 事故处理</w:t>
      </w:r>
    </w:p>
    <w:p w14:paraId="4D26CC1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51C6333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6.1.9 安全生产责任</w:t>
      </w:r>
    </w:p>
    <w:p w14:paraId="0572015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6.1.9.1 发包人的安全责任</w:t>
      </w:r>
    </w:p>
    <w:p w14:paraId="4E83D2A3">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发包人应负责赔偿以下各种情况造成的损失：</w:t>
      </w:r>
    </w:p>
    <w:p w14:paraId="00292B0E">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（1）工程或工程的任何部分对土地的占用所造成的第三者财产损失；</w:t>
      </w:r>
    </w:p>
    <w:p w14:paraId="277F4E73">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（2）由于发包人原因在施工场地及其毗邻地带造成的第三者人身伤亡和财产损失；</w:t>
      </w:r>
    </w:p>
    <w:p w14:paraId="0F5E63FC">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（3）由于发包人原因对承包人、监理人造成的人员人身伤亡和财产损失；</w:t>
      </w:r>
    </w:p>
    <w:p w14:paraId="33E6EE3F">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（4）由于发包人原因造成的发包人自身人员的人身伤害以及财产损失。</w:t>
      </w:r>
    </w:p>
    <w:p w14:paraId="1F39B58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6.1.9.2 承包人的安全责任</w:t>
      </w:r>
    </w:p>
    <w:p w14:paraId="6860CE93">
      <w:pPr>
        <w:adjustRightInd w:val="0"/>
        <w:snapToGrid w:val="0"/>
        <w:spacing w:line="440" w:lineRule="exact"/>
        <w:ind w:firstLine="480" w:firstLineChars="200"/>
        <w:rPr>
          <w:rFonts w:hint="eastAsia" w:ascii="仿宋" w:hAnsi="仿宋" w:eastAsia="仿宋" w:cs="仿宋"/>
          <w:kern w:val="0"/>
          <w:sz w:val="24"/>
          <w:highlight w:val="none"/>
        </w:rPr>
      </w:pPr>
      <w:r>
        <w:rPr>
          <w:rFonts w:hint="eastAsia" w:ascii="仿宋" w:hAnsi="仿宋" w:eastAsia="仿宋" w:cs="仿宋"/>
          <w:sz w:val="24"/>
          <w:highlight w:val="none"/>
        </w:rPr>
        <w:t>由于承包人原因在施工场地内及其毗邻地带造成的发包人、监理人以及第三者人员伤亡和财产损失，由承包人负责赔偿。</w:t>
      </w:r>
    </w:p>
    <w:p w14:paraId="49C6C3E4">
      <w:pPr>
        <w:pStyle w:val="5"/>
        <w:adjustRightInd w:val="0"/>
        <w:snapToGrid w:val="0"/>
        <w:spacing w:line="440" w:lineRule="exact"/>
        <w:ind w:firstLine="480" w:firstLineChars="200"/>
        <w:rPr>
          <w:rFonts w:hint="eastAsia" w:ascii="仿宋" w:hAnsi="仿宋" w:eastAsia="仿宋" w:cs="仿宋"/>
          <w:szCs w:val="24"/>
          <w:highlight w:val="none"/>
        </w:rPr>
      </w:pPr>
      <w:bookmarkStart w:id="387" w:name="_Toc351203540"/>
      <w:r>
        <w:rPr>
          <w:rFonts w:hint="eastAsia" w:ascii="仿宋" w:hAnsi="仿宋" w:eastAsia="仿宋" w:cs="仿宋"/>
          <w:szCs w:val="24"/>
          <w:highlight w:val="none"/>
        </w:rPr>
        <w:t>6</w:t>
      </w:r>
      <w:bookmarkStart w:id="388" w:name="_Toc337558765"/>
      <w:r>
        <w:rPr>
          <w:rFonts w:hint="eastAsia" w:ascii="仿宋" w:hAnsi="仿宋" w:eastAsia="仿宋" w:cs="仿宋"/>
          <w:szCs w:val="24"/>
          <w:highlight w:val="none"/>
        </w:rPr>
        <w:t>.2 职业健康</w:t>
      </w:r>
      <w:bookmarkEnd w:id="387"/>
    </w:p>
    <w:bookmarkEnd w:id="388"/>
    <w:p w14:paraId="0056090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6.2.1 劳动保护</w:t>
      </w:r>
    </w:p>
    <w:p w14:paraId="29DA960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1358819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7281BBD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承包人应按法律规定安排工作时间，保证其雇佣人员享有休息和休假的权利。因工程施工的特殊需要占用休假日或延长工作时间的，应不超过法律规定的限度，并按法律规定给予补休或付酬。</w:t>
      </w:r>
    </w:p>
    <w:p w14:paraId="312DDDF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6.2.2 生活条件</w:t>
      </w:r>
    </w:p>
    <w:p w14:paraId="762AC8B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481EA273">
      <w:pPr>
        <w:pStyle w:val="5"/>
        <w:adjustRightInd w:val="0"/>
        <w:snapToGrid w:val="0"/>
        <w:spacing w:line="440" w:lineRule="exact"/>
        <w:ind w:firstLine="480" w:firstLineChars="200"/>
        <w:rPr>
          <w:rFonts w:hint="eastAsia" w:ascii="仿宋" w:hAnsi="仿宋" w:eastAsia="仿宋" w:cs="仿宋"/>
          <w:szCs w:val="24"/>
          <w:highlight w:val="none"/>
        </w:rPr>
      </w:pPr>
      <w:bookmarkStart w:id="389" w:name="_Toc351203541"/>
      <w:r>
        <w:rPr>
          <w:rFonts w:hint="eastAsia" w:ascii="仿宋" w:hAnsi="仿宋" w:eastAsia="仿宋" w:cs="仿宋"/>
          <w:szCs w:val="24"/>
          <w:highlight w:val="none"/>
        </w:rPr>
        <w:t>6</w:t>
      </w:r>
      <w:bookmarkStart w:id="390" w:name="_Toc337558766"/>
      <w:r>
        <w:rPr>
          <w:rFonts w:hint="eastAsia" w:ascii="仿宋" w:hAnsi="仿宋" w:eastAsia="仿宋" w:cs="仿宋"/>
          <w:szCs w:val="24"/>
          <w:highlight w:val="none"/>
        </w:rPr>
        <w:t>.3 环境保护</w:t>
      </w:r>
      <w:bookmarkEnd w:id="389"/>
    </w:p>
    <w:bookmarkEnd w:id="390"/>
    <w:p w14:paraId="0C18346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65C8EFD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承包人应当承担因其原因引起的环境污染侵权损害赔偿责任，因上述环境污染引起纠纷而导致暂停施工的，由此增加的费用和（或）延误的工期由承包人承担。</w:t>
      </w:r>
    </w:p>
    <w:p w14:paraId="74CEB9EE">
      <w:pPr>
        <w:pStyle w:val="4"/>
        <w:adjustRightInd w:val="0"/>
        <w:snapToGrid w:val="0"/>
        <w:spacing w:before="0" w:after="0" w:line="440" w:lineRule="exact"/>
        <w:rPr>
          <w:rFonts w:hint="eastAsia" w:ascii="仿宋" w:hAnsi="仿宋" w:eastAsia="仿宋" w:cs="仿宋"/>
          <w:sz w:val="24"/>
          <w:szCs w:val="24"/>
          <w:highlight w:val="none"/>
        </w:rPr>
      </w:pPr>
      <w:bookmarkStart w:id="391" w:name="_Toc351203542"/>
      <w:r>
        <w:rPr>
          <w:rFonts w:hint="eastAsia" w:ascii="仿宋" w:hAnsi="仿宋" w:eastAsia="仿宋" w:cs="仿宋"/>
          <w:sz w:val="24"/>
          <w:szCs w:val="24"/>
          <w:highlight w:val="none"/>
        </w:rPr>
        <w:t>7</w:t>
      </w:r>
      <w:bookmarkStart w:id="392" w:name="_Toc337558767"/>
      <w:r>
        <w:rPr>
          <w:rFonts w:hint="eastAsia" w:ascii="仿宋" w:hAnsi="仿宋" w:eastAsia="仿宋" w:cs="仿宋"/>
          <w:sz w:val="24"/>
          <w:szCs w:val="24"/>
          <w:highlight w:val="none"/>
        </w:rPr>
        <w:t>. 工期和进度</w:t>
      </w:r>
      <w:bookmarkEnd w:id="391"/>
    </w:p>
    <w:bookmarkEnd w:id="392"/>
    <w:p w14:paraId="7C868F97">
      <w:pPr>
        <w:pStyle w:val="5"/>
        <w:adjustRightInd w:val="0"/>
        <w:snapToGrid w:val="0"/>
        <w:spacing w:line="440" w:lineRule="exact"/>
        <w:ind w:firstLine="480" w:firstLineChars="200"/>
        <w:rPr>
          <w:rFonts w:hint="eastAsia" w:ascii="仿宋" w:hAnsi="仿宋" w:eastAsia="仿宋" w:cs="仿宋"/>
          <w:szCs w:val="24"/>
          <w:highlight w:val="none"/>
        </w:rPr>
      </w:pPr>
      <w:bookmarkStart w:id="393" w:name="_Toc351203543"/>
      <w:r>
        <w:rPr>
          <w:rFonts w:hint="eastAsia" w:ascii="仿宋" w:hAnsi="仿宋" w:eastAsia="仿宋" w:cs="仿宋"/>
          <w:szCs w:val="24"/>
          <w:highlight w:val="none"/>
        </w:rPr>
        <w:t>7</w:t>
      </w:r>
      <w:bookmarkStart w:id="394" w:name="_Toc337558768"/>
      <w:bookmarkStart w:id="395" w:name="_Toc296503066"/>
      <w:bookmarkStart w:id="396" w:name="_Toc296346567"/>
      <w:r>
        <w:rPr>
          <w:rFonts w:hint="eastAsia" w:ascii="仿宋" w:hAnsi="仿宋" w:eastAsia="仿宋" w:cs="仿宋"/>
          <w:szCs w:val="24"/>
          <w:highlight w:val="none"/>
        </w:rPr>
        <w:t>.1施工组织设计</w:t>
      </w:r>
      <w:bookmarkEnd w:id="393"/>
    </w:p>
    <w:bookmarkEnd w:id="394"/>
    <w:p w14:paraId="538A88A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 xml:space="preserve">7.1.1 </w:t>
      </w:r>
      <w:r>
        <w:rPr>
          <w:rFonts w:hint="eastAsia" w:ascii="仿宋" w:hAnsi="仿宋" w:eastAsia="仿宋" w:cs="仿宋"/>
          <w:kern w:val="0"/>
          <w:sz w:val="24"/>
          <w:highlight w:val="none"/>
        </w:rPr>
        <w:t>施工组织设计的内容</w:t>
      </w:r>
    </w:p>
    <w:p w14:paraId="31D5E75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施工组织设计应包含以下内容：</w:t>
      </w:r>
    </w:p>
    <w:p w14:paraId="77C119B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（1）施工方案； </w:t>
      </w:r>
    </w:p>
    <w:p w14:paraId="7F46ADA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（2）施工现场平面布置图；</w:t>
      </w:r>
    </w:p>
    <w:p w14:paraId="5CB48F0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（3）施工进度计划和保证措施； </w:t>
      </w:r>
    </w:p>
    <w:p w14:paraId="7D4683D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（4）劳动力及材料供应计划；</w:t>
      </w:r>
    </w:p>
    <w:p w14:paraId="4E98767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（5）施工机械设备的选用；</w:t>
      </w:r>
    </w:p>
    <w:p w14:paraId="479C34E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（6）质量保证体系及措施；</w:t>
      </w:r>
    </w:p>
    <w:p w14:paraId="6B03204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（7）安全生产、文明施工措施；</w:t>
      </w:r>
    </w:p>
    <w:p w14:paraId="38FAD2A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（8）环境保护、成本控制措施；</w:t>
      </w:r>
    </w:p>
    <w:p w14:paraId="0C7D503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（9）合同当事人约定的其他内容。</w:t>
      </w:r>
    </w:p>
    <w:p w14:paraId="38B42CD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 xml:space="preserve">7.1.2 </w:t>
      </w:r>
      <w:r>
        <w:rPr>
          <w:rFonts w:hint="eastAsia" w:ascii="仿宋" w:hAnsi="仿宋" w:eastAsia="仿宋" w:cs="仿宋"/>
          <w:kern w:val="0"/>
          <w:sz w:val="24"/>
          <w:highlight w:val="none"/>
        </w:rPr>
        <w:t>施工组织设计的提交和修改</w:t>
      </w:r>
    </w:p>
    <w:p w14:paraId="047B870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28EAE74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施工进度计划的编制和修改按照第7.2款〔施工进度计划〕执行。</w:t>
      </w:r>
    </w:p>
    <w:p w14:paraId="3FD0C555">
      <w:pPr>
        <w:pStyle w:val="5"/>
        <w:adjustRightInd w:val="0"/>
        <w:snapToGrid w:val="0"/>
        <w:spacing w:line="440" w:lineRule="exact"/>
        <w:ind w:firstLine="480" w:firstLineChars="200"/>
        <w:rPr>
          <w:rFonts w:hint="eastAsia" w:ascii="仿宋" w:hAnsi="仿宋" w:eastAsia="仿宋" w:cs="仿宋"/>
          <w:szCs w:val="24"/>
          <w:highlight w:val="none"/>
        </w:rPr>
      </w:pPr>
      <w:bookmarkStart w:id="397" w:name="_Toc351203544"/>
      <w:r>
        <w:rPr>
          <w:rFonts w:hint="eastAsia" w:ascii="仿宋" w:hAnsi="仿宋" w:eastAsia="仿宋" w:cs="仿宋"/>
          <w:szCs w:val="24"/>
          <w:highlight w:val="none"/>
        </w:rPr>
        <w:t>7</w:t>
      </w:r>
      <w:bookmarkStart w:id="398" w:name="_Toc337558769"/>
      <w:r>
        <w:rPr>
          <w:rFonts w:hint="eastAsia" w:ascii="仿宋" w:hAnsi="仿宋" w:eastAsia="仿宋" w:cs="仿宋"/>
          <w:szCs w:val="24"/>
          <w:highlight w:val="none"/>
        </w:rPr>
        <w:t>.2 施工进度计划</w:t>
      </w:r>
      <w:bookmarkEnd w:id="397"/>
    </w:p>
    <w:bookmarkEnd w:id="398"/>
    <w:p w14:paraId="681978A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7.2.1 施工进度计划的编制</w:t>
      </w:r>
    </w:p>
    <w:p w14:paraId="7A3D8FE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0A19F44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7.2.2 施工进度计划的修订</w:t>
      </w:r>
    </w:p>
    <w:p w14:paraId="30E4B7F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085AB4BB">
      <w:pPr>
        <w:pStyle w:val="5"/>
        <w:adjustRightInd w:val="0"/>
        <w:snapToGrid w:val="0"/>
        <w:spacing w:line="440" w:lineRule="exact"/>
        <w:ind w:firstLine="480" w:firstLineChars="200"/>
        <w:rPr>
          <w:rFonts w:hint="eastAsia" w:ascii="仿宋" w:hAnsi="仿宋" w:eastAsia="仿宋" w:cs="仿宋"/>
          <w:szCs w:val="24"/>
          <w:highlight w:val="none"/>
        </w:rPr>
      </w:pPr>
      <w:bookmarkStart w:id="399" w:name="_Toc351203545"/>
      <w:r>
        <w:rPr>
          <w:rFonts w:hint="eastAsia" w:ascii="仿宋" w:hAnsi="仿宋" w:eastAsia="仿宋" w:cs="仿宋"/>
          <w:szCs w:val="24"/>
          <w:highlight w:val="none"/>
        </w:rPr>
        <w:t>7</w:t>
      </w:r>
      <w:bookmarkStart w:id="400" w:name="_Toc337558770"/>
      <w:r>
        <w:rPr>
          <w:rFonts w:hint="eastAsia" w:ascii="仿宋" w:hAnsi="仿宋" w:eastAsia="仿宋" w:cs="仿宋"/>
          <w:szCs w:val="24"/>
          <w:highlight w:val="none"/>
        </w:rPr>
        <w:t>.3 开工</w:t>
      </w:r>
      <w:bookmarkEnd w:id="399"/>
    </w:p>
    <w:p w14:paraId="701A6160">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kern w:val="0"/>
          <w:sz w:val="24"/>
          <w:highlight w:val="none"/>
        </w:rPr>
        <w:t>7.3.1 开工准备</w:t>
      </w:r>
    </w:p>
    <w:p w14:paraId="49208949">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1BA54467">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除专用合同条款另有约定外，合同当事人应按约定完成开工准备工作。</w:t>
      </w:r>
    </w:p>
    <w:p w14:paraId="5A8D279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7.3.2 开工通知</w:t>
      </w:r>
    </w:p>
    <w:bookmarkEnd w:id="400"/>
    <w:p w14:paraId="51CA84D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1807E49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01C59B53">
      <w:pPr>
        <w:pStyle w:val="5"/>
        <w:adjustRightInd w:val="0"/>
        <w:snapToGrid w:val="0"/>
        <w:spacing w:line="440" w:lineRule="exact"/>
        <w:ind w:firstLine="480" w:firstLineChars="200"/>
        <w:rPr>
          <w:rFonts w:hint="eastAsia" w:ascii="仿宋" w:hAnsi="仿宋" w:eastAsia="仿宋" w:cs="仿宋"/>
          <w:szCs w:val="24"/>
          <w:highlight w:val="none"/>
        </w:rPr>
      </w:pPr>
      <w:bookmarkStart w:id="401" w:name="_Toc351203546"/>
      <w:r>
        <w:rPr>
          <w:rFonts w:hint="eastAsia" w:ascii="仿宋" w:hAnsi="仿宋" w:eastAsia="仿宋" w:cs="仿宋"/>
          <w:szCs w:val="24"/>
          <w:highlight w:val="none"/>
        </w:rPr>
        <w:t>7.4测量放线</w:t>
      </w:r>
      <w:bookmarkEnd w:id="401"/>
    </w:p>
    <w:p w14:paraId="77EAE10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14177EE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067E495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663C3DB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施工过程中对施工现场内水准点等测量标志物的保护工作由承包人负责。</w:t>
      </w:r>
      <w:bookmarkStart w:id="402" w:name="_Toc351203547"/>
    </w:p>
    <w:p w14:paraId="296904D4">
      <w:pPr>
        <w:pStyle w:val="5"/>
        <w:adjustRightInd w:val="0"/>
        <w:snapToGrid w:val="0"/>
        <w:spacing w:line="440" w:lineRule="exact"/>
        <w:ind w:firstLine="480" w:firstLineChars="200"/>
        <w:rPr>
          <w:rFonts w:hint="eastAsia" w:ascii="仿宋" w:hAnsi="仿宋" w:eastAsia="仿宋" w:cs="仿宋"/>
          <w:szCs w:val="24"/>
          <w:highlight w:val="none"/>
        </w:rPr>
      </w:pPr>
      <w:r>
        <w:rPr>
          <w:rFonts w:hint="eastAsia" w:ascii="仿宋" w:hAnsi="仿宋" w:eastAsia="仿宋" w:cs="仿宋"/>
          <w:szCs w:val="24"/>
          <w:highlight w:val="none"/>
        </w:rPr>
        <w:t>7</w:t>
      </w:r>
      <w:bookmarkEnd w:id="395"/>
      <w:bookmarkEnd w:id="396"/>
      <w:bookmarkStart w:id="403" w:name="_Toc296346574"/>
      <w:bookmarkStart w:id="404" w:name="_Toc337558772"/>
      <w:bookmarkStart w:id="405" w:name="_Toc296503073"/>
      <w:r>
        <w:rPr>
          <w:rFonts w:hint="eastAsia" w:ascii="仿宋" w:hAnsi="仿宋" w:eastAsia="仿宋" w:cs="仿宋"/>
          <w:szCs w:val="24"/>
          <w:highlight w:val="none"/>
        </w:rPr>
        <w:t>.5 工期延误</w:t>
      </w:r>
      <w:bookmarkEnd w:id="402"/>
    </w:p>
    <w:bookmarkEnd w:id="403"/>
    <w:bookmarkEnd w:id="404"/>
    <w:bookmarkEnd w:id="405"/>
    <w:p w14:paraId="7AD7D3CC">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7.5.1 因发包人原因导致工期延误</w:t>
      </w:r>
    </w:p>
    <w:p w14:paraId="30E72833">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在合同履行过程中，因下列情况导致工期延误和（或）费用增加的，由发包人承担由此延误的工期和（或）增加的费用，且发包人应支付承包人合理的利润： </w:t>
      </w:r>
    </w:p>
    <w:p w14:paraId="6158CFB7">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（1）发包人未能按合同约定提供图纸或所提供图纸不符合合同约定的；</w:t>
      </w:r>
    </w:p>
    <w:p w14:paraId="3589F469">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（2）发包人未能按合同约定提供施工现场、施工条件、基础资料、许可、批准等开工条件的；</w:t>
      </w:r>
    </w:p>
    <w:p w14:paraId="7F16CC7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（3）发包人提供的测量基准点、基准线和水准点及其书面资料存在错误或疏漏的；</w:t>
      </w:r>
    </w:p>
    <w:p w14:paraId="3A832A8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（4）发包人未能在计划开工日期之日起7天内同意下达开工通知的；</w:t>
      </w:r>
    </w:p>
    <w:p w14:paraId="20FBB58C">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（5）发包人未能按合同约定日期支付工程预付款、进度款或竣工结算款的；</w:t>
      </w:r>
    </w:p>
    <w:p w14:paraId="4CB0181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（6）监理人未按合同约定发出指示、批准等文件的；</w:t>
      </w:r>
    </w:p>
    <w:p w14:paraId="72CCE38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（7）专用合同条款中约定的其他情形。</w:t>
      </w:r>
    </w:p>
    <w:p w14:paraId="0BA97F7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231265B9">
      <w:pPr>
        <w:autoSpaceDE w:val="0"/>
        <w:autoSpaceDN w:val="0"/>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7.5.2 因承包人原因导致工期延误</w:t>
      </w:r>
    </w:p>
    <w:p w14:paraId="3B619DC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bookmarkStart w:id="406" w:name="_Toc296346577"/>
      <w:bookmarkStart w:id="407" w:name="_Toc296503076"/>
      <w:r>
        <w:rPr>
          <w:rFonts w:hint="eastAsia" w:ascii="仿宋" w:hAnsi="仿宋" w:eastAsia="仿宋" w:cs="仿宋"/>
          <w:kern w:val="0"/>
          <w:sz w:val="24"/>
          <w:highlight w:val="none"/>
        </w:rPr>
        <w:t>因</w:t>
      </w:r>
      <w:bookmarkEnd w:id="406"/>
      <w:bookmarkEnd w:id="407"/>
      <w:r>
        <w:rPr>
          <w:rFonts w:hint="eastAsia" w:ascii="仿宋" w:hAnsi="仿宋" w:eastAsia="仿宋" w:cs="仿宋"/>
          <w:kern w:val="0"/>
          <w:sz w:val="24"/>
          <w:highlight w:val="none"/>
        </w:rPr>
        <w:t>承包人原因造成工期延误的，可以在专用合同条款中约定逾期竣工违约金的计算方法和逾期竣工违约金的上限。承包人支付逾期竣工违约金后，不免除承包人继续完成工程及修补缺陷的义务。</w:t>
      </w:r>
    </w:p>
    <w:p w14:paraId="13FFF8FA">
      <w:pPr>
        <w:pStyle w:val="5"/>
        <w:adjustRightInd w:val="0"/>
        <w:snapToGrid w:val="0"/>
        <w:spacing w:line="440" w:lineRule="exact"/>
        <w:ind w:firstLine="480" w:firstLineChars="200"/>
        <w:rPr>
          <w:rFonts w:hint="eastAsia" w:ascii="仿宋" w:hAnsi="仿宋" w:eastAsia="仿宋" w:cs="仿宋"/>
          <w:szCs w:val="24"/>
          <w:highlight w:val="none"/>
        </w:rPr>
      </w:pPr>
      <w:bookmarkStart w:id="408" w:name="_Toc351203548"/>
      <w:r>
        <w:rPr>
          <w:rFonts w:hint="eastAsia" w:ascii="仿宋" w:hAnsi="仿宋" w:eastAsia="仿宋" w:cs="仿宋"/>
          <w:szCs w:val="24"/>
          <w:highlight w:val="none"/>
        </w:rPr>
        <w:t>7</w:t>
      </w:r>
      <w:bookmarkStart w:id="409" w:name="_Toc296346575"/>
      <w:bookmarkStart w:id="410" w:name="_Toc296503074"/>
      <w:bookmarkStart w:id="411" w:name="_Toc337558773"/>
      <w:bookmarkStart w:id="412" w:name="_Toc296503077"/>
      <w:bookmarkStart w:id="413" w:name="_Toc296346578"/>
      <w:r>
        <w:rPr>
          <w:rFonts w:hint="eastAsia" w:ascii="仿宋" w:hAnsi="仿宋" w:eastAsia="仿宋" w:cs="仿宋"/>
          <w:szCs w:val="24"/>
          <w:highlight w:val="none"/>
        </w:rPr>
        <w:t>.6 不利物质条件</w:t>
      </w:r>
      <w:bookmarkEnd w:id="408"/>
    </w:p>
    <w:bookmarkEnd w:id="409"/>
    <w:bookmarkEnd w:id="410"/>
    <w:bookmarkEnd w:id="411"/>
    <w:p w14:paraId="37D4B90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5D4804A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177AB713">
      <w:pPr>
        <w:pStyle w:val="5"/>
        <w:adjustRightInd w:val="0"/>
        <w:snapToGrid w:val="0"/>
        <w:spacing w:line="440" w:lineRule="exact"/>
        <w:ind w:firstLine="480" w:firstLineChars="200"/>
        <w:rPr>
          <w:rFonts w:hint="eastAsia" w:ascii="仿宋" w:hAnsi="仿宋" w:eastAsia="仿宋" w:cs="仿宋"/>
          <w:szCs w:val="24"/>
          <w:highlight w:val="none"/>
        </w:rPr>
      </w:pPr>
      <w:bookmarkStart w:id="414" w:name="_Toc351203549"/>
      <w:r>
        <w:rPr>
          <w:rFonts w:hint="eastAsia" w:ascii="仿宋" w:hAnsi="仿宋" w:eastAsia="仿宋" w:cs="仿宋"/>
          <w:szCs w:val="24"/>
          <w:highlight w:val="none"/>
        </w:rPr>
        <w:t>7</w:t>
      </w:r>
      <w:bookmarkStart w:id="415" w:name="_Toc296346576"/>
      <w:bookmarkStart w:id="416" w:name="_Toc337558774"/>
      <w:bookmarkStart w:id="417" w:name="_Toc296503075"/>
      <w:r>
        <w:rPr>
          <w:rFonts w:hint="eastAsia" w:ascii="仿宋" w:hAnsi="仿宋" w:eastAsia="仿宋" w:cs="仿宋"/>
          <w:szCs w:val="24"/>
          <w:highlight w:val="none"/>
        </w:rPr>
        <w:t>.7 异常恶劣的气候条件</w:t>
      </w:r>
      <w:bookmarkEnd w:id="414"/>
    </w:p>
    <w:bookmarkEnd w:id="415"/>
    <w:bookmarkEnd w:id="416"/>
    <w:bookmarkEnd w:id="417"/>
    <w:p w14:paraId="74DBC26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392109B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418" w:name="_Toc351203550"/>
    </w:p>
    <w:p w14:paraId="76C602D8">
      <w:pPr>
        <w:pStyle w:val="5"/>
        <w:adjustRightInd w:val="0"/>
        <w:snapToGrid w:val="0"/>
        <w:spacing w:line="440" w:lineRule="exact"/>
        <w:ind w:firstLine="480" w:firstLineChars="200"/>
        <w:rPr>
          <w:rFonts w:hint="eastAsia" w:ascii="仿宋" w:hAnsi="仿宋" w:eastAsia="仿宋" w:cs="仿宋"/>
          <w:szCs w:val="24"/>
          <w:highlight w:val="none"/>
        </w:rPr>
      </w:pPr>
      <w:r>
        <w:rPr>
          <w:rFonts w:hint="eastAsia" w:ascii="仿宋" w:hAnsi="仿宋" w:eastAsia="仿宋" w:cs="仿宋"/>
          <w:szCs w:val="24"/>
          <w:highlight w:val="none"/>
        </w:rPr>
        <w:t>7</w:t>
      </w:r>
      <w:bookmarkStart w:id="419" w:name="_Toc337558775"/>
      <w:r>
        <w:rPr>
          <w:rFonts w:hint="eastAsia" w:ascii="仿宋" w:hAnsi="仿宋" w:eastAsia="仿宋" w:cs="仿宋"/>
          <w:szCs w:val="24"/>
          <w:highlight w:val="none"/>
        </w:rPr>
        <w:t>.8 暂停施工</w:t>
      </w:r>
      <w:bookmarkEnd w:id="418"/>
    </w:p>
    <w:bookmarkEnd w:id="412"/>
    <w:bookmarkEnd w:id="413"/>
    <w:bookmarkEnd w:id="419"/>
    <w:p w14:paraId="60A65DE0">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7.8.1发包人原因引起的暂停施工</w:t>
      </w:r>
    </w:p>
    <w:p w14:paraId="327E14E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因发包人原因引起暂停施工的，监理人经发包人同意后，应及时下达暂停施工指示。情况紧急且监理人未及时下达暂停施工指示的，按照第7.8.4项〔紧急情况下的暂停施工〕执行。</w:t>
      </w:r>
    </w:p>
    <w:p w14:paraId="6B7AE2BD">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因发包人原因引起的暂停施工，发包人应承担由此增加的费用和（或）延误的工期，并支付承包人合理的利润。</w:t>
      </w:r>
    </w:p>
    <w:p w14:paraId="3967E720">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7.8.2 承包人原因引起的暂停施工</w:t>
      </w:r>
    </w:p>
    <w:p w14:paraId="1D257D5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5E5F3D6D">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7.8.3 指示暂停施工</w:t>
      </w:r>
    </w:p>
    <w:p w14:paraId="3109B10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监理人认为有必要时，并经发包人批准后，可向承包人作出暂停施工的指示，承包人应按监理人指示暂停施工。</w:t>
      </w:r>
    </w:p>
    <w:p w14:paraId="768EA26C">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7.8.4 紧急情况下的暂停施工</w:t>
      </w:r>
    </w:p>
    <w:p w14:paraId="64B7A970">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30CE1C8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7.8.5 暂停施工后的复工</w:t>
      </w:r>
    </w:p>
    <w:p w14:paraId="01CDE5F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26EB08B7">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承包人无故拖延和拒绝复工的，承包人承担由此增加的费用和（或）延误的工期；因发包人原因无法按时复工的，按照第7.5.1项〔因发包人原因导致工期延误〕约定办理。</w:t>
      </w:r>
    </w:p>
    <w:p w14:paraId="362D49E3">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7.8.6 暂停施工持续56天以上</w:t>
      </w:r>
    </w:p>
    <w:p w14:paraId="09E55237">
      <w:pPr>
        <w:adjustRightInd w:val="0"/>
        <w:snapToGrid w:val="0"/>
        <w:spacing w:line="440" w:lineRule="exact"/>
        <w:ind w:firstLine="468" w:firstLineChars="195"/>
        <w:jc w:val="left"/>
        <w:rPr>
          <w:rFonts w:hint="eastAsia" w:ascii="仿宋" w:hAnsi="仿宋" w:eastAsia="仿宋" w:cs="仿宋"/>
          <w:kern w:val="0"/>
          <w:sz w:val="24"/>
          <w:highlight w:val="none"/>
        </w:rPr>
      </w:pPr>
      <w:r>
        <w:rPr>
          <w:rFonts w:hint="eastAsia" w:ascii="仿宋" w:hAnsi="仿宋" w:eastAsia="仿宋" w:cs="仿宋"/>
          <w:kern w:val="0"/>
          <w:sz w:val="24"/>
          <w:highlight w:val="none"/>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23CC95BA">
      <w:pPr>
        <w:adjustRightInd w:val="0"/>
        <w:snapToGrid w:val="0"/>
        <w:spacing w:line="440" w:lineRule="exact"/>
        <w:ind w:firstLine="468" w:firstLineChars="195"/>
        <w:jc w:val="left"/>
        <w:rPr>
          <w:rFonts w:hint="eastAsia" w:ascii="仿宋" w:hAnsi="仿宋" w:eastAsia="仿宋" w:cs="仿宋"/>
          <w:kern w:val="0"/>
          <w:sz w:val="24"/>
          <w:highlight w:val="none"/>
        </w:rPr>
      </w:pPr>
      <w:r>
        <w:rPr>
          <w:rFonts w:hint="eastAsia" w:ascii="仿宋" w:hAnsi="仿宋" w:eastAsia="仿宋" w:cs="仿宋"/>
          <w:kern w:val="0"/>
          <w:sz w:val="24"/>
          <w:highlight w:val="none"/>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46F25EDD">
      <w:pPr>
        <w:adjustRightInd w:val="0"/>
        <w:snapToGrid w:val="0"/>
        <w:spacing w:line="440" w:lineRule="exact"/>
        <w:ind w:left="16" w:firstLine="468" w:firstLineChars="195"/>
        <w:jc w:val="left"/>
        <w:rPr>
          <w:rFonts w:hint="eastAsia" w:ascii="仿宋" w:hAnsi="仿宋" w:eastAsia="仿宋" w:cs="仿宋"/>
          <w:kern w:val="0"/>
          <w:sz w:val="24"/>
          <w:highlight w:val="none"/>
        </w:rPr>
      </w:pPr>
      <w:r>
        <w:rPr>
          <w:rFonts w:hint="eastAsia" w:ascii="仿宋" w:hAnsi="仿宋" w:eastAsia="仿宋" w:cs="仿宋"/>
          <w:kern w:val="0"/>
          <w:sz w:val="24"/>
          <w:highlight w:val="none"/>
        </w:rPr>
        <w:t>7.8.7 暂停施工期间的工程照管</w:t>
      </w:r>
    </w:p>
    <w:p w14:paraId="1E02F946">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暂停施工期间，承包人应负责妥善照管工程并提供安全保障，由此增加的费用由责任方承担。</w:t>
      </w:r>
    </w:p>
    <w:p w14:paraId="1DCC4E4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7.8.8 暂停施工的措施</w:t>
      </w:r>
    </w:p>
    <w:p w14:paraId="3AD479C0">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暂停施工期间，发包人和承包人均应采取必要的措施确保工程质量及安全，防止因暂停施工扩大损失。</w:t>
      </w:r>
    </w:p>
    <w:p w14:paraId="657BCDA5">
      <w:pPr>
        <w:pStyle w:val="5"/>
        <w:adjustRightInd w:val="0"/>
        <w:snapToGrid w:val="0"/>
        <w:spacing w:line="440" w:lineRule="exact"/>
        <w:ind w:firstLine="480" w:firstLineChars="200"/>
        <w:rPr>
          <w:rFonts w:hint="eastAsia" w:ascii="仿宋" w:hAnsi="仿宋" w:eastAsia="仿宋" w:cs="仿宋"/>
          <w:szCs w:val="24"/>
          <w:highlight w:val="none"/>
        </w:rPr>
      </w:pPr>
      <w:bookmarkStart w:id="420" w:name="_Toc351203551"/>
      <w:r>
        <w:rPr>
          <w:rFonts w:hint="eastAsia" w:ascii="仿宋" w:hAnsi="仿宋" w:eastAsia="仿宋" w:cs="仿宋"/>
          <w:szCs w:val="24"/>
          <w:highlight w:val="none"/>
        </w:rPr>
        <w:t>7.9提前竣工</w:t>
      </w:r>
      <w:bookmarkEnd w:id="420"/>
    </w:p>
    <w:p w14:paraId="75BAB9D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40A03D36">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7.9.2 发包人要求承包人提前竣工，或承包人提出提前竣工的建议能够给发包人带来效益的，合同当事人可以在专用合同条款中约定提前竣工的奖励。</w:t>
      </w:r>
    </w:p>
    <w:p w14:paraId="06F064B4">
      <w:pPr>
        <w:pStyle w:val="4"/>
        <w:adjustRightInd w:val="0"/>
        <w:snapToGrid w:val="0"/>
        <w:spacing w:before="0" w:after="0" w:line="440" w:lineRule="exact"/>
        <w:rPr>
          <w:rFonts w:hint="eastAsia" w:ascii="仿宋" w:hAnsi="仿宋" w:eastAsia="仿宋" w:cs="仿宋"/>
          <w:sz w:val="24"/>
          <w:szCs w:val="24"/>
          <w:highlight w:val="none"/>
        </w:rPr>
      </w:pPr>
      <w:bookmarkStart w:id="421" w:name="_Toc351203552"/>
      <w:r>
        <w:rPr>
          <w:rFonts w:hint="eastAsia" w:ascii="仿宋" w:hAnsi="仿宋" w:eastAsia="仿宋" w:cs="仿宋"/>
          <w:sz w:val="24"/>
          <w:szCs w:val="24"/>
          <w:highlight w:val="none"/>
        </w:rPr>
        <w:t>8</w:t>
      </w:r>
      <w:bookmarkStart w:id="422" w:name="_Toc296346559"/>
      <w:bookmarkStart w:id="423" w:name="_Toc337558776"/>
      <w:bookmarkStart w:id="424" w:name="_Toc296503058"/>
      <w:r>
        <w:rPr>
          <w:rFonts w:hint="eastAsia" w:ascii="仿宋" w:hAnsi="仿宋" w:eastAsia="仿宋" w:cs="仿宋"/>
          <w:sz w:val="24"/>
          <w:szCs w:val="24"/>
          <w:highlight w:val="none"/>
        </w:rPr>
        <w:t>. 材料与设备</w:t>
      </w:r>
      <w:bookmarkEnd w:id="421"/>
    </w:p>
    <w:bookmarkEnd w:id="422"/>
    <w:bookmarkEnd w:id="423"/>
    <w:bookmarkEnd w:id="424"/>
    <w:p w14:paraId="4D40D736">
      <w:pPr>
        <w:pStyle w:val="5"/>
        <w:adjustRightInd w:val="0"/>
        <w:snapToGrid w:val="0"/>
        <w:spacing w:line="440" w:lineRule="exact"/>
        <w:ind w:firstLine="480" w:firstLineChars="200"/>
        <w:rPr>
          <w:rFonts w:hint="eastAsia" w:ascii="仿宋" w:hAnsi="仿宋" w:eastAsia="仿宋" w:cs="仿宋"/>
          <w:szCs w:val="24"/>
          <w:highlight w:val="none"/>
        </w:rPr>
      </w:pPr>
      <w:bookmarkStart w:id="425" w:name="_Toc351203553"/>
      <w:r>
        <w:rPr>
          <w:rFonts w:hint="eastAsia" w:ascii="仿宋" w:hAnsi="仿宋" w:eastAsia="仿宋" w:cs="仿宋"/>
          <w:szCs w:val="24"/>
          <w:highlight w:val="none"/>
        </w:rPr>
        <w:t>8</w:t>
      </w:r>
      <w:bookmarkStart w:id="426" w:name="_Toc337558777"/>
      <w:bookmarkStart w:id="427" w:name="_Toc296346560"/>
      <w:bookmarkStart w:id="428" w:name="_Toc296503059"/>
      <w:bookmarkStart w:id="429" w:name="_Toc468936960"/>
      <w:r>
        <w:rPr>
          <w:rFonts w:hint="eastAsia" w:ascii="仿宋" w:hAnsi="仿宋" w:eastAsia="仿宋" w:cs="仿宋"/>
          <w:szCs w:val="24"/>
          <w:highlight w:val="none"/>
        </w:rPr>
        <w:t>.1发包人供应材料与工程设备</w:t>
      </w:r>
      <w:bookmarkEnd w:id="425"/>
    </w:p>
    <w:bookmarkEnd w:id="426"/>
    <w:bookmarkEnd w:id="427"/>
    <w:bookmarkEnd w:id="428"/>
    <w:p w14:paraId="15E1D2B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发包人自行供应材料、工程设备的，应在签订合同时在专用合同条款的附件《发包人供应材料设备一览表》中明确材料、工程设备的品种、规格、型号、数量、单价、质量等级和送达地点。</w:t>
      </w:r>
    </w:p>
    <w:p w14:paraId="17FFBD6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7FFEC9D9">
      <w:pPr>
        <w:pStyle w:val="5"/>
        <w:adjustRightInd w:val="0"/>
        <w:snapToGrid w:val="0"/>
        <w:spacing w:line="440" w:lineRule="exact"/>
        <w:ind w:firstLine="480" w:firstLineChars="200"/>
        <w:rPr>
          <w:rFonts w:hint="eastAsia" w:ascii="仿宋" w:hAnsi="仿宋" w:eastAsia="仿宋" w:cs="仿宋"/>
          <w:szCs w:val="24"/>
          <w:highlight w:val="none"/>
        </w:rPr>
      </w:pPr>
      <w:bookmarkStart w:id="430" w:name="_Toc351203554"/>
      <w:r>
        <w:rPr>
          <w:rFonts w:hint="eastAsia" w:ascii="仿宋" w:hAnsi="仿宋" w:eastAsia="仿宋" w:cs="仿宋"/>
          <w:szCs w:val="24"/>
          <w:highlight w:val="none"/>
        </w:rPr>
        <w:t>8</w:t>
      </w:r>
      <w:bookmarkStart w:id="431" w:name="_Toc296346561"/>
      <w:bookmarkStart w:id="432" w:name="_Toc337558778"/>
      <w:bookmarkStart w:id="433" w:name="_Toc296503060"/>
      <w:r>
        <w:rPr>
          <w:rFonts w:hint="eastAsia" w:ascii="仿宋" w:hAnsi="仿宋" w:eastAsia="仿宋" w:cs="仿宋"/>
          <w:szCs w:val="24"/>
          <w:highlight w:val="none"/>
        </w:rPr>
        <w:t>.2承包人采购材料与工程设备</w:t>
      </w:r>
      <w:bookmarkEnd w:id="430"/>
    </w:p>
    <w:bookmarkEnd w:id="431"/>
    <w:bookmarkEnd w:id="432"/>
    <w:bookmarkEnd w:id="433"/>
    <w:p w14:paraId="1D91192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4FA064D6">
      <w:pPr>
        <w:pStyle w:val="5"/>
        <w:adjustRightInd w:val="0"/>
        <w:snapToGrid w:val="0"/>
        <w:spacing w:line="440" w:lineRule="exact"/>
        <w:ind w:firstLine="480" w:firstLineChars="200"/>
        <w:rPr>
          <w:rFonts w:hint="eastAsia" w:ascii="仿宋" w:hAnsi="仿宋" w:eastAsia="仿宋" w:cs="仿宋"/>
          <w:szCs w:val="24"/>
          <w:highlight w:val="none"/>
        </w:rPr>
      </w:pPr>
      <w:bookmarkStart w:id="434" w:name="_Toc351203555"/>
      <w:r>
        <w:rPr>
          <w:rFonts w:hint="eastAsia" w:ascii="仿宋" w:hAnsi="仿宋" w:eastAsia="仿宋" w:cs="仿宋"/>
          <w:szCs w:val="24"/>
          <w:highlight w:val="none"/>
        </w:rPr>
        <w:t>8</w:t>
      </w:r>
      <w:bookmarkStart w:id="435" w:name="_Toc296346562"/>
      <w:bookmarkStart w:id="436" w:name="_Toc337558779"/>
      <w:bookmarkStart w:id="437" w:name="_Toc296503061"/>
      <w:r>
        <w:rPr>
          <w:rFonts w:hint="eastAsia" w:ascii="仿宋" w:hAnsi="仿宋" w:eastAsia="仿宋" w:cs="仿宋"/>
          <w:szCs w:val="24"/>
          <w:highlight w:val="none"/>
        </w:rPr>
        <w:t>.3材料与工程设备的接收与拒收</w:t>
      </w:r>
      <w:bookmarkEnd w:id="434"/>
    </w:p>
    <w:bookmarkEnd w:id="435"/>
    <w:bookmarkEnd w:id="436"/>
    <w:bookmarkEnd w:id="437"/>
    <w:p w14:paraId="705678C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03D6141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发包人提供的材料和工程设备的规格、数量或质量不符合合同约定的，或因发包人原因导致交货日期延误或交货地点变更等情况的，按照第16.1款〔发包人违约〕约定办理。</w:t>
      </w:r>
    </w:p>
    <w:p w14:paraId="61E4F7B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8.3.2 承包人采购的材料和工程设备，应保证产品质量合格，承包人应在材料和工程设备到货前24小时通知监理人检验。承</w:t>
      </w:r>
      <w:bookmarkStart w:id="438" w:name="_Toc250655469"/>
      <w:r>
        <w:rPr>
          <w:rFonts w:hint="eastAsia" w:ascii="仿宋" w:hAnsi="仿宋" w:eastAsia="仿宋" w:cs="仿宋"/>
          <w:kern w:val="0"/>
          <w:sz w:val="24"/>
          <w:highlight w:val="none"/>
        </w:rPr>
        <w:t>包人进行永久设备、材料的制造和生产的，应符合相关质量标准，并向监理人提交材料的样本以及有关资料，并应在使用该材料或工程设备之前获得监理人同意。</w:t>
      </w:r>
    </w:p>
    <w:bookmarkEnd w:id="438"/>
    <w:p w14:paraId="3C382E70">
      <w:pPr>
        <w:autoSpaceDE w:val="0"/>
        <w:autoSpaceDN w:val="0"/>
        <w:adjustRightInd w:val="0"/>
        <w:snapToGrid w:val="0"/>
        <w:spacing w:line="440" w:lineRule="exact"/>
        <w:ind w:firstLine="360" w:firstLineChars="15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76746CC0">
      <w:pPr>
        <w:pStyle w:val="5"/>
        <w:adjustRightInd w:val="0"/>
        <w:snapToGrid w:val="0"/>
        <w:spacing w:line="440" w:lineRule="exact"/>
        <w:ind w:firstLine="480" w:firstLineChars="200"/>
        <w:rPr>
          <w:rFonts w:hint="eastAsia" w:ascii="仿宋" w:hAnsi="仿宋" w:eastAsia="仿宋" w:cs="仿宋"/>
          <w:szCs w:val="24"/>
          <w:highlight w:val="none"/>
        </w:rPr>
      </w:pPr>
      <w:bookmarkStart w:id="439" w:name="_Toc351203556"/>
      <w:r>
        <w:rPr>
          <w:rFonts w:hint="eastAsia" w:ascii="仿宋" w:hAnsi="仿宋" w:eastAsia="仿宋" w:cs="仿宋"/>
          <w:szCs w:val="24"/>
          <w:highlight w:val="none"/>
        </w:rPr>
        <w:t>8</w:t>
      </w:r>
      <w:bookmarkStart w:id="440" w:name="_Toc337558780"/>
      <w:bookmarkStart w:id="441" w:name="_Toc296503062"/>
      <w:bookmarkStart w:id="442" w:name="_Toc296346563"/>
      <w:r>
        <w:rPr>
          <w:rFonts w:hint="eastAsia" w:ascii="仿宋" w:hAnsi="仿宋" w:eastAsia="仿宋" w:cs="仿宋"/>
          <w:szCs w:val="24"/>
          <w:highlight w:val="none"/>
        </w:rPr>
        <w:t>.4材料与工程设备的保管与使用</w:t>
      </w:r>
      <w:bookmarkEnd w:id="439"/>
    </w:p>
    <w:bookmarkEnd w:id="440"/>
    <w:bookmarkEnd w:id="441"/>
    <w:bookmarkEnd w:id="442"/>
    <w:p w14:paraId="065AE9E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8.4.1 发包人供应</w:t>
      </w:r>
      <w:r>
        <w:rPr>
          <w:rFonts w:hint="eastAsia" w:ascii="仿宋" w:hAnsi="仿宋" w:eastAsia="仿宋" w:cs="仿宋"/>
          <w:sz w:val="24"/>
          <w:highlight w:val="none"/>
        </w:rPr>
        <w:t>材料与</w:t>
      </w:r>
      <w:r>
        <w:rPr>
          <w:rFonts w:hint="eastAsia" w:ascii="仿宋" w:hAnsi="仿宋" w:eastAsia="仿宋" w:cs="仿宋"/>
          <w:kern w:val="0"/>
          <w:sz w:val="24"/>
          <w:highlight w:val="none"/>
        </w:rPr>
        <w:t>工程</w:t>
      </w:r>
      <w:r>
        <w:rPr>
          <w:rFonts w:hint="eastAsia" w:ascii="仿宋" w:hAnsi="仿宋" w:eastAsia="仿宋" w:cs="仿宋"/>
          <w:sz w:val="24"/>
          <w:highlight w:val="none"/>
        </w:rPr>
        <w:t>设备的保管与使用</w:t>
      </w:r>
    </w:p>
    <w:p w14:paraId="274373B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58304D6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发包人供应的材料和工程设备使用前，由承包人负责检验，检验费用由发包人承担，不合格的不得使用。</w:t>
      </w:r>
    </w:p>
    <w:p w14:paraId="6DC9DA6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8.4.2 承包人采购</w:t>
      </w:r>
      <w:r>
        <w:rPr>
          <w:rFonts w:hint="eastAsia" w:ascii="仿宋" w:hAnsi="仿宋" w:eastAsia="仿宋" w:cs="仿宋"/>
          <w:sz w:val="24"/>
          <w:highlight w:val="none"/>
        </w:rPr>
        <w:t>材料与</w:t>
      </w:r>
      <w:r>
        <w:rPr>
          <w:rFonts w:hint="eastAsia" w:ascii="仿宋" w:hAnsi="仿宋" w:eastAsia="仿宋" w:cs="仿宋"/>
          <w:kern w:val="0"/>
          <w:sz w:val="24"/>
          <w:highlight w:val="none"/>
        </w:rPr>
        <w:t>工程</w:t>
      </w:r>
      <w:r>
        <w:rPr>
          <w:rFonts w:hint="eastAsia" w:ascii="仿宋" w:hAnsi="仿宋" w:eastAsia="仿宋" w:cs="仿宋"/>
          <w:sz w:val="24"/>
          <w:highlight w:val="none"/>
        </w:rPr>
        <w:t>设备的保管与使用</w:t>
      </w:r>
    </w:p>
    <w:p w14:paraId="1EDB8B0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796F0F5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发包人或监理人发现承包人使用不符合设计或有关标准要求的材料和工程设备时，有权要求承包人进行修复、拆除或重新采购，由此增加的费用和（或）延误的工期，由承包人承担。</w:t>
      </w:r>
    </w:p>
    <w:p w14:paraId="5F0DB23A">
      <w:pPr>
        <w:pStyle w:val="5"/>
        <w:adjustRightInd w:val="0"/>
        <w:snapToGrid w:val="0"/>
        <w:spacing w:line="440" w:lineRule="exact"/>
        <w:ind w:firstLine="480" w:firstLineChars="200"/>
        <w:rPr>
          <w:rFonts w:hint="eastAsia" w:ascii="仿宋" w:hAnsi="仿宋" w:eastAsia="仿宋" w:cs="仿宋"/>
          <w:szCs w:val="24"/>
          <w:highlight w:val="none"/>
        </w:rPr>
      </w:pPr>
      <w:bookmarkStart w:id="443" w:name="_Toc351203557"/>
      <w:r>
        <w:rPr>
          <w:rFonts w:hint="eastAsia" w:ascii="仿宋" w:hAnsi="仿宋" w:eastAsia="仿宋" w:cs="仿宋"/>
          <w:szCs w:val="24"/>
          <w:highlight w:val="none"/>
        </w:rPr>
        <w:t>8.5禁止使用不合格的材料和工程设备</w:t>
      </w:r>
      <w:bookmarkEnd w:id="443"/>
    </w:p>
    <w:p w14:paraId="43126F9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8.5.1 监理人有权拒绝承包人提供的不合格材料或工程设备，并要求承包人立即进行更换。监理人应在更换后再次进行检查和检验，由此增加的费用和（或）延误的工期由承包人承担。</w:t>
      </w:r>
    </w:p>
    <w:p w14:paraId="7A59784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8.5.2 监理人发现承包人使用了不合格的材料和工程设备，承包人应按照监理人的指示立即改正，并禁止在工程中继续使用不合格的材料和工程设备。</w:t>
      </w:r>
    </w:p>
    <w:p w14:paraId="4224B62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8.5.3 发包人提供的材料或工程设备不符合合同要求的，承包人有权拒绝，并可要求发包人更换，由此增加的费用和（或）延误的工期由发包人承担，并支付承包人合理的利润。</w:t>
      </w:r>
    </w:p>
    <w:p w14:paraId="76362D29">
      <w:pPr>
        <w:pStyle w:val="5"/>
        <w:adjustRightInd w:val="0"/>
        <w:snapToGrid w:val="0"/>
        <w:spacing w:line="440" w:lineRule="exact"/>
        <w:ind w:firstLine="480" w:firstLineChars="200"/>
        <w:rPr>
          <w:rFonts w:hint="eastAsia" w:ascii="仿宋" w:hAnsi="仿宋" w:eastAsia="仿宋" w:cs="仿宋"/>
          <w:szCs w:val="24"/>
          <w:highlight w:val="none"/>
        </w:rPr>
      </w:pPr>
      <w:bookmarkStart w:id="444" w:name="_Toc351203558"/>
      <w:r>
        <w:rPr>
          <w:rFonts w:hint="eastAsia" w:ascii="仿宋" w:hAnsi="仿宋" w:eastAsia="仿宋" w:cs="仿宋"/>
          <w:szCs w:val="24"/>
          <w:highlight w:val="none"/>
        </w:rPr>
        <w:t>8.6 样品</w:t>
      </w:r>
      <w:bookmarkEnd w:id="444"/>
    </w:p>
    <w:p w14:paraId="6A1BA1E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8.6.1</w:t>
      </w:r>
      <w:r>
        <w:rPr>
          <w:rFonts w:hint="eastAsia" w:ascii="仿宋" w:hAnsi="仿宋" w:eastAsia="仿宋" w:cs="仿宋"/>
          <w:kern w:val="0"/>
          <w:sz w:val="24"/>
          <w:highlight w:val="none"/>
        </w:rPr>
        <w:tab/>
      </w:r>
      <w:r>
        <w:rPr>
          <w:rFonts w:hint="eastAsia" w:ascii="仿宋" w:hAnsi="仿宋" w:eastAsia="仿宋" w:cs="仿宋"/>
          <w:kern w:val="0"/>
          <w:sz w:val="24"/>
          <w:highlight w:val="none"/>
        </w:rPr>
        <w:t>样品的报送与封存</w:t>
      </w:r>
    </w:p>
    <w:p w14:paraId="2356ED6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需要承包人报送样品的材料或工程设备，样品的种类、名称、规格、数量等要求均应在专用合同条款中约定。样品的报送程序如下：</w:t>
      </w:r>
    </w:p>
    <w:p w14:paraId="4377618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358BAA8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4F5DD20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（3）经发包人和监理人审批确认的样品应按约定的方法封样，封存的样品作为检验工程相关部分的标准之一。承包人在施工过程中不得使用与样品不符的材料或工程设备。</w:t>
      </w:r>
    </w:p>
    <w:p w14:paraId="1DB01E8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3677889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8.6.2 样品的保管</w:t>
      </w:r>
    </w:p>
    <w:p w14:paraId="6F8D9B2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经批准的样品应由监理人负责封存于现场，承包人应在现场为保存样品提供适当和固定的场所并保持适当和良好的存储环境条件。</w:t>
      </w:r>
    </w:p>
    <w:p w14:paraId="49412DD1">
      <w:pPr>
        <w:pStyle w:val="5"/>
        <w:adjustRightInd w:val="0"/>
        <w:snapToGrid w:val="0"/>
        <w:spacing w:line="440" w:lineRule="exact"/>
        <w:ind w:firstLine="480" w:firstLineChars="200"/>
        <w:rPr>
          <w:rFonts w:hint="eastAsia" w:ascii="仿宋" w:hAnsi="仿宋" w:eastAsia="仿宋" w:cs="仿宋"/>
          <w:szCs w:val="24"/>
          <w:highlight w:val="none"/>
        </w:rPr>
      </w:pPr>
      <w:bookmarkStart w:id="445" w:name="_Toc351203559"/>
      <w:r>
        <w:rPr>
          <w:rFonts w:hint="eastAsia" w:ascii="仿宋" w:hAnsi="仿宋" w:eastAsia="仿宋" w:cs="仿宋"/>
          <w:szCs w:val="24"/>
          <w:highlight w:val="none"/>
        </w:rPr>
        <w:t>8.7材料与工程设备的替代</w:t>
      </w:r>
      <w:bookmarkEnd w:id="445"/>
    </w:p>
    <w:p w14:paraId="171AE14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8.7.1 出现下列情况需要使用替代材料和工程设备的，承包人应按照第8.7.2项约定的程序执行：</w:t>
      </w:r>
    </w:p>
    <w:p w14:paraId="1B31A01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（1）基准日期后生效的法律规定禁止使用的；</w:t>
      </w:r>
    </w:p>
    <w:p w14:paraId="7D422BF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（2）发包人要求使用替代品的；</w:t>
      </w:r>
    </w:p>
    <w:p w14:paraId="3E15785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（3）因其他原因必须使用替代品的。</w:t>
      </w:r>
    </w:p>
    <w:p w14:paraId="264C8B4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8.7.2 承包人应在使用替代材料和工程设备28天前书面通知监理人，并附下列文件：</w:t>
      </w:r>
    </w:p>
    <w:p w14:paraId="39A6B3A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（1）被替代的材料和工程设备的名称、数量、规格、型号、品牌、性能、价格及其他相关资料；</w:t>
      </w:r>
    </w:p>
    <w:p w14:paraId="672A90C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（2）替代品的名称、数量、规格、型号、品牌、性能、价格及其他相关资料；</w:t>
      </w:r>
    </w:p>
    <w:p w14:paraId="3D2E3F2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（3）替代品与被替代产品之间的差异以及使用替代品可能对工程产生的影响；</w:t>
      </w:r>
    </w:p>
    <w:p w14:paraId="3D56E84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（4）替代品与被替代产品的价格差异；</w:t>
      </w:r>
    </w:p>
    <w:p w14:paraId="0B9E23C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（5）使用替代品的理由和原因说明；</w:t>
      </w:r>
    </w:p>
    <w:p w14:paraId="1C3978C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（6）监理人要求的其他文件。</w:t>
      </w:r>
    </w:p>
    <w:p w14:paraId="7309A7B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监理人应在收到通知后14天内向承包人发出经发包人签认的书面指示；监理人逾期发出书面指示的，视为发包人和监理人同意使用替代品。</w:t>
      </w:r>
    </w:p>
    <w:p w14:paraId="4E49992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27148BBB">
      <w:pPr>
        <w:pStyle w:val="5"/>
        <w:adjustRightInd w:val="0"/>
        <w:snapToGrid w:val="0"/>
        <w:spacing w:line="440" w:lineRule="exact"/>
        <w:ind w:firstLine="480" w:firstLineChars="200"/>
        <w:rPr>
          <w:rFonts w:hint="eastAsia" w:ascii="仿宋" w:hAnsi="仿宋" w:eastAsia="仿宋" w:cs="仿宋"/>
          <w:szCs w:val="24"/>
          <w:highlight w:val="none"/>
        </w:rPr>
      </w:pPr>
      <w:bookmarkStart w:id="446" w:name="_Toc351203560"/>
      <w:r>
        <w:rPr>
          <w:rFonts w:hint="eastAsia" w:ascii="仿宋" w:hAnsi="仿宋" w:eastAsia="仿宋" w:cs="仿宋"/>
          <w:szCs w:val="24"/>
          <w:highlight w:val="none"/>
        </w:rPr>
        <w:t>8.8施工设备和临时设施</w:t>
      </w:r>
      <w:bookmarkEnd w:id="446"/>
    </w:p>
    <w:p w14:paraId="4D2616F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8.8.1 承包人提供的施工设备和临时设施</w:t>
      </w:r>
    </w:p>
    <w:p w14:paraId="0E25D9B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承包人应按合同进度计划的要求，及时配置施工设备和修建临时设施。进入施工场地的承包人设备需经监理人核查后才能投入使用。承包人更换合同约定的承包人设备的，应报监理人批准。</w:t>
      </w:r>
    </w:p>
    <w:p w14:paraId="5A2D2B3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除专用合同条款另有约定外，承包人应自行承担修建临时设施的费用，需要临时占地的，应由发包人办理申请手续并承担相应费用。</w:t>
      </w:r>
    </w:p>
    <w:p w14:paraId="19066D1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8.8.2发包人提供的施工设备和临时设施</w:t>
      </w:r>
    </w:p>
    <w:p w14:paraId="784B803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发包人提供的施工设备或临时设施在专用合同条款中约定。</w:t>
      </w:r>
    </w:p>
    <w:p w14:paraId="67B976E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8.8.3要求承包人增加或更换施工设备</w:t>
      </w:r>
    </w:p>
    <w:p w14:paraId="7502931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承包人使用的施工设备不能满足合同进度计划和（或）质量要求时，监理人有权要求承包人增加或更换施工设备，承包人应及时增加或更换，由此增加的费用和（或）延误的工期由承包人承担。</w:t>
      </w:r>
    </w:p>
    <w:p w14:paraId="1AA1BC6C">
      <w:pPr>
        <w:pStyle w:val="5"/>
        <w:adjustRightInd w:val="0"/>
        <w:snapToGrid w:val="0"/>
        <w:spacing w:line="440" w:lineRule="exact"/>
        <w:ind w:firstLine="480" w:firstLineChars="200"/>
        <w:rPr>
          <w:rFonts w:hint="eastAsia" w:ascii="仿宋" w:hAnsi="仿宋" w:eastAsia="仿宋" w:cs="仿宋"/>
          <w:szCs w:val="24"/>
          <w:highlight w:val="none"/>
        </w:rPr>
      </w:pPr>
      <w:bookmarkStart w:id="447" w:name="_Toc351203561"/>
      <w:r>
        <w:rPr>
          <w:rFonts w:hint="eastAsia" w:ascii="仿宋" w:hAnsi="仿宋" w:eastAsia="仿宋" w:cs="仿宋"/>
          <w:szCs w:val="24"/>
          <w:highlight w:val="none"/>
        </w:rPr>
        <w:t>8</w:t>
      </w:r>
      <w:bookmarkStart w:id="448" w:name="_Toc296346564"/>
      <w:bookmarkStart w:id="449" w:name="_Toc296503063"/>
      <w:bookmarkStart w:id="450" w:name="_Toc337558781"/>
      <w:r>
        <w:rPr>
          <w:rFonts w:hint="eastAsia" w:ascii="仿宋" w:hAnsi="仿宋" w:eastAsia="仿宋" w:cs="仿宋"/>
          <w:szCs w:val="24"/>
          <w:highlight w:val="none"/>
        </w:rPr>
        <w:t>.9材料与设备专用</w:t>
      </w:r>
      <w:bookmarkEnd w:id="447"/>
      <w:r>
        <w:rPr>
          <w:rFonts w:hint="eastAsia" w:ascii="仿宋" w:hAnsi="仿宋" w:eastAsia="仿宋" w:cs="仿宋"/>
          <w:szCs w:val="24"/>
          <w:highlight w:val="none"/>
        </w:rPr>
        <w:t>要求</w:t>
      </w:r>
    </w:p>
    <w:bookmarkEnd w:id="448"/>
    <w:bookmarkEnd w:id="449"/>
    <w:bookmarkEnd w:id="450"/>
    <w:p w14:paraId="1D06D96B">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承包人运入施工现场的材料、工程设备、施工设备以及在施工场地建设的临时设施，包括备品备件、安装工具与资料，必须专用于工程。未经发包人批准，承包人不得运出施工现场或挪作他用；</w:t>
      </w:r>
      <w:bookmarkEnd w:id="429"/>
      <w:r>
        <w:rPr>
          <w:rFonts w:hint="eastAsia" w:ascii="仿宋" w:hAnsi="仿宋" w:eastAsia="仿宋" w:cs="仿宋"/>
          <w:kern w:val="0"/>
          <w:sz w:val="24"/>
          <w:highlight w:val="none"/>
        </w:rPr>
        <w:t>经发包人批准，承包人可以根据施工进度计划撤走闲置的施工设备和其他物品。</w:t>
      </w:r>
    </w:p>
    <w:p w14:paraId="467B536F">
      <w:pPr>
        <w:pStyle w:val="4"/>
        <w:adjustRightInd w:val="0"/>
        <w:snapToGrid w:val="0"/>
        <w:spacing w:before="0" w:after="0" w:line="440" w:lineRule="exact"/>
        <w:rPr>
          <w:rFonts w:hint="eastAsia" w:ascii="仿宋" w:hAnsi="仿宋" w:eastAsia="仿宋" w:cs="仿宋"/>
          <w:sz w:val="24"/>
          <w:szCs w:val="24"/>
          <w:highlight w:val="none"/>
        </w:rPr>
      </w:pPr>
      <w:bookmarkStart w:id="451" w:name="_Toc351203562"/>
      <w:r>
        <w:rPr>
          <w:rFonts w:hint="eastAsia" w:ascii="仿宋" w:hAnsi="仿宋" w:eastAsia="仿宋" w:cs="仿宋"/>
          <w:sz w:val="24"/>
          <w:szCs w:val="24"/>
          <w:highlight w:val="none"/>
        </w:rPr>
        <w:t>9</w:t>
      </w:r>
      <w:bookmarkStart w:id="452" w:name="_Toc337558782"/>
      <w:bookmarkStart w:id="453" w:name="_Toc296503083"/>
      <w:bookmarkStart w:id="454" w:name="_Toc296346584"/>
      <w:r>
        <w:rPr>
          <w:rFonts w:hint="eastAsia" w:ascii="仿宋" w:hAnsi="仿宋" w:eastAsia="仿宋" w:cs="仿宋"/>
          <w:sz w:val="24"/>
          <w:szCs w:val="24"/>
          <w:highlight w:val="none"/>
        </w:rPr>
        <w:t>. 试验与检验</w:t>
      </w:r>
      <w:bookmarkEnd w:id="451"/>
    </w:p>
    <w:bookmarkEnd w:id="452"/>
    <w:p w14:paraId="107E3AEB">
      <w:pPr>
        <w:pStyle w:val="5"/>
        <w:adjustRightInd w:val="0"/>
        <w:snapToGrid w:val="0"/>
        <w:spacing w:line="440" w:lineRule="exact"/>
        <w:ind w:firstLine="480" w:firstLineChars="200"/>
        <w:rPr>
          <w:rFonts w:hint="eastAsia" w:ascii="仿宋" w:hAnsi="仿宋" w:eastAsia="仿宋" w:cs="仿宋"/>
          <w:szCs w:val="24"/>
          <w:highlight w:val="none"/>
        </w:rPr>
      </w:pPr>
      <w:bookmarkStart w:id="455" w:name="_Toc351203563"/>
      <w:r>
        <w:rPr>
          <w:rFonts w:hint="eastAsia" w:ascii="仿宋" w:hAnsi="仿宋" w:eastAsia="仿宋" w:cs="仿宋"/>
          <w:szCs w:val="24"/>
          <w:highlight w:val="none"/>
        </w:rPr>
        <w:t>9</w:t>
      </w:r>
      <w:bookmarkStart w:id="456" w:name="_Toc337558783"/>
      <w:r>
        <w:rPr>
          <w:rFonts w:hint="eastAsia" w:ascii="仿宋" w:hAnsi="仿宋" w:eastAsia="仿宋" w:cs="仿宋"/>
          <w:szCs w:val="24"/>
          <w:highlight w:val="none"/>
        </w:rPr>
        <w:t>.1试验设备与试验人员</w:t>
      </w:r>
      <w:bookmarkEnd w:id="455"/>
    </w:p>
    <w:bookmarkEnd w:id="456"/>
    <w:p w14:paraId="013114D0">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65DCA91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9.1.2 承包人应按专用合同条款的约定提供试验设备、取样装置、试验场所和试验条件，并向监理人提交相应进场计划表。</w:t>
      </w:r>
    </w:p>
    <w:p w14:paraId="727F058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承包人配置的试验设备要符合相应试验规程的要求并经过具有资质的检测单位检测，且在正式使用该试验设备前，需要经过监理人与承包人共同校定。</w:t>
      </w:r>
    </w:p>
    <w:p w14:paraId="551D2A6C">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9.1.3 承包人应向监理人提交试验人员的名单及其岗位、资格等证明资料，试验人员必须能够熟练进行相应的检测试验，承包人对试验人员的试验程序和试验结果的正确性负责。</w:t>
      </w:r>
    </w:p>
    <w:p w14:paraId="50B38CBC">
      <w:pPr>
        <w:pStyle w:val="5"/>
        <w:adjustRightInd w:val="0"/>
        <w:snapToGrid w:val="0"/>
        <w:spacing w:line="440" w:lineRule="exact"/>
        <w:ind w:firstLine="480" w:firstLineChars="200"/>
        <w:rPr>
          <w:rFonts w:hint="eastAsia" w:ascii="仿宋" w:hAnsi="仿宋" w:eastAsia="仿宋" w:cs="仿宋"/>
          <w:szCs w:val="24"/>
          <w:highlight w:val="none"/>
        </w:rPr>
      </w:pPr>
      <w:bookmarkStart w:id="457" w:name="_Toc351203564"/>
      <w:r>
        <w:rPr>
          <w:rFonts w:hint="eastAsia" w:ascii="仿宋" w:hAnsi="仿宋" w:eastAsia="仿宋" w:cs="仿宋"/>
          <w:szCs w:val="24"/>
          <w:highlight w:val="none"/>
        </w:rPr>
        <w:t>9</w:t>
      </w:r>
      <w:bookmarkStart w:id="458" w:name="_Toc337558784"/>
      <w:r>
        <w:rPr>
          <w:rFonts w:hint="eastAsia" w:ascii="仿宋" w:hAnsi="仿宋" w:eastAsia="仿宋" w:cs="仿宋"/>
          <w:szCs w:val="24"/>
          <w:highlight w:val="none"/>
        </w:rPr>
        <w:t>.2取样</w:t>
      </w:r>
      <w:bookmarkEnd w:id="457"/>
    </w:p>
    <w:bookmarkEnd w:id="458"/>
    <w:p w14:paraId="555795E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试验属于自检性质的，承包人可以单独取样。试验属于监理人抽检性质的，可由监理人取样，也可由承包人的试验人员在监理人的监督下取样。</w:t>
      </w:r>
    </w:p>
    <w:p w14:paraId="1AAF5608">
      <w:pPr>
        <w:pStyle w:val="5"/>
        <w:adjustRightInd w:val="0"/>
        <w:snapToGrid w:val="0"/>
        <w:spacing w:line="440" w:lineRule="exact"/>
        <w:ind w:firstLine="480" w:firstLineChars="200"/>
        <w:rPr>
          <w:rFonts w:hint="eastAsia" w:ascii="仿宋" w:hAnsi="仿宋" w:eastAsia="仿宋" w:cs="仿宋"/>
          <w:szCs w:val="24"/>
          <w:highlight w:val="none"/>
        </w:rPr>
      </w:pPr>
      <w:bookmarkStart w:id="459" w:name="_Toc351203565"/>
      <w:r>
        <w:rPr>
          <w:rFonts w:hint="eastAsia" w:ascii="仿宋" w:hAnsi="仿宋" w:eastAsia="仿宋" w:cs="仿宋"/>
          <w:szCs w:val="24"/>
          <w:highlight w:val="none"/>
        </w:rPr>
        <w:t>9</w:t>
      </w:r>
      <w:bookmarkStart w:id="460" w:name="_Toc337558785"/>
      <w:r>
        <w:rPr>
          <w:rFonts w:hint="eastAsia" w:ascii="仿宋" w:hAnsi="仿宋" w:eastAsia="仿宋" w:cs="仿宋"/>
          <w:szCs w:val="24"/>
          <w:highlight w:val="none"/>
        </w:rPr>
        <w:t>.3材料、工程设备和工程的试验和检验</w:t>
      </w:r>
      <w:bookmarkEnd w:id="459"/>
    </w:p>
    <w:bookmarkEnd w:id="460"/>
    <w:p w14:paraId="1B555EC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3819EAB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2070D02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624CC52F">
      <w:pPr>
        <w:pStyle w:val="5"/>
        <w:adjustRightInd w:val="0"/>
        <w:snapToGrid w:val="0"/>
        <w:spacing w:line="440" w:lineRule="exact"/>
        <w:ind w:firstLine="480" w:firstLineChars="200"/>
        <w:rPr>
          <w:rFonts w:hint="eastAsia" w:ascii="仿宋" w:hAnsi="仿宋" w:eastAsia="仿宋" w:cs="仿宋"/>
          <w:szCs w:val="24"/>
          <w:highlight w:val="none"/>
        </w:rPr>
      </w:pPr>
      <w:bookmarkStart w:id="461" w:name="_Toc351203566"/>
      <w:r>
        <w:rPr>
          <w:rFonts w:hint="eastAsia" w:ascii="仿宋" w:hAnsi="仿宋" w:eastAsia="仿宋" w:cs="仿宋"/>
          <w:szCs w:val="24"/>
          <w:highlight w:val="none"/>
        </w:rPr>
        <w:t>9</w:t>
      </w:r>
      <w:bookmarkStart w:id="462" w:name="_Toc337558786"/>
      <w:r>
        <w:rPr>
          <w:rFonts w:hint="eastAsia" w:ascii="仿宋" w:hAnsi="仿宋" w:eastAsia="仿宋" w:cs="仿宋"/>
          <w:szCs w:val="24"/>
          <w:highlight w:val="none"/>
        </w:rPr>
        <w:t>.4现场工艺试验</w:t>
      </w:r>
      <w:bookmarkEnd w:id="461"/>
    </w:p>
    <w:bookmarkEnd w:id="462"/>
    <w:p w14:paraId="1D43B1F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承包人应按合同约定或监理人指示进行现场工艺试验。对大型的现场工艺试验，监理人认为必要时，承包人应根据监理人提出的工艺试验要求，编制工艺试验措施计划，报送监理人审查。</w:t>
      </w:r>
    </w:p>
    <w:p w14:paraId="681417AD">
      <w:pPr>
        <w:pStyle w:val="4"/>
        <w:adjustRightInd w:val="0"/>
        <w:snapToGrid w:val="0"/>
        <w:spacing w:before="0" w:after="0" w:line="440" w:lineRule="exact"/>
        <w:rPr>
          <w:rFonts w:hint="eastAsia" w:ascii="仿宋" w:hAnsi="仿宋" w:eastAsia="仿宋" w:cs="仿宋"/>
          <w:sz w:val="24"/>
          <w:szCs w:val="24"/>
          <w:highlight w:val="none"/>
        </w:rPr>
      </w:pPr>
      <w:bookmarkStart w:id="463" w:name="_Toc351203567"/>
      <w:r>
        <w:rPr>
          <w:rFonts w:hint="eastAsia" w:ascii="仿宋" w:hAnsi="仿宋" w:eastAsia="仿宋" w:cs="仿宋"/>
          <w:sz w:val="24"/>
          <w:szCs w:val="24"/>
          <w:highlight w:val="none"/>
        </w:rPr>
        <w:t>1</w:t>
      </w:r>
      <w:bookmarkStart w:id="464" w:name="_Toc337558787"/>
      <w:r>
        <w:rPr>
          <w:rFonts w:hint="eastAsia" w:ascii="仿宋" w:hAnsi="仿宋" w:eastAsia="仿宋" w:cs="仿宋"/>
          <w:sz w:val="24"/>
          <w:szCs w:val="24"/>
          <w:highlight w:val="none"/>
        </w:rPr>
        <w:t>0. 变更</w:t>
      </w:r>
      <w:bookmarkEnd w:id="453"/>
      <w:bookmarkEnd w:id="454"/>
      <w:bookmarkEnd w:id="463"/>
    </w:p>
    <w:bookmarkEnd w:id="464"/>
    <w:p w14:paraId="66BF6697">
      <w:pPr>
        <w:pStyle w:val="5"/>
        <w:adjustRightInd w:val="0"/>
        <w:snapToGrid w:val="0"/>
        <w:spacing w:line="440" w:lineRule="exact"/>
        <w:ind w:firstLine="480" w:firstLineChars="200"/>
        <w:rPr>
          <w:rFonts w:hint="eastAsia" w:ascii="仿宋" w:hAnsi="仿宋" w:eastAsia="仿宋" w:cs="仿宋"/>
          <w:szCs w:val="24"/>
          <w:highlight w:val="none"/>
        </w:rPr>
      </w:pPr>
      <w:bookmarkStart w:id="465" w:name="_Toc351203568"/>
      <w:r>
        <w:rPr>
          <w:rFonts w:hint="eastAsia" w:ascii="仿宋" w:hAnsi="仿宋" w:eastAsia="仿宋" w:cs="仿宋"/>
          <w:szCs w:val="24"/>
          <w:highlight w:val="none"/>
        </w:rPr>
        <w:t>1</w:t>
      </w:r>
      <w:bookmarkStart w:id="466" w:name="_Toc337558788"/>
      <w:bookmarkStart w:id="467" w:name="_Toc296346585"/>
      <w:bookmarkStart w:id="468" w:name="_Toc296503084"/>
      <w:r>
        <w:rPr>
          <w:rFonts w:hint="eastAsia" w:ascii="仿宋" w:hAnsi="仿宋" w:eastAsia="仿宋" w:cs="仿宋"/>
          <w:szCs w:val="24"/>
          <w:highlight w:val="none"/>
        </w:rPr>
        <w:t>0.1变更的范围</w:t>
      </w:r>
      <w:bookmarkEnd w:id="465"/>
    </w:p>
    <w:bookmarkEnd w:id="466"/>
    <w:bookmarkEnd w:id="467"/>
    <w:bookmarkEnd w:id="468"/>
    <w:p w14:paraId="7BBD798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除专用合同条款另有约定外，合同履行过程中发生以下情形的，应按照本条约定进行变更：</w:t>
      </w:r>
    </w:p>
    <w:p w14:paraId="4A2D63E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（1）增加或减少合同中任何工作，或追加额外的工作；</w:t>
      </w:r>
    </w:p>
    <w:p w14:paraId="01CAB03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（2）取消合同中任何工作，但转由他人实施的工作除外；</w:t>
      </w:r>
    </w:p>
    <w:p w14:paraId="79E6522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（3）改变合同中任何工作的质量标准或其他特性；</w:t>
      </w:r>
    </w:p>
    <w:p w14:paraId="47F231B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（4）改变工程的基线、标高、位置和尺寸；</w:t>
      </w:r>
    </w:p>
    <w:p w14:paraId="6D4D889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（5）改变工程的时间安排或实施顺序。</w:t>
      </w:r>
    </w:p>
    <w:p w14:paraId="3F3A310D">
      <w:pPr>
        <w:pStyle w:val="5"/>
        <w:adjustRightInd w:val="0"/>
        <w:snapToGrid w:val="0"/>
        <w:spacing w:line="440" w:lineRule="exact"/>
        <w:ind w:firstLine="480" w:firstLineChars="200"/>
        <w:rPr>
          <w:rFonts w:hint="eastAsia" w:ascii="仿宋" w:hAnsi="仿宋" w:eastAsia="仿宋" w:cs="仿宋"/>
          <w:szCs w:val="24"/>
          <w:highlight w:val="none"/>
        </w:rPr>
      </w:pPr>
      <w:bookmarkStart w:id="469" w:name="_Toc351203569"/>
      <w:r>
        <w:rPr>
          <w:rFonts w:hint="eastAsia" w:ascii="仿宋" w:hAnsi="仿宋" w:eastAsia="仿宋" w:cs="仿宋"/>
          <w:szCs w:val="24"/>
          <w:highlight w:val="none"/>
        </w:rPr>
        <w:t>1</w:t>
      </w:r>
      <w:bookmarkStart w:id="470" w:name="_Toc337558789"/>
      <w:bookmarkStart w:id="471" w:name="_Toc296503085"/>
      <w:bookmarkStart w:id="472" w:name="_Toc296346586"/>
      <w:r>
        <w:rPr>
          <w:rFonts w:hint="eastAsia" w:ascii="仿宋" w:hAnsi="仿宋" w:eastAsia="仿宋" w:cs="仿宋"/>
          <w:szCs w:val="24"/>
          <w:highlight w:val="none"/>
        </w:rPr>
        <w:t>0.2变更权</w:t>
      </w:r>
      <w:bookmarkEnd w:id="469"/>
    </w:p>
    <w:bookmarkEnd w:id="470"/>
    <w:bookmarkEnd w:id="471"/>
    <w:bookmarkEnd w:id="472"/>
    <w:p w14:paraId="274019A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112BB57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涉及设计变更的，应由设计人提供变更后的图纸和说明。如变更超过原设计标准或批准的建设规模时，发包人应及时办理规划、设计变更等审批手续。</w:t>
      </w:r>
    </w:p>
    <w:p w14:paraId="11354A05">
      <w:pPr>
        <w:pStyle w:val="5"/>
        <w:adjustRightInd w:val="0"/>
        <w:snapToGrid w:val="0"/>
        <w:spacing w:line="440" w:lineRule="exact"/>
        <w:ind w:firstLine="480" w:firstLineChars="200"/>
        <w:rPr>
          <w:rFonts w:hint="eastAsia" w:ascii="仿宋" w:hAnsi="仿宋" w:eastAsia="仿宋" w:cs="仿宋"/>
          <w:szCs w:val="24"/>
          <w:highlight w:val="none"/>
        </w:rPr>
      </w:pPr>
      <w:bookmarkStart w:id="473" w:name="_Toc351203570"/>
      <w:r>
        <w:rPr>
          <w:rFonts w:hint="eastAsia" w:ascii="仿宋" w:hAnsi="仿宋" w:eastAsia="仿宋" w:cs="仿宋"/>
          <w:szCs w:val="24"/>
          <w:highlight w:val="none"/>
        </w:rPr>
        <w:t>1</w:t>
      </w:r>
      <w:bookmarkStart w:id="474" w:name="_Toc296346587"/>
      <w:bookmarkStart w:id="475" w:name="_Toc337558790"/>
      <w:bookmarkStart w:id="476" w:name="_Toc296503086"/>
      <w:r>
        <w:rPr>
          <w:rFonts w:hint="eastAsia" w:ascii="仿宋" w:hAnsi="仿宋" w:eastAsia="仿宋" w:cs="仿宋"/>
          <w:szCs w:val="24"/>
          <w:highlight w:val="none"/>
        </w:rPr>
        <w:t>0.3变更程序</w:t>
      </w:r>
      <w:bookmarkEnd w:id="473"/>
    </w:p>
    <w:bookmarkEnd w:id="474"/>
    <w:bookmarkEnd w:id="475"/>
    <w:bookmarkEnd w:id="476"/>
    <w:p w14:paraId="49BD871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10</w:t>
      </w:r>
      <w:r>
        <w:rPr>
          <w:rFonts w:hint="eastAsia" w:ascii="仿宋" w:hAnsi="仿宋" w:eastAsia="仿宋" w:cs="仿宋"/>
          <w:kern w:val="0"/>
          <w:sz w:val="24"/>
          <w:highlight w:val="none"/>
        </w:rPr>
        <w:t>.3.1 发包人提出变更</w:t>
      </w:r>
    </w:p>
    <w:p w14:paraId="38651B8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发包人提出变更的，应通过监理人向承包人发出变更指示，变更指示应说明计划变更的工程范围和变更的内容。</w:t>
      </w:r>
    </w:p>
    <w:p w14:paraId="4D8E603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10</w:t>
      </w:r>
      <w:r>
        <w:rPr>
          <w:rFonts w:hint="eastAsia" w:ascii="仿宋" w:hAnsi="仿宋" w:eastAsia="仿宋" w:cs="仿宋"/>
          <w:kern w:val="0"/>
          <w:sz w:val="24"/>
          <w:highlight w:val="none"/>
        </w:rPr>
        <w:t>.3.2 监理人提出变更建议</w:t>
      </w:r>
    </w:p>
    <w:p w14:paraId="1591B27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2F336197">
      <w:pPr>
        <w:autoSpaceDE w:val="0"/>
        <w:autoSpaceDN w:val="0"/>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10.3.3 变更执行</w:t>
      </w:r>
    </w:p>
    <w:p w14:paraId="044AC6F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55E07518">
      <w:pPr>
        <w:pStyle w:val="5"/>
        <w:adjustRightInd w:val="0"/>
        <w:snapToGrid w:val="0"/>
        <w:spacing w:line="440" w:lineRule="exact"/>
        <w:ind w:firstLine="480" w:firstLineChars="200"/>
        <w:rPr>
          <w:rFonts w:hint="eastAsia" w:ascii="仿宋" w:hAnsi="仿宋" w:eastAsia="仿宋" w:cs="仿宋"/>
          <w:szCs w:val="24"/>
          <w:highlight w:val="none"/>
        </w:rPr>
      </w:pPr>
      <w:bookmarkStart w:id="477" w:name="_Toc351203571"/>
      <w:r>
        <w:rPr>
          <w:rFonts w:hint="eastAsia" w:ascii="仿宋" w:hAnsi="仿宋" w:eastAsia="仿宋" w:cs="仿宋"/>
          <w:szCs w:val="24"/>
          <w:highlight w:val="none"/>
        </w:rPr>
        <w:t>1</w:t>
      </w:r>
      <w:bookmarkStart w:id="478" w:name="_Toc296503087"/>
      <w:bookmarkStart w:id="479" w:name="_Toc337558791"/>
      <w:bookmarkStart w:id="480" w:name="_Toc296346588"/>
      <w:r>
        <w:rPr>
          <w:rFonts w:hint="eastAsia" w:ascii="仿宋" w:hAnsi="仿宋" w:eastAsia="仿宋" w:cs="仿宋"/>
          <w:szCs w:val="24"/>
          <w:highlight w:val="none"/>
        </w:rPr>
        <w:t>0.4变更估价</w:t>
      </w:r>
      <w:bookmarkEnd w:id="477"/>
    </w:p>
    <w:bookmarkEnd w:id="478"/>
    <w:bookmarkEnd w:id="479"/>
    <w:bookmarkEnd w:id="480"/>
    <w:p w14:paraId="6C4C963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10.4.1 变更估价原则</w:t>
      </w:r>
    </w:p>
    <w:p w14:paraId="5E259E9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除专用合同条款另有约定外，变更估价按照本款约定处理：</w:t>
      </w:r>
    </w:p>
    <w:p w14:paraId="1FE9D5F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（1）已标价工程量清单或预算书有相同项目的，按照相同项目单价认定；</w:t>
      </w:r>
    </w:p>
    <w:p w14:paraId="7E84BA9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（2）已标价工程量清单或预算书中无相同项目，但有类似项目的，参照类似项目的单价认定；</w:t>
      </w:r>
    </w:p>
    <w:p w14:paraId="76CEF1C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5A873C5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10.4.2 变更估价程序</w:t>
      </w:r>
    </w:p>
    <w:p w14:paraId="2EB3938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2A66CA2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因变更引起的价格调整应计入最近一期的进度款中支付。</w:t>
      </w:r>
    </w:p>
    <w:p w14:paraId="3DA21263">
      <w:pPr>
        <w:pStyle w:val="5"/>
        <w:adjustRightInd w:val="0"/>
        <w:snapToGrid w:val="0"/>
        <w:spacing w:line="440" w:lineRule="exact"/>
        <w:ind w:firstLine="480" w:firstLineChars="200"/>
        <w:rPr>
          <w:rFonts w:hint="eastAsia" w:ascii="仿宋" w:hAnsi="仿宋" w:eastAsia="仿宋" w:cs="仿宋"/>
          <w:szCs w:val="24"/>
          <w:highlight w:val="none"/>
        </w:rPr>
      </w:pPr>
      <w:bookmarkStart w:id="481" w:name="_Toc351203572"/>
      <w:r>
        <w:rPr>
          <w:rFonts w:hint="eastAsia" w:ascii="仿宋" w:hAnsi="仿宋" w:eastAsia="仿宋" w:cs="仿宋"/>
          <w:szCs w:val="24"/>
          <w:highlight w:val="none"/>
        </w:rPr>
        <w:t>1</w:t>
      </w:r>
      <w:bookmarkStart w:id="482" w:name="_Toc337558792"/>
      <w:bookmarkStart w:id="483" w:name="_Toc296346595"/>
      <w:bookmarkStart w:id="484" w:name="_Toc296503094"/>
      <w:r>
        <w:rPr>
          <w:rFonts w:hint="eastAsia" w:ascii="仿宋" w:hAnsi="仿宋" w:eastAsia="仿宋" w:cs="仿宋"/>
          <w:szCs w:val="24"/>
          <w:highlight w:val="none"/>
        </w:rPr>
        <w:t>0.5承包人的合理化建议</w:t>
      </w:r>
      <w:bookmarkEnd w:id="481"/>
    </w:p>
    <w:bookmarkEnd w:id="482"/>
    <w:bookmarkEnd w:id="483"/>
    <w:bookmarkEnd w:id="484"/>
    <w:p w14:paraId="1283E06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承包人提出合理化建议的，应向监理人提交合理化建议说明，说明建议的内容和理由，以及实施该建议对合同价格和工期的影响。</w:t>
      </w:r>
    </w:p>
    <w:p w14:paraId="5164E79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566F8D8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合理化建议降低了合同价格或者提高了工程经济效益的，发包人可对承包人给予奖励，奖励的方法和金额在专用合同条款中约定。</w:t>
      </w:r>
    </w:p>
    <w:p w14:paraId="7AA7D726">
      <w:pPr>
        <w:pStyle w:val="5"/>
        <w:adjustRightInd w:val="0"/>
        <w:snapToGrid w:val="0"/>
        <w:spacing w:line="440" w:lineRule="exact"/>
        <w:ind w:firstLine="480" w:firstLineChars="200"/>
        <w:rPr>
          <w:rFonts w:hint="eastAsia" w:ascii="仿宋" w:hAnsi="仿宋" w:eastAsia="仿宋" w:cs="仿宋"/>
          <w:szCs w:val="24"/>
          <w:highlight w:val="none"/>
        </w:rPr>
      </w:pPr>
      <w:bookmarkStart w:id="485" w:name="_Toc351203573"/>
      <w:r>
        <w:rPr>
          <w:rFonts w:hint="eastAsia" w:ascii="仿宋" w:hAnsi="仿宋" w:eastAsia="仿宋" w:cs="仿宋"/>
          <w:szCs w:val="24"/>
          <w:highlight w:val="none"/>
        </w:rPr>
        <w:t>1</w:t>
      </w:r>
      <w:bookmarkStart w:id="486" w:name="_Toc337558793"/>
      <w:r>
        <w:rPr>
          <w:rFonts w:hint="eastAsia" w:ascii="仿宋" w:hAnsi="仿宋" w:eastAsia="仿宋" w:cs="仿宋"/>
          <w:szCs w:val="24"/>
          <w:highlight w:val="none"/>
        </w:rPr>
        <w:t>0.6变更引起的工期调整</w:t>
      </w:r>
      <w:bookmarkEnd w:id="485"/>
      <w:r>
        <w:rPr>
          <w:rFonts w:hint="eastAsia" w:ascii="仿宋" w:hAnsi="仿宋" w:eastAsia="仿宋" w:cs="仿宋"/>
          <w:szCs w:val="24"/>
          <w:highlight w:val="none"/>
        </w:rPr>
        <w:t xml:space="preserve"> </w:t>
      </w:r>
      <w:bookmarkEnd w:id="486"/>
      <w:r>
        <w:rPr>
          <w:rFonts w:hint="eastAsia" w:ascii="仿宋" w:hAnsi="仿宋" w:eastAsia="仿宋" w:cs="仿宋"/>
          <w:szCs w:val="24"/>
          <w:highlight w:val="none"/>
        </w:rPr>
        <w:t xml:space="preserve">  </w:t>
      </w:r>
    </w:p>
    <w:p w14:paraId="3C88A90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因变更引起工期变化的，合同当事人均可要求调整合同工期，由合同当事人按照第4.4款〔商定或确定〕并参考工程所在地的工期定额标准确定增减工期天数。</w:t>
      </w:r>
    </w:p>
    <w:p w14:paraId="222C8439">
      <w:pPr>
        <w:pStyle w:val="5"/>
        <w:adjustRightInd w:val="0"/>
        <w:snapToGrid w:val="0"/>
        <w:spacing w:line="440" w:lineRule="exact"/>
        <w:ind w:firstLine="480" w:firstLineChars="200"/>
        <w:rPr>
          <w:rFonts w:hint="eastAsia" w:ascii="仿宋" w:hAnsi="仿宋" w:eastAsia="仿宋" w:cs="仿宋"/>
          <w:szCs w:val="24"/>
          <w:highlight w:val="none"/>
        </w:rPr>
      </w:pPr>
      <w:bookmarkStart w:id="487" w:name="_Toc351203574"/>
      <w:r>
        <w:rPr>
          <w:rFonts w:hint="eastAsia" w:ascii="仿宋" w:hAnsi="仿宋" w:eastAsia="仿宋" w:cs="仿宋"/>
          <w:szCs w:val="24"/>
          <w:highlight w:val="none"/>
        </w:rPr>
        <w:t>10.7暂估价</w:t>
      </w:r>
      <w:bookmarkEnd w:id="487"/>
    </w:p>
    <w:p w14:paraId="2DC7CCB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暂估价专业分包工程、服务、材料和工程设备的明细由合同当事人在专用合同条款中约定。</w:t>
      </w:r>
    </w:p>
    <w:p w14:paraId="2A0B7EB0">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10.7.1</w:t>
      </w:r>
      <w:r>
        <w:rPr>
          <w:rFonts w:hint="eastAsia" w:ascii="仿宋" w:hAnsi="仿宋" w:eastAsia="仿宋" w:cs="仿宋"/>
          <w:kern w:val="0"/>
          <w:sz w:val="24"/>
          <w:highlight w:val="none"/>
        </w:rPr>
        <w:t xml:space="preserve"> 依法必须招标的暂估价项目</w:t>
      </w:r>
    </w:p>
    <w:p w14:paraId="5930014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对于依法必须招标的暂估价项目，采取以下第1种方式确定。合同当事人也可以在专用合同条款中选择其他招标方式。</w:t>
      </w:r>
    </w:p>
    <w:p w14:paraId="73F510B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第1种方式：对于依法必须招标的暂估价项目，由承包人招标，对该暂估价项目的确认和批准按照以下约定执行：</w:t>
      </w:r>
    </w:p>
    <w:p w14:paraId="4B193C4C">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460FBCA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2D2638F5">
      <w:pPr>
        <w:adjustRightInd w:val="0"/>
        <w:snapToGrid w:val="0"/>
        <w:spacing w:line="440" w:lineRule="exact"/>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524CC22C">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0A7B63A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10.7.2</w:t>
      </w:r>
      <w:r>
        <w:rPr>
          <w:rFonts w:hint="eastAsia" w:ascii="仿宋" w:hAnsi="仿宋" w:eastAsia="仿宋" w:cs="仿宋"/>
          <w:kern w:val="0"/>
          <w:sz w:val="24"/>
          <w:highlight w:val="none"/>
        </w:rPr>
        <w:t>不属于依法必须招标的暂估价项目</w:t>
      </w:r>
    </w:p>
    <w:p w14:paraId="6281A179">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除专用合同条款另有约定外，对于不属于依法必须招标的暂估价项目，采取以下第1种方式确定： </w:t>
      </w:r>
    </w:p>
    <w:p w14:paraId="79176F0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第1种方式：对于不属于依法必须招标的暂估价项目，按本项约定确认和批准：</w:t>
      </w:r>
    </w:p>
    <w:p w14:paraId="152A41A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2185860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（2）发包人认为承包人确定的供应商、分包人无法满足工程质量或合同要求的，发包人可以要求承包人重新确定暂估价项目的供应商、分包人；</w:t>
      </w:r>
    </w:p>
    <w:p w14:paraId="45A5F23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（3）承包人应当在签订暂估价合同后7天内，将暂估价合同副本报送发包人留存。</w:t>
      </w:r>
    </w:p>
    <w:p w14:paraId="4403836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第2种方式：承包人按照第10.7.1项〔依法必须招标的暂估价项目〕约定的第1种方式确定暂估价项目。</w:t>
      </w:r>
    </w:p>
    <w:p w14:paraId="4408435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第3种方式：</w:t>
      </w:r>
      <w:r>
        <w:rPr>
          <w:rFonts w:hint="eastAsia" w:ascii="仿宋" w:hAnsi="仿宋" w:eastAsia="仿宋" w:cs="仿宋"/>
          <w:kern w:val="0"/>
          <w:sz w:val="24"/>
          <w:highlight w:val="none"/>
        </w:rPr>
        <w:t>承包人直接实施的暂估价项目</w:t>
      </w:r>
    </w:p>
    <w:p w14:paraId="463B295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承包人具备实施暂估价项目的资格和条件的，经发包人和承包人协商一致后，可由承包人自行实施暂估价项目，合同当事人可以在专用合同条款约定具体事项。</w:t>
      </w:r>
    </w:p>
    <w:p w14:paraId="0CB4D27C">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5522470E">
      <w:pPr>
        <w:pStyle w:val="5"/>
        <w:adjustRightInd w:val="0"/>
        <w:snapToGrid w:val="0"/>
        <w:spacing w:line="440" w:lineRule="exact"/>
        <w:ind w:firstLine="480" w:firstLineChars="200"/>
        <w:rPr>
          <w:rFonts w:hint="eastAsia" w:ascii="仿宋" w:hAnsi="仿宋" w:eastAsia="仿宋" w:cs="仿宋"/>
          <w:szCs w:val="24"/>
          <w:highlight w:val="none"/>
        </w:rPr>
      </w:pPr>
      <w:bookmarkStart w:id="488" w:name="_Toc351203575"/>
      <w:r>
        <w:rPr>
          <w:rFonts w:hint="eastAsia" w:ascii="仿宋" w:hAnsi="仿宋" w:eastAsia="仿宋" w:cs="仿宋"/>
          <w:szCs w:val="24"/>
          <w:highlight w:val="none"/>
        </w:rPr>
        <w:t>1</w:t>
      </w:r>
      <w:bookmarkStart w:id="489" w:name="_Toc337558794"/>
      <w:bookmarkStart w:id="490" w:name="_Toc296346591"/>
      <w:bookmarkStart w:id="491" w:name="_Toc296503090"/>
      <w:bookmarkStart w:id="492" w:name="_Toc322522561"/>
      <w:r>
        <w:rPr>
          <w:rFonts w:hint="eastAsia" w:ascii="仿宋" w:hAnsi="仿宋" w:eastAsia="仿宋" w:cs="仿宋"/>
          <w:szCs w:val="24"/>
          <w:highlight w:val="none"/>
        </w:rPr>
        <w:t>0.8暂列金额</w:t>
      </w:r>
      <w:bookmarkEnd w:id="488"/>
    </w:p>
    <w:bookmarkEnd w:id="489"/>
    <w:p w14:paraId="6748B2E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暂列金额应按照发包人的要求使用，发包人的要求应通过监理人发出。合同当事人可以在专用合同条款中协商确定有关事项。</w:t>
      </w:r>
    </w:p>
    <w:bookmarkEnd w:id="490"/>
    <w:bookmarkEnd w:id="491"/>
    <w:bookmarkEnd w:id="492"/>
    <w:p w14:paraId="0D03CA8E">
      <w:pPr>
        <w:pStyle w:val="5"/>
        <w:adjustRightInd w:val="0"/>
        <w:snapToGrid w:val="0"/>
        <w:spacing w:line="440" w:lineRule="exact"/>
        <w:ind w:firstLine="480" w:firstLineChars="200"/>
        <w:rPr>
          <w:rFonts w:hint="eastAsia" w:ascii="仿宋" w:hAnsi="仿宋" w:eastAsia="仿宋" w:cs="仿宋"/>
          <w:szCs w:val="24"/>
          <w:highlight w:val="none"/>
        </w:rPr>
      </w:pPr>
      <w:bookmarkStart w:id="493" w:name="_Toc351203576"/>
      <w:r>
        <w:rPr>
          <w:rFonts w:hint="eastAsia" w:ascii="仿宋" w:hAnsi="仿宋" w:eastAsia="仿宋" w:cs="仿宋"/>
          <w:szCs w:val="24"/>
          <w:highlight w:val="none"/>
        </w:rPr>
        <w:t>1</w:t>
      </w:r>
      <w:bookmarkStart w:id="494" w:name="_Toc296503091"/>
      <w:bookmarkStart w:id="495" w:name="_Toc296346592"/>
      <w:bookmarkStart w:id="496" w:name="_Toc337558796"/>
      <w:r>
        <w:rPr>
          <w:rFonts w:hint="eastAsia" w:ascii="仿宋" w:hAnsi="仿宋" w:eastAsia="仿宋" w:cs="仿宋"/>
          <w:szCs w:val="24"/>
          <w:highlight w:val="none"/>
        </w:rPr>
        <w:t>0.9计日工</w:t>
      </w:r>
      <w:bookmarkEnd w:id="493"/>
      <w:r>
        <w:rPr>
          <w:rFonts w:hint="eastAsia" w:ascii="仿宋" w:hAnsi="仿宋" w:eastAsia="仿宋" w:cs="仿宋"/>
          <w:szCs w:val="24"/>
          <w:highlight w:val="none"/>
        </w:rPr>
        <w:t xml:space="preserve"> </w:t>
      </w:r>
      <w:bookmarkEnd w:id="494"/>
      <w:bookmarkEnd w:id="495"/>
      <w:bookmarkEnd w:id="496"/>
    </w:p>
    <w:p w14:paraId="4ACBFFF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615CC55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采用计日工计价的任何一项工作，承包人应在该项工作实施过程中，每天提交以下报表和有关凭证报送监理人审查：</w:t>
      </w:r>
    </w:p>
    <w:p w14:paraId="1857010B">
      <w:pPr>
        <w:adjustRightInd w:val="0"/>
        <w:snapToGrid w:val="0"/>
        <w:spacing w:line="440" w:lineRule="exact"/>
        <w:ind w:firstLine="360" w:firstLineChars="15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（1）工作名称、内容和数量；</w:t>
      </w:r>
    </w:p>
    <w:p w14:paraId="6A11A38D">
      <w:pPr>
        <w:adjustRightInd w:val="0"/>
        <w:snapToGrid w:val="0"/>
        <w:spacing w:line="440" w:lineRule="exact"/>
        <w:ind w:firstLine="360" w:firstLineChars="15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（2）投入该工作的所有人员的姓名、专业、工种、级别和耗用工时；</w:t>
      </w:r>
    </w:p>
    <w:p w14:paraId="2B7DDB2F">
      <w:pPr>
        <w:adjustRightInd w:val="0"/>
        <w:snapToGrid w:val="0"/>
        <w:spacing w:line="440" w:lineRule="exact"/>
        <w:ind w:firstLine="360" w:firstLineChars="15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（3）投入该工作的材料类别和数量；</w:t>
      </w:r>
    </w:p>
    <w:p w14:paraId="720EFAAC">
      <w:pPr>
        <w:adjustRightInd w:val="0"/>
        <w:snapToGrid w:val="0"/>
        <w:spacing w:line="440" w:lineRule="exact"/>
        <w:ind w:firstLine="360" w:firstLineChars="15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（4）投入该工作的施工设备型号、台数和耗用台时；</w:t>
      </w:r>
    </w:p>
    <w:p w14:paraId="5D55AC0E">
      <w:pPr>
        <w:adjustRightInd w:val="0"/>
        <w:snapToGrid w:val="0"/>
        <w:spacing w:line="440" w:lineRule="exact"/>
        <w:ind w:firstLine="360" w:firstLineChars="15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（5）其他有关资料和凭证。</w:t>
      </w:r>
    </w:p>
    <w:p w14:paraId="1AA94800">
      <w:pPr>
        <w:adjustRightInd w:val="0"/>
        <w:snapToGrid w:val="0"/>
        <w:spacing w:line="440" w:lineRule="exact"/>
        <w:ind w:firstLine="360" w:firstLineChars="15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 计日工由承包人汇总后，列入最近一期进度付款申请单，由监理人审查并经发包人批准后列入进度付款。</w:t>
      </w:r>
    </w:p>
    <w:p w14:paraId="3A1555EE">
      <w:pPr>
        <w:pStyle w:val="4"/>
        <w:adjustRightInd w:val="0"/>
        <w:snapToGrid w:val="0"/>
        <w:spacing w:before="0" w:after="0" w:line="440" w:lineRule="exact"/>
        <w:rPr>
          <w:rFonts w:hint="eastAsia" w:ascii="仿宋" w:hAnsi="仿宋" w:eastAsia="仿宋" w:cs="仿宋"/>
          <w:sz w:val="24"/>
          <w:szCs w:val="24"/>
          <w:highlight w:val="none"/>
        </w:rPr>
      </w:pPr>
      <w:bookmarkStart w:id="497" w:name="_Toc351203577"/>
      <w:r>
        <w:rPr>
          <w:rFonts w:hint="eastAsia" w:ascii="仿宋" w:hAnsi="仿宋" w:eastAsia="仿宋" w:cs="仿宋"/>
          <w:sz w:val="24"/>
          <w:szCs w:val="24"/>
          <w:highlight w:val="none"/>
        </w:rPr>
        <w:t>11. 价格调整</w:t>
      </w:r>
      <w:bookmarkEnd w:id="497"/>
    </w:p>
    <w:p w14:paraId="18049C90">
      <w:pPr>
        <w:pStyle w:val="5"/>
        <w:adjustRightInd w:val="0"/>
        <w:snapToGrid w:val="0"/>
        <w:spacing w:line="440" w:lineRule="exact"/>
        <w:ind w:firstLine="480" w:firstLineChars="200"/>
        <w:rPr>
          <w:rFonts w:hint="eastAsia" w:ascii="仿宋" w:hAnsi="仿宋" w:eastAsia="仿宋" w:cs="仿宋"/>
          <w:szCs w:val="24"/>
          <w:highlight w:val="none"/>
        </w:rPr>
      </w:pPr>
      <w:bookmarkStart w:id="498" w:name="_Toc351203578"/>
      <w:bookmarkStart w:id="499" w:name="_Toc337558797"/>
      <w:bookmarkStart w:id="500" w:name="_Toc296346593"/>
      <w:bookmarkStart w:id="501" w:name="_Toc296503092"/>
      <w:r>
        <w:rPr>
          <w:rFonts w:hint="eastAsia" w:ascii="仿宋" w:hAnsi="仿宋" w:eastAsia="仿宋" w:cs="仿宋"/>
          <w:szCs w:val="24"/>
          <w:highlight w:val="none"/>
        </w:rPr>
        <w:t>11.1市场价格波动引起的调整</w:t>
      </w:r>
      <w:bookmarkEnd w:id="498"/>
    </w:p>
    <w:bookmarkEnd w:id="499"/>
    <w:bookmarkEnd w:id="500"/>
    <w:bookmarkEnd w:id="501"/>
    <w:p w14:paraId="2B348C76">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除专用合同条款另有约定外，市场价格波动超过合同当事人约定的范围，合同价格应当调整。合同当事人可以在专用合同条款中约定选择以下一种方式对合同价格进行调整：</w:t>
      </w:r>
    </w:p>
    <w:p w14:paraId="083F4FDF">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第1种方式：采用价格指数进行价格调整。</w:t>
      </w:r>
    </w:p>
    <w:p w14:paraId="52BA19CD">
      <w:pPr>
        <w:tabs>
          <w:tab w:val="left" w:pos="0"/>
          <w:tab w:val="left" w:pos="360"/>
          <w:tab w:val="left" w:pos="540"/>
        </w:tabs>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（1）价格调整公式</w:t>
      </w:r>
    </w:p>
    <w:p w14:paraId="53CC6335">
      <w:pPr>
        <w:tabs>
          <w:tab w:val="left" w:pos="0"/>
          <w:tab w:val="left" w:pos="360"/>
          <w:tab w:val="left" w:pos="540"/>
        </w:tabs>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因人工、材料和设备等价格波动影响合同价格时，根据专用合同条款中约定的数据，按以下公式计算差额并调整合同价格：</w:t>
      </w:r>
    </w:p>
    <w:p w14:paraId="72E92FF4">
      <w:pPr>
        <w:tabs>
          <w:tab w:val="left" w:pos="0"/>
          <w:tab w:val="left" w:pos="360"/>
          <w:tab w:val="left" w:pos="540"/>
        </w:tabs>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position w:val="-30"/>
          <w:sz w:val="24"/>
          <w:highlight w:val="none"/>
        </w:rPr>
        <w:object>
          <v:shape id="_x0000_i1027" o:spt="75" type="#_x0000_t75" style="height:44pt;width:360pt;" o:ole="t" filled="f" o:preferrelative="t" stroked="f" coordsize="21600,21600">
            <v:path/>
            <v:fill on="f" focussize="0,0"/>
            <v:stroke on="f" joinstyle="miter"/>
            <v:imagedata r:id="rId13" o:title=""/>
            <o:lock v:ext="edit" aspectratio="t"/>
            <w10:wrap type="none"/>
            <w10:anchorlock/>
          </v:shape>
          <o:OLEObject Type="Embed" ProgID="Equation.3" ShapeID="_x0000_i1027" DrawAspect="Content" ObjectID="_1468075727" r:id="rId12">
            <o:LockedField>false</o:LockedField>
          </o:OLEObject>
        </w:object>
      </w:r>
    </w:p>
    <w:p w14:paraId="70FDBD35">
      <w:pPr>
        <w:tabs>
          <w:tab w:val="left" w:pos="0"/>
          <w:tab w:val="left" w:pos="360"/>
          <w:tab w:val="left" w:pos="540"/>
        </w:tabs>
        <w:adjustRightInd w:val="0"/>
        <w:snapToGrid w:val="0"/>
        <w:spacing w:line="440" w:lineRule="exact"/>
        <w:ind w:firstLine="640"/>
        <w:rPr>
          <w:rFonts w:hint="eastAsia" w:ascii="仿宋" w:hAnsi="仿宋" w:eastAsia="仿宋" w:cs="仿宋"/>
          <w:sz w:val="24"/>
          <w:highlight w:val="none"/>
        </w:rPr>
      </w:pPr>
      <w:r>
        <w:rPr>
          <w:rFonts w:hint="eastAsia" w:ascii="仿宋" w:hAnsi="仿宋" w:eastAsia="仿宋" w:cs="仿宋"/>
          <w:sz w:val="24"/>
          <w:highlight w:val="none"/>
        </w:rPr>
        <w:t>公式中：ΔP——需调整的价格差额；</w:t>
      </w:r>
    </w:p>
    <w:p w14:paraId="2EF13186">
      <w:pPr>
        <w:tabs>
          <w:tab w:val="left" w:pos="0"/>
          <w:tab w:val="left" w:pos="360"/>
          <w:tab w:val="left" w:pos="540"/>
        </w:tabs>
        <w:adjustRightInd w:val="0"/>
        <w:snapToGrid w:val="0"/>
        <w:spacing w:line="440" w:lineRule="exact"/>
        <w:ind w:firstLine="1440" w:firstLineChars="600"/>
        <w:rPr>
          <w:rFonts w:hint="eastAsia" w:ascii="仿宋" w:hAnsi="仿宋" w:eastAsia="仿宋" w:cs="仿宋"/>
          <w:sz w:val="24"/>
          <w:highlight w:val="none"/>
        </w:rPr>
      </w:pPr>
      <w:r>
        <w:rPr>
          <w:rFonts w:hint="eastAsia" w:ascii="仿宋" w:hAnsi="仿宋" w:eastAsia="仿宋" w:cs="仿宋"/>
          <w:position w:val="-6"/>
          <w:sz w:val="24"/>
          <w:highlight w:val="none"/>
        </w:rPr>
        <w:object>
          <v:shape id="_x0000_i1028" o:spt="75" type="#_x0000_t75" style="height:18pt;width:18pt;" o:ole="t" filled="f" o:preferrelative="t" stroked="f" coordsize="21600,21600">
            <v:path/>
            <v:fill on="f" focussize="0,0"/>
            <v:stroke on="f" joinstyle="miter"/>
            <v:imagedata r:id="rId15" o:title=""/>
            <o:lock v:ext="edit" aspectratio="t"/>
            <w10:wrap type="none"/>
            <w10:anchorlock/>
          </v:shape>
          <o:OLEObject Type="Embed" ProgID="Equation.3" ShapeID="_x0000_i1028" DrawAspect="Content" ObjectID="_1468075728" r:id="rId14">
            <o:LockedField>false</o:LockedField>
          </o:OLEObject>
        </w:object>
      </w:r>
      <w:r>
        <w:rPr>
          <w:rFonts w:hint="eastAsia" w:ascii="仿宋" w:hAnsi="仿宋" w:eastAsia="仿宋" w:cs="仿宋"/>
          <w:sz w:val="24"/>
          <w:highlight w:val="none"/>
        </w:rPr>
        <w:t>——约定的付款证书中承包人应得到的已完成工程量的金额。此项金额应不包括价格调整、不计质量保证金的扣留和支付、预付款的支付和扣回。约定的变更及其他金额已按现行价格计价的，也不计在内；</w:t>
      </w:r>
    </w:p>
    <w:p w14:paraId="10D73037">
      <w:pPr>
        <w:tabs>
          <w:tab w:val="left" w:pos="0"/>
          <w:tab w:val="left" w:pos="360"/>
          <w:tab w:val="left" w:pos="540"/>
        </w:tabs>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A——定值权重（即不调部分的权重）；</w:t>
      </w:r>
    </w:p>
    <w:p w14:paraId="76B30205">
      <w:pPr>
        <w:tabs>
          <w:tab w:val="left" w:pos="0"/>
          <w:tab w:val="left" w:pos="360"/>
          <w:tab w:val="left" w:pos="540"/>
        </w:tabs>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position w:val="-10"/>
          <w:sz w:val="24"/>
          <w:highlight w:val="none"/>
        </w:rPr>
        <w:object>
          <v:shape id="_x0000_i1029" o:spt="75" type="#_x0000_t75" style="height:21pt;width:101pt;" o:ole="t" filled="f" o:preferrelative="t" stroked="f" coordsize="21600,21600">
            <v:path/>
            <v:fill on="f" focussize="0,0"/>
            <v:stroke on="f" joinstyle="miter"/>
            <v:imagedata r:id="rId17" o:title=""/>
            <o:lock v:ext="edit" aspectratio="t"/>
            <w10:wrap type="none"/>
            <w10:anchorlock/>
          </v:shape>
          <o:OLEObject Type="Embed" ProgID="Equation.3" ShapeID="_x0000_i1029" DrawAspect="Content" ObjectID="_1468075729" r:id="rId16">
            <o:LockedField>false</o:LockedField>
          </o:OLEObject>
        </w:object>
      </w:r>
      <w:r>
        <w:rPr>
          <w:rFonts w:hint="eastAsia" w:ascii="仿宋" w:hAnsi="仿宋" w:eastAsia="仿宋" w:cs="仿宋"/>
          <w:sz w:val="24"/>
          <w:highlight w:val="none"/>
        </w:rPr>
        <w:t>——各可调因子的变值权重（即可调部分的权重），为各可调因子在签约合同价中所占的比例；</w:t>
      </w:r>
    </w:p>
    <w:p w14:paraId="4470CED2">
      <w:pPr>
        <w:tabs>
          <w:tab w:val="left" w:pos="0"/>
          <w:tab w:val="left" w:pos="360"/>
          <w:tab w:val="left" w:pos="540"/>
        </w:tabs>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position w:val="-10"/>
          <w:sz w:val="24"/>
          <w:highlight w:val="none"/>
        </w:rPr>
        <w:object>
          <v:shape id="_x0000_i1030" o:spt="75" type="#_x0000_t75" style="height:20.5pt;width:102pt;" o:ole="t" filled="f" o:preferrelative="t" stroked="f" coordsize="21600,21600">
            <v:path/>
            <v:fill on="f" focussize="0,0"/>
            <v:stroke on="f" joinstyle="miter"/>
            <v:imagedata r:id="rId19" o:title=""/>
            <o:lock v:ext="edit" aspectratio="t"/>
            <w10:wrap type="none"/>
            <w10:anchorlock/>
          </v:shape>
          <o:OLEObject Type="Embed" ProgID="Equation.3" ShapeID="_x0000_i1030" DrawAspect="Content" ObjectID="_1468075730" r:id="rId18">
            <o:LockedField>false</o:LockedField>
          </o:OLEObject>
        </w:object>
      </w:r>
      <w:r>
        <w:rPr>
          <w:rFonts w:hint="eastAsia" w:ascii="仿宋" w:hAnsi="仿宋" w:eastAsia="仿宋" w:cs="仿宋"/>
          <w:sz w:val="24"/>
          <w:highlight w:val="none"/>
        </w:rPr>
        <w:t>——各可调因子的现行价格指数，指约定的付款证书相关周期最后一天的前42天的各可调因子的价格指数；</w:t>
      </w:r>
    </w:p>
    <w:p w14:paraId="6B0BD0E5">
      <w:pPr>
        <w:tabs>
          <w:tab w:val="left" w:pos="0"/>
          <w:tab w:val="left" w:pos="360"/>
          <w:tab w:val="left" w:pos="540"/>
        </w:tabs>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position w:val="-10"/>
          <w:sz w:val="24"/>
          <w:highlight w:val="none"/>
        </w:rPr>
        <w:object>
          <v:shape id="_x0000_i1031" o:spt="75" type="#_x0000_t75" style="height:20pt;width:108pt;" o:ole="t" filled="f" o:preferrelative="t" stroked="f" coordsize="21600,21600">
            <v:path/>
            <v:fill on="f" focussize="0,0"/>
            <v:stroke on="f" joinstyle="miter"/>
            <v:imagedata r:id="rId21" o:title=""/>
            <o:lock v:ext="edit" aspectratio="t"/>
            <w10:wrap type="none"/>
            <w10:anchorlock/>
          </v:shape>
          <o:OLEObject Type="Embed" ProgID="Equation.3" ShapeID="_x0000_i1031" DrawAspect="Content" ObjectID="_1468075731" r:id="rId20">
            <o:LockedField>false</o:LockedField>
          </o:OLEObject>
        </w:object>
      </w:r>
      <w:r>
        <w:rPr>
          <w:rFonts w:hint="eastAsia" w:ascii="仿宋" w:hAnsi="仿宋" w:eastAsia="仿宋" w:cs="仿宋"/>
          <w:sz w:val="24"/>
          <w:highlight w:val="none"/>
        </w:rPr>
        <w:t>——各可调因子的基本价格指数，指基准日期的各可调因子的价格指数。</w:t>
      </w:r>
    </w:p>
    <w:p w14:paraId="0A1B383C">
      <w:pPr>
        <w:tabs>
          <w:tab w:val="left" w:pos="0"/>
          <w:tab w:val="left" w:pos="360"/>
          <w:tab w:val="left" w:pos="540"/>
        </w:tabs>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4964EFF5">
      <w:pPr>
        <w:tabs>
          <w:tab w:val="left" w:pos="0"/>
          <w:tab w:val="left" w:pos="360"/>
          <w:tab w:val="left" w:pos="540"/>
        </w:tabs>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（2）暂时确定调整差额</w:t>
      </w:r>
    </w:p>
    <w:p w14:paraId="286F4B98">
      <w:pPr>
        <w:tabs>
          <w:tab w:val="left" w:pos="0"/>
          <w:tab w:val="left" w:pos="360"/>
          <w:tab w:val="left" w:pos="540"/>
        </w:tabs>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在计算调整差额时无现行价格指数的，合同当事人同意暂用前次价格指数计算。实际价格指数有调整的，合同当事人进行相应调整。</w:t>
      </w:r>
    </w:p>
    <w:p w14:paraId="2E0876B3">
      <w:pPr>
        <w:tabs>
          <w:tab w:val="left" w:pos="0"/>
          <w:tab w:val="left" w:pos="360"/>
          <w:tab w:val="left" w:pos="540"/>
        </w:tabs>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（3）权重的调整</w:t>
      </w:r>
    </w:p>
    <w:p w14:paraId="3FF46832">
      <w:pPr>
        <w:tabs>
          <w:tab w:val="left" w:pos="0"/>
          <w:tab w:val="left" w:pos="360"/>
          <w:tab w:val="left" w:pos="540"/>
        </w:tabs>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因变更导致合同约定的权重不合理时，按照第4.4款〔商定或确定〕执行。</w:t>
      </w:r>
    </w:p>
    <w:p w14:paraId="2B577B74">
      <w:pPr>
        <w:tabs>
          <w:tab w:val="left" w:pos="0"/>
          <w:tab w:val="left" w:pos="360"/>
          <w:tab w:val="left" w:pos="540"/>
        </w:tabs>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（4）因承包人原因工期延误后的价格调整</w:t>
      </w:r>
    </w:p>
    <w:p w14:paraId="466D07EE">
      <w:pPr>
        <w:tabs>
          <w:tab w:val="left" w:pos="0"/>
          <w:tab w:val="left" w:pos="360"/>
          <w:tab w:val="left" w:pos="540"/>
        </w:tabs>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因承包人原因未按期竣工的，对合同约定的竣工日期后继续施工的工程，在使用价格调整公式时，应采用计划竣工日期与实际竣工日期的两个价格指数中较低的一个作为现行价格指数。</w:t>
      </w:r>
    </w:p>
    <w:p w14:paraId="2471583D">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第2种方式：采用造价信息进行价格调整。</w:t>
      </w:r>
    </w:p>
    <w:p w14:paraId="4E91FA9B">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2368FFFD">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74C32123">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（2）材料、工程设备价格变化的价款调整按照发包人提供的基准价格，按以下风险范围规定执行：</w:t>
      </w:r>
    </w:p>
    <w:p w14:paraId="2DA1A668">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0D95B9C4">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4C2D190A">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③承包人在已标价工程量清单或预算书中载明材料单价等于基准价格的：除专用合同条款另有约定外，合同履行期间材料单价涨跌幅以基准价格为基础超过±5%时，其超过部分据实调整。</w:t>
      </w:r>
    </w:p>
    <w:p w14:paraId="11DF6B0D">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34658F6F">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前述基准价格是指由发包人在招标文件或专用合同条款中给定的材料、工程设备的价格，该价格原则上应当按照省级或行业建设主管部门或其授权的工程造价管理机构发布的信息价编制。</w:t>
      </w:r>
    </w:p>
    <w:p w14:paraId="052EB2E1">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（3）施工机械台班单价或施工机械使用费发生变化超过省级或行业建设主管部门或其授权的工程造价管理机构规定的范围时，按规定调整合同价格。</w:t>
      </w:r>
    </w:p>
    <w:p w14:paraId="0758FDE3">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第3种方式：专用合同条款约定的其他方式。</w:t>
      </w:r>
    </w:p>
    <w:p w14:paraId="73E5ED22">
      <w:pPr>
        <w:pStyle w:val="5"/>
        <w:adjustRightInd w:val="0"/>
        <w:snapToGrid w:val="0"/>
        <w:spacing w:line="440" w:lineRule="exact"/>
        <w:ind w:firstLine="480" w:firstLineChars="200"/>
        <w:rPr>
          <w:rFonts w:hint="eastAsia" w:ascii="仿宋" w:hAnsi="仿宋" w:eastAsia="仿宋" w:cs="仿宋"/>
          <w:szCs w:val="24"/>
          <w:highlight w:val="none"/>
        </w:rPr>
      </w:pPr>
      <w:bookmarkStart w:id="502" w:name="_Toc351203579"/>
      <w:bookmarkStart w:id="503" w:name="_Toc337558798"/>
      <w:bookmarkStart w:id="504" w:name="_Toc296503093"/>
      <w:bookmarkStart w:id="505" w:name="_Toc296346594"/>
      <w:r>
        <w:rPr>
          <w:rFonts w:hint="eastAsia" w:ascii="仿宋" w:hAnsi="仿宋" w:eastAsia="仿宋" w:cs="仿宋"/>
          <w:szCs w:val="24"/>
          <w:highlight w:val="none"/>
        </w:rPr>
        <w:t>11.2法律变化引起的调整</w:t>
      </w:r>
      <w:bookmarkEnd w:id="502"/>
    </w:p>
    <w:bookmarkEnd w:id="503"/>
    <w:bookmarkEnd w:id="504"/>
    <w:bookmarkEnd w:id="505"/>
    <w:p w14:paraId="1ABB6499">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7329DBAE">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因法律变化引起的合同价格和工期调整，合同当事人无法达成一致的，由总监理工程师按第4.4款〔商定或确定〕的约定处理。</w:t>
      </w:r>
    </w:p>
    <w:p w14:paraId="7C05FD42">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kern w:val="0"/>
          <w:sz w:val="24"/>
          <w:highlight w:val="none"/>
        </w:rPr>
        <w:t>因承包人原因造成工期延误，在工期延误期间出现法律变化的，由此增加的费用和（或）延误的工期由承包人承担。</w:t>
      </w:r>
    </w:p>
    <w:p w14:paraId="772432CF">
      <w:pPr>
        <w:pStyle w:val="4"/>
        <w:adjustRightInd w:val="0"/>
        <w:snapToGrid w:val="0"/>
        <w:spacing w:before="0" w:after="0" w:line="440" w:lineRule="exact"/>
        <w:rPr>
          <w:rFonts w:hint="eastAsia" w:ascii="仿宋" w:hAnsi="仿宋" w:eastAsia="仿宋" w:cs="仿宋"/>
          <w:sz w:val="24"/>
          <w:szCs w:val="24"/>
          <w:highlight w:val="none"/>
        </w:rPr>
      </w:pPr>
      <w:bookmarkStart w:id="506" w:name="_Toc351203580"/>
      <w:bookmarkStart w:id="507" w:name="_Toc337558799"/>
      <w:bookmarkStart w:id="508" w:name="_Toc296503096"/>
      <w:bookmarkStart w:id="509" w:name="_Toc296346597"/>
      <w:r>
        <w:rPr>
          <w:rFonts w:hint="eastAsia" w:ascii="仿宋" w:hAnsi="仿宋" w:eastAsia="仿宋" w:cs="仿宋"/>
          <w:sz w:val="24"/>
          <w:szCs w:val="24"/>
          <w:highlight w:val="none"/>
        </w:rPr>
        <w:t>12. 合同价格、计量与支付</w:t>
      </w:r>
      <w:bookmarkEnd w:id="506"/>
    </w:p>
    <w:bookmarkEnd w:id="507"/>
    <w:p w14:paraId="442A09F7">
      <w:pPr>
        <w:pStyle w:val="5"/>
        <w:adjustRightInd w:val="0"/>
        <w:snapToGrid w:val="0"/>
        <w:spacing w:line="440" w:lineRule="exact"/>
        <w:ind w:firstLine="480" w:firstLineChars="200"/>
        <w:rPr>
          <w:rFonts w:hint="eastAsia" w:ascii="仿宋" w:hAnsi="仿宋" w:eastAsia="仿宋" w:cs="仿宋"/>
          <w:szCs w:val="24"/>
          <w:highlight w:val="none"/>
        </w:rPr>
      </w:pPr>
      <w:bookmarkStart w:id="510" w:name="_Toc351203581"/>
      <w:bookmarkStart w:id="511" w:name="_Toc337558800"/>
      <w:r>
        <w:rPr>
          <w:rFonts w:hint="eastAsia" w:ascii="仿宋" w:hAnsi="仿宋" w:eastAsia="仿宋" w:cs="仿宋"/>
          <w:szCs w:val="24"/>
          <w:highlight w:val="none"/>
        </w:rPr>
        <w:t>12.1 合同价</w:t>
      </w:r>
      <w:bookmarkEnd w:id="508"/>
      <w:bookmarkEnd w:id="509"/>
      <w:r>
        <w:rPr>
          <w:rFonts w:hint="eastAsia" w:ascii="仿宋" w:hAnsi="仿宋" w:eastAsia="仿宋" w:cs="仿宋"/>
          <w:szCs w:val="24"/>
          <w:highlight w:val="none"/>
        </w:rPr>
        <w:t>格形式</w:t>
      </w:r>
      <w:bookmarkEnd w:id="510"/>
    </w:p>
    <w:bookmarkEnd w:id="511"/>
    <w:p w14:paraId="3175992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发包人和承包人应在合同协议书中选择下列一种合同价格形式： </w:t>
      </w:r>
    </w:p>
    <w:p w14:paraId="1B5060C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1.单价合同</w:t>
      </w:r>
    </w:p>
    <w:p w14:paraId="6377CBC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单价合同是指合同当事人约定以工程量清单及其综合单价进行合同价格计算、调整和确认的建设工程施工合同，</w:t>
      </w:r>
      <w:r>
        <w:rPr>
          <w:rFonts w:hint="eastAsia" w:ascii="仿宋" w:hAnsi="仿宋" w:eastAsia="仿宋" w:cs="仿宋"/>
          <w:sz w:val="24"/>
          <w:highlight w:val="none"/>
        </w:rPr>
        <w:t>在约定的范围内合同单价不作调整</w:t>
      </w:r>
      <w:r>
        <w:rPr>
          <w:rFonts w:hint="eastAsia" w:ascii="仿宋" w:hAnsi="仿宋" w:eastAsia="仿宋" w:cs="仿宋"/>
          <w:kern w:val="0"/>
          <w:sz w:val="24"/>
          <w:highlight w:val="none"/>
        </w:rPr>
        <w:t>。合同当事人应在专用合同条款中约定综合单价包含的风险范围和风险费用的计算方法</w:t>
      </w:r>
      <w:r>
        <w:rPr>
          <w:rFonts w:hint="eastAsia" w:ascii="仿宋" w:hAnsi="仿宋" w:eastAsia="仿宋" w:cs="仿宋"/>
          <w:sz w:val="24"/>
          <w:highlight w:val="none"/>
        </w:rPr>
        <w:t>，</w:t>
      </w:r>
      <w:r>
        <w:rPr>
          <w:rFonts w:hint="eastAsia" w:ascii="仿宋" w:hAnsi="仿宋" w:eastAsia="仿宋" w:cs="仿宋"/>
          <w:kern w:val="0"/>
          <w:sz w:val="24"/>
          <w:highlight w:val="none"/>
        </w:rPr>
        <w:t>并约定风险范围以外的合同价格的调整方法，其中因市场价格波动引起的调整按第11.1款〔市场价格波动引起的调整〕约定执行。</w:t>
      </w:r>
    </w:p>
    <w:p w14:paraId="6B97848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2.总价合同</w:t>
      </w:r>
    </w:p>
    <w:p w14:paraId="54A8CE3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总价合同是指合同当事人约定以施工图、已标价工程量清单或预算书及有关条件进行合同价格计算、调整和确认的建设工程施工合同，</w:t>
      </w:r>
      <w:r>
        <w:rPr>
          <w:rFonts w:hint="eastAsia" w:ascii="仿宋" w:hAnsi="仿宋" w:eastAsia="仿宋" w:cs="仿宋"/>
          <w:sz w:val="24"/>
          <w:highlight w:val="none"/>
        </w:rPr>
        <w:t>在约定的范围内合同总价不作调整</w:t>
      </w:r>
      <w:r>
        <w:rPr>
          <w:rFonts w:hint="eastAsia" w:ascii="仿宋" w:hAnsi="仿宋" w:eastAsia="仿宋" w:cs="仿宋"/>
          <w:kern w:val="0"/>
          <w:sz w:val="24"/>
          <w:highlight w:val="none"/>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76D1BA1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3.其它价格形式</w:t>
      </w:r>
    </w:p>
    <w:p w14:paraId="73278AD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合同当事人可在专用合同条款中约定其他合同价格形式。</w:t>
      </w:r>
    </w:p>
    <w:p w14:paraId="0BEBF08E">
      <w:pPr>
        <w:pStyle w:val="5"/>
        <w:adjustRightInd w:val="0"/>
        <w:snapToGrid w:val="0"/>
        <w:spacing w:line="440" w:lineRule="exact"/>
        <w:ind w:firstLine="480" w:firstLineChars="200"/>
        <w:rPr>
          <w:rFonts w:hint="eastAsia" w:ascii="仿宋" w:hAnsi="仿宋" w:eastAsia="仿宋" w:cs="仿宋"/>
          <w:szCs w:val="24"/>
          <w:highlight w:val="none"/>
        </w:rPr>
      </w:pPr>
      <w:bookmarkStart w:id="512" w:name="_Toc296346598"/>
      <w:bookmarkStart w:id="513" w:name="_Toc296503097"/>
      <w:bookmarkStart w:id="514" w:name="_Toc351203582"/>
      <w:bookmarkStart w:id="515" w:name="_Toc337558801"/>
      <w:r>
        <w:rPr>
          <w:rFonts w:hint="eastAsia" w:ascii="仿宋" w:hAnsi="仿宋" w:eastAsia="仿宋" w:cs="仿宋"/>
          <w:szCs w:val="24"/>
          <w:highlight w:val="none"/>
        </w:rPr>
        <w:t>12.2预</w:t>
      </w:r>
      <w:bookmarkEnd w:id="512"/>
      <w:bookmarkEnd w:id="513"/>
      <w:bookmarkStart w:id="516" w:name="_Toc296346601"/>
      <w:bookmarkStart w:id="517" w:name="_Toc296503100"/>
      <w:r>
        <w:rPr>
          <w:rFonts w:hint="eastAsia" w:ascii="仿宋" w:hAnsi="仿宋" w:eastAsia="仿宋" w:cs="仿宋"/>
          <w:szCs w:val="24"/>
          <w:highlight w:val="none"/>
        </w:rPr>
        <w:t>付款</w:t>
      </w:r>
      <w:bookmarkEnd w:id="514"/>
    </w:p>
    <w:bookmarkEnd w:id="515"/>
    <w:bookmarkEnd w:id="516"/>
    <w:bookmarkEnd w:id="517"/>
    <w:p w14:paraId="285DF5C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12.2.</w:t>
      </w:r>
      <w:r>
        <w:rPr>
          <w:rFonts w:hint="eastAsia" w:ascii="仿宋" w:hAnsi="仿宋" w:eastAsia="仿宋" w:cs="仿宋"/>
          <w:kern w:val="0"/>
          <w:sz w:val="24"/>
          <w:highlight w:val="none"/>
        </w:rPr>
        <w:t>1预付款的支付</w:t>
      </w:r>
    </w:p>
    <w:p w14:paraId="1521E4C7">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预付款的支付按照专用合同条款约定执行，但至迟应在开工通知载明的开工日期7天前支付。预付款应当用于材料、工程设备、施工设备的采购及修建临时工程、组织施工队伍进场等。</w:t>
      </w:r>
    </w:p>
    <w:p w14:paraId="104F81CB">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除专用合同条款另有约定外，预付款在进度付款中同比例扣回。在颁发工程接收证书前，提前解除合同的，尚未扣完的预付款应与合同价款一并结算。</w:t>
      </w:r>
    </w:p>
    <w:p w14:paraId="277A68E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发包人逾期支付预付款超过7天的，承包人有权向发包人发出要求预付的催告通知，发包人收到通知后7天内仍未支付的，承包人有权暂停施工，并按第16.1.1项〔发包人违约的情形〕执行。</w:t>
      </w:r>
    </w:p>
    <w:p w14:paraId="089820F8">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12.2.2 预付款担保</w:t>
      </w:r>
    </w:p>
    <w:p w14:paraId="58AFA1AB">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3D03ACD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发包人在工程款中逐期扣回预付款后，预付款担保额度应相应减少，但剩余的预付款担保金额不得低于未被扣回的预付款金额。</w:t>
      </w:r>
    </w:p>
    <w:p w14:paraId="6C7C33D7">
      <w:pPr>
        <w:pStyle w:val="5"/>
        <w:adjustRightInd w:val="0"/>
        <w:snapToGrid w:val="0"/>
        <w:spacing w:line="440" w:lineRule="exact"/>
        <w:ind w:firstLine="480" w:firstLineChars="200"/>
        <w:rPr>
          <w:rFonts w:hint="eastAsia" w:ascii="仿宋" w:hAnsi="仿宋" w:eastAsia="仿宋" w:cs="仿宋"/>
          <w:szCs w:val="24"/>
          <w:highlight w:val="none"/>
        </w:rPr>
      </w:pPr>
      <w:bookmarkStart w:id="518" w:name="_Toc351203583"/>
      <w:bookmarkStart w:id="519" w:name="_Toc337558802"/>
      <w:r>
        <w:rPr>
          <w:rFonts w:hint="eastAsia" w:ascii="仿宋" w:hAnsi="仿宋" w:eastAsia="仿宋" w:cs="仿宋"/>
          <w:szCs w:val="24"/>
          <w:highlight w:val="none"/>
        </w:rPr>
        <w:t>12.3计量</w:t>
      </w:r>
      <w:bookmarkEnd w:id="518"/>
    </w:p>
    <w:bookmarkEnd w:id="519"/>
    <w:p w14:paraId="0A875BF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12.3.1 计量原则</w:t>
      </w:r>
    </w:p>
    <w:p w14:paraId="2D876F0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工程量计量按照合同约定的工程量计算规则、图纸及变更指示等进行计量。工程量计算规则应以相关的国家标准、行业标准等为依据，由合同当事人在专用合同条款中约定。</w:t>
      </w:r>
    </w:p>
    <w:p w14:paraId="295D7B7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12.3.2 计量周期</w:t>
      </w:r>
    </w:p>
    <w:p w14:paraId="00E71A7E">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除专用合同条款另有约定外，工程量的计量按月进行。</w:t>
      </w:r>
    </w:p>
    <w:p w14:paraId="062850F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12.3.3 单价合同的计量</w:t>
      </w:r>
    </w:p>
    <w:p w14:paraId="25565D8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除专用合同条款另有约定外，单价合同的计量按照本项约定执行：</w:t>
      </w:r>
    </w:p>
    <w:p w14:paraId="1E9A538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（1）承包人应于每月25日向监理人报送上月20日至当月19日已完成的工程量报告，并附具进度付款申请单、已完成工程量报表和有关资料。</w:t>
      </w:r>
    </w:p>
    <w:p w14:paraId="4382757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0C10B276">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（3）监理人未在收到承包人提交的工程量报表后的7天内完成审核的，承包人报送的工程量报告中的工程量视为承包人实际完成的工程量，据此计算工程价款。</w:t>
      </w:r>
    </w:p>
    <w:p w14:paraId="758F7FED">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12.3.4 总价合同的计量</w:t>
      </w:r>
    </w:p>
    <w:p w14:paraId="6AA608EE">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除专用合同条款另有约定外，按月计量支付的总价合同，按照本项约定执行：</w:t>
      </w:r>
    </w:p>
    <w:p w14:paraId="5E73D48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（1）承包人应于每月25日向监理人报送上月20日至当月19日已完成的工程量报告，并附具进度付款申请单、已完成工程量报表和有关资料。</w:t>
      </w:r>
    </w:p>
    <w:p w14:paraId="348F60A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3C9201E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（3）监理人未在收到承包人提交的工程量报表后的7天内完成复核的，承包人提交的工程量报告中的工程量视为承包人实际完成的工程量。</w:t>
      </w:r>
    </w:p>
    <w:p w14:paraId="34D4B9C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12.3.5 总价合同采用支付分解表计量支付的，可以按照第12.3.4项〔总价合同的计量〕约定进行计量，但合同价款按照支付分解表进行支付。</w:t>
      </w:r>
    </w:p>
    <w:p w14:paraId="3C60D67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12.3.6 其他价格形式合同的计量</w:t>
      </w:r>
    </w:p>
    <w:p w14:paraId="1CE53227">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合同当事人可在专用合同条款中约定其他价格形式合同的计量方式和程序。</w:t>
      </w:r>
    </w:p>
    <w:p w14:paraId="57F83498">
      <w:pPr>
        <w:pStyle w:val="5"/>
        <w:adjustRightInd w:val="0"/>
        <w:snapToGrid w:val="0"/>
        <w:spacing w:line="440" w:lineRule="exact"/>
        <w:ind w:firstLine="480" w:firstLineChars="200"/>
        <w:rPr>
          <w:rFonts w:hint="eastAsia" w:ascii="仿宋" w:hAnsi="仿宋" w:eastAsia="仿宋" w:cs="仿宋"/>
          <w:szCs w:val="24"/>
          <w:highlight w:val="none"/>
        </w:rPr>
      </w:pPr>
      <w:bookmarkStart w:id="520" w:name="_Toc296503101"/>
      <w:bookmarkStart w:id="521" w:name="_Toc296346602"/>
      <w:bookmarkStart w:id="522" w:name="_Toc351203584"/>
      <w:bookmarkStart w:id="523" w:name="_Toc337558803"/>
      <w:r>
        <w:rPr>
          <w:rFonts w:hint="eastAsia" w:ascii="仿宋" w:hAnsi="仿宋" w:eastAsia="仿宋" w:cs="仿宋"/>
          <w:szCs w:val="24"/>
          <w:highlight w:val="none"/>
        </w:rPr>
        <w:t>12.4工程进度款支</w:t>
      </w:r>
      <w:bookmarkEnd w:id="520"/>
      <w:bookmarkEnd w:id="521"/>
      <w:r>
        <w:rPr>
          <w:rFonts w:hint="eastAsia" w:ascii="仿宋" w:hAnsi="仿宋" w:eastAsia="仿宋" w:cs="仿宋"/>
          <w:szCs w:val="24"/>
          <w:highlight w:val="none"/>
        </w:rPr>
        <w:t>付</w:t>
      </w:r>
      <w:bookmarkEnd w:id="522"/>
    </w:p>
    <w:bookmarkEnd w:id="523"/>
    <w:p w14:paraId="32E25D5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12.4</w:t>
      </w:r>
      <w:r>
        <w:rPr>
          <w:rFonts w:hint="eastAsia" w:ascii="仿宋" w:hAnsi="仿宋" w:eastAsia="仿宋" w:cs="仿宋"/>
          <w:kern w:val="0"/>
          <w:sz w:val="24"/>
          <w:highlight w:val="none"/>
        </w:rPr>
        <w:t>.1 付款周期</w:t>
      </w:r>
    </w:p>
    <w:p w14:paraId="6B80176D">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除专用合同条款另有约定外，付款周期应按照第12.3.2项〔计量周期〕的约定与计量周期保持一致。</w:t>
      </w:r>
    </w:p>
    <w:p w14:paraId="016C198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12.4</w:t>
      </w:r>
      <w:r>
        <w:rPr>
          <w:rFonts w:hint="eastAsia" w:ascii="仿宋" w:hAnsi="仿宋" w:eastAsia="仿宋" w:cs="仿宋"/>
          <w:kern w:val="0"/>
          <w:sz w:val="24"/>
          <w:highlight w:val="none"/>
        </w:rPr>
        <w:t>.2 进度付款申请单的编制</w:t>
      </w:r>
    </w:p>
    <w:p w14:paraId="7D2B5A1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除专用合同条款另有约定外，进度付款申请单应包括下列内容：</w:t>
      </w:r>
    </w:p>
    <w:p w14:paraId="715D509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（1）截至本次付款周期已完成工作对应的金额；</w:t>
      </w:r>
    </w:p>
    <w:p w14:paraId="32C6828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（2）根据第10条〔变更〕应增加和扣减的变更金额；</w:t>
      </w:r>
    </w:p>
    <w:p w14:paraId="136826C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（3）根据第12.2款〔预付款〕约定应支付的预付款和扣减的返还预付款；</w:t>
      </w:r>
    </w:p>
    <w:p w14:paraId="71CA97D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（4）根据第15.3款〔质量保证金〕约定应扣减的质量保证金；</w:t>
      </w:r>
    </w:p>
    <w:p w14:paraId="47D87FE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（5）根据第19条〔索赔〕应增加和扣减的索赔金额；</w:t>
      </w:r>
    </w:p>
    <w:p w14:paraId="4F338A0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（6）对已签发的进度款支付证书中出现错误的修正，应在本次进度付款中支付或扣除的金额；</w:t>
      </w:r>
    </w:p>
    <w:p w14:paraId="76FC5A0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（7）根据合同约定应增加和扣减的其他金额。</w:t>
      </w:r>
    </w:p>
    <w:p w14:paraId="44D8F38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12.4.3 进度付款申请单的提交</w:t>
      </w:r>
    </w:p>
    <w:p w14:paraId="4B7F733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（1）单价合同进度付款申请单的提交</w:t>
      </w:r>
    </w:p>
    <w:p w14:paraId="1A91036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0250AC6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（2）总价合同进度付款申请单的提交</w:t>
      </w:r>
    </w:p>
    <w:p w14:paraId="7A1B801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总价合同按月计量支付的，承包人按照第12.3.4项〔总价合同的计量〕约定的时间按月向监理人提交进度付款申请单，并附上已完成工程量报表和有关资料。</w:t>
      </w:r>
    </w:p>
    <w:p w14:paraId="459B908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总价合同按支付分解表支付的，承包人应按照第12.4.6项〔支付分解表〕及第12.4.2项〔进度付款申请单的编制〕的约定向监理人提交进度付款申请单。</w:t>
      </w:r>
    </w:p>
    <w:p w14:paraId="3A2F01F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（3）其他价格形式合同的进度付款申请单的提交</w:t>
      </w:r>
    </w:p>
    <w:p w14:paraId="183D0F1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合同当事人可在专用合同条款中约定其他价格形式合同的进度付款申请单的编制和提交程序。</w:t>
      </w:r>
    </w:p>
    <w:p w14:paraId="59581B7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12.4</w:t>
      </w:r>
      <w:r>
        <w:rPr>
          <w:rFonts w:hint="eastAsia" w:ascii="仿宋" w:hAnsi="仿宋" w:eastAsia="仿宋" w:cs="仿宋"/>
          <w:kern w:val="0"/>
          <w:sz w:val="24"/>
          <w:highlight w:val="none"/>
        </w:rPr>
        <w:t>.4 进度款审核和支付</w:t>
      </w:r>
    </w:p>
    <w:p w14:paraId="25BDA43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18A1B8E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246C662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（2）除专用合同条款另有约定外，发包人应在进度款支付证书或临时进度款支付证书签发后14天内完成支付，发包人逾期支付进度款的，应按照中国人民银行发布的同期同类贷款基准利率支付违约金。</w:t>
      </w:r>
    </w:p>
    <w:p w14:paraId="5A74A2D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（3）发包人签发进度款支付证书或临时进度款支付证书，不表明发包人已同意、批准或接受了承包人完成的相应部分的工作。</w:t>
      </w:r>
    </w:p>
    <w:p w14:paraId="47E26F3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12.4.5 进度付款的修正</w:t>
      </w:r>
    </w:p>
    <w:p w14:paraId="0EA8205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在对已签发的进度款支付证书进行阶段汇总和复核中发现错误、遗漏或重复的，发包人和承包人均有权提出修正申请。经发包人和承包人同意的修正，应在下期进度付款中支付或扣除。</w:t>
      </w:r>
    </w:p>
    <w:p w14:paraId="74084C4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12.4.6 支付分解表</w:t>
      </w:r>
    </w:p>
    <w:p w14:paraId="7165449E">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1.支付分解表的编制要求</w:t>
      </w:r>
    </w:p>
    <w:p w14:paraId="64EFE727">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（1）支付分解表中所列的每期付款金额，应为第12.4.2项〔进度付款申请单的编制〕第（1）目的估算金额；</w:t>
      </w:r>
    </w:p>
    <w:p w14:paraId="488673E7">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（2）实际进度与施工进度计划不一致的，合同当事人可按照第4.4款〔商定或确定〕修改支付分解表；</w:t>
      </w:r>
    </w:p>
    <w:p w14:paraId="1DD4D3E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（3）不采用支付分解表的，承包人应向发包人和监理人提交按季度编制的支付估算分解表，用于支付参考。</w:t>
      </w:r>
    </w:p>
    <w:p w14:paraId="05DF1146">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2.总价合同支付分解表的编制与审批</w:t>
      </w:r>
    </w:p>
    <w:p w14:paraId="3F38A3F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5FCD335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（2）监理人应在收到支付分解表后7天内完成审核并报送发包人。发包人应在收到经监理人审核的支付分解表后7天内完成审批，经发包人批准的支付分解表为有约束力的支付分解表。</w:t>
      </w:r>
    </w:p>
    <w:p w14:paraId="41E128FA">
      <w:pPr>
        <w:adjustRightInd w:val="0"/>
        <w:snapToGrid w:val="0"/>
        <w:spacing w:line="440" w:lineRule="exact"/>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    （3）发包人逾期未完成支付分解表审批的，也未及时要求承包人进行修正和提供补充资料的，则承包人提交的支付分解表视为已经获得发包人批准。</w:t>
      </w:r>
    </w:p>
    <w:p w14:paraId="1F7F644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3.单价合同的总价项目支付分解表的编制与审批</w:t>
      </w:r>
    </w:p>
    <w:p w14:paraId="0DD78449">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2C2CC6D3">
      <w:pPr>
        <w:pStyle w:val="5"/>
        <w:adjustRightInd w:val="0"/>
        <w:snapToGrid w:val="0"/>
        <w:spacing w:line="440" w:lineRule="exact"/>
        <w:ind w:firstLine="480" w:firstLineChars="200"/>
        <w:rPr>
          <w:rFonts w:hint="eastAsia" w:ascii="仿宋" w:hAnsi="仿宋" w:eastAsia="仿宋" w:cs="仿宋"/>
          <w:szCs w:val="24"/>
          <w:highlight w:val="none"/>
        </w:rPr>
      </w:pPr>
      <w:bookmarkStart w:id="524" w:name="_Toc351203585"/>
      <w:r>
        <w:rPr>
          <w:rFonts w:hint="eastAsia" w:ascii="仿宋" w:hAnsi="仿宋" w:eastAsia="仿宋" w:cs="仿宋"/>
          <w:szCs w:val="24"/>
          <w:highlight w:val="none"/>
        </w:rPr>
        <w:t>12.5支付账户</w:t>
      </w:r>
      <w:bookmarkEnd w:id="524"/>
    </w:p>
    <w:p w14:paraId="173CFBED">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发包人应将合同价款支付至合同协议书中约定的承包人账户。</w:t>
      </w:r>
    </w:p>
    <w:p w14:paraId="5CA7415F">
      <w:pPr>
        <w:pStyle w:val="4"/>
        <w:adjustRightInd w:val="0"/>
        <w:snapToGrid w:val="0"/>
        <w:spacing w:before="0" w:after="0" w:line="440" w:lineRule="exact"/>
        <w:rPr>
          <w:rFonts w:hint="eastAsia" w:ascii="仿宋" w:hAnsi="仿宋" w:eastAsia="仿宋" w:cs="仿宋"/>
          <w:sz w:val="24"/>
          <w:szCs w:val="24"/>
          <w:highlight w:val="none"/>
        </w:rPr>
      </w:pPr>
      <w:bookmarkStart w:id="525" w:name="_Toc351203586"/>
      <w:bookmarkStart w:id="526" w:name="_Toc296503106"/>
      <w:bookmarkStart w:id="527" w:name="_Toc337558804"/>
      <w:bookmarkStart w:id="528" w:name="_Toc296346607"/>
      <w:bookmarkStart w:id="529" w:name="_Toc322522574"/>
      <w:r>
        <w:rPr>
          <w:rFonts w:hint="eastAsia" w:ascii="仿宋" w:hAnsi="仿宋" w:eastAsia="仿宋" w:cs="仿宋"/>
          <w:sz w:val="24"/>
          <w:szCs w:val="24"/>
          <w:highlight w:val="none"/>
        </w:rPr>
        <w:t>13. 验收和工程试车</w:t>
      </w:r>
      <w:bookmarkEnd w:id="525"/>
    </w:p>
    <w:bookmarkEnd w:id="526"/>
    <w:bookmarkEnd w:id="527"/>
    <w:bookmarkEnd w:id="528"/>
    <w:bookmarkEnd w:id="529"/>
    <w:p w14:paraId="05022FBA">
      <w:pPr>
        <w:pStyle w:val="5"/>
        <w:adjustRightInd w:val="0"/>
        <w:snapToGrid w:val="0"/>
        <w:spacing w:line="440" w:lineRule="exact"/>
        <w:ind w:firstLine="480" w:firstLineChars="200"/>
        <w:rPr>
          <w:rFonts w:hint="eastAsia" w:ascii="仿宋" w:hAnsi="仿宋" w:eastAsia="仿宋" w:cs="仿宋"/>
          <w:szCs w:val="24"/>
          <w:highlight w:val="none"/>
        </w:rPr>
      </w:pPr>
      <w:bookmarkStart w:id="530" w:name="_Toc351203587"/>
      <w:bookmarkStart w:id="531" w:name="_Toc337558805"/>
      <w:bookmarkStart w:id="532" w:name="_Toc296346611"/>
      <w:bookmarkStart w:id="533" w:name="_Toc296503110"/>
      <w:r>
        <w:rPr>
          <w:rFonts w:hint="eastAsia" w:ascii="仿宋" w:hAnsi="仿宋" w:eastAsia="仿宋" w:cs="仿宋"/>
          <w:szCs w:val="24"/>
          <w:highlight w:val="none"/>
        </w:rPr>
        <w:t>13.1分部分项工程验收</w:t>
      </w:r>
      <w:bookmarkEnd w:id="530"/>
    </w:p>
    <w:bookmarkEnd w:id="531"/>
    <w:p w14:paraId="4E9949D5">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13.1.1 分部分项工程质量应符合国家有关工程施工验收规范、标准及合同约定，承包人应按照施工组织设计的要求完成分部分项工程施工。</w:t>
      </w:r>
    </w:p>
    <w:p w14:paraId="3F308670">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13.1.2 除专用合同条款另有约定外，分部分项工程经承包人自检合格并具备验收条件的，承包人应提前48小时通知监理人进行验收。</w:t>
      </w:r>
      <w:r>
        <w:rPr>
          <w:rFonts w:hint="eastAsia" w:ascii="仿宋" w:hAnsi="仿宋" w:eastAsia="仿宋" w:cs="仿宋"/>
          <w:kern w:val="0"/>
          <w:sz w:val="24"/>
          <w:highlight w:val="none"/>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仿宋" w:hAnsi="仿宋" w:eastAsia="仿宋" w:cs="仿宋"/>
          <w:sz w:val="24"/>
          <w:highlight w:val="none"/>
        </w:rPr>
        <w:t>分部分项工程未经验收的，不得进入下一道工序施工。</w:t>
      </w:r>
    </w:p>
    <w:p w14:paraId="095AA3AE">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分部分项工程的验收资料应当作为竣工资料的组成部分。</w:t>
      </w:r>
    </w:p>
    <w:p w14:paraId="0FE89025">
      <w:pPr>
        <w:pStyle w:val="5"/>
        <w:adjustRightInd w:val="0"/>
        <w:snapToGrid w:val="0"/>
        <w:spacing w:line="440" w:lineRule="exact"/>
        <w:ind w:firstLine="480" w:firstLineChars="200"/>
        <w:rPr>
          <w:rFonts w:hint="eastAsia" w:ascii="仿宋" w:hAnsi="仿宋" w:eastAsia="仿宋" w:cs="仿宋"/>
          <w:szCs w:val="24"/>
          <w:highlight w:val="none"/>
        </w:rPr>
      </w:pPr>
      <w:bookmarkStart w:id="534" w:name="_Toc351203588"/>
      <w:bookmarkStart w:id="535" w:name="_Toc337558806"/>
      <w:r>
        <w:rPr>
          <w:rFonts w:hint="eastAsia" w:ascii="仿宋" w:hAnsi="仿宋" w:eastAsia="仿宋" w:cs="仿宋"/>
          <w:szCs w:val="24"/>
          <w:highlight w:val="none"/>
        </w:rPr>
        <w:t>13.2竣工验收</w:t>
      </w:r>
      <w:bookmarkEnd w:id="534"/>
    </w:p>
    <w:bookmarkEnd w:id="532"/>
    <w:bookmarkEnd w:id="533"/>
    <w:bookmarkEnd w:id="535"/>
    <w:p w14:paraId="3053C33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13.2.1竣工验收条件</w:t>
      </w:r>
    </w:p>
    <w:p w14:paraId="29A1866E">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工程具备以下条件的，承包人可以申请竣工验收：</w:t>
      </w:r>
    </w:p>
    <w:p w14:paraId="2F0DD2B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（1）除发包人同意的甩项工作和缺陷修补工作外，合同范围内的全部工程以及有关工作，包括合同要求的试验、试运行以及检验均已完成，并符合合同要求；</w:t>
      </w:r>
    </w:p>
    <w:p w14:paraId="26640629">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（2）已按合同约定编制了甩项工作和缺陷修补工作清单以及相应的施工计划；</w:t>
      </w:r>
    </w:p>
    <w:p w14:paraId="6E743486">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（3）已按合同约定的内容和份数备齐竣工资料。</w:t>
      </w:r>
    </w:p>
    <w:p w14:paraId="7E261AD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13.2.2竣工验收程序</w:t>
      </w:r>
    </w:p>
    <w:p w14:paraId="0FF6FD9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除专用合同条款另有约定外，承包人申请竣工验收的，应当按照以下程序进行：</w:t>
      </w:r>
    </w:p>
    <w:p w14:paraId="20270C2B">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660EE1F9">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6E99A84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（3）竣工验收合格的，发包人应在验收合格后14天内向承包人签发工程接收证书。发包人无正当理由逾期不颁发工程接收证书的，自验收合格后第15天起视为已颁发工程接收证书。</w:t>
      </w:r>
    </w:p>
    <w:p w14:paraId="07E6D1B0">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69AC4F3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6DFF717E">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除专用合同条款另有约定外，发包人不按照本项约定组织竣工验收、颁发工程接收证书的，每逾期一天，应以签约合同价为基数，按照中国人民银行发布的同期同类贷款基准利率支付违约金。</w:t>
      </w:r>
    </w:p>
    <w:p w14:paraId="4B14A9D3">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13.2.3竣工日期</w:t>
      </w:r>
    </w:p>
    <w:p w14:paraId="446B895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536" w:name="#go14"/>
      <w:bookmarkEnd w:id="536"/>
      <w:r>
        <w:rPr>
          <w:rFonts w:hint="eastAsia" w:ascii="仿宋" w:hAnsi="仿宋" w:eastAsia="仿宋" w:cs="仿宋"/>
          <w:kern w:val="0"/>
          <w:sz w:val="24"/>
          <w:highlight w:val="none"/>
        </w:rPr>
        <w:t>收申请报告的日期为实际竣工日期；工程未经竣工验收，发包人擅自使用的，以转移占有工程之日为实际竣工日期。</w:t>
      </w:r>
    </w:p>
    <w:p w14:paraId="12584F20">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13.2.4 拒绝接收全部或部分工程</w:t>
      </w:r>
    </w:p>
    <w:p w14:paraId="4B2B4ED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4059966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13.2.5 移交、接收全部与部分工程</w:t>
      </w:r>
    </w:p>
    <w:p w14:paraId="1936014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除专用合同条款另有约定外，合同当事人应当在颁发工程接收证书后7天内完成工程的移交。</w:t>
      </w:r>
    </w:p>
    <w:p w14:paraId="3F547F4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发包人无正当理由不接收工程的，发包人自应当接收工程之日起，承担工程照管、成品保护、保管等与工程有关的各项费用，合同当事人可以在专用合同条款中另行约定发包人逾期接收工程的违约责任。</w:t>
      </w:r>
    </w:p>
    <w:p w14:paraId="4EF890C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承包人无正当理由不移交工程的，承包人应承担工程照管、成品保护、保管等与工程有关的各项费用，合同当事人可以在专用合同条款中另行约定承包人无正当理由不移交工程的违约责任。</w:t>
      </w:r>
    </w:p>
    <w:p w14:paraId="1FA98874">
      <w:pPr>
        <w:pStyle w:val="5"/>
        <w:adjustRightInd w:val="0"/>
        <w:snapToGrid w:val="0"/>
        <w:spacing w:line="440" w:lineRule="exact"/>
        <w:ind w:firstLine="480" w:firstLineChars="200"/>
        <w:rPr>
          <w:rFonts w:hint="eastAsia" w:ascii="仿宋" w:hAnsi="仿宋" w:eastAsia="仿宋" w:cs="仿宋"/>
          <w:szCs w:val="24"/>
          <w:highlight w:val="none"/>
        </w:rPr>
      </w:pPr>
      <w:bookmarkStart w:id="537" w:name="_Toc351203589"/>
      <w:bookmarkStart w:id="538" w:name="_Toc296346612"/>
      <w:bookmarkStart w:id="539" w:name="_Toc296503111"/>
      <w:bookmarkStart w:id="540" w:name="_Toc337558807"/>
      <w:r>
        <w:rPr>
          <w:rFonts w:hint="eastAsia" w:ascii="仿宋" w:hAnsi="仿宋" w:eastAsia="仿宋" w:cs="仿宋"/>
          <w:szCs w:val="24"/>
          <w:highlight w:val="none"/>
        </w:rPr>
        <w:t>13.3工程试车</w:t>
      </w:r>
      <w:bookmarkEnd w:id="537"/>
    </w:p>
    <w:bookmarkEnd w:id="538"/>
    <w:bookmarkEnd w:id="539"/>
    <w:bookmarkEnd w:id="540"/>
    <w:p w14:paraId="79570EFB">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13.3.1试车程序</w:t>
      </w:r>
    </w:p>
    <w:p w14:paraId="5B67FDCD">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工程需要试车的，除专用合同条款另有约定外，试车内容应与承包人承包范围相一致，试车费用由承包人承担。工程试车应按如下程序进行：</w:t>
      </w:r>
    </w:p>
    <w:p w14:paraId="30C6B84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5151DA4E">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65FA38A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5F77A97E">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13.3.2 试车中的责任</w:t>
      </w:r>
    </w:p>
    <w:p w14:paraId="2C0F977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2FD86B53">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45A44F7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13.3.3 投料试车</w:t>
      </w:r>
    </w:p>
    <w:p w14:paraId="6A0128AC">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如需进行投料试车的，发包人应在工程竣工验收后组织投料试车。发包人要求在工程竣工验收前进行或需要承包人配合时，应征得承包人同意，并在专用合同条款中约定有关事项。</w:t>
      </w:r>
    </w:p>
    <w:p w14:paraId="50C47456">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7E6F3764">
      <w:pPr>
        <w:pStyle w:val="5"/>
        <w:adjustRightInd w:val="0"/>
        <w:snapToGrid w:val="0"/>
        <w:spacing w:line="440" w:lineRule="exact"/>
        <w:ind w:firstLine="480" w:firstLineChars="200"/>
        <w:rPr>
          <w:rFonts w:hint="eastAsia" w:ascii="仿宋" w:hAnsi="仿宋" w:eastAsia="仿宋" w:cs="仿宋"/>
          <w:szCs w:val="24"/>
          <w:highlight w:val="none"/>
        </w:rPr>
      </w:pPr>
      <w:bookmarkStart w:id="541" w:name="_Toc351203590"/>
      <w:bookmarkStart w:id="542" w:name="_Toc337558808"/>
      <w:r>
        <w:rPr>
          <w:rFonts w:hint="eastAsia" w:ascii="仿宋" w:hAnsi="仿宋" w:eastAsia="仿宋" w:cs="仿宋"/>
          <w:szCs w:val="24"/>
          <w:highlight w:val="none"/>
        </w:rPr>
        <w:t>13.4提前交付单位工程的验收</w:t>
      </w:r>
      <w:bookmarkEnd w:id="541"/>
    </w:p>
    <w:bookmarkEnd w:id="542"/>
    <w:p w14:paraId="6A8AD0F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13.4.1 发包人需要在工程竣工前使用单位工程的，或承包人提出提前交付已经竣工的单位工程且经发包人同意的，可进行单位工程验收，验收的程序按照第13.2款〔竣工验收〕的约定进行。</w:t>
      </w:r>
    </w:p>
    <w:p w14:paraId="5E539B0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验收合格后，由监理人向承包人出具经发包人签认的单位工程接收证书。已签发单位工程接收证书的单位工程由发包人负责照管。单位工程的验收成果和结论作为整体工程竣工验收申请报告的附件。</w:t>
      </w:r>
    </w:p>
    <w:p w14:paraId="3982211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13.4.2 发包人要求在工程竣工前交付单位工程，由此导致承包人费用增加和（或）工期延误的，由发包人承担由此增加的费用和（或）延误的工期，并支付承包人合理的利润。</w:t>
      </w:r>
    </w:p>
    <w:p w14:paraId="33C57300">
      <w:pPr>
        <w:pStyle w:val="5"/>
        <w:adjustRightInd w:val="0"/>
        <w:snapToGrid w:val="0"/>
        <w:spacing w:line="440" w:lineRule="exact"/>
        <w:ind w:firstLine="480" w:firstLineChars="200"/>
        <w:rPr>
          <w:rFonts w:hint="eastAsia" w:ascii="仿宋" w:hAnsi="仿宋" w:eastAsia="仿宋" w:cs="仿宋"/>
          <w:szCs w:val="24"/>
          <w:highlight w:val="none"/>
        </w:rPr>
      </w:pPr>
      <w:bookmarkStart w:id="543" w:name="_Toc351203591"/>
      <w:r>
        <w:rPr>
          <w:rFonts w:hint="eastAsia" w:ascii="仿宋" w:hAnsi="仿宋" w:eastAsia="仿宋" w:cs="仿宋"/>
          <w:szCs w:val="24"/>
          <w:highlight w:val="none"/>
        </w:rPr>
        <w:t>13.5 施工期运行</w:t>
      </w:r>
      <w:bookmarkEnd w:id="543"/>
    </w:p>
    <w:p w14:paraId="4700F677">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76FFD743">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13.5.2 在施工期运行中发现工程或工程设备损坏或存在缺陷的，由承包人按第15.2款〔缺陷责任期〕约定进行修复。</w:t>
      </w:r>
    </w:p>
    <w:p w14:paraId="548E379D">
      <w:pPr>
        <w:pStyle w:val="5"/>
        <w:adjustRightInd w:val="0"/>
        <w:snapToGrid w:val="0"/>
        <w:spacing w:line="440" w:lineRule="exact"/>
        <w:ind w:firstLine="480" w:firstLineChars="200"/>
        <w:rPr>
          <w:rFonts w:hint="eastAsia" w:ascii="仿宋" w:hAnsi="仿宋" w:eastAsia="仿宋" w:cs="仿宋"/>
          <w:szCs w:val="24"/>
          <w:highlight w:val="none"/>
        </w:rPr>
      </w:pPr>
      <w:bookmarkStart w:id="544" w:name="_Toc296346613"/>
      <w:bookmarkStart w:id="545" w:name="_Toc296503112"/>
      <w:bookmarkStart w:id="546" w:name="_Toc351203592"/>
      <w:bookmarkStart w:id="547" w:name="_Toc337558809"/>
      <w:r>
        <w:rPr>
          <w:rFonts w:hint="eastAsia" w:ascii="仿宋" w:hAnsi="仿宋" w:eastAsia="仿宋" w:cs="仿宋"/>
          <w:szCs w:val="24"/>
          <w:highlight w:val="none"/>
        </w:rPr>
        <w:t>13.6 竣工退</w:t>
      </w:r>
      <w:bookmarkEnd w:id="544"/>
      <w:bookmarkEnd w:id="545"/>
      <w:r>
        <w:rPr>
          <w:rFonts w:hint="eastAsia" w:ascii="仿宋" w:hAnsi="仿宋" w:eastAsia="仿宋" w:cs="仿宋"/>
          <w:szCs w:val="24"/>
          <w:highlight w:val="none"/>
        </w:rPr>
        <w:t>场</w:t>
      </w:r>
      <w:bookmarkEnd w:id="546"/>
    </w:p>
    <w:bookmarkEnd w:id="547"/>
    <w:p w14:paraId="7B4933FC">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13.6.1 竣工退场</w:t>
      </w:r>
    </w:p>
    <w:p w14:paraId="59C9D6F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颁发工程接收证书后，承包人应按以下要求对施工现场进行清理：</w:t>
      </w:r>
    </w:p>
    <w:p w14:paraId="7BAE7AFC">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（1）施工现场内残留的垃圾已全部清除出场；</w:t>
      </w:r>
    </w:p>
    <w:p w14:paraId="2CA40E0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（2）临时工程已拆除，场地已进行清理、平整或复原；</w:t>
      </w:r>
    </w:p>
    <w:p w14:paraId="297CD6F9">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（3）按合同约定应撤离的人员、承包人施工设备和剩余的材料，包括废弃的施工设备和材料，已按计划撤离施工现场；</w:t>
      </w:r>
    </w:p>
    <w:p w14:paraId="30C90610">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（4）施工现场周边及其附近道路、河道的施工堆积物，已全部清理；</w:t>
      </w:r>
    </w:p>
    <w:p w14:paraId="2A06F60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（5）施工现场其他场地清理工作已全部完成。</w:t>
      </w:r>
    </w:p>
    <w:p w14:paraId="69555B99">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21B429F3">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13.6.2 地表还原</w:t>
      </w:r>
    </w:p>
    <w:p w14:paraId="48AB568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41AE91DA">
      <w:pPr>
        <w:pStyle w:val="4"/>
        <w:adjustRightInd w:val="0"/>
        <w:snapToGrid w:val="0"/>
        <w:spacing w:before="0" w:after="0" w:line="440" w:lineRule="exact"/>
        <w:rPr>
          <w:rFonts w:hint="eastAsia" w:ascii="仿宋" w:hAnsi="仿宋" w:eastAsia="仿宋" w:cs="仿宋"/>
          <w:sz w:val="24"/>
          <w:szCs w:val="24"/>
          <w:highlight w:val="none"/>
        </w:rPr>
      </w:pPr>
      <w:bookmarkStart w:id="548" w:name="_Toc351203593"/>
      <w:bookmarkStart w:id="549" w:name="_Toc337558810"/>
      <w:bookmarkStart w:id="550" w:name="_Toc296503113"/>
      <w:bookmarkStart w:id="551" w:name="_Toc296346614"/>
      <w:r>
        <w:rPr>
          <w:rFonts w:hint="eastAsia" w:ascii="仿宋" w:hAnsi="仿宋" w:eastAsia="仿宋" w:cs="仿宋"/>
          <w:sz w:val="24"/>
          <w:szCs w:val="24"/>
          <w:highlight w:val="none"/>
        </w:rPr>
        <w:t>14. 竣工结算</w:t>
      </w:r>
      <w:bookmarkEnd w:id="548"/>
    </w:p>
    <w:bookmarkEnd w:id="549"/>
    <w:p w14:paraId="7A9AF785">
      <w:pPr>
        <w:pStyle w:val="5"/>
        <w:adjustRightInd w:val="0"/>
        <w:snapToGrid w:val="0"/>
        <w:spacing w:line="440" w:lineRule="exact"/>
        <w:ind w:firstLine="480" w:firstLineChars="200"/>
        <w:rPr>
          <w:rFonts w:hint="eastAsia" w:ascii="仿宋" w:hAnsi="仿宋" w:eastAsia="仿宋" w:cs="仿宋"/>
          <w:szCs w:val="24"/>
          <w:highlight w:val="none"/>
        </w:rPr>
      </w:pPr>
      <w:bookmarkStart w:id="552" w:name="_Toc351203594"/>
      <w:bookmarkStart w:id="553" w:name="_Toc337558811"/>
      <w:r>
        <w:rPr>
          <w:rFonts w:hint="eastAsia" w:ascii="仿宋" w:hAnsi="仿宋" w:eastAsia="仿宋" w:cs="仿宋"/>
          <w:szCs w:val="24"/>
          <w:highlight w:val="none"/>
        </w:rPr>
        <w:t>14.1 竣工结算申请</w:t>
      </w:r>
      <w:bookmarkEnd w:id="552"/>
    </w:p>
    <w:bookmarkEnd w:id="553"/>
    <w:p w14:paraId="44DCC172">
      <w:pPr>
        <w:autoSpaceDE w:val="0"/>
        <w:autoSpaceDN w:val="0"/>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除专用合同条款另有约定外，</w:t>
      </w:r>
      <w:r>
        <w:rPr>
          <w:rFonts w:hint="eastAsia" w:ascii="仿宋" w:hAnsi="仿宋" w:eastAsia="仿宋" w:cs="仿宋"/>
          <w:sz w:val="24"/>
          <w:highlight w:val="none"/>
        </w:rPr>
        <w:t>承包人应在工程竣工验收合格后28天内向发包人和监理人提交竣工结算申请单，并提交完整的结算资料，有关竣工结算申请单的资料清单和份数等要求由合同当事人在专用合同条款中约定。</w:t>
      </w:r>
    </w:p>
    <w:p w14:paraId="0E28724F">
      <w:pPr>
        <w:autoSpaceDE w:val="0"/>
        <w:autoSpaceDN w:val="0"/>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除专用合同条款另有约定外，竣工结算申请单应包括以下内容：</w:t>
      </w:r>
    </w:p>
    <w:p w14:paraId="6E6F5746">
      <w:pPr>
        <w:autoSpaceDE w:val="0"/>
        <w:autoSpaceDN w:val="0"/>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（1）竣工结算合同价格；</w:t>
      </w:r>
    </w:p>
    <w:p w14:paraId="573D9CC2">
      <w:pPr>
        <w:autoSpaceDE w:val="0"/>
        <w:autoSpaceDN w:val="0"/>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（2）发包人已支付承包人的款项；</w:t>
      </w:r>
    </w:p>
    <w:p w14:paraId="37E6685B">
      <w:pPr>
        <w:autoSpaceDE w:val="0"/>
        <w:autoSpaceDN w:val="0"/>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 xml:space="preserve">（3）应扣留的质量保证金。已缴纳履约保证金的或提供其他工程质量担保方式的除外； </w:t>
      </w:r>
    </w:p>
    <w:p w14:paraId="362157EC">
      <w:pPr>
        <w:autoSpaceDE w:val="0"/>
        <w:autoSpaceDN w:val="0"/>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（4）发包人应支付承包人的合同价款。</w:t>
      </w:r>
    </w:p>
    <w:p w14:paraId="122B990B">
      <w:pPr>
        <w:pStyle w:val="5"/>
        <w:adjustRightInd w:val="0"/>
        <w:snapToGrid w:val="0"/>
        <w:spacing w:line="440" w:lineRule="exact"/>
        <w:ind w:firstLine="480" w:firstLineChars="200"/>
        <w:rPr>
          <w:rFonts w:hint="eastAsia" w:ascii="仿宋" w:hAnsi="仿宋" w:eastAsia="仿宋" w:cs="仿宋"/>
          <w:szCs w:val="24"/>
          <w:highlight w:val="none"/>
        </w:rPr>
      </w:pPr>
      <w:bookmarkStart w:id="554" w:name="_Toc351203595"/>
      <w:bookmarkStart w:id="555" w:name="_Toc337558812"/>
      <w:r>
        <w:rPr>
          <w:rFonts w:hint="eastAsia" w:ascii="仿宋" w:hAnsi="仿宋" w:eastAsia="仿宋" w:cs="仿宋"/>
          <w:szCs w:val="24"/>
          <w:highlight w:val="none"/>
        </w:rPr>
        <w:t>14.2 竣工结算审核</w:t>
      </w:r>
      <w:bookmarkEnd w:id="554"/>
    </w:p>
    <w:bookmarkEnd w:id="555"/>
    <w:p w14:paraId="06D07A6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仿宋" w:hAnsi="仿宋" w:eastAsia="仿宋" w:cs="仿宋"/>
          <w:sz w:val="24"/>
          <w:highlight w:val="none"/>
        </w:rPr>
        <w:t>发包人对竣工</w:t>
      </w:r>
      <w:r>
        <w:rPr>
          <w:rFonts w:hint="eastAsia" w:ascii="仿宋" w:hAnsi="仿宋" w:eastAsia="仿宋" w:cs="仿宋"/>
          <w:kern w:val="0"/>
          <w:sz w:val="24"/>
          <w:highlight w:val="none"/>
        </w:rPr>
        <w:t>结算</w:t>
      </w:r>
      <w:r>
        <w:rPr>
          <w:rFonts w:hint="eastAsia" w:ascii="仿宋" w:hAnsi="仿宋" w:eastAsia="仿宋" w:cs="仿宋"/>
          <w:sz w:val="24"/>
          <w:highlight w:val="none"/>
        </w:rPr>
        <w:t>申请单有异议的，有权要求承包人进行修正和提供补充资料，承包人应提交修正后的竣工</w:t>
      </w:r>
      <w:r>
        <w:rPr>
          <w:rFonts w:hint="eastAsia" w:ascii="仿宋" w:hAnsi="仿宋" w:eastAsia="仿宋" w:cs="仿宋"/>
          <w:kern w:val="0"/>
          <w:sz w:val="24"/>
          <w:highlight w:val="none"/>
        </w:rPr>
        <w:t>结算</w:t>
      </w:r>
      <w:r>
        <w:rPr>
          <w:rFonts w:hint="eastAsia" w:ascii="仿宋" w:hAnsi="仿宋" w:eastAsia="仿宋" w:cs="仿宋"/>
          <w:sz w:val="24"/>
          <w:highlight w:val="none"/>
        </w:rPr>
        <w:t>申请单。</w:t>
      </w:r>
    </w:p>
    <w:p w14:paraId="6A41227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4313291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07A4A2F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21D526A7">
      <w:pPr>
        <w:pStyle w:val="5"/>
        <w:adjustRightInd w:val="0"/>
        <w:snapToGrid w:val="0"/>
        <w:spacing w:line="440" w:lineRule="exact"/>
        <w:ind w:firstLine="480" w:firstLineChars="200"/>
        <w:rPr>
          <w:rFonts w:hint="eastAsia" w:ascii="仿宋" w:hAnsi="仿宋" w:eastAsia="仿宋" w:cs="仿宋"/>
          <w:szCs w:val="24"/>
          <w:highlight w:val="none"/>
        </w:rPr>
      </w:pPr>
      <w:bookmarkStart w:id="556" w:name="_Toc351203596"/>
      <w:bookmarkStart w:id="557" w:name="_Toc337558813"/>
      <w:r>
        <w:rPr>
          <w:rFonts w:hint="eastAsia" w:ascii="仿宋" w:hAnsi="仿宋" w:eastAsia="仿宋" w:cs="仿宋"/>
          <w:szCs w:val="24"/>
          <w:highlight w:val="none"/>
        </w:rPr>
        <w:t>14.3 甩项竣工协议</w:t>
      </w:r>
      <w:bookmarkEnd w:id="556"/>
    </w:p>
    <w:bookmarkEnd w:id="557"/>
    <w:p w14:paraId="7BC894CB">
      <w:pPr>
        <w:autoSpaceDE w:val="0"/>
        <w:autoSpaceDN w:val="0"/>
        <w:adjustRightInd w:val="0"/>
        <w:snapToGrid w:val="0"/>
        <w:spacing w:line="440" w:lineRule="exact"/>
        <w:ind w:firstLine="470" w:firstLineChars="196"/>
        <w:jc w:val="left"/>
        <w:rPr>
          <w:rFonts w:hint="eastAsia" w:ascii="仿宋" w:hAnsi="仿宋" w:eastAsia="仿宋" w:cs="仿宋"/>
          <w:kern w:val="0"/>
          <w:sz w:val="24"/>
          <w:highlight w:val="none"/>
        </w:rPr>
      </w:pPr>
      <w:r>
        <w:rPr>
          <w:rFonts w:hint="eastAsia" w:ascii="仿宋" w:hAnsi="仿宋" w:eastAsia="仿宋" w:cs="仿宋"/>
          <w:sz w:val="24"/>
          <w:highlight w:val="none"/>
        </w:rPr>
        <w:t>发包人要求甩项竣工的，合同当事人应签订甩项竣工协议。在甩项竣工协议中应明确，合同当事人按照第14.1款〔竣工结算申请〕及14.2款〔竣工结算审核〕的约定，对已完合格工程进行结算，并支付相应合同价款。</w:t>
      </w:r>
    </w:p>
    <w:p w14:paraId="0FFF552F">
      <w:pPr>
        <w:pStyle w:val="5"/>
        <w:adjustRightInd w:val="0"/>
        <w:snapToGrid w:val="0"/>
        <w:spacing w:line="440" w:lineRule="exact"/>
        <w:ind w:firstLine="480" w:firstLineChars="200"/>
        <w:rPr>
          <w:rFonts w:hint="eastAsia" w:ascii="仿宋" w:hAnsi="仿宋" w:eastAsia="仿宋" w:cs="仿宋"/>
          <w:szCs w:val="24"/>
          <w:highlight w:val="none"/>
        </w:rPr>
      </w:pPr>
      <w:bookmarkStart w:id="558" w:name="_Toc351203597"/>
      <w:bookmarkStart w:id="559" w:name="_Toc337558814"/>
      <w:r>
        <w:rPr>
          <w:rFonts w:hint="eastAsia" w:ascii="仿宋" w:hAnsi="仿宋" w:eastAsia="仿宋" w:cs="仿宋"/>
          <w:szCs w:val="24"/>
          <w:highlight w:val="none"/>
        </w:rPr>
        <w:t>14.4 最终结清</w:t>
      </w:r>
      <w:bookmarkEnd w:id="558"/>
    </w:p>
    <w:bookmarkEnd w:id="559"/>
    <w:p w14:paraId="558F3C2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14.4.1 最终结清申请单</w:t>
      </w:r>
    </w:p>
    <w:p w14:paraId="1FE049A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（1）除专用合同条款另有约定外，承包人应在缺陷责任期终止证书颁发后7天内，按专用合同条款约定的份数向发包人提交最终结清申请单，并提供相关证明材料。</w:t>
      </w:r>
    </w:p>
    <w:p w14:paraId="60591494">
      <w:pPr>
        <w:autoSpaceDE w:val="0"/>
        <w:autoSpaceDN w:val="0"/>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除专用合同条款另有约定外，</w:t>
      </w:r>
      <w:r>
        <w:rPr>
          <w:rFonts w:hint="eastAsia" w:ascii="仿宋" w:hAnsi="仿宋" w:eastAsia="仿宋" w:cs="仿宋"/>
          <w:kern w:val="0"/>
          <w:sz w:val="24"/>
          <w:highlight w:val="none"/>
        </w:rPr>
        <w:t>最终结清申请单</w:t>
      </w:r>
      <w:r>
        <w:rPr>
          <w:rFonts w:hint="eastAsia" w:ascii="仿宋" w:hAnsi="仿宋" w:eastAsia="仿宋" w:cs="仿宋"/>
          <w:sz w:val="24"/>
          <w:highlight w:val="none"/>
        </w:rPr>
        <w:t>应列明质量保证金、应扣除的质量保证金、缺陷责任期内发生的增减费用。</w:t>
      </w:r>
    </w:p>
    <w:p w14:paraId="5676D7F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（2）发包人对最终结清申请单内容有异议的，有权要求承包人进行修正和提供补充资料，承包人应向发包人提交修正后的最终结清申请单。</w:t>
      </w:r>
    </w:p>
    <w:p w14:paraId="482415C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14.4.2 最终结清证书和支付</w:t>
      </w:r>
    </w:p>
    <w:p w14:paraId="72A7807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5FE7FE4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4A068C6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（3）承包人对发包人颁发的最终结清证书有异议的，按第20条〔争议解决〕的约定办理。</w:t>
      </w:r>
    </w:p>
    <w:p w14:paraId="309081F5">
      <w:pPr>
        <w:pStyle w:val="4"/>
        <w:adjustRightInd w:val="0"/>
        <w:snapToGrid w:val="0"/>
        <w:spacing w:before="0" w:after="0" w:line="440" w:lineRule="exact"/>
        <w:rPr>
          <w:rFonts w:hint="eastAsia" w:ascii="仿宋" w:hAnsi="仿宋" w:eastAsia="仿宋" w:cs="仿宋"/>
          <w:sz w:val="24"/>
          <w:szCs w:val="24"/>
          <w:highlight w:val="none"/>
        </w:rPr>
      </w:pPr>
      <w:bookmarkStart w:id="560" w:name="_Toc351203598"/>
      <w:bookmarkStart w:id="561" w:name="_Toc337558815"/>
      <w:r>
        <w:rPr>
          <w:rFonts w:hint="eastAsia" w:ascii="仿宋" w:hAnsi="仿宋" w:eastAsia="仿宋" w:cs="仿宋"/>
          <w:sz w:val="24"/>
          <w:szCs w:val="24"/>
          <w:highlight w:val="none"/>
        </w:rPr>
        <w:t>15. 缺陷责任与保修</w:t>
      </w:r>
      <w:bookmarkEnd w:id="560"/>
    </w:p>
    <w:bookmarkEnd w:id="550"/>
    <w:bookmarkEnd w:id="551"/>
    <w:bookmarkEnd w:id="561"/>
    <w:p w14:paraId="322ED710">
      <w:pPr>
        <w:pStyle w:val="5"/>
        <w:adjustRightInd w:val="0"/>
        <w:snapToGrid w:val="0"/>
        <w:spacing w:line="440" w:lineRule="exact"/>
        <w:ind w:firstLine="480" w:firstLineChars="200"/>
        <w:rPr>
          <w:rFonts w:hint="eastAsia" w:ascii="仿宋" w:hAnsi="仿宋" w:eastAsia="仿宋" w:cs="仿宋"/>
          <w:szCs w:val="24"/>
          <w:highlight w:val="none"/>
        </w:rPr>
      </w:pPr>
      <w:bookmarkStart w:id="562" w:name="_Toc351203599"/>
      <w:bookmarkStart w:id="563" w:name="_Toc337558816"/>
      <w:bookmarkStart w:id="564" w:name="_Toc296346615"/>
      <w:bookmarkStart w:id="565" w:name="_Toc296503114"/>
      <w:r>
        <w:rPr>
          <w:rFonts w:hint="eastAsia" w:ascii="仿宋" w:hAnsi="仿宋" w:eastAsia="仿宋" w:cs="仿宋"/>
          <w:szCs w:val="24"/>
          <w:highlight w:val="none"/>
        </w:rPr>
        <w:t>15.1 工程保修的原则</w:t>
      </w:r>
      <w:bookmarkEnd w:id="562"/>
    </w:p>
    <w:bookmarkEnd w:id="563"/>
    <w:p w14:paraId="05F0EAF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在工程移交发包人后，因承包人原因产生的质量缺陷，承包人应承担质量缺陷责任和保修义务。缺陷责任期届满，承包人仍应按合同约定的工程各部位保修年限承担保修义务。</w:t>
      </w:r>
    </w:p>
    <w:p w14:paraId="423AB899">
      <w:pPr>
        <w:pStyle w:val="5"/>
        <w:adjustRightInd w:val="0"/>
        <w:snapToGrid w:val="0"/>
        <w:spacing w:line="440" w:lineRule="exact"/>
        <w:ind w:firstLine="480" w:firstLineChars="200"/>
        <w:rPr>
          <w:rFonts w:hint="eastAsia" w:ascii="仿宋" w:hAnsi="仿宋" w:eastAsia="仿宋" w:cs="仿宋"/>
          <w:szCs w:val="24"/>
          <w:highlight w:val="none"/>
        </w:rPr>
      </w:pPr>
      <w:bookmarkStart w:id="566" w:name="_Toc351203600"/>
      <w:bookmarkStart w:id="567" w:name="_Toc337558817"/>
      <w:r>
        <w:rPr>
          <w:rFonts w:hint="eastAsia" w:ascii="仿宋" w:hAnsi="仿宋" w:eastAsia="仿宋" w:cs="仿宋"/>
          <w:szCs w:val="24"/>
          <w:highlight w:val="none"/>
        </w:rPr>
        <w:t>15.2 缺陷责任期</w:t>
      </w:r>
      <w:bookmarkEnd w:id="564"/>
      <w:bookmarkEnd w:id="565"/>
      <w:bookmarkEnd w:id="566"/>
    </w:p>
    <w:bookmarkEnd w:id="567"/>
    <w:p w14:paraId="35EC447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15.2.1 缺陷责任期从工程通过竣工验收之日起计算，合同当事人应在专用合同条款约定缺陷责任期的具体期限，但该期限最长不超过24个月。</w:t>
      </w:r>
    </w:p>
    <w:p w14:paraId="3FD5215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4C1266F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仿宋" w:hAnsi="仿宋" w:eastAsia="仿宋" w:cs="仿宋"/>
          <w:bCs/>
          <w:sz w:val="24"/>
          <w:highlight w:val="none"/>
        </w:rPr>
        <w:t>包人延长缺陷责任期，</w:t>
      </w:r>
      <w:r>
        <w:rPr>
          <w:rFonts w:hint="eastAsia" w:ascii="仿宋" w:hAnsi="仿宋" w:eastAsia="仿宋" w:cs="仿宋"/>
          <w:kern w:val="0"/>
          <w:sz w:val="24"/>
          <w:highlight w:val="none"/>
        </w:rPr>
        <w:t>并应在原缺陷责任期届满前发出延长通知。</w:t>
      </w:r>
      <w:r>
        <w:rPr>
          <w:rFonts w:hint="eastAsia" w:ascii="仿宋" w:hAnsi="仿宋" w:eastAsia="仿宋" w:cs="仿宋"/>
          <w:bCs/>
          <w:sz w:val="24"/>
          <w:highlight w:val="none"/>
        </w:rPr>
        <w:t>但缺陷责任期（含延长部分）最长</w:t>
      </w:r>
      <w:r>
        <w:rPr>
          <w:rFonts w:hint="eastAsia" w:ascii="仿宋" w:hAnsi="仿宋" w:eastAsia="仿宋" w:cs="仿宋"/>
          <w:kern w:val="0"/>
          <w:sz w:val="24"/>
          <w:highlight w:val="none"/>
        </w:rPr>
        <w:t>不能超过24个月。</w:t>
      </w:r>
    </w:p>
    <w:p w14:paraId="07CA110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由他人原因造成的缺陷，发包人负责组织维修，承包人不承担费用，且发包人不得从保证金中扣除费用。</w:t>
      </w:r>
    </w:p>
    <w:p w14:paraId="010A989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15.2.3 任何一项缺陷或损坏修复后，经检查证明其影响了工程或工程设备的使用性能，承包人应重新进行合同约定的试验和试运行，试验和试运行的全部费用应由责任方承担。</w:t>
      </w:r>
    </w:p>
    <w:p w14:paraId="55E5C69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6CAAE808">
      <w:pPr>
        <w:pStyle w:val="5"/>
        <w:adjustRightInd w:val="0"/>
        <w:snapToGrid w:val="0"/>
        <w:spacing w:line="440" w:lineRule="exact"/>
        <w:ind w:firstLine="480" w:firstLineChars="200"/>
        <w:rPr>
          <w:rFonts w:hint="eastAsia" w:ascii="仿宋" w:hAnsi="仿宋" w:eastAsia="仿宋" w:cs="仿宋"/>
          <w:szCs w:val="24"/>
          <w:highlight w:val="none"/>
        </w:rPr>
      </w:pPr>
      <w:bookmarkStart w:id="568" w:name="_Toc351203601"/>
      <w:bookmarkStart w:id="569" w:name="_Toc337558818"/>
      <w:bookmarkStart w:id="570" w:name="_Toc296346616"/>
      <w:bookmarkStart w:id="571" w:name="_Toc296503115"/>
      <w:r>
        <w:rPr>
          <w:rFonts w:hint="eastAsia" w:ascii="仿宋" w:hAnsi="仿宋" w:eastAsia="仿宋" w:cs="仿宋"/>
          <w:szCs w:val="24"/>
          <w:highlight w:val="none"/>
        </w:rPr>
        <w:t>15.3 质量保证金</w:t>
      </w:r>
      <w:bookmarkEnd w:id="568"/>
    </w:p>
    <w:bookmarkEnd w:id="569"/>
    <w:p w14:paraId="5F4F6AB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经合同当事人协商一致扣留质量保证金的，应在专用合同条款中予以明确。</w:t>
      </w:r>
    </w:p>
    <w:p w14:paraId="703AAEAD">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在工程项目竣工前，承包人已经提供履约担保的，发包人不得同时预留工程质量保证金。</w:t>
      </w:r>
    </w:p>
    <w:p w14:paraId="2A293BB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15.3.1 承包人提供质量保证金的方式</w:t>
      </w:r>
    </w:p>
    <w:p w14:paraId="3BEEFB7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承包人提供质量保证金有以下三种方式：</w:t>
      </w:r>
    </w:p>
    <w:p w14:paraId="7E7E607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（1）质量保证金保函； </w:t>
      </w:r>
    </w:p>
    <w:p w14:paraId="01D7C26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（2）相应比例的工程款；</w:t>
      </w:r>
    </w:p>
    <w:p w14:paraId="44B199E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（3）双方约定的其他方式。</w:t>
      </w:r>
    </w:p>
    <w:p w14:paraId="1AA9997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除专用合同条款另有约定外，质量保证金原则上采用上述第（1）种方式。</w:t>
      </w:r>
    </w:p>
    <w:p w14:paraId="28E394C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15.3.2 质量保证金的扣留</w:t>
      </w:r>
    </w:p>
    <w:p w14:paraId="1036789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质量保证金的扣留有以下三种方式：</w:t>
      </w:r>
    </w:p>
    <w:p w14:paraId="44A39E9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（1）在支付工程进度款时逐次扣留，在此情形下，质量保证金的计算基数不包括预付款的支付、扣回以及价格调整的金额；</w:t>
      </w:r>
    </w:p>
    <w:p w14:paraId="43719AD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（2）工</w:t>
      </w:r>
      <w:bookmarkStart w:id="572" w:name="#go6"/>
      <w:bookmarkEnd w:id="572"/>
      <w:r>
        <w:rPr>
          <w:rFonts w:hint="eastAsia" w:ascii="仿宋" w:hAnsi="仿宋" w:eastAsia="仿宋" w:cs="仿宋"/>
          <w:kern w:val="0"/>
          <w:sz w:val="24"/>
          <w:highlight w:val="none"/>
        </w:rPr>
        <w:t>程竣工结算时一次性扣留质量保证金；</w:t>
      </w:r>
    </w:p>
    <w:p w14:paraId="6BA6863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（3）双方约定的其他扣留方式。</w:t>
      </w:r>
    </w:p>
    <w:p w14:paraId="31F0AD5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除专用合同条款另有约定外，质量保证金的扣留原则上采用上述第（1）种方式。</w:t>
      </w:r>
    </w:p>
    <w:p w14:paraId="13160A3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w:t>
      </w:r>
      <w:bookmarkStart w:id="573" w:name="#go4"/>
      <w:bookmarkEnd w:id="573"/>
      <w:r>
        <w:rPr>
          <w:rFonts w:hint="eastAsia" w:ascii="仿宋" w:hAnsi="仿宋" w:eastAsia="仿宋" w:cs="仿宋"/>
          <w:kern w:val="0"/>
          <w:sz w:val="24"/>
          <w:highlight w:val="none"/>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14:paraId="51078F8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发包人在退还质量保证金的同时按照中国人民银行发布的同期同类贷款基准利率支付利息。</w:t>
      </w:r>
    </w:p>
    <w:p w14:paraId="40E95D4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15.3.3 </w:t>
      </w:r>
      <w:r>
        <w:rPr>
          <w:rFonts w:hint="eastAsia" w:ascii="仿宋" w:hAnsi="仿宋" w:eastAsia="仿宋" w:cs="仿宋"/>
          <w:sz w:val="24"/>
          <w:highlight w:val="none"/>
        </w:rPr>
        <w:t>质量保证金</w:t>
      </w:r>
      <w:r>
        <w:rPr>
          <w:rFonts w:hint="eastAsia" w:ascii="仿宋" w:hAnsi="仿宋" w:eastAsia="仿宋" w:cs="仿宋"/>
          <w:kern w:val="0"/>
          <w:sz w:val="24"/>
          <w:highlight w:val="none"/>
        </w:rPr>
        <w:t>的退还</w:t>
      </w:r>
    </w:p>
    <w:p w14:paraId="694F339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缺陷责任期内，承包人认真履行合同约定的责任，到期后，承包人可向发包人申请返还保证金。</w:t>
      </w:r>
    </w:p>
    <w:p w14:paraId="6F962A3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75EAD2A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发包人和承包人对保证金预留、返还以及工程维修质量、费用有争议的，按本合同第20条约定的争议和纠纷解决程序处理。</w:t>
      </w:r>
    </w:p>
    <w:p w14:paraId="3294311C">
      <w:pPr>
        <w:pStyle w:val="5"/>
        <w:adjustRightInd w:val="0"/>
        <w:snapToGrid w:val="0"/>
        <w:spacing w:line="440" w:lineRule="exact"/>
        <w:ind w:firstLine="480" w:firstLineChars="200"/>
        <w:rPr>
          <w:rFonts w:hint="eastAsia" w:ascii="仿宋" w:hAnsi="仿宋" w:eastAsia="仿宋" w:cs="仿宋"/>
          <w:szCs w:val="24"/>
          <w:highlight w:val="none"/>
        </w:rPr>
      </w:pPr>
      <w:bookmarkStart w:id="574" w:name="_Toc351203602"/>
      <w:bookmarkStart w:id="575" w:name="_Toc337558819"/>
      <w:r>
        <w:rPr>
          <w:rFonts w:hint="eastAsia" w:ascii="仿宋" w:hAnsi="仿宋" w:eastAsia="仿宋" w:cs="仿宋"/>
          <w:szCs w:val="24"/>
          <w:highlight w:val="none"/>
        </w:rPr>
        <w:t>15.4 保修</w:t>
      </w:r>
      <w:bookmarkEnd w:id="574"/>
    </w:p>
    <w:bookmarkEnd w:id="570"/>
    <w:bookmarkEnd w:id="571"/>
    <w:bookmarkEnd w:id="575"/>
    <w:p w14:paraId="5357C869">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15.4.1保修责任</w:t>
      </w:r>
    </w:p>
    <w:p w14:paraId="39F2F663">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5286E2FF">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发包人未经竣工验收擅自使用工程的，保修期自</w:t>
      </w:r>
      <w:r>
        <w:rPr>
          <w:rFonts w:hint="eastAsia" w:ascii="仿宋" w:hAnsi="仿宋" w:eastAsia="仿宋" w:cs="仿宋"/>
          <w:kern w:val="0"/>
          <w:sz w:val="24"/>
          <w:highlight w:val="none"/>
        </w:rPr>
        <w:t>转移占有之日起算</w:t>
      </w:r>
      <w:r>
        <w:rPr>
          <w:rFonts w:hint="eastAsia" w:ascii="仿宋" w:hAnsi="仿宋" w:eastAsia="仿宋" w:cs="仿宋"/>
          <w:sz w:val="24"/>
          <w:highlight w:val="none"/>
        </w:rPr>
        <w:t>。</w:t>
      </w:r>
    </w:p>
    <w:p w14:paraId="7A30BFB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15.4.2 修复费用</w:t>
      </w:r>
    </w:p>
    <w:p w14:paraId="55F7E4A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保修期内，修复的费用按照以下约定处理：</w:t>
      </w:r>
    </w:p>
    <w:p w14:paraId="0DAF7EF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（1）保修期内，因承包人原因造成工程的缺陷、损坏，承包人应负责修复，并承担修复的费用以及因工程的缺陷、损坏造成的人身伤害和财产损失；</w:t>
      </w:r>
    </w:p>
    <w:p w14:paraId="2A33FB0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（2）保修期内，因发包人使用不当造成工程的缺陷、损坏，可以委托承包人修复，但发包人应承担修复的费用，并支付承包人合理利润；</w:t>
      </w:r>
    </w:p>
    <w:p w14:paraId="3FC4B15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（3）因其他原因造成工程的缺陷、损坏，可以委托承包人修复，发包人应承担修复的费用，并支付承包人合理的利润，因工程的缺陷、损坏造成的人身伤害和财产损失由责任方承担。</w:t>
      </w:r>
    </w:p>
    <w:p w14:paraId="5CA1C336">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15.4.3 修复通知</w:t>
      </w:r>
    </w:p>
    <w:p w14:paraId="586FF8D6">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5599BF6C">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15.4.4 未能修复</w:t>
      </w:r>
    </w:p>
    <w:p w14:paraId="79A59486">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2B5B100">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15.4.5 承包人出入权</w:t>
      </w:r>
    </w:p>
    <w:p w14:paraId="4FDC043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57ADEBDF">
      <w:pPr>
        <w:pStyle w:val="4"/>
        <w:adjustRightInd w:val="0"/>
        <w:snapToGrid w:val="0"/>
        <w:spacing w:before="0" w:after="0" w:line="440" w:lineRule="exact"/>
        <w:rPr>
          <w:rFonts w:hint="eastAsia" w:ascii="仿宋" w:hAnsi="仿宋" w:eastAsia="仿宋" w:cs="仿宋"/>
          <w:sz w:val="24"/>
          <w:szCs w:val="24"/>
          <w:highlight w:val="none"/>
        </w:rPr>
      </w:pPr>
      <w:bookmarkStart w:id="576" w:name="_Toc351203603"/>
      <w:bookmarkStart w:id="577" w:name="_Toc337558820"/>
      <w:r>
        <w:rPr>
          <w:rFonts w:hint="eastAsia" w:ascii="仿宋" w:hAnsi="仿宋" w:eastAsia="仿宋" w:cs="仿宋"/>
          <w:sz w:val="24"/>
          <w:szCs w:val="24"/>
          <w:highlight w:val="none"/>
        </w:rPr>
        <w:t>16. 违约</w:t>
      </w:r>
      <w:bookmarkEnd w:id="576"/>
    </w:p>
    <w:bookmarkEnd w:id="577"/>
    <w:p w14:paraId="3A01D23E">
      <w:pPr>
        <w:pStyle w:val="5"/>
        <w:adjustRightInd w:val="0"/>
        <w:snapToGrid w:val="0"/>
        <w:spacing w:line="440" w:lineRule="exact"/>
        <w:ind w:firstLine="480" w:firstLineChars="200"/>
        <w:rPr>
          <w:rFonts w:hint="eastAsia" w:ascii="仿宋" w:hAnsi="仿宋" w:eastAsia="仿宋" w:cs="仿宋"/>
          <w:szCs w:val="24"/>
          <w:highlight w:val="none"/>
        </w:rPr>
      </w:pPr>
      <w:bookmarkStart w:id="578" w:name="_Toc296503129"/>
      <w:bookmarkStart w:id="579" w:name="_Toc296346630"/>
      <w:bookmarkStart w:id="580" w:name="_Toc351203604"/>
      <w:bookmarkStart w:id="581" w:name="_Toc337558821"/>
      <w:r>
        <w:rPr>
          <w:rFonts w:hint="eastAsia" w:ascii="仿宋" w:hAnsi="仿宋" w:eastAsia="仿宋" w:cs="仿宋"/>
          <w:szCs w:val="24"/>
          <w:highlight w:val="none"/>
        </w:rPr>
        <w:t>16.1 发</w:t>
      </w:r>
      <w:bookmarkEnd w:id="578"/>
      <w:bookmarkEnd w:id="579"/>
      <w:r>
        <w:rPr>
          <w:rFonts w:hint="eastAsia" w:ascii="仿宋" w:hAnsi="仿宋" w:eastAsia="仿宋" w:cs="仿宋"/>
          <w:szCs w:val="24"/>
          <w:highlight w:val="none"/>
        </w:rPr>
        <w:t>包人违约</w:t>
      </w:r>
      <w:bookmarkEnd w:id="580"/>
    </w:p>
    <w:bookmarkEnd w:id="581"/>
    <w:p w14:paraId="2654952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16.1.1 发包人违约的情形</w:t>
      </w:r>
    </w:p>
    <w:p w14:paraId="087FE9B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在合同履行过程中发生的下列情形，属于发包人违约：</w:t>
      </w:r>
    </w:p>
    <w:p w14:paraId="25BC317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（1）因发包人原因未能在计划开工日期前7天内下达开工通知的；</w:t>
      </w:r>
    </w:p>
    <w:p w14:paraId="3324949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（2）因发包人原因未能按合同约定支付合同价款的；</w:t>
      </w:r>
    </w:p>
    <w:p w14:paraId="14ED6B7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（3）发包人违反第10.1款〔变更的范围〕第（2）项约定，自行实施被取消的工作或转由他人实施的；</w:t>
      </w:r>
    </w:p>
    <w:p w14:paraId="45EA158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（4）发包人提供的材料、工程设备的规格、数量或质量不符合合同约定，或因发包人原因导致交货日期延误或交货地点变更等情况的；</w:t>
      </w:r>
    </w:p>
    <w:p w14:paraId="2C82D65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（5）因发包人违反合同约定造成暂停施工的；</w:t>
      </w:r>
    </w:p>
    <w:p w14:paraId="0836A3B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（6）发包人无正当理由没有在约定期限内发出复工指示，导致承包人无法复工的；</w:t>
      </w:r>
    </w:p>
    <w:p w14:paraId="6CEE370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（7）发包人明确表示或者以其行为表明不履行合同主要义务的；</w:t>
      </w:r>
    </w:p>
    <w:p w14:paraId="63E211B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（8）发包人未能按照合同约定履行其他义务的。</w:t>
      </w:r>
    </w:p>
    <w:p w14:paraId="481AA50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22E6C89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16.1.2 发包人违约的责任</w:t>
      </w:r>
    </w:p>
    <w:p w14:paraId="4A5CD3F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发包人应承担因其违约给承包人增加的费用和（或）延误的工期，并支付承包人合理的利润。此外，合同当事人可在专用合同条款中另行约定发包人违约责任的承担方式和计算方法。</w:t>
      </w:r>
    </w:p>
    <w:p w14:paraId="7952203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16.1.3 因发包人违约解除合同</w:t>
      </w:r>
    </w:p>
    <w:p w14:paraId="53443F0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2C33B9E4">
      <w:pPr>
        <w:autoSpaceDE w:val="0"/>
        <w:autoSpaceDN w:val="0"/>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16.1.4 因发包人违约解除合同后的付款</w:t>
      </w:r>
    </w:p>
    <w:p w14:paraId="3C9E05D5">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承包人按照本款约定解除合同的，发包人应在解除合同后28天内支付下列款项，并解除履约担保：</w:t>
      </w:r>
    </w:p>
    <w:p w14:paraId="6EB541E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（1）合同解除前所完成工作的价款；</w:t>
      </w:r>
    </w:p>
    <w:p w14:paraId="7B2F91DD">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（2）承包人为工程施工订购并已付款的材料、工程设备和其他物品的价款；</w:t>
      </w:r>
    </w:p>
    <w:p w14:paraId="0BF2692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（3）承包人撤离施工现场以及遣散承包人人员的款项；</w:t>
      </w:r>
    </w:p>
    <w:p w14:paraId="1BEB70F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（4）按照合同约定在合同解除前应支付的违约金；</w:t>
      </w:r>
    </w:p>
    <w:p w14:paraId="0DD286B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（5）按照合同约定应当支付给承包人的其他款项；</w:t>
      </w:r>
    </w:p>
    <w:p w14:paraId="22507CF3">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（6）按照合同约定应退还的质量保证金；</w:t>
      </w:r>
    </w:p>
    <w:p w14:paraId="0F1F291D">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（7）因解除合同给承包人造成的损失。</w:t>
      </w:r>
    </w:p>
    <w:p w14:paraId="241BE7B7">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合同当事人未能就解除合同后的结清达成一致的，按照第20条〔争议解决〕的约定处理。</w:t>
      </w:r>
    </w:p>
    <w:p w14:paraId="18E2B234">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承包人应妥善做好已完工程和与工程有关的已购材料、工程设备的保护和移交工作，并将施工设备和人员撤出施工现场，发包人应为承包人撤出提供必要条件。</w:t>
      </w:r>
    </w:p>
    <w:p w14:paraId="6451366B">
      <w:pPr>
        <w:pStyle w:val="5"/>
        <w:adjustRightInd w:val="0"/>
        <w:snapToGrid w:val="0"/>
        <w:spacing w:line="440" w:lineRule="exact"/>
        <w:ind w:firstLine="480" w:firstLineChars="200"/>
        <w:rPr>
          <w:rFonts w:hint="eastAsia" w:ascii="仿宋" w:hAnsi="仿宋" w:eastAsia="仿宋" w:cs="仿宋"/>
          <w:szCs w:val="24"/>
          <w:highlight w:val="none"/>
        </w:rPr>
      </w:pPr>
      <w:bookmarkStart w:id="582" w:name="_Toc351203605"/>
      <w:bookmarkStart w:id="583" w:name="_Toc296346632"/>
      <w:bookmarkStart w:id="584" w:name="_Toc337558822"/>
      <w:bookmarkStart w:id="585" w:name="_Toc296503131"/>
      <w:r>
        <w:rPr>
          <w:rFonts w:hint="eastAsia" w:ascii="仿宋" w:hAnsi="仿宋" w:eastAsia="仿宋" w:cs="仿宋"/>
          <w:szCs w:val="24"/>
          <w:highlight w:val="none"/>
        </w:rPr>
        <w:t>16.2 承包人违约</w:t>
      </w:r>
      <w:bookmarkEnd w:id="582"/>
    </w:p>
    <w:bookmarkEnd w:id="583"/>
    <w:bookmarkEnd w:id="584"/>
    <w:bookmarkEnd w:id="585"/>
    <w:p w14:paraId="18CBE4F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16.2.1 承包人违约的情形</w:t>
      </w:r>
    </w:p>
    <w:p w14:paraId="5AEDE06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在合同履行过程中发生的下列情形，属于承包人违约：</w:t>
      </w:r>
    </w:p>
    <w:p w14:paraId="4914A08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（1）承包人违反合同约定进行转包或违法分包的；</w:t>
      </w:r>
    </w:p>
    <w:p w14:paraId="4336B74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（2）承包人违反合同约定采购和使用不合格的材料和工程设备的；</w:t>
      </w:r>
    </w:p>
    <w:p w14:paraId="3FA32C1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（3）因承包人原因导致工程质量不符合合同要求的； </w:t>
      </w:r>
    </w:p>
    <w:p w14:paraId="7E47641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（4）承包人违反第8.9款〔材料与设备专用要求〕的约定，未经批准，私自将已按照合同约定进入施工现场的材料或设备撤离施工现场的；</w:t>
      </w:r>
    </w:p>
    <w:p w14:paraId="285515D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（5）承包人未能按施工进度计划及时完成合同约定的工作，造成工期延误的；</w:t>
      </w:r>
    </w:p>
    <w:p w14:paraId="2E861A8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（6）承包人在缺陷责任期及保修期内，未能在合理期限对工程缺陷进行修复，或拒绝按发包人要求进行修复的；</w:t>
      </w:r>
    </w:p>
    <w:p w14:paraId="4932DB5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（7）承包人明确表示或者以其行为表明不履行合同主要义务的；</w:t>
      </w:r>
    </w:p>
    <w:p w14:paraId="68FE743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（8）承包人未能按照合同约定履行其他义务的。</w:t>
      </w:r>
    </w:p>
    <w:p w14:paraId="3A9E04B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承包人发生除本项第（7）目约定以外的其他违约情况时，监理人可向承包人发出整改通知，要求其在指定的期限内改正。</w:t>
      </w:r>
    </w:p>
    <w:p w14:paraId="4D4D48B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16.2.2 承包人违约的责任</w:t>
      </w:r>
    </w:p>
    <w:p w14:paraId="555DD2F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承包人应承担因其违约行为而增加的费用和（或）延误的工期。此外，合同当事人可在专用合同条款中另行约定承包人违约责任的承担方式和计算方法。</w:t>
      </w:r>
    </w:p>
    <w:p w14:paraId="3C46237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16.2.3 因承包人违约解除合同</w:t>
      </w:r>
    </w:p>
    <w:p w14:paraId="3750FD8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7CE541A7">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16.2.4因承包人违约解除合同后的处理</w:t>
      </w:r>
    </w:p>
    <w:p w14:paraId="52B5003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因承包人原因导致合同解除的，则合同当事人应在合同解除后28天内完成估价、付款和清算，并按以下约定执行：</w:t>
      </w:r>
    </w:p>
    <w:p w14:paraId="54D4E1B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（1）合同解除后，按第4.4款〔商定或确定〕商定或确定承包人实际完成工作对应的合同价款，以及承包人已提供的材料、工程设备、施工设备和临时工程等的价值；</w:t>
      </w:r>
    </w:p>
    <w:p w14:paraId="5A3023A9">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（2）合同解除后，承包人应支付的违约金；</w:t>
      </w:r>
    </w:p>
    <w:p w14:paraId="48063CD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（3）合同解除后，因解除合同给发包人造成的损失；</w:t>
      </w:r>
    </w:p>
    <w:p w14:paraId="181D1C78">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（4）合同解除后，承包人应按照发包人要求和监理人的指示完成现场的清理和撤离；</w:t>
      </w:r>
    </w:p>
    <w:p w14:paraId="74206259">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（5）发包人和承包人应在合同解除后进行清算，出具最终结清付款证书，结清全部款项。</w:t>
      </w:r>
    </w:p>
    <w:p w14:paraId="4AB32CE3">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因承包人违约解除合同的，发包人有权暂停对承包人的付款，查清各项付款和已扣款项。发包人和承包人未能就合同解除后的清算和款项支付达成一致的，按照第20条〔争议解决〕的约定处理。</w:t>
      </w:r>
    </w:p>
    <w:p w14:paraId="4303A909">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16.2.5采购合同权益转让</w:t>
      </w:r>
    </w:p>
    <w:p w14:paraId="63E730EE">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20A55E36">
      <w:pPr>
        <w:pStyle w:val="5"/>
        <w:adjustRightInd w:val="0"/>
        <w:snapToGrid w:val="0"/>
        <w:spacing w:line="440" w:lineRule="exact"/>
        <w:ind w:firstLine="480" w:firstLineChars="200"/>
        <w:rPr>
          <w:rFonts w:hint="eastAsia" w:ascii="仿宋" w:hAnsi="仿宋" w:eastAsia="仿宋" w:cs="仿宋"/>
          <w:szCs w:val="24"/>
          <w:highlight w:val="none"/>
        </w:rPr>
      </w:pPr>
      <w:bookmarkStart w:id="586" w:name="_Toc351203606"/>
      <w:r>
        <w:rPr>
          <w:rFonts w:hint="eastAsia" w:ascii="仿宋" w:hAnsi="仿宋" w:eastAsia="仿宋" w:cs="仿宋"/>
          <w:szCs w:val="24"/>
          <w:highlight w:val="none"/>
        </w:rPr>
        <w:t>16.3 第三人造成的违约</w:t>
      </w:r>
      <w:bookmarkEnd w:id="586"/>
    </w:p>
    <w:p w14:paraId="6BA4AE3B">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在履行合同过程中，一方当事人因第三人的原因造成违约的，应当向对方当事人承担违约责任。一方当事人和第三人之间的纠纷，依照法律规定或者按照约定解决。</w:t>
      </w:r>
    </w:p>
    <w:p w14:paraId="2C81B496">
      <w:pPr>
        <w:pStyle w:val="4"/>
        <w:adjustRightInd w:val="0"/>
        <w:snapToGrid w:val="0"/>
        <w:spacing w:before="0" w:after="0" w:line="440" w:lineRule="exact"/>
        <w:rPr>
          <w:rFonts w:hint="eastAsia" w:ascii="仿宋" w:hAnsi="仿宋" w:eastAsia="仿宋" w:cs="仿宋"/>
          <w:sz w:val="24"/>
          <w:szCs w:val="24"/>
          <w:highlight w:val="none"/>
        </w:rPr>
      </w:pPr>
      <w:bookmarkStart w:id="587" w:name="_Toc351203607"/>
      <w:bookmarkStart w:id="588" w:name="_Toc296346617"/>
      <w:bookmarkStart w:id="589" w:name="_Toc337558823"/>
      <w:bookmarkStart w:id="590" w:name="_Toc296503116"/>
      <w:r>
        <w:rPr>
          <w:rFonts w:hint="eastAsia" w:ascii="仿宋" w:hAnsi="仿宋" w:eastAsia="仿宋" w:cs="仿宋"/>
          <w:sz w:val="24"/>
          <w:szCs w:val="24"/>
          <w:highlight w:val="none"/>
        </w:rPr>
        <w:t>17. 不可抗力</w:t>
      </w:r>
      <w:bookmarkEnd w:id="587"/>
      <w:r>
        <w:rPr>
          <w:rFonts w:hint="eastAsia" w:ascii="仿宋" w:hAnsi="仿宋" w:eastAsia="仿宋" w:cs="仿宋"/>
          <w:sz w:val="24"/>
          <w:szCs w:val="24"/>
          <w:highlight w:val="none"/>
        </w:rPr>
        <w:t xml:space="preserve"> </w:t>
      </w:r>
      <w:bookmarkEnd w:id="588"/>
      <w:bookmarkEnd w:id="589"/>
      <w:bookmarkEnd w:id="590"/>
    </w:p>
    <w:p w14:paraId="0A3CA48D">
      <w:pPr>
        <w:pStyle w:val="5"/>
        <w:adjustRightInd w:val="0"/>
        <w:snapToGrid w:val="0"/>
        <w:spacing w:line="440" w:lineRule="exact"/>
        <w:ind w:firstLine="480" w:firstLineChars="200"/>
        <w:rPr>
          <w:rFonts w:hint="eastAsia" w:ascii="仿宋" w:hAnsi="仿宋" w:eastAsia="仿宋" w:cs="仿宋"/>
          <w:szCs w:val="24"/>
          <w:highlight w:val="none"/>
        </w:rPr>
      </w:pPr>
      <w:bookmarkStart w:id="591" w:name="_Toc351203608"/>
      <w:bookmarkStart w:id="592" w:name="_Toc337558824"/>
      <w:bookmarkStart w:id="593" w:name="_Toc296503117"/>
      <w:bookmarkStart w:id="594" w:name="_Toc296346618"/>
      <w:r>
        <w:rPr>
          <w:rFonts w:hint="eastAsia" w:ascii="仿宋" w:hAnsi="仿宋" w:eastAsia="仿宋" w:cs="仿宋"/>
          <w:szCs w:val="24"/>
          <w:highlight w:val="none"/>
        </w:rPr>
        <w:t>17.1 不可抗力的确认</w:t>
      </w:r>
      <w:bookmarkEnd w:id="591"/>
    </w:p>
    <w:bookmarkEnd w:id="592"/>
    <w:bookmarkEnd w:id="593"/>
    <w:bookmarkEnd w:id="594"/>
    <w:p w14:paraId="013B475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不可抗力是指合同当事人在签订合同时不可预见，在合同履行过程中不可避免且不能克服的自然灾害和社会性突发事件，如地震、海啸、瘟疫、骚乱、戒严、暴动、战争和专用合同条款中约定的其他情形。</w:t>
      </w:r>
    </w:p>
    <w:p w14:paraId="2926B5D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738E4465">
      <w:pPr>
        <w:pStyle w:val="5"/>
        <w:adjustRightInd w:val="0"/>
        <w:snapToGrid w:val="0"/>
        <w:spacing w:line="440" w:lineRule="exact"/>
        <w:ind w:firstLine="480" w:firstLineChars="200"/>
        <w:rPr>
          <w:rFonts w:hint="eastAsia" w:ascii="仿宋" w:hAnsi="仿宋" w:eastAsia="仿宋" w:cs="仿宋"/>
          <w:szCs w:val="24"/>
          <w:highlight w:val="none"/>
        </w:rPr>
      </w:pPr>
      <w:bookmarkStart w:id="595" w:name="_Toc351203609"/>
      <w:bookmarkStart w:id="596" w:name="_Toc296503118"/>
      <w:bookmarkStart w:id="597" w:name="_Toc337558825"/>
      <w:bookmarkStart w:id="598" w:name="_Toc296346619"/>
      <w:r>
        <w:rPr>
          <w:rFonts w:hint="eastAsia" w:ascii="仿宋" w:hAnsi="仿宋" w:eastAsia="仿宋" w:cs="仿宋"/>
          <w:szCs w:val="24"/>
          <w:highlight w:val="none"/>
        </w:rPr>
        <w:t>17.2 不可抗力的通知</w:t>
      </w:r>
      <w:bookmarkEnd w:id="595"/>
    </w:p>
    <w:bookmarkEnd w:id="596"/>
    <w:bookmarkEnd w:id="597"/>
    <w:bookmarkEnd w:id="598"/>
    <w:p w14:paraId="79319AE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合同一方当事人遇到不可抗力事件，使其履行合同义务受到阻碍时，应立即通知合同另一方当事人和监理人，书面说明不可抗力和受阻碍的详细情况，并提供必要的证明。</w:t>
      </w:r>
    </w:p>
    <w:p w14:paraId="313E205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不可抗力持续发生的，合同一方当事人应及时向合同另一方当事人和监理人提交中间报告，说明不可抗力和履行合同受阻的情况，并于不可抗力事件结束后28天内提交最终报告及有关资料。</w:t>
      </w:r>
    </w:p>
    <w:p w14:paraId="5161FBC3">
      <w:pPr>
        <w:pStyle w:val="5"/>
        <w:adjustRightInd w:val="0"/>
        <w:snapToGrid w:val="0"/>
        <w:spacing w:line="440" w:lineRule="exact"/>
        <w:ind w:firstLine="480" w:firstLineChars="200"/>
        <w:rPr>
          <w:rFonts w:hint="eastAsia" w:ascii="仿宋" w:hAnsi="仿宋" w:eastAsia="仿宋" w:cs="仿宋"/>
          <w:szCs w:val="24"/>
          <w:highlight w:val="none"/>
        </w:rPr>
      </w:pPr>
      <w:bookmarkStart w:id="599" w:name="_Toc351203610"/>
      <w:bookmarkStart w:id="600" w:name="_Toc296503119"/>
      <w:bookmarkStart w:id="601" w:name="_Toc337558826"/>
      <w:bookmarkStart w:id="602" w:name="_Toc296346620"/>
      <w:r>
        <w:rPr>
          <w:rFonts w:hint="eastAsia" w:ascii="仿宋" w:hAnsi="仿宋" w:eastAsia="仿宋" w:cs="仿宋"/>
          <w:szCs w:val="24"/>
          <w:highlight w:val="none"/>
        </w:rPr>
        <w:t>17.3 不可抗力后果的承担</w:t>
      </w:r>
      <w:bookmarkEnd w:id="599"/>
    </w:p>
    <w:bookmarkEnd w:id="600"/>
    <w:bookmarkEnd w:id="601"/>
    <w:bookmarkEnd w:id="602"/>
    <w:p w14:paraId="465CD77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17.3.1 不可抗力引起的后果及造成的损失由合同当事人按照法律规定及合同约定各自承担。不可抗力发生前已完成的工程应当按照合同约定进行计量支付。</w:t>
      </w:r>
    </w:p>
    <w:p w14:paraId="3DB9A3F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17.3.2 不可抗力导致的人员伤亡、财产损失、费用增加和（或）工期延误等后果，由合同当事人按以下原则承担：</w:t>
      </w:r>
    </w:p>
    <w:p w14:paraId="62A6A23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（1）永久工程、已运至施工现场的材料和工程设备的损坏，以及因工程损坏造成的第三人人员伤亡和财产损失由发包人承担；</w:t>
      </w:r>
    </w:p>
    <w:p w14:paraId="29734A0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（2）承包人施工设备的损坏由承包人承担；</w:t>
      </w:r>
    </w:p>
    <w:p w14:paraId="6369F85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（3）发包人和承包人承担各自人员伤亡和财产的损失；</w:t>
      </w:r>
    </w:p>
    <w:p w14:paraId="6924A32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（4）因不可抗力影响承包人履行合同约定的义务，已经引起或将引起工期延误的，应当顺延工期，由此导致承包人停工的费用损失由发包人和承包人合理分担，停工期间必须支付的工人工资由发包人承担；</w:t>
      </w:r>
    </w:p>
    <w:p w14:paraId="5C8F9539">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（5）因不可抗力引起或将引起工期延误，发包人要求赶工的，由此增加的赶工费用由发包人承担；</w:t>
      </w:r>
    </w:p>
    <w:p w14:paraId="0154CD1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（6）承包人在停工期间按照发包人要求照管、清理和修复工程的费用由发包人承担。</w:t>
      </w:r>
    </w:p>
    <w:p w14:paraId="5977D5B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不可抗力发生后，合同当事人均应采取措施尽量避免和减少损失的扩大，任何一方当事人没有采取有效措施导致损失扩大的，应对扩大的损失承担责任。</w:t>
      </w:r>
    </w:p>
    <w:p w14:paraId="158F26D2">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因合同一方迟延履行合同义务，在迟延履行期间遭遇不可抗力的，不免除其违约责任。</w:t>
      </w:r>
    </w:p>
    <w:p w14:paraId="72314E18">
      <w:pPr>
        <w:pStyle w:val="5"/>
        <w:adjustRightInd w:val="0"/>
        <w:snapToGrid w:val="0"/>
        <w:spacing w:line="440" w:lineRule="exact"/>
        <w:ind w:firstLine="480" w:firstLineChars="200"/>
        <w:rPr>
          <w:rFonts w:hint="eastAsia" w:ascii="仿宋" w:hAnsi="仿宋" w:eastAsia="仿宋" w:cs="仿宋"/>
          <w:szCs w:val="24"/>
          <w:highlight w:val="none"/>
        </w:rPr>
      </w:pPr>
      <w:bookmarkStart w:id="603" w:name="_Toc351203611"/>
      <w:bookmarkStart w:id="604" w:name="_Toc337558827"/>
      <w:r>
        <w:rPr>
          <w:rFonts w:hint="eastAsia" w:ascii="仿宋" w:hAnsi="仿宋" w:eastAsia="仿宋" w:cs="仿宋"/>
          <w:szCs w:val="24"/>
          <w:highlight w:val="none"/>
        </w:rPr>
        <w:t>17.4 因不可抗力解除合同</w:t>
      </w:r>
      <w:bookmarkEnd w:id="603"/>
    </w:p>
    <w:bookmarkEnd w:id="604"/>
    <w:p w14:paraId="0635802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因不可抗力导致合同无法履行连续超过84天或累计超过140天的，发包人和承包人均有权解除合同。合同解除后，由双方当事人按照第4.4款〔商定或确定〕商定或确定发包人应支付的款项，该款项包括：</w:t>
      </w:r>
    </w:p>
    <w:p w14:paraId="6B0527FB">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（1）合同解除前承包人已完成工作的价款；</w:t>
      </w:r>
    </w:p>
    <w:p w14:paraId="44B08A5F">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（2）承包人为工程订购的并已交付给承包人，或承包人有责任接受交付的材料、工程设备和其他物品的价款；</w:t>
      </w:r>
    </w:p>
    <w:p w14:paraId="0F80B251">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（3）发包人要求承包人退货或解除订货合同而产生的费用，或因不能退货或解除合同而产生的损失；</w:t>
      </w:r>
    </w:p>
    <w:p w14:paraId="746F444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（4）承包人撤离施工现场以及遣散承包人人员的费用；</w:t>
      </w:r>
    </w:p>
    <w:p w14:paraId="01F42162">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（5）按照合同约定在合同解除前应支付给承包人的其他款项；</w:t>
      </w:r>
    </w:p>
    <w:p w14:paraId="4345BA6A">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（6）扣减承包人按照合同约定应向发包人支付的款项；</w:t>
      </w:r>
    </w:p>
    <w:p w14:paraId="68174F10">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（7）双方商定或确定的其他款项。</w:t>
      </w:r>
    </w:p>
    <w:p w14:paraId="67043B16">
      <w:pPr>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除专用合同条款另有约定外，合同解除后，发包人应在商定或确定上述款项后28天内完成上述款项的支付。</w:t>
      </w:r>
    </w:p>
    <w:p w14:paraId="431A90F5">
      <w:pPr>
        <w:pStyle w:val="4"/>
        <w:adjustRightInd w:val="0"/>
        <w:snapToGrid w:val="0"/>
        <w:spacing w:before="0" w:after="0" w:line="440" w:lineRule="exact"/>
        <w:rPr>
          <w:rFonts w:hint="eastAsia" w:ascii="仿宋" w:hAnsi="仿宋" w:eastAsia="仿宋" w:cs="仿宋"/>
          <w:sz w:val="24"/>
          <w:szCs w:val="24"/>
          <w:highlight w:val="none"/>
        </w:rPr>
      </w:pPr>
      <w:bookmarkStart w:id="605" w:name="_Toc351203612"/>
      <w:bookmarkStart w:id="606" w:name="_Toc337558828"/>
      <w:bookmarkStart w:id="607" w:name="_Toc296346621"/>
      <w:bookmarkStart w:id="608" w:name="_Toc296503120"/>
      <w:r>
        <w:rPr>
          <w:rFonts w:hint="eastAsia" w:ascii="仿宋" w:hAnsi="仿宋" w:eastAsia="仿宋" w:cs="仿宋"/>
          <w:sz w:val="24"/>
          <w:szCs w:val="24"/>
          <w:highlight w:val="none"/>
        </w:rPr>
        <w:t>18. 保险</w:t>
      </w:r>
      <w:bookmarkEnd w:id="605"/>
    </w:p>
    <w:bookmarkEnd w:id="606"/>
    <w:bookmarkEnd w:id="607"/>
    <w:bookmarkEnd w:id="608"/>
    <w:p w14:paraId="20743F18">
      <w:pPr>
        <w:pStyle w:val="5"/>
        <w:adjustRightInd w:val="0"/>
        <w:snapToGrid w:val="0"/>
        <w:spacing w:line="440" w:lineRule="exact"/>
        <w:ind w:firstLine="480" w:firstLineChars="200"/>
        <w:rPr>
          <w:rFonts w:hint="eastAsia" w:ascii="仿宋" w:hAnsi="仿宋" w:eastAsia="仿宋" w:cs="仿宋"/>
          <w:szCs w:val="24"/>
          <w:highlight w:val="none"/>
        </w:rPr>
      </w:pPr>
      <w:bookmarkStart w:id="609" w:name="_Toc351203613"/>
      <w:bookmarkStart w:id="610" w:name="_Toc296503121"/>
      <w:bookmarkStart w:id="611" w:name="_Toc337558829"/>
      <w:bookmarkStart w:id="612" w:name="_Toc296346622"/>
      <w:r>
        <w:rPr>
          <w:rFonts w:hint="eastAsia" w:ascii="仿宋" w:hAnsi="仿宋" w:eastAsia="仿宋" w:cs="仿宋"/>
          <w:szCs w:val="24"/>
          <w:highlight w:val="none"/>
        </w:rPr>
        <w:t>18.1 工程保险</w:t>
      </w:r>
      <w:bookmarkEnd w:id="609"/>
    </w:p>
    <w:bookmarkEnd w:id="610"/>
    <w:bookmarkEnd w:id="611"/>
    <w:bookmarkEnd w:id="612"/>
    <w:p w14:paraId="46D6D46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除专用合同条款另有约定外，发包人应投保建筑工程一切险或安装工程一切险；发包人委托承包人投保的，因投保产生的保险费和其他相关费用由发包人承担。</w:t>
      </w:r>
    </w:p>
    <w:p w14:paraId="0F2BE233">
      <w:pPr>
        <w:pStyle w:val="5"/>
        <w:adjustRightInd w:val="0"/>
        <w:snapToGrid w:val="0"/>
        <w:spacing w:line="440" w:lineRule="exact"/>
        <w:ind w:firstLine="480" w:firstLineChars="200"/>
        <w:rPr>
          <w:rFonts w:hint="eastAsia" w:ascii="仿宋" w:hAnsi="仿宋" w:eastAsia="仿宋" w:cs="仿宋"/>
          <w:szCs w:val="24"/>
          <w:highlight w:val="none"/>
        </w:rPr>
      </w:pPr>
      <w:bookmarkStart w:id="613" w:name="_Toc351203614"/>
      <w:bookmarkStart w:id="614" w:name="_Toc296503122"/>
      <w:bookmarkStart w:id="615" w:name="_Toc296346623"/>
      <w:bookmarkStart w:id="616" w:name="_Toc337558830"/>
      <w:r>
        <w:rPr>
          <w:rFonts w:hint="eastAsia" w:ascii="仿宋" w:hAnsi="仿宋" w:eastAsia="仿宋" w:cs="仿宋"/>
          <w:szCs w:val="24"/>
          <w:highlight w:val="none"/>
        </w:rPr>
        <w:t>18.2 工伤保险</w:t>
      </w:r>
      <w:bookmarkEnd w:id="613"/>
    </w:p>
    <w:bookmarkEnd w:id="614"/>
    <w:bookmarkEnd w:id="615"/>
    <w:bookmarkEnd w:id="616"/>
    <w:p w14:paraId="6F8E1B9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18.2.1 发包人应依照法律规定参加工伤保险，并为在施工现场的全部员工办理工伤保险，缴纳工伤保险费，并要求监理人及由发包人为履行合同聘请的第三方依法参加工伤保险。</w:t>
      </w:r>
    </w:p>
    <w:p w14:paraId="6517325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18.2.2 承包人应依照法律规定参加工伤保险，并为其履行合同的全部员工办理工伤保险，缴纳工伤保险费，并要求分包人及由承包人为履行合同聘请的第三方依法参加工伤保险。</w:t>
      </w:r>
    </w:p>
    <w:p w14:paraId="53A5ECFB">
      <w:pPr>
        <w:pStyle w:val="5"/>
        <w:adjustRightInd w:val="0"/>
        <w:snapToGrid w:val="0"/>
        <w:spacing w:line="440" w:lineRule="exact"/>
        <w:ind w:firstLine="480" w:firstLineChars="200"/>
        <w:rPr>
          <w:rFonts w:hint="eastAsia" w:ascii="仿宋" w:hAnsi="仿宋" w:eastAsia="仿宋" w:cs="仿宋"/>
          <w:szCs w:val="24"/>
          <w:highlight w:val="none"/>
        </w:rPr>
      </w:pPr>
      <w:bookmarkStart w:id="617" w:name="_Toc351203615"/>
      <w:bookmarkStart w:id="618" w:name="_Toc337558831"/>
      <w:bookmarkStart w:id="619" w:name="_Toc296346626"/>
      <w:bookmarkStart w:id="620" w:name="_Toc296503125"/>
      <w:r>
        <w:rPr>
          <w:rFonts w:hint="eastAsia" w:ascii="仿宋" w:hAnsi="仿宋" w:eastAsia="仿宋" w:cs="仿宋"/>
          <w:szCs w:val="24"/>
          <w:highlight w:val="none"/>
        </w:rPr>
        <w:t>18.3其他保险</w:t>
      </w:r>
      <w:bookmarkEnd w:id="617"/>
    </w:p>
    <w:bookmarkEnd w:id="618"/>
    <w:bookmarkEnd w:id="619"/>
    <w:bookmarkEnd w:id="620"/>
    <w:p w14:paraId="7F6C7870">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发包人和承包人可以为其施工现场的全部人员办理意外伤害保险并支付保险费，包括其员工及为履行合同聘请的第三方的人员，具体事项由合同当事人在专用合同条款约定。</w:t>
      </w:r>
    </w:p>
    <w:p w14:paraId="535E1096">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除专用合同条款另有约定外，承包人应为其施工设备等办理财产保险。</w:t>
      </w:r>
    </w:p>
    <w:p w14:paraId="655C17E1">
      <w:pPr>
        <w:pStyle w:val="5"/>
        <w:adjustRightInd w:val="0"/>
        <w:snapToGrid w:val="0"/>
        <w:spacing w:line="440" w:lineRule="exact"/>
        <w:ind w:firstLine="480" w:firstLineChars="200"/>
        <w:rPr>
          <w:rFonts w:hint="eastAsia" w:ascii="仿宋" w:hAnsi="仿宋" w:eastAsia="仿宋" w:cs="仿宋"/>
          <w:szCs w:val="24"/>
          <w:highlight w:val="none"/>
        </w:rPr>
      </w:pPr>
      <w:bookmarkStart w:id="621" w:name="_Toc351203616"/>
      <w:r>
        <w:rPr>
          <w:rFonts w:hint="eastAsia" w:ascii="仿宋" w:hAnsi="仿宋" w:eastAsia="仿宋" w:cs="仿宋"/>
          <w:szCs w:val="24"/>
          <w:highlight w:val="none"/>
        </w:rPr>
        <w:t>18.4持续保险</w:t>
      </w:r>
      <w:bookmarkEnd w:id="621"/>
    </w:p>
    <w:p w14:paraId="67ADB50D">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合同当事人应与保险人保持联系，使保险人能够随时了解工程实施中的变动，并确保按保险合同条款要求持续保险。</w:t>
      </w:r>
    </w:p>
    <w:p w14:paraId="219A4E40">
      <w:pPr>
        <w:pStyle w:val="5"/>
        <w:adjustRightInd w:val="0"/>
        <w:snapToGrid w:val="0"/>
        <w:spacing w:line="440" w:lineRule="exact"/>
        <w:ind w:firstLine="480" w:firstLineChars="200"/>
        <w:rPr>
          <w:rFonts w:hint="eastAsia" w:ascii="仿宋" w:hAnsi="仿宋" w:eastAsia="仿宋" w:cs="仿宋"/>
          <w:szCs w:val="24"/>
          <w:highlight w:val="none"/>
        </w:rPr>
      </w:pPr>
      <w:bookmarkStart w:id="622" w:name="_Toc351203617"/>
      <w:bookmarkStart w:id="623" w:name="_Toc296503126"/>
      <w:bookmarkStart w:id="624" w:name="_Toc296346627"/>
      <w:bookmarkStart w:id="625" w:name="_Toc337558832"/>
      <w:r>
        <w:rPr>
          <w:rFonts w:hint="eastAsia" w:ascii="仿宋" w:hAnsi="仿宋" w:eastAsia="仿宋" w:cs="仿宋"/>
          <w:szCs w:val="24"/>
          <w:highlight w:val="none"/>
        </w:rPr>
        <w:t>18.5 保险凭证</w:t>
      </w:r>
      <w:bookmarkEnd w:id="622"/>
    </w:p>
    <w:bookmarkEnd w:id="623"/>
    <w:bookmarkEnd w:id="624"/>
    <w:bookmarkEnd w:id="625"/>
    <w:p w14:paraId="01F257EB">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合同当事人应及时向另一方当事人提交其已投保的各项保险的凭证和保险单复印件。</w:t>
      </w:r>
    </w:p>
    <w:p w14:paraId="2273DFCA">
      <w:pPr>
        <w:pStyle w:val="5"/>
        <w:adjustRightInd w:val="0"/>
        <w:snapToGrid w:val="0"/>
        <w:spacing w:line="440" w:lineRule="exact"/>
        <w:ind w:firstLine="480" w:firstLineChars="200"/>
        <w:rPr>
          <w:rFonts w:hint="eastAsia" w:ascii="仿宋" w:hAnsi="仿宋" w:eastAsia="仿宋" w:cs="仿宋"/>
          <w:szCs w:val="24"/>
          <w:highlight w:val="none"/>
        </w:rPr>
      </w:pPr>
      <w:bookmarkStart w:id="626" w:name="_Toc351203618"/>
      <w:bookmarkStart w:id="627" w:name="_Toc296346628"/>
      <w:bookmarkStart w:id="628" w:name="_Toc337558833"/>
      <w:bookmarkStart w:id="629" w:name="_Toc296503127"/>
      <w:r>
        <w:rPr>
          <w:rFonts w:hint="eastAsia" w:ascii="仿宋" w:hAnsi="仿宋" w:eastAsia="仿宋" w:cs="仿宋"/>
          <w:szCs w:val="24"/>
          <w:highlight w:val="none"/>
        </w:rPr>
        <w:t>18.6 未按约定投保的补救</w:t>
      </w:r>
      <w:bookmarkEnd w:id="626"/>
    </w:p>
    <w:bookmarkEnd w:id="627"/>
    <w:bookmarkEnd w:id="628"/>
    <w:bookmarkEnd w:id="629"/>
    <w:p w14:paraId="591DECD6">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18.6.1发包人未按合同约定办理保险，或未能使保险持续有效的，则承包人可代为办理，所需费用由发包人承担。发包人未按合同约定办理保险，导致未能得到足额赔偿的，由发包人负责补足。</w:t>
      </w:r>
    </w:p>
    <w:p w14:paraId="14E5206C">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18.6.2承包人未按合同约定办理保险，或未能使保险持续有效的，则发包人可代为办理，所需费用由承包人承担。承包人未按合同约定办理保险，导致未能得到足额赔偿的，由承包人负责补足。</w:t>
      </w:r>
    </w:p>
    <w:p w14:paraId="45189481">
      <w:pPr>
        <w:pStyle w:val="5"/>
        <w:adjustRightInd w:val="0"/>
        <w:snapToGrid w:val="0"/>
        <w:spacing w:line="440" w:lineRule="exact"/>
        <w:ind w:firstLine="480" w:firstLineChars="200"/>
        <w:rPr>
          <w:rFonts w:hint="eastAsia" w:ascii="仿宋" w:hAnsi="仿宋" w:eastAsia="仿宋" w:cs="仿宋"/>
          <w:szCs w:val="24"/>
          <w:highlight w:val="none"/>
        </w:rPr>
      </w:pPr>
      <w:bookmarkStart w:id="630" w:name="_Toc351203619"/>
      <w:bookmarkStart w:id="631" w:name="_Toc337558834"/>
      <w:r>
        <w:rPr>
          <w:rFonts w:hint="eastAsia" w:ascii="仿宋" w:hAnsi="仿宋" w:eastAsia="仿宋" w:cs="仿宋"/>
          <w:szCs w:val="24"/>
          <w:highlight w:val="none"/>
        </w:rPr>
        <w:t>18.7 通知义务</w:t>
      </w:r>
      <w:bookmarkEnd w:id="630"/>
    </w:p>
    <w:bookmarkEnd w:id="631"/>
    <w:p w14:paraId="4A7B9FFE">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除专用合同条款另有约定外，发包人变更除工伤保险之外的保险合同时，应事先征得承包人同意，并通知监理人；承包人变更除工伤保险之外的保险合同时，应事先征得发包人同意，并通知监理人。</w:t>
      </w:r>
    </w:p>
    <w:p w14:paraId="03E4897E">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保险事故发生时，投保人应按照保险合同规定的条件和期限及时向保险人报告。发包人和承包人应当在知道保险事故发生后及时通知对方。</w:t>
      </w:r>
    </w:p>
    <w:p w14:paraId="28848E1D">
      <w:pPr>
        <w:pStyle w:val="4"/>
        <w:adjustRightInd w:val="0"/>
        <w:snapToGrid w:val="0"/>
        <w:spacing w:before="0" w:after="0" w:line="440" w:lineRule="exact"/>
        <w:rPr>
          <w:rFonts w:hint="eastAsia" w:ascii="仿宋" w:hAnsi="仿宋" w:eastAsia="仿宋" w:cs="仿宋"/>
          <w:sz w:val="24"/>
          <w:szCs w:val="24"/>
          <w:highlight w:val="none"/>
        </w:rPr>
      </w:pPr>
      <w:bookmarkStart w:id="632" w:name="_Toc351203620"/>
      <w:bookmarkStart w:id="633" w:name="_Toc296503140"/>
      <w:bookmarkStart w:id="634" w:name="_Toc296346641"/>
      <w:bookmarkStart w:id="635" w:name="_Toc337558835"/>
      <w:r>
        <w:rPr>
          <w:rFonts w:hint="eastAsia" w:ascii="仿宋" w:hAnsi="仿宋" w:eastAsia="仿宋" w:cs="仿宋"/>
          <w:sz w:val="24"/>
          <w:szCs w:val="24"/>
          <w:highlight w:val="none"/>
        </w:rPr>
        <w:t>19. 索赔</w:t>
      </w:r>
      <w:bookmarkEnd w:id="632"/>
    </w:p>
    <w:bookmarkEnd w:id="633"/>
    <w:bookmarkEnd w:id="634"/>
    <w:bookmarkEnd w:id="635"/>
    <w:p w14:paraId="7C99A21A">
      <w:pPr>
        <w:pStyle w:val="5"/>
        <w:adjustRightInd w:val="0"/>
        <w:snapToGrid w:val="0"/>
        <w:spacing w:line="440" w:lineRule="exact"/>
        <w:ind w:firstLine="480" w:firstLineChars="200"/>
        <w:rPr>
          <w:rFonts w:hint="eastAsia" w:ascii="仿宋" w:hAnsi="仿宋" w:eastAsia="仿宋" w:cs="仿宋"/>
          <w:szCs w:val="24"/>
          <w:highlight w:val="none"/>
        </w:rPr>
      </w:pPr>
      <w:bookmarkStart w:id="636" w:name="_Toc351203621"/>
      <w:bookmarkStart w:id="637" w:name="_Toc296346642"/>
      <w:bookmarkStart w:id="638" w:name="_Toc296503141"/>
      <w:bookmarkStart w:id="639" w:name="_Toc337558836"/>
      <w:r>
        <w:rPr>
          <w:rFonts w:hint="eastAsia" w:ascii="仿宋" w:hAnsi="仿宋" w:eastAsia="仿宋" w:cs="仿宋"/>
          <w:szCs w:val="24"/>
          <w:highlight w:val="none"/>
        </w:rPr>
        <w:t>19.1承包人的索赔</w:t>
      </w:r>
      <w:bookmarkEnd w:id="636"/>
    </w:p>
    <w:bookmarkEnd w:id="637"/>
    <w:bookmarkEnd w:id="638"/>
    <w:bookmarkEnd w:id="639"/>
    <w:p w14:paraId="0CEB8A9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根据合同约定，承包人认为有权得到追加付款和（或）延长工期的，应按以下程序向发包人提出索赔：</w:t>
      </w:r>
    </w:p>
    <w:p w14:paraId="2BEE9EC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759425A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（2）承包人应在发出索赔意向通知书后28天内，向监理人正式递交索赔报告；索赔报告应详细说明索赔理由以及要求追加的付款金额和（或）延长的工期，并附必要的记录和证明材料；</w:t>
      </w:r>
    </w:p>
    <w:p w14:paraId="2085A29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（3）索赔事件具有持续影响的，承包人应按合理时间间隔继续递交延续索赔通知，说明持续影响的实际情况和记录，列出累计的追加付款金额和（或）工期延长天数；</w:t>
      </w:r>
    </w:p>
    <w:p w14:paraId="68AA229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（4）在索赔事件影响结束后28天内，承包人应向监理人递交最终索赔报告，说明最终要求索赔的追加付款金额和（或）延长的工期，并附必要的记录和证明材料。</w:t>
      </w:r>
    </w:p>
    <w:p w14:paraId="26803A88">
      <w:pPr>
        <w:pStyle w:val="5"/>
        <w:adjustRightInd w:val="0"/>
        <w:snapToGrid w:val="0"/>
        <w:spacing w:line="440" w:lineRule="exact"/>
        <w:ind w:firstLine="480" w:firstLineChars="200"/>
        <w:rPr>
          <w:rFonts w:hint="eastAsia" w:ascii="仿宋" w:hAnsi="仿宋" w:eastAsia="仿宋" w:cs="仿宋"/>
          <w:szCs w:val="24"/>
          <w:highlight w:val="none"/>
        </w:rPr>
      </w:pPr>
      <w:bookmarkStart w:id="640" w:name="_Toc351203622"/>
      <w:bookmarkStart w:id="641" w:name="_Toc296346643"/>
      <w:bookmarkStart w:id="642" w:name="_Toc337558837"/>
      <w:bookmarkStart w:id="643" w:name="_Toc296503142"/>
      <w:r>
        <w:rPr>
          <w:rFonts w:hint="eastAsia" w:ascii="仿宋" w:hAnsi="仿宋" w:eastAsia="仿宋" w:cs="仿宋"/>
          <w:szCs w:val="24"/>
          <w:highlight w:val="none"/>
        </w:rPr>
        <w:t>19.2 对承包人索赔的处理</w:t>
      </w:r>
      <w:bookmarkEnd w:id="640"/>
    </w:p>
    <w:bookmarkEnd w:id="641"/>
    <w:bookmarkEnd w:id="642"/>
    <w:bookmarkEnd w:id="643"/>
    <w:p w14:paraId="5B51940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对承包人索赔的处理如下：</w:t>
      </w:r>
    </w:p>
    <w:p w14:paraId="49FEFDA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（1）监理人应在收到索赔报告后14天内完成审查并报送发包人。监理人对索赔报告存在异议的，有权要求承包人提交全部原始记录副本；</w:t>
      </w:r>
    </w:p>
    <w:p w14:paraId="46063DC7">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（2）发包人应在监理人收到索赔报告或有关索赔的进一步证明材料后的28天内，由监理人向承包人出具经发包人签认的索赔处理结果。发包人逾期答复的，则视为认可承包人的索赔要求；</w:t>
      </w:r>
    </w:p>
    <w:p w14:paraId="4A8447F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（3）承包人接受索赔处理结果的，索赔款项在当期进度款中进行支付；承包人不接受索赔处理结果的，按照第20条〔争议解决〕约定处理。</w:t>
      </w:r>
    </w:p>
    <w:p w14:paraId="33C82604">
      <w:pPr>
        <w:pStyle w:val="5"/>
        <w:adjustRightInd w:val="0"/>
        <w:snapToGrid w:val="0"/>
        <w:spacing w:line="440" w:lineRule="exact"/>
        <w:ind w:firstLine="480" w:firstLineChars="200"/>
        <w:rPr>
          <w:rFonts w:hint="eastAsia" w:ascii="仿宋" w:hAnsi="仿宋" w:eastAsia="仿宋" w:cs="仿宋"/>
          <w:szCs w:val="24"/>
          <w:highlight w:val="none"/>
        </w:rPr>
      </w:pPr>
      <w:bookmarkStart w:id="644" w:name="_Toc351203623"/>
      <w:bookmarkStart w:id="645" w:name="_Toc296503143"/>
      <w:bookmarkStart w:id="646" w:name="_Toc296346644"/>
      <w:bookmarkStart w:id="647" w:name="_Toc337558838"/>
      <w:r>
        <w:rPr>
          <w:rFonts w:hint="eastAsia" w:ascii="仿宋" w:hAnsi="仿宋" w:eastAsia="仿宋" w:cs="仿宋"/>
          <w:szCs w:val="24"/>
          <w:highlight w:val="none"/>
        </w:rPr>
        <w:t>19.3发包人的索赔</w:t>
      </w:r>
      <w:bookmarkEnd w:id="644"/>
    </w:p>
    <w:bookmarkEnd w:id="645"/>
    <w:bookmarkEnd w:id="646"/>
    <w:bookmarkEnd w:id="647"/>
    <w:p w14:paraId="0B6B039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根据合同约定，发包人认为有权得到赔付金额和（或）延长缺陷责任期的，监理人应向承包人发出通知并附有详细的证明。</w:t>
      </w:r>
    </w:p>
    <w:p w14:paraId="34F408A0">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0C78C27F">
      <w:pPr>
        <w:pStyle w:val="5"/>
        <w:adjustRightInd w:val="0"/>
        <w:snapToGrid w:val="0"/>
        <w:spacing w:line="440" w:lineRule="exact"/>
        <w:ind w:firstLine="480" w:firstLineChars="200"/>
        <w:rPr>
          <w:rFonts w:hint="eastAsia" w:ascii="仿宋" w:hAnsi="仿宋" w:eastAsia="仿宋" w:cs="仿宋"/>
          <w:szCs w:val="24"/>
          <w:highlight w:val="none"/>
        </w:rPr>
      </w:pPr>
      <w:bookmarkStart w:id="648" w:name="_Toc351203624"/>
      <w:bookmarkStart w:id="649" w:name="_Toc296503144"/>
      <w:bookmarkStart w:id="650" w:name="_Toc296346645"/>
      <w:bookmarkStart w:id="651" w:name="_Toc337558839"/>
      <w:r>
        <w:rPr>
          <w:rFonts w:hint="eastAsia" w:ascii="仿宋" w:hAnsi="仿宋" w:eastAsia="仿宋" w:cs="仿宋"/>
          <w:szCs w:val="24"/>
          <w:highlight w:val="none"/>
        </w:rPr>
        <w:t>19.4 对发包人索赔的处理</w:t>
      </w:r>
      <w:bookmarkEnd w:id="648"/>
    </w:p>
    <w:bookmarkEnd w:id="649"/>
    <w:bookmarkEnd w:id="650"/>
    <w:bookmarkEnd w:id="651"/>
    <w:p w14:paraId="0273377F">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对发包人索赔的处理如下：</w:t>
      </w:r>
    </w:p>
    <w:p w14:paraId="4733F3D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（1）承包人收到发包人提交的索赔报告后，应及时审查索赔报告的内容、查验发包人证明材料；</w:t>
      </w:r>
    </w:p>
    <w:p w14:paraId="5FD4CEE4">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（2）承包人应在收到索赔报告或有关索赔的进一步证明材料后28天内，将索赔处理结果答复发包人。如果承包人未在上述期限内作出答复的，则视为对发包人索赔要求的认可；</w:t>
      </w:r>
    </w:p>
    <w:p w14:paraId="0844925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（3）承包人接受索赔处理结果的，发包人可从应支付给承包人的合同价款中扣除赔付的金额或延长缺陷责任期；发包人不接受索赔处理结果的，按第20条〔争议解决〕约定处理。</w:t>
      </w:r>
    </w:p>
    <w:p w14:paraId="3C8E37F2">
      <w:pPr>
        <w:pStyle w:val="5"/>
        <w:adjustRightInd w:val="0"/>
        <w:snapToGrid w:val="0"/>
        <w:spacing w:line="440" w:lineRule="exact"/>
        <w:ind w:firstLine="480" w:firstLineChars="200"/>
        <w:rPr>
          <w:rFonts w:hint="eastAsia" w:ascii="仿宋" w:hAnsi="仿宋" w:eastAsia="仿宋" w:cs="仿宋"/>
          <w:szCs w:val="24"/>
          <w:highlight w:val="none"/>
        </w:rPr>
      </w:pPr>
      <w:bookmarkStart w:id="652" w:name="_Toc351203625"/>
      <w:r>
        <w:rPr>
          <w:rFonts w:hint="eastAsia" w:ascii="仿宋" w:hAnsi="仿宋" w:eastAsia="仿宋" w:cs="仿宋"/>
          <w:szCs w:val="24"/>
          <w:highlight w:val="none"/>
        </w:rPr>
        <w:t>19.5 提出索赔的期限</w:t>
      </w:r>
      <w:bookmarkEnd w:id="652"/>
    </w:p>
    <w:p w14:paraId="3F39B4D5">
      <w:pPr>
        <w:adjustRightInd w:val="0"/>
        <w:snapToGrid w:val="0"/>
        <w:spacing w:line="440" w:lineRule="exact"/>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（1）承包人按第14.2款〔竣工结算审核〕约定接收竣工付款证书后，应被视为已无权再提出在工程接收证书颁发前所发生的任何索赔。</w:t>
      </w:r>
    </w:p>
    <w:p w14:paraId="3C9318AE">
      <w:pPr>
        <w:adjustRightInd w:val="0"/>
        <w:snapToGrid w:val="0"/>
        <w:spacing w:line="440" w:lineRule="exact"/>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（2）承包人按第14.4款〔最终结清〕提交的最终结清申请单中，只限于提出工程接收证书颁发后发生的索赔。提出索赔的期限自接受最终结清证书时终止。</w:t>
      </w:r>
    </w:p>
    <w:p w14:paraId="2487B74C">
      <w:pPr>
        <w:pStyle w:val="4"/>
        <w:adjustRightInd w:val="0"/>
        <w:snapToGrid w:val="0"/>
        <w:spacing w:before="0" w:after="0" w:line="440" w:lineRule="exact"/>
        <w:rPr>
          <w:rFonts w:hint="eastAsia" w:ascii="仿宋" w:hAnsi="仿宋" w:eastAsia="仿宋" w:cs="仿宋"/>
          <w:sz w:val="24"/>
          <w:szCs w:val="24"/>
          <w:highlight w:val="none"/>
        </w:rPr>
      </w:pPr>
      <w:bookmarkStart w:id="653" w:name="_Toc351203626"/>
      <w:r>
        <w:rPr>
          <w:rFonts w:hint="eastAsia" w:ascii="仿宋" w:hAnsi="仿宋" w:eastAsia="仿宋" w:cs="仿宋"/>
          <w:sz w:val="24"/>
          <w:szCs w:val="24"/>
          <w:highlight w:val="none"/>
        </w:rPr>
        <w:t>20</w:t>
      </w:r>
      <w:bookmarkStart w:id="654" w:name="_Toc296503146"/>
      <w:bookmarkStart w:id="655" w:name="_Toc296346647"/>
      <w:bookmarkStart w:id="656" w:name="_Toc337558840"/>
      <w:r>
        <w:rPr>
          <w:rFonts w:hint="eastAsia" w:ascii="仿宋" w:hAnsi="仿宋" w:eastAsia="仿宋" w:cs="仿宋"/>
          <w:sz w:val="24"/>
          <w:szCs w:val="24"/>
          <w:highlight w:val="none"/>
        </w:rPr>
        <w:t>. 争议解决</w:t>
      </w:r>
      <w:bookmarkEnd w:id="653"/>
    </w:p>
    <w:bookmarkEnd w:id="654"/>
    <w:bookmarkEnd w:id="655"/>
    <w:bookmarkEnd w:id="656"/>
    <w:p w14:paraId="7735530D">
      <w:pPr>
        <w:pStyle w:val="5"/>
        <w:adjustRightInd w:val="0"/>
        <w:snapToGrid w:val="0"/>
        <w:spacing w:line="440" w:lineRule="exact"/>
        <w:ind w:firstLine="480" w:firstLineChars="200"/>
        <w:rPr>
          <w:rFonts w:hint="eastAsia" w:ascii="仿宋" w:hAnsi="仿宋" w:eastAsia="仿宋" w:cs="仿宋"/>
          <w:szCs w:val="24"/>
          <w:highlight w:val="none"/>
        </w:rPr>
      </w:pPr>
      <w:bookmarkStart w:id="657" w:name="_Toc351203627"/>
      <w:bookmarkStart w:id="658" w:name="_Toc296503147"/>
      <w:bookmarkStart w:id="659" w:name="_Toc296346648"/>
      <w:bookmarkStart w:id="660" w:name="_Toc337558841"/>
      <w:r>
        <w:rPr>
          <w:rFonts w:hint="eastAsia" w:ascii="仿宋" w:hAnsi="仿宋" w:eastAsia="仿宋" w:cs="仿宋"/>
          <w:szCs w:val="24"/>
          <w:highlight w:val="none"/>
        </w:rPr>
        <w:t>20.1和解</w:t>
      </w:r>
      <w:bookmarkEnd w:id="657"/>
    </w:p>
    <w:bookmarkEnd w:id="658"/>
    <w:bookmarkEnd w:id="659"/>
    <w:bookmarkEnd w:id="660"/>
    <w:p w14:paraId="09870B23">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合同当事人可以就争议自行和解，自行和解达成协议的经双方签字并盖章后作为合同补充文件，双方均应遵照执行。</w:t>
      </w:r>
    </w:p>
    <w:p w14:paraId="445628D8">
      <w:pPr>
        <w:pStyle w:val="5"/>
        <w:adjustRightInd w:val="0"/>
        <w:snapToGrid w:val="0"/>
        <w:spacing w:line="440" w:lineRule="exact"/>
        <w:ind w:firstLine="480" w:firstLineChars="200"/>
        <w:rPr>
          <w:rFonts w:hint="eastAsia" w:ascii="仿宋" w:hAnsi="仿宋" w:eastAsia="仿宋" w:cs="仿宋"/>
          <w:szCs w:val="24"/>
          <w:highlight w:val="none"/>
        </w:rPr>
      </w:pPr>
      <w:bookmarkStart w:id="661" w:name="_Toc351203628"/>
      <w:r>
        <w:rPr>
          <w:rFonts w:hint="eastAsia" w:ascii="仿宋" w:hAnsi="仿宋" w:eastAsia="仿宋" w:cs="仿宋"/>
          <w:szCs w:val="24"/>
          <w:highlight w:val="none"/>
        </w:rPr>
        <w:t>20</w:t>
      </w:r>
      <w:bookmarkStart w:id="662" w:name="_Toc296346649"/>
      <w:bookmarkStart w:id="663" w:name="_Toc296503148"/>
      <w:bookmarkStart w:id="664" w:name="_Toc337558842"/>
      <w:r>
        <w:rPr>
          <w:rFonts w:hint="eastAsia" w:ascii="仿宋" w:hAnsi="仿宋" w:eastAsia="仿宋" w:cs="仿宋"/>
          <w:szCs w:val="24"/>
          <w:highlight w:val="none"/>
        </w:rPr>
        <w:t>.2调解</w:t>
      </w:r>
      <w:bookmarkEnd w:id="661"/>
    </w:p>
    <w:bookmarkEnd w:id="662"/>
    <w:bookmarkEnd w:id="663"/>
    <w:bookmarkEnd w:id="664"/>
    <w:p w14:paraId="7DBBCCA8">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合同当事人可以就争议请求建设行政主管部门、行业协会或其他第三方进行调解，调解达成协议的，经双方签字并盖章后作为合同补充文件，双方均应遵照执行。</w:t>
      </w:r>
    </w:p>
    <w:p w14:paraId="528DA9F3">
      <w:pPr>
        <w:pStyle w:val="5"/>
        <w:adjustRightInd w:val="0"/>
        <w:snapToGrid w:val="0"/>
        <w:spacing w:line="440" w:lineRule="exact"/>
        <w:ind w:firstLine="480" w:firstLineChars="200"/>
        <w:rPr>
          <w:rFonts w:hint="eastAsia" w:ascii="仿宋" w:hAnsi="仿宋" w:eastAsia="仿宋" w:cs="仿宋"/>
          <w:szCs w:val="24"/>
          <w:highlight w:val="none"/>
        </w:rPr>
      </w:pPr>
      <w:bookmarkStart w:id="665" w:name="_Toc351203629"/>
      <w:bookmarkStart w:id="666" w:name="_Toc296346650"/>
      <w:bookmarkStart w:id="667" w:name="_Toc296503149"/>
      <w:bookmarkStart w:id="668" w:name="_Toc337558843"/>
      <w:r>
        <w:rPr>
          <w:rFonts w:hint="eastAsia" w:ascii="仿宋" w:hAnsi="仿宋" w:eastAsia="仿宋" w:cs="仿宋"/>
          <w:szCs w:val="24"/>
          <w:highlight w:val="none"/>
        </w:rPr>
        <w:t>20.3争议评审</w:t>
      </w:r>
      <w:bookmarkEnd w:id="665"/>
    </w:p>
    <w:bookmarkEnd w:id="666"/>
    <w:bookmarkEnd w:id="667"/>
    <w:bookmarkEnd w:id="668"/>
    <w:p w14:paraId="5F0E8FDB">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合同当事人在专用合同条款中约定采取争议评审方式解决争议以及评审规则，并按下列约定执行： </w:t>
      </w:r>
    </w:p>
    <w:p w14:paraId="7274B71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20.3.1 争议评审小组的确定</w:t>
      </w:r>
    </w:p>
    <w:p w14:paraId="40579A9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合同当事人可以共同选择一名或三名争议评审员，组成争议评审小组。除专用合同条款另有约定外，合同当事人应当自合同签订后28天内，或者争议发生后14天内，选定争议评审员。</w:t>
      </w:r>
    </w:p>
    <w:p w14:paraId="5F3EC66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7711DA5E">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除专用合同条款另有约定外，评审员报酬由发包人和承包人各承担一半。</w:t>
      </w:r>
    </w:p>
    <w:p w14:paraId="4FD6C405">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20.3.2 争议评审小组的决定</w:t>
      </w:r>
    </w:p>
    <w:p w14:paraId="0719C2C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3E02A21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20.3.3 争议评审小组决定的效力</w:t>
      </w:r>
    </w:p>
    <w:p w14:paraId="181A8741">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争议评审小组作出的书面决定经合同当事人签字确认后，对双方具有约束力，双方应遵照执行。</w:t>
      </w:r>
    </w:p>
    <w:p w14:paraId="5CDCF14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任何一方当事人不接受争议评审小组决定或不履行争议评审小组决定的，双方可选择采用其他争议解决方式。</w:t>
      </w:r>
    </w:p>
    <w:p w14:paraId="7E897498">
      <w:pPr>
        <w:pStyle w:val="5"/>
        <w:adjustRightInd w:val="0"/>
        <w:snapToGrid w:val="0"/>
        <w:spacing w:line="440" w:lineRule="exact"/>
        <w:ind w:firstLine="480" w:firstLineChars="200"/>
        <w:rPr>
          <w:rFonts w:hint="eastAsia" w:ascii="仿宋" w:hAnsi="仿宋" w:eastAsia="仿宋" w:cs="仿宋"/>
          <w:szCs w:val="24"/>
          <w:highlight w:val="none"/>
        </w:rPr>
      </w:pPr>
      <w:bookmarkStart w:id="669" w:name="_Toc351203630"/>
      <w:bookmarkStart w:id="670" w:name="_Toc296503150"/>
      <w:bookmarkStart w:id="671" w:name="_Toc296346651"/>
      <w:bookmarkStart w:id="672" w:name="_Toc337558844"/>
      <w:r>
        <w:rPr>
          <w:rFonts w:hint="eastAsia" w:ascii="仿宋" w:hAnsi="仿宋" w:eastAsia="仿宋" w:cs="仿宋"/>
          <w:szCs w:val="24"/>
          <w:highlight w:val="none"/>
        </w:rPr>
        <w:t>20.4仲裁或诉讼</w:t>
      </w:r>
      <w:bookmarkEnd w:id="669"/>
    </w:p>
    <w:bookmarkEnd w:id="670"/>
    <w:bookmarkEnd w:id="671"/>
    <w:bookmarkEnd w:id="672"/>
    <w:p w14:paraId="5C7F0226">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因合同及合同有关事项产生的争议，合同当事人可以在专用合同条款中约定以下一种方式解决争议：</w:t>
      </w:r>
    </w:p>
    <w:p w14:paraId="2739147D">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（1）向约定的仲裁委员会申请仲裁；</w:t>
      </w:r>
    </w:p>
    <w:p w14:paraId="7664CE3C">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（2）向有管辖权的人民法院起诉。</w:t>
      </w:r>
    </w:p>
    <w:p w14:paraId="0CAD0EDB">
      <w:pPr>
        <w:pStyle w:val="5"/>
        <w:adjustRightInd w:val="0"/>
        <w:snapToGrid w:val="0"/>
        <w:spacing w:line="440" w:lineRule="exact"/>
        <w:ind w:firstLine="480" w:firstLineChars="200"/>
        <w:rPr>
          <w:rFonts w:hint="eastAsia" w:ascii="仿宋" w:hAnsi="仿宋" w:eastAsia="仿宋" w:cs="仿宋"/>
          <w:szCs w:val="24"/>
          <w:highlight w:val="none"/>
        </w:rPr>
      </w:pPr>
      <w:bookmarkStart w:id="673" w:name="_Toc351203631"/>
      <w:bookmarkStart w:id="674" w:name="_Toc296346653"/>
      <w:bookmarkStart w:id="675" w:name="_Toc337558845"/>
      <w:bookmarkStart w:id="676" w:name="_Toc296503152"/>
      <w:r>
        <w:rPr>
          <w:rFonts w:hint="eastAsia" w:ascii="仿宋" w:hAnsi="仿宋" w:eastAsia="仿宋" w:cs="仿宋"/>
          <w:szCs w:val="24"/>
          <w:highlight w:val="none"/>
        </w:rPr>
        <w:t>20.5争议解决条款效力</w:t>
      </w:r>
      <w:bookmarkEnd w:id="673"/>
    </w:p>
    <w:bookmarkEnd w:id="674"/>
    <w:bookmarkEnd w:id="675"/>
    <w:bookmarkEnd w:id="676"/>
    <w:p w14:paraId="3F36CA5A">
      <w:pPr>
        <w:autoSpaceDE w:val="0"/>
        <w:autoSpaceDN w:val="0"/>
        <w:adjustRightInd w:val="0"/>
        <w:snapToGrid w:val="0"/>
        <w:spacing w:line="4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合同有关争议解决的条款独立存在，合同的变更、解除、终止、无效或者被撤销均不影响其效力。 </w:t>
      </w:r>
    </w:p>
    <w:p w14:paraId="144DE824">
      <w:pPr>
        <w:pStyle w:val="118"/>
        <w:autoSpaceDE w:val="0"/>
        <w:autoSpaceDN w:val="0"/>
        <w:adjustRightInd w:val="0"/>
        <w:spacing w:line="440" w:lineRule="exact"/>
        <w:ind w:firstLine="480"/>
        <w:jc w:val="left"/>
        <w:rPr>
          <w:rFonts w:hint="eastAsia" w:ascii="仿宋" w:hAnsi="仿宋" w:eastAsia="仿宋" w:cs="仿宋"/>
          <w:sz w:val="24"/>
          <w:szCs w:val="24"/>
          <w:highlight w:val="none"/>
        </w:rPr>
      </w:pPr>
    </w:p>
    <w:p w14:paraId="1E15C1D6">
      <w:pPr>
        <w:pStyle w:val="118"/>
        <w:autoSpaceDE w:val="0"/>
        <w:autoSpaceDN w:val="0"/>
        <w:adjustRightInd w:val="0"/>
        <w:spacing w:line="360" w:lineRule="exact"/>
        <w:ind w:firstLine="48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r>
    </w:p>
    <w:p w14:paraId="5F32B4DF">
      <w:pPr>
        <w:pStyle w:val="121"/>
        <w:jc w:val="center"/>
        <w:outlineLvl w:val="1"/>
        <w:rPr>
          <w:rFonts w:hint="eastAsia" w:ascii="仿宋" w:hAnsi="仿宋" w:eastAsia="仿宋" w:cs="仿宋"/>
          <w:kern w:val="2"/>
          <w:sz w:val="28"/>
          <w:szCs w:val="28"/>
          <w:highlight w:val="none"/>
        </w:rPr>
      </w:pPr>
      <w:bookmarkStart w:id="677" w:name="_Toc500331925"/>
      <w:bookmarkStart w:id="678" w:name="_Toc500331818"/>
      <w:bookmarkStart w:id="679" w:name="_Toc462649375"/>
      <w:bookmarkStart w:id="680" w:name="_Toc429228662"/>
      <w:bookmarkStart w:id="681" w:name="_Toc455465443"/>
      <w:r>
        <w:rPr>
          <w:rFonts w:hint="eastAsia" w:ascii="仿宋" w:hAnsi="仿宋" w:eastAsia="仿宋" w:cs="仿宋"/>
          <w:sz w:val="28"/>
          <w:szCs w:val="28"/>
          <w:highlight w:val="none"/>
        </w:rPr>
        <w:t>第三部分 专用合同条款</w:t>
      </w:r>
      <w:bookmarkEnd w:id="677"/>
      <w:bookmarkEnd w:id="678"/>
      <w:bookmarkEnd w:id="679"/>
      <w:bookmarkEnd w:id="680"/>
      <w:bookmarkEnd w:id="681"/>
    </w:p>
    <w:p w14:paraId="10BC1C31">
      <w:pPr>
        <w:pStyle w:val="4"/>
        <w:adjustRightInd w:val="0"/>
        <w:snapToGrid w:val="0"/>
        <w:spacing w:before="0" w:after="0" w:line="360" w:lineRule="auto"/>
        <w:rPr>
          <w:rFonts w:hint="eastAsia" w:ascii="仿宋" w:hAnsi="仿宋" w:eastAsia="仿宋" w:cs="仿宋"/>
          <w:b w:val="0"/>
          <w:sz w:val="24"/>
          <w:szCs w:val="24"/>
          <w:highlight w:val="none"/>
        </w:rPr>
      </w:pPr>
      <w:bookmarkStart w:id="682" w:name="_Toc351203633"/>
      <w:r>
        <w:rPr>
          <w:rFonts w:hint="eastAsia" w:ascii="仿宋" w:hAnsi="仿宋" w:eastAsia="仿宋" w:cs="仿宋"/>
          <w:b w:val="0"/>
          <w:sz w:val="24"/>
          <w:szCs w:val="24"/>
          <w:highlight w:val="none"/>
        </w:rPr>
        <w:t>1</w:t>
      </w:r>
      <w:bookmarkStart w:id="683" w:name="_Toc296891196"/>
      <w:bookmarkStart w:id="684" w:name="_Toc297048342"/>
      <w:bookmarkStart w:id="685" w:name="_Toc296346657"/>
      <w:bookmarkStart w:id="686" w:name="_Toc296944495"/>
      <w:bookmarkStart w:id="687" w:name="_Toc296347155"/>
      <w:bookmarkStart w:id="688" w:name="_Toc292559866"/>
      <w:bookmarkStart w:id="689" w:name="_Toc297120456"/>
      <w:bookmarkStart w:id="690" w:name="_Toc292559361"/>
      <w:bookmarkStart w:id="691" w:name="_Toc296890984"/>
      <w:bookmarkStart w:id="692" w:name="_Toc296503156"/>
      <w:r>
        <w:rPr>
          <w:rFonts w:hint="eastAsia" w:ascii="仿宋" w:hAnsi="仿宋" w:eastAsia="仿宋" w:cs="仿宋"/>
          <w:b w:val="0"/>
          <w:sz w:val="24"/>
          <w:szCs w:val="24"/>
          <w:highlight w:val="none"/>
        </w:rPr>
        <w:t>. 一般约定</w:t>
      </w:r>
      <w:bookmarkEnd w:id="682"/>
    </w:p>
    <w:bookmarkEnd w:id="683"/>
    <w:bookmarkEnd w:id="684"/>
    <w:bookmarkEnd w:id="685"/>
    <w:bookmarkEnd w:id="686"/>
    <w:bookmarkEnd w:id="687"/>
    <w:bookmarkEnd w:id="688"/>
    <w:bookmarkEnd w:id="689"/>
    <w:bookmarkEnd w:id="690"/>
    <w:bookmarkEnd w:id="691"/>
    <w:bookmarkEnd w:id="692"/>
    <w:p w14:paraId="745B4A38">
      <w:pPr>
        <w:adjustRightInd w:val="0"/>
        <w:snapToGrid w:val="0"/>
        <w:spacing w:line="360" w:lineRule="auto"/>
        <w:ind w:firstLine="480" w:firstLineChars="200"/>
        <w:outlineLvl w:val="3"/>
        <w:rPr>
          <w:rFonts w:hint="eastAsia" w:ascii="仿宋" w:hAnsi="仿宋" w:eastAsia="仿宋" w:cs="仿宋"/>
          <w:sz w:val="24"/>
          <w:highlight w:val="none"/>
        </w:rPr>
      </w:pPr>
      <w:bookmarkStart w:id="693" w:name="_Toc45552365"/>
      <w:r>
        <w:rPr>
          <w:rFonts w:hint="eastAsia" w:ascii="仿宋" w:hAnsi="仿宋" w:eastAsia="仿宋" w:cs="仿宋"/>
          <w:sz w:val="24"/>
          <w:highlight w:val="none"/>
        </w:rPr>
        <w:t>1.1 词语定义</w:t>
      </w:r>
      <w:bookmarkEnd w:id="693"/>
    </w:p>
    <w:p w14:paraId="165F4C6E">
      <w:pPr>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1.1.1合同</w:t>
      </w:r>
    </w:p>
    <w:p w14:paraId="244319CE">
      <w:pPr>
        <w:adjustRightInd w:val="0"/>
        <w:snapToGrid w:val="0"/>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kern w:val="0"/>
          <w:sz w:val="24"/>
          <w:highlight w:val="none"/>
        </w:rPr>
        <w:t>1.1.1.10其他合同文件包括：</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w:t>
      </w:r>
    </w:p>
    <w:p w14:paraId="4AA3BDF0">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1.1.2 合同当事人及其他相关方</w:t>
      </w:r>
    </w:p>
    <w:p w14:paraId="1629924F">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1.1.2.4监理人：</w:t>
      </w:r>
    </w:p>
    <w:p w14:paraId="2DDD1E2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名    称：</w:t>
      </w:r>
      <w:r>
        <w:rPr>
          <w:rFonts w:hint="eastAsia" w:ascii="仿宋" w:hAnsi="仿宋" w:eastAsia="仿宋" w:cs="仿宋"/>
          <w:sz w:val="24"/>
          <w:highlight w:val="none"/>
          <w:u w:val="single"/>
        </w:rPr>
        <w:t xml:space="preserve">                </w:t>
      </w:r>
      <w:r>
        <w:rPr>
          <w:rFonts w:hint="eastAsia" w:ascii="仿宋" w:hAnsi="仿宋" w:eastAsia="仿宋" w:cs="仿宋"/>
          <w:sz w:val="24"/>
          <w:highlight w:val="none"/>
        </w:rPr>
        <w:t>；</w:t>
      </w:r>
    </w:p>
    <w:p w14:paraId="392344A5">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资质类别和等级：</w:t>
      </w:r>
      <w:r>
        <w:rPr>
          <w:rFonts w:hint="eastAsia" w:ascii="仿宋" w:hAnsi="仿宋" w:eastAsia="仿宋" w:cs="仿宋"/>
          <w:sz w:val="24"/>
          <w:highlight w:val="none"/>
          <w:u w:val="single"/>
        </w:rPr>
        <w:t>                </w:t>
      </w:r>
      <w:r>
        <w:rPr>
          <w:rFonts w:hint="eastAsia" w:ascii="仿宋" w:hAnsi="仿宋" w:eastAsia="仿宋" w:cs="仿宋"/>
          <w:sz w:val="24"/>
          <w:highlight w:val="none"/>
        </w:rPr>
        <w:t>；</w:t>
      </w:r>
    </w:p>
    <w:p w14:paraId="40F283B1">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联系电话：</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3BC73E5E">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电子信箱：</w:t>
      </w:r>
      <w:r>
        <w:rPr>
          <w:rFonts w:hint="eastAsia" w:ascii="仿宋" w:hAnsi="仿宋" w:eastAsia="仿宋" w:cs="仿宋"/>
          <w:sz w:val="24"/>
          <w:highlight w:val="none"/>
          <w:u w:val="single"/>
        </w:rPr>
        <w:t>                </w:t>
      </w:r>
      <w:r>
        <w:rPr>
          <w:rFonts w:hint="eastAsia" w:ascii="仿宋" w:hAnsi="仿宋" w:eastAsia="仿宋" w:cs="仿宋"/>
          <w:sz w:val="24"/>
          <w:highlight w:val="none"/>
        </w:rPr>
        <w:t>；</w:t>
      </w:r>
    </w:p>
    <w:p w14:paraId="4A13B014">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通信地址：</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09A1B867">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1.1.2.5 设计人：</w:t>
      </w:r>
    </w:p>
    <w:p w14:paraId="0B8695E5">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名    称：</w:t>
      </w:r>
      <w:r>
        <w:rPr>
          <w:rFonts w:hint="eastAsia" w:ascii="仿宋" w:hAnsi="仿宋" w:eastAsia="仿宋" w:cs="仿宋"/>
          <w:sz w:val="24"/>
          <w:highlight w:val="none"/>
          <w:u w:val="single"/>
        </w:rPr>
        <w:t xml:space="preserve">                 </w:t>
      </w:r>
      <w:r>
        <w:rPr>
          <w:rFonts w:hint="eastAsia" w:ascii="仿宋" w:hAnsi="仿宋" w:eastAsia="仿宋" w:cs="仿宋"/>
          <w:sz w:val="24"/>
          <w:highlight w:val="none"/>
        </w:rPr>
        <w:t>；</w:t>
      </w:r>
    </w:p>
    <w:p w14:paraId="497C2836">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资质类别和等级：</w:t>
      </w:r>
      <w:r>
        <w:rPr>
          <w:rFonts w:hint="eastAsia" w:ascii="仿宋" w:hAnsi="仿宋" w:eastAsia="仿宋" w:cs="仿宋"/>
          <w:sz w:val="24"/>
          <w:highlight w:val="none"/>
          <w:u w:val="single"/>
        </w:rPr>
        <w:t>               </w:t>
      </w:r>
      <w:r>
        <w:rPr>
          <w:rFonts w:hint="eastAsia" w:ascii="仿宋" w:hAnsi="仿宋" w:eastAsia="仿宋" w:cs="仿宋"/>
          <w:sz w:val="24"/>
          <w:highlight w:val="none"/>
        </w:rPr>
        <w:t>；</w:t>
      </w:r>
    </w:p>
    <w:p w14:paraId="46C90CF7">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联系电话：</w:t>
      </w:r>
      <w:r>
        <w:rPr>
          <w:rFonts w:hint="eastAsia" w:ascii="仿宋" w:hAnsi="仿宋" w:eastAsia="仿宋" w:cs="仿宋"/>
          <w:sz w:val="24"/>
          <w:highlight w:val="none"/>
          <w:u w:val="single"/>
        </w:rPr>
        <w:t>                 </w:t>
      </w:r>
      <w:r>
        <w:rPr>
          <w:rFonts w:hint="eastAsia" w:ascii="仿宋" w:hAnsi="仿宋" w:eastAsia="仿宋" w:cs="仿宋"/>
          <w:sz w:val="24"/>
          <w:highlight w:val="none"/>
        </w:rPr>
        <w:t>；</w:t>
      </w:r>
    </w:p>
    <w:p w14:paraId="72C53F6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电子信箱：</w:t>
      </w:r>
      <w:r>
        <w:rPr>
          <w:rFonts w:hint="eastAsia" w:ascii="仿宋" w:hAnsi="仿宋" w:eastAsia="仿宋" w:cs="仿宋"/>
          <w:sz w:val="24"/>
          <w:highlight w:val="none"/>
          <w:u w:val="single"/>
        </w:rPr>
        <w:t xml:space="preserve">                     </w:t>
      </w:r>
      <w:r>
        <w:rPr>
          <w:rFonts w:hint="eastAsia" w:ascii="仿宋" w:hAnsi="仿宋" w:eastAsia="仿宋" w:cs="仿宋"/>
          <w:sz w:val="24"/>
          <w:highlight w:val="none"/>
        </w:rPr>
        <w:t>；</w:t>
      </w:r>
    </w:p>
    <w:p w14:paraId="3E302C69">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通信地址：</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1F7E8CA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1.1.3 工程和设备</w:t>
      </w:r>
    </w:p>
    <w:p w14:paraId="330495C7">
      <w:pPr>
        <w:adjustRightInd w:val="0"/>
        <w:snapToGrid w:val="0"/>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1.1.3.7 作为施工现场组成部分的其他场所包括：</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w:t>
      </w:r>
    </w:p>
    <w:p w14:paraId="36073B27">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1.1.3.9 永久占地包括：</w:t>
      </w:r>
      <w:r>
        <w:rPr>
          <w:rFonts w:hint="eastAsia" w:ascii="仿宋" w:hAnsi="仿宋" w:eastAsia="仿宋" w:cs="仿宋"/>
          <w:sz w:val="24"/>
          <w:highlight w:val="none"/>
          <w:u w:val="single"/>
        </w:rPr>
        <w:t xml:space="preserve">                        </w:t>
      </w:r>
      <w:r>
        <w:rPr>
          <w:rFonts w:hint="eastAsia" w:ascii="仿宋" w:hAnsi="仿宋" w:eastAsia="仿宋" w:cs="仿宋"/>
          <w:kern w:val="0"/>
          <w:sz w:val="24"/>
          <w:highlight w:val="none"/>
        </w:rPr>
        <w:t>。</w:t>
      </w:r>
    </w:p>
    <w:p w14:paraId="05985FA4">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1.1.3.10 临时占地包括：</w:t>
      </w:r>
      <w:r>
        <w:rPr>
          <w:rFonts w:hint="eastAsia" w:ascii="仿宋" w:hAnsi="仿宋" w:eastAsia="仿宋" w:cs="仿宋"/>
          <w:sz w:val="24"/>
          <w:highlight w:val="none"/>
          <w:u w:val="single"/>
        </w:rPr>
        <w:t xml:space="preserve">                       </w:t>
      </w:r>
      <w:r>
        <w:rPr>
          <w:rFonts w:hint="eastAsia" w:ascii="仿宋" w:hAnsi="仿宋" w:eastAsia="仿宋" w:cs="仿宋"/>
          <w:kern w:val="0"/>
          <w:sz w:val="24"/>
          <w:highlight w:val="none"/>
        </w:rPr>
        <w:t>。</w:t>
      </w:r>
    </w:p>
    <w:p w14:paraId="0B7B6C51">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 xml:space="preserve">1.3法律 </w:t>
      </w:r>
    </w:p>
    <w:p w14:paraId="0247826B">
      <w:pPr>
        <w:autoSpaceDE w:val="0"/>
        <w:autoSpaceDN w:val="0"/>
        <w:adjustRightInd w:val="0"/>
        <w:snapToGrid w:val="0"/>
        <w:spacing w:line="360" w:lineRule="auto"/>
        <w:ind w:left="596" w:leftChars="284"/>
        <w:jc w:val="left"/>
        <w:rPr>
          <w:rFonts w:hint="eastAsia" w:ascii="仿宋" w:hAnsi="仿宋" w:eastAsia="仿宋" w:cs="仿宋"/>
          <w:sz w:val="24"/>
          <w:highlight w:val="none"/>
          <w:u w:val="single"/>
        </w:rPr>
      </w:pPr>
      <w:r>
        <w:rPr>
          <w:rFonts w:hint="eastAsia" w:ascii="仿宋" w:hAnsi="仿宋" w:eastAsia="仿宋" w:cs="仿宋"/>
          <w:sz w:val="24"/>
          <w:highlight w:val="none"/>
        </w:rPr>
        <w:t>适用于合同的其他规范性文件：</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6FC8D95A">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1.4 标准和规范</w:t>
      </w:r>
    </w:p>
    <w:p w14:paraId="2B57C895">
      <w:pPr>
        <w:adjustRightInd w:val="0"/>
        <w:snapToGrid w:val="0"/>
        <w:spacing w:line="360" w:lineRule="auto"/>
        <w:ind w:left="596" w:leftChars="284"/>
        <w:rPr>
          <w:rFonts w:hint="eastAsia" w:ascii="仿宋" w:hAnsi="仿宋" w:eastAsia="仿宋" w:cs="仿宋"/>
          <w:sz w:val="24"/>
          <w:highlight w:val="none"/>
          <w:u w:val="single"/>
        </w:rPr>
      </w:pPr>
      <w:r>
        <w:rPr>
          <w:rFonts w:hint="eastAsia" w:ascii="仿宋" w:hAnsi="仿宋" w:eastAsia="仿宋" w:cs="仿宋"/>
          <w:sz w:val="24"/>
          <w:highlight w:val="none"/>
        </w:rPr>
        <w:t>1.4.1适用于工程的标准规范包括：</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4631665E">
      <w:pPr>
        <w:adjustRightInd w:val="0"/>
        <w:snapToGrid w:val="0"/>
        <w:spacing w:line="360" w:lineRule="auto"/>
        <w:ind w:firstLine="480" w:firstLineChars="200"/>
        <w:rPr>
          <w:rFonts w:hint="eastAsia" w:ascii="仿宋" w:hAnsi="仿宋" w:eastAsia="仿宋" w:cs="仿宋"/>
          <w:kern w:val="0"/>
          <w:sz w:val="24"/>
          <w:highlight w:val="none"/>
          <w:u w:val="single"/>
        </w:rPr>
      </w:pPr>
      <w:bookmarkStart w:id="694" w:name="_Toc45552366"/>
      <w:r>
        <w:rPr>
          <w:rFonts w:hint="eastAsia" w:ascii="仿宋" w:hAnsi="仿宋" w:eastAsia="仿宋" w:cs="仿宋"/>
          <w:kern w:val="0"/>
          <w:sz w:val="24"/>
          <w:highlight w:val="none"/>
        </w:rPr>
        <w:t>1.4.2 发包人提供国外标准、规范的名称：</w:t>
      </w:r>
      <w:bookmarkEnd w:id="694"/>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0127C6F6">
      <w:pPr>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发包人提供国外标准、规范的份数：</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1FF69B7B">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kern w:val="0"/>
          <w:sz w:val="24"/>
          <w:highlight w:val="none"/>
        </w:rPr>
        <w:t>发包人提供国外标准、规范的名称：</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0D112C7C">
      <w:pPr>
        <w:adjustRightInd w:val="0"/>
        <w:snapToGrid w:val="0"/>
        <w:spacing w:line="360" w:lineRule="auto"/>
        <w:ind w:left="596" w:leftChars="284"/>
        <w:rPr>
          <w:rFonts w:hint="eastAsia" w:ascii="仿宋" w:hAnsi="仿宋" w:eastAsia="仿宋" w:cs="仿宋"/>
          <w:sz w:val="24"/>
          <w:highlight w:val="none"/>
        </w:rPr>
      </w:pPr>
      <w:r>
        <w:rPr>
          <w:rFonts w:hint="eastAsia" w:ascii="仿宋" w:hAnsi="仿宋" w:eastAsia="仿宋" w:cs="仿宋"/>
          <w:sz w:val="24"/>
          <w:highlight w:val="none"/>
        </w:rPr>
        <w:t>1.4.3发包人对工程的技术标准和功能要求的特殊要求：</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w:t>
      </w:r>
    </w:p>
    <w:p w14:paraId="4FAA2F03">
      <w:pPr>
        <w:adjustRightInd w:val="0"/>
        <w:snapToGrid w:val="0"/>
        <w:spacing w:line="360" w:lineRule="auto"/>
        <w:ind w:firstLine="480" w:firstLineChars="200"/>
        <w:outlineLvl w:val="3"/>
        <w:rPr>
          <w:rFonts w:hint="eastAsia" w:ascii="仿宋" w:hAnsi="仿宋" w:eastAsia="仿宋" w:cs="仿宋"/>
          <w:sz w:val="24"/>
          <w:highlight w:val="none"/>
        </w:rPr>
      </w:pPr>
      <w:bookmarkStart w:id="695" w:name="_Toc45552367"/>
      <w:r>
        <w:rPr>
          <w:rFonts w:hint="eastAsia" w:ascii="仿宋" w:hAnsi="仿宋" w:eastAsia="仿宋" w:cs="仿宋"/>
          <w:sz w:val="24"/>
          <w:highlight w:val="none"/>
        </w:rPr>
        <w:t>1.5 合同文件的优先顺序</w:t>
      </w:r>
      <w:bookmarkEnd w:id="695"/>
    </w:p>
    <w:p w14:paraId="6EB3DEFE">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合同文件组成及优先顺序为：</w:t>
      </w:r>
      <w:r>
        <w:rPr>
          <w:rFonts w:hint="eastAsia" w:ascii="仿宋" w:hAnsi="仿宋" w:eastAsia="仿宋" w:cs="仿宋"/>
          <w:sz w:val="24"/>
          <w:highlight w:val="none"/>
          <w:u w:val="single"/>
        </w:rPr>
        <w:t>                </w:t>
      </w:r>
      <w:r>
        <w:rPr>
          <w:rFonts w:hint="eastAsia" w:ascii="仿宋" w:hAnsi="仿宋" w:eastAsia="仿宋" w:cs="仿宋"/>
          <w:sz w:val="24"/>
          <w:highlight w:val="none"/>
        </w:rPr>
        <w:t>。</w:t>
      </w:r>
    </w:p>
    <w:p w14:paraId="16BB21A4">
      <w:pPr>
        <w:adjustRightInd w:val="0"/>
        <w:snapToGrid w:val="0"/>
        <w:spacing w:line="360" w:lineRule="auto"/>
        <w:ind w:firstLine="480" w:firstLineChars="200"/>
        <w:outlineLvl w:val="3"/>
        <w:rPr>
          <w:rFonts w:hint="eastAsia" w:ascii="仿宋" w:hAnsi="仿宋" w:eastAsia="仿宋" w:cs="仿宋"/>
          <w:sz w:val="24"/>
          <w:highlight w:val="none"/>
        </w:rPr>
      </w:pPr>
      <w:bookmarkStart w:id="696" w:name="_Toc45552368"/>
      <w:r>
        <w:rPr>
          <w:rFonts w:hint="eastAsia" w:ascii="仿宋" w:hAnsi="仿宋" w:eastAsia="仿宋" w:cs="仿宋"/>
          <w:sz w:val="24"/>
          <w:highlight w:val="none"/>
        </w:rPr>
        <w:t>1.6 图纸和承包人文件</w:t>
      </w:r>
      <w:bookmarkEnd w:id="696"/>
      <w:r>
        <w:rPr>
          <w:rFonts w:hint="eastAsia" w:ascii="仿宋" w:hAnsi="仿宋" w:eastAsia="仿宋" w:cs="仿宋"/>
          <w:sz w:val="24"/>
          <w:highlight w:val="none"/>
        </w:rPr>
        <w:tab/>
      </w:r>
    </w:p>
    <w:p w14:paraId="1743832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1.6.1 图纸的提供</w:t>
      </w:r>
    </w:p>
    <w:p w14:paraId="588DB827">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发包人向承包人提供图纸的期限：</w:t>
      </w:r>
      <w:r>
        <w:rPr>
          <w:rFonts w:hint="eastAsia" w:ascii="仿宋" w:hAnsi="仿宋" w:eastAsia="仿宋" w:cs="仿宋"/>
          <w:sz w:val="24"/>
          <w:highlight w:val="none"/>
          <w:u w:val="single"/>
        </w:rPr>
        <w:t>    </w:t>
      </w:r>
      <w:r>
        <w:rPr>
          <w:rFonts w:hint="eastAsia" w:ascii="仿宋" w:hAnsi="仿宋" w:eastAsia="仿宋" w:cs="仿宋"/>
          <w:sz w:val="24"/>
          <w:highlight w:val="none"/>
        </w:rPr>
        <w:t>；</w:t>
      </w:r>
    </w:p>
    <w:p w14:paraId="2EF47EE0">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发包人向承包人提供图纸的数量：</w:t>
      </w:r>
      <w:r>
        <w:rPr>
          <w:rFonts w:hint="eastAsia" w:ascii="仿宋" w:hAnsi="仿宋" w:eastAsia="仿宋" w:cs="仿宋"/>
          <w:sz w:val="24"/>
          <w:highlight w:val="none"/>
          <w:u w:val="single"/>
        </w:rPr>
        <w:t>    </w:t>
      </w:r>
      <w:r>
        <w:rPr>
          <w:rFonts w:hint="eastAsia" w:ascii="仿宋" w:hAnsi="仿宋" w:eastAsia="仿宋" w:cs="仿宋"/>
          <w:sz w:val="24"/>
          <w:highlight w:val="none"/>
        </w:rPr>
        <w:t>；</w:t>
      </w:r>
    </w:p>
    <w:p w14:paraId="1A906D9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发包人向承包人提供图纸的内容：</w:t>
      </w:r>
      <w:r>
        <w:rPr>
          <w:rFonts w:hint="eastAsia" w:ascii="仿宋" w:hAnsi="仿宋" w:eastAsia="仿宋" w:cs="仿宋"/>
          <w:sz w:val="24"/>
          <w:highlight w:val="none"/>
          <w:u w:val="single"/>
        </w:rPr>
        <w:t>    </w:t>
      </w:r>
      <w:r>
        <w:rPr>
          <w:rFonts w:hint="eastAsia" w:ascii="仿宋" w:hAnsi="仿宋" w:eastAsia="仿宋" w:cs="仿宋"/>
          <w:sz w:val="24"/>
          <w:highlight w:val="none"/>
        </w:rPr>
        <w:t>。</w:t>
      </w:r>
    </w:p>
    <w:p w14:paraId="56D0EF77">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1.6.4 承包人文件</w:t>
      </w:r>
    </w:p>
    <w:p w14:paraId="2126AA5B">
      <w:pPr>
        <w:adjustRightInd w:val="0"/>
        <w:snapToGrid w:val="0"/>
        <w:spacing w:line="360" w:lineRule="auto"/>
        <w:ind w:left="596" w:leftChars="284"/>
        <w:jc w:val="left"/>
        <w:rPr>
          <w:rFonts w:hint="eastAsia" w:ascii="仿宋" w:hAnsi="仿宋" w:eastAsia="仿宋" w:cs="仿宋"/>
          <w:sz w:val="24"/>
          <w:highlight w:val="none"/>
          <w:u w:val="single"/>
        </w:rPr>
      </w:pPr>
      <w:r>
        <w:rPr>
          <w:rFonts w:hint="eastAsia" w:ascii="仿宋" w:hAnsi="仿宋" w:eastAsia="仿宋" w:cs="仿宋"/>
          <w:sz w:val="24"/>
          <w:highlight w:val="none"/>
        </w:rPr>
        <w:t>需要由承包人提供的文件，包括：</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0FFA5292">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承包人提供的文件的期限为：</w:t>
      </w:r>
      <w:r>
        <w:rPr>
          <w:rFonts w:hint="eastAsia" w:ascii="仿宋" w:hAnsi="仿宋" w:eastAsia="仿宋" w:cs="仿宋"/>
          <w:sz w:val="24"/>
          <w:highlight w:val="none"/>
          <w:u w:val="single"/>
        </w:rPr>
        <w:t>       </w:t>
      </w:r>
      <w:r>
        <w:rPr>
          <w:rFonts w:hint="eastAsia" w:ascii="仿宋" w:hAnsi="仿宋" w:eastAsia="仿宋" w:cs="仿宋"/>
          <w:sz w:val="24"/>
          <w:highlight w:val="none"/>
        </w:rPr>
        <w:t>；</w:t>
      </w:r>
    </w:p>
    <w:p w14:paraId="3FF5E4B0">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承包人提供的文件的数量为：</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5A6E9ED1">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承包人提供的文件的形式为：</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6BD5D69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发包人审批承包人文件的期限：</w:t>
      </w:r>
      <w:r>
        <w:rPr>
          <w:rFonts w:hint="eastAsia" w:ascii="仿宋" w:hAnsi="仿宋" w:eastAsia="仿宋" w:cs="仿宋"/>
          <w:sz w:val="24"/>
          <w:highlight w:val="none"/>
          <w:u w:val="single"/>
        </w:rPr>
        <w:t>       </w:t>
      </w:r>
      <w:r>
        <w:rPr>
          <w:rFonts w:hint="eastAsia" w:ascii="仿宋" w:hAnsi="仿宋" w:eastAsia="仿宋" w:cs="仿宋"/>
          <w:sz w:val="24"/>
          <w:highlight w:val="none"/>
        </w:rPr>
        <w:t>。</w:t>
      </w:r>
    </w:p>
    <w:p w14:paraId="017D99C6">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1.6.5 现场图纸准备</w:t>
      </w:r>
    </w:p>
    <w:p w14:paraId="34D1F72F">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关于现场图纸准备的约定：</w:t>
      </w:r>
      <w:r>
        <w:rPr>
          <w:rFonts w:hint="eastAsia" w:ascii="仿宋" w:hAnsi="仿宋" w:eastAsia="仿宋" w:cs="仿宋"/>
          <w:sz w:val="24"/>
          <w:highlight w:val="none"/>
          <w:u w:val="single"/>
        </w:rPr>
        <w:t>          </w:t>
      </w:r>
      <w:r>
        <w:rPr>
          <w:rFonts w:hint="eastAsia" w:ascii="仿宋" w:hAnsi="仿宋" w:eastAsia="仿宋" w:cs="仿宋"/>
          <w:sz w:val="24"/>
          <w:highlight w:val="none"/>
        </w:rPr>
        <w:t>。</w:t>
      </w:r>
    </w:p>
    <w:p w14:paraId="064AE526">
      <w:pPr>
        <w:adjustRightInd w:val="0"/>
        <w:snapToGrid w:val="0"/>
        <w:spacing w:line="360" w:lineRule="auto"/>
        <w:ind w:firstLine="480" w:firstLineChars="200"/>
        <w:outlineLvl w:val="3"/>
        <w:rPr>
          <w:rFonts w:hint="eastAsia" w:ascii="仿宋" w:hAnsi="仿宋" w:eastAsia="仿宋" w:cs="仿宋"/>
          <w:sz w:val="24"/>
          <w:highlight w:val="none"/>
        </w:rPr>
      </w:pPr>
      <w:bookmarkStart w:id="697" w:name="_Toc45552369"/>
      <w:r>
        <w:rPr>
          <w:rFonts w:hint="eastAsia" w:ascii="仿宋" w:hAnsi="仿宋" w:eastAsia="仿宋" w:cs="仿宋"/>
          <w:sz w:val="24"/>
          <w:highlight w:val="none"/>
        </w:rPr>
        <w:t>1.7 联络</w:t>
      </w:r>
      <w:bookmarkEnd w:id="697"/>
    </w:p>
    <w:p w14:paraId="075B96D6">
      <w:pPr>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1.7.1发包人和承包人应当在</w:t>
      </w:r>
      <w:r>
        <w:rPr>
          <w:rFonts w:hint="eastAsia" w:ascii="仿宋" w:hAnsi="仿宋" w:eastAsia="仿宋" w:cs="仿宋"/>
          <w:sz w:val="24"/>
          <w:highlight w:val="none"/>
          <w:u w:val="single"/>
        </w:rPr>
        <w:t xml:space="preserve">    </w:t>
      </w:r>
      <w:r>
        <w:rPr>
          <w:rFonts w:hint="eastAsia" w:ascii="仿宋" w:hAnsi="仿宋" w:eastAsia="仿宋" w:cs="仿宋"/>
          <w:kern w:val="0"/>
          <w:sz w:val="24"/>
          <w:highlight w:val="none"/>
        </w:rPr>
        <w:t>天内将与合同有关的通知、批准、证明、证书、指示、指令、要求、请求、同意、意见、确定和决定等书面函件送达对方当事人。</w:t>
      </w:r>
    </w:p>
    <w:p w14:paraId="3BBA5BF4">
      <w:pPr>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1.7.2 发包人接收文件的地点：</w:t>
      </w:r>
      <w:r>
        <w:rPr>
          <w:rFonts w:hint="eastAsia" w:ascii="仿宋" w:hAnsi="仿宋" w:eastAsia="仿宋" w:cs="仿宋"/>
          <w:sz w:val="24"/>
          <w:highlight w:val="none"/>
          <w:u w:val="single"/>
        </w:rPr>
        <w:t>      </w:t>
      </w:r>
      <w:r>
        <w:rPr>
          <w:rFonts w:hint="eastAsia" w:ascii="仿宋" w:hAnsi="仿宋" w:eastAsia="仿宋" w:cs="仿宋"/>
          <w:kern w:val="0"/>
          <w:sz w:val="24"/>
          <w:highlight w:val="none"/>
        </w:rPr>
        <w:t>；</w:t>
      </w:r>
    </w:p>
    <w:p w14:paraId="0AB7D729">
      <w:pPr>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发包人指定的接收人为：</w:t>
      </w:r>
      <w:r>
        <w:rPr>
          <w:rFonts w:hint="eastAsia" w:ascii="仿宋" w:hAnsi="仿宋" w:eastAsia="仿宋" w:cs="仿宋"/>
          <w:sz w:val="24"/>
          <w:highlight w:val="none"/>
          <w:u w:val="single"/>
        </w:rPr>
        <w:t>               </w:t>
      </w:r>
      <w:r>
        <w:rPr>
          <w:rFonts w:hint="eastAsia" w:ascii="仿宋" w:hAnsi="仿宋" w:eastAsia="仿宋" w:cs="仿宋"/>
          <w:kern w:val="0"/>
          <w:sz w:val="24"/>
          <w:highlight w:val="none"/>
        </w:rPr>
        <w:t>。</w:t>
      </w:r>
    </w:p>
    <w:p w14:paraId="507DE0EC">
      <w:pPr>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承包人接收文件的地点：</w:t>
      </w:r>
      <w:r>
        <w:rPr>
          <w:rFonts w:hint="eastAsia" w:ascii="仿宋" w:hAnsi="仿宋" w:eastAsia="仿宋" w:cs="仿宋"/>
          <w:sz w:val="24"/>
          <w:highlight w:val="none"/>
          <w:u w:val="single"/>
        </w:rPr>
        <w:t>             </w:t>
      </w:r>
      <w:r>
        <w:rPr>
          <w:rFonts w:hint="eastAsia" w:ascii="仿宋" w:hAnsi="仿宋" w:eastAsia="仿宋" w:cs="仿宋"/>
          <w:kern w:val="0"/>
          <w:sz w:val="24"/>
          <w:highlight w:val="none"/>
        </w:rPr>
        <w:t>；</w:t>
      </w:r>
    </w:p>
    <w:p w14:paraId="6391FCA5">
      <w:pPr>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承包人指定的接收人为：</w:t>
      </w:r>
      <w:r>
        <w:rPr>
          <w:rFonts w:hint="eastAsia" w:ascii="仿宋" w:hAnsi="仿宋" w:eastAsia="仿宋" w:cs="仿宋"/>
          <w:sz w:val="24"/>
          <w:highlight w:val="none"/>
          <w:u w:val="single"/>
        </w:rPr>
        <w:t>             </w:t>
      </w:r>
      <w:r>
        <w:rPr>
          <w:rFonts w:hint="eastAsia" w:ascii="仿宋" w:hAnsi="仿宋" w:eastAsia="仿宋" w:cs="仿宋"/>
          <w:kern w:val="0"/>
          <w:sz w:val="24"/>
          <w:highlight w:val="none"/>
        </w:rPr>
        <w:t>。</w:t>
      </w:r>
    </w:p>
    <w:p w14:paraId="51B47C2C">
      <w:pPr>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监理人接收文件的地点：</w:t>
      </w:r>
      <w:r>
        <w:rPr>
          <w:rFonts w:hint="eastAsia" w:ascii="仿宋" w:hAnsi="仿宋" w:eastAsia="仿宋" w:cs="仿宋"/>
          <w:sz w:val="24"/>
          <w:highlight w:val="none"/>
          <w:u w:val="single"/>
        </w:rPr>
        <w:t>            </w:t>
      </w:r>
      <w:r>
        <w:rPr>
          <w:rFonts w:hint="eastAsia" w:ascii="仿宋" w:hAnsi="仿宋" w:eastAsia="仿宋" w:cs="仿宋"/>
          <w:kern w:val="0"/>
          <w:sz w:val="24"/>
          <w:highlight w:val="none"/>
        </w:rPr>
        <w:t>；</w:t>
      </w:r>
    </w:p>
    <w:p w14:paraId="08756341">
      <w:pPr>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监理人指定的接收人为：</w:t>
      </w:r>
      <w:r>
        <w:rPr>
          <w:rFonts w:hint="eastAsia" w:ascii="仿宋" w:hAnsi="仿宋" w:eastAsia="仿宋" w:cs="仿宋"/>
          <w:sz w:val="24"/>
          <w:highlight w:val="none"/>
          <w:u w:val="single"/>
        </w:rPr>
        <w:t>            </w:t>
      </w:r>
      <w:r>
        <w:rPr>
          <w:rFonts w:hint="eastAsia" w:ascii="仿宋" w:hAnsi="仿宋" w:eastAsia="仿宋" w:cs="仿宋"/>
          <w:kern w:val="0"/>
          <w:sz w:val="24"/>
          <w:highlight w:val="none"/>
        </w:rPr>
        <w:t>。</w:t>
      </w:r>
    </w:p>
    <w:p w14:paraId="703A923C">
      <w:pPr>
        <w:adjustRightInd w:val="0"/>
        <w:snapToGrid w:val="0"/>
        <w:spacing w:line="360" w:lineRule="auto"/>
        <w:ind w:firstLine="480" w:firstLineChars="200"/>
        <w:outlineLvl w:val="3"/>
        <w:rPr>
          <w:rFonts w:hint="eastAsia" w:ascii="仿宋" w:hAnsi="仿宋" w:eastAsia="仿宋" w:cs="仿宋"/>
          <w:sz w:val="24"/>
          <w:highlight w:val="none"/>
        </w:rPr>
      </w:pPr>
      <w:bookmarkStart w:id="698" w:name="_Toc45552370"/>
      <w:r>
        <w:rPr>
          <w:rFonts w:hint="eastAsia" w:ascii="仿宋" w:hAnsi="仿宋" w:eastAsia="仿宋" w:cs="仿宋"/>
          <w:sz w:val="24"/>
          <w:highlight w:val="none"/>
        </w:rPr>
        <w:t>1.10 交通运输</w:t>
      </w:r>
      <w:bookmarkEnd w:id="698"/>
    </w:p>
    <w:p w14:paraId="75F7A5D4">
      <w:pPr>
        <w:adjustRightInd w:val="0"/>
        <w:snapToGrid w:val="0"/>
        <w:spacing w:line="360" w:lineRule="auto"/>
        <w:ind w:firstLine="480" w:firstLineChars="200"/>
        <w:rPr>
          <w:rFonts w:hint="eastAsia" w:ascii="仿宋" w:hAnsi="仿宋" w:eastAsia="仿宋" w:cs="仿宋"/>
          <w:sz w:val="24"/>
          <w:highlight w:val="none"/>
        </w:rPr>
      </w:pPr>
      <w:bookmarkStart w:id="699" w:name="_Toc45552371"/>
      <w:r>
        <w:rPr>
          <w:rFonts w:hint="eastAsia" w:ascii="仿宋" w:hAnsi="仿宋" w:eastAsia="仿宋" w:cs="仿宋"/>
          <w:sz w:val="24"/>
          <w:highlight w:val="none"/>
        </w:rPr>
        <w:t>1</w:t>
      </w:r>
      <w:bookmarkStart w:id="700" w:name="_Toc318581155"/>
      <w:bookmarkStart w:id="701" w:name="_Toc300934943"/>
      <w:bookmarkStart w:id="702" w:name="_Toc312677986"/>
      <w:bookmarkStart w:id="703" w:name="_Toc304295521"/>
      <w:bookmarkStart w:id="704" w:name="_Toc303539100"/>
      <w:r>
        <w:rPr>
          <w:rFonts w:hint="eastAsia" w:ascii="仿宋" w:hAnsi="仿宋" w:eastAsia="仿宋" w:cs="仿宋"/>
          <w:sz w:val="24"/>
          <w:highlight w:val="none"/>
        </w:rPr>
        <w:t>.10.1 出入现场的权利</w:t>
      </w:r>
      <w:bookmarkEnd w:id="699"/>
    </w:p>
    <w:p w14:paraId="5DA96BF2">
      <w:pPr>
        <w:adjustRightInd w:val="0"/>
        <w:snapToGrid w:val="0"/>
        <w:spacing w:line="360" w:lineRule="auto"/>
        <w:ind w:left="596" w:leftChars="284"/>
        <w:rPr>
          <w:rFonts w:hint="eastAsia" w:ascii="仿宋" w:hAnsi="仿宋" w:eastAsia="仿宋" w:cs="仿宋"/>
          <w:sz w:val="24"/>
          <w:highlight w:val="none"/>
          <w:u w:val="single"/>
        </w:rPr>
      </w:pPr>
      <w:r>
        <w:rPr>
          <w:rFonts w:hint="eastAsia" w:ascii="仿宋" w:hAnsi="仿宋" w:eastAsia="仿宋" w:cs="仿宋"/>
          <w:sz w:val="24"/>
          <w:highlight w:val="none"/>
        </w:rPr>
        <w:t>关于出入现场的权利的约定：</w:t>
      </w:r>
      <w:r>
        <w:rPr>
          <w:rFonts w:hint="eastAsia" w:ascii="仿宋" w:hAnsi="仿宋" w:eastAsia="仿宋" w:cs="仿宋"/>
          <w:sz w:val="24"/>
          <w:highlight w:val="none"/>
          <w:u w:val="single"/>
        </w:rPr>
        <w:t>      </w:t>
      </w:r>
      <w:r>
        <w:rPr>
          <w:rFonts w:hint="eastAsia" w:ascii="仿宋" w:hAnsi="仿宋" w:eastAsia="仿宋" w:cs="仿宋"/>
          <w:sz w:val="24"/>
          <w:highlight w:val="none"/>
        </w:rPr>
        <w:t>。</w:t>
      </w:r>
    </w:p>
    <w:bookmarkEnd w:id="700"/>
    <w:bookmarkEnd w:id="701"/>
    <w:bookmarkEnd w:id="702"/>
    <w:bookmarkEnd w:id="703"/>
    <w:bookmarkEnd w:id="704"/>
    <w:p w14:paraId="13B9A5FC">
      <w:pPr>
        <w:adjustRightInd w:val="0"/>
        <w:snapToGrid w:val="0"/>
        <w:spacing w:line="360" w:lineRule="auto"/>
        <w:ind w:firstLine="480" w:firstLineChars="200"/>
        <w:jc w:val="left"/>
        <w:rPr>
          <w:rFonts w:hint="eastAsia" w:ascii="仿宋" w:hAnsi="仿宋" w:eastAsia="仿宋" w:cs="仿宋"/>
          <w:sz w:val="24"/>
          <w:highlight w:val="none"/>
        </w:rPr>
      </w:pPr>
      <w:bookmarkStart w:id="705" w:name="_Toc45552372"/>
      <w:r>
        <w:rPr>
          <w:rFonts w:hint="eastAsia" w:ascii="仿宋" w:hAnsi="仿宋" w:eastAsia="仿宋" w:cs="仿宋"/>
          <w:sz w:val="24"/>
          <w:highlight w:val="none"/>
        </w:rPr>
        <w:t>1</w:t>
      </w:r>
      <w:bookmarkStart w:id="706" w:name="_Toc318581156"/>
      <w:bookmarkStart w:id="707" w:name="_Toc300934944"/>
      <w:bookmarkStart w:id="708" w:name="_Toc304295522"/>
      <w:bookmarkStart w:id="709" w:name="_Toc303539101"/>
      <w:bookmarkStart w:id="710" w:name="_Toc312677987"/>
      <w:r>
        <w:rPr>
          <w:rFonts w:hint="eastAsia" w:ascii="仿宋" w:hAnsi="仿宋" w:eastAsia="仿宋" w:cs="仿宋"/>
          <w:sz w:val="24"/>
          <w:highlight w:val="none"/>
        </w:rPr>
        <w:t>.10.3 场内交通</w:t>
      </w:r>
      <w:bookmarkEnd w:id="705"/>
    </w:p>
    <w:p w14:paraId="65356FB2">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关于场外交通和场内交通的边界的约定：</w:t>
      </w:r>
      <w:r>
        <w:rPr>
          <w:rFonts w:hint="eastAsia" w:ascii="仿宋" w:hAnsi="仿宋" w:eastAsia="仿宋" w:cs="仿宋"/>
          <w:sz w:val="24"/>
          <w:highlight w:val="none"/>
          <w:u w:val="single"/>
        </w:rPr>
        <w:t>                  </w:t>
      </w:r>
      <w:r>
        <w:rPr>
          <w:rFonts w:hint="eastAsia" w:ascii="仿宋" w:hAnsi="仿宋" w:eastAsia="仿宋" w:cs="仿宋"/>
          <w:sz w:val="24"/>
          <w:highlight w:val="none"/>
        </w:rPr>
        <w:t>。</w:t>
      </w:r>
    </w:p>
    <w:p w14:paraId="4C7AC795">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关于发包人向承包人免费提供满足工程施工需要的场内道路和交通设施的约定：</w:t>
      </w:r>
      <w:r>
        <w:rPr>
          <w:rFonts w:hint="eastAsia" w:ascii="仿宋" w:hAnsi="仿宋" w:eastAsia="仿宋" w:cs="仿宋"/>
          <w:sz w:val="24"/>
          <w:highlight w:val="none"/>
          <w:u w:val="single"/>
        </w:rPr>
        <w:t></w:t>
      </w:r>
      <w:r>
        <w:rPr>
          <w:rFonts w:hint="eastAsia" w:ascii="仿宋" w:hAnsi="仿宋" w:eastAsia="仿宋" w:cs="仿宋"/>
          <w:sz w:val="24"/>
          <w:highlight w:val="none"/>
        </w:rPr>
        <w:t>。</w:t>
      </w:r>
      <w:bookmarkEnd w:id="706"/>
      <w:bookmarkEnd w:id="707"/>
      <w:bookmarkEnd w:id="708"/>
      <w:bookmarkEnd w:id="709"/>
      <w:bookmarkEnd w:id="710"/>
      <w:r>
        <w:rPr>
          <w:rFonts w:hint="eastAsia" w:ascii="仿宋" w:hAnsi="仿宋" w:eastAsia="仿宋" w:cs="仿宋"/>
          <w:sz w:val="24"/>
          <w:highlight w:val="none"/>
        </w:rPr>
        <w:t xml:space="preserve">  </w:t>
      </w:r>
      <w:bookmarkStart w:id="711" w:name="_Toc318581157"/>
    </w:p>
    <w:p w14:paraId="499D303B">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1.10.4超大件和超重件的运输</w:t>
      </w:r>
    </w:p>
    <w:p w14:paraId="6A3A44B7">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运输超大件或超重件所需的道路和桥梁临时加固改造费用和其他有关费用由</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承担。</w:t>
      </w:r>
    </w:p>
    <w:bookmarkEnd w:id="711"/>
    <w:p w14:paraId="65F17418">
      <w:pPr>
        <w:adjustRightInd w:val="0"/>
        <w:snapToGrid w:val="0"/>
        <w:spacing w:line="360" w:lineRule="auto"/>
        <w:ind w:firstLine="480" w:firstLineChars="200"/>
        <w:outlineLvl w:val="3"/>
        <w:rPr>
          <w:rFonts w:hint="eastAsia" w:ascii="仿宋" w:hAnsi="仿宋" w:eastAsia="仿宋" w:cs="仿宋"/>
          <w:sz w:val="24"/>
          <w:highlight w:val="none"/>
        </w:rPr>
      </w:pPr>
      <w:bookmarkStart w:id="712" w:name="_Toc351203634"/>
      <w:r>
        <w:rPr>
          <w:rFonts w:hint="eastAsia" w:ascii="仿宋" w:hAnsi="仿宋" w:eastAsia="仿宋" w:cs="仿宋"/>
          <w:sz w:val="24"/>
          <w:highlight w:val="none"/>
        </w:rPr>
        <w:t>1.11 知识产权</w:t>
      </w:r>
    </w:p>
    <w:p w14:paraId="4003FF96">
      <w:pPr>
        <w:adjustRightInd w:val="0"/>
        <w:snapToGrid w:val="0"/>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75641179">
      <w:pPr>
        <w:adjustRightInd w:val="0"/>
        <w:snapToGrid w:val="0"/>
        <w:spacing w:line="360" w:lineRule="auto"/>
        <w:ind w:left="596" w:leftChars="284"/>
        <w:rPr>
          <w:rFonts w:hint="eastAsia" w:ascii="仿宋" w:hAnsi="仿宋" w:eastAsia="仿宋" w:cs="仿宋"/>
          <w:sz w:val="24"/>
          <w:highlight w:val="none"/>
          <w:u w:val="single"/>
        </w:rPr>
      </w:pPr>
      <w:r>
        <w:rPr>
          <w:rFonts w:hint="eastAsia" w:ascii="仿宋" w:hAnsi="仿宋" w:eastAsia="仿宋" w:cs="仿宋"/>
          <w:sz w:val="24"/>
          <w:highlight w:val="none"/>
        </w:rPr>
        <w:t>关于发包人提供的上述文件的使用限制的要求：</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602B891A">
      <w:pPr>
        <w:adjustRightInd w:val="0"/>
        <w:snapToGrid w:val="0"/>
        <w:spacing w:line="360" w:lineRule="auto"/>
        <w:ind w:left="596" w:leftChars="284"/>
        <w:rPr>
          <w:rFonts w:hint="eastAsia" w:ascii="仿宋" w:hAnsi="仿宋" w:eastAsia="仿宋" w:cs="仿宋"/>
          <w:sz w:val="24"/>
          <w:highlight w:val="none"/>
          <w:u w:val="single"/>
        </w:rPr>
      </w:pPr>
      <w:r>
        <w:rPr>
          <w:rFonts w:hint="eastAsia" w:ascii="仿宋" w:hAnsi="仿宋" w:eastAsia="仿宋" w:cs="仿宋"/>
          <w:sz w:val="24"/>
          <w:highlight w:val="none"/>
        </w:rPr>
        <w:t>1.11.2 关于承包人为实施工程所编制文件的著作权的归属：</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49CDA4F3">
      <w:pPr>
        <w:adjustRightInd w:val="0"/>
        <w:snapToGrid w:val="0"/>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关于承包人提供的上述文件的使用限制的要求：</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797EC0F">
      <w:pPr>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sz w:val="24"/>
          <w:highlight w:val="none"/>
        </w:rPr>
        <w:t>1.11.4 承包人在施工过程中所采用的专利、专有技术、技术秘密的使用费的承担方式：</w:t>
      </w:r>
      <w:r>
        <w:rPr>
          <w:rFonts w:hint="eastAsia" w:ascii="仿宋" w:hAnsi="仿宋" w:eastAsia="仿宋" w:cs="仿宋"/>
          <w:sz w:val="24"/>
          <w:highlight w:val="none"/>
          <w:u w:val="single"/>
        </w:rPr>
        <w:t xml:space="preserve">   </w:t>
      </w:r>
      <w:r>
        <w:rPr>
          <w:rFonts w:hint="eastAsia" w:ascii="仿宋" w:hAnsi="仿宋" w:eastAsia="仿宋" w:cs="仿宋"/>
          <w:kern w:val="0"/>
          <w:sz w:val="24"/>
          <w:highlight w:val="none"/>
        </w:rPr>
        <w:t>。</w:t>
      </w:r>
    </w:p>
    <w:p w14:paraId="760E5F76">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1.13工程量清单错误的修正</w:t>
      </w:r>
    </w:p>
    <w:p w14:paraId="1AE31CA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出现工程量清单错误时，是否调整合同价格：</w:t>
      </w:r>
      <w:r>
        <w:rPr>
          <w:rFonts w:hint="eastAsia" w:ascii="仿宋" w:hAnsi="仿宋" w:eastAsia="仿宋" w:cs="仿宋"/>
          <w:sz w:val="24"/>
          <w:highlight w:val="none"/>
          <w:u w:val="single"/>
        </w:rPr>
        <w:t xml:space="preserve">            </w:t>
      </w:r>
      <w:r>
        <w:rPr>
          <w:rFonts w:hint="eastAsia" w:ascii="仿宋" w:hAnsi="仿宋" w:eastAsia="仿宋" w:cs="仿宋"/>
          <w:kern w:val="0"/>
          <w:sz w:val="24"/>
          <w:highlight w:val="none"/>
        </w:rPr>
        <w:t>。</w:t>
      </w:r>
    </w:p>
    <w:p w14:paraId="3B98FABD">
      <w:pPr>
        <w:adjustRightInd w:val="0"/>
        <w:snapToGrid w:val="0"/>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允许调整合同价格的工程量偏差范围：</w:t>
      </w:r>
      <w:r>
        <w:rPr>
          <w:rFonts w:hint="eastAsia" w:ascii="仿宋" w:hAnsi="仿宋" w:eastAsia="仿宋" w:cs="仿宋"/>
          <w:sz w:val="24"/>
          <w:highlight w:val="none"/>
          <w:u w:val="single"/>
        </w:rPr>
        <w:t xml:space="preserve">                 </w:t>
      </w:r>
      <w:r>
        <w:rPr>
          <w:rFonts w:hint="eastAsia" w:ascii="仿宋" w:hAnsi="仿宋" w:eastAsia="仿宋" w:cs="仿宋"/>
          <w:kern w:val="0"/>
          <w:sz w:val="24"/>
          <w:highlight w:val="none"/>
        </w:rPr>
        <w:t>。</w:t>
      </w:r>
    </w:p>
    <w:p w14:paraId="70E5C398">
      <w:pPr>
        <w:pStyle w:val="4"/>
        <w:adjustRightInd w:val="0"/>
        <w:snapToGrid w:val="0"/>
        <w:spacing w:before="0"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w:t>
      </w:r>
      <w:bookmarkStart w:id="713" w:name="_Toc296890985"/>
      <w:bookmarkStart w:id="714" w:name="_Toc297120457"/>
      <w:bookmarkStart w:id="715" w:name="_Toc296503157"/>
      <w:bookmarkStart w:id="716" w:name="_Toc292559362"/>
      <w:bookmarkStart w:id="717" w:name="_Toc296347156"/>
      <w:bookmarkStart w:id="718" w:name="_Toc292559867"/>
      <w:bookmarkStart w:id="719" w:name="_Toc296346658"/>
      <w:bookmarkStart w:id="720" w:name="_Toc296891197"/>
      <w:bookmarkStart w:id="721" w:name="_Toc297048343"/>
      <w:bookmarkStart w:id="722" w:name="_Toc296944496"/>
      <w:r>
        <w:rPr>
          <w:rFonts w:hint="eastAsia" w:ascii="仿宋" w:hAnsi="仿宋" w:eastAsia="仿宋" w:cs="仿宋"/>
          <w:sz w:val="24"/>
          <w:szCs w:val="24"/>
          <w:highlight w:val="none"/>
        </w:rPr>
        <w:t>. 发包人</w:t>
      </w:r>
      <w:bookmarkEnd w:id="712"/>
    </w:p>
    <w:bookmarkEnd w:id="713"/>
    <w:bookmarkEnd w:id="714"/>
    <w:bookmarkEnd w:id="715"/>
    <w:bookmarkEnd w:id="716"/>
    <w:bookmarkEnd w:id="717"/>
    <w:bookmarkEnd w:id="718"/>
    <w:bookmarkEnd w:id="719"/>
    <w:bookmarkEnd w:id="720"/>
    <w:bookmarkEnd w:id="721"/>
    <w:bookmarkEnd w:id="722"/>
    <w:p w14:paraId="2EC75CA0">
      <w:pPr>
        <w:adjustRightInd w:val="0"/>
        <w:snapToGrid w:val="0"/>
        <w:spacing w:line="360" w:lineRule="auto"/>
        <w:ind w:firstLine="480" w:firstLineChars="200"/>
        <w:outlineLvl w:val="3"/>
        <w:rPr>
          <w:rFonts w:hint="eastAsia" w:ascii="仿宋" w:hAnsi="仿宋" w:eastAsia="仿宋" w:cs="仿宋"/>
          <w:sz w:val="24"/>
          <w:highlight w:val="none"/>
        </w:rPr>
      </w:pPr>
      <w:bookmarkStart w:id="723" w:name="_Toc45552376"/>
      <w:r>
        <w:rPr>
          <w:rFonts w:hint="eastAsia" w:ascii="仿宋" w:hAnsi="仿宋" w:eastAsia="仿宋" w:cs="仿宋"/>
          <w:sz w:val="24"/>
          <w:highlight w:val="none"/>
        </w:rPr>
        <w:t>2.2 发包人代表</w:t>
      </w:r>
      <w:bookmarkEnd w:id="723"/>
    </w:p>
    <w:p w14:paraId="13D0D149">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发包人代表：</w:t>
      </w:r>
    </w:p>
    <w:p w14:paraId="5B24E8A5">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姓    名：</w:t>
      </w:r>
      <w:r>
        <w:rPr>
          <w:rFonts w:hint="eastAsia" w:ascii="仿宋" w:hAnsi="仿宋" w:eastAsia="仿宋" w:cs="仿宋"/>
          <w:sz w:val="24"/>
          <w:highlight w:val="none"/>
          <w:u w:val="single"/>
        </w:rPr>
        <w:t>     </w:t>
      </w:r>
      <w:r>
        <w:rPr>
          <w:rFonts w:hint="eastAsia" w:ascii="仿宋" w:hAnsi="仿宋" w:eastAsia="仿宋" w:cs="仿宋"/>
          <w:sz w:val="24"/>
          <w:highlight w:val="none"/>
        </w:rPr>
        <w:t>；</w:t>
      </w:r>
    </w:p>
    <w:p w14:paraId="41820356">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身份证号：</w:t>
      </w:r>
      <w:r>
        <w:rPr>
          <w:rFonts w:hint="eastAsia" w:ascii="仿宋" w:hAnsi="仿宋" w:eastAsia="仿宋" w:cs="仿宋"/>
          <w:sz w:val="24"/>
          <w:highlight w:val="none"/>
          <w:u w:val="single"/>
        </w:rPr>
        <w:t>      </w:t>
      </w:r>
      <w:r>
        <w:rPr>
          <w:rFonts w:hint="eastAsia" w:ascii="仿宋" w:hAnsi="仿宋" w:eastAsia="仿宋" w:cs="仿宋"/>
          <w:sz w:val="24"/>
          <w:highlight w:val="none"/>
        </w:rPr>
        <w:t>；</w:t>
      </w:r>
    </w:p>
    <w:p w14:paraId="1E25C2A3">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职    务：</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3046DA92">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联系电话：</w:t>
      </w:r>
      <w:r>
        <w:rPr>
          <w:rFonts w:hint="eastAsia" w:ascii="仿宋" w:hAnsi="仿宋" w:eastAsia="仿宋" w:cs="仿宋"/>
          <w:sz w:val="24"/>
          <w:highlight w:val="none"/>
          <w:u w:val="single"/>
        </w:rPr>
        <w:t>     </w:t>
      </w:r>
      <w:r>
        <w:rPr>
          <w:rFonts w:hint="eastAsia" w:ascii="仿宋" w:hAnsi="仿宋" w:eastAsia="仿宋" w:cs="仿宋"/>
          <w:sz w:val="24"/>
          <w:highlight w:val="none"/>
        </w:rPr>
        <w:t>；</w:t>
      </w:r>
    </w:p>
    <w:p w14:paraId="156A053D">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电子信箱：</w:t>
      </w:r>
      <w:r>
        <w:rPr>
          <w:rFonts w:hint="eastAsia" w:ascii="仿宋" w:hAnsi="仿宋" w:eastAsia="仿宋" w:cs="仿宋"/>
          <w:sz w:val="24"/>
          <w:highlight w:val="none"/>
          <w:u w:val="single"/>
        </w:rPr>
        <w:t>     </w:t>
      </w:r>
      <w:r>
        <w:rPr>
          <w:rFonts w:hint="eastAsia" w:ascii="仿宋" w:hAnsi="仿宋" w:eastAsia="仿宋" w:cs="仿宋"/>
          <w:sz w:val="24"/>
          <w:highlight w:val="none"/>
        </w:rPr>
        <w:t>；</w:t>
      </w:r>
    </w:p>
    <w:p w14:paraId="6CB08741">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通信地址：</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0448CED2">
      <w:pPr>
        <w:adjustRightInd w:val="0"/>
        <w:snapToGrid w:val="0"/>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发包人对发包人代表的授权范围如下：</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176D8D0">
      <w:pPr>
        <w:adjustRightInd w:val="0"/>
        <w:snapToGrid w:val="0"/>
        <w:spacing w:line="360" w:lineRule="auto"/>
        <w:ind w:firstLine="480" w:firstLineChars="200"/>
        <w:outlineLvl w:val="3"/>
        <w:rPr>
          <w:rFonts w:hint="eastAsia" w:ascii="仿宋" w:hAnsi="仿宋" w:eastAsia="仿宋" w:cs="仿宋"/>
          <w:sz w:val="24"/>
          <w:highlight w:val="none"/>
        </w:rPr>
      </w:pPr>
      <w:bookmarkStart w:id="724" w:name="_Toc45552377"/>
      <w:r>
        <w:rPr>
          <w:rFonts w:hint="eastAsia" w:ascii="仿宋" w:hAnsi="仿宋" w:eastAsia="仿宋" w:cs="仿宋"/>
          <w:sz w:val="24"/>
          <w:highlight w:val="none"/>
        </w:rPr>
        <w:t>2.4 施工现场、施工条件和基础资料的提供</w:t>
      </w:r>
      <w:bookmarkEnd w:id="724"/>
    </w:p>
    <w:p w14:paraId="63C41D42">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2.4.1 提供施工现场</w:t>
      </w:r>
    </w:p>
    <w:p w14:paraId="3027DD15">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关于发包人移交施工现场的期限要求：</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w:t>
      </w:r>
    </w:p>
    <w:p w14:paraId="4AA83C3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2.4.2 提供施工条件</w:t>
      </w:r>
    </w:p>
    <w:p w14:paraId="51E74BC3">
      <w:pPr>
        <w:adjustRightInd w:val="0"/>
        <w:snapToGrid w:val="0"/>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关于发包人应负责提供施工所需要的条件，包括：</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BBD9575">
      <w:pPr>
        <w:adjustRightInd w:val="0"/>
        <w:snapToGrid w:val="0"/>
        <w:spacing w:line="360" w:lineRule="auto"/>
        <w:ind w:firstLine="480" w:firstLineChars="200"/>
        <w:outlineLvl w:val="3"/>
        <w:rPr>
          <w:rFonts w:hint="eastAsia" w:ascii="仿宋" w:hAnsi="仿宋" w:eastAsia="仿宋" w:cs="仿宋"/>
          <w:sz w:val="24"/>
          <w:highlight w:val="none"/>
        </w:rPr>
      </w:pPr>
      <w:bookmarkStart w:id="725" w:name="_Toc45552378"/>
      <w:r>
        <w:rPr>
          <w:rFonts w:hint="eastAsia" w:ascii="仿宋" w:hAnsi="仿宋" w:eastAsia="仿宋" w:cs="仿宋"/>
          <w:sz w:val="24"/>
          <w:highlight w:val="none"/>
        </w:rPr>
        <w:t>2.5 资金来源证明及支付担保</w:t>
      </w:r>
      <w:bookmarkEnd w:id="725"/>
    </w:p>
    <w:p w14:paraId="0991E14C">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发包人提供资金来源证明的期限要求：</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7C91974F">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发包人是否提供支付担保：</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w:t>
      </w:r>
    </w:p>
    <w:p w14:paraId="7D2E5FCC">
      <w:pPr>
        <w:adjustRightInd w:val="0"/>
        <w:snapToGrid w:val="0"/>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发包人提供支付担保的形式：</w:t>
      </w:r>
      <w:r>
        <w:rPr>
          <w:rFonts w:hint="eastAsia" w:ascii="仿宋" w:hAnsi="仿宋" w:eastAsia="仿宋" w:cs="仿宋"/>
          <w:sz w:val="24"/>
          <w:highlight w:val="none"/>
          <w:u w:val="single"/>
        </w:rPr>
        <w:t>                     </w:t>
      </w:r>
      <w:r>
        <w:rPr>
          <w:rFonts w:hint="eastAsia" w:ascii="仿宋" w:hAnsi="仿宋" w:eastAsia="仿宋" w:cs="仿宋"/>
          <w:sz w:val="24"/>
          <w:highlight w:val="none"/>
        </w:rPr>
        <w:t>。</w:t>
      </w:r>
    </w:p>
    <w:p w14:paraId="6741BF4A">
      <w:pPr>
        <w:pStyle w:val="4"/>
        <w:adjustRightInd w:val="0"/>
        <w:snapToGrid w:val="0"/>
        <w:spacing w:before="0" w:after="0" w:line="360" w:lineRule="auto"/>
        <w:rPr>
          <w:rFonts w:hint="eastAsia" w:ascii="仿宋" w:hAnsi="仿宋" w:eastAsia="仿宋" w:cs="仿宋"/>
          <w:sz w:val="24"/>
          <w:szCs w:val="24"/>
          <w:highlight w:val="none"/>
        </w:rPr>
      </w:pPr>
      <w:bookmarkStart w:id="726" w:name="_Toc351203635"/>
      <w:r>
        <w:rPr>
          <w:rFonts w:hint="eastAsia" w:ascii="仿宋" w:hAnsi="仿宋" w:eastAsia="仿宋" w:cs="仿宋"/>
          <w:sz w:val="24"/>
          <w:szCs w:val="24"/>
          <w:highlight w:val="none"/>
        </w:rPr>
        <w:t>3</w:t>
      </w:r>
      <w:bookmarkStart w:id="727" w:name="_Toc292559363"/>
      <w:bookmarkStart w:id="728" w:name="_Toc296891198"/>
      <w:bookmarkStart w:id="729" w:name="_Toc292559868"/>
      <w:bookmarkStart w:id="730" w:name="_Toc296890986"/>
      <w:bookmarkStart w:id="731" w:name="_Toc296346659"/>
      <w:bookmarkStart w:id="732" w:name="_Toc297048344"/>
      <w:bookmarkStart w:id="733" w:name="_Toc297120458"/>
      <w:bookmarkStart w:id="734" w:name="_Toc296347157"/>
      <w:bookmarkStart w:id="735" w:name="_Toc296944497"/>
      <w:bookmarkStart w:id="736" w:name="_Toc296503158"/>
      <w:r>
        <w:rPr>
          <w:rFonts w:hint="eastAsia" w:ascii="仿宋" w:hAnsi="仿宋" w:eastAsia="仿宋" w:cs="仿宋"/>
          <w:sz w:val="24"/>
          <w:szCs w:val="24"/>
          <w:highlight w:val="none"/>
        </w:rPr>
        <w:t>. 承包人</w:t>
      </w:r>
      <w:bookmarkEnd w:id="726"/>
    </w:p>
    <w:bookmarkEnd w:id="727"/>
    <w:bookmarkEnd w:id="728"/>
    <w:bookmarkEnd w:id="729"/>
    <w:bookmarkEnd w:id="730"/>
    <w:bookmarkEnd w:id="731"/>
    <w:bookmarkEnd w:id="732"/>
    <w:bookmarkEnd w:id="733"/>
    <w:bookmarkEnd w:id="734"/>
    <w:bookmarkEnd w:id="735"/>
    <w:bookmarkEnd w:id="736"/>
    <w:p w14:paraId="06C0F771">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3.1 承包人的一般义务</w:t>
      </w:r>
    </w:p>
    <w:p w14:paraId="142F2A99">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kern w:val="0"/>
          <w:sz w:val="24"/>
          <w:highlight w:val="none"/>
        </w:rPr>
        <w:t>（9）</w:t>
      </w:r>
      <w:r>
        <w:rPr>
          <w:rFonts w:hint="eastAsia" w:ascii="仿宋" w:hAnsi="仿宋" w:eastAsia="仿宋" w:cs="仿宋"/>
          <w:sz w:val="24"/>
          <w:highlight w:val="none"/>
        </w:rPr>
        <w:t>承包人提交的竣工资料的内容：</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5E214017">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承包人需要提交的竣工资料套数：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563ABA62">
      <w:pPr>
        <w:adjustRightInd w:val="0"/>
        <w:snapToGrid w:val="0"/>
        <w:spacing w:line="360" w:lineRule="auto"/>
        <w:ind w:left="638" w:leftChars="304"/>
        <w:jc w:val="left"/>
        <w:rPr>
          <w:rFonts w:hint="eastAsia" w:ascii="仿宋" w:hAnsi="仿宋" w:eastAsia="仿宋" w:cs="仿宋"/>
          <w:sz w:val="24"/>
          <w:highlight w:val="none"/>
        </w:rPr>
      </w:pPr>
      <w:r>
        <w:rPr>
          <w:rFonts w:hint="eastAsia" w:ascii="仿宋" w:hAnsi="仿宋" w:eastAsia="仿宋" w:cs="仿宋"/>
          <w:sz w:val="24"/>
          <w:highlight w:val="none"/>
        </w:rPr>
        <w:t>承包人提交的竣工资料的费用承担：</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1DA91554">
      <w:pPr>
        <w:adjustRightInd w:val="0"/>
        <w:snapToGrid w:val="0"/>
        <w:spacing w:line="360" w:lineRule="auto"/>
        <w:ind w:left="638" w:leftChars="304"/>
        <w:jc w:val="left"/>
        <w:rPr>
          <w:rFonts w:hint="eastAsia" w:ascii="仿宋" w:hAnsi="仿宋" w:eastAsia="仿宋" w:cs="仿宋"/>
          <w:sz w:val="24"/>
          <w:highlight w:val="none"/>
        </w:rPr>
      </w:pPr>
      <w:r>
        <w:rPr>
          <w:rFonts w:hint="eastAsia" w:ascii="仿宋" w:hAnsi="仿宋" w:eastAsia="仿宋" w:cs="仿宋"/>
          <w:sz w:val="24"/>
          <w:highlight w:val="none"/>
        </w:rPr>
        <w:t>承包人提交的竣工资料移交时间：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7620C0AC">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承包人提交的竣工资料形式要求：</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157B565E">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kern w:val="0"/>
          <w:sz w:val="24"/>
          <w:highlight w:val="none"/>
        </w:rPr>
        <w:t>（10）承包人应履行的其他义务：</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41D7EC08">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3.2 项目经理</w:t>
      </w:r>
    </w:p>
    <w:p w14:paraId="22AA72A3">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kern w:val="0"/>
          <w:sz w:val="24"/>
          <w:highlight w:val="none"/>
        </w:rPr>
        <w:t xml:space="preserve">3.2.1 </w:t>
      </w:r>
      <w:r>
        <w:rPr>
          <w:rFonts w:hint="eastAsia" w:ascii="仿宋" w:hAnsi="仿宋" w:eastAsia="仿宋" w:cs="仿宋"/>
          <w:sz w:val="24"/>
          <w:highlight w:val="none"/>
        </w:rPr>
        <w:t>项目经理：</w:t>
      </w:r>
    </w:p>
    <w:p w14:paraId="5FE1470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姓    名：</w:t>
      </w:r>
      <w:r>
        <w:rPr>
          <w:rFonts w:hint="eastAsia" w:ascii="仿宋" w:hAnsi="仿宋" w:eastAsia="仿宋" w:cs="仿宋"/>
          <w:sz w:val="24"/>
          <w:highlight w:val="none"/>
          <w:u w:val="single"/>
        </w:rPr>
        <w:t>         </w:t>
      </w:r>
      <w:r>
        <w:rPr>
          <w:rFonts w:hint="eastAsia" w:ascii="仿宋" w:hAnsi="仿宋" w:eastAsia="仿宋" w:cs="仿宋"/>
          <w:sz w:val="24"/>
          <w:highlight w:val="none"/>
        </w:rPr>
        <w:t>；</w:t>
      </w:r>
    </w:p>
    <w:p w14:paraId="2905543F">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身份证号：</w:t>
      </w:r>
      <w:r>
        <w:rPr>
          <w:rFonts w:hint="eastAsia" w:ascii="仿宋" w:hAnsi="仿宋" w:eastAsia="仿宋" w:cs="仿宋"/>
          <w:sz w:val="24"/>
          <w:highlight w:val="none"/>
          <w:u w:val="single"/>
        </w:rPr>
        <w:t>         </w:t>
      </w:r>
      <w:r>
        <w:rPr>
          <w:rFonts w:hint="eastAsia" w:ascii="仿宋" w:hAnsi="仿宋" w:eastAsia="仿宋" w:cs="仿宋"/>
          <w:sz w:val="24"/>
          <w:highlight w:val="none"/>
        </w:rPr>
        <w:t>；</w:t>
      </w:r>
    </w:p>
    <w:p w14:paraId="3C643873">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建造师执业资格等级：</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62838FD4">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建造师注册证书号：</w:t>
      </w:r>
      <w:r>
        <w:rPr>
          <w:rFonts w:hint="eastAsia" w:ascii="仿宋" w:hAnsi="仿宋" w:eastAsia="仿宋" w:cs="仿宋"/>
          <w:sz w:val="24"/>
          <w:highlight w:val="none"/>
          <w:u w:val="single"/>
        </w:rPr>
        <w:t> </w:t>
      </w:r>
      <w:r>
        <w:rPr>
          <w:rFonts w:hint="eastAsia" w:ascii="仿宋" w:hAnsi="仿宋" w:eastAsia="仿宋" w:cs="仿宋"/>
          <w:sz w:val="24"/>
          <w:highlight w:val="none"/>
        </w:rPr>
        <w:t>；</w:t>
      </w:r>
    </w:p>
    <w:p w14:paraId="5DC3E98C">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建造师执业印章号：</w:t>
      </w:r>
      <w:r>
        <w:rPr>
          <w:rFonts w:hint="eastAsia" w:ascii="仿宋" w:hAnsi="仿宋" w:eastAsia="仿宋" w:cs="仿宋"/>
          <w:sz w:val="24"/>
          <w:highlight w:val="none"/>
          <w:u w:val="single"/>
        </w:rPr>
        <w:t> </w:t>
      </w:r>
      <w:r>
        <w:rPr>
          <w:rFonts w:hint="eastAsia" w:ascii="仿宋" w:hAnsi="仿宋" w:eastAsia="仿宋" w:cs="仿宋"/>
          <w:sz w:val="24"/>
          <w:highlight w:val="none"/>
        </w:rPr>
        <w:t>；</w:t>
      </w:r>
    </w:p>
    <w:p w14:paraId="5ABA399C">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安全生产考核合格证书号：</w:t>
      </w:r>
      <w:r>
        <w:rPr>
          <w:rFonts w:hint="eastAsia" w:ascii="仿宋" w:hAnsi="仿宋" w:eastAsia="仿宋" w:cs="仿宋"/>
          <w:sz w:val="24"/>
          <w:highlight w:val="none"/>
          <w:u w:val="single"/>
        </w:rPr>
        <w:t> </w:t>
      </w:r>
      <w:r>
        <w:rPr>
          <w:rFonts w:hint="eastAsia" w:ascii="仿宋" w:hAnsi="仿宋" w:eastAsia="仿宋" w:cs="仿宋"/>
          <w:sz w:val="24"/>
          <w:highlight w:val="none"/>
        </w:rPr>
        <w:t>；</w:t>
      </w:r>
    </w:p>
    <w:p w14:paraId="6C3A62C1">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联系电话：</w:t>
      </w:r>
      <w:r>
        <w:rPr>
          <w:rFonts w:hint="eastAsia" w:ascii="仿宋" w:hAnsi="仿宋" w:eastAsia="仿宋" w:cs="仿宋"/>
          <w:sz w:val="24"/>
          <w:highlight w:val="none"/>
          <w:u w:val="single"/>
        </w:rPr>
        <w:t>         </w:t>
      </w:r>
      <w:r>
        <w:rPr>
          <w:rFonts w:hint="eastAsia" w:ascii="仿宋" w:hAnsi="仿宋" w:eastAsia="仿宋" w:cs="仿宋"/>
          <w:sz w:val="24"/>
          <w:highlight w:val="none"/>
        </w:rPr>
        <w:t>；</w:t>
      </w:r>
    </w:p>
    <w:p w14:paraId="035073F3">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电子信箱：</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60C1C2D6">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通信地址：</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5F165DD2">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承包人对项目经理的授权范围如下：</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69CCFD24">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关于项目经理每月在施工现场的时间要求：</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w:t>
      </w:r>
    </w:p>
    <w:p w14:paraId="1D80AFD7">
      <w:pPr>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承包人未提交劳动合同，以及没有为项目经理缴纳社会保险证明的违约责任：</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0A3A08EB">
      <w:pPr>
        <w:adjustRightInd w:val="0"/>
        <w:snapToGrid w:val="0"/>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kern w:val="0"/>
          <w:sz w:val="24"/>
          <w:highlight w:val="none"/>
        </w:rPr>
        <w:t>项目经理未经批准，擅自离开施工现场的违约责任：</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10DA578F">
      <w:pPr>
        <w:adjustRightInd w:val="0"/>
        <w:snapToGrid w:val="0"/>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3.2.3 承包人擅自更换项目经理的违约责任：</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w:t>
      </w:r>
    </w:p>
    <w:p w14:paraId="6249ECA9">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bookmarkStart w:id="737" w:name="_Toc45552379"/>
      <w:r>
        <w:rPr>
          <w:rFonts w:hint="eastAsia" w:ascii="仿宋" w:hAnsi="仿宋" w:eastAsia="仿宋" w:cs="仿宋"/>
          <w:sz w:val="24"/>
          <w:highlight w:val="none"/>
        </w:rPr>
        <w:t>3.2.4 承包人无正当理由拒绝更换项目经理的违约责任：</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bookmarkEnd w:id="737"/>
    </w:p>
    <w:p w14:paraId="78C86451">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3.3 承包人人员</w:t>
      </w:r>
    </w:p>
    <w:p w14:paraId="6D7906F7">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3.3.1 承包人提交项目管理机构及施工现场管理人员安排报告的期限：</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w:t>
      </w:r>
    </w:p>
    <w:p w14:paraId="14ED59D3">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3.3.3 承包人无正当理由拒绝撤换主要施工管理人员的违约责任：</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w:t>
      </w:r>
    </w:p>
    <w:p w14:paraId="4916E76D">
      <w:pPr>
        <w:adjustRightInd w:val="0"/>
        <w:snapToGrid w:val="0"/>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3.3.4 承包人主要施工管理人员离开施工现场的批准要求：</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3FB4B81D">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3.3.5承包人擅自更换主要施工管理人员的违约责任：</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34D55B2D">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承包人主要施工管理人员擅自离开施工现场的违约责任：</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07E4C391">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3</w:t>
      </w:r>
      <w:bookmarkStart w:id="738" w:name="_Toc300934945"/>
      <w:bookmarkStart w:id="739" w:name="_Toc296890987"/>
      <w:bookmarkStart w:id="740" w:name="_Toc296346660"/>
      <w:bookmarkStart w:id="741" w:name="_Toc304295523"/>
      <w:bookmarkStart w:id="742" w:name="_Toc303539102"/>
      <w:bookmarkStart w:id="743" w:name="_Toc297048345"/>
      <w:bookmarkStart w:id="744" w:name="_Toc292559364"/>
      <w:bookmarkStart w:id="745" w:name="_Toc297120459"/>
      <w:bookmarkStart w:id="746" w:name="_Toc297123492"/>
      <w:bookmarkStart w:id="747" w:name="_Toc297216151"/>
      <w:bookmarkStart w:id="748" w:name="_Toc296944498"/>
      <w:bookmarkStart w:id="749" w:name="_Toc296347158"/>
      <w:bookmarkStart w:id="750" w:name="_Toc312677988"/>
      <w:bookmarkStart w:id="751" w:name="_Toc296503159"/>
      <w:bookmarkStart w:id="752" w:name="_Toc296891199"/>
      <w:bookmarkStart w:id="753" w:name="_Toc292559869"/>
      <w:r>
        <w:rPr>
          <w:rFonts w:hint="eastAsia" w:ascii="仿宋" w:hAnsi="仿宋" w:eastAsia="仿宋" w:cs="仿宋"/>
          <w:sz w:val="24"/>
          <w:highlight w:val="none"/>
        </w:rPr>
        <w:t>.5 分包</w:t>
      </w:r>
    </w:p>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14:paraId="6685355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bookmarkStart w:id="754" w:name="_Toc300934946"/>
      <w:bookmarkStart w:id="755" w:name="_Toc296890988"/>
      <w:bookmarkStart w:id="756" w:name="_Toc292559870"/>
      <w:bookmarkStart w:id="757" w:name="_Toc296891200"/>
      <w:bookmarkStart w:id="758" w:name="_Toc292559365"/>
      <w:bookmarkStart w:id="759" w:name="_Toc297216152"/>
      <w:bookmarkStart w:id="760" w:name="_Toc296944499"/>
      <w:bookmarkStart w:id="761" w:name="_Toc296347159"/>
      <w:bookmarkStart w:id="762" w:name="_Toc297120460"/>
      <w:bookmarkStart w:id="763" w:name="_Toc296503160"/>
      <w:bookmarkStart w:id="764" w:name="_Toc303539103"/>
      <w:bookmarkStart w:id="765" w:name="_Toc296346661"/>
      <w:bookmarkStart w:id="766" w:name="_Toc304295524"/>
      <w:bookmarkStart w:id="767" w:name="_Toc297048346"/>
      <w:bookmarkStart w:id="768" w:name="_Toc297123493"/>
      <w:bookmarkStart w:id="769" w:name="_Toc318581158"/>
      <w:bookmarkStart w:id="770" w:name="_Toc312677989"/>
      <w:r>
        <w:rPr>
          <w:rFonts w:hint="eastAsia" w:ascii="仿宋" w:hAnsi="仿宋" w:eastAsia="仿宋" w:cs="仿宋"/>
          <w:sz w:val="24"/>
          <w:highlight w:val="none"/>
        </w:rPr>
        <w:t>.5.1 分包的一般约定</w:t>
      </w:r>
    </w:p>
    <w:p w14:paraId="7744CFA1">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禁止分包的工程包括：</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713E7C12">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主体结构、关键性工作的范围：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Start w:id="771" w:name="_Toc296347160"/>
      <w:bookmarkStart w:id="772" w:name="_Toc297120461"/>
      <w:bookmarkStart w:id="773" w:name="_Toc297123494"/>
      <w:bookmarkStart w:id="774" w:name="_Toc296346662"/>
      <w:bookmarkStart w:id="775" w:name="_Toc300934947"/>
      <w:bookmarkStart w:id="776" w:name="_Toc296891201"/>
      <w:bookmarkStart w:id="777" w:name="_Toc297048347"/>
      <w:bookmarkStart w:id="778" w:name="_Toc304295525"/>
      <w:bookmarkStart w:id="779" w:name="_Toc296944500"/>
      <w:bookmarkStart w:id="780" w:name="_Toc303539104"/>
      <w:bookmarkStart w:id="781" w:name="_Toc297216153"/>
      <w:bookmarkStart w:id="782" w:name="_Toc296890989"/>
      <w:bookmarkStart w:id="783" w:name="_Toc296503161"/>
    </w:p>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0EBA5E9D">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bookmarkStart w:id="784" w:name="_Toc312677990"/>
      <w:bookmarkStart w:id="785" w:name="_Toc318581159"/>
      <w:r>
        <w:rPr>
          <w:rFonts w:hint="eastAsia" w:ascii="仿宋" w:hAnsi="仿宋" w:eastAsia="仿宋" w:cs="仿宋"/>
          <w:sz w:val="24"/>
          <w:highlight w:val="none"/>
        </w:rPr>
        <w:t>.5.2分包的确定</w:t>
      </w:r>
    </w:p>
    <w:p w14:paraId="6FE2ED8D">
      <w:pPr>
        <w:adjustRightInd w:val="0"/>
        <w:snapToGrid w:val="0"/>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允许分包的专业工程包括：</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175C1AED">
      <w:pPr>
        <w:adjustRightInd w:val="0"/>
        <w:snapToGrid w:val="0"/>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其他关于分包的约定：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655E530B">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3.5.4 分包合同价款</w:t>
      </w:r>
    </w:p>
    <w:p w14:paraId="3BCF6EDF">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关于分包合同价款支付的约定：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bookmarkEnd w:id="784"/>
    <w:bookmarkEnd w:id="785"/>
    <w:p w14:paraId="5D281B76">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3.6 工程照管与成品、半成品保护</w:t>
      </w:r>
    </w:p>
    <w:p w14:paraId="0204D3AB">
      <w:pPr>
        <w:adjustRightInd w:val="0"/>
        <w:snapToGrid w:val="0"/>
        <w:spacing w:line="360" w:lineRule="auto"/>
        <w:ind w:firstLine="480" w:firstLineChars="200"/>
        <w:rPr>
          <w:rFonts w:hint="eastAsia" w:ascii="仿宋" w:hAnsi="仿宋" w:eastAsia="仿宋" w:cs="仿宋"/>
          <w:kern w:val="0"/>
          <w:sz w:val="24"/>
          <w:highlight w:val="none"/>
          <w:u w:val="single"/>
        </w:rPr>
      </w:pPr>
      <w:r>
        <w:rPr>
          <w:rFonts w:hint="eastAsia" w:ascii="仿宋" w:hAnsi="仿宋" w:eastAsia="仿宋" w:cs="仿宋"/>
          <w:kern w:val="0"/>
          <w:sz w:val="24"/>
          <w:highlight w:val="none"/>
        </w:rPr>
        <w:t>承包人负责照管工程及工程相关的材料、工程设备的起始时间：</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0EC423A8">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3.7 履约担保</w:t>
      </w:r>
    </w:p>
    <w:p w14:paraId="18DD5A1A">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承包人是否提供履约担保：</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4B186A7C">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承包人提供履约担保的形式、金额及期限的：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57268819">
      <w:pPr>
        <w:pStyle w:val="4"/>
        <w:adjustRightInd w:val="0"/>
        <w:snapToGrid w:val="0"/>
        <w:spacing w:before="0" w:after="0" w:line="360" w:lineRule="auto"/>
        <w:rPr>
          <w:rFonts w:hint="eastAsia" w:ascii="仿宋" w:hAnsi="仿宋" w:eastAsia="仿宋" w:cs="仿宋"/>
          <w:sz w:val="24"/>
          <w:szCs w:val="24"/>
          <w:highlight w:val="none"/>
        </w:rPr>
      </w:pPr>
      <w:bookmarkStart w:id="786" w:name="_Toc351203636"/>
      <w:r>
        <w:rPr>
          <w:rFonts w:hint="eastAsia" w:ascii="仿宋" w:hAnsi="仿宋" w:eastAsia="仿宋" w:cs="仿宋"/>
          <w:sz w:val="24"/>
          <w:szCs w:val="24"/>
          <w:highlight w:val="none"/>
        </w:rPr>
        <w:t>4</w:t>
      </w:r>
      <w:bookmarkStart w:id="787" w:name="_Toc292559366"/>
      <w:bookmarkStart w:id="788" w:name="_Toc296890990"/>
      <w:bookmarkStart w:id="789" w:name="_Toc296503162"/>
      <w:bookmarkStart w:id="790" w:name="_Toc292559871"/>
      <w:bookmarkStart w:id="791" w:name="_Toc296944501"/>
      <w:bookmarkStart w:id="792" w:name="_Toc267251413"/>
      <w:bookmarkStart w:id="793" w:name="_Toc297048348"/>
      <w:bookmarkStart w:id="794" w:name="_Toc296891202"/>
      <w:bookmarkStart w:id="795" w:name="_Toc296346663"/>
      <w:bookmarkStart w:id="796" w:name="_Toc296347161"/>
      <w:bookmarkStart w:id="797" w:name="_Toc297120462"/>
      <w:r>
        <w:rPr>
          <w:rFonts w:hint="eastAsia" w:ascii="仿宋" w:hAnsi="仿宋" w:eastAsia="仿宋" w:cs="仿宋"/>
          <w:sz w:val="24"/>
          <w:szCs w:val="24"/>
          <w:highlight w:val="none"/>
        </w:rPr>
        <w:t>. 监</w:t>
      </w:r>
      <w:bookmarkEnd w:id="787"/>
      <w:bookmarkEnd w:id="788"/>
      <w:bookmarkEnd w:id="789"/>
      <w:bookmarkEnd w:id="790"/>
      <w:bookmarkEnd w:id="791"/>
      <w:bookmarkEnd w:id="792"/>
      <w:bookmarkEnd w:id="793"/>
      <w:bookmarkEnd w:id="794"/>
      <w:bookmarkEnd w:id="795"/>
      <w:bookmarkEnd w:id="796"/>
      <w:bookmarkEnd w:id="797"/>
      <w:r>
        <w:rPr>
          <w:rFonts w:hint="eastAsia" w:ascii="仿宋" w:hAnsi="仿宋" w:eastAsia="仿宋" w:cs="仿宋"/>
          <w:sz w:val="24"/>
          <w:szCs w:val="24"/>
          <w:highlight w:val="none"/>
        </w:rPr>
        <w:t>理人</w:t>
      </w:r>
      <w:bookmarkEnd w:id="786"/>
    </w:p>
    <w:p w14:paraId="39EAE71B">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4.1监理人的一般规定</w:t>
      </w:r>
    </w:p>
    <w:p w14:paraId="15D9F359">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关于监理人的监理内容：</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5674AEAA">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关于监理人的监理权限：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p>
    <w:p w14:paraId="7EC7367B">
      <w:pPr>
        <w:adjustRightInd w:val="0"/>
        <w:snapToGrid w:val="0"/>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关于监理人在施工现场的办公场所、生活场所的提供和费用承担的约定：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5BB91A9D">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4.2 监理人员</w:t>
      </w:r>
    </w:p>
    <w:p w14:paraId="67BEEB3D">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总监理工程师：</w:t>
      </w:r>
    </w:p>
    <w:p w14:paraId="0935BBD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姓    名：</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52B144E6">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职    务：</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0D90A14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监理工程师执业资格证书号：</w:t>
      </w:r>
      <w:r>
        <w:rPr>
          <w:rFonts w:hint="eastAsia" w:ascii="仿宋" w:hAnsi="仿宋" w:eastAsia="仿宋" w:cs="仿宋"/>
          <w:sz w:val="24"/>
          <w:highlight w:val="none"/>
          <w:u w:val="single"/>
        </w:rPr>
        <w:t> </w:t>
      </w:r>
      <w:r>
        <w:rPr>
          <w:rFonts w:hint="eastAsia" w:ascii="仿宋" w:hAnsi="仿宋" w:eastAsia="仿宋" w:cs="仿宋"/>
          <w:sz w:val="24"/>
          <w:highlight w:val="none"/>
        </w:rPr>
        <w:t>；</w:t>
      </w:r>
    </w:p>
    <w:p w14:paraId="431C6859">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联系电话：</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488BAE0D">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电子信箱：</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42279AB3">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通信地址：</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40423B70">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关于监理人的其他约定：</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3A4DB0A4">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4.4 商定或确定</w:t>
      </w:r>
    </w:p>
    <w:p w14:paraId="5CDA6A7D">
      <w:pPr>
        <w:adjustRightInd w:val="0"/>
        <w:snapToGrid w:val="0"/>
        <w:spacing w:line="360" w:lineRule="auto"/>
        <w:ind w:firstLine="480" w:firstLineChars="200"/>
        <w:rPr>
          <w:rFonts w:hint="eastAsia" w:ascii="仿宋" w:hAnsi="仿宋" w:eastAsia="仿宋" w:cs="仿宋"/>
          <w:sz w:val="24"/>
          <w:highlight w:val="none"/>
        </w:rPr>
      </w:pPr>
      <w:bookmarkStart w:id="798" w:name="_Toc267251418"/>
      <w:r>
        <w:rPr>
          <w:rFonts w:hint="eastAsia" w:ascii="仿宋" w:hAnsi="仿宋" w:eastAsia="仿宋" w:cs="仿宋"/>
          <w:sz w:val="24"/>
          <w:highlight w:val="none"/>
        </w:rPr>
        <w:t>在发包人和承包人不能通过协商达成一致意见时，发包人授权监理人对以下事项进行确定：</w:t>
      </w:r>
    </w:p>
    <w:p w14:paraId="32AD9C9A">
      <w:pPr>
        <w:autoSpaceDE w:val="0"/>
        <w:autoSpaceDN w:val="0"/>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60D7B80C">
      <w:pPr>
        <w:autoSpaceDE w:val="0"/>
        <w:autoSpaceDN w:val="0"/>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37AF837C">
      <w:pPr>
        <w:autoSpaceDE w:val="0"/>
        <w:autoSpaceDN w:val="0"/>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A2B369A">
      <w:pPr>
        <w:pStyle w:val="4"/>
        <w:adjustRightInd w:val="0"/>
        <w:snapToGrid w:val="0"/>
        <w:spacing w:before="0" w:after="0" w:line="360" w:lineRule="auto"/>
        <w:rPr>
          <w:rFonts w:hint="eastAsia" w:ascii="仿宋" w:hAnsi="仿宋" w:eastAsia="仿宋" w:cs="仿宋"/>
          <w:sz w:val="24"/>
          <w:szCs w:val="24"/>
          <w:highlight w:val="none"/>
        </w:rPr>
      </w:pPr>
      <w:bookmarkStart w:id="799" w:name="_Toc351203637"/>
      <w:r>
        <w:rPr>
          <w:rFonts w:hint="eastAsia" w:ascii="仿宋" w:hAnsi="仿宋" w:eastAsia="仿宋" w:cs="仿宋"/>
          <w:sz w:val="24"/>
          <w:szCs w:val="24"/>
          <w:highlight w:val="none"/>
        </w:rPr>
        <w:t>5</w:t>
      </w:r>
      <w:bookmarkEnd w:id="798"/>
      <w:bookmarkStart w:id="800" w:name="_Toc296891203"/>
      <w:bookmarkStart w:id="801" w:name="_Toc296944502"/>
      <w:bookmarkStart w:id="802" w:name="_Toc297048349"/>
      <w:bookmarkStart w:id="803" w:name="_Toc296347162"/>
      <w:bookmarkStart w:id="804" w:name="_Toc292559872"/>
      <w:bookmarkStart w:id="805" w:name="_Toc297120463"/>
      <w:bookmarkStart w:id="806" w:name="_Toc296346664"/>
      <w:bookmarkStart w:id="807" w:name="_Toc296890991"/>
      <w:bookmarkStart w:id="808" w:name="_Toc296503163"/>
      <w:bookmarkStart w:id="809" w:name="_Toc292559367"/>
      <w:r>
        <w:rPr>
          <w:rFonts w:hint="eastAsia" w:ascii="仿宋" w:hAnsi="仿宋" w:eastAsia="仿宋" w:cs="仿宋"/>
          <w:sz w:val="24"/>
          <w:szCs w:val="24"/>
          <w:highlight w:val="none"/>
        </w:rPr>
        <w:t>. 工程质量</w:t>
      </w:r>
      <w:bookmarkEnd w:id="799"/>
    </w:p>
    <w:p w14:paraId="37F8F169">
      <w:pPr>
        <w:adjustRightInd w:val="0"/>
        <w:snapToGrid w:val="0"/>
        <w:spacing w:line="360" w:lineRule="auto"/>
        <w:ind w:firstLine="480" w:firstLineChars="200"/>
        <w:outlineLvl w:val="3"/>
        <w:rPr>
          <w:rFonts w:hint="eastAsia" w:ascii="仿宋" w:hAnsi="仿宋" w:eastAsia="仿宋" w:cs="仿宋"/>
          <w:sz w:val="24"/>
          <w:highlight w:val="none"/>
        </w:rPr>
      </w:pPr>
      <w:bookmarkStart w:id="810" w:name="_Toc45552380"/>
      <w:r>
        <w:rPr>
          <w:rFonts w:hint="eastAsia" w:ascii="仿宋" w:hAnsi="仿宋" w:eastAsia="仿宋" w:cs="仿宋"/>
          <w:sz w:val="24"/>
          <w:highlight w:val="none"/>
        </w:rPr>
        <w:t>5.1 质量要求</w:t>
      </w:r>
      <w:bookmarkEnd w:id="810"/>
    </w:p>
    <w:p w14:paraId="2BC63829">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5</w:t>
      </w:r>
      <w:bookmarkStart w:id="811" w:name="_Toc312677997"/>
      <w:bookmarkStart w:id="812" w:name="_Toc297216155"/>
      <w:bookmarkStart w:id="813" w:name="_Toc297123496"/>
      <w:bookmarkStart w:id="814" w:name="_Toc300934949"/>
      <w:bookmarkStart w:id="815" w:name="_Toc304295527"/>
      <w:bookmarkStart w:id="816" w:name="_Toc303539106"/>
      <w:bookmarkStart w:id="817" w:name="_Toc318581164"/>
      <w:r>
        <w:rPr>
          <w:rFonts w:hint="eastAsia" w:ascii="仿宋" w:hAnsi="仿宋" w:eastAsia="仿宋" w:cs="仿宋"/>
          <w:sz w:val="24"/>
          <w:highlight w:val="none"/>
        </w:rPr>
        <w:t>.1.1 特殊质量标准和要求：</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738A7D94">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关于工程奖项的约定：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53E1D908">
      <w:pPr>
        <w:adjustRightInd w:val="0"/>
        <w:snapToGrid w:val="0"/>
        <w:spacing w:line="360" w:lineRule="auto"/>
        <w:ind w:firstLine="480" w:firstLineChars="200"/>
        <w:outlineLvl w:val="3"/>
        <w:rPr>
          <w:rFonts w:hint="eastAsia" w:ascii="仿宋" w:hAnsi="仿宋" w:eastAsia="仿宋" w:cs="仿宋"/>
          <w:sz w:val="24"/>
          <w:highlight w:val="none"/>
        </w:rPr>
      </w:pPr>
      <w:bookmarkStart w:id="818" w:name="_Toc45552381"/>
      <w:r>
        <w:rPr>
          <w:rFonts w:hint="eastAsia" w:ascii="仿宋" w:hAnsi="仿宋" w:eastAsia="仿宋" w:cs="仿宋"/>
          <w:sz w:val="24"/>
          <w:highlight w:val="none"/>
        </w:rPr>
        <w:t>5.3 隐蔽工程检查</w:t>
      </w:r>
      <w:bookmarkEnd w:id="818"/>
    </w:p>
    <w:p w14:paraId="1A21B81A">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5.3.2承包人提前通知监理人隐蔽工程检查的期限的约定：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169AA7C2">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监理人不能按时进行检查时，应提前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小时提交书面延期要求。</w:t>
      </w:r>
    </w:p>
    <w:p w14:paraId="4DEC08EF">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关于延期最长不得超过：</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小时。</w:t>
      </w:r>
    </w:p>
    <w:p w14:paraId="535DB788">
      <w:pPr>
        <w:pStyle w:val="4"/>
        <w:adjustRightInd w:val="0"/>
        <w:snapToGrid w:val="0"/>
        <w:spacing w:before="0" w:after="0" w:line="360" w:lineRule="auto"/>
        <w:rPr>
          <w:rFonts w:hint="eastAsia" w:ascii="仿宋" w:hAnsi="仿宋" w:eastAsia="仿宋" w:cs="仿宋"/>
          <w:sz w:val="24"/>
          <w:szCs w:val="24"/>
          <w:highlight w:val="none"/>
        </w:rPr>
      </w:pPr>
      <w:bookmarkStart w:id="819" w:name="_Toc351203638"/>
      <w:r>
        <w:rPr>
          <w:rFonts w:hint="eastAsia" w:ascii="仿宋" w:hAnsi="仿宋" w:eastAsia="仿宋" w:cs="仿宋"/>
          <w:sz w:val="24"/>
          <w:szCs w:val="24"/>
          <w:highlight w:val="none"/>
        </w:rPr>
        <w:t>6. 安全文明施工与环境保护</w:t>
      </w:r>
      <w:bookmarkEnd w:id="819"/>
    </w:p>
    <w:p w14:paraId="208667C7">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6.1安全文明施工</w:t>
      </w:r>
    </w:p>
    <w:p w14:paraId="6941AAF5">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6.1.1 项目安全生产的达标目标及相应事项的约定：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7C05D696">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6.1.4 关于治安保卫的特别约定：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3E4DF5AB">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关于编制施工场地治安管理计划的约定：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011D0CB3">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6.1.5 文明施工</w:t>
      </w:r>
    </w:p>
    <w:p w14:paraId="12F34DE8">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合同当事人对文明施工的要求：</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BFE5C8E">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6.1.6 关于安全文明施工费支付比例和支付期限的约定：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bookmarkEnd w:id="811"/>
    <w:bookmarkEnd w:id="812"/>
    <w:bookmarkEnd w:id="813"/>
    <w:bookmarkEnd w:id="814"/>
    <w:bookmarkEnd w:id="815"/>
    <w:bookmarkEnd w:id="816"/>
    <w:bookmarkEnd w:id="817"/>
    <w:p w14:paraId="774392A7">
      <w:pPr>
        <w:pStyle w:val="4"/>
        <w:adjustRightInd w:val="0"/>
        <w:snapToGrid w:val="0"/>
        <w:spacing w:before="0" w:after="0" w:line="360" w:lineRule="auto"/>
        <w:rPr>
          <w:rFonts w:hint="eastAsia" w:ascii="仿宋" w:hAnsi="仿宋" w:eastAsia="仿宋" w:cs="仿宋"/>
          <w:sz w:val="24"/>
          <w:szCs w:val="24"/>
          <w:highlight w:val="none"/>
        </w:rPr>
      </w:pPr>
      <w:bookmarkStart w:id="820" w:name="_Toc351203639"/>
      <w:r>
        <w:rPr>
          <w:rFonts w:hint="eastAsia" w:ascii="仿宋" w:hAnsi="仿宋" w:eastAsia="仿宋" w:cs="仿宋"/>
          <w:sz w:val="24"/>
          <w:szCs w:val="24"/>
          <w:highlight w:val="none"/>
        </w:rPr>
        <w:t>7. 工期和进度</w:t>
      </w:r>
      <w:bookmarkEnd w:id="820"/>
    </w:p>
    <w:p w14:paraId="03318925">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7.1 施工组织设计</w:t>
      </w:r>
    </w:p>
    <w:p w14:paraId="245D1670">
      <w:pPr>
        <w:autoSpaceDE w:val="0"/>
        <w:autoSpaceDN w:val="0"/>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7.1.1 合</w:t>
      </w:r>
      <w:r>
        <w:rPr>
          <w:rFonts w:hint="eastAsia" w:ascii="仿宋" w:hAnsi="仿宋" w:eastAsia="仿宋" w:cs="仿宋"/>
          <w:kern w:val="0"/>
          <w:sz w:val="24"/>
          <w:highlight w:val="none"/>
        </w:rPr>
        <w:t>同当事人约定的施工组织设计应包括的其他内容：</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6626833E">
      <w:pPr>
        <w:autoSpaceDE w:val="0"/>
        <w:autoSpaceDN w:val="0"/>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 xml:space="preserve">7.1.2 </w:t>
      </w:r>
      <w:r>
        <w:rPr>
          <w:rFonts w:hint="eastAsia" w:ascii="仿宋" w:hAnsi="仿宋" w:eastAsia="仿宋" w:cs="仿宋"/>
          <w:kern w:val="0"/>
          <w:sz w:val="24"/>
          <w:highlight w:val="none"/>
        </w:rPr>
        <w:t>施工组织设计的提交和修改</w:t>
      </w:r>
    </w:p>
    <w:p w14:paraId="4EC92A95">
      <w:pPr>
        <w:autoSpaceDE w:val="0"/>
        <w:autoSpaceDN w:val="0"/>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kern w:val="0"/>
          <w:sz w:val="24"/>
          <w:highlight w:val="none"/>
        </w:rPr>
        <w:t>承包人提交详细施工组织设计的期限的约定：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5F66000D">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发包人和监理人在收到详细的施工组织设计后确认或提出修改意见的期限：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454D6699">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7</w:t>
      </w:r>
      <w:bookmarkStart w:id="821" w:name="_Toc312678005"/>
      <w:bookmarkStart w:id="822" w:name="_Toc312677479"/>
      <w:bookmarkStart w:id="823" w:name="_Toc297216173"/>
      <w:bookmarkStart w:id="824" w:name="_Toc297123514"/>
      <w:bookmarkStart w:id="825" w:name="_Toc303539123"/>
      <w:bookmarkStart w:id="826" w:name="_Toc300934966"/>
      <w:bookmarkStart w:id="827" w:name="_Toc304295541"/>
      <w:r>
        <w:rPr>
          <w:rFonts w:hint="eastAsia" w:ascii="仿宋" w:hAnsi="仿宋" w:eastAsia="仿宋" w:cs="仿宋"/>
          <w:sz w:val="24"/>
          <w:highlight w:val="none"/>
        </w:rPr>
        <w:t>.2 施工进度计划</w:t>
      </w:r>
    </w:p>
    <w:p w14:paraId="0D9DA7BB">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7.2.2 施工进度计划的修订</w:t>
      </w:r>
    </w:p>
    <w:p w14:paraId="16F50264">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发包人和监理人在收到修订的施工进度计划后确认或提出修改意见的期限：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49233DC">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7.3 开工</w:t>
      </w:r>
    </w:p>
    <w:p w14:paraId="601C83B0">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7.3.1 开工准备</w:t>
      </w:r>
    </w:p>
    <w:p w14:paraId="57E4AD44">
      <w:pPr>
        <w:adjustRightInd w:val="0"/>
        <w:snapToGrid w:val="0"/>
        <w:spacing w:line="360" w:lineRule="auto"/>
        <w:ind w:firstLine="645"/>
        <w:jc w:val="left"/>
        <w:rPr>
          <w:rFonts w:hint="eastAsia" w:ascii="仿宋" w:hAnsi="仿宋" w:eastAsia="仿宋" w:cs="仿宋"/>
          <w:sz w:val="24"/>
          <w:highlight w:val="none"/>
          <w:u w:val="single"/>
        </w:rPr>
      </w:pPr>
      <w:r>
        <w:rPr>
          <w:rFonts w:hint="eastAsia" w:ascii="仿宋" w:hAnsi="仿宋" w:eastAsia="仿宋" w:cs="仿宋"/>
          <w:sz w:val="24"/>
          <w:highlight w:val="none"/>
        </w:rPr>
        <w:t>关于承包人提交</w:t>
      </w:r>
      <w:r>
        <w:rPr>
          <w:rFonts w:hint="eastAsia" w:ascii="仿宋" w:hAnsi="仿宋" w:eastAsia="仿宋" w:cs="仿宋"/>
          <w:kern w:val="0"/>
          <w:sz w:val="24"/>
          <w:highlight w:val="none"/>
        </w:rPr>
        <w:t>工程开工报审表的期限：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3C97104">
      <w:pPr>
        <w:adjustRightInd w:val="0"/>
        <w:snapToGrid w:val="0"/>
        <w:spacing w:line="360" w:lineRule="auto"/>
        <w:ind w:firstLine="645"/>
        <w:jc w:val="left"/>
        <w:rPr>
          <w:rFonts w:hint="eastAsia" w:ascii="仿宋" w:hAnsi="仿宋" w:eastAsia="仿宋" w:cs="仿宋"/>
          <w:sz w:val="24"/>
          <w:highlight w:val="none"/>
          <w:u w:val="single"/>
        </w:rPr>
      </w:pPr>
      <w:r>
        <w:rPr>
          <w:rFonts w:hint="eastAsia" w:ascii="仿宋" w:hAnsi="仿宋" w:eastAsia="仿宋" w:cs="仿宋"/>
          <w:sz w:val="24"/>
          <w:highlight w:val="none"/>
        </w:rPr>
        <w:t>关于发包人应完成的其他开工准备工作及期限：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771EBD64">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关于承包人应完成的其他开工准备工作及期限：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1962B01A">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7.3.2开工通知</w:t>
      </w:r>
    </w:p>
    <w:p w14:paraId="1300A87C">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因发包人原因造成监理人未能在计划开工日期之日起</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天内发出开工通知的，承包人有权提出价格调整要求，或者解除合同。</w:t>
      </w:r>
    </w:p>
    <w:bookmarkEnd w:id="821"/>
    <w:bookmarkEnd w:id="822"/>
    <w:bookmarkEnd w:id="823"/>
    <w:bookmarkEnd w:id="824"/>
    <w:bookmarkEnd w:id="825"/>
    <w:bookmarkEnd w:id="826"/>
    <w:bookmarkEnd w:id="827"/>
    <w:p w14:paraId="31F0C08A">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7.4 测量放线</w:t>
      </w:r>
    </w:p>
    <w:p w14:paraId="59024BF0">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7.4.1发包人通过监理人向承包人提供测量基准点、基准线和水准点及其书面资料的期限：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3FE19163">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7</w:t>
      </w:r>
      <w:bookmarkStart w:id="828" w:name="_Toc297216175"/>
      <w:bookmarkStart w:id="829" w:name="_Toc300934968"/>
      <w:bookmarkStart w:id="830" w:name="_Toc304295546"/>
      <w:bookmarkStart w:id="831" w:name="_Toc297123516"/>
      <w:bookmarkStart w:id="832" w:name="_Toc312678010"/>
      <w:bookmarkStart w:id="833" w:name="_Toc303539125"/>
      <w:bookmarkStart w:id="834" w:name="_Toc312677484"/>
      <w:r>
        <w:rPr>
          <w:rFonts w:hint="eastAsia" w:ascii="仿宋" w:hAnsi="仿宋" w:eastAsia="仿宋" w:cs="仿宋"/>
          <w:sz w:val="24"/>
          <w:highlight w:val="none"/>
        </w:rPr>
        <w:t>.5 工期延误</w:t>
      </w:r>
    </w:p>
    <w:bookmarkEnd w:id="828"/>
    <w:bookmarkEnd w:id="829"/>
    <w:bookmarkEnd w:id="830"/>
    <w:bookmarkEnd w:id="831"/>
    <w:bookmarkEnd w:id="832"/>
    <w:bookmarkEnd w:id="833"/>
    <w:bookmarkEnd w:id="834"/>
    <w:p w14:paraId="4079E530">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7.5.1 因发包人原因导致工期延误</w:t>
      </w:r>
    </w:p>
    <w:p w14:paraId="06DAA4DE">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（7）因发包人原因导致工期延误的其他情形：</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5B6B0FA6">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7</w:t>
      </w:r>
      <w:bookmarkStart w:id="835" w:name="_Toc312678012"/>
      <w:bookmarkStart w:id="836" w:name="_Toc318581169"/>
      <w:bookmarkStart w:id="837" w:name="_Toc312677486"/>
      <w:bookmarkStart w:id="838" w:name="_Toc303539127"/>
      <w:bookmarkStart w:id="839" w:name="_Toc297216177"/>
      <w:bookmarkStart w:id="840" w:name="_Toc300934970"/>
      <w:bookmarkStart w:id="841" w:name="_Toc297123518"/>
      <w:bookmarkStart w:id="842" w:name="_Toc304295548"/>
      <w:r>
        <w:rPr>
          <w:rFonts w:hint="eastAsia" w:ascii="仿宋" w:hAnsi="仿宋" w:eastAsia="仿宋" w:cs="仿宋"/>
          <w:sz w:val="24"/>
          <w:highlight w:val="none"/>
        </w:rPr>
        <w:t>.5.2 因承包人原因导致工期延误</w:t>
      </w:r>
    </w:p>
    <w:bookmarkEnd w:id="835"/>
    <w:bookmarkEnd w:id="836"/>
    <w:bookmarkEnd w:id="837"/>
    <w:p w14:paraId="7DDC41BE">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因</w:t>
      </w:r>
      <w:bookmarkStart w:id="843" w:name="_Toc312678013"/>
      <w:bookmarkStart w:id="844" w:name="_Toc312677487"/>
      <w:bookmarkStart w:id="845" w:name="_Toc318581170"/>
      <w:r>
        <w:rPr>
          <w:rFonts w:hint="eastAsia" w:ascii="仿宋" w:hAnsi="仿宋" w:eastAsia="仿宋" w:cs="仿宋"/>
          <w:sz w:val="24"/>
          <w:highlight w:val="none"/>
        </w:rPr>
        <w:t>承包人原因造成工期延误，逾期竣工违约金的计算方法为：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bookmarkEnd w:id="838"/>
      <w:bookmarkEnd w:id="839"/>
      <w:bookmarkEnd w:id="840"/>
      <w:bookmarkEnd w:id="841"/>
      <w:bookmarkEnd w:id="842"/>
      <w:bookmarkEnd w:id="843"/>
      <w:bookmarkEnd w:id="844"/>
    </w:p>
    <w:bookmarkEnd w:id="845"/>
    <w:p w14:paraId="57B1F199">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因承包人原因造成工期延误，逾</w:t>
      </w:r>
      <w:bookmarkStart w:id="846" w:name="_Toc318581171"/>
      <w:bookmarkStart w:id="847" w:name="_Toc312678014"/>
      <w:r>
        <w:rPr>
          <w:rFonts w:hint="eastAsia" w:ascii="仿宋" w:hAnsi="仿宋" w:eastAsia="仿宋" w:cs="仿宋"/>
          <w:sz w:val="24"/>
          <w:highlight w:val="none"/>
        </w:rPr>
        <w:t>期竣工违约金的上限：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bookmarkEnd w:id="846"/>
    <w:bookmarkEnd w:id="847"/>
    <w:p w14:paraId="38E1C9BE">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7</w:t>
      </w:r>
      <w:bookmarkStart w:id="848" w:name="_Toc300934971"/>
      <w:bookmarkStart w:id="849" w:name="_Toc297216178"/>
      <w:bookmarkStart w:id="850" w:name="_Toc303539128"/>
      <w:bookmarkStart w:id="851" w:name="_Toc304295549"/>
      <w:bookmarkStart w:id="852" w:name="_Toc312678015"/>
      <w:bookmarkStart w:id="853" w:name="_Toc297123519"/>
      <w:r>
        <w:rPr>
          <w:rFonts w:hint="eastAsia" w:ascii="仿宋" w:hAnsi="仿宋" w:eastAsia="仿宋" w:cs="仿宋"/>
          <w:sz w:val="24"/>
          <w:highlight w:val="none"/>
        </w:rPr>
        <w:t>.6 不</w:t>
      </w:r>
      <w:bookmarkEnd w:id="848"/>
      <w:bookmarkEnd w:id="849"/>
      <w:bookmarkEnd w:id="850"/>
      <w:bookmarkEnd w:id="851"/>
      <w:bookmarkEnd w:id="852"/>
      <w:bookmarkEnd w:id="853"/>
      <w:r>
        <w:rPr>
          <w:rFonts w:hint="eastAsia" w:ascii="仿宋" w:hAnsi="仿宋" w:eastAsia="仿宋" w:cs="仿宋"/>
          <w:sz w:val="24"/>
          <w:highlight w:val="none"/>
        </w:rPr>
        <w:t>利物质条件</w:t>
      </w:r>
    </w:p>
    <w:p w14:paraId="5222F9CA">
      <w:pPr>
        <w:adjustRightInd w:val="0"/>
        <w:snapToGrid w:val="0"/>
        <w:spacing w:line="360" w:lineRule="auto"/>
        <w:ind w:firstLine="480" w:firstLineChars="200"/>
        <w:jc w:val="left"/>
        <w:rPr>
          <w:rFonts w:hint="eastAsia" w:ascii="仿宋" w:hAnsi="仿宋" w:eastAsia="仿宋" w:cs="仿宋"/>
          <w:sz w:val="24"/>
          <w:highlight w:val="none"/>
          <w:u w:val="single"/>
        </w:rPr>
      </w:pPr>
      <w:bookmarkStart w:id="854" w:name="_Toc297123520"/>
      <w:bookmarkStart w:id="855" w:name="_Toc312678016"/>
      <w:bookmarkStart w:id="856" w:name="_Toc318581172"/>
      <w:bookmarkStart w:id="857" w:name="_Toc297216179"/>
      <w:bookmarkStart w:id="858" w:name="_Toc304295550"/>
      <w:bookmarkStart w:id="859" w:name="_Toc300934972"/>
      <w:bookmarkStart w:id="860" w:name="_Toc303539129"/>
      <w:r>
        <w:rPr>
          <w:rFonts w:hint="eastAsia" w:ascii="仿宋" w:hAnsi="仿宋" w:eastAsia="仿宋" w:cs="仿宋"/>
          <w:sz w:val="24"/>
          <w:highlight w:val="none"/>
        </w:rPr>
        <w:t>不利物质条件的其他情形和有关约定：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bookmarkEnd w:id="854"/>
    <w:bookmarkEnd w:id="855"/>
    <w:bookmarkEnd w:id="856"/>
    <w:bookmarkEnd w:id="857"/>
    <w:bookmarkEnd w:id="858"/>
    <w:bookmarkEnd w:id="859"/>
    <w:bookmarkEnd w:id="860"/>
    <w:p w14:paraId="47C6385D">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7</w:t>
      </w:r>
      <w:bookmarkStart w:id="861" w:name="_Toc312678017"/>
      <w:bookmarkStart w:id="862" w:name="_Toc297123521"/>
      <w:bookmarkStart w:id="863" w:name="_Toc300934973"/>
      <w:bookmarkStart w:id="864" w:name="_Toc303539130"/>
      <w:bookmarkStart w:id="865" w:name="_Toc304295551"/>
      <w:bookmarkStart w:id="866" w:name="_Toc297216180"/>
      <w:r>
        <w:rPr>
          <w:rFonts w:hint="eastAsia" w:ascii="仿宋" w:hAnsi="仿宋" w:eastAsia="仿宋" w:cs="仿宋"/>
          <w:sz w:val="24"/>
          <w:highlight w:val="none"/>
        </w:rPr>
        <w:t>.7异常恶劣的气候条件</w:t>
      </w:r>
    </w:p>
    <w:bookmarkEnd w:id="861"/>
    <w:bookmarkEnd w:id="862"/>
    <w:bookmarkEnd w:id="863"/>
    <w:bookmarkEnd w:id="864"/>
    <w:bookmarkEnd w:id="865"/>
    <w:bookmarkEnd w:id="866"/>
    <w:p w14:paraId="0FE7CE88">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发包人和承包人同意以下情形视为异常恶劣的气候条件：</w:t>
      </w:r>
    </w:p>
    <w:p w14:paraId="0AFD5085">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7B2FD635">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59C762D5">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11C0A878">
      <w:pPr>
        <w:adjustRightInd w:val="0"/>
        <w:snapToGrid w:val="0"/>
        <w:spacing w:line="360" w:lineRule="auto"/>
        <w:ind w:firstLine="480" w:firstLineChars="200"/>
        <w:outlineLvl w:val="3"/>
        <w:rPr>
          <w:rFonts w:hint="eastAsia" w:ascii="仿宋" w:hAnsi="仿宋" w:eastAsia="仿宋" w:cs="仿宋"/>
          <w:sz w:val="24"/>
          <w:highlight w:val="none"/>
        </w:rPr>
      </w:pPr>
      <w:bookmarkStart w:id="867" w:name="_Toc45552382"/>
      <w:r>
        <w:rPr>
          <w:rFonts w:hint="eastAsia" w:ascii="仿宋" w:hAnsi="仿宋" w:eastAsia="仿宋" w:cs="仿宋"/>
          <w:sz w:val="24"/>
          <w:highlight w:val="none"/>
        </w:rPr>
        <w:t>7.9 提前竣工的奖励</w:t>
      </w:r>
      <w:bookmarkEnd w:id="867"/>
    </w:p>
    <w:p w14:paraId="68FF93A5">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7.9.2提前竣工的奖励：</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59129116">
      <w:pPr>
        <w:pStyle w:val="4"/>
        <w:adjustRightInd w:val="0"/>
        <w:snapToGrid w:val="0"/>
        <w:spacing w:before="0" w:after="0" w:line="360" w:lineRule="auto"/>
        <w:rPr>
          <w:rFonts w:hint="eastAsia" w:ascii="仿宋" w:hAnsi="仿宋" w:eastAsia="仿宋" w:cs="仿宋"/>
          <w:sz w:val="24"/>
          <w:szCs w:val="24"/>
          <w:highlight w:val="none"/>
        </w:rPr>
      </w:pPr>
      <w:bookmarkStart w:id="868" w:name="_Toc351203640"/>
      <w:r>
        <w:rPr>
          <w:rFonts w:hint="eastAsia" w:ascii="仿宋" w:hAnsi="仿宋" w:eastAsia="仿宋" w:cs="仿宋"/>
          <w:sz w:val="24"/>
          <w:szCs w:val="24"/>
          <w:highlight w:val="none"/>
        </w:rPr>
        <w:t>8. 材料与设备</w:t>
      </w:r>
      <w:bookmarkEnd w:id="868"/>
    </w:p>
    <w:bookmarkEnd w:id="800"/>
    <w:bookmarkEnd w:id="801"/>
    <w:bookmarkEnd w:id="802"/>
    <w:bookmarkEnd w:id="803"/>
    <w:bookmarkEnd w:id="804"/>
    <w:bookmarkEnd w:id="805"/>
    <w:bookmarkEnd w:id="806"/>
    <w:bookmarkEnd w:id="807"/>
    <w:bookmarkEnd w:id="808"/>
    <w:bookmarkEnd w:id="809"/>
    <w:p w14:paraId="7EC6F558">
      <w:pPr>
        <w:adjustRightInd w:val="0"/>
        <w:snapToGrid w:val="0"/>
        <w:spacing w:line="360" w:lineRule="auto"/>
        <w:ind w:firstLine="480" w:firstLineChars="200"/>
        <w:outlineLvl w:val="3"/>
        <w:rPr>
          <w:rFonts w:hint="eastAsia" w:ascii="仿宋" w:hAnsi="仿宋" w:eastAsia="仿宋" w:cs="仿宋"/>
          <w:sz w:val="24"/>
          <w:highlight w:val="none"/>
        </w:rPr>
      </w:pPr>
      <w:bookmarkStart w:id="869" w:name="_Toc351203641"/>
      <w:bookmarkStart w:id="870" w:name="_Toc280868655"/>
      <w:bookmarkStart w:id="871" w:name="_Toc280868656"/>
      <w:bookmarkStart w:id="872" w:name="_Toc267251424"/>
      <w:r>
        <w:rPr>
          <w:rFonts w:hint="eastAsia" w:ascii="仿宋" w:hAnsi="仿宋" w:eastAsia="仿宋" w:cs="仿宋"/>
          <w:sz w:val="24"/>
          <w:highlight w:val="none"/>
        </w:rPr>
        <w:t>8</w:t>
      </w:r>
      <w:bookmarkStart w:id="873" w:name="_Toc312678019"/>
      <w:bookmarkStart w:id="874" w:name="_Toc280868654"/>
      <w:bookmarkStart w:id="875" w:name="_Toc296503167"/>
      <w:bookmarkStart w:id="876" w:name="_Toc292559372"/>
      <w:bookmarkStart w:id="877" w:name="_Toc297048353"/>
      <w:bookmarkStart w:id="878" w:name="_Toc297216186"/>
      <w:bookmarkStart w:id="879" w:name="_Toc296891207"/>
      <w:bookmarkStart w:id="880" w:name="_Toc304295556"/>
      <w:bookmarkStart w:id="881" w:name="_Toc312677493"/>
      <w:bookmarkStart w:id="882" w:name="_Toc303539136"/>
      <w:bookmarkStart w:id="883" w:name="_Toc296890995"/>
      <w:bookmarkStart w:id="884" w:name="_Toc296944506"/>
      <w:bookmarkStart w:id="885" w:name="_Toc297120467"/>
      <w:bookmarkStart w:id="886" w:name="_Toc296347166"/>
      <w:bookmarkStart w:id="887" w:name="_Toc296346668"/>
      <w:bookmarkStart w:id="888" w:name="_Toc300934979"/>
      <w:bookmarkStart w:id="889" w:name="_Toc292559877"/>
      <w:bookmarkStart w:id="890" w:name="_Toc297123527"/>
      <w:r>
        <w:rPr>
          <w:rFonts w:hint="eastAsia" w:ascii="仿宋" w:hAnsi="仿宋" w:eastAsia="仿宋" w:cs="仿宋"/>
          <w:sz w:val="24"/>
          <w:highlight w:val="none"/>
        </w:rPr>
        <w:t>.4材料与工程设备的保管与使用</w:t>
      </w:r>
    </w:p>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p w14:paraId="3393B151">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8</w:t>
      </w:r>
      <w:bookmarkStart w:id="891" w:name="_Toc292559878"/>
      <w:bookmarkStart w:id="892" w:name="_Toc292559373"/>
      <w:bookmarkStart w:id="893" w:name="_Toc297120468"/>
      <w:bookmarkStart w:id="894" w:name="_Toc296346669"/>
      <w:bookmarkStart w:id="895" w:name="_Toc296503168"/>
      <w:bookmarkStart w:id="896" w:name="_Toc318581173"/>
      <w:bookmarkStart w:id="897" w:name="_Toc297216187"/>
      <w:bookmarkStart w:id="898" w:name="_Toc303539137"/>
      <w:bookmarkStart w:id="899" w:name="_Toc312677494"/>
      <w:bookmarkStart w:id="900" w:name="_Toc304295557"/>
      <w:bookmarkStart w:id="901" w:name="_Toc296944507"/>
      <w:bookmarkStart w:id="902" w:name="_Toc297048354"/>
      <w:bookmarkStart w:id="903" w:name="_Toc300934980"/>
      <w:bookmarkStart w:id="904" w:name="_Toc296347167"/>
      <w:bookmarkStart w:id="905" w:name="_Toc296891208"/>
      <w:bookmarkStart w:id="906" w:name="_Toc296890996"/>
      <w:bookmarkStart w:id="907" w:name="_Toc297123528"/>
      <w:bookmarkStart w:id="908" w:name="_Toc312678020"/>
      <w:r>
        <w:rPr>
          <w:rFonts w:hint="eastAsia" w:ascii="仿宋" w:hAnsi="仿宋" w:eastAsia="仿宋" w:cs="仿宋"/>
          <w:sz w:val="24"/>
          <w:highlight w:val="none"/>
        </w:rPr>
        <w:t>.4.1发包人供应的材料设备的保管费用的承担：</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bookmarkEnd w:id="891"/>
      <w:bookmarkEnd w:id="892"/>
    </w:p>
    <w:p w14:paraId="1B46CDBE">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8.6 样品</w:t>
      </w:r>
    </w:p>
    <w:p w14:paraId="24BD8615">
      <w:pPr>
        <w:autoSpaceDE w:val="0"/>
        <w:autoSpaceDN w:val="0"/>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8.6.1</w:t>
      </w:r>
      <w:r>
        <w:rPr>
          <w:rFonts w:hint="eastAsia" w:ascii="仿宋" w:hAnsi="仿宋" w:eastAsia="仿宋" w:cs="仿宋"/>
          <w:kern w:val="0"/>
          <w:sz w:val="24"/>
          <w:highlight w:val="none"/>
        </w:rPr>
        <w:tab/>
      </w:r>
      <w:r>
        <w:rPr>
          <w:rFonts w:hint="eastAsia" w:ascii="仿宋" w:hAnsi="仿宋" w:eastAsia="仿宋" w:cs="仿宋"/>
          <w:kern w:val="0"/>
          <w:sz w:val="24"/>
          <w:highlight w:val="none"/>
        </w:rPr>
        <w:t>样品的报送与封存</w:t>
      </w:r>
    </w:p>
    <w:p w14:paraId="0895925F">
      <w:pPr>
        <w:autoSpaceDE w:val="0"/>
        <w:autoSpaceDN w:val="0"/>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kern w:val="0"/>
          <w:sz w:val="24"/>
          <w:highlight w:val="none"/>
        </w:rPr>
        <w:t>需要承包人报送样品的材料或工程设备，样品的种类、名称、规格、数量要求：</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50034E00">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8.8 施工设备和临时设施</w:t>
      </w:r>
    </w:p>
    <w:p w14:paraId="1C2C6002">
      <w:pPr>
        <w:autoSpaceDE w:val="0"/>
        <w:autoSpaceDN w:val="0"/>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8.8.1 承包人提供的施工设备和临时设施</w:t>
      </w:r>
    </w:p>
    <w:p w14:paraId="77831F0E">
      <w:pPr>
        <w:autoSpaceDE w:val="0"/>
        <w:autoSpaceDN w:val="0"/>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关于修建临时设施费用承担的约定：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bookmarkEnd w:id="869"/>
    <w:bookmarkEnd w:id="870"/>
    <w:bookmarkEnd w:id="871"/>
    <w:bookmarkEnd w:id="87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p w14:paraId="51C2E160">
      <w:pPr>
        <w:pStyle w:val="4"/>
        <w:adjustRightInd w:val="0"/>
        <w:snapToGrid w:val="0"/>
        <w:spacing w:before="0" w:after="0" w:line="360" w:lineRule="auto"/>
        <w:rPr>
          <w:rFonts w:hint="eastAsia" w:ascii="仿宋" w:hAnsi="仿宋" w:eastAsia="仿宋" w:cs="仿宋"/>
          <w:sz w:val="24"/>
          <w:szCs w:val="24"/>
          <w:highlight w:val="none"/>
        </w:rPr>
      </w:pPr>
      <w:bookmarkStart w:id="909" w:name="_Toc45552386"/>
      <w:bookmarkStart w:id="910" w:name="_Toc296891022"/>
      <w:bookmarkStart w:id="911" w:name="_Toc300934990"/>
      <w:bookmarkStart w:id="912" w:name="_Toc296347193"/>
      <w:bookmarkStart w:id="913" w:name="_Toc297120494"/>
      <w:bookmarkStart w:id="914" w:name="_Toc304295567"/>
      <w:bookmarkStart w:id="915" w:name="_Toc312678026"/>
      <w:bookmarkStart w:id="916" w:name="_Toc297123541"/>
      <w:bookmarkStart w:id="917" w:name="_Toc292559399"/>
      <w:bookmarkStart w:id="918" w:name="_Toc312677500"/>
      <w:bookmarkStart w:id="919" w:name="_Toc297048380"/>
      <w:bookmarkStart w:id="920" w:name="_Toc296346695"/>
      <w:bookmarkStart w:id="921" w:name="_Toc297216200"/>
      <w:bookmarkStart w:id="922" w:name="_Toc296891234"/>
      <w:bookmarkStart w:id="923" w:name="_Toc292559904"/>
      <w:bookmarkStart w:id="924" w:name="_Toc296503194"/>
      <w:bookmarkStart w:id="925" w:name="_Toc303539147"/>
      <w:bookmarkStart w:id="926" w:name="_Toc296944533"/>
      <w:bookmarkStart w:id="927" w:name="_Toc267251439"/>
      <w:bookmarkStart w:id="928" w:name="_Toc267251440"/>
      <w:bookmarkStart w:id="929" w:name="_Toc267251441"/>
      <w:bookmarkStart w:id="930" w:name="_Toc267251433"/>
      <w:bookmarkStart w:id="931" w:name="_Toc267251435"/>
      <w:bookmarkStart w:id="932" w:name="_Toc267251437"/>
      <w:bookmarkStart w:id="933" w:name="_Toc267251442"/>
      <w:r>
        <w:rPr>
          <w:rFonts w:hint="eastAsia" w:ascii="仿宋" w:hAnsi="仿宋" w:eastAsia="仿宋" w:cs="仿宋"/>
          <w:sz w:val="24"/>
          <w:szCs w:val="24"/>
          <w:highlight w:val="none"/>
        </w:rPr>
        <w:t>9</w:t>
      </w:r>
      <w:bookmarkStart w:id="934" w:name="_Toc312677495"/>
      <w:bookmarkStart w:id="935" w:name="_Toc312678021"/>
      <w:bookmarkStart w:id="936" w:name="_Toc297123533"/>
      <w:bookmarkStart w:id="937" w:name="_Toc297216192"/>
      <w:bookmarkStart w:id="938" w:name="_Toc300934982"/>
      <w:bookmarkStart w:id="939" w:name="_Toc303539139"/>
      <w:bookmarkStart w:id="940" w:name="_Toc304295559"/>
      <w:bookmarkStart w:id="941" w:name="_Toc296347172"/>
      <w:bookmarkStart w:id="942" w:name="_Toc297048359"/>
      <w:bookmarkStart w:id="943" w:name="_Toc292559883"/>
      <w:bookmarkStart w:id="944" w:name="_Toc267251427"/>
      <w:bookmarkStart w:id="945" w:name="_Toc267251428"/>
      <w:bookmarkStart w:id="946" w:name="_Toc296503173"/>
      <w:bookmarkStart w:id="947" w:name="_Toc296944512"/>
      <w:bookmarkStart w:id="948" w:name="_Toc296346674"/>
      <w:bookmarkStart w:id="949" w:name="_Toc297120473"/>
      <w:bookmarkStart w:id="950" w:name="_Toc296891213"/>
      <w:bookmarkStart w:id="951" w:name="_Toc296891001"/>
      <w:bookmarkStart w:id="952" w:name="_Toc292559378"/>
      <w:r>
        <w:rPr>
          <w:rFonts w:hint="eastAsia" w:ascii="仿宋" w:hAnsi="仿宋" w:eastAsia="仿宋" w:cs="仿宋"/>
          <w:sz w:val="24"/>
          <w:szCs w:val="24"/>
          <w:highlight w:val="none"/>
        </w:rPr>
        <w:t>. 试验与检验</w:t>
      </w:r>
    </w:p>
    <w:bookmarkEnd w:id="934"/>
    <w:bookmarkEnd w:id="935"/>
    <w:bookmarkEnd w:id="936"/>
    <w:bookmarkEnd w:id="937"/>
    <w:bookmarkEnd w:id="938"/>
    <w:bookmarkEnd w:id="939"/>
    <w:bookmarkEnd w:id="940"/>
    <w:p w14:paraId="614E97F1">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9</w:t>
      </w:r>
      <w:bookmarkStart w:id="953" w:name="_Toc303539140"/>
      <w:bookmarkStart w:id="954" w:name="_Toc304295560"/>
      <w:bookmarkStart w:id="955" w:name="_Toc300934983"/>
      <w:bookmarkStart w:id="956" w:name="_Toc297216193"/>
      <w:bookmarkStart w:id="957" w:name="_Toc312677496"/>
      <w:bookmarkStart w:id="958" w:name="_Toc297123534"/>
      <w:bookmarkStart w:id="959" w:name="_Toc312678022"/>
      <w:r>
        <w:rPr>
          <w:rFonts w:hint="eastAsia" w:ascii="仿宋" w:hAnsi="仿宋" w:eastAsia="仿宋" w:cs="仿宋"/>
          <w:sz w:val="24"/>
          <w:highlight w:val="none"/>
        </w:rPr>
        <w:t>.1试验设备与试验人员</w:t>
      </w:r>
    </w:p>
    <w:bookmarkEnd w:id="953"/>
    <w:bookmarkEnd w:id="954"/>
    <w:bookmarkEnd w:id="955"/>
    <w:bookmarkEnd w:id="956"/>
    <w:bookmarkEnd w:id="957"/>
    <w:bookmarkEnd w:id="958"/>
    <w:bookmarkEnd w:id="959"/>
    <w:p w14:paraId="5073DF4A">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9</w:t>
      </w:r>
      <w:bookmarkStart w:id="960" w:name="_Toc300934984"/>
      <w:bookmarkStart w:id="961" w:name="_Toc303539141"/>
      <w:bookmarkStart w:id="962" w:name="_Toc312678023"/>
      <w:bookmarkStart w:id="963" w:name="_Toc297123535"/>
      <w:bookmarkStart w:id="964" w:name="_Toc304295561"/>
      <w:bookmarkStart w:id="965" w:name="_Toc312677497"/>
      <w:bookmarkStart w:id="966" w:name="_Toc297216194"/>
      <w:bookmarkStart w:id="967" w:name="_Toc318581174"/>
      <w:r>
        <w:rPr>
          <w:rFonts w:hint="eastAsia" w:ascii="仿宋" w:hAnsi="仿宋" w:eastAsia="仿宋" w:cs="仿宋"/>
          <w:sz w:val="24"/>
          <w:highlight w:val="none"/>
        </w:rPr>
        <w:t>.1.2 试验设备</w:t>
      </w:r>
    </w:p>
    <w:p w14:paraId="48D45D03">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施工现场需要配置的试验场所：</w:t>
      </w:r>
      <w:bookmarkEnd w:id="960"/>
      <w:bookmarkEnd w:id="961"/>
      <w:bookmarkEnd w:id="962"/>
      <w:bookmarkEnd w:id="963"/>
      <w:bookmarkEnd w:id="964"/>
      <w:bookmarkEnd w:id="965"/>
      <w:bookmarkEnd w:id="966"/>
      <w:bookmarkStart w:id="968" w:name="_Toc303539142"/>
      <w:bookmarkStart w:id="969" w:name="_Toc297216195"/>
      <w:bookmarkStart w:id="970" w:name="_Toc312677498"/>
      <w:bookmarkStart w:id="971" w:name="_Toc312678024"/>
      <w:bookmarkStart w:id="972" w:name="_Toc297123536"/>
      <w:bookmarkStart w:id="973" w:name="_Toc304295562"/>
      <w:bookmarkStart w:id="974" w:name="_Toc300934985"/>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p>
    <w:p w14:paraId="7B5B6D5C">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施工现场需要配备的试验设备：</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0AB8BA5C">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施工现场需要具备的其他试验条件：</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30F88B5C">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 xml:space="preserve">9.4 现场工艺试验 </w:t>
      </w:r>
    </w:p>
    <w:p w14:paraId="533668FD">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现场工艺试验的有关约定：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bookmarkEnd w:id="967"/>
    <w:bookmarkEnd w:id="968"/>
    <w:bookmarkEnd w:id="969"/>
    <w:bookmarkEnd w:id="970"/>
    <w:bookmarkEnd w:id="971"/>
    <w:bookmarkEnd w:id="972"/>
    <w:bookmarkEnd w:id="973"/>
    <w:bookmarkEnd w:id="974"/>
    <w:p w14:paraId="67B25548">
      <w:pPr>
        <w:pStyle w:val="4"/>
        <w:adjustRightInd w:val="0"/>
        <w:snapToGrid w:val="0"/>
        <w:spacing w:before="0" w:after="0" w:line="360" w:lineRule="auto"/>
        <w:rPr>
          <w:rFonts w:hint="eastAsia" w:ascii="仿宋" w:hAnsi="仿宋" w:eastAsia="仿宋" w:cs="仿宋"/>
          <w:sz w:val="24"/>
          <w:szCs w:val="24"/>
          <w:highlight w:val="none"/>
        </w:rPr>
      </w:pPr>
      <w:bookmarkStart w:id="975" w:name="_Toc351203642"/>
      <w:r>
        <w:rPr>
          <w:rFonts w:hint="eastAsia" w:ascii="仿宋" w:hAnsi="仿宋" w:eastAsia="仿宋" w:cs="仿宋"/>
          <w:sz w:val="24"/>
          <w:szCs w:val="24"/>
          <w:highlight w:val="none"/>
        </w:rPr>
        <w:t>1</w:t>
      </w:r>
      <w:bookmarkEnd w:id="941"/>
      <w:bookmarkEnd w:id="942"/>
      <w:bookmarkEnd w:id="943"/>
      <w:bookmarkEnd w:id="944"/>
      <w:bookmarkEnd w:id="945"/>
      <w:bookmarkEnd w:id="946"/>
      <w:bookmarkEnd w:id="947"/>
      <w:bookmarkEnd w:id="948"/>
      <w:bookmarkEnd w:id="949"/>
      <w:bookmarkEnd w:id="950"/>
      <w:bookmarkEnd w:id="951"/>
      <w:bookmarkEnd w:id="952"/>
      <w:bookmarkStart w:id="976" w:name="_Toc304295566"/>
      <w:bookmarkStart w:id="977" w:name="_Toc296944532"/>
      <w:bookmarkStart w:id="978" w:name="_Toc297216199"/>
      <w:bookmarkStart w:id="979" w:name="_Toc292559903"/>
      <w:bookmarkStart w:id="980" w:name="_Toc297120493"/>
      <w:bookmarkStart w:id="981" w:name="_Toc297123540"/>
      <w:bookmarkStart w:id="982" w:name="_Toc296346694"/>
      <w:bookmarkStart w:id="983" w:name="_Toc300934989"/>
      <w:bookmarkStart w:id="984" w:name="_Toc296891021"/>
      <w:bookmarkStart w:id="985" w:name="_Toc296891233"/>
      <w:bookmarkStart w:id="986" w:name="_Toc292559398"/>
      <w:bookmarkStart w:id="987" w:name="_Toc296347192"/>
      <w:bookmarkStart w:id="988" w:name="_Toc303539146"/>
      <w:bookmarkStart w:id="989" w:name="_Toc296503193"/>
      <w:bookmarkStart w:id="990" w:name="_Toc297048379"/>
      <w:bookmarkStart w:id="991" w:name="_Toc312677499"/>
      <w:bookmarkStart w:id="992" w:name="_Toc312678025"/>
      <w:r>
        <w:rPr>
          <w:rFonts w:hint="eastAsia" w:ascii="仿宋" w:hAnsi="仿宋" w:eastAsia="仿宋" w:cs="仿宋"/>
          <w:sz w:val="24"/>
          <w:szCs w:val="24"/>
          <w:highlight w:val="none"/>
        </w:rPr>
        <w:t>0. 变更</w:t>
      </w:r>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p>
    <w:bookmarkEnd w:id="991"/>
    <w:bookmarkEnd w:id="992"/>
    <w:p w14:paraId="7163F0F4">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10.1变更的范围</w:t>
      </w:r>
    </w:p>
    <w:p w14:paraId="7C0DF984">
      <w:pPr>
        <w:adjustRightInd w:val="0"/>
        <w:snapToGrid w:val="0"/>
        <w:spacing w:line="360" w:lineRule="auto"/>
        <w:ind w:firstLine="600"/>
        <w:jc w:val="left"/>
        <w:rPr>
          <w:rFonts w:hint="eastAsia" w:ascii="仿宋" w:hAnsi="仿宋" w:eastAsia="仿宋" w:cs="仿宋"/>
          <w:sz w:val="24"/>
          <w:highlight w:val="none"/>
          <w:u w:val="single"/>
        </w:rPr>
      </w:pPr>
      <w:r>
        <w:rPr>
          <w:rFonts w:hint="eastAsia" w:ascii="仿宋" w:hAnsi="仿宋" w:eastAsia="仿宋" w:cs="仿宋"/>
          <w:sz w:val="24"/>
          <w:highlight w:val="none"/>
        </w:rPr>
        <w:t>关于变更的范围的约定：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667FB071">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10.4 变更估价</w:t>
      </w:r>
      <w:bookmarkEnd w:id="909"/>
    </w:p>
    <w:p w14:paraId="767B7140">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10.4.1 变更估价原则</w:t>
      </w:r>
    </w:p>
    <w:p w14:paraId="270225F1">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 xml:space="preserve">关于变更估价的约定：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40DB64FA">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w:t>
      </w:r>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Start w:id="993" w:name="_Toc296891025"/>
      <w:bookmarkStart w:id="994" w:name="_Toc297120497"/>
      <w:bookmarkStart w:id="995" w:name="_Toc296347196"/>
      <w:bookmarkStart w:id="996" w:name="_Toc297216203"/>
      <w:bookmarkStart w:id="997" w:name="_Toc300934993"/>
      <w:bookmarkStart w:id="998" w:name="_Toc303539150"/>
      <w:bookmarkStart w:id="999" w:name="_Toc297048383"/>
      <w:bookmarkStart w:id="1000" w:name="_Toc296944536"/>
      <w:bookmarkStart w:id="1001" w:name="_Toc292559907"/>
      <w:bookmarkStart w:id="1002" w:name="_Toc296891237"/>
      <w:bookmarkStart w:id="1003" w:name="_Toc297123544"/>
      <w:bookmarkStart w:id="1004" w:name="_Toc292559402"/>
      <w:bookmarkStart w:id="1005" w:name="_Toc296346698"/>
      <w:bookmarkStart w:id="1006" w:name="_Toc296503197"/>
      <w:bookmarkStart w:id="1007" w:name="_Toc312678029"/>
      <w:bookmarkStart w:id="1008" w:name="_Toc312677503"/>
      <w:bookmarkStart w:id="1009" w:name="_Toc304295570"/>
      <w:r>
        <w:rPr>
          <w:rFonts w:hint="eastAsia" w:ascii="仿宋" w:hAnsi="仿宋" w:eastAsia="仿宋" w:cs="仿宋"/>
          <w:sz w:val="24"/>
          <w:highlight w:val="none"/>
        </w:rPr>
        <w:t>0.5承</w:t>
      </w:r>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Start w:id="1010" w:name="_Toc296891243"/>
      <w:bookmarkStart w:id="1011" w:name="_Toc296503203"/>
      <w:bookmarkStart w:id="1012" w:name="_Toc292559408"/>
      <w:bookmarkStart w:id="1013" w:name="_Toc296347202"/>
      <w:bookmarkStart w:id="1014" w:name="_Toc300934994"/>
      <w:bookmarkStart w:id="1015" w:name="_Toc296346704"/>
      <w:bookmarkStart w:id="1016" w:name="_Toc292559913"/>
      <w:bookmarkStart w:id="1017" w:name="_Toc296891031"/>
      <w:bookmarkStart w:id="1018" w:name="_Toc296944542"/>
      <w:bookmarkStart w:id="1019" w:name="_Toc303539151"/>
      <w:bookmarkStart w:id="1020" w:name="_Toc297123545"/>
      <w:bookmarkStart w:id="1021" w:name="_Toc297216204"/>
      <w:bookmarkStart w:id="1022" w:name="_Toc297120503"/>
      <w:bookmarkStart w:id="1023" w:name="_Toc297048389"/>
      <w:r>
        <w:rPr>
          <w:rFonts w:hint="eastAsia" w:ascii="仿宋" w:hAnsi="仿宋" w:eastAsia="仿宋" w:cs="仿宋"/>
          <w:sz w:val="24"/>
          <w:highlight w:val="none"/>
        </w:rPr>
        <w:t>包人的合理化建议</w:t>
      </w:r>
    </w:p>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p w14:paraId="6EF6288D">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监理人审查承包人合理化建议的期限：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5F56B550">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发包人审批承包人合理化建议的期限：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7F2BD09F">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承</w:t>
      </w:r>
      <w:bookmarkStart w:id="1024" w:name="_Toc292559914"/>
      <w:bookmarkStart w:id="1025" w:name="_Toc296347203"/>
      <w:bookmarkStart w:id="1026" w:name="_Toc303539152"/>
      <w:bookmarkStart w:id="1027" w:name="_Toc304295571"/>
      <w:bookmarkStart w:id="1028" w:name="_Toc297123546"/>
      <w:bookmarkStart w:id="1029" w:name="_Toc297216205"/>
      <w:bookmarkStart w:id="1030" w:name="_Toc296891032"/>
      <w:bookmarkStart w:id="1031" w:name="_Toc318581175"/>
      <w:bookmarkStart w:id="1032" w:name="_Toc292559409"/>
      <w:bookmarkStart w:id="1033" w:name="_Toc297048390"/>
      <w:bookmarkStart w:id="1034" w:name="_Toc312677504"/>
      <w:bookmarkStart w:id="1035" w:name="_Toc296891244"/>
      <w:bookmarkStart w:id="1036" w:name="_Toc296346705"/>
      <w:bookmarkStart w:id="1037" w:name="_Toc296503204"/>
      <w:bookmarkStart w:id="1038" w:name="_Toc300934995"/>
      <w:bookmarkStart w:id="1039" w:name="_Toc297120504"/>
      <w:bookmarkStart w:id="1040" w:name="_Toc312678030"/>
      <w:bookmarkStart w:id="1041" w:name="_Toc296944543"/>
      <w:r>
        <w:rPr>
          <w:rFonts w:hint="eastAsia" w:ascii="仿宋" w:hAnsi="仿宋" w:eastAsia="仿宋" w:cs="仿宋"/>
          <w:sz w:val="24"/>
          <w:highlight w:val="none"/>
        </w:rPr>
        <w:t>包人提出的合理化建议降低了合同价格或者提高了工程经济效益的奖励的方法和金额为：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p w14:paraId="087EC3D5">
      <w:pPr>
        <w:adjustRightInd w:val="0"/>
        <w:snapToGrid w:val="0"/>
        <w:spacing w:line="360" w:lineRule="auto"/>
        <w:ind w:firstLine="480" w:firstLineChars="200"/>
        <w:outlineLvl w:val="3"/>
        <w:rPr>
          <w:rFonts w:hint="eastAsia" w:ascii="仿宋" w:hAnsi="仿宋" w:eastAsia="仿宋" w:cs="仿宋"/>
          <w:sz w:val="24"/>
          <w:highlight w:val="none"/>
        </w:rPr>
      </w:pPr>
      <w:bookmarkStart w:id="1042" w:name="_Toc45552387"/>
      <w:r>
        <w:rPr>
          <w:rFonts w:hint="eastAsia" w:ascii="仿宋" w:hAnsi="仿宋" w:eastAsia="仿宋" w:cs="仿宋"/>
          <w:sz w:val="24"/>
          <w:highlight w:val="none"/>
        </w:rPr>
        <w:t>1</w:t>
      </w:r>
      <w:bookmarkStart w:id="1043" w:name="_Toc297123548"/>
      <w:bookmarkStart w:id="1044" w:name="_Toc292559404"/>
      <w:bookmarkStart w:id="1045" w:name="_Toc297048385"/>
      <w:bookmarkStart w:id="1046" w:name="_Toc296944538"/>
      <w:bookmarkStart w:id="1047" w:name="_Toc296503199"/>
      <w:bookmarkStart w:id="1048" w:name="_Toc296891239"/>
      <w:bookmarkStart w:id="1049" w:name="_Toc292559909"/>
      <w:bookmarkStart w:id="1050" w:name="_Toc296891027"/>
      <w:bookmarkStart w:id="1051" w:name="_Toc296347198"/>
      <w:bookmarkStart w:id="1052" w:name="_Toc297216207"/>
      <w:bookmarkStart w:id="1053" w:name="_Toc303539154"/>
      <w:bookmarkStart w:id="1054" w:name="_Toc296346700"/>
      <w:bookmarkStart w:id="1055" w:name="_Toc297120499"/>
      <w:bookmarkStart w:id="1056" w:name="_Toc300934997"/>
      <w:bookmarkStart w:id="1057" w:name="_Toc312678033"/>
      <w:bookmarkStart w:id="1058" w:name="_Toc304295574"/>
      <w:bookmarkStart w:id="1059" w:name="_Toc312677507"/>
      <w:r>
        <w:rPr>
          <w:rFonts w:hint="eastAsia" w:ascii="仿宋" w:hAnsi="仿宋" w:eastAsia="仿宋" w:cs="仿宋"/>
          <w:sz w:val="24"/>
          <w:highlight w:val="none"/>
        </w:rPr>
        <w:t>0.7 暂估价</w:t>
      </w:r>
      <w:bookmarkEnd w:id="1042"/>
    </w:p>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p w14:paraId="762C95EE">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暂</w:t>
      </w:r>
      <w:bookmarkStart w:id="1060" w:name="_Toc312677508"/>
      <w:bookmarkStart w:id="1061" w:name="_Toc318581176"/>
      <w:bookmarkStart w:id="1062" w:name="_Toc312678034"/>
      <w:r>
        <w:rPr>
          <w:rFonts w:hint="eastAsia" w:ascii="仿宋" w:hAnsi="仿宋" w:eastAsia="仿宋" w:cs="仿宋"/>
          <w:kern w:val="0"/>
          <w:sz w:val="24"/>
          <w:highlight w:val="none"/>
        </w:rPr>
        <w:t>估价材料和工程设备的明细详见附件11：《</w:t>
      </w:r>
      <w:r>
        <w:rPr>
          <w:rFonts w:hint="eastAsia" w:ascii="仿宋" w:hAnsi="仿宋" w:eastAsia="仿宋" w:cs="仿宋"/>
          <w:sz w:val="24"/>
          <w:highlight w:val="none"/>
        </w:rPr>
        <w:t>暂估价一览表》</w:t>
      </w:r>
      <w:r>
        <w:rPr>
          <w:rFonts w:hint="eastAsia" w:ascii="仿宋" w:hAnsi="仿宋" w:eastAsia="仿宋" w:cs="仿宋"/>
          <w:kern w:val="0"/>
          <w:sz w:val="24"/>
          <w:highlight w:val="none"/>
        </w:rPr>
        <w:t>。</w:t>
      </w:r>
    </w:p>
    <w:bookmarkEnd w:id="1060"/>
    <w:bookmarkEnd w:id="1061"/>
    <w:bookmarkEnd w:id="1062"/>
    <w:p w14:paraId="60680747">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w:t>
      </w:r>
      <w:bookmarkStart w:id="1063" w:name="_Toc312677509"/>
      <w:bookmarkStart w:id="1064" w:name="_Toc318581177"/>
      <w:bookmarkStart w:id="1065" w:name="_Toc312678035"/>
      <w:r>
        <w:rPr>
          <w:rFonts w:hint="eastAsia" w:ascii="仿宋" w:hAnsi="仿宋" w:eastAsia="仿宋" w:cs="仿宋"/>
          <w:sz w:val="24"/>
          <w:highlight w:val="none"/>
        </w:rPr>
        <w:t>0.7.1 依法必须招标的暂估价项目</w:t>
      </w:r>
    </w:p>
    <w:bookmarkEnd w:id="1063"/>
    <w:bookmarkEnd w:id="1064"/>
    <w:bookmarkEnd w:id="1065"/>
    <w:p w14:paraId="0E8C31AC">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对于依法必须招标的暂估价项目的确认和批准采取第</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种方式确定。</w:t>
      </w:r>
    </w:p>
    <w:p w14:paraId="1813E78C">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10.7.2 不属于依法必须招标的暂估价项目</w:t>
      </w:r>
    </w:p>
    <w:p w14:paraId="50FB83FF">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对于不属于依法必须招标的暂估价项目的确认和批准采取第</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种方式确定。</w:t>
      </w:r>
    </w:p>
    <w:p w14:paraId="70C3AE62">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第3种方式：</w:t>
      </w:r>
      <w:r>
        <w:rPr>
          <w:rFonts w:hint="eastAsia" w:ascii="仿宋" w:hAnsi="仿宋" w:eastAsia="仿宋" w:cs="仿宋"/>
          <w:kern w:val="0"/>
          <w:sz w:val="24"/>
          <w:highlight w:val="none"/>
        </w:rPr>
        <w:t>承包人直接实施的暂估价项目</w:t>
      </w:r>
    </w:p>
    <w:p w14:paraId="563C2BD7">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承包人直接实施的暂估价项目的约定：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3FD351BC">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10.8 暂列金额</w:t>
      </w:r>
    </w:p>
    <w:p w14:paraId="402BD5C8">
      <w:pPr>
        <w:autoSpaceDE w:val="0"/>
        <w:autoSpaceDN w:val="0"/>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kern w:val="0"/>
          <w:sz w:val="24"/>
          <w:highlight w:val="none"/>
        </w:rPr>
        <w:t>合同当事人关于暂列金额使用的约定：</w:t>
      </w:r>
      <w:r>
        <w:rPr>
          <w:rFonts w:hint="eastAsia" w:ascii="仿宋" w:hAnsi="仿宋" w:eastAsia="仿宋" w:cs="仿宋"/>
          <w:sz w:val="24"/>
          <w:highlight w:val="none"/>
          <w:u w:val="single"/>
        </w:rPr>
        <w:t xml:space="preserve">                   </w:t>
      </w:r>
      <w:r>
        <w:rPr>
          <w:rFonts w:hint="eastAsia" w:ascii="仿宋" w:hAnsi="仿宋" w:eastAsia="仿宋" w:cs="仿宋"/>
          <w:kern w:val="0"/>
          <w:sz w:val="24"/>
          <w:highlight w:val="none"/>
        </w:rPr>
        <w:t>。</w:t>
      </w:r>
    </w:p>
    <w:p w14:paraId="16917EDC">
      <w:pPr>
        <w:pStyle w:val="4"/>
        <w:adjustRightInd w:val="0"/>
        <w:snapToGrid w:val="0"/>
        <w:spacing w:before="0" w:after="0" w:line="360" w:lineRule="auto"/>
        <w:rPr>
          <w:rFonts w:hint="eastAsia" w:ascii="仿宋" w:hAnsi="仿宋" w:eastAsia="仿宋" w:cs="仿宋"/>
          <w:sz w:val="24"/>
          <w:szCs w:val="24"/>
          <w:highlight w:val="none"/>
        </w:rPr>
      </w:pPr>
      <w:bookmarkStart w:id="1066" w:name="_Toc351203643"/>
      <w:r>
        <w:rPr>
          <w:rFonts w:hint="eastAsia" w:ascii="仿宋" w:hAnsi="仿宋" w:eastAsia="仿宋" w:cs="仿宋"/>
          <w:sz w:val="24"/>
          <w:szCs w:val="24"/>
          <w:highlight w:val="none"/>
        </w:rPr>
        <w:t>11. 价格调整</w:t>
      </w:r>
      <w:bookmarkEnd w:id="1066"/>
    </w:p>
    <w:p w14:paraId="4EBB0941">
      <w:pPr>
        <w:adjustRightInd w:val="0"/>
        <w:snapToGrid w:val="0"/>
        <w:spacing w:line="360" w:lineRule="auto"/>
        <w:ind w:firstLine="480" w:firstLineChars="200"/>
        <w:outlineLvl w:val="3"/>
        <w:rPr>
          <w:rFonts w:hint="eastAsia" w:ascii="仿宋" w:hAnsi="仿宋" w:eastAsia="仿宋" w:cs="仿宋"/>
          <w:sz w:val="24"/>
          <w:highlight w:val="none"/>
        </w:rPr>
      </w:pPr>
      <w:bookmarkStart w:id="1067" w:name="_Toc297123550"/>
      <w:bookmarkStart w:id="1068" w:name="_Toc296346702"/>
      <w:bookmarkStart w:id="1069" w:name="_Toc292559911"/>
      <w:bookmarkStart w:id="1070" w:name="_Toc297048387"/>
      <w:bookmarkStart w:id="1071" w:name="_Toc312678039"/>
      <w:bookmarkStart w:id="1072" w:name="_Toc296503201"/>
      <w:bookmarkStart w:id="1073" w:name="_Toc304295577"/>
      <w:bookmarkStart w:id="1074" w:name="_Toc297120501"/>
      <w:bookmarkStart w:id="1075" w:name="_Toc296891241"/>
      <w:bookmarkStart w:id="1076" w:name="_Toc296891029"/>
      <w:bookmarkStart w:id="1077" w:name="_Toc296347200"/>
      <w:bookmarkStart w:id="1078" w:name="_Toc300935000"/>
      <w:bookmarkStart w:id="1079" w:name="_Toc303539157"/>
      <w:bookmarkStart w:id="1080" w:name="_Toc297216209"/>
      <w:bookmarkStart w:id="1081" w:name="_Toc292559406"/>
      <w:bookmarkStart w:id="1082" w:name="_Toc296944540"/>
      <w:r>
        <w:rPr>
          <w:rFonts w:hint="eastAsia" w:ascii="仿宋" w:hAnsi="仿宋" w:eastAsia="仿宋" w:cs="仿宋"/>
          <w:sz w:val="24"/>
          <w:highlight w:val="none"/>
        </w:rPr>
        <w:t>11.1 市场价格波动引起的调整</w:t>
      </w:r>
    </w:p>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p w14:paraId="146310A1">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市场价格波动是否调整合同价格的约定：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1951E6B4">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因市场价格波动调整合同价格，采用以下第</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种方式对合同价格进行调整：</w:t>
      </w:r>
    </w:p>
    <w:p w14:paraId="661ACCB1">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第1种方式：采用价格指数进行价格调整。</w:t>
      </w:r>
    </w:p>
    <w:p w14:paraId="36050ECE">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关于各可调因子、定值和变值权重，以及基本价格指数及其来源的约定：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p>
    <w:p w14:paraId="541F6A02">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第2种方式：采用造价信息进行价格调整。</w:t>
      </w:r>
    </w:p>
    <w:p w14:paraId="49962BF0">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（2）关于基准价格的约定：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7E76479">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%时，或材料单价跌幅以已标价工程量清单或预算书中载明材料单价为基础超过</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%时，其超过部分据实调整。</w:t>
      </w:r>
    </w:p>
    <w:p w14:paraId="6137CD08">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②承包人在已标价工程量清单或预算书中载明的材料单价高于基准价格的：专用合同条款合同履行期间材料单价跌幅以基准价格为基础超过</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%时，材料单价涨幅以已标价工程量清单或预算书中载明材料单价为基础超过</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%时，其超过部分据实调整。</w:t>
      </w:r>
    </w:p>
    <w:p w14:paraId="2EBCBA9D">
      <w:pPr>
        <w:adjustRightInd w:val="0"/>
        <w:snapToGrid w:val="0"/>
        <w:spacing w:line="360" w:lineRule="auto"/>
        <w:ind w:firstLine="645"/>
        <w:jc w:val="left"/>
        <w:rPr>
          <w:rFonts w:hint="eastAsia" w:ascii="仿宋" w:hAnsi="仿宋" w:eastAsia="仿宋" w:cs="仿宋"/>
          <w:sz w:val="24"/>
          <w:highlight w:val="none"/>
        </w:rPr>
      </w:pPr>
      <w:r>
        <w:rPr>
          <w:rFonts w:hint="eastAsia" w:ascii="仿宋" w:hAnsi="仿宋" w:eastAsia="仿宋" w:cs="仿宋"/>
          <w:sz w:val="24"/>
          <w:highlight w:val="none"/>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%时，其超过部分据实调整。</w:t>
      </w:r>
    </w:p>
    <w:p w14:paraId="169EB587">
      <w:pPr>
        <w:adjustRightInd w:val="0"/>
        <w:snapToGrid w:val="0"/>
        <w:spacing w:line="360" w:lineRule="auto"/>
        <w:ind w:firstLine="645"/>
        <w:jc w:val="left"/>
        <w:rPr>
          <w:rFonts w:hint="eastAsia" w:ascii="仿宋" w:hAnsi="仿宋" w:eastAsia="仿宋" w:cs="仿宋"/>
          <w:sz w:val="24"/>
          <w:highlight w:val="none"/>
        </w:rPr>
      </w:pPr>
      <w:r>
        <w:rPr>
          <w:rFonts w:hint="eastAsia" w:ascii="仿宋" w:hAnsi="仿宋" w:eastAsia="仿宋" w:cs="仿宋"/>
          <w:sz w:val="24"/>
          <w:highlight w:val="none"/>
        </w:rPr>
        <w:t>第3种方式：其他价格调整方式：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bookmarkEnd w:id="927"/>
    <w:bookmarkEnd w:id="928"/>
    <w:bookmarkEnd w:id="929"/>
    <w:bookmarkEnd w:id="930"/>
    <w:bookmarkEnd w:id="931"/>
    <w:bookmarkEnd w:id="932"/>
    <w:p w14:paraId="3F817BC9">
      <w:pPr>
        <w:pStyle w:val="4"/>
        <w:adjustRightInd w:val="0"/>
        <w:snapToGrid w:val="0"/>
        <w:spacing w:before="0" w:after="0" w:line="360" w:lineRule="auto"/>
        <w:rPr>
          <w:rFonts w:hint="eastAsia" w:ascii="仿宋" w:hAnsi="仿宋" w:eastAsia="仿宋" w:cs="仿宋"/>
          <w:sz w:val="24"/>
          <w:szCs w:val="24"/>
          <w:highlight w:val="none"/>
        </w:rPr>
      </w:pPr>
      <w:bookmarkStart w:id="1083" w:name="_Toc292559410"/>
      <w:bookmarkStart w:id="1084" w:name="_Toc296891033"/>
      <w:bookmarkStart w:id="1085" w:name="_Toc292559915"/>
      <w:bookmarkStart w:id="1086" w:name="_Toc296346706"/>
      <w:bookmarkStart w:id="1087" w:name="_Toc296347204"/>
      <w:bookmarkStart w:id="1088" w:name="_Toc297048391"/>
      <w:bookmarkStart w:id="1089" w:name="_Toc296891245"/>
      <w:bookmarkStart w:id="1090" w:name="_Toc297120505"/>
      <w:bookmarkStart w:id="1091" w:name="_Toc296944544"/>
      <w:bookmarkStart w:id="1092" w:name="_Toc296503205"/>
      <w:bookmarkStart w:id="1093" w:name="_Toc351203644"/>
      <w:bookmarkStart w:id="1094" w:name="_Toc297123552"/>
      <w:bookmarkStart w:id="1095" w:name="_Toc312678040"/>
      <w:bookmarkStart w:id="1096" w:name="_Toc303539159"/>
      <w:bookmarkStart w:id="1097" w:name="_Toc297216211"/>
      <w:bookmarkStart w:id="1098" w:name="_Toc300935002"/>
      <w:bookmarkStart w:id="1099" w:name="_Toc304295579"/>
      <w:r>
        <w:rPr>
          <w:rFonts w:hint="eastAsia" w:ascii="仿宋" w:hAnsi="仿宋" w:eastAsia="仿宋" w:cs="仿宋"/>
          <w:sz w:val="24"/>
          <w:szCs w:val="24"/>
          <w:highlight w:val="none"/>
        </w:rPr>
        <w:t xml:space="preserve">12. </w:t>
      </w:r>
      <w:bookmarkEnd w:id="1083"/>
      <w:bookmarkEnd w:id="1084"/>
      <w:bookmarkEnd w:id="1085"/>
      <w:bookmarkEnd w:id="1086"/>
      <w:bookmarkEnd w:id="1087"/>
      <w:bookmarkEnd w:id="1088"/>
      <w:bookmarkEnd w:id="1089"/>
      <w:bookmarkEnd w:id="1090"/>
      <w:bookmarkEnd w:id="1091"/>
      <w:bookmarkEnd w:id="1092"/>
      <w:r>
        <w:rPr>
          <w:rFonts w:hint="eastAsia" w:ascii="仿宋" w:hAnsi="仿宋" w:eastAsia="仿宋" w:cs="仿宋"/>
          <w:sz w:val="24"/>
          <w:szCs w:val="24"/>
          <w:highlight w:val="none"/>
        </w:rPr>
        <w:t>合同价格、计量与支付</w:t>
      </w:r>
      <w:bookmarkEnd w:id="1093"/>
    </w:p>
    <w:bookmarkEnd w:id="1094"/>
    <w:bookmarkEnd w:id="1095"/>
    <w:bookmarkEnd w:id="1096"/>
    <w:bookmarkEnd w:id="1097"/>
    <w:bookmarkEnd w:id="1098"/>
    <w:bookmarkEnd w:id="1099"/>
    <w:p w14:paraId="05D15656">
      <w:pPr>
        <w:adjustRightInd w:val="0"/>
        <w:snapToGrid w:val="0"/>
        <w:spacing w:line="360" w:lineRule="auto"/>
        <w:ind w:firstLine="480" w:firstLineChars="200"/>
        <w:outlineLvl w:val="3"/>
        <w:rPr>
          <w:rFonts w:hint="eastAsia" w:ascii="仿宋" w:hAnsi="仿宋" w:eastAsia="仿宋" w:cs="仿宋"/>
          <w:sz w:val="24"/>
          <w:highlight w:val="none"/>
        </w:rPr>
      </w:pPr>
      <w:bookmarkStart w:id="1100" w:name="_Toc292559411"/>
      <w:bookmarkStart w:id="1101" w:name="_Toc267251461"/>
      <w:bookmarkStart w:id="1102" w:name="_Toc292559916"/>
      <w:bookmarkStart w:id="1103" w:name="_Toc296346707"/>
      <w:bookmarkStart w:id="1104" w:name="_Toc297048392"/>
      <w:bookmarkStart w:id="1105" w:name="_Toc296891246"/>
      <w:bookmarkStart w:id="1106" w:name="_Toc296503206"/>
      <w:bookmarkStart w:id="1107" w:name="_Toc296347205"/>
      <w:bookmarkStart w:id="1108" w:name="_Toc296891034"/>
      <w:bookmarkStart w:id="1109" w:name="_Toc297120506"/>
      <w:bookmarkStart w:id="1110" w:name="_Toc296944545"/>
      <w:bookmarkStart w:id="1111" w:name="_Toc297123553"/>
      <w:bookmarkStart w:id="1112" w:name="_Toc304295580"/>
      <w:bookmarkStart w:id="1113" w:name="_Toc312678041"/>
      <w:bookmarkStart w:id="1114" w:name="_Toc297216212"/>
      <w:bookmarkStart w:id="1115" w:name="_Toc300935003"/>
      <w:bookmarkStart w:id="1116" w:name="_Toc303539160"/>
      <w:r>
        <w:rPr>
          <w:rFonts w:hint="eastAsia" w:ascii="仿宋" w:hAnsi="仿宋" w:eastAsia="仿宋" w:cs="仿宋"/>
          <w:sz w:val="24"/>
          <w:highlight w:val="none"/>
        </w:rPr>
        <w:t>12.1 合</w:t>
      </w:r>
      <w:bookmarkEnd w:id="1100"/>
      <w:bookmarkEnd w:id="1101"/>
      <w:bookmarkEnd w:id="1102"/>
      <w:r>
        <w:rPr>
          <w:rFonts w:hint="eastAsia" w:ascii="仿宋" w:hAnsi="仿宋" w:eastAsia="仿宋" w:cs="仿宋"/>
          <w:sz w:val="24"/>
          <w:highlight w:val="none"/>
        </w:rPr>
        <w:t>同价</w:t>
      </w:r>
      <w:bookmarkEnd w:id="1103"/>
      <w:bookmarkEnd w:id="1104"/>
      <w:bookmarkEnd w:id="1105"/>
      <w:bookmarkEnd w:id="1106"/>
      <w:bookmarkEnd w:id="1107"/>
      <w:bookmarkEnd w:id="1108"/>
      <w:bookmarkEnd w:id="1109"/>
      <w:bookmarkEnd w:id="1110"/>
      <w:r>
        <w:rPr>
          <w:rFonts w:hint="eastAsia" w:ascii="仿宋" w:hAnsi="仿宋" w:eastAsia="仿宋" w:cs="仿宋"/>
          <w:sz w:val="24"/>
          <w:highlight w:val="none"/>
        </w:rPr>
        <w:t>格形式</w:t>
      </w:r>
    </w:p>
    <w:bookmarkEnd w:id="1111"/>
    <w:bookmarkEnd w:id="1112"/>
    <w:bookmarkEnd w:id="1113"/>
    <w:bookmarkEnd w:id="1114"/>
    <w:bookmarkEnd w:id="1115"/>
    <w:bookmarkEnd w:id="1116"/>
    <w:p w14:paraId="37FE41D5">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1.单价合同。</w:t>
      </w:r>
    </w:p>
    <w:p w14:paraId="0FE4A7D3">
      <w:pPr>
        <w:adjustRightInd w:val="0"/>
        <w:snapToGrid w:val="0"/>
        <w:spacing w:line="360" w:lineRule="auto"/>
        <w:ind w:firstLine="729" w:firstLineChars="304"/>
        <w:jc w:val="left"/>
        <w:rPr>
          <w:rFonts w:hint="eastAsia" w:ascii="仿宋" w:hAnsi="仿宋" w:eastAsia="仿宋" w:cs="仿宋"/>
          <w:sz w:val="24"/>
          <w:highlight w:val="none"/>
        </w:rPr>
      </w:pPr>
      <w:r>
        <w:rPr>
          <w:rFonts w:hint="eastAsia" w:ascii="仿宋" w:hAnsi="仿宋" w:eastAsia="仿宋" w:cs="仿宋"/>
          <w:sz w:val="24"/>
          <w:highlight w:val="none"/>
        </w:rPr>
        <w:t>综合单价包含的风险范围：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B55AA21">
      <w:pPr>
        <w:adjustRightInd w:val="0"/>
        <w:snapToGrid w:val="0"/>
        <w:spacing w:line="360" w:lineRule="auto"/>
        <w:ind w:firstLine="729" w:firstLineChars="304"/>
        <w:jc w:val="left"/>
        <w:rPr>
          <w:rFonts w:hint="eastAsia" w:ascii="仿宋" w:hAnsi="仿宋" w:eastAsia="仿宋" w:cs="仿宋"/>
          <w:sz w:val="24"/>
          <w:highlight w:val="none"/>
        </w:rPr>
      </w:pPr>
      <w:r>
        <w:rPr>
          <w:rFonts w:hint="eastAsia" w:ascii="仿宋" w:hAnsi="仿宋" w:eastAsia="仿宋" w:cs="仿宋"/>
          <w:sz w:val="24"/>
          <w:highlight w:val="none"/>
        </w:rPr>
        <w:t>风险费用的计算方法：</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0AF99939">
      <w:pPr>
        <w:adjustRightInd w:val="0"/>
        <w:snapToGrid w:val="0"/>
        <w:spacing w:line="360" w:lineRule="auto"/>
        <w:ind w:firstLine="729" w:firstLineChars="304"/>
        <w:jc w:val="left"/>
        <w:rPr>
          <w:rFonts w:hint="eastAsia" w:ascii="仿宋" w:hAnsi="仿宋" w:eastAsia="仿宋" w:cs="仿宋"/>
          <w:sz w:val="24"/>
          <w:highlight w:val="none"/>
        </w:rPr>
      </w:pPr>
      <w:r>
        <w:rPr>
          <w:rFonts w:hint="eastAsia" w:ascii="仿宋" w:hAnsi="仿宋" w:eastAsia="仿宋" w:cs="仿宋"/>
          <w:sz w:val="24"/>
          <w:highlight w:val="none"/>
        </w:rPr>
        <w:t>风险范围以外合同价格的调整方法：</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642D1ED1">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2.总价合同。</w:t>
      </w:r>
    </w:p>
    <w:p w14:paraId="08F2C3D4">
      <w:pPr>
        <w:adjustRightInd w:val="0"/>
        <w:snapToGrid w:val="0"/>
        <w:spacing w:line="360" w:lineRule="auto"/>
        <w:ind w:firstLine="729" w:firstLineChars="304"/>
        <w:jc w:val="left"/>
        <w:rPr>
          <w:rFonts w:hint="eastAsia" w:ascii="仿宋" w:hAnsi="仿宋" w:eastAsia="仿宋" w:cs="仿宋"/>
          <w:sz w:val="24"/>
          <w:highlight w:val="none"/>
        </w:rPr>
      </w:pPr>
      <w:r>
        <w:rPr>
          <w:rFonts w:hint="eastAsia" w:ascii="仿宋" w:hAnsi="仿宋" w:eastAsia="仿宋" w:cs="仿宋"/>
          <w:sz w:val="24"/>
          <w:highlight w:val="none"/>
        </w:rPr>
        <w:t>总价包含的风险范围：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0F7BAE5B">
      <w:pPr>
        <w:adjustRightInd w:val="0"/>
        <w:snapToGrid w:val="0"/>
        <w:spacing w:line="360" w:lineRule="auto"/>
        <w:ind w:firstLine="729" w:firstLineChars="304"/>
        <w:jc w:val="left"/>
        <w:rPr>
          <w:rFonts w:hint="eastAsia" w:ascii="仿宋" w:hAnsi="仿宋" w:eastAsia="仿宋" w:cs="仿宋"/>
          <w:sz w:val="24"/>
          <w:highlight w:val="none"/>
        </w:rPr>
      </w:pPr>
      <w:r>
        <w:rPr>
          <w:rFonts w:hint="eastAsia" w:ascii="仿宋" w:hAnsi="仿宋" w:eastAsia="仿宋" w:cs="仿宋"/>
          <w:sz w:val="24"/>
          <w:highlight w:val="none"/>
        </w:rPr>
        <w:t>风险费用的计算方法：</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7D4FDA7">
      <w:pPr>
        <w:adjustRightInd w:val="0"/>
        <w:snapToGrid w:val="0"/>
        <w:spacing w:line="360" w:lineRule="auto"/>
        <w:ind w:firstLine="729" w:firstLineChars="304"/>
        <w:jc w:val="left"/>
        <w:rPr>
          <w:rFonts w:hint="eastAsia" w:ascii="仿宋" w:hAnsi="仿宋" w:eastAsia="仿宋" w:cs="仿宋"/>
          <w:sz w:val="24"/>
          <w:highlight w:val="none"/>
        </w:rPr>
      </w:pPr>
      <w:r>
        <w:rPr>
          <w:rFonts w:hint="eastAsia" w:ascii="仿宋" w:hAnsi="仿宋" w:eastAsia="仿宋" w:cs="仿宋"/>
          <w:sz w:val="24"/>
          <w:highlight w:val="none"/>
        </w:rPr>
        <w:t>风险范围以外合同价格的调整方法：</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4DA5720F">
      <w:pPr>
        <w:adjustRightInd w:val="0"/>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3、其他价格方式：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655B92CD">
      <w:pPr>
        <w:adjustRightInd w:val="0"/>
        <w:snapToGrid w:val="0"/>
        <w:spacing w:line="360" w:lineRule="auto"/>
        <w:ind w:firstLine="480" w:firstLineChars="200"/>
        <w:outlineLvl w:val="3"/>
        <w:rPr>
          <w:rFonts w:hint="eastAsia" w:ascii="仿宋" w:hAnsi="仿宋" w:eastAsia="仿宋" w:cs="仿宋"/>
          <w:sz w:val="24"/>
          <w:highlight w:val="none"/>
        </w:rPr>
      </w:pPr>
      <w:bookmarkStart w:id="1117" w:name="_Toc300935004"/>
      <w:bookmarkStart w:id="1118" w:name="_Toc303539161"/>
      <w:bookmarkStart w:id="1119" w:name="_Toc297216213"/>
      <w:bookmarkStart w:id="1120" w:name="_Toc312678042"/>
      <w:bookmarkStart w:id="1121" w:name="_Toc297123554"/>
      <w:bookmarkStart w:id="1122" w:name="_Toc304295581"/>
      <w:bookmarkStart w:id="1123" w:name="_Toc296346708"/>
      <w:bookmarkStart w:id="1124" w:name="_Toc297048393"/>
      <w:bookmarkStart w:id="1125" w:name="_Toc292559917"/>
      <w:bookmarkStart w:id="1126" w:name="_Toc296891035"/>
      <w:bookmarkStart w:id="1127" w:name="_Toc296891247"/>
      <w:bookmarkStart w:id="1128" w:name="_Toc296347206"/>
      <w:bookmarkStart w:id="1129" w:name="_Toc297120507"/>
      <w:bookmarkStart w:id="1130" w:name="_Toc296944546"/>
      <w:bookmarkStart w:id="1131" w:name="_Toc292559412"/>
      <w:bookmarkStart w:id="1132" w:name="_Toc296503207"/>
      <w:r>
        <w:rPr>
          <w:rFonts w:hint="eastAsia" w:ascii="仿宋" w:hAnsi="仿宋" w:eastAsia="仿宋" w:cs="仿宋"/>
          <w:sz w:val="24"/>
          <w:highlight w:val="none"/>
        </w:rPr>
        <w:t>12.2 预付款</w:t>
      </w:r>
    </w:p>
    <w:bookmarkEnd w:id="1117"/>
    <w:bookmarkEnd w:id="1118"/>
    <w:bookmarkEnd w:id="1119"/>
    <w:bookmarkEnd w:id="1120"/>
    <w:bookmarkEnd w:id="1121"/>
    <w:bookmarkEnd w:id="1122"/>
    <w:p w14:paraId="09F83707">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12.2.1 预付款的支付</w:t>
      </w:r>
    </w:p>
    <w:p w14:paraId="1782CCFE">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预付款支付比例或金额：</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6E70E444">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预付款支付期限：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06CD0C38">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预付款扣回的方式：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05B5E156">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12.2.2 预付款担保</w:t>
      </w:r>
    </w:p>
    <w:p w14:paraId="03E6E322">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承包人提交预付款担保的期限：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3E2AF8DE">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预付款担保的形式为：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bookmarkEnd w:id="1123"/>
    <w:bookmarkEnd w:id="1124"/>
    <w:bookmarkEnd w:id="1125"/>
    <w:bookmarkEnd w:id="1126"/>
    <w:bookmarkEnd w:id="1127"/>
    <w:bookmarkEnd w:id="1128"/>
    <w:bookmarkEnd w:id="1129"/>
    <w:bookmarkEnd w:id="1130"/>
    <w:bookmarkEnd w:id="1131"/>
    <w:bookmarkEnd w:id="1132"/>
    <w:p w14:paraId="329FF2D1">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12.3 计量</w:t>
      </w:r>
    </w:p>
    <w:p w14:paraId="0A2685BA">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12.3.1 计量原则</w:t>
      </w:r>
    </w:p>
    <w:p w14:paraId="10AB9E6A">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工程量计算规则：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0C74188B">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12.3.2 计量周期</w:t>
      </w:r>
    </w:p>
    <w:p w14:paraId="1349E5CC">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关于计量周期的约定：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73F7122">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12.3.3 单价合同的计量</w:t>
      </w:r>
    </w:p>
    <w:p w14:paraId="718F3E23">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关于单价合同计量的约定：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066D1E5F">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12.3.4 总价合同的计量</w:t>
      </w:r>
    </w:p>
    <w:p w14:paraId="75BCD451">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关于总价合同计量的约定：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4FEB589F">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12.3.5总价合同采用支付分解表计量支付的，是否适用第</w:t>
      </w:r>
      <w:r>
        <w:rPr>
          <w:rFonts w:hint="eastAsia" w:ascii="仿宋" w:hAnsi="仿宋" w:eastAsia="仿宋" w:cs="仿宋"/>
          <w:kern w:val="0"/>
          <w:sz w:val="24"/>
          <w:highlight w:val="none"/>
        </w:rPr>
        <w:t xml:space="preserve">12.3.4 </w:t>
      </w:r>
      <w:r>
        <w:rPr>
          <w:rFonts w:hint="eastAsia" w:ascii="仿宋" w:hAnsi="仿宋" w:eastAsia="仿宋" w:cs="仿宋"/>
          <w:sz w:val="24"/>
          <w:highlight w:val="none"/>
        </w:rPr>
        <w:t>项</w:t>
      </w:r>
      <w:r>
        <w:rPr>
          <w:rFonts w:hint="eastAsia" w:ascii="仿宋" w:hAnsi="仿宋" w:eastAsia="仿宋" w:cs="仿宋"/>
          <w:kern w:val="0"/>
          <w:sz w:val="24"/>
          <w:highlight w:val="none"/>
        </w:rPr>
        <w:t>〔总价合同的计量〕</w:t>
      </w:r>
      <w:r>
        <w:rPr>
          <w:rFonts w:hint="eastAsia" w:ascii="仿宋" w:hAnsi="仿宋" w:eastAsia="仿宋" w:cs="仿宋"/>
          <w:sz w:val="24"/>
          <w:highlight w:val="none"/>
        </w:rPr>
        <w:t>约定进行计量：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41D348C9">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12.3.6 其他价格形式合同的计量</w:t>
      </w:r>
    </w:p>
    <w:p w14:paraId="3CA5C8A3">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其他价格形式的计量方式和程序：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0B7450D1">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12.4 工程进度款支付</w:t>
      </w:r>
    </w:p>
    <w:p w14:paraId="7BEFEDD8">
      <w:pPr>
        <w:adjustRightInd w:val="0"/>
        <w:snapToGrid w:val="0"/>
        <w:spacing w:line="360" w:lineRule="auto"/>
        <w:ind w:firstLine="480" w:firstLineChars="200"/>
        <w:jc w:val="left"/>
        <w:rPr>
          <w:rFonts w:hint="eastAsia" w:ascii="仿宋" w:hAnsi="仿宋" w:eastAsia="仿宋" w:cs="仿宋"/>
          <w:sz w:val="24"/>
          <w:highlight w:val="none"/>
        </w:rPr>
      </w:pPr>
      <w:bookmarkStart w:id="1133" w:name="_Toc292559416"/>
      <w:bookmarkStart w:id="1134" w:name="_Toc296347210"/>
      <w:bookmarkStart w:id="1135" w:name="_Toc300935006"/>
      <w:bookmarkStart w:id="1136" w:name="_Toc297123556"/>
      <w:bookmarkStart w:id="1137" w:name="_Toc292559921"/>
      <w:bookmarkStart w:id="1138" w:name="_Toc297216215"/>
      <w:bookmarkStart w:id="1139" w:name="_Toc296891251"/>
      <w:bookmarkStart w:id="1140" w:name="_Toc296346712"/>
      <w:bookmarkStart w:id="1141" w:name="_Toc297048397"/>
      <w:bookmarkStart w:id="1142" w:name="_Toc296944550"/>
      <w:bookmarkStart w:id="1143" w:name="_Toc297120511"/>
      <w:bookmarkStart w:id="1144" w:name="_Toc303539163"/>
      <w:bookmarkStart w:id="1145" w:name="_Toc296503211"/>
      <w:bookmarkStart w:id="1146" w:name="_Toc296891039"/>
      <w:r>
        <w:rPr>
          <w:rFonts w:hint="eastAsia" w:ascii="仿宋" w:hAnsi="仿宋" w:eastAsia="仿宋" w:cs="仿宋"/>
          <w:sz w:val="24"/>
          <w:highlight w:val="none"/>
        </w:rPr>
        <w:t>12.4.1 付款周期</w:t>
      </w:r>
    </w:p>
    <w:p w14:paraId="3E1C3183">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关于付款周期的约定：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42522314">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12.4.2 进度付款申请单的编制</w:t>
      </w:r>
    </w:p>
    <w:p w14:paraId="0EF398AD">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关于进度付款申请单编制的约定：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7AD61F5B">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w:t>
      </w:r>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r>
        <w:rPr>
          <w:rFonts w:hint="eastAsia" w:ascii="仿宋" w:hAnsi="仿宋" w:eastAsia="仿宋" w:cs="仿宋"/>
          <w:sz w:val="24"/>
          <w:highlight w:val="none"/>
        </w:rPr>
        <w:t>2.4.3 进度付款申请单的提交</w:t>
      </w:r>
    </w:p>
    <w:p w14:paraId="3E5005DE">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（1）单价合同进度付款申请单提交的约定：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36980F37">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（2）总价合同进度付款申请单提交的约定：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7C8E1B95">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（3）其他价格形式合同进度付款申请单提交的约定：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6E80B0D8">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12.4.4 进度款审核和支付</w:t>
      </w:r>
    </w:p>
    <w:p w14:paraId="4AACCAC8">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（1）监理人审查并报送发包人的期限：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01E22E21">
      <w:pPr>
        <w:adjustRightInd w:val="0"/>
        <w:snapToGrid w:val="0"/>
        <w:spacing w:line="360" w:lineRule="auto"/>
        <w:ind w:firstLine="720" w:firstLineChars="300"/>
        <w:jc w:val="left"/>
        <w:rPr>
          <w:rFonts w:hint="eastAsia" w:ascii="仿宋" w:hAnsi="仿宋" w:eastAsia="仿宋" w:cs="仿宋"/>
          <w:sz w:val="24"/>
          <w:highlight w:val="none"/>
        </w:rPr>
      </w:pPr>
      <w:r>
        <w:rPr>
          <w:rFonts w:hint="eastAsia" w:ascii="仿宋" w:hAnsi="仿宋" w:eastAsia="仿宋" w:cs="仿宋"/>
          <w:sz w:val="24"/>
          <w:highlight w:val="none"/>
        </w:rPr>
        <w:t>发包人完成审批并签发进度款支付证书的期限：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11EDE554">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（2）发包人支付进度款的期限：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3EFD8CB8">
      <w:pPr>
        <w:adjustRightInd w:val="0"/>
        <w:snapToGrid w:val="0"/>
        <w:spacing w:line="360" w:lineRule="auto"/>
        <w:ind w:firstLine="720" w:firstLineChars="300"/>
        <w:jc w:val="left"/>
        <w:rPr>
          <w:rFonts w:hint="eastAsia" w:ascii="仿宋" w:hAnsi="仿宋" w:eastAsia="仿宋" w:cs="仿宋"/>
          <w:sz w:val="24"/>
          <w:highlight w:val="none"/>
        </w:rPr>
      </w:pPr>
      <w:r>
        <w:rPr>
          <w:rFonts w:hint="eastAsia" w:ascii="仿宋" w:hAnsi="仿宋" w:eastAsia="仿宋" w:cs="仿宋"/>
          <w:sz w:val="24"/>
          <w:highlight w:val="none"/>
        </w:rPr>
        <w:t>发包人逾期支付进度款的违约金的计算方式：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4C2F4459">
      <w:pPr>
        <w:adjustRightInd w:val="0"/>
        <w:snapToGrid w:val="0"/>
        <w:spacing w:line="360" w:lineRule="auto"/>
        <w:ind w:firstLine="600" w:firstLineChars="250"/>
        <w:jc w:val="left"/>
        <w:rPr>
          <w:rFonts w:hint="eastAsia" w:ascii="仿宋" w:hAnsi="仿宋" w:eastAsia="仿宋" w:cs="仿宋"/>
          <w:sz w:val="24"/>
          <w:highlight w:val="none"/>
        </w:rPr>
      </w:pPr>
      <w:r>
        <w:rPr>
          <w:rFonts w:hint="eastAsia" w:ascii="仿宋" w:hAnsi="仿宋" w:eastAsia="仿宋" w:cs="仿宋"/>
          <w:sz w:val="24"/>
          <w:highlight w:val="none"/>
        </w:rPr>
        <w:t>12.4.6 支付分解表的编制</w:t>
      </w:r>
    </w:p>
    <w:p w14:paraId="2D916369">
      <w:pPr>
        <w:adjustRightInd w:val="0"/>
        <w:snapToGrid w:val="0"/>
        <w:spacing w:line="360" w:lineRule="auto"/>
        <w:ind w:left="4710" w:leftChars="300" w:hanging="4080" w:hangingChars="1700"/>
        <w:jc w:val="left"/>
        <w:rPr>
          <w:rFonts w:hint="eastAsia" w:ascii="仿宋" w:hAnsi="仿宋" w:eastAsia="仿宋" w:cs="仿宋"/>
          <w:sz w:val="24"/>
          <w:highlight w:val="none"/>
        </w:rPr>
      </w:pPr>
      <w:r>
        <w:rPr>
          <w:rFonts w:hint="eastAsia" w:ascii="仿宋" w:hAnsi="仿宋" w:eastAsia="仿宋" w:cs="仿宋"/>
          <w:sz w:val="24"/>
          <w:highlight w:val="none"/>
        </w:rPr>
        <w:t>2.总价合同支付分解表的编制与审批：</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5832C12A">
      <w:pPr>
        <w:adjustRightInd w:val="0"/>
        <w:snapToGrid w:val="0"/>
        <w:spacing w:line="360" w:lineRule="auto"/>
        <w:ind w:firstLine="720" w:firstLineChars="300"/>
        <w:jc w:val="left"/>
        <w:rPr>
          <w:rFonts w:hint="eastAsia" w:ascii="仿宋" w:hAnsi="仿宋" w:eastAsia="仿宋" w:cs="仿宋"/>
          <w:sz w:val="24"/>
          <w:highlight w:val="none"/>
        </w:rPr>
      </w:pPr>
      <w:r>
        <w:rPr>
          <w:rFonts w:hint="eastAsia" w:ascii="仿宋" w:hAnsi="仿宋" w:eastAsia="仿宋" w:cs="仿宋"/>
          <w:sz w:val="24"/>
          <w:highlight w:val="none"/>
        </w:rPr>
        <w:t>3.单价合同的总价项目支付分解表的编制与审批：</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bookmarkEnd w:id="933"/>
    <w:p w14:paraId="54E8180F">
      <w:pPr>
        <w:pStyle w:val="4"/>
        <w:adjustRightInd w:val="0"/>
        <w:snapToGrid w:val="0"/>
        <w:spacing w:before="0" w:after="0" w:line="360" w:lineRule="auto"/>
        <w:rPr>
          <w:rFonts w:hint="eastAsia" w:ascii="仿宋" w:hAnsi="仿宋" w:eastAsia="仿宋" w:cs="仿宋"/>
          <w:sz w:val="24"/>
          <w:szCs w:val="24"/>
          <w:highlight w:val="none"/>
        </w:rPr>
      </w:pPr>
      <w:bookmarkStart w:id="1147" w:name="_Toc351203645"/>
      <w:bookmarkStart w:id="1148" w:name="_Toc292559929"/>
      <w:bookmarkStart w:id="1149" w:name="_Toc303539172"/>
      <w:bookmarkStart w:id="1150" w:name="_Toc296944558"/>
      <w:bookmarkStart w:id="1151" w:name="_Toc312678053"/>
      <w:bookmarkStart w:id="1152" w:name="_Toc296891259"/>
      <w:bookmarkStart w:id="1153" w:name="_Toc304295593"/>
      <w:bookmarkStart w:id="1154" w:name="_Toc296346720"/>
      <w:bookmarkStart w:id="1155" w:name="_Toc292559424"/>
      <w:bookmarkStart w:id="1156" w:name="_Toc297216223"/>
      <w:bookmarkStart w:id="1157" w:name="_Toc296503219"/>
      <w:bookmarkStart w:id="1158" w:name="_Toc297120519"/>
      <w:bookmarkStart w:id="1159" w:name="_Toc297123564"/>
      <w:bookmarkStart w:id="1160" w:name="_Toc297048405"/>
      <w:bookmarkStart w:id="1161" w:name="_Toc296891047"/>
      <w:bookmarkStart w:id="1162" w:name="_Toc296347218"/>
      <w:bookmarkStart w:id="1163" w:name="_Toc300935015"/>
      <w:r>
        <w:rPr>
          <w:rFonts w:hint="eastAsia" w:ascii="仿宋" w:hAnsi="仿宋" w:eastAsia="仿宋" w:cs="仿宋"/>
          <w:sz w:val="24"/>
          <w:szCs w:val="24"/>
          <w:highlight w:val="none"/>
        </w:rPr>
        <w:t>13. 验收和工程试车</w:t>
      </w:r>
      <w:bookmarkEnd w:id="1147"/>
    </w:p>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p w14:paraId="0519AA84">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13.1 分部分项工程验收</w:t>
      </w:r>
    </w:p>
    <w:p w14:paraId="235D39F6">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13.1.2监理人不能按时进行验收时，应提前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小时提交书面延期要求。</w:t>
      </w:r>
    </w:p>
    <w:p w14:paraId="7C03C711">
      <w:pPr>
        <w:adjustRightInd w:val="0"/>
        <w:snapToGrid w:val="0"/>
        <w:spacing w:line="360" w:lineRule="auto"/>
        <w:ind w:firstLine="480" w:firstLineChars="200"/>
        <w:jc w:val="left"/>
        <w:rPr>
          <w:rFonts w:hint="eastAsia" w:ascii="仿宋" w:hAnsi="仿宋" w:eastAsia="仿宋" w:cs="仿宋"/>
          <w:b/>
          <w:sz w:val="24"/>
          <w:highlight w:val="none"/>
        </w:rPr>
      </w:pPr>
      <w:r>
        <w:rPr>
          <w:rFonts w:hint="eastAsia" w:ascii="仿宋" w:hAnsi="仿宋" w:eastAsia="仿宋" w:cs="仿宋"/>
          <w:sz w:val="24"/>
          <w:highlight w:val="none"/>
        </w:rPr>
        <w:t>关于延期最长不得超过：</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小时。</w:t>
      </w:r>
    </w:p>
    <w:p w14:paraId="1FB353C7">
      <w:pPr>
        <w:adjustRightInd w:val="0"/>
        <w:snapToGrid w:val="0"/>
        <w:spacing w:line="360" w:lineRule="auto"/>
        <w:ind w:firstLine="480" w:firstLineChars="200"/>
        <w:outlineLvl w:val="3"/>
        <w:rPr>
          <w:rFonts w:hint="eastAsia" w:ascii="仿宋" w:hAnsi="仿宋" w:eastAsia="仿宋" w:cs="仿宋"/>
          <w:sz w:val="24"/>
          <w:highlight w:val="none"/>
        </w:rPr>
      </w:pPr>
      <w:bookmarkStart w:id="1164" w:name="_Toc296891051"/>
      <w:bookmarkStart w:id="1165" w:name="_Toc304295596"/>
      <w:bookmarkStart w:id="1166" w:name="_Toc312678056"/>
      <w:bookmarkStart w:id="1167" w:name="_Toc292559933"/>
      <w:bookmarkStart w:id="1168" w:name="_Toc296347222"/>
      <w:bookmarkStart w:id="1169" w:name="_Toc297120523"/>
      <w:bookmarkStart w:id="1170" w:name="_Toc292559428"/>
      <w:bookmarkStart w:id="1171" w:name="_Toc296891263"/>
      <w:bookmarkStart w:id="1172" w:name="_Toc297123565"/>
      <w:bookmarkStart w:id="1173" w:name="_Toc300935016"/>
      <w:bookmarkStart w:id="1174" w:name="_Toc297048409"/>
      <w:bookmarkStart w:id="1175" w:name="_Toc296944562"/>
      <w:bookmarkStart w:id="1176" w:name="_Toc297216224"/>
      <w:bookmarkStart w:id="1177" w:name="_Toc303539173"/>
      <w:bookmarkStart w:id="1178" w:name="_Toc296346724"/>
      <w:bookmarkStart w:id="1179" w:name="_Toc296503223"/>
      <w:bookmarkStart w:id="1180" w:name="_Toc267251474"/>
      <w:bookmarkStart w:id="1181" w:name="_Toc267251471"/>
      <w:bookmarkStart w:id="1182" w:name="_Toc267251475"/>
      <w:bookmarkStart w:id="1183" w:name="_Toc267251470"/>
      <w:bookmarkStart w:id="1184" w:name="_Toc267251473"/>
      <w:bookmarkStart w:id="1185" w:name="_Toc267251472"/>
      <w:bookmarkStart w:id="1186" w:name="_Toc267251476"/>
      <w:r>
        <w:rPr>
          <w:rFonts w:hint="eastAsia" w:ascii="仿宋" w:hAnsi="仿宋" w:eastAsia="仿宋" w:cs="仿宋"/>
          <w:sz w:val="24"/>
          <w:highlight w:val="none"/>
        </w:rPr>
        <w:t>13.2 竣工验收</w:t>
      </w:r>
    </w:p>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p w14:paraId="79E5B7B9">
      <w:pPr>
        <w:adjustRightInd w:val="0"/>
        <w:snapToGrid w:val="0"/>
        <w:spacing w:line="360" w:lineRule="auto"/>
        <w:ind w:firstLine="480" w:firstLineChars="200"/>
        <w:jc w:val="left"/>
        <w:rPr>
          <w:rFonts w:hint="eastAsia" w:ascii="仿宋" w:hAnsi="仿宋" w:eastAsia="仿宋" w:cs="仿宋"/>
          <w:sz w:val="24"/>
          <w:highlight w:val="none"/>
        </w:rPr>
      </w:pPr>
      <w:bookmarkStart w:id="1187" w:name="_Toc280868704"/>
      <w:bookmarkStart w:id="1188" w:name="_Toc280868705"/>
      <w:bookmarkStart w:id="1189" w:name="_Toc280868706"/>
      <w:bookmarkStart w:id="1190" w:name="_Toc280868707"/>
      <w:bookmarkStart w:id="1191" w:name="_Toc280868708"/>
      <w:bookmarkStart w:id="1192" w:name="_Toc280868709"/>
      <w:r>
        <w:rPr>
          <w:rFonts w:hint="eastAsia" w:ascii="仿宋" w:hAnsi="仿宋" w:eastAsia="仿宋" w:cs="仿宋"/>
          <w:sz w:val="24"/>
          <w:highlight w:val="none"/>
        </w:rPr>
        <w:t>13.2.2竣工验收程序</w:t>
      </w:r>
    </w:p>
    <w:bookmarkEnd w:id="1187"/>
    <w:p w14:paraId="7F165F10">
      <w:pPr>
        <w:adjustRightInd w:val="0"/>
        <w:snapToGrid w:val="0"/>
        <w:spacing w:line="360" w:lineRule="auto"/>
        <w:ind w:left="4740" w:leftChars="200" w:hanging="4320" w:hangingChars="1800"/>
        <w:jc w:val="left"/>
        <w:rPr>
          <w:rFonts w:hint="eastAsia" w:ascii="仿宋" w:hAnsi="仿宋" w:eastAsia="仿宋" w:cs="仿宋"/>
          <w:sz w:val="24"/>
          <w:highlight w:val="none"/>
        </w:rPr>
      </w:pPr>
      <w:r>
        <w:rPr>
          <w:rFonts w:hint="eastAsia" w:ascii="仿宋" w:hAnsi="仿宋" w:eastAsia="仿宋" w:cs="仿宋"/>
          <w:kern w:val="0"/>
          <w:sz w:val="24"/>
          <w:highlight w:val="none"/>
        </w:rPr>
        <w:t>关于竣工验收程序的约定：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4AA1DD30">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发包人不按照本项约定组织竣工验收、颁发工程接收证书的违约金的计算方法：</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bookmarkEnd w:id="1188"/>
    <w:p w14:paraId="5F3C45F0">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13.2.5移交、接收全部与部分工程</w:t>
      </w:r>
    </w:p>
    <w:bookmarkEnd w:id="1189"/>
    <w:p w14:paraId="4C68A76F">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承包人向发包人移交工程的期限：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7C210AD0">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kern w:val="0"/>
          <w:sz w:val="24"/>
          <w:highlight w:val="none"/>
        </w:rPr>
        <w:t>发包人未按本合同约定接收全部或部分工程的，违约金的计算方法为：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bookmarkEnd w:id="1190"/>
    <w:p w14:paraId="577BDCEA">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承包人未按时移交工程的，违约金的计算方法为：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5375E48A">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13.3 工程试车</w:t>
      </w:r>
    </w:p>
    <w:bookmarkEnd w:id="1191"/>
    <w:p w14:paraId="08DD018E">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13.3.1 试车程序</w:t>
      </w:r>
    </w:p>
    <w:p w14:paraId="01EE1BA2">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kern w:val="0"/>
          <w:sz w:val="24"/>
          <w:highlight w:val="none"/>
        </w:rPr>
        <w:t>工程试车内容：</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7F922C12">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（1）单机无负荷试车费用由</w:t>
      </w:r>
      <w:r>
        <w:rPr>
          <w:rFonts w:hint="eastAsia" w:ascii="仿宋" w:hAnsi="仿宋" w:eastAsia="仿宋" w:cs="仿宋"/>
          <w:sz w:val="24"/>
          <w:highlight w:val="none"/>
          <w:u w:val="single"/>
        </w:rPr>
        <w:t xml:space="preserve">                     </w:t>
      </w:r>
      <w:r>
        <w:rPr>
          <w:rFonts w:hint="eastAsia" w:ascii="仿宋" w:hAnsi="仿宋" w:eastAsia="仿宋" w:cs="仿宋"/>
          <w:kern w:val="0"/>
          <w:sz w:val="24"/>
          <w:highlight w:val="none"/>
        </w:rPr>
        <w:t>承担；</w:t>
      </w:r>
    </w:p>
    <w:p w14:paraId="6B6384E3">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（2）无负荷联动试车费用由</w:t>
      </w:r>
      <w:r>
        <w:rPr>
          <w:rFonts w:hint="eastAsia" w:ascii="仿宋" w:hAnsi="仿宋" w:eastAsia="仿宋" w:cs="仿宋"/>
          <w:sz w:val="24"/>
          <w:highlight w:val="none"/>
          <w:u w:val="single"/>
        </w:rPr>
        <w:t xml:space="preserve">                     </w:t>
      </w:r>
      <w:r>
        <w:rPr>
          <w:rFonts w:hint="eastAsia" w:ascii="仿宋" w:hAnsi="仿宋" w:eastAsia="仿宋" w:cs="仿宋"/>
          <w:kern w:val="0"/>
          <w:sz w:val="24"/>
          <w:highlight w:val="none"/>
        </w:rPr>
        <w:t>承担。</w:t>
      </w:r>
    </w:p>
    <w:p w14:paraId="39E01466">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13.3.3 投料试车</w:t>
      </w:r>
    </w:p>
    <w:p w14:paraId="05D7C234">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kern w:val="0"/>
          <w:sz w:val="24"/>
          <w:highlight w:val="none"/>
        </w:rPr>
        <w:t>关于投料试车相关事项的约定：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3E6C06F1">
      <w:pPr>
        <w:adjustRightInd w:val="0"/>
        <w:snapToGrid w:val="0"/>
        <w:spacing w:line="360" w:lineRule="auto"/>
        <w:ind w:firstLine="480" w:firstLineChars="200"/>
        <w:outlineLvl w:val="3"/>
        <w:rPr>
          <w:rFonts w:hint="eastAsia" w:ascii="仿宋" w:hAnsi="仿宋" w:eastAsia="仿宋" w:cs="仿宋"/>
          <w:sz w:val="24"/>
          <w:highlight w:val="none"/>
        </w:rPr>
      </w:pPr>
      <w:bookmarkStart w:id="1193" w:name="_Toc45552388"/>
      <w:r>
        <w:rPr>
          <w:rFonts w:hint="eastAsia" w:ascii="仿宋" w:hAnsi="仿宋" w:eastAsia="仿宋" w:cs="仿宋"/>
          <w:sz w:val="24"/>
          <w:highlight w:val="none"/>
        </w:rPr>
        <w:t>13.6 竣工退场</w:t>
      </w:r>
      <w:bookmarkEnd w:id="1193"/>
    </w:p>
    <w:p w14:paraId="64BDE5CF">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13.6.1 竣工退场</w:t>
      </w:r>
    </w:p>
    <w:p w14:paraId="61F59544">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承包人完成竣工退场的期限：</w:t>
      </w:r>
      <w:r>
        <w:rPr>
          <w:rFonts w:hint="eastAsia" w:ascii="仿宋" w:hAnsi="仿宋" w:eastAsia="仿宋" w:cs="仿宋"/>
          <w:sz w:val="24"/>
          <w:highlight w:val="none"/>
          <w:u w:val="single"/>
        </w:rPr>
        <w:t xml:space="preserve">                            </w:t>
      </w:r>
      <w:r>
        <w:rPr>
          <w:rFonts w:hint="eastAsia" w:ascii="仿宋" w:hAnsi="仿宋" w:eastAsia="仿宋" w:cs="仿宋"/>
          <w:kern w:val="0"/>
          <w:sz w:val="24"/>
          <w:highlight w:val="none"/>
        </w:rPr>
        <w:t>。</w:t>
      </w:r>
    </w:p>
    <w:p w14:paraId="7EDB59FC">
      <w:pPr>
        <w:pStyle w:val="4"/>
        <w:adjustRightInd w:val="0"/>
        <w:snapToGrid w:val="0"/>
        <w:spacing w:before="0" w:after="0" w:line="360" w:lineRule="auto"/>
        <w:rPr>
          <w:rFonts w:hint="eastAsia" w:ascii="仿宋" w:hAnsi="仿宋" w:eastAsia="仿宋" w:cs="仿宋"/>
          <w:sz w:val="24"/>
          <w:szCs w:val="24"/>
          <w:highlight w:val="none"/>
        </w:rPr>
      </w:pPr>
      <w:bookmarkStart w:id="1194" w:name="_Toc351203646"/>
      <w:r>
        <w:rPr>
          <w:rFonts w:hint="eastAsia" w:ascii="仿宋" w:hAnsi="仿宋" w:eastAsia="仿宋" w:cs="仿宋"/>
          <w:sz w:val="24"/>
          <w:szCs w:val="24"/>
          <w:highlight w:val="none"/>
        </w:rPr>
        <w:t>14. 竣工结算</w:t>
      </w:r>
      <w:bookmarkEnd w:id="1194"/>
    </w:p>
    <w:p w14:paraId="1F7F38EE">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14.1 竣工结算申请</w:t>
      </w:r>
    </w:p>
    <w:p w14:paraId="663F354F">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承包人提交竣工结算申请单的期限：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19FF2391">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竣工结算申请单应包括的内容：</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7883D4B4">
      <w:pPr>
        <w:adjustRightInd w:val="0"/>
        <w:snapToGrid w:val="0"/>
        <w:spacing w:line="360" w:lineRule="auto"/>
        <w:ind w:firstLine="480" w:firstLineChars="200"/>
        <w:outlineLvl w:val="3"/>
        <w:rPr>
          <w:rFonts w:hint="eastAsia" w:ascii="仿宋" w:hAnsi="仿宋" w:eastAsia="仿宋" w:cs="仿宋"/>
          <w:sz w:val="24"/>
          <w:highlight w:val="none"/>
        </w:rPr>
      </w:pPr>
      <w:bookmarkStart w:id="1195" w:name="_Toc45552389"/>
      <w:r>
        <w:rPr>
          <w:rFonts w:hint="eastAsia" w:ascii="仿宋" w:hAnsi="仿宋" w:eastAsia="仿宋" w:cs="仿宋"/>
          <w:sz w:val="24"/>
          <w:highlight w:val="none"/>
        </w:rPr>
        <w:t>14.2 竣工结算审核</w:t>
      </w:r>
      <w:bookmarkEnd w:id="1195"/>
    </w:p>
    <w:p w14:paraId="531AEAEC">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发包人审批竣工付款申请单的期限：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32DDCC13">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发包人完成竣工付款的期限：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3D512C9">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关于竣工付款证书异议部分复核的方式和程序：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4339FD55">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14.4 最终结清</w:t>
      </w:r>
    </w:p>
    <w:p w14:paraId="5C113F5E">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14.4.1 最终结清申请单</w:t>
      </w:r>
    </w:p>
    <w:p w14:paraId="7EE58058">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承包人提交最终结清申请单的份数：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1FCA6F0">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承包人提交最终结算申请单的期限：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p>
    <w:p w14:paraId="06278077">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14.4.2 最终结清证书和支付</w:t>
      </w:r>
    </w:p>
    <w:p w14:paraId="2A5A68C6">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（1）发包人完成最终结清申请单的审批并颁发最终结清证书的期限：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67F77B2A">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（2）发包人完成支付的期限：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bookmarkEnd w:id="1180"/>
    <w:bookmarkEnd w:id="1181"/>
    <w:bookmarkEnd w:id="1182"/>
    <w:bookmarkEnd w:id="1183"/>
    <w:bookmarkEnd w:id="1184"/>
    <w:bookmarkEnd w:id="1185"/>
    <w:bookmarkEnd w:id="1186"/>
    <w:bookmarkEnd w:id="1192"/>
    <w:p w14:paraId="5EF368B8">
      <w:pPr>
        <w:pStyle w:val="4"/>
        <w:adjustRightInd w:val="0"/>
        <w:snapToGrid w:val="0"/>
        <w:spacing w:before="0" w:after="0" w:line="360" w:lineRule="auto"/>
        <w:rPr>
          <w:rFonts w:hint="eastAsia" w:ascii="仿宋" w:hAnsi="仿宋" w:eastAsia="仿宋" w:cs="仿宋"/>
          <w:sz w:val="24"/>
          <w:szCs w:val="24"/>
          <w:highlight w:val="none"/>
        </w:rPr>
      </w:pPr>
      <w:bookmarkStart w:id="1196" w:name="_Toc351203647"/>
      <w:bookmarkStart w:id="1197" w:name="_Toc267251483"/>
      <w:bookmarkStart w:id="1198" w:name="_Toc267251484"/>
      <w:bookmarkStart w:id="1199" w:name="_Toc267251482"/>
      <w:bookmarkStart w:id="1200" w:name="_Toc267251485"/>
      <w:bookmarkStart w:id="1201" w:name="_Toc267251489"/>
      <w:bookmarkStart w:id="1202" w:name="_Toc267251488"/>
      <w:bookmarkStart w:id="1203" w:name="_Toc267251486"/>
      <w:bookmarkStart w:id="1204" w:name="_Toc267251490"/>
      <w:bookmarkStart w:id="1205" w:name="_Toc267251503"/>
      <w:bookmarkStart w:id="1206" w:name="_Toc267251501"/>
      <w:bookmarkStart w:id="1207" w:name="_Toc267251494"/>
      <w:bookmarkStart w:id="1208" w:name="_Toc267251493"/>
      <w:bookmarkStart w:id="1209" w:name="_Toc267251491"/>
      <w:bookmarkStart w:id="1210" w:name="_Toc267251499"/>
      <w:bookmarkStart w:id="1211" w:name="_Toc267251498"/>
      <w:bookmarkStart w:id="1212" w:name="_Toc267251496"/>
      <w:bookmarkStart w:id="1213" w:name="_Toc267251502"/>
      <w:bookmarkStart w:id="1214" w:name="_Toc267251497"/>
      <w:bookmarkStart w:id="1215" w:name="_Toc267251495"/>
      <w:bookmarkStart w:id="1216" w:name="_Toc267251492"/>
      <w:bookmarkStart w:id="1217" w:name="_Toc267251504"/>
      <w:bookmarkStart w:id="1218" w:name="_Toc267251506"/>
      <w:bookmarkStart w:id="1219" w:name="_Toc267251507"/>
      <w:bookmarkStart w:id="1220" w:name="_Toc267251508"/>
      <w:bookmarkStart w:id="1221" w:name="_Toc267251509"/>
      <w:bookmarkStart w:id="1222" w:name="_Toc267251513"/>
      <w:bookmarkStart w:id="1223" w:name="_Toc267251515"/>
      <w:bookmarkStart w:id="1224" w:name="_Toc267251510"/>
      <w:bookmarkStart w:id="1225" w:name="_Toc267251511"/>
      <w:bookmarkStart w:id="1226" w:name="_Toc267251514"/>
      <w:r>
        <w:rPr>
          <w:rFonts w:hint="eastAsia" w:ascii="仿宋" w:hAnsi="仿宋" w:eastAsia="仿宋" w:cs="仿宋"/>
          <w:sz w:val="24"/>
          <w:szCs w:val="24"/>
          <w:highlight w:val="none"/>
        </w:rPr>
        <w:t>15. 缺陷责任期与保修</w:t>
      </w:r>
      <w:bookmarkEnd w:id="1196"/>
    </w:p>
    <w:p w14:paraId="4E210683">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15.2缺陷责任期</w:t>
      </w:r>
      <w:bookmarkEnd w:id="1197"/>
    </w:p>
    <w:p w14:paraId="615C2F33">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缺陷责任期的具体期限：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6AD5703C">
      <w:pPr>
        <w:adjustRightInd w:val="0"/>
        <w:snapToGrid w:val="0"/>
        <w:spacing w:line="360" w:lineRule="auto"/>
        <w:ind w:firstLine="480" w:firstLineChars="200"/>
        <w:outlineLvl w:val="3"/>
        <w:rPr>
          <w:rFonts w:hint="eastAsia" w:ascii="仿宋" w:hAnsi="仿宋" w:eastAsia="仿宋" w:cs="仿宋"/>
          <w:sz w:val="24"/>
          <w:highlight w:val="none"/>
        </w:rPr>
      </w:pPr>
      <w:bookmarkStart w:id="1227" w:name="_Toc45552390"/>
      <w:r>
        <w:rPr>
          <w:rFonts w:hint="eastAsia" w:ascii="仿宋" w:hAnsi="仿宋" w:eastAsia="仿宋" w:cs="仿宋"/>
          <w:sz w:val="24"/>
          <w:highlight w:val="none"/>
        </w:rPr>
        <w:t>15.3 质量保证金</w:t>
      </w:r>
      <w:bookmarkEnd w:id="1227"/>
    </w:p>
    <w:p w14:paraId="296D0E6B">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关于是否扣留质量保证金的约定：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。在工程项目竣工前，承包人按专用合同条款第3.7条提供履约担保的，发包人不得同时预留工程质量保证金。</w:t>
      </w:r>
    </w:p>
    <w:p w14:paraId="2DA639F4">
      <w:pPr>
        <w:adjustRightInd w:val="0"/>
        <w:snapToGrid w:val="0"/>
        <w:spacing w:line="360" w:lineRule="auto"/>
        <w:ind w:firstLine="480" w:firstLineChars="200"/>
        <w:jc w:val="left"/>
        <w:rPr>
          <w:rFonts w:hint="eastAsia" w:ascii="仿宋" w:hAnsi="仿宋" w:eastAsia="仿宋" w:cs="仿宋"/>
          <w:sz w:val="24"/>
          <w:highlight w:val="none"/>
        </w:rPr>
      </w:pPr>
      <w:bookmarkStart w:id="1228" w:name="_Toc45552391"/>
      <w:r>
        <w:rPr>
          <w:rFonts w:hint="eastAsia" w:ascii="仿宋" w:hAnsi="仿宋" w:eastAsia="仿宋" w:cs="仿宋"/>
          <w:sz w:val="24"/>
          <w:highlight w:val="none"/>
        </w:rPr>
        <w:t>15.3.1 承包人提供质量保证金的方式</w:t>
      </w:r>
      <w:bookmarkEnd w:id="1228"/>
    </w:p>
    <w:p w14:paraId="57C8D950">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质量保证金采用以下第</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种方式：</w:t>
      </w:r>
    </w:p>
    <w:p w14:paraId="78BE113C">
      <w:pPr>
        <w:autoSpaceDE w:val="0"/>
        <w:autoSpaceDN w:val="0"/>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（1）质量保证金保函，保证金额为：</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 xml:space="preserve">； </w:t>
      </w:r>
    </w:p>
    <w:p w14:paraId="6CB1B49F">
      <w:pPr>
        <w:autoSpaceDE w:val="0"/>
        <w:autoSpaceDN w:val="0"/>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%的工程款；</w:t>
      </w:r>
    </w:p>
    <w:p w14:paraId="19A3CFFF">
      <w:pPr>
        <w:autoSpaceDE w:val="0"/>
        <w:autoSpaceDN w:val="0"/>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（3）其他方式：</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05BC58ED">
      <w:pPr>
        <w:adjustRightInd w:val="0"/>
        <w:snapToGrid w:val="0"/>
        <w:spacing w:line="360" w:lineRule="auto"/>
        <w:ind w:firstLine="480" w:firstLineChars="200"/>
        <w:jc w:val="left"/>
        <w:rPr>
          <w:rFonts w:hint="eastAsia" w:ascii="仿宋" w:hAnsi="仿宋" w:eastAsia="仿宋" w:cs="仿宋"/>
          <w:sz w:val="24"/>
          <w:highlight w:val="none"/>
        </w:rPr>
      </w:pPr>
      <w:bookmarkStart w:id="1229" w:name="_Toc45552392"/>
      <w:r>
        <w:rPr>
          <w:rFonts w:hint="eastAsia" w:ascii="仿宋" w:hAnsi="仿宋" w:eastAsia="仿宋" w:cs="仿宋"/>
          <w:sz w:val="24"/>
          <w:highlight w:val="none"/>
        </w:rPr>
        <w:t>15.3.2 质量保证金的扣留</w:t>
      </w:r>
      <w:bookmarkEnd w:id="1229"/>
      <w:r>
        <w:rPr>
          <w:rFonts w:hint="eastAsia" w:ascii="仿宋" w:hAnsi="仿宋" w:eastAsia="仿宋" w:cs="仿宋"/>
          <w:sz w:val="24"/>
          <w:highlight w:val="none"/>
        </w:rPr>
        <w:t xml:space="preserve"> </w:t>
      </w:r>
    </w:p>
    <w:p w14:paraId="2597A562">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质量保证金的扣留采取以下第</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种方式：</w:t>
      </w:r>
    </w:p>
    <w:p w14:paraId="341479F1">
      <w:pPr>
        <w:autoSpaceDE w:val="0"/>
        <w:autoSpaceDN w:val="0"/>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（1）在支付工程进度款时逐次扣留，在此情形下，质量保证金的计算基数不包括预付款的支付、扣回以及价格调整的金额；</w:t>
      </w:r>
    </w:p>
    <w:p w14:paraId="4D19D46B">
      <w:pPr>
        <w:autoSpaceDE w:val="0"/>
        <w:autoSpaceDN w:val="0"/>
        <w:adjustRightInd w:val="0"/>
        <w:snapToGrid w:val="0"/>
        <w:spacing w:line="360" w:lineRule="auto"/>
        <w:ind w:firstLine="480" w:firstLineChars="200"/>
        <w:jc w:val="left"/>
        <w:rPr>
          <w:rFonts w:hint="eastAsia" w:ascii="仿宋" w:hAnsi="仿宋" w:eastAsia="仿宋" w:cs="仿宋"/>
          <w:kern w:val="0"/>
          <w:sz w:val="24"/>
          <w:highlight w:val="none"/>
        </w:rPr>
      </w:pPr>
      <w:bookmarkStart w:id="1230" w:name="_Toc45552393"/>
      <w:r>
        <w:rPr>
          <w:rFonts w:hint="eastAsia" w:ascii="仿宋" w:hAnsi="仿宋" w:eastAsia="仿宋" w:cs="仿宋"/>
          <w:kern w:val="0"/>
          <w:sz w:val="24"/>
          <w:highlight w:val="none"/>
        </w:rPr>
        <w:t>（2）工程竣工结算时一次性扣留质量保证金；</w:t>
      </w:r>
      <w:bookmarkEnd w:id="1230"/>
    </w:p>
    <w:p w14:paraId="7F4FE1D0">
      <w:pPr>
        <w:autoSpaceDE w:val="0"/>
        <w:autoSpaceDN w:val="0"/>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（3）其他扣留方式：</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294D97DA">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关于质量保证金的补充约定：</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bookmarkEnd w:id="1198"/>
    <w:bookmarkEnd w:id="1199"/>
    <w:p w14:paraId="2E6A9510">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15.4保修</w:t>
      </w:r>
    </w:p>
    <w:bookmarkEnd w:id="1200"/>
    <w:p w14:paraId="5533237D">
      <w:pPr>
        <w:adjustRightInd w:val="0"/>
        <w:snapToGrid w:val="0"/>
        <w:spacing w:line="360" w:lineRule="auto"/>
        <w:ind w:firstLine="468" w:firstLineChars="195"/>
        <w:jc w:val="left"/>
        <w:rPr>
          <w:rFonts w:hint="eastAsia" w:ascii="仿宋" w:hAnsi="仿宋" w:eastAsia="仿宋" w:cs="仿宋"/>
          <w:sz w:val="24"/>
          <w:highlight w:val="none"/>
        </w:rPr>
      </w:pPr>
      <w:r>
        <w:rPr>
          <w:rFonts w:hint="eastAsia" w:ascii="仿宋" w:hAnsi="仿宋" w:eastAsia="仿宋" w:cs="仿宋"/>
          <w:sz w:val="24"/>
          <w:highlight w:val="none"/>
        </w:rPr>
        <w:t>15.4.1 保修责任</w:t>
      </w:r>
    </w:p>
    <w:p w14:paraId="72268B30">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工程保修期为：</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0E078EB7">
      <w:pPr>
        <w:adjustRightInd w:val="0"/>
        <w:snapToGrid w:val="0"/>
        <w:spacing w:line="360" w:lineRule="auto"/>
        <w:ind w:firstLine="468" w:firstLineChars="195"/>
        <w:jc w:val="left"/>
        <w:rPr>
          <w:rFonts w:hint="eastAsia" w:ascii="仿宋" w:hAnsi="仿宋" w:eastAsia="仿宋" w:cs="仿宋"/>
          <w:sz w:val="24"/>
          <w:highlight w:val="none"/>
        </w:rPr>
      </w:pPr>
      <w:r>
        <w:rPr>
          <w:rFonts w:hint="eastAsia" w:ascii="仿宋" w:hAnsi="仿宋" w:eastAsia="仿宋" w:cs="仿宋"/>
          <w:sz w:val="24"/>
          <w:highlight w:val="none"/>
        </w:rPr>
        <w:t>15.4.3 修复通知</w:t>
      </w:r>
    </w:p>
    <w:p w14:paraId="6FC02147">
      <w:pPr>
        <w:adjustRightInd w:val="0"/>
        <w:snapToGrid w:val="0"/>
        <w:spacing w:line="360" w:lineRule="auto"/>
        <w:ind w:firstLine="468" w:firstLineChars="195"/>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承包人收到保修通知并到达工程现场的合理时间：</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bookmarkEnd w:id="1201"/>
    <w:bookmarkEnd w:id="1202"/>
    <w:bookmarkEnd w:id="1203"/>
    <w:bookmarkEnd w:id="1204"/>
    <w:p w14:paraId="3E753F1C">
      <w:pPr>
        <w:pStyle w:val="4"/>
        <w:adjustRightInd w:val="0"/>
        <w:snapToGrid w:val="0"/>
        <w:spacing w:before="0" w:after="0" w:line="360" w:lineRule="auto"/>
        <w:rPr>
          <w:rFonts w:hint="eastAsia" w:ascii="仿宋" w:hAnsi="仿宋" w:eastAsia="仿宋" w:cs="仿宋"/>
          <w:sz w:val="24"/>
          <w:szCs w:val="24"/>
          <w:highlight w:val="none"/>
        </w:rPr>
      </w:pPr>
      <w:bookmarkStart w:id="1231" w:name="_Toc351203648"/>
      <w:bookmarkStart w:id="1232" w:name="_Toc280868717"/>
      <w:bookmarkStart w:id="1233" w:name="_Toc280868718"/>
      <w:r>
        <w:rPr>
          <w:rFonts w:hint="eastAsia" w:ascii="仿宋" w:hAnsi="仿宋" w:eastAsia="仿宋" w:cs="仿宋"/>
          <w:sz w:val="24"/>
          <w:szCs w:val="24"/>
          <w:highlight w:val="none"/>
        </w:rPr>
        <w:t>16. 违约</w:t>
      </w:r>
      <w:bookmarkEnd w:id="1231"/>
    </w:p>
    <w:p w14:paraId="1CCAA8D8">
      <w:pPr>
        <w:adjustRightInd w:val="0"/>
        <w:snapToGrid w:val="0"/>
        <w:spacing w:line="360" w:lineRule="auto"/>
        <w:ind w:firstLine="480" w:firstLineChars="200"/>
        <w:outlineLvl w:val="3"/>
        <w:rPr>
          <w:rFonts w:hint="eastAsia" w:ascii="仿宋" w:hAnsi="仿宋" w:eastAsia="仿宋" w:cs="仿宋"/>
          <w:sz w:val="24"/>
          <w:highlight w:val="none"/>
        </w:rPr>
      </w:pPr>
      <w:bookmarkStart w:id="1234" w:name="_Toc45552394"/>
      <w:r>
        <w:rPr>
          <w:rFonts w:hint="eastAsia" w:ascii="仿宋" w:hAnsi="仿宋" w:eastAsia="仿宋" w:cs="仿宋"/>
          <w:sz w:val="24"/>
          <w:highlight w:val="none"/>
        </w:rPr>
        <w:t>16.1 发包人违约</w:t>
      </w:r>
      <w:bookmarkEnd w:id="1234"/>
    </w:p>
    <w:p w14:paraId="42A21438">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16.1.1发包人违约的情形</w:t>
      </w:r>
    </w:p>
    <w:p w14:paraId="5A24676D">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发包人违约的其他情形：</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08B6DB3F">
      <w:pPr>
        <w:adjustRightInd w:val="0"/>
        <w:snapToGrid w:val="0"/>
        <w:spacing w:line="360" w:lineRule="auto"/>
        <w:ind w:left="1140" w:leftChars="200" w:hanging="720" w:hangingChars="3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16.1.2 发包人违约的责任</w:t>
      </w:r>
    </w:p>
    <w:p w14:paraId="4839FB3D">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发包人违约责任的承担方式和计算方法：</w:t>
      </w:r>
    </w:p>
    <w:p w14:paraId="2964BAF6">
      <w:pPr>
        <w:adjustRightInd w:val="0"/>
        <w:snapToGrid w:val="0"/>
        <w:spacing w:line="360" w:lineRule="auto"/>
        <w:ind w:firstLine="480" w:firstLineChars="200"/>
        <w:jc w:val="left"/>
        <w:rPr>
          <w:rFonts w:hint="eastAsia" w:ascii="仿宋" w:hAnsi="仿宋" w:eastAsia="仿宋" w:cs="仿宋"/>
          <w:kern w:val="0"/>
          <w:sz w:val="24"/>
          <w:highlight w:val="none"/>
          <w:u w:val="single"/>
        </w:rPr>
      </w:pPr>
      <w:r>
        <w:rPr>
          <w:rFonts w:hint="eastAsia" w:ascii="仿宋" w:hAnsi="仿宋" w:eastAsia="仿宋" w:cs="仿宋"/>
          <w:kern w:val="0"/>
          <w:sz w:val="24"/>
          <w:highlight w:val="none"/>
        </w:rPr>
        <w:t>（1）因发包人原因未能在计划开工日期前7天内下达开工通知的违约责任：</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4BCD1D05">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（2）因发包人原因未能按合同约定支付合同价款的违约责任：</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14A19D78">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（3）发包人违反第10.1款〔变更的范围〕第（2）项约定，自行实施被取消的工作或转由他人实施的违约责任：</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1A01DDB5">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1F8C4DBF">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（5）因发包人违反合同约定造成暂停施工的违约责任：</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3BFC002C">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（6）发包人无正当理由没有在约定期限内发出复工指示，导致承包人无法复工的违约责任：</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2213AE86">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（7）其他：</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1F397574">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16.1.3 因发包人违约解除合同</w:t>
      </w:r>
    </w:p>
    <w:p w14:paraId="40A0E1D7">
      <w:pPr>
        <w:autoSpaceDE w:val="0"/>
        <w:autoSpaceDN w:val="0"/>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承包人按16.1.1项〔发包人违约的情形〕约定暂停施工满</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天后发包人仍不纠正其违约行为并致使合同目的不能实现的，承包人有权解除合同。</w:t>
      </w:r>
    </w:p>
    <w:p w14:paraId="2B017BED">
      <w:pPr>
        <w:adjustRightInd w:val="0"/>
        <w:snapToGrid w:val="0"/>
        <w:spacing w:line="360" w:lineRule="auto"/>
        <w:ind w:firstLine="480" w:firstLineChars="200"/>
        <w:outlineLvl w:val="3"/>
        <w:rPr>
          <w:rFonts w:hint="eastAsia" w:ascii="仿宋" w:hAnsi="仿宋" w:eastAsia="仿宋" w:cs="仿宋"/>
          <w:sz w:val="24"/>
          <w:highlight w:val="none"/>
        </w:rPr>
      </w:pPr>
      <w:bookmarkStart w:id="1235" w:name="_Toc45552395"/>
      <w:r>
        <w:rPr>
          <w:rFonts w:hint="eastAsia" w:ascii="仿宋" w:hAnsi="仿宋" w:eastAsia="仿宋" w:cs="仿宋"/>
          <w:sz w:val="24"/>
          <w:highlight w:val="none"/>
        </w:rPr>
        <w:t>16.2 承包人违约</w:t>
      </w:r>
      <w:bookmarkEnd w:id="1235"/>
    </w:p>
    <w:p w14:paraId="5E85015B">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16.2.1 承包人违约的情形</w:t>
      </w:r>
    </w:p>
    <w:p w14:paraId="73617C8C">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承包人违约的其他情形：</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39CCA818">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16.2.2承包人违约的责任</w:t>
      </w:r>
    </w:p>
    <w:p w14:paraId="3922D382">
      <w:pPr>
        <w:adjustRightInd w:val="0"/>
        <w:snapToGrid w:val="0"/>
        <w:spacing w:line="360" w:lineRule="auto"/>
        <w:ind w:left="1140" w:leftChars="200" w:hanging="720" w:hangingChars="300"/>
        <w:jc w:val="left"/>
        <w:rPr>
          <w:rFonts w:hint="eastAsia" w:ascii="仿宋" w:hAnsi="仿宋" w:eastAsia="仿宋" w:cs="仿宋"/>
          <w:kern w:val="0"/>
          <w:sz w:val="24"/>
          <w:highlight w:val="none"/>
          <w:u w:val="single"/>
        </w:rPr>
      </w:pPr>
      <w:r>
        <w:rPr>
          <w:rFonts w:hint="eastAsia" w:ascii="仿宋" w:hAnsi="仿宋" w:eastAsia="仿宋" w:cs="仿宋"/>
          <w:kern w:val="0"/>
          <w:sz w:val="24"/>
          <w:highlight w:val="none"/>
        </w:rPr>
        <w:t>承包人违约责任的承担方式和计算方法：</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34CDF357">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16.2.3 因承包人违约解除合同</w:t>
      </w:r>
    </w:p>
    <w:p w14:paraId="75C3E526">
      <w:pPr>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关于承包人违约解除合同的特别约定：</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0092FBBF">
      <w:pPr>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发包人继续使用承包人在施工现场的材料、设备、临时工程、承包人文件和由承包人或以其名义编制的其他文件的费用承担方式：</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19342537">
      <w:pPr>
        <w:pStyle w:val="4"/>
        <w:adjustRightInd w:val="0"/>
        <w:snapToGrid w:val="0"/>
        <w:spacing w:before="0" w:after="0" w:line="360" w:lineRule="auto"/>
        <w:rPr>
          <w:rFonts w:hint="eastAsia" w:ascii="仿宋" w:hAnsi="仿宋" w:eastAsia="仿宋" w:cs="仿宋"/>
          <w:sz w:val="24"/>
          <w:szCs w:val="24"/>
          <w:highlight w:val="none"/>
        </w:rPr>
      </w:pPr>
      <w:bookmarkStart w:id="1236" w:name="_Toc351203649"/>
      <w:r>
        <w:rPr>
          <w:rFonts w:hint="eastAsia" w:ascii="仿宋" w:hAnsi="仿宋" w:eastAsia="仿宋" w:cs="仿宋"/>
          <w:sz w:val="24"/>
          <w:szCs w:val="24"/>
          <w:highlight w:val="none"/>
        </w:rPr>
        <w:t>17. 不可抗力</w:t>
      </w:r>
      <w:bookmarkEnd w:id="1236"/>
      <w:r>
        <w:rPr>
          <w:rFonts w:hint="eastAsia" w:ascii="仿宋" w:hAnsi="仿宋" w:eastAsia="仿宋" w:cs="仿宋"/>
          <w:sz w:val="24"/>
          <w:szCs w:val="24"/>
          <w:highlight w:val="none"/>
        </w:rPr>
        <w:t xml:space="preserve"> </w:t>
      </w:r>
      <w:bookmarkEnd w:id="1232"/>
    </w:p>
    <w:p w14:paraId="62DFB500">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17.1 不可抗力的确认</w:t>
      </w:r>
    </w:p>
    <w:p w14:paraId="0D607C82">
      <w:pPr>
        <w:adjustRightInd w:val="0"/>
        <w:snapToGrid w:val="0"/>
        <w:spacing w:line="360" w:lineRule="auto"/>
        <w:ind w:firstLine="480" w:firstLineChars="200"/>
        <w:jc w:val="left"/>
        <w:rPr>
          <w:rFonts w:hint="eastAsia" w:ascii="仿宋" w:hAnsi="仿宋" w:eastAsia="仿宋" w:cs="仿宋"/>
          <w:kern w:val="0"/>
          <w:sz w:val="24"/>
          <w:highlight w:val="none"/>
          <w:u w:val="single"/>
        </w:rPr>
      </w:pPr>
      <w:r>
        <w:rPr>
          <w:rFonts w:hint="eastAsia" w:ascii="仿宋" w:hAnsi="仿宋" w:eastAsia="仿宋" w:cs="仿宋"/>
          <w:sz w:val="24"/>
          <w:highlight w:val="none"/>
        </w:rPr>
        <w:t xml:space="preserve">除通用合同条款约定的不可抗力事件之外，视为不可抗力的其他情形： </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2DB56038">
      <w:pPr>
        <w:adjustRightInd w:val="0"/>
        <w:snapToGrid w:val="0"/>
        <w:spacing w:line="360" w:lineRule="auto"/>
        <w:ind w:firstLine="480" w:firstLineChars="200"/>
        <w:outlineLvl w:val="3"/>
        <w:rPr>
          <w:rFonts w:hint="eastAsia" w:ascii="仿宋" w:hAnsi="仿宋" w:eastAsia="仿宋" w:cs="仿宋"/>
          <w:sz w:val="24"/>
          <w:highlight w:val="none"/>
        </w:rPr>
      </w:pPr>
      <w:bookmarkStart w:id="1237" w:name="_Toc45552396"/>
      <w:r>
        <w:rPr>
          <w:rFonts w:hint="eastAsia" w:ascii="仿宋" w:hAnsi="仿宋" w:eastAsia="仿宋" w:cs="仿宋"/>
          <w:sz w:val="24"/>
          <w:highlight w:val="none"/>
        </w:rPr>
        <w:t>17.4 因不可抗力解除合同</w:t>
      </w:r>
      <w:bookmarkEnd w:id="1237"/>
    </w:p>
    <w:p w14:paraId="052C3261">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合同解除后，发包人应在商定或确定发包人应支付款项后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天内完成款项的支付。</w:t>
      </w:r>
    </w:p>
    <w:p w14:paraId="1CF87E55">
      <w:pPr>
        <w:pStyle w:val="4"/>
        <w:adjustRightInd w:val="0"/>
        <w:snapToGrid w:val="0"/>
        <w:spacing w:before="0" w:after="0" w:line="360" w:lineRule="auto"/>
        <w:rPr>
          <w:rFonts w:hint="eastAsia" w:ascii="仿宋" w:hAnsi="仿宋" w:eastAsia="仿宋" w:cs="仿宋"/>
          <w:sz w:val="24"/>
          <w:szCs w:val="24"/>
          <w:highlight w:val="none"/>
        </w:rPr>
      </w:pPr>
      <w:bookmarkStart w:id="1238" w:name="_Toc351203650"/>
      <w:r>
        <w:rPr>
          <w:rFonts w:hint="eastAsia" w:ascii="仿宋" w:hAnsi="仿宋" w:eastAsia="仿宋" w:cs="仿宋"/>
          <w:sz w:val="24"/>
          <w:szCs w:val="24"/>
          <w:highlight w:val="none"/>
        </w:rPr>
        <w:t>18. 保险</w:t>
      </w:r>
      <w:bookmarkEnd w:id="1238"/>
    </w:p>
    <w:bookmarkEnd w:id="1233"/>
    <w:p w14:paraId="521C512E">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18.1 工程保险</w:t>
      </w:r>
    </w:p>
    <w:p w14:paraId="11FC7C68">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关于工程保险的特别约定：</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5C3B8F72">
      <w:pPr>
        <w:adjustRightInd w:val="0"/>
        <w:snapToGrid w:val="0"/>
        <w:spacing w:line="360" w:lineRule="auto"/>
        <w:ind w:firstLine="480" w:firstLineChars="200"/>
        <w:outlineLvl w:val="3"/>
        <w:rPr>
          <w:rFonts w:hint="eastAsia" w:ascii="仿宋" w:hAnsi="仿宋" w:eastAsia="仿宋" w:cs="仿宋"/>
          <w:sz w:val="24"/>
          <w:highlight w:val="none"/>
        </w:rPr>
      </w:pPr>
      <w:bookmarkStart w:id="1239" w:name="_Toc45552397"/>
      <w:r>
        <w:rPr>
          <w:rFonts w:hint="eastAsia" w:ascii="仿宋" w:hAnsi="仿宋" w:eastAsia="仿宋" w:cs="仿宋"/>
          <w:sz w:val="24"/>
          <w:highlight w:val="none"/>
        </w:rPr>
        <w:t>18.3 其他保险</w:t>
      </w:r>
      <w:bookmarkEnd w:id="1239"/>
    </w:p>
    <w:p w14:paraId="68FACBFC">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关于其他保险的约定：</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33822942">
      <w:pPr>
        <w:adjustRightInd w:val="0"/>
        <w:snapToGri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承包人是否应为其施工设备等办理财产保险：</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7E906BD9">
      <w:pPr>
        <w:adjustRightInd w:val="0"/>
        <w:snapToGrid w:val="0"/>
        <w:spacing w:line="360" w:lineRule="auto"/>
        <w:ind w:firstLine="480" w:firstLineChars="200"/>
        <w:outlineLvl w:val="3"/>
        <w:rPr>
          <w:rFonts w:hint="eastAsia" w:ascii="仿宋" w:hAnsi="仿宋" w:eastAsia="仿宋" w:cs="仿宋"/>
          <w:sz w:val="24"/>
          <w:highlight w:val="none"/>
        </w:rPr>
      </w:pPr>
      <w:r>
        <w:rPr>
          <w:rFonts w:hint="eastAsia" w:ascii="仿宋" w:hAnsi="仿宋" w:eastAsia="仿宋" w:cs="仿宋"/>
          <w:sz w:val="24"/>
          <w:highlight w:val="none"/>
        </w:rPr>
        <w:t>18.7 通知义务</w:t>
      </w:r>
    </w:p>
    <w:p w14:paraId="538CBDF2">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关于变更保险合同时的通知义务的约定：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bookmarkEnd w:id="1205"/>
    <w:bookmarkEnd w:id="1206"/>
    <w:bookmarkEnd w:id="1207"/>
    <w:bookmarkEnd w:id="1208"/>
    <w:bookmarkEnd w:id="1209"/>
    <w:bookmarkEnd w:id="1210"/>
    <w:bookmarkEnd w:id="1211"/>
    <w:bookmarkEnd w:id="1212"/>
    <w:bookmarkEnd w:id="1213"/>
    <w:bookmarkEnd w:id="1214"/>
    <w:bookmarkEnd w:id="1215"/>
    <w:bookmarkEnd w:id="1216"/>
    <w:p w14:paraId="01E79F2B">
      <w:pPr>
        <w:pStyle w:val="4"/>
        <w:adjustRightInd w:val="0"/>
        <w:snapToGrid w:val="0"/>
        <w:spacing w:before="0" w:after="0" w:line="360" w:lineRule="auto"/>
        <w:rPr>
          <w:rFonts w:hint="eastAsia" w:ascii="仿宋" w:hAnsi="仿宋" w:eastAsia="仿宋" w:cs="仿宋"/>
          <w:sz w:val="24"/>
          <w:szCs w:val="24"/>
          <w:highlight w:val="none"/>
        </w:rPr>
      </w:pPr>
      <w:bookmarkStart w:id="1240" w:name="_Toc351203651"/>
      <w:r>
        <w:rPr>
          <w:rFonts w:hint="eastAsia" w:ascii="仿宋" w:hAnsi="仿宋" w:eastAsia="仿宋" w:cs="仿宋"/>
          <w:sz w:val="24"/>
          <w:szCs w:val="24"/>
          <w:highlight w:val="none"/>
        </w:rPr>
        <w:t>20. 争议解决</w:t>
      </w:r>
      <w:bookmarkEnd w:id="1240"/>
    </w:p>
    <w:bookmarkEnd w:id="1217"/>
    <w:bookmarkEnd w:id="1218"/>
    <w:p w14:paraId="0B4CFD53">
      <w:pPr>
        <w:adjustRightInd w:val="0"/>
        <w:snapToGrid w:val="0"/>
        <w:spacing w:line="360" w:lineRule="auto"/>
        <w:ind w:firstLine="480" w:firstLineChars="200"/>
        <w:outlineLvl w:val="3"/>
        <w:rPr>
          <w:rFonts w:hint="eastAsia" w:ascii="仿宋" w:hAnsi="仿宋" w:eastAsia="仿宋" w:cs="仿宋"/>
          <w:sz w:val="24"/>
          <w:highlight w:val="none"/>
        </w:rPr>
      </w:pPr>
      <w:bookmarkStart w:id="1241" w:name="_Toc45552398"/>
      <w:r>
        <w:rPr>
          <w:rFonts w:hint="eastAsia" w:ascii="仿宋" w:hAnsi="仿宋" w:eastAsia="仿宋" w:cs="仿宋"/>
          <w:sz w:val="24"/>
          <w:highlight w:val="none"/>
        </w:rPr>
        <w:t>20.3 争</w:t>
      </w:r>
      <w:bookmarkEnd w:id="1219"/>
      <w:r>
        <w:rPr>
          <w:rFonts w:hint="eastAsia" w:ascii="仿宋" w:hAnsi="仿宋" w:eastAsia="仿宋" w:cs="仿宋"/>
          <w:sz w:val="24"/>
          <w:highlight w:val="none"/>
        </w:rPr>
        <w:t>议评审</w:t>
      </w:r>
      <w:bookmarkEnd w:id="1241"/>
    </w:p>
    <w:p w14:paraId="1DF260A4">
      <w:pPr>
        <w:adjustRightInd w:val="0"/>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合同当事人是否同意将工程争议提交争议评审小组决定：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05E67AED">
      <w:pPr>
        <w:adjustRightInd w:val="0"/>
        <w:snapToGrid w:val="0"/>
        <w:spacing w:line="360" w:lineRule="auto"/>
        <w:ind w:firstLine="480" w:firstLineChars="200"/>
        <w:jc w:val="left"/>
        <w:rPr>
          <w:rFonts w:hint="eastAsia" w:ascii="仿宋" w:hAnsi="仿宋" w:eastAsia="仿宋" w:cs="仿宋"/>
          <w:sz w:val="24"/>
          <w:highlight w:val="none"/>
        </w:rPr>
      </w:pPr>
      <w:bookmarkStart w:id="1242" w:name="_Toc45552399"/>
      <w:r>
        <w:rPr>
          <w:rFonts w:hint="eastAsia" w:ascii="仿宋" w:hAnsi="仿宋" w:eastAsia="仿宋" w:cs="仿宋"/>
          <w:sz w:val="24"/>
          <w:highlight w:val="none"/>
        </w:rPr>
        <w:t>20.3.1 争议评审小组的确定</w:t>
      </w:r>
      <w:bookmarkEnd w:id="1242"/>
    </w:p>
    <w:p w14:paraId="65D51B71">
      <w:pPr>
        <w:adjustRightInd w:val="0"/>
        <w:snapToGrid w:val="0"/>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争议评审小组成员的确定：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8236159">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选定争议评审员的期限：</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64C85C00">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争议评审小组成员的报酬承担方式：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365BCAC8">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其他事项的约定：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1422B503">
      <w:pPr>
        <w:autoSpaceDE w:val="0"/>
        <w:autoSpaceDN w:val="0"/>
        <w:adjustRightInd w:val="0"/>
        <w:snapToGrid w:val="0"/>
        <w:spacing w:line="360" w:lineRule="auto"/>
        <w:ind w:firstLine="480" w:firstLineChars="200"/>
        <w:jc w:val="left"/>
        <w:rPr>
          <w:rFonts w:hint="eastAsia" w:ascii="仿宋" w:hAnsi="仿宋" w:eastAsia="仿宋" w:cs="仿宋"/>
          <w:kern w:val="0"/>
          <w:sz w:val="24"/>
          <w:highlight w:val="none"/>
        </w:rPr>
      </w:pPr>
      <w:bookmarkStart w:id="1243" w:name="_Toc45552400"/>
      <w:r>
        <w:rPr>
          <w:rFonts w:hint="eastAsia" w:ascii="仿宋" w:hAnsi="仿宋" w:eastAsia="仿宋" w:cs="仿宋"/>
          <w:kern w:val="0"/>
          <w:sz w:val="24"/>
          <w:highlight w:val="none"/>
        </w:rPr>
        <w:t>20.3.2 争议评审小组的决定</w:t>
      </w:r>
      <w:bookmarkEnd w:id="1243"/>
    </w:p>
    <w:p w14:paraId="0F9A5BE8">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合同当事人关于本项的约定：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781FEA6A">
      <w:pPr>
        <w:adjustRightInd w:val="0"/>
        <w:snapToGrid w:val="0"/>
        <w:spacing w:line="360" w:lineRule="auto"/>
        <w:ind w:firstLine="480" w:firstLineChars="200"/>
        <w:outlineLvl w:val="3"/>
        <w:rPr>
          <w:rFonts w:hint="eastAsia" w:ascii="仿宋" w:hAnsi="仿宋" w:eastAsia="仿宋" w:cs="仿宋"/>
          <w:sz w:val="24"/>
          <w:highlight w:val="none"/>
        </w:rPr>
      </w:pPr>
      <w:bookmarkStart w:id="1244" w:name="_Toc45552401"/>
      <w:r>
        <w:rPr>
          <w:rFonts w:hint="eastAsia" w:ascii="仿宋" w:hAnsi="仿宋" w:eastAsia="仿宋" w:cs="仿宋"/>
          <w:sz w:val="24"/>
          <w:highlight w:val="none"/>
        </w:rPr>
        <w:t>20.4仲裁或诉讼</w:t>
      </w:r>
      <w:bookmarkEnd w:id="1220"/>
      <w:bookmarkEnd w:id="1244"/>
    </w:p>
    <w:p w14:paraId="740A7B8C">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因合同及合同有关事项发生的争议，按下列第</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种方式解决：</w:t>
      </w:r>
    </w:p>
    <w:p w14:paraId="69D990F4">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（1）向</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仲裁委员会申请仲裁；</w:t>
      </w:r>
    </w:p>
    <w:p w14:paraId="7D1E1EAF">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（2）向</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人民法院起诉。</w:t>
      </w:r>
      <w:bookmarkEnd w:id="1221"/>
      <w:bookmarkEnd w:id="1222"/>
      <w:bookmarkEnd w:id="1223"/>
      <w:bookmarkEnd w:id="1224"/>
      <w:bookmarkEnd w:id="1225"/>
      <w:bookmarkEnd w:id="1226"/>
    </w:p>
    <w:p w14:paraId="71505A0F">
      <w:pPr>
        <w:adjustRightInd w:val="0"/>
        <w:snapToGrid w:val="0"/>
        <w:spacing w:line="360" w:lineRule="auto"/>
        <w:jc w:val="left"/>
        <w:rPr>
          <w:rFonts w:hint="eastAsia" w:ascii="仿宋" w:hAnsi="仿宋" w:eastAsia="仿宋" w:cs="仿宋"/>
          <w:sz w:val="24"/>
          <w:highlight w:val="none"/>
        </w:rPr>
      </w:pPr>
      <w:bookmarkStart w:id="1245" w:name="_Toc351203652"/>
    </w:p>
    <w:p w14:paraId="3D6554EB">
      <w:pPr>
        <w:adjustRightInd w:val="0"/>
        <w:snapToGrid w:val="0"/>
        <w:spacing w:line="360" w:lineRule="auto"/>
        <w:jc w:val="left"/>
        <w:rPr>
          <w:rFonts w:hint="eastAsia" w:ascii="仿宋" w:hAnsi="仿宋" w:eastAsia="仿宋" w:cs="仿宋"/>
          <w:szCs w:val="21"/>
          <w:highlight w:val="none"/>
        </w:rPr>
      </w:pPr>
    </w:p>
    <w:p w14:paraId="3443EDC6">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br w:type="page"/>
      </w:r>
      <w:r>
        <w:rPr>
          <w:rFonts w:hint="eastAsia" w:ascii="仿宋" w:hAnsi="仿宋" w:eastAsia="仿宋" w:cs="仿宋"/>
          <w:b/>
          <w:szCs w:val="21"/>
          <w:highlight w:val="none"/>
        </w:rPr>
        <w:t>附件</w:t>
      </w:r>
      <w:bookmarkEnd w:id="1245"/>
    </w:p>
    <w:p w14:paraId="48FFD511">
      <w:pPr>
        <w:adjustRightInd w:val="0"/>
        <w:snapToGrid w:val="0"/>
        <w:spacing w:line="360" w:lineRule="auto"/>
        <w:ind w:firstLine="420" w:firstLineChars="175"/>
        <w:jc w:val="left"/>
        <w:rPr>
          <w:rFonts w:hint="eastAsia" w:ascii="仿宋" w:hAnsi="仿宋" w:eastAsia="仿宋" w:cs="仿宋"/>
          <w:sz w:val="24"/>
          <w:highlight w:val="none"/>
        </w:rPr>
      </w:pPr>
      <w:r>
        <w:rPr>
          <w:rFonts w:hint="eastAsia" w:ascii="仿宋" w:hAnsi="仿宋" w:eastAsia="仿宋" w:cs="仿宋"/>
          <w:sz w:val="24"/>
          <w:highlight w:val="none"/>
        </w:rPr>
        <w:t>协议书附件：</w:t>
      </w:r>
    </w:p>
    <w:p w14:paraId="33C0349F">
      <w:pPr>
        <w:adjustRightInd w:val="0"/>
        <w:snapToGrid w:val="0"/>
        <w:spacing w:line="360" w:lineRule="auto"/>
        <w:ind w:firstLine="900" w:firstLineChars="375"/>
        <w:jc w:val="left"/>
        <w:rPr>
          <w:rFonts w:hint="eastAsia" w:ascii="仿宋" w:hAnsi="仿宋" w:eastAsia="仿宋" w:cs="仿宋"/>
          <w:sz w:val="24"/>
          <w:highlight w:val="none"/>
        </w:rPr>
      </w:pPr>
      <w:r>
        <w:rPr>
          <w:rFonts w:hint="eastAsia" w:ascii="仿宋" w:hAnsi="仿宋" w:eastAsia="仿宋" w:cs="仿宋"/>
          <w:sz w:val="24"/>
          <w:highlight w:val="none"/>
        </w:rPr>
        <w:t>附件1：承包人承揽工程项目一览表</w:t>
      </w:r>
    </w:p>
    <w:p w14:paraId="543E3EC5">
      <w:pPr>
        <w:adjustRightInd w:val="0"/>
        <w:snapToGrid w:val="0"/>
        <w:spacing w:line="360" w:lineRule="auto"/>
        <w:ind w:firstLine="420" w:firstLineChars="175"/>
        <w:jc w:val="left"/>
        <w:rPr>
          <w:rFonts w:hint="eastAsia" w:ascii="仿宋" w:hAnsi="仿宋" w:eastAsia="仿宋" w:cs="仿宋"/>
          <w:sz w:val="24"/>
          <w:highlight w:val="none"/>
        </w:rPr>
      </w:pPr>
      <w:r>
        <w:rPr>
          <w:rFonts w:hint="eastAsia" w:ascii="仿宋" w:hAnsi="仿宋" w:eastAsia="仿宋" w:cs="仿宋"/>
          <w:sz w:val="24"/>
          <w:highlight w:val="none"/>
        </w:rPr>
        <w:t>专用合同条款附件：</w:t>
      </w:r>
    </w:p>
    <w:p w14:paraId="486EF6F4">
      <w:pPr>
        <w:adjustRightInd w:val="0"/>
        <w:snapToGrid w:val="0"/>
        <w:spacing w:line="360" w:lineRule="auto"/>
        <w:ind w:firstLine="840" w:firstLineChars="350"/>
        <w:jc w:val="left"/>
        <w:rPr>
          <w:rFonts w:hint="eastAsia" w:ascii="仿宋" w:hAnsi="仿宋" w:eastAsia="仿宋" w:cs="仿宋"/>
          <w:sz w:val="24"/>
          <w:highlight w:val="none"/>
        </w:rPr>
      </w:pPr>
      <w:r>
        <w:rPr>
          <w:rFonts w:hint="eastAsia" w:ascii="仿宋" w:hAnsi="仿宋" w:eastAsia="仿宋" w:cs="仿宋"/>
          <w:sz w:val="24"/>
          <w:highlight w:val="none"/>
        </w:rPr>
        <w:t>附件2：发包人供应材料设备一览表</w:t>
      </w:r>
    </w:p>
    <w:p w14:paraId="2E9F3FF1">
      <w:pPr>
        <w:adjustRightInd w:val="0"/>
        <w:snapToGrid w:val="0"/>
        <w:spacing w:line="360" w:lineRule="auto"/>
        <w:ind w:firstLine="840" w:firstLineChars="350"/>
        <w:jc w:val="left"/>
        <w:rPr>
          <w:rFonts w:hint="eastAsia" w:ascii="仿宋" w:hAnsi="仿宋" w:eastAsia="仿宋" w:cs="仿宋"/>
          <w:sz w:val="24"/>
          <w:highlight w:val="none"/>
        </w:rPr>
      </w:pPr>
      <w:r>
        <w:rPr>
          <w:rFonts w:hint="eastAsia" w:ascii="仿宋" w:hAnsi="仿宋" w:eastAsia="仿宋" w:cs="仿宋"/>
          <w:sz w:val="24"/>
          <w:highlight w:val="none"/>
        </w:rPr>
        <w:t>附件3：工程质量保修书</w:t>
      </w:r>
    </w:p>
    <w:p w14:paraId="7361AC7C">
      <w:pPr>
        <w:adjustRightInd w:val="0"/>
        <w:snapToGrid w:val="0"/>
        <w:spacing w:line="360" w:lineRule="auto"/>
        <w:ind w:firstLine="840" w:firstLineChars="350"/>
        <w:jc w:val="left"/>
        <w:rPr>
          <w:rFonts w:hint="eastAsia" w:ascii="仿宋" w:hAnsi="仿宋" w:eastAsia="仿宋" w:cs="仿宋"/>
          <w:sz w:val="24"/>
          <w:highlight w:val="none"/>
        </w:rPr>
      </w:pPr>
      <w:r>
        <w:rPr>
          <w:rFonts w:hint="eastAsia" w:ascii="仿宋" w:hAnsi="仿宋" w:eastAsia="仿宋" w:cs="仿宋"/>
          <w:sz w:val="24"/>
          <w:highlight w:val="none"/>
        </w:rPr>
        <w:t>附件4：主要建设工程文件目录</w:t>
      </w:r>
    </w:p>
    <w:p w14:paraId="513F6DDD">
      <w:pPr>
        <w:adjustRightInd w:val="0"/>
        <w:snapToGrid w:val="0"/>
        <w:spacing w:line="360" w:lineRule="auto"/>
        <w:ind w:firstLine="840" w:firstLineChars="350"/>
        <w:jc w:val="left"/>
        <w:rPr>
          <w:rFonts w:hint="eastAsia" w:ascii="仿宋" w:hAnsi="仿宋" w:eastAsia="仿宋" w:cs="仿宋"/>
          <w:sz w:val="24"/>
          <w:highlight w:val="none"/>
        </w:rPr>
      </w:pPr>
      <w:r>
        <w:rPr>
          <w:rFonts w:hint="eastAsia" w:ascii="仿宋" w:hAnsi="仿宋" w:eastAsia="仿宋" w:cs="仿宋"/>
          <w:sz w:val="24"/>
          <w:highlight w:val="none"/>
        </w:rPr>
        <w:t>附件5：承包人用于本工程施工的机械设备表</w:t>
      </w:r>
    </w:p>
    <w:p w14:paraId="1CC82BC7">
      <w:pPr>
        <w:adjustRightInd w:val="0"/>
        <w:snapToGrid w:val="0"/>
        <w:spacing w:line="360" w:lineRule="auto"/>
        <w:ind w:firstLine="840" w:firstLineChars="350"/>
        <w:jc w:val="left"/>
        <w:rPr>
          <w:rFonts w:hint="eastAsia" w:ascii="仿宋" w:hAnsi="仿宋" w:eastAsia="仿宋" w:cs="仿宋"/>
          <w:sz w:val="24"/>
          <w:highlight w:val="none"/>
        </w:rPr>
      </w:pPr>
      <w:r>
        <w:rPr>
          <w:rFonts w:hint="eastAsia" w:ascii="仿宋" w:hAnsi="仿宋" w:eastAsia="仿宋" w:cs="仿宋"/>
          <w:sz w:val="24"/>
          <w:highlight w:val="none"/>
        </w:rPr>
        <w:t>附件6：承包人主要施工管理人员表</w:t>
      </w:r>
    </w:p>
    <w:p w14:paraId="64DCDE08">
      <w:pPr>
        <w:adjustRightInd w:val="0"/>
        <w:snapToGrid w:val="0"/>
        <w:spacing w:line="360" w:lineRule="auto"/>
        <w:ind w:firstLine="840" w:firstLineChars="350"/>
        <w:jc w:val="left"/>
        <w:rPr>
          <w:rFonts w:hint="eastAsia" w:ascii="仿宋" w:hAnsi="仿宋" w:eastAsia="仿宋" w:cs="仿宋"/>
          <w:sz w:val="24"/>
          <w:highlight w:val="none"/>
        </w:rPr>
      </w:pPr>
      <w:r>
        <w:rPr>
          <w:rFonts w:hint="eastAsia" w:ascii="仿宋" w:hAnsi="仿宋" w:eastAsia="仿宋" w:cs="仿宋"/>
          <w:sz w:val="24"/>
          <w:highlight w:val="none"/>
        </w:rPr>
        <w:t>附件7：分包人主要施工管理人员表</w:t>
      </w:r>
    </w:p>
    <w:p w14:paraId="0AC3B503">
      <w:pPr>
        <w:adjustRightInd w:val="0"/>
        <w:snapToGrid w:val="0"/>
        <w:spacing w:line="360" w:lineRule="auto"/>
        <w:ind w:firstLine="840" w:firstLineChars="350"/>
        <w:jc w:val="left"/>
        <w:rPr>
          <w:rFonts w:hint="eastAsia" w:ascii="仿宋" w:hAnsi="仿宋" w:eastAsia="仿宋" w:cs="仿宋"/>
          <w:sz w:val="24"/>
          <w:highlight w:val="none"/>
        </w:rPr>
      </w:pPr>
      <w:r>
        <w:rPr>
          <w:rFonts w:hint="eastAsia" w:ascii="仿宋" w:hAnsi="仿宋" w:eastAsia="仿宋" w:cs="仿宋"/>
          <w:sz w:val="24"/>
          <w:highlight w:val="none"/>
        </w:rPr>
        <w:t>附件8：履约担保格式</w:t>
      </w:r>
    </w:p>
    <w:p w14:paraId="20B2B6D5">
      <w:pPr>
        <w:adjustRightInd w:val="0"/>
        <w:snapToGrid w:val="0"/>
        <w:spacing w:line="360" w:lineRule="auto"/>
        <w:ind w:firstLine="840" w:firstLineChars="350"/>
        <w:jc w:val="left"/>
        <w:rPr>
          <w:rFonts w:hint="eastAsia" w:ascii="仿宋" w:hAnsi="仿宋" w:eastAsia="仿宋" w:cs="仿宋"/>
          <w:sz w:val="24"/>
          <w:highlight w:val="none"/>
        </w:rPr>
      </w:pPr>
      <w:r>
        <w:rPr>
          <w:rFonts w:hint="eastAsia" w:ascii="仿宋" w:hAnsi="仿宋" w:eastAsia="仿宋" w:cs="仿宋"/>
          <w:sz w:val="24"/>
          <w:highlight w:val="none"/>
        </w:rPr>
        <w:t>附件9：预付款担保格式</w:t>
      </w:r>
    </w:p>
    <w:p w14:paraId="5173A09B">
      <w:pPr>
        <w:adjustRightInd w:val="0"/>
        <w:snapToGrid w:val="0"/>
        <w:spacing w:line="360" w:lineRule="auto"/>
        <w:ind w:firstLine="840" w:firstLineChars="350"/>
        <w:jc w:val="left"/>
        <w:rPr>
          <w:rFonts w:hint="eastAsia" w:ascii="仿宋" w:hAnsi="仿宋" w:eastAsia="仿宋" w:cs="仿宋"/>
          <w:sz w:val="24"/>
          <w:highlight w:val="none"/>
        </w:rPr>
      </w:pPr>
      <w:r>
        <w:rPr>
          <w:rFonts w:hint="eastAsia" w:ascii="仿宋" w:hAnsi="仿宋" w:eastAsia="仿宋" w:cs="仿宋"/>
          <w:sz w:val="24"/>
          <w:highlight w:val="none"/>
        </w:rPr>
        <w:t>附件10：支付担保格式</w:t>
      </w:r>
    </w:p>
    <w:p w14:paraId="65FBD10F">
      <w:pPr>
        <w:adjustRightInd w:val="0"/>
        <w:snapToGrid w:val="0"/>
        <w:spacing w:line="360" w:lineRule="auto"/>
        <w:ind w:firstLine="840" w:firstLineChars="350"/>
        <w:jc w:val="left"/>
        <w:rPr>
          <w:rFonts w:hint="eastAsia" w:ascii="仿宋" w:hAnsi="仿宋" w:eastAsia="仿宋" w:cs="仿宋"/>
          <w:sz w:val="24"/>
          <w:highlight w:val="none"/>
        </w:rPr>
        <w:sectPr>
          <w:pgSz w:w="11906" w:h="16838"/>
          <w:pgMar w:top="993" w:right="849" w:bottom="993" w:left="1134" w:header="851" w:footer="745" w:gutter="0"/>
          <w:cols w:space="720" w:num="1"/>
          <w:titlePg/>
          <w:docGrid w:type="lines" w:linePitch="312" w:charSpace="0"/>
        </w:sectPr>
      </w:pPr>
      <w:r>
        <w:rPr>
          <w:rFonts w:hint="eastAsia" w:ascii="仿宋" w:hAnsi="仿宋" w:eastAsia="仿宋" w:cs="仿宋"/>
          <w:sz w:val="24"/>
          <w:highlight w:val="none"/>
        </w:rPr>
        <w:t>附件11：暂估价一览表</w:t>
      </w:r>
    </w:p>
    <w:p w14:paraId="14DF9775">
      <w:pPr>
        <w:spacing w:beforeLines="50" w:afterLines="50" w:line="360" w:lineRule="auto"/>
        <w:jc w:val="left"/>
        <w:outlineLvl w:val="1"/>
        <w:rPr>
          <w:rFonts w:hint="eastAsia" w:ascii="仿宋" w:hAnsi="仿宋" w:eastAsia="仿宋" w:cs="仿宋"/>
          <w:b/>
          <w:bCs/>
          <w:szCs w:val="21"/>
          <w:highlight w:val="none"/>
        </w:rPr>
      </w:pPr>
      <w:r>
        <w:rPr>
          <w:rFonts w:hint="eastAsia" w:ascii="仿宋" w:hAnsi="仿宋" w:eastAsia="仿宋" w:cs="仿宋"/>
          <w:b/>
          <w:bCs/>
          <w:szCs w:val="21"/>
          <w:highlight w:val="none"/>
        </w:rPr>
        <w:t>附件1：</w:t>
      </w:r>
    </w:p>
    <w:p w14:paraId="3F7BC011">
      <w:pPr>
        <w:spacing w:beforeLines="50" w:afterLines="50"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承包人承揽工程项目一览表</w:t>
      </w:r>
    </w:p>
    <w:tbl>
      <w:tblPr>
        <w:tblStyle w:val="38"/>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5171F4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14:paraId="1EC96097">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单位工程名称</w:t>
            </w:r>
          </w:p>
        </w:tc>
        <w:tc>
          <w:tcPr>
            <w:tcW w:w="1843" w:type="dxa"/>
            <w:tcBorders>
              <w:top w:val="single" w:color="auto" w:sz="12" w:space="0"/>
              <w:bottom w:val="double" w:color="auto" w:sz="6" w:space="0"/>
            </w:tcBorders>
            <w:vAlign w:val="center"/>
          </w:tcPr>
          <w:p w14:paraId="23060920">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建设规模</w:t>
            </w:r>
          </w:p>
        </w:tc>
        <w:tc>
          <w:tcPr>
            <w:tcW w:w="1417" w:type="dxa"/>
            <w:tcBorders>
              <w:top w:val="single" w:color="auto" w:sz="12" w:space="0"/>
              <w:bottom w:val="double" w:color="auto" w:sz="6" w:space="0"/>
            </w:tcBorders>
            <w:vAlign w:val="center"/>
          </w:tcPr>
          <w:p w14:paraId="3EE8B374">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建筑面积（平方米）</w:t>
            </w:r>
          </w:p>
        </w:tc>
        <w:tc>
          <w:tcPr>
            <w:tcW w:w="2410" w:type="dxa"/>
            <w:tcBorders>
              <w:top w:val="single" w:color="auto" w:sz="12" w:space="0"/>
              <w:bottom w:val="double" w:color="auto" w:sz="6" w:space="0"/>
            </w:tcBorders>
            <w:vAlign w:val="center"/>
          </w:tcPr>
          <w:p w14:paraId="26FE75B1">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结构形式</w:t>
            </w:r>
          </w:p>
        </w:tc>
        <w:tc>
          <w:tcPr>
            <w:tcW w:w="850" w:type="dxa"/>
            <w:tcBorders>
              <w:top w:val="single" w:color="auto" w:sz="12" w:space="0"/>
              <w:bottom w:val="double" w:color="auto" w:sz="6" w:space="0"/>
            </w:tcBorders>
            <w:vAlign w:val="center"/>
          </w:tcPr>
          <w:p w14:paraId="3860F1B0">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层数</w:t>
            </w:r>
          </w:p>
        </w:tc>
        <w:tc>
          <w:tcPr>
            <w:tcW w:w="1560" w:type="dxa"/>
            <w:tcBorders>
              <w:top w:val="single" w:color="auto" w:sz="12" w:space="0"/>
              <w:bottom w:val="double" w:color="auto" w:sz="6" w:space="0"/>
            </w:tcBorders>
            <w:vAlign w:val="center"/>
          </w:tcPr>
          <w:p w14:paraId="622B32DC">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生产能力</w:t>
            </w:r>
          </w:p>
        </w:tc>
        <w:tc>
          <w:tcPr>
            <w:tcW w:w="2126" w:type="dxa"/>
            <w:tcBorders>
              <w:top w:val="single" w:color="auto" w:sz="12" w:space="0"/>
              <w:bottom w:val="double" w:color="auto" w:sz="6" w:space="0"/>
            </w:tcBorders>
            <w:vAlign w:val="center"/>
          </w:tcPr>
          <w:p w14:paraId="47351DBB">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设备安装内容</w:t>
            </w:r>
          </w:p>
        </w:tc>
        <w:tc>
          <w:tcPr>
            <w:tcW w:w="1417" w:type="dxa"/>
            <w:tcBorders>
              <w:top w:val="single" w:color="auto" w:sz="12" w:space="0"/>
              <w:bottom w:val="double" w:color="auto" w:sz="6" w:space="0"/>
            </w:tcBorders>
            <w:vAlign w:val="center"/>
          </w:tcPr>
          <w:p w14:paraId="77A04A57">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合同价格（元）</w:t>
            </w:r>
          </w:p>
        </w:tc>
        <w:tc>
          <w:tcPr>
            <w:tcW w:w="851" w:type="dxa"/>
            <w:tcBorders>
              <w:top w:val="single" w:color="auto" w:sz="12" w:space="0"/>
              <w:bottom w:val="double" w:color="auto" w:sz="6" w:space="0"/>
            </w:tcBorders>
            <w:vAlign w:val="center"/>
          </w:tcPr>
          <w:p w14:paraId="36E62348">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开工日期</w:t>
            </w:r>
          </w:p>
        </w:tc>
        <w:tc>
          <w:tcPr>
            <w:tcW w:w="850" w:type="dxa"/>
            <w:tcBorders>
              <w:top w:val="single" w:color="auto" w:sz="12" w:space="0"/>
              <w:bottom w:val="double" w:color="auto" w:sz="6" w:space="0"/>
            </w:tcBorders>
            <w:vAlign w:val="center"/>
          </w:tcPr>
          <w:p w14:paraId="40C57DDB">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竣工日期</w:t>
            </w:r>
          </w:p>
        </w:tc>
      </w:tr>
      <w:tr w14:paraId="101DB7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14:paraId="573AB2E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843" w:type="dxa"/>
            <w:tcBorders>
              <w:top w:val="double" w:color="auto" w:sz="6" w:space="0"/>
              <w:bottom w:val="single" w:color="auto" w:sz="6" w:space="0"/>
            </w:tcBorders>
            <w:vAlign w:val="center"/>
          </w:tcPr>
          <w:p w14:paraId="66B11CE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tcBorders>
              <w:top w:val="double" w:color="auto" w:sz="6" w:space="0"/>
              <w:bottom w:val="single" w:color="auto" w:sz="6" w:space="0"/>
            </w:tcBorders>
            <w:vAlign w:val="center"/>
          </w:tcPr>
          <w:p w14:paraId="407F95C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410" w:type="dxa"/>
            <w:tcBorders>
              <w:top w:val="double" w:color="auto" w:sz="6" w:space="0"/>
              <w:bottom w:val="single" w:color="auto" w:sz="6" w:space="0"/>
            </w:tcBorders>
            <w:vAlign w:val="center"/>
          </w:tcPr>
          <w:p w14:paraId="3A1B63B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tcBorders>
              <w:top w:val="double" w:color="auto" w:sz="6" w:space="0"/>
              <w:bottom w:val="single" w:color="auto" w:sz="6" w:space="0"/>
            </w:tcBorders>
            <w:vAlign w:val="center"/>
          </w:tcPr>
          <w:p w14:paraId="2CF8F2A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560" w:type="dxa"/>
            <w:tcBorders>
              <w:top w:val="double" w:color="auto" w:sz="6" w:space="0"/>
              <w:bottom w:val="single" w:color="auto" w:sz="6" w:space="0"/>
            </w:tcBorders>
            <w:vAlign w:val="center"/>
          </w:tcPr>
          <w:p w14:paraId="59D65E0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126" w:type="dxa"/>
            <w:tcBorders>
              <w:top w:val="double" w:color="auto" w:sz="6" w:space="0"/>
              <w:bottom w:val="single" w:color="auto" w:sz="6" w:space="0"/>
            </w:tcBorders>
            <w:vAlign w:val="center"/>
          </w:tcPr>
          <w:p w14:paraId="569951C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tcBorders>
              <w:top w:val="double" w:color="auto" w:sz="6" w:space="0"/>
              <w:bottom w:val="single" w:color="auto" w:sz="6" w:space="0"/>
            </w:tcBorders>
            <w:vAlign w:val="center"/>
          </w:tcPr>
          <w:p w14:paraId="1D21EDB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Borders>
              <w:top w:val="double" w:color="auto" w:sz="6" w:space="0"/>
              <w:bottom w:val="single" w:color="auto" w:sz="6" w:space="0"/>
            </w:tcBorders>
            <w:vAlign w:val="center"/>
          </w:tcPr>
          <w:p w14:paraId="3564BD5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tcBorders>
              <w:top w:val="double" w:color="auto" w:sz="6" w:space="0"/>
              <w:bottom w:val="single" w:color="auto" w:sz="6" w:space="0"/>
            </w:tcBorders>
            <w:vAlign w:val="center"/>
          </w:tcPr>
          <w:p w14:paraId="3E230F7D">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3C030F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68FA22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843" w:type="dxa"/>
            <w:tcBorders>
              <w:top w:val="nil"/>
            </w:tcBorders>
            <w:vAlign w:val="center"/>
          </w:tcPr>
          <w:p w14:paraId="5945AB8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tcBorders>
              <w:top w:val="nil"/>
            </w:tcBorders>
            <w:vAlign w:val="center"/>
          </w:tcPr>
          <w:p w14:paraId="4D2A644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410" w:type="dxa"/>
            <w:tcBorders>
              <w:top w:val="nil"/>
            </w:tcBorders>
            <w:vAlign w:val="center"/>
          </w:tcPr>
          <w:p w14:paraId="4103EA1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tcBorders>
              <w:top w:val="nil"/>
            </w:tcBorders>
            <w:vAlign w:val="center"/>
          </w:tcPr>
          <w:p w14:paraId="144E7CC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560" w:type="dxa"/>
            <w:tcBorders>
              <w:top w:val="nil"/>
            </w:tcBorders>
            <w:vAlign w:val="center"/>
          </w:tcPr>
          <w:p w14:paraId="34D9BD8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126" w:type="dxa"/>
            <w:tcBorders>
              <w:top w:val="nil"/>
            </w:tcBorders>
            <w:vAlign w:val="center"/>
          </w:tcPr>
          <w:p w14:paraId="261101C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tcBorders>
              <w:top w:val="nil"/>
            </w:tcBorders>
            <w:vAlign w:val="center"/>
          </w:tcPr>
          <w:p w14:paraId="708269E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Borders>
              <w:top w:val="nil"/>
            </w:tcBorders>
            <w:vAlign w:val="center"/>
          </w:tcPr>
          <w:p w14:paraId="07CF9DE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tcBorders>
              <w:top w:val="nil"/>
            </w:tcBorders>
            <w:vAlign w:val="center"/>
          </w:tcPr>
          <w:p w14:paraId="09F38183">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3AB83F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14C63E4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843" w:type="dxa"/>
            <w:tcBorders>
              <w:top w:val="nil"/>
            </w:tcBorders>
            <w:vAlign w:val="center"/>
          </w:tcPr>
          <w:p w14:paraId="44A896E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tcBorders>
              <w:top w:val="nil"/>
            </w:tcBorders>
            <w:vAlign w:val="center"/>
          </w:tcPr>
          <w:p w14:paraId="37CC805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410" w:type="dxa"/>
            <w:tcBorders>
              <w:top w:val="nil"/>
            </w:tcBorders>
            <w:vAlign w:val="center"/>
          </w:tcPr>
          <w:p w14:paraId="0220B81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tcBorders>
              <w:top w:val="nil"/>
            </w:tcBorders>
            <w:vAlign w:val="center"/>
          </w:tcPr>
          <w:p w14:paraId="7DE1300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560" w:type="dxa"/>
            <w:tcBorders>
              <w:top w:val="nil"/>
            </w:tcBorders>
            <w:vAlign w:val="center"/>
          </w:tcPr>
          <w:p w14:paraId="4614059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126" w:type="dxa"/>
            <w:tcBorders>
              <w:top w:val="nil"/>
            </w:tcBorders>
            <w:vAlign w:val="center"/>
          </w:tcPr>
          <w:p w14:paraId="32B4014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tcBorders>
              <w:top w:val="nil"/>
            </w:tcBorders>
            <w:vAlign w:val="center"/>
          </w:tcPr>
          <w:p w14:paraId="61E8479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Borders>
              <w:top w:val="nil"/>
            </w:tcBorders>
            <w:vAlign w:val="center"/>
          </w:tcPr>
          <w:p w14:paraId="64AE711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tcBorders>
              <w:top w:val="nil"/>
            </w:tcBorders>
            <w:vAlign w:val="center"/>
          </w:tcPr>
          <w:p w14:paraId="6DC6B5EA">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8AEBF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414A6AB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843" w:type="dxa"/>
            <w:vAlign w:val="center"/>
          </w:tcPr>
          <w:p w14:paraId="5A4EC21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vAlign w:val="center"/>
          </w:tcPr>
          <w:p w14:paraId="05D1E10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410" w:type="dxa"/>
            <w:vAlign w:val="center"/>
          </w:tcPr>
          <w:p w14:paraId="1CB7A1E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vAlign w:val="center"/>
          </w:tcPr>
          <w:p w14:paraId="07B92EF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560" w:type="dxa"/>
            <w:vAlign w:val="center"/>
          </w:tcPr>
          <w:p w14:paraId="148BA20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126" w:type="dxa"/>
            <w:vAlign w:val="center"/>
          </w:tcPr>
          <w:p w14:paraId="701520C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vAlign w:val="center"/>
          </w:tcPr>
          <w:p w14:paraId="75BCE5A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vAlign w:val="center"/>
          </w:tcPr>
          <w:p w14:paraId="6B3A39F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vAlign w:val="center"/>
          </w:tcPr>
          <w:p w14:paraId="0962A8BE">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CA061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33AEDAC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843" w:type="dxa"/>
            <w:tcBorders>
              <w:top w:val="nil"/>
            </w:tcBorders>
            <w:vAlign w:val="center"/>
          </w:tcPr>
          <w:p w14:paraId="219A1B9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tcBorders>
              <w:top w:val="nil"/>
            </w:tcBorders>
            <w:vAlign w:val="center"/>
          </w:tcPr>
          <w:p w14:paraId="40E2271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410" w:type="dxa"/>
            <w:tcBorders>
              <w:top w:val="nil"/>
            </w:tcBorders>
            <w:vAlign w:val="center"/>
          </w:tcPr>
          <w:p w14:paraId="42E3BC2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tcBorders>
              <w:top w:val="nil"/>
            </w:tcBorders>
            <w:vAlign w:val="center"/>
          </w:tcPr>
          <w:p w14:paraId="054633D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560" w:type="dxa"/>
            <w:tcBorders>
              <w:top w:val="nil"/>
            </w:tcBorders>
            <w:vAlign w:val="center"/>
          </w:tcPr>
          <w:p w14:paraId="1844BDF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126" w:type="dxa"/>
            <w:tcBorders>
              <w:top w:val="nil"/>
            </w:tcBorders>
            <w:vAlign w:val="center"/>
          </w:tcPr>
          <w:p w14:paraId="067894E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tcBorders>
              <w:top w:val="nil"/>
            </w:tcBorders>
            <w:vAlign w:val="center"/>
          </w:tcPr>
          <w:p w14:paraId="01FF26D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Borders>
              <w:top w:val="nil"/>
            </w:tcBorders>
            <w:vAlign w:val="center"/>
          </w:tcPr>
          <w:p w14:paraId="66FC242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tcBorders>
              <w:top w:val="nil"/>
            </w:tcBorders>
            <w:vAlign w:val="center"/>
          </w:tcPr>
          <w:p w14:paraId="3E9E20AA">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7F359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328CB21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843" w:type="dxa"/>
            <w:vAlign w:val="center"/>
          </w:tcPr>
          <w:p w14:paraId="104B2D4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vAlign w:val="center"/>
          </w:tcPr>
          <w:p w14:paraId="09EFDB0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410" w:type="dxa"/>
            <w:vAlign w:val="center"/>
          </w:tcPr>
          <w:p w14:paraId="007702E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vAlign w:val="center"/>
          </w:tcPr>
          <w:p w14:paraId="38538BC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560" w:type="dxa"/>
            <w:vAlign w:val="center"/>
          </w:tcPr>
          <w:p w14:paraId="712E7CD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126" w:type="dxa"/>
            <w:vAlign w:val="center"/>
          </w:tcPr>
          <w:p w14:paraId="4F09F36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vAlign w:val="center"/>
          </w:tcPr>
          <w:p w14:paraId="098B6F3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vAlign w:val="center"/>
          </w:tcPr>
          <w:p w14:paraId="068B24B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vAlign w:val="center"/>
          </w:tcPr>
          <w:p w14:paraId="782DB115">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203C64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1E1E187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843" w:type="dxa"/>
            <w:tcBorders>
              <w:top w:val="nil"/>
            </w:tcBorders>
            <w:vAlign w:val="center"/>
          </w:tcPr>
          <w:p w14:paraId="079D256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tcBorders>
              <w:top w:val="nil"/>
            </w:tcBorders>
            <w:vAlign w:val="center"/>
          </w:tcPr>
          <w:p w14:paraId="7595384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410" w:type="dxa"/>
            <w:tcBorders>
              <w:top w:val="nil"/>
            </w:tcBorders>
            <w:vAlign w:val="center"/>
          </w:tcPr>
          <w:p w14:paraId="0DB253B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tcBorders>
              <w:top w:val="nil"/>
            </w:tcBorders>
            <w:vAlign w:val="center"/>
          </w:tcPr>
          <w:p w14:paraId="63BF47D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560" w:type="dxa"/>
            <w:tcBorders>
              <w:top w:val="nil"/>
            </w:tcBorders>
            <w:vAlign w:val="center"/>
          </w:tcPr>
          <w:p w14:paraId="4529567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126" w:type="dxa"/>
            <w:tcBorders>
              <w:top w:val="nil"/>
            </w:tcBorders>
            <w:vAlign w:val="center"/>
          </w:tcPr>
          <w:p w14:paraId="0F2A2F3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tcBorders>
              <w:top w:val="nil"/>
            </w:tcBorders>
            <w:vAlign w:val="center"/>
          </w:tcPr>
          <w:p w14:paraId="7BB00ED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Borders>
              <w:top w:val="nil"/>
            </w:tcBorders>
            <w:vAlign w:val="center"/>
          </w:tcPr>
          <w:p w14:paraId="28EDDD1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tcBorders>
              <w:top w:val="nil"/>
            </w:tcBorders>
            <w:vAlign w:val="center"/>
          </w:tcPr>
          <w:p w14:paraId="31ED37B0">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39279E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52373E0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843" w:type="dxa"/>
            <w:tcBorders>
              <w:top w:val="nil"/>
            </w:tcBorders>
            <w:vAlign w:val="center"/>
          </w:tcPr>
          <w:p w14:paraId="42B653B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tcBorders>
              <w:top w:val="nil"/>
            </w:tcBorders>
            <w:vAlign w:val="center"/>
          </w:tcPr>
          <w:p w14:paraId="2D20275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410" w:type="dxa"/>
            <w:tcBorders>
              <w:top w:val="nil"/>
            </w:tcBorders>
            <w:vAlign w:val="center"/>
          </w:tcPr>
          <w:p w14:paraId="72461FA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tcBorders>
              <w:top w:val="nil"/>
            </w:tcBorders>
            <w:vAlign w:val="center"/>
          </w:tcPr>
          <w:p w14:paraId="1079563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560" w:type="dxa"/>
            <w:tcBorders>
              <w:top w:val="nil"/>
            </w:tcBorders>
            <w:vAlign w:val="center"/>
          </w:tcPr>
          <w:p w14:paraId="6923A5C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126" w:type="dxa"/>
            <w:tcBorders>
              <w:top w:val="nil"/>
            </w:tcBorders>
            <w:vAlign w:val="center"/>
          </w:tcPr>
          <w:p w14:paraId="1EB0104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tcBorders>
              <w:top w:val="nil"/>
            </w:tcBorders>
            <w:vAlign w:val="center"/>
          </w:tcPr>
          <w:p w14:paraId="03B59A9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Borders>
              <w:top w:val="nil"/>
            </w:tcBorders>
            <w:vAlign w:val="center"/>
          </w:tcPr>
          <w:p w14:paraId="3CCC5E6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tcBorders>
              <w:top w:val="nil"/>
            </w:tcBorders>
            <w:vAlign w:val="center"/>
          </w:tcPr>
          <w:p w14:paraId="29BB813C">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2BDF8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20D64AB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843" w:type="dxa"/>
            <w:vAlign w:val="center"/>
          </w:tcPr>
          <w:p w14:paraId="3EF25F9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vAlign w:val="center"/>
          </w:tcPr>
          <w:p w14:paraId="59A9BDB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410" w:type="dxa"/>
            <w:vAlign w:val="center"/>
          </w:tcPr>
          <w:p w14:paraId="7215DEC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vAlign w:val="center"/>
          </w:tcPr>
          <w:p w14:paraId="4AF964E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560" w:type="dxa"/>
            <w:vAlign w:val="center"/>
          </w:tcPr>
          <w:p w14:paraId="6B40260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126" w:type="dxa"/>
            <w:vAlign w:val="center"/>
          </w:tcPr>
          <w:p w14:paraId="6F3B851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vAlign w:val="center"/>
          </w:tcPr>
          <w:p w14:paraId="3B4827E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vAlign w:val="center"/>
          </w:tcPr>
          <w:p w14:paraId="7AD7711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vAlign w:val="center"/>
          </w:tcPr>
          <w:p w14:paraId="7C938787">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37B556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5160CB8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843" w:type="dxa"/>
            <w:tcBorders>
              <w:top w:val="nil"/>
            </w:tcBorders>
            <w:vAlign w:val="center"/>
          </w:tcPr>
          <w:p w14:paraId="588E150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tcBorders>
              <w:top w:val="nil"/>
            </w:tcBorders>
            <w:vAlign w:val="center"/>
          </w:tcPr>
          <w:p w14:paraId="24D6D6B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410" w:type="dxa"/>
            <w:tcBorders>
              <w:top w:val="nil"/>
            </w:tcBorders>
            <w:vAlign w:val="center"/>
          </w:tcPr>
          <w:p w14:paraId="1787830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tcBorders>
              <w:top w:val="nil"/>
            </w:tcBorders>
            <w:vAlign w:val="center"/>
          </w:tcPr>
          <w:p w14:paraId="312C698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560" w:type="dxa"/>
            <w:tcBorders>
              <w:top w:val="nil"/>
            </w:tcBorders>
            <w:vAlign w:val="center"/>
          </w:tcPr>
          <w:p w14:paraId="5DF1D62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126" w:type="dxa"/>
            <w:tcBorders>
              <w:top w:val="nil"/>
            </w:tcBorders>
            <w:vAlign w:val="center"/>
          </w:tcPr>
          <w:p w14:paraId="29AC74C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tcBorders>
              <w:top w:val="nil"/>
            </w:tcBorders>
            <w:vAlign w:val="center"/>
          </w:tcPr>
          <w:p w14:paraId="2A51760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Borders>
              <w:top w:val="nil"/>
            </w:tcBorders>
            <w:vAlign w:val="center"/>
          </w:tcPr>
          <w:p w14:paraId="5E1D110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tcBorders>
              <w:top w:val="nil"/>
            </w:tcBorders>
            <w:vAlign w:val="center"/>
          </w:tcPr>
          <w:p w14:paraId="3DE76D6F">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3BE84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594DC12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843" w:type="dxa"/>
            <w:vAlign w:val="center"/>
          </w:tcPr>
          <w:p w14:paraId="3B46339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vAlign w:val="center"/>
          </w:tcPr>
          <w:p w14:paraId="3D407AB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410" w:type="dxa"/>
            <w:vAlign w:val="center"/>
          </w:tcPr>
          <w:p w14:paraId="2E0ACDD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vAlign w:val="center"/>
          </w:tcPr>
          <w:p w14:paraId="4E0FC97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560" w:type="dxa"/>
            <w:vAlign w:val="center"/>
          </w:tcPr>
          <w:p w14:paraId="47AD61F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2126" w:type="dxa"/>
            <w:vAlign w:val="center"/>
          </w:tcPr>
          <w:p w14:paraId="756E7E5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7" w:type="dxa"/>
            <w:vAlign w:val="center"/>
          </w:tcPr>
          <w:p w14:paraId="50602F3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vAlign w:val="center"/>
          </w:tcPr>
          <w:p w14:paraId="0DC15C3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vAlign w:val="center"/>
          </w:tcPr>
          <w:p w14:paraId="6E39D71D">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bl>
    <w:p w14:paraId="0CEAA5DC">
      <w:pPr>
        <w:spacing w:line="360" w:lineRule="auto"/>
        <w:rPr>
          <w:rFonts w:hint="eastAsia" w:ascii="仿宋" w:hAnsi="仿宋" w:eastAsia="仿宋" w:cs="仿宋"/>
          <w:b/>
          <w:szCs w:val="21"/>
          <w:highlight w:val="none"/>
        </w:rPr>
        <w:sectPr>
          <w:pgSz w:w="16838" w:h="11906" w:orient="landscape"/>
          <w:pgMar w:top="1134" w:right="1418" w:bottom="1531" w:left="1418" w:header="851" w:footer="992" w:gutter="0"/>
          <w:cols w:space="720" w:num="1"/>
          <w:titlePg/>
          <w:docGrid w:type="linesAndChars" w:linePitch="312" w:charSpace="0"/>
        </w:sectPr>
      </w:pPr>
    </w:p>
    <w:p w14:paraId="17DFF469">
      <w:pPr>
        <w:spacing w:beforeLines="50" w:afterLines="50" w:line="360" w:lineRule="auto"/>
        <w:jc w:val="left"/>
        <w:outlineLvl w:val="1"/>
        <w:rPr>
          <w:rFonts w:hint="eastAsia" w:ascii="仿宋" w:hAnsi="仿宋" w:eastAsia="仿宋" w:cs="仿宋"/>
          <w:b/>
          <w:bCs/>
          <w:szCs w:val="21"/>
          <w:highlight w:val="none"/>
        </w:rPr>
      </w:pPr>
      <w:r>
        <w:rPr>
          <w:rFonts w:hint="eastAsia" w:ascii="仿宋" w:hAnsi="仿宋" w:eastAsia="仿宋" w:cs="仿宋"/>
          <w:b/>
          <w:bCs/>
          <w:szCs w:val="21"/>
          <w:highlight w:val="none"/>
        </w:rPr>
        <w:t>附</w:t>
      </w:r>
      <w:bookmarkStart w:id="1246" w:name="_Toc296503225"/>
      <w:bookmarkStart w:id="1247" w:name="_Toc296891265"/>
      <w:bookmarkStart w:id="1248" w:name="_Toc296347224"/>
      <w:bookmarkStart w:id="1249" w:name="_Toc267261692"/>
      <w:bookmarkStart w:id="1250" w:name="_Toc296944564"/>
      <w:bookmarkStart w:id="1251" w:name="_Toc296891053"/>
      <w:bookmarkStart w:id="1252" w:name="_Toc296346726"/>
      <w:r>
        <w:rPr>
          <w:rFonts w:hint="eastAsia" w:ascii="仿宋" w:hAnsi="仿宋" w:eastAsia="仿宋" w:cs="仿宋"/>
          <w:b/>
          <w:bCs/>
          <w:szCs w:val="21"/>
          <w:highlight w:val="none"/>
        </w:rPr>
        <w:t>件2：</w:t>
      </w:r>
    </w:p>
    <w:bookmarkEnd w:id="1246"/>
    <w:bookmarkEnd w:id="1247"/>
    <w:bookmarkEnd w:id="1248"/>
    <w:bookmarkEnd w:id="1249"/>
    <w:bookmarkEnd w:id="1250"/>
    <w:bookmarkEnd w:id="1251"/>
    <w:bookmarkEnd w:id="1252"/>
    <w:p w14:paraId="707332DA">
      <w:pPr>
        <w:spacing w:beforeLines="50" w:afterLines="50"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发包人供应材料设备一览表</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17"/>
        <w:gridCol w:w="1226"/>
        <w:gridCol w:w="1362"/>
        <w:gridCol w:w="903"/>
        <w:gridCol w:w="817"/>
        <w:gridCol w:w="1003"/>
        <w:gridCol w:w="953"/>
        <w:gridCol w:w="817"/>
        <w:gridCol w:w="1428"/>
        <w:gridCol w:w="953"/>
      </w:tblGrid>
      <w:tr w14:paraId="6EC647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93" w:hRule="atLeast"/>
          <w:jc w:val="center"/>
        </w:trPr>
        <w:tc>
          <w:tcPr>
            <w:tcW w:w="817" w:type="dxa"/>
            <w:tcBorders>
              <w:top w:val="single" w:color="auto" w:sz="12" w:space="0"/>
              <w:bottom w:val="double" w:color="auto" w:sz="6" w:space="0"/>
            </w:tcBorders>
            <w:vAlign w:val="center"/>
          </w:tcPr>
          <w:p w14:paraId="33B2199A">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序号</w:t>
            </w:r>
          </w:p>
        </w:tc>
        <w:tc>
          <w:tcPr>
            <w:tcW w:w="1226" w:type="dxa"/>
            <w:tcBorders>
              <w:top w:val="single" w:color="auto" w:sz="12" w:space="0"/>
              <w:bottom w:val="double" w:color="auto" w:sz="6" w:space="0"/>
            </w:tcBorders>
            <w:vAlign w:val="center"/>
          </w:tcPr>
          <w:p w14:paraId="52A9E799">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 xml:space="preserve">  材料、</w:t>
            </w:r>
          </w:p>
          <w:p w14:paraId="52E135D7">
            <w:pPr>
              <w:pStyle w:val="16"/>
              <w:keepNext/>
              <w:spacing w:after="0" w:line="360" w:lineRule="auto"/>
              <w:ind w:left="0" w:leftChars="0" w:right="63"/>
              <w:jc w:val="both"/>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设备品种</w:t>
            </w:r>
          </w:p>
        </w:tc>
        <w:tc>
          <w:tcPr>
            <w:tcW w:w="1362" w:type="dxa"/>
            <w:tcBorders>
              <w:top w:val="single" w:color="auto" w:sz="12" w:space="0"/>
              <w:bottom w:val="double" w:color="auto" w:sz="6" w:space="0"/>
            </w:tcBorders>
            <w:vAlign w:val="center"/>
          </w:tcPr>
          <w:p w14:paraId="1FB7890D">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规格型号</w:t>
            </w:r>
          </w:p>
        </w:tc>
        <w:tc>
          <w:tcPr>
            <w:tcW w:w="903" w:type="dxa"/>
            <w:tcBorders>
              <w:top w:val="single" w:color="auto" w:sz="12" w:space="0"/>
              <w:bottom w:val="double" w:color="auto" w:sz="6" w:space="0"/>
            </w:tcBorders>
            <w:vAlign w:val="center"/>
          </w:tcPr>
          <w:p w14:paraId="5EE0F6FB">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单位</w:t>
            </w:r>
          </w:p>
        </w:tc>
        <w:tc>
          <w:tcPr>
            <w:tcW w:w="817" w:type="dxa"/>
            <w:tcBorders>
              <w:top w:val="single" w:color="auto" w:sz="12" w:space="0"/>
              <w:bottom w:val="double" w:color="auto" w:sz="6" w:space="0"/>
            </w:tcBorders>
            <w:vAlign w:val="center"/>
          </w:tcPr>
          <w:p w14:paraId="2A905937">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数量</w:t>
            </w:r>
          </w:p>
        </w:tc>
        <w:tc>
          <w:tcPr>
            <w:tcW w:w="1003" w:type="dxa"/>
            <w:tcBorders>
              <w:top w:val="single" w:color="auto" w:sz="12" w:space="0"/>
              <w:bottom w:val="double" w:color="auto" w:sz="6" w:space="0"/>
            </w:tcBorders>
            <w:vAlign w:val="center"/>
          </w:tcPr>
          <w:p w14:paraId="38987A54">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单价（元）</w:t>
            </w:r>
          </w:p>
        </w:tc>
        <w:tc>
          <w:tcPr>
            <w:tcW w:w="953" w:type="dxa"/>
            <w:tcBorders>
              <w:top w:val="single" w:color="auto" w:sz="12" w:space="0"/>
              <w:bottom w:val="double" w:color="auto" w:sz="6" w:space="0"/>
            </w:tcBorders>
            <w:vAlign w:val="center"/>
          </w:tcPr>
          <w:p w14:paraId="0212C48C">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质量等级</w:t>
            </w:r>
          </w:p>
        </w:tc>
        <w:tc>
          <w:tcPr>
            <w:tcW w:w="817" w:type="dxa"/>
            <w:tcBorders>
              <w:top w:val="single" w:color="auto" w:sz="12" w:space="0"/>
              <w:bottom w:val="double" w:color="auto" w:sz="6" w:space="0"/>
            </w:tcBorders>
            <w:vAlign w:val="center"/>
          </w:tcPr>
          <w:p w14:paraId="51F71988">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供应时间</w:t>
            </w:r>
          </w:p>
        </w:tc>
        <w:tc>
          <w:tcPr>
            <w:tcW w:w="1428" w:type="dxa"/>
            <w:tcBorders>
              <w:top w:val="single" w:color="auto" w:sz="12" w:space="0"/>
              <w:bottom w:val="double" w:color="auto" w:sz="6" w:space="0"/>
            </w:tcBorders>
            <w:vAlign w:val="center"/>
          </w:tcPr>
          <w:p w14:paraId="17286C8D">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送达地点</w:t>
            </w:r>
          </w:p>
        </w:tc>
        <w:tc>
          <w:tcPr>
            <w:tcW w:w="953" w:type="dxa"/>
            <w:tcBorders>
              <w:top w:val="single" w:color="auto" w:sz="12" w:space="0"/>
              <w:bottom w:val="double" w:color="auto" w:sz="6" w:space="0"/>
            </w:tcBorders>
            <w:vAlign w:val="center"/>
          </w:tcPr>
          <w:p w14:paraId="095B7760">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备注</w:t>
            </w:r>
          </w:p>
        </w:tc>
      </w:tr>
      <w:tr w14:paraId="619B0B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tcBorders>
              <w:top w:val="double" w:color="auto" w:sz="6" w:space="0"/>
              <w:bottom w:val="single" w:color="auto" w:sz="6" w:space="0"/>
            </w:tcBorders>
            <w:vAlign w:val="center"/>
          </w:tcPr>
          <w:p w14:paraId="5C9CB06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26" w:type="dxa"/>
            <w:tcBorders>
              <w:top w:val="double" w:color="auto" w:sz="6" w:space="0"/>
              <w:bottom w:val="single" w:color="auto" w:sz="6" w:space="0"/>
            </w:tcBorders>
            <w:vAlign w:val="center"/>
          </w:tcPr>
          <w:p w14:paraId="3FD53CB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62" w:type="dxa"/>
            <w:tcBorders>
              <w:top w:val="double" w:color="auto" w:sz="6" w:space="0"/>
              <w:bottom w:val="single" w:color="auto" w:sz="6" w:space="0"/>
            </w:tcBorders>
            <w:vAlign w:val="center"/>
          </w:tcPr>
          <w:p w14:paraId="5B02ECF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03" w:type="dxa"/>
            <w:tcBorders>
              <w:top w:val="double" w:color="auto" w:sz="6" w:space="0"/>
              <w:bottom w:val="single" w:color="auto" w:sz="6" w:space="0"/>
            </w:tcBorders>
            <w:vAlign w:val="center"/>
          </w:tcPr>
          <w:p w14:paraId="201EE56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tcBorders>
              <w:top w:val="double" w:color="auto" w:sz="6" w:space="0"/>
              <w:bottom w:val="single" w:color="auto" w:sz="6" w:space="0"/>
            </w:tcBorders>
            <w:vAlign w:val="center"/>
          </w:tcPr>
          <w:p w14:paraId="4CF4406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03" w:type="dxa"/>
            <w:tcBorders>
              <w:top w:val="double" w:color="auto" w:sz="6" w:space="0"/>
              <w:bottom w:val="single" w:color="auto" w:sz="6" w:space="0"/>
            </w:tcBorders>
            <w:vAlign w:val="center"/>
          </w:tcPr>
          <w:p w14:paraId="2EBA7B1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tcBorders>
              <w:top w:val="double" w:color="auto" w:sz="6" w:space="0"/>
              <w:bottom w:val="single" w:color="auto" w:sz="6" w:space="0"/>
            </w:tcBorders>
            <w:vAlign w:val="center"/>
          </w:tcPr>
          <w:p w14:paraId="2A69F1B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tcBorders>
              <w:top w:val="double" w:color="auto" w:sz="6" w:space="0"/>
              <w:bottom w:val="single" w:color="auto" w:sz="6" w:space="0"/>
            </w:tcBorders>
            <w:vAlign w:val="center"/>
          </w:tcPr>
          <w:p w14:paraId="69D7CAA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28" w:type="dxa"/>
            <w:tcBorders>
              <w:top w:val="double" w:color="auto" w:sz="6" w:space="0"/>
              <w:bottom w:val="single" w:color="auto" w:sz="6" w:space="0"/>
            </w:tcBorders>
            <w:vAlign w:val="center"/>
          </w:tcPr>
          <w:p w14:paraId="018C082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tcBorders>
              <w:top w:val="double" w:color="auto" w:sz="6" w:space="0"/>
              <w:bottom w:val="single" w:color="auto" w:sz="6" w:space="0"/>
            </w:tcBorders>
            <w:vAlign w:val="center"/>
          </w:tcPr>
          <w:p w14:paraId="014597C0">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F005D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tcBorders>
              <w:top w:val="nil"/>
            </w:tcBorders>
            <w:vAlign w:val="center"/>
          </w:tcPr>
          <w:p w14:paraId="25F61A3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26" w:type="dxa"/>
            <w:tcBorders>
              <w:top w:val="nil"/>
            </w:tcBorders>
            <w:vAlign w:val="center"/>
          </w:tcPr>
          <w:p w14:paraId="2710B26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62" w:type="dxa"/>
            <w:tcBorders>
              <w:top w:val="nil"/>
            </w:tcBorders>
            <w:vAlign w:val="center"/>
          </w:tcPr>
          <w:p w14:paraId="3B31EF5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03" w:type="dxa"/>
            <w:tcBorders>
              <w:top w:val="nil"/>
            </w:tcBorders>
            <w:vAlign w:val="center"/>
          </w:tcPr>
          <w:p w14:paraId="48C8986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tcBorders>
              <w:top w:val="nil"/>
            </w:tcBorders>
            <w:vAlign w:val="center"/>
          </w:tcPr>
          <w:p w14:paraId="0ED4FCC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03" w:type="dxa"/>
            <w:tcBorders>
              <w:top w:val="nil"/>
            </w:tcBorders>
            <w:vAlign w:val="center"/>
          </w:tcPr>
          <w:p w14:paraId="2943336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tcBorders>
              <w:top w:val="nil"/>
            </w:tcBorders>
            <w:vAlign w:val="center"/>
          </w:tcPr>
          <w:p w14:paraId="5DD7593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tcBorders>
              <w:top w:val="nil"/>
            </w:tcBorders>
            <w:vAlign w:val="center"/>
          </w:tcPr>
          <w:p w14:paraId="04940CB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28" w:type="dxa"/>
            <w:tcBorders>
              <w:top w:val="nil"/>
            </w:tcBorders>
            <w:vAlign w:val="center"/>
          </w:tcPr>
          <w:p w14:paraId="13994DA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tcBorders>
              <w:top w:val="nil"/>
            </w:tcBorders>
            <w:vAlign w:val="center"/>
          </w:tcPr>
          <w:p w14:paraId="1C06E07D">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7BF9E8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1674DDA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26" w:type="dxa"/>
            <w:vAlign w:val="center"/>
          </w:tcPr>
          <w:p w14:paraId="113BFEB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62" w:type="dxa"/>
            <w:vAlign w:val="center"/>
          </w:tcPr>
          <w:p w14:paraId="1791E1D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03" w:type="dxa"/>
            <w:vAlign w:val="center"/>
          </w:tcPr>
          <w:p w14:paraId="0124517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vAlign w:val="center"/>
          </w:tcPr>
          <w:p w14:paraId="5092E6E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03" w:type="dxa"/>
            <w:vAlign w:val="center"/>
          </w:tcPr>
          <w:p w14:paraId="4FF72D9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vAlign w:val="center"/>
          </w:tcPr>
          <w:p w14:paraId="2565DC9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vAlign w:val="center"/>
          </w:tcPr>
          <w:p w14:paraId="165DB83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28" w:type="dxa"/>
            <w:vAlign w:val="center"/>
          </w:tcPr>
          <w:p w14:paraId="48E86DE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vAlign w:val="center"/>
          </w:tcPr>
          <w:p w14:paraId="1DFCFADE">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95EFF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5314564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26" w:type="dxa"/>
            <w:vAlign w:val="center"/>
          </w:tcPr>
          <w:p w14:paraId="360122F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62" w:type="dxa"/>
            <w:vAlign w:val="center"/>
          </w:tcPr>
          <w:p w14:paraId="28DCB5C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03" w:type="dxa"/>
            <w:vAlign w:val="center"/>
          </w:tcPr>
          <w:p w14:paraId="437AA48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vAlign w:val="center"/>
          </w:tcPr>
          <w:p w14:paraId="2B1E712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03" w:type="dxa"/>
            <w:vAlign w:val="center"/>
          </w:tcPr>
          <w:p w14:paraId="55CC8F2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vAlign w:val="center"/>
          </w:tcPr>
          <w:p w14:paraId="56076D1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vAlign w:val="center"/>
          </w:tcPr>
          <w:p w14:paraId="68B1FA6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28" w:type="dxa"/>
            <w:vAlign w:val="center"/>
          </w:tcPr>
          <w:p w14:paraId="1CBBFF7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vAlign w:val="center"/>
          </w:tcPr>
          <w:p w14:paraId="6A27C57E">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8645E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7C223E5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26" w:type="dxa"/>
            <w:vAlign w:val="center"/>
          </w:tcPr>
          <w:p w14:paraId="6149829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62" w:type="dxa"/>
            <w:vAlign w:val="center"/>
          </w:tcPr>
          <w:p w14:paraId="0B01A9E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03" w:type="dxa"/>
            <w:vAlign w:val="center"/>
          </w:tcPr>
          <w:p w14:paraId="26F42AC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vAlign w:val="center"/>
          </w:tcPr>
          <w:p w14:paraId="68DE6C1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03" w:type="dxa"/>
            <w:vAlign w:val="center"/>
          </w:tcPr>
          <w:p w14:paraId="3ECC845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vAlign w:val="center"/>
          </w:tcPr>
          <w:p w14:paraId="6DC63BE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vAlign w:val="center"/>
          </w:tcPr>
          <w:p w14:paraId="5B4AECF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28" w:type="dxa"/>
            <w:vAlign w:val="center"/>
          </w:tcPr>
          <w:p w14:paraId="716D9DC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vAlign w:val="center"/>
          </w:tcPr>
          <w:p w14:paraId="104949DF">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3C655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22B59CC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26" w:type="dxa"/>
            <w:vAlign w:val="center"/>
          </w:tcPr>
          <w:p w14:paraId="5975406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62" w:type="dxa"/>
            <w:vAlign w:val="center"/>
          </w:tcPr>
          <w:p w14:paraId="6812B09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03" w:type="dxa"/>
            <w:vAlign w:val="center"/>
          </w:tcPr>
          <w:p w14:paraId="0BD5906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vAlign w:val="center"/>
          </w:tcPr>
          <w:p w14:paraId="1E08586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03" w:type="dxa"/>
            <w:vAlign w:val="center"/>
          </w:tcPr>
          <w:p w14:paraId="66B2527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vAlign w:val="center"/>
          </w:tcPr>
          <w:p w14:paraId="30746E4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vAlign w:val="center"/>
          </w:tcPr>
          <w:p w14:paraId="21E9960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28" w:type="dxa"/>
            <w:vAlign w:val="center"/>
          </w:tcPr>
          <w:p w14:paraId="21E400D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vAlign w:val="center"/>
          </w:tcPr>
          <w:p w14:paraId="5E5581E7">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37AA13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239EE48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26" w:type="dxa"/>
            <w:vAlign w:val="center"/>
          </w:tcPr>
          <w:p w14:paraId="66A34ED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62" w:type="dxa"/>
            <w:vAlign w:val="center"/>
          </w:tcPr>
          <w:p w14:paraId="65AABE3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03" w:type="dxa"/>
            <w:vAlign w:val="center"/>
          </w:tcPr>
          <w:p w14:paraId="2FEB537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vAlign w:val="center"/>
          </w:tcPr>
          <w:p w14:paraId="243AD4C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03" w:type="dxa"/>
            <w:vAlign w:val="center"/>
          </w:tcPr>
          <w:p w14:paraId="465772A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vAlign w:val="center"/>
          </w:tcPr>
          <w:p w14:paraId="5A9F149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vAlign w:val="center"/>
          </w:tcPr>
          <w:p w14:paraId="3972554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28" w:type="dxa"/>
            <w:vAlign w:val="center"/>
          </w:tcPr>
          <w:p w14:paraId="4563CF4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vAlign w:val="center"/>
          </w:tcPr>
          <w:p w14:paraId="521CB7AA">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FBBCD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0C5D68D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26" w:type="dxa"/>
            <w:vAlign w:val="center"/>
          </w:tcPr>
          <w:p w14:paraId="2614C2E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62" w:type="dxa"/>
            <w:vAlign w:val="center"/>
          </w:tcPr>
          <w:p w14:paraId="2ABF90E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03" w:type="dxa"/>
            <w:vAlign w:val="center"/>
          </w:tcPr>
          <w:p w14:paraId="7E9833F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vAlign w:val="center"/>
          </w:tcPr>
          <w:p w14:paraId="7716864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03" w:type="dxa"/>
            <w:vAlign w:val="center"/>
          </w:tcPr>
          <w:p w14:paraId="60C2A10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vAlign w:val="center"/>
          </w:tcPr>
          <w:p w14:paraId="6520BA3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vAlign w:val="center"/>
          </w:tcPr>
          <w:p w14:paraId="37D59A3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28" w:type="dxa"/>
            <w:vAlign w:val="center"/>
          </w:tcPr>
          <w:p w14:paraId="20081DD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vAlign w:val="center"/>
          </w:tcPr>
          <w:p w14:paraId="368DAEEC">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F4EE2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74192FC3">
            <w:pPr>
              <w:spacing w:line="360" w:lineRule="auto"/>
              <w:jc w:val="center"/>
              <w:rPr>
                <w:rFonts w:hint="eastAsia" w:ascii="仿宋" w:hAnsi="仿宋" w:eastAsia="仿宋" w:cs="仿宋"/>
                <w:szCs w:val="21"/>
                <w:highlight w:val="none"/>
              </w:rPr>
            </w:pPr>
          </w:p>
        </w:tc>
        <w:tc>
          <w:tcPr>
            <w:tcW w:w="1226" w:type="dxa"/>
            <w:vAlign w:val="center"/>
          </w:tcPr>
          <w:p w14:paraId="4EBE1ED5">
            <w:pPr>
              <w:spacing w:line="360" w:lineRule="auto"/>
              <w:jc w:val="center"/>
              <w:rPr>
                <w:rFonts w:hint="eastAsia" w:ascii="仿宋" w:hAnsi="仿宋" w:eastAsia="仿宋" w:cs="仿宋"/>
                <w:szCs w:val="21"/>
                <w:highlight w:val="none"/>
              </w:rPr>
            </w:pPr>
          </w:p>
        </w:tc>
        <w:tc>
          <w:tcPr>
            <w:tcW w:w="1362" w:type="dxa"/>
            <w:vAlign w:val="center"/>
          </w:tcPr>
          <w:p w14:paraId="17D81813">
            <w:pPr>
              <w:spacing w:line="360" w:lineRule="auto"/>
              <w:jc w:val="center"/>
              <w:rPr>
                <w:rFonts w:hint="eastAsia" w:ascii="仿宋" w:hAnsi="仿宋" w:eastAsia="仿宋" w:cs="仿宋"/>
                <w:szCs w:val="21"/>
                <w:highlight w:val="none"/>
              </w:rPr>
            </w:pPr>
          </w:p>
        </w:tc>
        <w:tc>
          <w:tcPr>
            <w:tcW w:w="903" w:type="dxa"/>
            <w:vAlign w:val="center"/>
          </w:tcPr>
          <w:p w14:paraId="667C7FF5">
            <w:pPr>
              <w:spacing w:line="360" w:lineRule="auto"/>
              <w:jc w:val="center"/>
              <w:rPr>
                <w:rFonts w:hint="eastAsia" w:ascii="仿宋" w:hAnsi="仿宋" w:eastAsia="仿宋" w:cs="仿宋"/>
                <w:szCs w:val="21"/>
                <w:highlight w:val="none"/>
              </w:rPr>
            </w:pPr>
          </w:p>
        </w:tc>
        <w:tc>
          <w:tcPr>
            <w:tcW w:w="817" w:type="dxa"/>
            <w:vAlign w:val="center"/>
          </w:tcPr>
          <w:p w14:paraId="1F3590CE">
            <w:pPr>
              <w:spacing w:line="360" w:lineRule="auto"/>
              <w:jc w:val="center"/>
              <w:rPr>
                <w:rFonts w:hint="eastAsia" w:ascii="仿宋" w:hAnsi="仿宋" w:eastAsia="仿宋" w:cs="仿宋"/>
                <w:szCs w:val="21"/>
                <w:highlight w:val="none"/>
              </w:rPr>
            </w:pPr>
          </w:p>
        </w:tc>
        <w:tc>
          <w:tcPr>
            <w:tcW w:w="1003" w:type="dxa"/>
            <w:vAlign w:val="center"/>
          </w:tcPr>
          <w:p w14:paraId="2B2995B5">
            <w:pPr>
              <w:spacing w:line="360" w:lineRule="auto"/>
              <w:jc w:val="center"/>
              <w:rPr>
                <w:rFonts w:hint="eastAsia" w:ascii="仿宋" w:hAnsi="仿宋" w:eastAsia="仿宋" w:cs="仿宋"/>
                <w:szCs w:val="21"/>
                <w:highlight w:val="none"/>
              </w:rPr>
            </w:pPr>
          </w:p>
        </w:tc>
        <w:tc>
          <w:tcPr>
            <w:tcW w:w="953" w:type="dxa"/>
            <w:vAlign w:val="center"/>
          </w:tcPr>
          <w:p w14:paraId="72F14D49">
            <w:pPr>
              <w:spacing w:line="360" w:lineRule="auto"/>
              <w:jc w:val="center"/>
              <w:rPr>
                <w:rFonts w:hint="eastAsia" w:ascii="仿宋" w:hAnsi="仿宋" w:eastAsia="仿宋" w:cs="仿宋"/>
                <w:szCs w:val="21"/>
                <w:highlight w:val="none"/>
              </w:rPr>
            </w:pPr>
          </w:p>
        </w:tc>
        <w:tc>
          <w:tcPr>
            <w:tcW w:w="817" w:type="dxa"/>
            <w:vAlign w:val="center"/>
          </w:tcPr>
          <w:p w14:paraId="51D29B3D">
            <w:pPr>
              <w:spacing w:line="360" w:lineRule="auto"/>
              <w:jc w:val="center"/>
              <w:rPr>
                <w:rFonts w:hint="eastAsia" w:ascii="仿宋" w:hAnsi="仿宋" w:eastAsia="仿宋" w:cs="仿宋"/>
                <w:szCs w:val="21"/>
                <w:highlight w:val="none"/>
              </w:rPr>
            </w:pPr>
          </w:p>
        </w:tc>
        <w:tc>
          <w:tcPr>
            <w:tcW w:w="1428" w:type="dxa"/>
            <w:vAlign w:val="center"/>
          </w:tcPr>
          <w:p w14:paraId="4657DA8E">
            <w:pPr>
              <w:spacing w:line="360" w:lineRule="auto"/>
              <w:jc w:val="center"/>
              <w:rPr>
                <w:rFonts w:hint="eastAsia" w:ascii="仿宋" w:hAnsi="仿宋" w:eastAsia="仿宋" w:cs="仿宋"/>
                <w:szCs w:val="21"/>
                <w:highlight w:val="none"/>
              </w:rPr>
            </w:pPr>
          </w:p>
        </w:tc>
        <w:tc>
          <w:tcPr>
            <w:tcW w:w="953" w:type="dxa"/>
            <w:vAlign w:val="center"/>
          </w:tcPr>
          <w:p w14:paraId="574EB3DF">
            <w:pPr>
              <w:spacing w:line="360" w:lineRule="auto"/>
              <w:jc w:val="center"/>
              <w:rPr>
                <w:rFonts w:hint="eastAsia" w:ascii="仿宋" w:hAnsi="仿宋" w:eastAsia="仿宋" w:cs="仿宋"/>
                <w:szCs w:val="21"/>
                <w:highlight w:val="none"/>
              </w:rPr>
            </w:pPr>
          </w:p>
        </w:tc>
      </w:tr>
      <w:tr w14:paraId="116E43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4A2AA1D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26" w:type="dxa"/>
            <w:vAlign w:val="center"/>
          </w:tcPr>
          <w:p w14:paraId="52E7F05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62" w:type="dxa"/>
            <w:vAlign w:val="center"/>
          </w:tcPr>
          <w:p w14:paraId="1DAFCD5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03" w:type="dxa"/>
            <w:vAlign w:val="center"/>
          </w:tcPr>
          <w:p w14:paraId="30078AB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vAlign w:val="center"/>
          </w:tcPr>
          <w:p w14:paraId="42C105D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03" w:type="dxa"/>
            <w:vAlign w:val="center"/>
          </w:tcPr>
          <w:p w14:paraId="338ADA0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vAlign w:val="center"/>
          </w:tcPr>
          <w:p w14:paraId="57D5157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17" w:type="dxa"/>
            <w:vAlign w:val="center"/>
          </w:tcPr>
          <w:p w14:paraId="3E1029C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28" w:type="dxa"/>
            <w:vAlign w:val="center"/>
          </w:tcPr>
          <w:p w14:paraId="3C2947B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53" w:type="dxa"/>
            <w:vAlign w:val="center"/>
          </w:tcPr>
          <w:p w14:paraId="05F02203">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E0868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0EB92E4B">
            <w:pPr>
              <w:spacing w:line="360" w:lineRule="auto"/>
              <w:jc w:val="center"/>
              <w:rPr>
                <w:rFonts w:hint="eastAsia" w:ascii="仿宋" w:hAnsi="仿宋" w:eastAsia="仿宋" w:cs="仿宋"/>
                <w:szCs w:val="21"/>
                <w:highlight w:val="none"/>
              </w:rPr>
            </w:pPr>
          </w:p>
        </w:tc>
        <w:tc>
          <w:tcPr>
            <w:tcW w:w="1226" w:type="dxa"/>
            <w:vAlign w:val="center"/>
          </w:tcPr>
          <w:p w14:paraId="1ADC433C">
            <w:pPr>
              <w:spacing w:line="360" w:lineRule="auto"/>
              <w:jc w:val="center"/>
              <w:rPr>
                <w:rFonts w:hint="eastAsia" w:ascii="仿宋" w:hAnsi="仿宋" w:eastAsia="仿宋" w:cs="仿宋"/>
                <w:szCs w:val="21"/>
                <w:highlight w:val="none"/>
              </w:rPr>
            </w:pPr>
          </w:p>
        </w:tc>
        <w:tc>
          <w:tcPr>
            <w:tcW w:w="1362" w:type="dxa"/>
            <w:vAlign w:val="center"/>
          </w:tcPr>
          <w:p w14:paraId="30D67EED">
            <w:pPr>
              <w:spacing w:line="360" w:lineRule="auto"/>
              <w:jc w:val="center"/>
              <w:rPr>
                <w:rFonts w:hint="eastAsia" w:ascii="仿宋" w:hAnsi="仿宋" w:eastAsia="仿宋" w:cs="仿宋"/>
                <w:szCs w:val="21"/>
                <w:highlight w:val="none"/>
              </w:rPr>
            </w:pPr>
          </w:p>
        </w:tc>
        <w:tc>
          <w:tcPr>
            <w:tcW w:w="903" w:type="dxa"/>
            <w:vAlign w:val="center"/>
          </w:tcPr>
          <w:p w14:paraId="62B41AAA">
            <w:pPr>
              <w:spacing w:line="360" w:lineRule="auto"/>
              <w:jc w:val="center"/>
              <w:rPr>
                <w:rFonts w:hint="eastAsia" w:ascii="仿宋" w:hAnsi="仿宋" w:eastAsia="仿宋" w:cs="仿宋"/>
                <w:szCs w:val="21"/>
                <w:highlight w:val="none"/>
              </w:rPr>
            </w:pPr>
          </w:p>
        </w:tc>
        <w:tc>
          <w:tcPr>
            <w:tcW w:w="817" w:type="dxa"/>
            <w:vAlign w:val="center"/>
          </w:tcPr>
          <w:p w14:paraId="1284A770">
            <w:pPr>
              <w:spacing w:line="360" w:lineRule="auto"/>
              <w:jc w:val="center"/>
              <w:rPr>
                <w:rFonts w:hint="eastAsia" w:ascii="仿宋" w:hAnsi="仿宋" w:eastAsia="仿宋" w:cs="仿宋"/>
                <w:szCs w:val="21"/>
                <w:highlight w:val="none"/>
              </w:rPr>
            </w:pPr>
          </w:p>
        </w:tc>
        <w:tc>
          <w:tcPr>
            <w:tcW w:w="1003" w:type="dxa"/>
            <w:vAlign w:val="center"/>
          </w:tcPr>
          <w:p w14:paraId="61F41788">
            <w:pPr>
              <w:spacing w:line="360" w:lineRule="auto"/>
              <w:jc w:val="center"/>
              <w:rPr>
                <w:rFonts w:hint="eastAsia" w:ascii="仿宋" w:hAnsi="仿宋" w:eastAsia="仿宋" w:cs="仿宋"/>
                <w:szCs w:val="21"/>
                <w:highlight w:val="none"/>
              </w:rPr>
            </w:pPr>
          </w:p>
        </w:tc>
        <w:tc>
          <w:tcPr>
            <w:tcW w:w="953" w:type="dxa"/>
            <w:vAlign w:val="center"/>
          </w:tcPr>
          <w:p w14:paraId="37B72DF7">
            <w:pPr>
              <w:spacing w:line="360" w:lineRule="auto"/>
              <w:jc w:val="center"/>
              <w:rPr>
                <w:rFonts w:hint="eastAsia" w:ascii="仿宋" w:hAnsi="仿宋" w:eastAsia="仿宋" w:cs="仿宋"/>
                <w:szCs w:val="21"/>
                <w:highlight w:val="none"/>
              </w:rPr>
            </w:pPr>
          </w:p>
        </w:tc>
        <w:tc>
          <w:tcPr>
            <w:tcW w:w="817" w:type="dxa"/>
            <w:vAlign w:val="center"/>
          </w:tcPr>
          <w:p w14:paraId="117D52ED">
            <w:pPr>
              <w:spacing w:line="360" w:lineRule="auto"/>
              <w:jc w:val="center"/>
              <w:rPr>
                <w:rFonts w:hint="eastAsia" w:ascii="仿宋" w:hAnsi="仿宋" w:eastAsia="仿宋" w:cs="仿宋"/>
                <w:szCs w:val="21"/>
                <w:highlight w:val="none"/>
              </w:rPr>
            </w:pPr>
          </w:p>
        </w:tc>
        <w:tc>
          <w:tcPr>
            <w:tcW w:w="1428" w:type="dxa"/>
            <w:vAlign w:val="center"/>
          </w:tcPr>
          <w:p w14:paraId="1AB350DC">
            <w:pPr>
              <w:spacing w:line="360" w:lineRule="auto"/>
              <w:jc w:val="center"/>
              <w:rPr>
                <w:rFonts w:hint="eastAsia" w:ascii="仿宋" w:hAnsi="仿宋" w:eastAsia="仿宋" w:cs="仿宋"/>
                <w:szCs w:val="21"/>
                <w:highlight w:val="none"/>
              </w:rPr>
            </w:pPr>
          </w:p>
        </w:tc>
        <w:tc>
          <w:tcPr>
            <w:tcW w:w="953" w:type="dxa"/>
            <w:vAlign w:val="center"/>
          </w:tcPr>
          <w:p w14:paraId="44FFD927">
            <w:pPr>
              <w:spacing w:line="360" w:lineRule="auto"/>
              <w:jc w:val="center"/>
              <w:rPr>
                <w:rFonts w:hint="eastAsia" w:ascii="仿宋" w:hAnsi="仿宋" w:eastAsia="仿宋" w:cs="仿宋"/>
                <w:szCs w:val="21"/>
                <w:highlight w:val="none"/>
              </w:rPr>
            </w:pPr>
          </w:p>
        </w:tc>
      </w:tr>
      <w:tr w14:paraId="2DB18F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1A819562">
            <w:pPr>
              <w:spacing w:line="360" w:lineRule="auto"/>
              <w:jc w:val="center"/>
              <w:rPr>
                <w:rFonts w:hint="eastAsia" w:ascii="仿宋" w:hAnsi="仿宋" w:eastAsia="仿宋" w:cs="仿宋"/>
                <w:szCs w:val="21"/>
                <w:highlight w:val="none"/>
              </w:rPr>
            </w:pPr>
          </w:p>
        </w:tc>
        <w:tc>
          <w:tcPr>
            <w:tcW w:w="1226" w:type="dxa"/>
            <w:vAlign w:val="center"/>
          </w:tcPr>
          <w:p w14:paraId="2699926A">
            <w:pPr>
              <w:spacing w:line="360" w:lineRule="auto"/>
              <w:jc w:val="center"/>
              <w:rPr>
                <w:rFonts w:hint="eastAsia" w:ascii="仿宋" w:hAnsi="仿宋" w:eastAsia="仿宋" w:cs="仿宋"/>
                <w:szCs w:val="21"/>
                <w:highlight w:val="none"/>
              </w:rPr>
            </w:pPr>
          </w:p>
        </w:tc>
        <w:tc>
          <w:tcPr>
            <w:tcW w:w="1362" w:type="dxa"/>
            <w:vAlign w:val="center"/>
          </w:tcPr>
          <w:p w14:paraId="6898724F">
            <w:pPr>
              <w:spacing w:line="360" w:lineRule="auto"/>
              <w:jc w:val="center"/>
              <w:rPr>
                <w:rFonts w:hint="eastAsia" w:ascii="仿宋" w:hAnsi="仿宋" w:eastAsia="仿宋" w:cs="仿宋"/>
                <w:szCs w:val="21"/>
                <w:highlight w:val="none"/>
              </w:rPr>
            </w:pPr>
          </w:p>
        </w:tc>
        <w:tc>
          <w:tcPr>
            <w:tcW w:w="903" w:type="dxa"/>
            <w:vAlign w:val="center"/>
          </w:tcPr>
          <w:p w14:paraId="4659C5EA">
            <w:pPr>
              <w:spacing w:line="360" w:lineRule="auto"/>
              <w:jc w:val="center"/>
              <w:rPr>
                <w:rFonts w:hint="eastAsia" w:ascii="仿宋" w:hAnsi="仿宋" w:eastAsia="仿宋" w:cs="仿宋"/>
                <w:szCs w:val="21"/>
                <w:highlight w:val="none"/>
              </w:rPr>
            </w:pPr>
          </w:p>
        </w:tc>
        <w:tc>
          <w:tcPr>
            <w:tcW w:w="817" w:type="dxa"/>
            <w:vAlign w:val="center"/>
          </w:tcPr>
          <w:p w14:paraId="4C5770EB">
            <w:pPr>
              <w:spacing w:line="360" w:lineRule="auto"/>
              <w:jc w:val="center"/>
              <w:rPr>
                <w:rFonts w:hint="eastAsia" w:ascii="仿宋" w:hAnsi="仿宋" w:eastAsia="仿宋" w:cs="仿宋"/>
                <w:szCs w:val="21"/>
                <w:highlight w:val="none"/>
              </w:rPr>
            </w:pPr>
          </w:p>
        </w:tc>
        <w:tc>
          <w:tcPr>
            <w:tcW w:w="1003" w:type="dxa"/>
            <w:vAlign w:val="center"/>
          </w:tcPr>
          <w:p w14:paraId="09C86808">
            <w:pPr>
              <w:spacing w:line="360" w:lineRule="auto"/>
              <w:jc w:val="center"/>
              <w:rPr>
                <w:rFonts w:hint="eastAsia" w:ascii="仿宋" w:hAnsi="仿宋" w:eastAsia="仿宋" w:cs="仿宋"/>
                <w:szCs w:val="21"/>
                <w:highlight w:val="none"/>
              </w:rPr>
            </w:pPr>
          </w:p>
        </w:tc>
        <w:tc>
          <w:tcPr>
            <w:tcW w:w="953" w:type="dxa"/>
            <w:vAlign w:val="center"/>
          </w:tcPr>
          <w:p w14:paraId="51B0EA9B">
            <w:pPr>
              <w:spacing w:line="360" w:lineRule="auto"/>
              <w:jc w:val="center"/>
              <w:rPr>
                <w:rFonts w:hint="eastAsia" w:ascii="仿宋" w:hAnsi="仿宋" w:eastAsia="仿宋" w:cs="仿宋"/>
                <w:szCs w:val="21"/>
                <w:highlight w:val="none"/>
              </w:rPr>
            </w:pPr>
          </w:p>
        </w:tc>
        <w:tc>
          <w:tcPr>
            <w:tcW w:w="817" w:type="dxa"/>
            <w:vAlign w:val="center"/>
          </w:tcPr>
          <w:p w14:paraId="0218DF2B">
            <w:pPr>
              <w:spacing w:line="360" w:lineRule="auto"/>
              <w:jc w:val="center"/>
              <w:rPr>
                <w:rFonts w:hint="eastAsia" w:ascii="仿宋" w:hAnsi="仿宋" w:eastAsia="仿宋" w:cs="仿宋"/>
                <w:szCs w:val="21"/>
                <w:highlight w:val="none"/>
              </w:rPr>
            </w:pPr>
          </w:p>
        </w:tc>
        <w:tc>
          <w:tcPr>
            <w:tcW w:w="1428" w:type="dxa"/>
            <w:vAlign w:val="center"/>
          </w:tcPr>
          <w:p w14:paraId="27D6C637">
            <w:pPr>
              <w:spacing w:line="360" w:lineRule="auto"/>
              <w:jc w:val="center"/>
              <w:rPr>
                <w:rFonts w:hint="eastAsia" w:ascii="仿宋" w:hAnsi="仿宋" w:eastAsia="仿宋" w:cs="仿宋"/>
                <w:szCs w:val="21"/>
                <w:highlight w:val="none"/>
              </w:rPr>
            </w:pPr>
          </w:p>
        </w:tc>
        <w:tc>
          <w:tcPr>
            <w:tcW w:w="953" w:type="dxa"/>
            <w:vAlign w:val="center"/>
          </w:tcPr>
          <w:p w14:paraId="7E709E6B">
            <w:pPr>
              <w:spacing w:line="360" w:lineRule="auto"/>
              <w:jc w:val="center"/>
              <w:rPr>
                <w:rFonts w:hint="eastAsia" w:ascii="仿宋" w:hAnsi="仿宋" w:eastAsia="仿宋" w:cs="仿宋"/>
                <w:szCs w:val="21"/>
                <w:highlight w:val="none"/>
              </w:rPr>
            </w:pPr>
          </w:p>
        </w:tc>
      </w:tr>
      <w:tr w14:paraId="2EE6E3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02CC09B9">
            <w:pPr>
              <w:spacing w:line="360" w:lineRule="auto"/>
              <w:jc w:val="center"/>
              <w:rPr>
                <w:rFonts w:hint="eastAsia" w:ascii="仿宋" w:hAnsi="仿宋" w:eastAsia="仿宋" w:cs="仿宋"/>
                <w:szCs w:val="21"/>
                <w:highlight w:val="none"/>
              </w:rPr>
            </w:pPr>
          </w:p>
        </w:tc>
        <w:tc>
          <w:tcPr>
            <w:tcW w:w="1226" w:type="dxa"/>
            <w:vAlign w:val="center"/>
          </w:tcPr>
          <w:p w14:paraId="71ED5020">
            <w:pPr>
              <w:spacing w:line="360" w:lineRule="auto"/>
              <w:jc w:val="center"/>
              <w:rPr>
                <w:rFonts w:hint="eastAsia" w:ascii="仿宋" w:hAnsi="仿宋" w:eastAsia="仿宋" w:cs="仿宋"/>
                <w:szCs w:val="21"/>
                <w:highlight w:val="none"/>
              </w:rPr>
            </w:pPr>
          </w:p>
        </w:tc>
        <w:tc>
          <w:tcPr>
            <w:tcW w:w="1362" w:type="dxa"/>
            <w:vAlign w:val="center"/>
          </w:tcPr>
          <w:p w14:paraId="271533D8">
            <w:pPr>
              <w:spacing w:line="360" w:lineRule="auto"/>
              <w:jc w:val="center"/>
              <w:rPr>
                <w:rFonts w:hint="eastAsia" w:ascii="仿宋" w:hAnsi="仿宋" w:eastAsia="仿宋" w:cs="仿宋"/>
                <w:szCs w:val="21"/>
                <w:highlight w:val="none"/>
              </w:rPr>
            </w:pPr>
          </w:p>
        </w:tc>
        <w:tc>
          <w:tcPr>
            <w:tcW w:w="903" w:type="dxa"/>
            <w:vAlign w:val="center"/>
          </w:tcPr>
          <w:p w14:paraId="44DFADA7">
            <w:pPr>
              <w:spacing w:line="360" w:lineRule="auto"/>
              <w:jc w:val="center"/>
              <w:rPr>
                <w:rFonts w:hint="eastAsia" w:ascii="仿宋" w:hAnsi="仿宋" w:eastAsia="仿宋" w:cs="仿宋"/>
                <w:szCs w:val="21"/>
                <w:highlight w:val="none"/>
              </w:rPr>
            </w:pPr>
          </w:p>
        </w:tc>
        <w:tc>
          <w:tcPr>
            <w:tcW w:w="817" w:type="dxa"/>
            <w:vAlign w:val="center"/>
          </w:tcPr>
          <w:p w14:paraId="3319CE07">
            <w:pPr>
              <w:spacing w:line="360" w:lineRule="auto"/>
              <w:jc w:val="center"/>
              <w:rPr>
                <w:rFonts w:hint="eastAsia" w:ascii="仿宋" w:hAnsi="仿宋" w:eastAsia="仿宋" w:cs="仿宋"/>
                <w:szCs w:val="21"/>
                <w:highlight w:val="none"/>
              </w:rPr>
            </w:pPr>
          </w:p>
        </w:tc>
        <w:tc>
          <w:tcPr>
            <w:tcW w:w="1003" w:type="dxa"/>
            <w:vAlign w:val="center"/>
          </w:tcPr>
          <w:p w14:paraId="1E921665">
            <w:pPr>
              <w:spacing w:line="360" w:lineRule="auto"/>
              <w:jc w:val="center"/>
              <w:rPr>
                <w:rFonts w:hint="eastAsia" w:ascii="仿宋" w:hAnsi="仿宋" w:eastAsia="仿宋" w:cs="仿宋"/>
                <w:szCs w:val="21"/>
                <w:highlight w:val="none"/>
              </w:rPr>
            </w:pPr>
          </w:p>
        </w:tc>
        <w:tc>
          <w:tcPr>
            <w:tcW w:w="953" w:type="dxa"/>
            <w:vAlign w:val="center"/>
          </w:tcPr>
          <w:p w14:paraId="7C1A3EAE">
            <w:pPr>
              <w:spacing w:line="360" w:lineRule="auto"/>
              <w:jc w:val="center"/>
              <w:rPr>
                <w:rFonts w:hint="eastAsia" w:ascii="仿宋" w:hAnsi="仿宋" w:eastAsia="仿宋" w:cs="仿宋"/>
                <w:szCs w:val="21"/>
                <w:highlight w:val="none"/>
              </w:rPr>
            </w:pPr>
          </w:p>
        </w:tc>
        <w:tc>
          <w:tcPr>
            <w:tcW w:w="817" w:type="dxa"/>
            <w:vAlign w:val="center"/>
          </w:tcPr>
          <w:p w14:paraId="66389BA6">
            <w:pPr>
              <w:spacing w:line="360" w:lineRule="auto"/>
              <w:jc w:val="center"/>
              <w:rPr>
                <w:rFonts w:hint="eastAsia" w:ascii="仿宋" w:hAnsi="仿宋" w:eastAsia="仿宋" w:cs="仿宋"/>
                <w:szCs w:val="21"/>
                <w:highlight w:val="none"/>
              </w:rPr>
            </w:pPr>
          </w:p>
        </w:tc>
        <w:tc>
          <w:tcPr>
            <w:tcW w:w="1428" w:type="dxa"/>
            <w:vAlign w:val="center"/>
          </w:tcPr>
          <w:p w14:paraId="386AB1B0">
            <w:pPr>
              <w:spacing w:line="360" w:lineRule="auto"/>
              <w:jc w:val="center"/>
              <w:rPr>
                <w:rFonts w:hint="eastAsia" w:ascii="仿宋" w:hAnsi="仿宋" w:eastAsia="仿宋" w:cs="仿宋"/>
                <w:szCs w:val="21"/>
                <w:highlight w:val="none"/>
              </w:rPr>
            </w:pPr>
          </w:p>
        </w:tc>
        <w:tc>
          <w:tcPr>
            <w:tcW w:w="953" w:type="dxa"/>
            <w:vAlign w:val="center"/>
          </w:tcPr>
          <w:p w14:paraId="1DD7EE79">
            <w:pPr>
              <w:spacing w:line="360" w:lineRule="auto"/>
              <w:jc w:val="center"/>
              <w:rPr>
                <w:rFonts w:hint="eastAsia" w:ascii="仿宋" w:hAnsi="仿宋" w:eastAsia="仿宋" w:cs="仿宋"/>
                <w:szCs w:val="21"/>
                <w:highlight w:val="none"/>
              </w:rPr>
            </w:pPr>
          </w:p>
        </w:tc>
      </w:tr>
      <w:tr w14:paraId="3C464A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5CFDB3F2">
            <w:pPr>
              <w:spacing w:line="360" w:lineRule="auto"/>
              <w:jc w:val="center"/>
              <w:rPr>
                <w:rFonts w:hint="eastAsia" w:ascii="仿宋" w:hAnsi="仿宋" w:eastAsia="仿宋" w:cs="仿宋"/>
                <w:szCs w:val="21"/>
                <w:highlight w:val="none"/>
              </w:rPr>
            </w:pPr>
          </w:p>
        </w:tc>
        <w:tc>
          <w:tcPr>
            <w:tcW w:w="1226" w:type="dxa"/>
            <w:vAlign w:val="center"/>
          </w:tcPr>
          <w:p w14:paraId="2C672F75">
            <w:pPr>
              <w:spacing w:line="360" w:lineRule="auto"/>
              <w:jc w:val="center"/>
              <w:rPr>
                <w:rFonts w:hint="eastAsia" w:ascii="仿宋" w:hAnsi="仿宋" w:eastAsia="仿宋" w:cs="仿宋"/>
                <w:szCs w:val="21"/>
                <w:highlight w:val="none"/>
              </w:rPr>
            </w:pPr>
          </w:p>
        </w:tc>
        <w:tc>
          <w:tcPr>
            <w:tcW w:w="1362" w:type="dxa"/>
            <w:vAlign w:val="center"/>
          </w:tcPr>
          <w:p w14:paraId="049D4D77">
            <w:pPr>
              <w:spacing w:line="360" w:lineRule="auto"/>
              <w:jc w:val="center"/>
              <w:rPr>
                <w:rFonts w:hint="eastAsia" w:ascii="仿宋" w:hAnsi="仿宋" w:eastAsia="仿宋" w:cs="仿宋"/>
                <w:szCs w:val="21"/>
                <w:highlight w:val="none"/>
              </w:rPr>
            </w:pPr>
          </w:p>
        </w:tc>
        <w:tc>
          <w:tcPr>
            <w:tcW w:w="903" w:type="dxa"/>
            <w:vAlign w:val="center"/>
          </w:tcPr>
          <w:p w14:paraId="3C25AEEC">
            <w:pPr>
              <w:spacing w:line="360" w:lineRule="auto"/>
              <w:jc w:val="center"/>
              <w:rPr>
                <w:rFonts w:hint="eastAsia" w:ascii="仿宋" w:hAnsi="仿宋" w:eastAsia="仿宋" w:cs="仿宋"/>
                <w:szCs w:val="21"/>
                <w:highlight w:val="none"/>
              </w:rPr>
            </w:pPr>
          </w:p>
        </w:tc>
        <w:tc>
          <w:tcPr>
            <w:tcW w:w="817" w:type="dxa"/>
            <w:vAlign w:val="center"/>
          </w:tcPr>
          <w:p w14:paraId="3C5C99B7">
            <w:pPr>
              <w:spacing w:line="360" w:lineRule="auto"/>
              <w:jc w:val="center"/>
              <w:rPr>
                <w:rFonts w:hint="eastAsia" w:ascii="仿宋" w:hAnsi="仿宋" w:eastAsia="仿宋" w:cs="仿宋"/>
                <w:szCs w:val="21"/>
                <w:highlight w:val="none"/>
              </w:rPr>
            </w:pPr>
          </w:p>
        </w:tc>
        <w:tc>
          <w:tcPr>
            <w:tcW w:w="1003" w:type="dxa"/>
            <w:vAlign w:val="center"/>
          </w:tcPr>
          <w:p w14:paraId="7450731C">
            <w:pPr>
              <w:spacing w:line="360" w:lineRule="auto"/>
              <w:jc w:val="center"/>
              <w:rPr>
                <w:rFonts w:hint="eastAsia" w:ascii="仿宋" w:hAnsi="仿宋" w:eastAsia="仿宋" w:cs="仿宋"/>
                <w:szCs w:val="21"/>
                <w:highlight w:val="none"/>
              </w:rPr>
            </w:pPr>
          </w:p>
        </w:tc>
        <w:tc>
          <w:tcPr>
            <w:tcW w:w="953" w:type="dxa"/>
            <w:vAlign w:val="center"/>
          </w:tcPr>
          <w:p w14:paraId="6DB4D337">
            <w:pPr>
              <w:spacing w:line="360" w:lineRule="auto"/>
              <w:jc w:val="center"/>
              <w:rPr>
                <w:rFonts w:hint="eastAsia" w:ascii="仿宋" w:hAnsi="仿宋" w:eastAsia="仿宋" w:cs="仿宋"/>
                <w:szCs w:val="21"/>
                <w:highlight w:val="none"/>
              </w:rPr>
            </w:pPr>
          </w:p>
        </w:tc>
        <w:tc>
          <w:tcPr>
            <w:tcW w:w="817" w:type="dxa"/>
            <w:vAlign w:val="center"/>
          </w:tcPr>
          <w:p w14:paraId="116243D2">
            <w:pPr>
              <w:spacing w:line="360" w:lineRule="auto"/>
              <w:jc w:val="center"/>
              <w:rPr>
                <w:rFonts w:hint="eastAsia" w:ascii="仿宋" w:hAnsi="仿宋" w:eastAsia="仿宋" w:cs="仿宋"/>
                <w:szCs w:val="21"/>
                <w:highlight w:val="none"/>
              </w:rPr>
            </w:pPr>
          </w:p>
        </w:tc>
        <w:tc>
          <w:tcPr>
            <w:tcW w:w="1428" w:type="dxa"/>
            <w:vAlign w:val="center"/>
          </w:tcPr>
          <w:p w14:paraId="7E45D0D4">
            <w:pPr>
              <w:spacing w:line="360" w:lineRule="auto"/>
              <w:jc w:val="center"/>
              <w:rPr>
                <w:rFonts w:hint="eastAsia" w:ascii="仿宋" w:hAnsi="仿宋" w:eastAsia="仿宋" w:cs="仿宋"/>
                <w:szCs w:val="21"/>
                <w:highlight w:val="none"/>
              </w:rPr>
            </w:pPr>
          </w:p>
        </w:tc>
        <w:tc>
          <w:tcPr>
            <w:tcW w:w="953" w:type="dxa"/>
            <w:vAlign w:val="center"/>
          </w:tcPr>
          <w:p w14:paraId="67F1F044">
            <w:pPr>
              <w:spacing w:line="360" w:lineRule="auto"/>
              <w:jc w:val="center"/>
              <w:rPr>
                <w:rFonts w:hint="eastAsia" w:ascii="仿宋" w:hAnsi="仿宋" w:eastAsia="仿宋" w:cs="仿宋"/>
                <w:szCs w:val="21"/>
                <w:highlight w:val="none"/>
              </w:rPr>
            </w:pPr>
          </w:p>
        </w:tc>
      </w:tr>
      <w:tr w14:paraId="159E2A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55A18578">
            <w:pPr>
              <w:spacing w:line="360" w:lineRule="auto"/>
              <w:jc w:val="center"/>
              <w:rPr>
                <w:rFonts w:hint="eastAsia" w:ascii="仿宋" w:hAnsi="仿宋" w:eastAsia="仿宋" w:cs="仿宋"/>
                <w:szCs w:val="21"/>
                <w:highlight w:val="none"/>
              </w:rPr>
            </w:pPr>
          </w:p>
        </w:tc>
        <w:tc>
          <w:tcPr>
            <w:tcW w:w="1226" w:type="dxa"/>
            <w:vAlign w:val="center"/>
          </w:tcPr>
          <w:p w14:paraId="75E81B83">
            <w:pPr>
              <w:spacing w:line="360" w:lineRule="auto"/>
              <w:jc w:val="center"/>
              <w:rPr>
                <w:rFonts w:hint="eastAsia" w:ascii="仿宋" w:hAnsi="仿宋" w:eastAsia="仿宋" w:cs="仿宋"/>
                <w:szCs w:val="21"/>
                <w:highlight w:val="none"/>
              </w:rPr>
            </w:pPr>
          </w:p>
        </w:tc>
        <w:tc>
          <w:tcPr>
            <w:tcW w:w="1362" w:type="dxa"/>
            <w:vAlign w:val="center"/>
          </w:tcPr>
          <w:p w14:paraId="76EE9B36">
            <w:pPr>
              <w:spacing w:line="360" w:lineRule="auto"/>
              <w:jc w:val="center"/>
              <w:rPr>
                <w:rFonts w:hint="eastAsia" w:ascii="仿宋" w:hAnsi="仿宋" w:eastAsia="仿宋" w:cs="仿宋"/>
                <w:szCs w:val="21"/>
                <w:highlight w:val="none"/>
              </w:rPr>
            </w:pPr>
          </w:p>
        </w:tc>
        <w:tc>
          <w:tcPr>
            <w:tcW w:w="903" w:type="dxa"/>
            <w:vAlign w:val="center"/>
          </w:tcPr>
          <w:p w14:paraId="6DFF84C0">
            <w:pPr>
              <w:spacing w:line="360" w:lineRule="auto"/>
              <w:jc w:val="center"/>
              <w:rPr>
                <w:rFonts w:hint="eastAsia" w:ascii="仿宋" w:hAnsi="仿宋" w:eastAsia="仿宋" w:cs="仿宋"/>
                <w:szCs w:val="21"/>
                <w:highlight w:val="none"/>
              </w:rPr>
            </w:pPr>
          </w:p>
        </w:tc>
        <w:tc>
          <w:tcPr>
            <w:tcW w:w="817" w:type="dxa"/>
            <w:vAlign w:val="center"/>
          </w:tcPr>
          <w:p w14:paraId="6EB5D725">
            <w:pPr>
              <w:spacing w:line="360" w:lineRule="auto"/>
              <w:jc w:val="center"/>
              <w:rPr>
                <w:rFonts w:hint="eastAsia" w:ascii="仿宋" w:hAnsi="仿宋" w:eastAsia="仿宋" w:cs="仿宋"/>
                <w:szCs w:val="21"/>
                <w:highlight w:val="none"/>
              </w:rPr>
            </w:pPr>
          </w:p>
        </w:tc>
        <w:tc>
          <w:tcPr>
            <w:tcW w:w="1003" w:type="dxa"/>
            <w:vAlign w:val="center"/>
          </w:tcPr>
          <w:p w14:paraId="111B4AA8">
            <w:pPr>
              <w:spacing w:line="360" w:lineRule="auto"/>
              <w:jc w:val="center"/>
              <w:rPr>
                <w:rFonts w:hint="eastAsia" w:ascii="仿宋" w:hAnsi="仿宋" w:eastAsia="仿宋" w:cs="仿宋"/>
                <w:szCs w:val="21"/>
                <w:highlight w:val="none"/>
              </w:rPr>
            </w:pPr>
          </w:p>
        </w:tc>
        <w:tc>
          <w:tcPr>
            <w:tcW w:w="953" w:type="dxa"/>
            <w:vAlign w:val="center"/>
          </w:tcPr>
          <w:p w14:paraId="5FF5050C">
            <w:pPr>
              <w:spacing w:line="360" w:lineRule="auto"/>
              <w:jc w:val="center"/>
              <w:rPr>
                <w:rFonts w:hint="eastAsia" w:ascii="仿宋" w:hAnsi="仿宋" w:eastAsia="仿宋" w:cs="仿宋"/>
                <w:szCs w:val="21"/>
                <w:highlight w:val="none"/>
              </w:rPr>
            </w:pPr>
          </w:p>
        </w:tc>
        <w:tc>
          <w:tcPr>
            <w:tcW w:w="817" w:type="dxa"/>
            <w:vAlign w:val="center"/>
          </w:tcPr>
          <w:p w14:paraId="736B299A">
            <w:pPr>
              <w:spacing w:line="360" w:lineRule="auto"/>
              <w:jc w:val="center"/>
              <w:rPr>
                <w:rFonts w:hint="eastAsia" w:ascii="仿宋" w:hAnsi="仿宋" w:eastAsia="仿宋" w:cs="仿宋"/>
                <w:szCs w:val="21"/>
                <w:highlight w:val="none"/>
              </w:rPr>
            </w:pPr>
          </w:p>
        </w:tc>
        <w:tc>
          <w:tcPr>
            <w:tcW w:w="1428" w:type="dxa"/>
            <w:vAlign w:val="center"/>
          </w:tcPr>
          <w:p w14:paraId="62D0BCBC">
            <w:pPr>
              <w:spacing w:line="360" w:lineRule="auto"/>
              <w:jc w:val="center"/>
              <w:rPr>
                <w:rFonts w:hint="eastAsia" w:ascii="仿宋" w:hAnsi="仿宋" w:eastAsia="仿宋" w:cs="仿宋"/>
                <w:szCs w:val="21"/>
                <w:highlight w:val="none"/>
              </w:rPr>
            </w:pPr>
          </w:p>
        </w:tc>
        <w:tc>
          <w:tcPr>
            <w:tcW w:w="953" w:type="dxa"/>
            <w:vAlign w:val="center"/>
          </w:tcPr>
          <w:p w14:paraId="074A7046">
            <w:pPr>
              <w:spacing w:line="360" w:lineRule="auto"/>
              <w:jc w:val="center"/>
              <w:rPr>
                <w:rFonts w:hint="eastAsia" w:ascii="仿宋" w:hAnsi="仿宋" w:eastAsia="仿宋" w:cs="仿宋"/>
                <w:szCs w:val="21"/>
                <w:highlight w:val="none"/>
              </w:rPr>
            </w:pPr>
          </w:p>
        </w:tc>
      </w:tr>
      <w:tr w14:paraId="78E136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5A673D1A">
            <w:pPr>
              <w:spacing w:line="360" w:lineRule="auto"/>
              <w:jc w:val="center"/>
              <w:rPr>
                <w:rFonts w:hint="eastAsia" w:ascii="仿宋" w:hAnsi="仿宋" w:eastAsia="仿宋" w:cs="仿宋"/>
                <w:szCs w:val="21"/>
                <w:highlight w:val="none"/>
              </w:rPr>
            </w:pPr>
          </w:p>
        </w:tc>
        <w:tc>
          <w:tcPr>
            <w:tcW w:w="1226" w:type="dxa"/>
            <w:vAlign w:val="center"/>
          </w:tcPr>
          <w:p w14:paraId="5C81571B">
            <w:pPr>
              <w:spacing w:line="360" w:lineRule="auto"/>
              <w:jc w:val="center"/>
              <w:rPr>
                <w:rFonts w:hint="eastAsia" w:ascii="仿宋" w:hAnsi="仿宋" w:eastAsia="仿宋" w:cs="仿宋"/>
                <w:szCs w:val="21"/>
                <w:highlight w:val="none"/>
              </w:rPr>
            </w:pPr>
          </w:p>
        </w:tc>
        <w:tc>
          <w:tcPr>
            <w:tcW w:w="1362" w:type="dxa"/>
            <w:vAlign w:val="center"/>
          </w:tcPr>
          <w:p w14:paraId="4ECAA3B7">
            <w:pPr>
              <w:spacing w:line="360" w:lineRule="auto"/>
              <w:jc w:val="center"/>
              <w:rPr>
                <w:rFonts w:hint="eastAsia" w:ascii="仿宋" w:hAnsi="仿宋" w:eastAsia="仿宋" w:cs="仿宋"/>
                <w:szCs w:val="21"/>
                <w:highlight w:val="none"/>
              </w:rPr>
            </w:pPr>
          </w:p>
        </w:tc>
        <w:tc>
          <w:tcPr>
            <w:tcW w:w="903" w:type="dxa"/>
            <w:vAlign w:val="center"/>
          </w:tcPr>
          <w:p w14:paraId="4A9F2B8A">
            <w:pPr>
              <w:spacing w:line="360" w:lineRule="auto"/>
              <w:jc w:val="center"/>
              <w:rPr>
                <w:rFonts w:hint="eastAsia" w:ascii="仿宋" w:hAnsi="仿宋" w:eastAsia="仿宋" w:cs="仿宋"/>
                <w:szCs w:val="21"/>
                <w:highlight w:val="none"/>
              </w:rPr>
            </w:pPr>
          </w:p>
        </w:tc>
        <w:tc>
          <w:tcPr>
            <w:tcW w:w="817" w:type="dxa"/>
            <w:vAlign w:val="center"/>
          </w:tcPr>
          <w:p w14:paraId="1BB09EE7">
            <w:pPr>
              <w:spacing w:line="360" w:lineRule="auto"/>
              <w:jc w:val="center"/>
              <w:rPr>
                <w:rFonts w:hint="eastAsia" w:ascii="仿宋" w:hAnsi="仿宋" w:eastAsia="仿宋" w:cs="仿宋"/>
                <w:szCs w:val="21"/>
                <w:highlight w:val="none"/>
              </w:rPr>
            </w:pPr>
          </w:p>
        </w:tc>
        <w:tc>
          <w:tcPr>
            <w:tcW w:w="1003" w:type="dxa"/>
            <w:vAlign w:val="center"/>
          </w:tcPr>
          <w:p w14:paraId="0B6FAC9C">
            <w:pPr>
              <w:spacing w:line="360" w:lineRule="auto"/>
              <w:jc w:val="center"/>
              <w:rPr>
                <w:rFonts w:hint="eastAsia" w:ascii="仿宋" w:hAnsi="仿宋" w:eastAsia="仿宋" w:cs="仿宋"/>
                <w:szCs w:val="21"/>
                <w:highlight w:val="none"/>
              </w:rPr>
            </w:pPr>
          </w:p>
        </w:tc>
        <w:tc>
          <w:tcPr>
            <w:tcW w:w="953" w:type="dxa"/>
            <w:vAlign w:val="center"/>
          </w:tcPr>
          <w:p w14:paraId="670E7F66">
            <w:pPr>
              <w:spacing w:line="360" w:lineRule="auto"/>
              <w:jc w:val="center"/>
              <w:rPr>
                <w:rFonts w:hint="eastAsia" w:ascii="仿宋" w:hAnsi="仿宋" w:eastAsia="仿宋" w:cs="仿宋"/>
                <w:szCs w:val="21"/>
                <w:highlight w:val="none"/>
              </w:rPr>
            </w:pPr>
          </w:p>
        </w:tc>
        <w:tc>
          <w:tcPr>
            <w:tcW w:w="817" w:type="dxa"/>
            <w:vAlign w:val="center"/>
          </w:tcPr>
          <w:p w14:paraId="0E413C9A">
            <w:pPr>
              <w:spacing w:line="360" w:lineRule="auto"/>
              <w:jc w:val="center"/>
              <w:rPr>
                <w:rFonts w:hint="eastAsia" w:ascii="仿宋" w:hAnsi="仿宋" w:eastAsia="仿宋" w:cs="仿宋"/>
                <w:szCs w:val="21"/>
                <w:highlight w:val="none"/>
              </w:rPr>
            </w:pPr>
          </w:p>
        </w:tc>
        <w:tc>
          <w:tcPr>
            <w:tcW w:w="1428" w:type="dxa"/>
            <w:vAlign w:val="center"/>
          </w:tcPr>
          <w:p w14:paraId="670B86C1">
            <w:pPr>
              <w:spacing w:line="360" w:lineRule="auto"/>
              <w:jc w:val="center"/>
              <w:rPr>
                <w:rFonts w:hint="eastAsia" w:ascii="仿宋" w:hAnsi="仿宋" w:eastAsia="仿宋" w:cs="仿宋"/>
                <w:szCs w:val="21"/>
                <w:highlight w:val="none"/>
              </w:rPr>
            </w:pPr>
          </w:p>
        </w:tc>
        <w:tc>
          <w:tcPr>
            <w:tcW w:w="953" w:type="dxa"/>
            <w:vAlign w:val="center"/>
          </w:tcPr>
          <w:p w14:paraId="23CB259E">
            <w:pPr>
              <w:spacing w:line="360" w:lineRule="auto"/>
              <w:jc w:val="center"/>
              <w:rPr>
                <w:rFonts w:hint="eastAsia" w:ascii="仿宋" w:hAnsi="仿宋" w:eastAsia="仿宋" w:cs="仿宋"/>
                <w:szCs w:val="21"/>
                <w:highlight w:val="none"/>
              </w:rPr>
            </w:pPr>
          </w:p>
        </w:tc>
      </w:tr>
      <w:tr w14:paraId="1FCFEC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36F8700B">
            <w:pPr>
              <w:spacing w:line="360" w:lineRule="auto"/>
              <w:jc w:val="center"/>
              <w:rPr>
                <w:rFonts w:hint="eastAsia" w:ascii="仿宋" w:hAnsi="仿宋" w:eastAsia="仿宋" w:cs="仿宋"/>
                <w:szCs w:val="21"/>
                <w:highlight w:val="none"/>
              </w:rPr>
            </w:pPr>
          </w:p>
        </w:tc>
        <w:tc>
          <w:tcPr>
            <w:tcW w:w="1226" w:type="dxa"/>
            <w:vAlign w:val="center"/>
          </w:tcPr>
          <w:p w14:paraId="6892A875">
            <w:pPr>
              <w:spacing w:line="360" w:lineRule="auto"/>
              <w:jc w:val="center"/>
              <w:rPr>
                <w:rFonts w:hint="eastAsia" w:ascii="仿宋" w:hAnsi="仿宋" w:eastAsia="仿宋" w:cs="仿宋"/>
                <w:szCs w:val="21"/>
                <w:highlight w:val="none"/>
              </w:rPr>
            </w:pPr>
          </w:p>
        </w:tc>
        <w:tc>
          <w:tcPr>
            <w:tcW w:w="1362" w:type="dxa"/>
            <w:vAlign w:val="center"/>
          </w:tcPr>
          <w:p w14:paraId="19353ACC">
            <w:pPr>
              <w:spacing w:line="360" w:lineRule="auto"/>
              <w:jc w:val="center"/>
              <w:rPr>
                <w:rFonts w:hint="eastAsia" w:ascii="仿宋" w:hAnsi="仿宋" w:eastAsia="仿宋" w:cs="仿宋"/>
                <w:szCs w:val="21"/>
                <w:highlight w:val="none"/>
              </w:rPr>
            </w:pPr>
          </w:p>
        </w:tc>
        <w:tc>
          <w:tcPr>
            <w:tcW w:w="903" w:type="dxa"/>
            <w:vAlign w:val="center"/>
          </w:tcPr>
          <w:p w14:paraId="73C33119">
            <w:pPr>
              <w:spacing w:line="360" w:lineRule="auto"/>
              <w:jc w:val="center"/>
              <w:rPr>
                <w:rFonts w:hint="eastAsia" w:ascii="仿宋" w:hAnsi="仿宋" w:eastAsia="仿宋" w:cs="仿宋"/>
                <w:szCs w:val="21"/>
                <w:highlight w:val="none"/>
              </w:rPr>
            </w:pPr>
          </w:p>
        </w:tc>
        <w:tc>
          <w:tcPr>
            <w:tcW w:w="817" w:type="dxa"/>
            <w:vAlign w:val="center"/>
          </w:tcPr>
          <w:p w14:paraId="3615F511">
            <w:pPr>
              <w:spacing w:line="360" w:lineRule="auto"/>
              <w:jc w:val="center"/>
              <w:rPr>
                <w:rFonts w:hint="eastAsia" w:ascii="仿宋" w:hAnsi="仿宋" w:eastAsia="仿宋" w:cs="仿宋"/>
                <w:szCs w:val="21"/>
                <w:highlight w:val="none"/>
              </w:rPr>
            </w:pPr>
          </w:p>
        </w:tc>
        <w:tc>
          <w:tcPr>
            <w:tcW w:w="1003" w:type="dxa"/>
            <w:vAlign w:val="center"/>
          </w:tcPr>
          <w:p w14:paraId="4D6F41B3">
            <w:pPr>
              <w:spacing w:line="360" w:lineRule="auto"/>
              <w:jc w:val="center"/>
              <w:rPr>
                <w:rFonts w:hint="eastAsia" w:ascii="仿宋" w:hAnsi="仿宋" w:eastAsia="仿宋" w:cs="仿宋"/>
                <w:szCs w:val="21"/>
                <w:highlight w:val="none"/>
              </w:rPr>
            </w:pPr>
          </w:p>
        </w:tc>
        <w:tc>
          <w:tcPr>
            <w:tcW w:w="953" w:type="dxa"/>
            <w:vAlign w:val="center"/>
          </w:tcPr>
          <w:p w14:paraId="1B2F9140">
            <w:pPr>
              <w:spacing w:line="360" w:lineRule="auto"/>
              <w:jc w:val="center"/>
              <w:rPr>
                <w:rFonts w:hint="eastAsia" w:ascii="仿宋" w:hAnsi="仿宋" w:eastAsia="仿宋" w:cs="仿宋"/>
                <w:szCs w:val="21"/>
                <w:highlight w:val="none"/>
              </w:rPr>
            </w:pPr>
          </w:p>
        </w:tc>
        <w:tc>
          <w:tcPr>
            <w:tcW w:w="817" w:type="dxa"/>
            <w:vAlign w:val="center"/>
          </w:tcPr>
          <w:p w14:paraId="60D5863F">
            <w:pPr>
              <w:spacing w:line="360" w:lineRule="auto"/>
              <w:jc w:val="center"/>
              <w:rPr>
                <w:rFonts w:hint="eastAsia" w:ascii="仿宋" w:hAnsi="仿宋" w:eastAsia="仿宋" w:cs="仿宋"/>
                <w:szCs w:val="21"/>
                <w:highlight w:val="none"/>
              </w:rPr>
            </w:pPr>
          </w:p>
        </w:tc>
        <w:tc>
          <w:tcPr>
            <w:tcW w:w="1428" w:type="dxa"/>
            <w:vAlign w:val="center"/>
          </w:tcPr>
          <w:p w14:paraId="4AE2F19D">
            <w:pPr>
              <w:spacing w:line="360" w:lineRule="auto"/>
              <w:jc w:val="center"/>
              <w:rPr>
                <w:rFonts w:hint="eastAsia" w:ascii="仿宋" w:hAnsi="仿宋" w:eastAsia="仿宋" w:cs="仿宋"/>
                <w:szCs w:val="21"/>
                <w:highlight w:val="none"/>
              </w:rPr>
            </w:pPr>
          </w:p>
        </w:tc>
        <w:tc>
          <w:tcPr>
            <w:tcW w:w="953" w:type="dxa"/>
            <w:vAlign w:val="center"/>
          </w:tcPr>
          <w:p w14:paraId="79824BF1">
            <w:pPr>
              <w:spacing w:line="360" w:lineRule="auto"/>
              <w:jc w:val="center"/>
              <w:rPr>
                <w:rFonts w:hint="eastAsia" w:ascii="仿宋" w:hAnsi="仿宋" w:eastAsia="仿宋" w:cs="仿宋"/>
                <w:szCs w:val="21"/>
                <w:highlight w:val="none"/>
              </w:rPr>
            </w:pPr>
          </w:p>
        </w:tc>
      </w:tr>
      <w:tr w14:paraId="5447EC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4965E2EE">
            <w:pPr>
              <w:spacing w:line="360" w:lineRule="auto"/>
              <w:jc w:val="center"/>
              <w:rPr>
                <w:rFonts w:hint="eastAsia" w:ascii="仿宋" w:hAnsi="仿宋" w:eastAsia="仿宋" w:cs="仿宋"/>
                <w:szCs w:val="21"/>
                <w:highlight w:val="none"/>
              </w:rPr>
            </w:pPr>
          </w:p>
        </w:tc>
        <w:tc>
          <w:tcPr>
            <w:tcW w:w="1226" w:type="dxa"/>
            <w:vAlign w:val="center"/>
          </w:tcPr>
          <w:p w14:paraId="5E95F82A">
            <w:pPr>
              <w:spacing w:line="360" w:lineRule="auto"/>
              <w:jc w:val="center"/>
              <w:rPr>
                <w:rFonts w:hint="eastAsia" w:ascii="仿宋" w:hAnsi="仿宋" w:eastAsia="仿宋" w:cs="仿宋"/>
                <w:szCs w:val="21"/>
                <w:highlight w:val="none"/>
              </w:rPr>
            </w:pPr>
          </w:p>
        </w:tc>
        <w:tc>
          <w:tcPr>
            <w:tcW w:w="1362" w:type="dxa"/>
            <w:vAlign w:val="center"/>
          </w:tcPr>
          <w:p w14:paraId="480BDB9C">
            <w:pPr>
              <w:spacing w:line="360" w:lineRule="auto"/>
              <w:jc w:val="center"/>
              <w:rPr>
                <w:rFonts w:hint="eastAsia" w:ascii="仿宋" w:hAnsi="仿宋" w:eastAsia="仿宋" w:cs="仿宋"/>
                <w:szCs w:val="21"/>
                <w:highlight w:val="none"/>
              </w:rPr>
            </w:pPr>
          </w:p>
        </w:tc>
        <w:tc>
          <w:tcPr>
            <w:tcW w:w="903" w:type="dxa"/>
            <w:vAlign w:val="center"/>
          </w:tcPr>
          <w:p w14:paraId="20F32ED9">
            <w:pPr>
              <w:spacing w:line="360" w:lineRule="auto"/>
              <w:jc w:val="center"/>
              <w:rPr>
                <w:rFonts w:hint="eastAsia" w:ascii="仿宋" w:hAnsi="仿宋" w:eastAsia="仿宋" w:cs="仿宋"/>
                <w:szCs w:val="21"/>
                <w:highlight w:val="none"/>
              </w:rPr>
            </w:pPr>
          </w:p>
        </w:tc>
        <w:tc>
          <w:tcPr>
            <w:tcW w:w="817" w:type="dxa"/>
            <w:vAlign w:val="center"/>
          </w:tcPr>
          <w:p w14:paraId="74001210">
            <w:pPr>
              <w:spacing w:line="360" w:lineRule="auto"/>
              <w:jc w:val="center"/>
              <w:rPr>
                <w:rFonts w:hint="eastAsia" w:ascii="仿宋" w:hAnsi="仿宋" w:eastAsia="仿宋" w:cs="仿宋"/>
                <w:szCs w:val="21"/>
                <w:highlight w:val="none"/>
              </w:rPr>
            </w:pPr>
          </w:p>
        </w:tc>
        <w:tc>
          <w:tcPr>
            <w:tcW w:w="1003" w:type="dxa"/>
            <w:vAlign w:val="center"/>
          </w:tcPr>
          <w:p w14:paraId="5DA5F0F1">
            <w:pPr>
              <w:spacing w:line="360" w:lineRule="auto"/>
              <w:jc w:val="center"/>
              <w:rPr>
                <w:rFonts w:hint="eastAsia" w:ascii="仿宋" w:hAnsi="仿宋" w:eastAsia="仿宋" w:cs="仿宋"/>
                <w:szCs w:val="21"/>
                <w:highlight w:val="none"/>
              </w:rPr>
            </w:pPr>
          </w:p>
        </w:tc>
        <w:tc>
          <w:tcPr>
            <w:tcW w:w="953" w:type="dxa"/>
            <w:vAlign w:val="center"/>
          </w:tcPr>
          <w:p w14:paraId="00849CC5">
            <w:pPr>
              <w:spacing w:line="360" w:lineRule="auto"/>
              <w:jc w:val="center"/>
              <w:rPr>
                <w:rFonts w:hint="eastAsia" w:ascii="仿宋" w:hAnsi="仿宋" w:eastAsia="仿宋" w:cs="仿宋"/>
                <w:szCs w:val="21"/>
                <w:highlight w:val="none"/>
              </w:rPr>
            </w:pPr>
          </w:p>
        </w:tc>
        <w:tc>
          <w:tcPr>
            <w:tcW w:w="817" w:type="dxa"/>
            <w:vAlign w:val="center"/>
          </w:tcPr>
          <w:p w14:paraId="49711E4D">
            <w:pPr>
              <w:spacing w:line="360" w:lineRule="auto"/>
              <w:jc w:val="center"/>
              <w:rPr>
                <w:rFonts w:hint="eastAsia" w:ascii="仿宋" w:hAnsi="仿宋" w:eastAsia="仿宋" w:cs="仿宋"/>
                <w:szCs w:val="21"/>
                <w:highlight w:val="none"/>
              </w:rPr>
            </w:pPr>
          </w:p>
        </w:tc>
        <w:tc>
          <w:tcPr>
            <w:tcW w:w="1428" w:type="dxa"/>
            <w:vAlign w:val="center"/>
          </w:tcPr>
          <w:p w14:paraId="6F228FF9">
            <w:pPr>
              <w:spacing w:line="360" w:lineRule="auto"/>
              <w:jc w:val="center"/>
              <w:rPr>
                <w:rFonts w:hint="eastAsia" w:ascii="仿宋" w:hAnsi="仿宋" w:eastAsia="仿宋" w:cs="仿宋"/>
                <w:szCs w:val="21"/>
                <w:highlight w:val="none"/>
              </w:rPr>
            </w:pPr>
          </w:p>
        </w:tc>
        <w:tc>
          <w:tcPr>
            <w:tcW w:w="953" w:type="dxa"/>
            <w:vAlign w:val="center"/>
          </w:tcPr>
          <w:p w14:paraId="36FC8E32">
            <w:pPr>
              <w:spacing w:line="360" w:lineRule="auto"/>
              <w:jc w:val="center"/>
              <w:rPr>
                <w:rFonts w:hint="eastAsia" w:ascii="仿宋" w:hAnsi="仿宋" w:eastAsia="仿宋" w:cs="仿宋"/>
                <w:szCs w:val="21"/>
                <w:highlight w:val="none"/>
              </w:rPr>
            </w:pPr>
          </w:p>
        </w:tc>
      </w:tr>
      <w:tr w14:paraId="692FA0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17" w:type="dxa"/>
            <w:vAlign w:val="center"/>
          </w:tcPr>
          <w:p w14:paraId="6CADA9D0">
            <w:pPr>
              <w:spacing w:line="360" w:lineRule="auto"/>
              <w:jc w:val="center"/>
              <w:rPr>
                <w:rFonts w:hint="eastAsia" w:ascii="仿宋" w:hAnsi="仿宋" w:eastAsia="仿宋" w:cs="仿宋"/>
                <w:szCs w:val="21"/>
                <w:highlight w:val="none"/>
              </w:rPr>
            </w:pPr>
          </w:p>
        </w:tc>
        <w:tc>
          <w:tcPr>
            <w:tcW w:w="1226" w:type="dxa"/>
            <w:vAlign w:val="center"/>
          </w:tcPr>
          <w:p w14:paraId="19BB1E54">
            <w:pPr>
              <w:spacing w:line="360" w:lineRule="auto"/>
              <w:jc w:val="center"/>
              <w:rPr>
                <w:rFonts w:hint="eastAsia" w:ascii="仿宋" w:hAnsi="仿宋" w:eastAsia="仿宋" w:cs="仿宋"/>
                <w:szCs w:val="21"/>
                <w:highlight w:val="none"/>
              </w:rPr>
            </w:pPr>
          </w:p>
        </w:tc>
        <w:tc>
          <w:tcPr>
            <w:tcW w:w="1362" w:type="dxa"/>
            <w:vAlign w:val="center"/>
          </w:tcPr>
          <w:p w14:paraId="7245D583">
            <w:pPr>
              <w:spacing w:line="360" w:lineRule="auto"/>
              <w:jc w:val="center"/>
              <w:rPr>
                <w:rFonts w:hint="eastAsia" w:ascii="仿宋" w:hAnsi="仿宋" w:eastAsia="仿宋" w:cs="仿宋"/>
                <w:szCs w:val="21"/>
                <w:highlight w:val="none"/>
              </w:rPr>
            </w:pPr>
          </w:p>
        </w:tc>
        <w:tc>
          <w:tcPr>
            <w:tcW w:w="903" w:type="dxa"/>
            <w:vAlign w:val="center"/>
          </w:tcPr>
          <w:p w14:paraId="1B43A13F">
            <w:pPr>
              <w:spacing w:line="360" w:lineRule="auto"/>
              <w:jc w:val="center"/>
              <w:rPr>
                <w:rFonts w:hint="eastAsia" w:ascii="仿宋" w:hAnsi="仿宋" w:eastAsia="仿宋" w:cs="仿宋"/>
                <w:szCs w:val="21"/>
                <w:highlight w:val="none"/>
              </w:rPr>
            </w:pPr>
          </w:p>
        </w:tc>
        <w:tc>
          <w:tcPr>
            <w:tcW w:w="817" w:type="dxa"/>
            <w:vAlign w:val="center"/>
          </w:tcPr>
          <w:p w14:paraId="10C3B41C">
            <w:pPr>
              <w:spacing w:line="360" w:lineRule="auto"/>
              <w:jc w:val="center"/>
              <w:rPr>
                <w:rFonts w:hint="eastAsia" w:ascii="仿宋" w:hAnsi="仿宋" w:eastAsia="仿宋" w:cs="仿宋"/>
                <w:szCs w:val="21"/>
                <w:highlight w:val="none"/>
              </w:rPr>
            </w:pPr>
          </w:p>
        </w:tc>
        <w:tc>
          <w:tcPr>
            <w:tcW w:w="1003" w:type="dxa"/>
            <w:vAlign w:val="center"/>
          </w:tcPr>
          <w:p w14:paraId="0AD4E142">
            <w:pPr>
              <w:spacing w:line="360" w:lineRule="auto"/>
              <w:jc w:val="center"/>
              <w:rPr>
                <w:rFonts w:hint="eastAsia" w:ascii="仿宋" w:hAnsi="仿宋" w:eastAsia="仿宋" w:cs="仿宋"/>
                <w:szCs w:val="21"/>
                <w:highlight w:val="none"/>
              </w:rPr>
            </w:pPr>
          </w:p>
        </w:tc>
        <w:tc>
          <w:tcPr>
            <w:tcW w:w="953" w:type="dxa"/>
            <w:vAlign w:val="center"/>
          </w:tcPr>
          <w:p w14:paraId="2E3FF429">
            <w:pPr>
              <w:spacing w:line="360" w:lineRule="auto"/>
              <w:jc w:val="center"/>
              <w:rPr>
                <w:rFonts w:hint="eastAsia" w:ascii="仿宋" w:hAnsi="仿宋" w:eastAsia="仿宋" w:cs="仿宋"/>
                <w:szCs w:val="21"/>
                <w:highlight w:val="none"/>
              </w:rPr>
            </w:pPr>
          </w:p>
        </w:tc>
        <w:tc>
          <w:tcPr>
            <w:tcW w:w="817" w:type="dxa"/>
            <w:vAlign w:val="center"/>
          </w:tcPr>
          <w:p w14:paraId="36140675">
            <w:pPr>
              <w:spacing w:line="360" w:lineRule="auto"/>
              <w:jc w:val="center"/>
              <w:rPr>
                <w:rFonts w:hint="eastAsia" w:ascii="仿宋" w:hAnsi="仿宋" w:eastAsia="仿宋" w:cs="仿宋"/>
                <w:szCs w:val="21"/>
                <w:highlight w:val="none"/>
              </w:rPr>
            </w:pPr>
          </w:p>
        </w:tc>
        <w:tc>
          <w:tcPr>
            <w:tcW w:w="1428" w:type="dxa"/>
            <w:vAlign w:val="center"/>
          </w:tcPr>
          <w:p w14:paraId="5F256F74">
            <w:pPr>
              <w:spacing w:line="360" w:lineRule="auto"/>
              <w:jc w:val="center"/>
              <w:rPr>
                <w:rFonts w:hint="eastAsia" w:ascii="仿宋" w:hAnsi="仿宋" w:eastAsia="仿宋" w:cs="仿宋"/>
                <w:szCs w:val="21"/>
                <w:highlight w:val="none"/>
              </w:rPr>
            </w:pPr>
          </w:p>
        </w:tc>
        <w:tc>
          <w:tcPr>
            <w:tcW w:w="953" w:type="dxa"/>
            <w:vAlign w:val="center"/>
          </w:tcPr>
          <w:p w14:paraId="71F16A62">
            <w:pPr>
              <w:spacing w:line="360" w:lineRule="auto"/>
              <w:jc w:val="center"/>
              <w:rPr>
                <w:rFonts w:hint="eastAsia" w:ascii="仿宋" w:hAnsi="仿宋" w:eastAsia="仿宋" w:cs="仿宋"/>
                <w:szCs w:val="21"/>
                <w:highlight w:val="none"/>
              </w:rPr>
            </w:pPr>
          </w:p>
        </w:tc>
      </w:tr>
    </w:tbl>
    <w:p w14:paraId="7E25B924">
      <w:pPr>
        <w:spacing w:line="360" w:lineRule="auto"/>
        <w:rPr>
          <w:rFonts w:hint="eastAsia" w:ascii="仿宋" w:hAnsi="仿宋" w:eastAsia="仿宋" w:cs="仿宋"/>
          <w:szCs w:val="21"/>
          <w:highlight w:val="none"/>
        </w:rPr>
      </w:pPr>
    </w:p>
    <w:p w14:paraId="74825D56">
      <w:pPr>
        <w:spacing w:beforeLines="50" w:afterLines="50" w:line="360" w:lineRule="auto"/>
        <w:jc w:val="left"/>
        <w:outlineLvl w:val="1"/>
        <w:rPr>
          <w:rFonts w:hint="eastAsia" w:ascii="仿宋" w:hAnsi="仿宋" w:eastAsia="仿宋" w:cs="仿宋"/>
          <w:b/>
          <w:bCs/>
          <w:szCs w:val="21"/>
          <w:highlight w:val="none"/>
        </w:rPr>
      </w:pPr>
      <w:r>
        <w:rPr>
          <w:rFonts w:hint="eastAsia" w:ascii="仿宋" w:hAnsi="仿宋" w:eastAsia="仿宋" w:cs="仿宋"/>
          <w:b/>
          <w:bCs/>
          <w:szCs w:val="21"/>
          <w:highlight w:val="none"/>
        </w:rPr>
        <w:t>附</w:t>
      </w:r>
      <w:bookmarkStart w:id="1253" w:name="_Toc296891266"/>
      <w:bookmarkStart w:id="1254" w:name="_Toc296346727"/>
      <w:bookmarkStart w:id="1255" w:name="_Toc267261693"/>
      <w:bookmarkStart w:id="1256" w:name="_Toc296944565"/>
      <w:bookmarkStart w:id="1257" w:name="_Toc296891054"/>
      <w:bookmarkStart w:id="1258" w:name="_Toc296503226"/>
      <w:bookmarkStart w:id="1259" w:name="_Toc296347225"/>
      <w:r>
        <w:rPr>
          <w:rFonts w:hint="eastAsia" w:ascii="仿宋" w:hAnsi="仿宋" w:eastAsia="仿宋" w:cs="仿宋"/>
          <w:b/>
          <w:bCs/>
          <w:szCs w:val="21"/>
          <w:highlight w:val="none"/>
        </w:rPr>
        <w:t>件3：</w:t>
      </w:r>
      <w:bookmarkEnd w:id="1253"/>
      <w:bookmarkEnd w:id="1254"/>
      <w:bookmarkEnd w:id="1255"/>
      <w:bookmarkEnd w:id="1256"/>
      <w:bookmarkEnd w:id="1257"/>
      <w:bookmarkEnd w:id="1258"/>
      <w:bookmarkEnd w:id="1259"/>
      <w:r>
        <w:rPr>
          <w:rFonts w:hint="eastAsia" w:ascii="仿宋" w:hAnsi="仿宋" w:eastAsia="仿宋" w:cs="仿宋"/>
          <w:b/>
          <w:bCs/>
          <w:szCs w:val="21"/>
          <w:highlight w:val="none"/>
        </w:rPr>
        <w:t xml:space="preserve">    </w:t>
      </w:r>
    </w:p>
    <w:p w14:paraId="2BCE345D">
      <w:pPr>
        <w:spacing w:beforeLines="50" w:afterLines="50"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工程质量保修书</w:t>
      </w:r>
    </w:p>
    <w:p w14:paraId="18B18AA9">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发包人（全称）：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p>
    <w:p w14:paraId="55A5410F">
      <w:pPr>
        <w:spacing w:line="360" w:lineRule="auto"/>
        <w:rPr>
          <w:rFonts w:hint="eastAsia" w:ascii="仿宋" w:hAnsi="仿宋" w:eastAsia="仿宋" w:cs="仿宋"/>
          <w:sz w:val="24"/>
          <w:highlight w:val="none"/>
        </w:rPr>
      </w:pPr>
      <w:r>
        <w:rPr>
          <w:rFonts w:hint="eastAsia" w:ascii="仿宋" w:hAnsi="仿宋" w:eastAsia="仿宋" w:cs="仿宋"/>
          <w:sz w:val="24"/>
          <w:highlight w:val="none"/>
        </w:rPr>
        <w:t>　　承包人（全称）：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p>
    <w:p w14:paraId="7FF67E3F">
      <w:pPr>
        <w:spacing w:line="360" w:lineRule="auto"/>
        <w:rPr>
          <w:rFonts w:hint="eastAsia" w:ascii="仿宋" w:hAnsi="仿宋" w:eastAsia="仿宋" w:cs="仿宋"/>
          <w:sz w:val="24"/>
          <w:highlight w:val="none"/>
        </w:rPr>
      </w:pPr>
    </w:p>
    <w:p w14:paraId="53D1236C">
      <w:pPr>
        <w:spacing w:line="360" w:lineRule="auto"/>
        <w:rPr>
          <w:rFonts w:hint="eastAsia" w:ascii="仿宋" w:hAnsi="仿宋" w:eastAsia="仿宋" w:cs="仿宋"/>
          <w:sz w:val="24"/>
          <w:highlight w:val="none"/>
        </w:rPr>
      </w:pPr>
      <w:r>
        <w:rPr>
          <w:rFonts w:hint="eastAsia" w:ascii="仿宋" w:hAnsi="仿宋" w:eastAsia="仿宋" w:cs="仿宋"/>
          <w:sz w:val="24"/>
          <w:highlight w:val="none"/>
        </w:rPr>
        <w:t>　　发包人和承包人根据《中华人民共和国建筑法》和《建设工程质量管理条例》，经协商一致就</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（工程全称）签订工程质量保修书。</w:t>
      </w:r>
    </w:p>
    <w:p w14:paraId="49A59DA9">
      <w:pPr>
        <w:spacing w:line="360" w:lineRule="auto"/>
        <w:rPr>
          <w:rFonts w:hint="eastAsia" w:ascii="仿宋" w:hAnsi="仿宋" w:eastAsia="仿宋" w:cs="仿宋"/>
          <w:sz w:val="24"/>
          <w:highlight w:val="none"/>
        </w:rPr>
      </w:pPr>
      <w:r>
        <w:rPr>
          <w:rFonts w:hint="eastAsia" w:ascii="仿宋" w:hAnsi="仿宋" w:eastAsia="仿宋" w:cs="仿宋"/>
          <w:sz w:val="24"/>
          <w:highlight w:val="none"/>
        </w:rPr>
        <w:t>　　</w:t>
      </w:r>
      <w:bookmarkStart w:id="1260" w:name="_Toc45552402"/>
      <w:r>
        <w:rPr>
          <w:rFonts w:hint="eastAsia" w:ascii="仿宋" w:hAnsi="仿宋" w:eastAsia="仿宋" w:cs="仿宋"/>
          <w:sz w:val="24"/>
          <w:highlight w:val="none"/>
        </w:rPr>
        <w:t>一、工程质量保修范围和内容</w:t>
      </w:r>
      <w:bookmarkEnd w:id="1260"/>
    </w:p>
    <w:p w14:paraId="5C7A647B">
      <w:pPr>
        <w:spacing w:line="360" w:lineRule="auto"/>
        <w:rPr>
          <w:rFonts w:hint="eastAsia" w:ascii="仿宋" w:hAnsi="仿宋" w:eastAsia="仿宋" w:cs="仿宋"/>
          <w:sz w:val="24"/>
          <w:highlight w:val="none"/>
        </w:rPr>
      </w:pPr>
      <w:r>
        <w:rPr>
          <w:rFonts w:hint="eastAsia" w:ascii="仿宋" w:hAnsi="仿宋" w:eastAsia="仿宋" w:cs="仿宋"/>
          <w:sz w:val="24"/>
          <w:highlight w:val="none"/>
        </w:rPr>
        <w:t>　　承包人在质量保修期内，按照有关法律规定和合同约定，承担工程质量保修责任。</w:t>
      </w:r>
    </w:p>
    <w:p w14:paraId="2688B21C">
      <w:pPr>
        <w:spacing w:line="360" w:lineRule="auto"/>
        <w:rPr>
          <w:rFonts w:hint="eastAsia" w:ascii="仿宋" w:hAnsi="仿宋" w:eastAsia="仿宋" w:cs="仿宋"/>
          <w:sz w:val="24"/>
          <w:highlight w:val="none"/>
        </w:rPr>
      </w:pPr>
      <w:r>
        <w:rPr>
          <w:rFonts w:hint="eastAsia" w:ascii="仿宋" w:hAnsi="仿宋" w:eastAsia="仿宋" w:cs="仿宋"/>
          <w:sz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2EA7A11">
      <w:pPr>
        <w:spacing w:line="360" w:lineRule="auto"/>
        <w:rPr>
          <w:rFonts w:hint="eastAsia" w:ascii="仿宋" w:hAnsi="仿宋" w:eastAsia="仿宋" w:cs="仿宋"/>
          <w:sz w:val="24"/>
          <w:highlight w:val="none"/>
        </w:rPr>
      </w:pPr>
      <w:r>
        <w:rPr>
          <w:rFonts w:hint="eastAsia" w:ascii="仿宋" w:hAnsi="仿宋" w:eastAsia="仿宋" w:cs="仿宋"/>
          <w:sz w:val="24"/>
          <w:highlight w:val="none"/>
        </w:rPr>
        <w:t>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5D7B5886">
      <w:pPr>
        <w:spacing w:line="360" w:lineRule="auto"/>
        <w:rPr>
          <w:rFonts w:hint="eastAsia" w:ascii="仿宋" w:hAnsi="仿宋" w:eastAsia="仿宋" w:cs="仿宋"/>
          <w:sz w:val="24"/>
          <w:highlight w:val="none"/>
        </w:rPr>
      </w:pPr>
      <w:r>
        <w:rPr>
          <w:rFonts w:hint="eastAsia" w:ascii="仿宋" w:hAnsi="仿宋" w:eastAsia="仿宋" w:cs="仿宋"/>
          <w:b/>
          <w:sz w:val="24"/>
          <w:highlight w:val="none"/>
        </w:rPr>
        <w:t>　　</w:t>
      </w:r>
      <w:bookmarkStart w:id="1261" w:name="_Toc45552403"/>
      <w:r>
        <w:rPr>
          <w:rFonts w:hint="eastAsia" w:ascii="仿宋" w:hAnsi="仿宋" w:eastAsia="仿宋" w:cs="仿宋"/>
          <w:sz w:val="24"/>
          <w:highlight w:val="none"/>
        </w:rPr>
        <w:t>二、质量保修期</w:t>
      </w:r>
      <w:bookmarkEnd w:id="1261"/>
    </w:p>
    <w:p w14:paraId="00F56B74">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根据《建设工程质量管理条例》及有关规定，工程的质量保修期如下：</w:t>
      </w:r>
    </w:p>
    <w:p w14:paraId="3CA2F173">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1.地基基础工程和主体结构工程为设计文件规定的工程合理使用年限；</w:t>
      </w:r>
    </w:p>
    <w:p w14:paraId="6CCA4DA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2.屋面防水工程、有防水要求的卫生间、房间和外墙面的防渗     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p>
    <w:p w14:paraId="5E020F71">
      <w:pPr>
        <w:spacing w:line="360" w:lineRule="auto"/>
        <w:ind w:left="420" w:leftChars="200"/>
        <w:rPr>
          <w:rFonts w:hint="eastAsia" w:ascii="仿宋" w:hAnsi="仿宋" w:eastAsia="仿宋" w:cs="仿宋"/>
          <w:sz w:val="24"/>
          <w:highlight w:val="none"/>
        </w:rPr>
      </w:pPr>
      <w:r>
        <w:rPr>
          <w:rFonts w:hint="eastAsia" w:ascii="仿宋" w:hAnsi="仿宋" w:eastAsia="仿宋" w:cs="仿宋"/>
          <w:sz w:val="24"/>
          <w:highlight w:val="none"/>
        </w:rPr>
        <w:t>3.装修工程为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p>
    <w:p w14:paraId="4DF482C5">
      <w:pPr>
        <w:spacing w:line="360" w:lineRule="auto"/>
        <w:ind w:left="420" w:leftChars="200"/>
        <w:rPr>
          <w:rFonts w:hint="eastAsia" w:ascii="仿宋" w:hAnsi="仿宋" w:eastAsia="仿宋" w:cs="仿宋"/>
          <w:sz w:val="24"/>
          <w:highlight w:val="none"/>
        </w:rPr>
      </w:pPr>
      <w:r>
        <w:rPr>
          <w:rFonts w:hint="eastAsia" w:ascii="仿宋" w:hAnsi="仿宋" w:eastAsia="仿宋" w:cs="仿宋"/>
          <w:sz w:val="24"/>
          <w:highlight w:val="none"/>
        </w:rPr>
        <w:t>4.电气管线、给排水管道、设备安装工程为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p>
    <w:p w14:paraId="5F1C5EBF">
      <w:pPr>
        <w:spacing w:line="360" w:lineRule="auto"/>
        <w:ind w:left="420" w:leftChars="200"/>
        <w:rPr>
          <w:rFonts w:hint="eastAsia" w:ascii="仿宋" w:hAnsi="仿宋" w:eastAsia="仿宋" w:cs="仿宋"/>
          <w:sz w:val="24"/>
          <w:highlight w:val="none"/>
        </w:rPr>
      </w:pPr>
      <w:r>
        <w:rPr>
          <w:rFonts w:hint="eastAsia" w:ascii="仿宋" w:hAnsi="仿宋" w:eastAsia="仿宋" w:cs="仿宋"/>
          <w:sz w:val="24"/>
          <w:highlight w:val="none"/>
        </w:rPr>
        <w:t>5.供热与供冷系统为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个采暖期、供冷期；</w:t>
      </w:r>
    </w:p>
    <w:p w14:paraId="1E6C35B3">
      <w:pPr>
        <w:spacing w:line="360" w:lineRule="auto"/>
        <w:ind w:left="420" w:leftChars="200"/>
        <w:rPr>
          <w:rFonts w:hint="eastAsia" w:ascii="仿宋" w:hAnsi="仿宋" w:eastAsia="仿宋" w:cs="仿宋"/>
          <w:sz w:val="24"/>
          <w:highlight w:val="none"/>
        </w:rPr>
      </w:pPr>
      <w:r>
        <w:rPr>
          <w:rFonts w:hint="eastAsia" w:ascii="仿宋" w:hAnsi="仿宋" w:eastAsia="仿宋" w:cs="仿宋"/>
          <w:sz w:val="24"/>
          <w:highlight w:val="none"/>
        </w:rPr>
        <w:t>6.住宅小区内的给排水设施、道路等配套工程为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p>
    <w:p w14:paraId="559F0EB1">
      <w:pPr>
        <w:spacing w:line="360" w:lineRule="auto"/>
        <w:ind w:left="420" w:leftChars="200"/>
        <w:rPr>
          <w:rFonts w:hint="eastAsia" w:ascii="仿宋" w:hAnsi="仿宋" w:eastAsia="仿宋" w:cs="仿宋"/>
          <w:sz w:val="24"/>
          <w:highlight w:val="none"/>
        </w:rPr>
      </w:pPr>
      <w:r>
        <w:rPr>
          <w:rFonts w:hint="eastAsia" w:ascii="仿宋" w:hAnsi="仿宋" w:eastAsia="仿宋" w:cs="仿宋"/>
          <w:sz w:val="24"/>
          <w:highlight w:val="none"/>
        </w:rPr>
        <w:t>7.其他项目保修期限约定如下：</w:t>
      </w:r>
    </w:p>
    <w:p w14:paraId="753AFD5C">
      <w:pPr>
        <w:spacing w:line="360" w:lineRule="auto"/>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3530FBB3">
      <w:pPr>
        <w:spacing w:line="360" w:lineRule="auto"/>
        <w:rPr>
          <w:rFonts w:hint="eastAsia" w:ascii="仿宋" w:hAnsi="仿宋" w:eastAsia="仿宋" w:cs="仿宋"/>
          <w:sz w:val="24"/>
          <w:highlight w:val="none"/>
        </w:rPr>
      </w:pPr>
      <w:r>
        <w:rPr>
          <w:rFonts w:hint="eastAsia" w:ascii="仿宋" w:hAnsi="仿宋" w:eastAsia="仿宋" w:cs="仿宋"/>
          <w:sz w:val="24"/>
          <w:highlight w:val="none"/>
        </w:rPr>
        <w:t>　　质量保修期自工程竣工验收合格之日起计算。</w:t>
      </w:r>
    </w:p>
    <w:p w14:paraId="5DD105BA">
      <w:pPr>
        <w:spacing w:line="360" w:lineRule="auto"/>
        <w:ind w:firstLine="480" w:firstLineChars="200"/>
        <w:rPr>
          <w:rFonts w:hint="eastAsia" w:ascii="仿宋" w:hAnsi="仿宋" w:eastAsia="仿宋" w:cs="仿宋"/>
          <w:sz w:val="24"/>
          <w:highlight w:val="none"/>
        </w:rPr>
      </w:pPr>
      <w:bookmarkStart w:id="1262" w:name="_Toc45552404"/>
      <w:r>
        <w:rPr>
          <w:rFonts w:hint="eastAsia" w:ascii="仿宋" w:hAnsi="仿宋" w:eastAsia="仿宋" w:cs="仿宋"/>
          <w:sz w:val="24"/>
          <w:highlight w:val="none"/>
        </w:rPr>
        <w:t>三、缺陷责任期</w:t>
      </w:r>
      <w:bookmarkEnd w:id="1262"/>
    </w:p>
    <w:p w14:paraId="7522EA70">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工程缺陷责任期为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个月，缺陷责任期自工程通过竣工验收之日起计算。单位工程先于全部工程进行验收，单位工程缺陷责任期自单位工程验收合格之日起算。</w:t>
      </w:r>
    </w:p>
    <w:p w14:paraId="2A90A3A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缺陷责任期终止后，发包人应退还剩余的质量保证金。</w:t>
      </w:r>
    </w:p>
    <w:p w14:paraId="1A8189F0">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bookmarkStart w:id="1263" w:name="_Toc45552405"/>
      <w:r>
        <w:rPr>
          <w:rFonts w:hint="eastAsia" w:ascii="仿宋" w:hAnsi="仿宋" w:eastAsia="仿宋" w:cs="仿宋"/>
          <w:sz w:val="24"/>
          <w:highlight w:val="none"/>
        </w:rPr>
        <w:t>四、质量保修责任</w:t>
      </w:r>
      <w:bookmarkEnd w:id="1263"/>
    </w:p>
    <w:p w14:paraId="7AE4B7A3">
      <w:pPr>
        <w:spacing w:line="360" w:lineRule="auto"/>
        <w:ind w:left="105" w:leftChars="50" w:firstLine="491" w:firstLineChars="205"/>
        <w:rPr>
          <w:rFonts w:hint="eastAsia" w:ascii="仿宋" w:hAnsi="仿宋" w:eastAsia="仿宋" w:cs="仿宋"/>
          <w:sz w:val="24"/>
          <w:highlight w:val="none"/>
        </w:rPr>
      </w:pPr>
      <w:r>
        <w:rPr>
          <w:rFonts w:hint="eastAsia" w:ascii="仿宋" w:hAnsi="仿宋" w:eastAsia="仿宋" w:cs="仿宋"/>
          <w:sz w:val="24"/>
          <w:highlight w:val="none"/>
        </w:rPr>
        <w:t>1.属于保修范围、内容的项目，承包人应当在接到保修通知之日起7天内派人保修。承包人不在约定期限内派人保修的，发包人可以委托他人修理。</w:t>
      </w:r>
    </w:p>
    <w:p w14:paraId="3390509E">
      <w:pPr>
        <w:spacing w:line="360" w:lineRule="auto"/>
        <w:ind w:left="105" w:leftChars="50" w:firstLine="491" w:firstLineChars="205"/>
        <w:rPr>
          <w:rFonts w:hint="eastAsia" w:ascii="仿宋" w:hAnsi="仿宋" w:eastAsia="仿宋" w:cs="仿宋"/>
          <w:sz w:val="24"/>
          <w:highlight w:val="none"/>
        </w:rPr>
      </w:pPr>
      <w:r>
        <w:rPr>
          <w:rFonts w:hint="eastAsia" w:ascii="仿宋" w:hAnsi="仿宋" w:eastAsia="仿宋" w:cs="仿宋"/>
          <w:sz w:val="24"/>
          <w:highlight w:val="none"/>
        </w:rPr>
        <w:t>2.发生紧急事故需抢修的，承包人在接到事故通知后，应当立即到达事故现场抢修。</w:t>
      </w:r>
    </w:p>
    <w:p w14:paraId="543625D0">
      <w:pPr>
        <w:spacing w:line="360" w:lineRule="auto"/>
        <w:ind w:left="105" w:leftChars="50" w:firstLine="491" w:firstLineChars="205"/>
        <w:rPr>
          <w:rFonts w:hint="eastAsia" w:ascii="仿宋" w:hAnsi="仿宋" w:eastAsia="仿宋" w:cs="仿宋"/>
          <w:sz w:val="24"/>
          <w:highlight w:val="none"/>
        </w:rPr>
      </w:pPr>
      <w:r>
        <w:rPr>
          <w:rFonts w:hint="eastAsia" w:ascii="仿宋" w:hAnsi="仿宋" w:eastAsia="仿宋" w:cs="仿宋"/>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723A66D">
      <w:pPr>
        <w:spacing w:line="360" w:lineRule="auto"/>
        <w:ind w:left="420" w:leftChars="200" w:firstLine="120" w:firstLineChars="50"/>
        <w:rPr>
          <w:rFonts w:hint="eastAsia" w:ascii="仿宋" w:hAnsi="仿宋" w:eastAsia="仿宋" w:cs="仿宋"/>
          <w:sz w:val="24"/>
          <w:highlight w:val="none"/>
        </w:rPr>
      </w:pPr>
      <w:r>
        <w:rPr>
          <w:rFonts w:hint="eastAsia" w:ascii="仿宋" w:hAnsi="仿宋" w:eastAsia="仿宋" w:cs="仿宋"/>
          <w:sz w:val="24"/>
          <w:highlight w:val="none"/>
        </w:rPr>
        <w:t>4.质量保修完成后，由发包人组织验收。</w:t>
      </w:r>
    </w:p>
    <w:p w14:paraId="0BC18D94">
      <w:pPr>
        <w:spacing w:line="360" w:lineRule="auto"/>
        <w:rPr>
          <w:rFonts w:hint="eastAsia" w:ascii="仿宋" w:hAnsi="仿宋" w:eastAsia="仿宋" w:cs="仿宋"/>
          <w:sz w:val="24"/>
          <w:highlight w:val="none"/>
        </w:rPr>
      </w:pPr>
      <w:r>
        <w:rPr>
          <w:rFonts w:hint="eastAsia" w:ascii="仿宋" w:hAnsi="仿宋" w:eastAsia="仿宋" w:cs="仿宋"/>
          <w:sz w:val="24"/>
          <w:highlight w:val="none"/>
        </w:rPr>
        <w:t>　　</w:t>
      </w:r>
      <w:bookmarkStart w:id="1264" w:name="_Toc45552406"/>
      <w:r>
        <w:rPr>
          <w:rFonts w:hint="eastAsia" w:ascii="仿宋" w:hAnsi="仿宋" w:eastAsia="仿宋" w:cs="仿宋"/>
          <w:sz w:val="24"/>
          <w:highlight w:val="none"/>
        </w:rPr>
        <w:t>五、保修费用</w:t>
      </w:r>
      <w:bookmarkEnd w:id="1264"/>
    </w:p>
    <w:p w14:paraId="363E284D">
      <w:pPr>
        <w:spacing w:line="360" w:lineRule="auto"/>
        <w:rPr>
          <w:rFonts w:hint="eastAsia" w:ascii="仿宋" w:hAnsi="仿宋" w:eastAsia="仿宋" w:cs="仿宋"/>
          <w:sz w:val="24"/>
          <w:highlight w:val="none"/>
        </w:rPr>
      </w:pPr>
      <w:r>
        <w:rPr>
          <w:rFonts w:hint="eastAsia" w:ascii="仿宋" w:hAnsi="仿宋" w:eastAsia="仿宋" w:cs="仿宋"/>
          <w:sz w:val="24"/>
          <w:highlight w:val="none"/>
        </w:rPr>
        <w:t>　　保修费用由造成质量缺陷的责任方承担。</w:t>
      </w:r>
    </w:p>
    <w:p w14:paraId="47F0B7EB">
      <w:pPr>
        <w:spacing w:line="360" w:lineRule="auto"/>
        <w:ind w:firstLine="600"/>
        <w:jc w:val="left"/>
        <w:rPr>
          <w:rFonts w:hint="eastAsia" w:ascii="仿宋" w:hAnsi="仿宋" w:eastAsia="仿宋" w:cs="仿宋"/>
          <w:sz w:val="24"/>
          <w:highlight w:val="none"/>
          <w:u w:val="single"/>
        </w:rPr>
      </w:pPr>
      <w:bookmarkStart w:id="1265" w:name="_Toc45552407"/>
      <w:r>
        <w:rPr>
          <w:rFonts w:hint="eastAsia" w:ascii="仿宋" w:hAnsi="仿宋" w:eastAsia="仿宋" w:cs="仿宋"/>
          <w:b/>
          <w:sz w:val="24"/>
          <w:highlight w:val="none"/>
        </w:rPr>
        <w:t>六</w:t>
      </w:r>
      <w:r>
        <w:rPr>
          <w:rFonts w:hint="eastAsia" w:ascii="仿宋" w:hAnsi="仿宋" w:eastAsia="仿宋" w:cs="仿宋"/>
          <w:sz w:val="24"/>
          <w:highlight w:val="none"/>
        </w:rPr>
        <w:t>、双方约定的其他工程质量保修事项：</w:t>
      </w:r>
      <w:bookmarkEnd w:id="1265"/>
      <w:r>
        <w:rPr>
          <w:rFonts w:hint="eastAsia" w:ascii="仿宋" w:hAnsi="仿宋" w:eastAsia="仿宋" w:cs="仿宋"/>
          <w:sz w:val="24"/>
          <w:highlight w:val="none"/>
          <w:u w:val="single"/>
        </w:rPr>
        <w:t xml:space="preserve">                  </w:t>
      </w:r>
    </w:p>
    <w:p w14:paraId="03F824FC">
      <w:pPr>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1586CAA1">
      <w:pPr>
        <w:spacing w:line="360" w:lineRule="auto"/>
        <w:ind w:firstLine="456" w:firstLineChars="190"/>
        <w:rPr>
          <w:rFonts w:hint="eastAsia" w:ascii="仿宋" w:hAnsi="仿宋" w:eastAsia="仿宋" w:cs="仿宋"/>
          <w:sz w:val="24"/>
          <w:highlight w:val="none"/>
        </w:rPr>
      </w:pPr>
      <w:r>
        <w:rPr>
          <w:rFonts w:hint="eastAsia" w:ascii="仿宋" w:hAnsi="仿宋" w:eastAsia="仿宋" w:cs="仿宋"/>
          <w:sz w:val="24"/>
          <w:highlight w:val="none"/>
        </w:rPr>
        <w:t>工程质量保修书由发包人、承包人在工程竣工验收前共同签署，作为施工合同附件，其有效期限至保修期满。</w:t>
      </w:r>
    </w:p>
    <w:p w14:paraId="55F5B956">
      <w:pPr>
        <w:spacing w:line="360" w:lineRule="auto"/>
        <w:ind w:firstLine="420"/>
        <w:rPr>
          <w:rFonts w:hint="eastAsia" w:ascii="仿宋" w:hAnsi="仿宋" w:eastAsia="仿宋" w:cs="仿宋"/>
          <w:sz w:val="24"/>
          <w:highlight w:val="none"/>
        </w:rPr>
      </w:pPr>
    </w:p>
    <w:p w14:paraId="43687330">
      <w:pPr>
        <w:spacing w:line="360" w:lineRule="auto"/>
        <w:rPr>
          <w:rFonts w:hint="eastAsia" w:ascii="仿宋" w:hAnsi="仿宋" w:eastAsia="仿宋" w:cs="仿宋"/>
          <w:sz w:val="24"/>
          <w:highlight w:val="none"/>
        </w:rPr>
      </w:pPr>
      <w:r>
        <w:rPr>
          <w:rFonts w:hint="eastAsia" w:ascii="仿宋" w:hAnsi="仿宋" w:eastAsia="仿宋" w:cs="仿宋"/>
          <w:sz w:val="24"/>
          <w:highlight w:val="none"/>
        </w:rPr>
        <w:t>发包人（公章）：</w:t>
      </w:r>
      <w:r>
        <w:rPr>
          <w:rFonts w:hint="eastAsia" w:ascii="仿宋" w:hAnsi="仿宋" w:eastAsia="仿宋" w:cs="仿宋"/>
          <w:sz w:val="24"/>
          <w:highlight w:val="none"/>
          <w:u w:val="single"/>
        </w:rPr>
        <w:t xml:space="preserve">        </w:t>
      </w:r>
      <w:r>
        <w:rPr>
          <w:rFonts w:hint="eastAsia" w:ascii="仿宋" w:hAnsi="仿宋" w:eastAsia="仿宋" w:cs="仿宋"/>
          <w:sz w:val="24"/>
          <w:highlight w:val="none"/>
        </w:rPr>
        <w:t xml:space="preserve"> 承包人（公章）：</w:t>
      </w:r>
      <w:r>
        <w:rPr>
          <w:rFonts w:hint="eastAsia" w:ascii="仿宋" w:hAnsi="仿宋" w:eastAsia="仿宋" w:cs="仿宋"/>
          <w:sz w:val="24"/>
          <w:highlight w:val="none"/>
          <w:u w:val="single"/>
        </w:rPr>
        <w:t xml:space="preserve">           </w:t>
      </w:r>
    </w:p>
    <w:p w14:paraId="29146E3E">
      <w:pPr>
        <w:spacing w:line="360" w:lineRule="auto"/>
        <w:rPr>
          <w:rFonts w:hint="eastAsia" w:ascii="仿宋" w:hAnsi="仿宋" w:eastAsia="仿宋" w:cs="仿宋"/>
          <w:sz w:val="24"/>
          <w:highlight w:val="none"/>
        </w:rPr>
      </w:pPr>
      <w:r>
        <w:rPr>
          <w:rFonts w:hint="eastAsia" w:ascii="仿宋" w:hAnsi="仿宋" w:eastAsia="仿宋" w:cs="仿宋"/>
          <w:sz w:val="24"/>
          <w:highlight w:val="none"/>
        </w:rPr>
        <w:t>地址：</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      地址：</w:t>
      </w:r>
      <w:r>
        <w:rPr>
          <w:rFonts w:hint="eastAsia" w:ascii="仿宋" w:hAnsi="仿宋" w:eastAsia="仿宋" w:cs="仿宋"/>
          <w:sz w:val="24"/>
          <w:highlight w:val="none"/>
          <w:u w:val="single"/>
        </w:rPr>
        <w:t xml:space="preserve">       </w:t>
      </w:r>
    </w:p>
    <w:p w14:paraId="6D78E86D">
      <w:pPr>
        <w:spacing w:line="360" w:lineRule="auto"/>
        <w:rPr>
          <w:rFonts w:hint="eastAsia" w:ascii="仿宋" w:hAnsi="仿宋" w:eastAsia="仿宋" w:cs="仿宋"/>
          <w:sz w:val="24"/>
          <w:highlight w:val="none"/>
        </w:rPr>
      </w:pPr>
      <w:r>
        <w:rPr>
          <w:rFonts w:hint="eastAsia" w:ascii="仿宋" w:hAnsi="仿宋" w:eastAsia="仿宋" w:cs="仿宋"/>
          <w:sz w:val="24"/>
          <w:highlight w:val="none"/>
        </w:rPr>
        <w:t>法定代表人（签字）：</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法定代表人（签字）：</w:t>
      </w:r>
      <w:r>
        <w:rPr>
          <w:rFonts w:hint="eastAsia" w:ascii="仿宋" w:hAnsi="仿宋" w:eastAsia="仿宋" w:cs="仿宋"/>
          <w:sz w:val="24"/>
          <w:highlight w:val="none"/>
          <w:u w:val="single"/>
        </w:rPr>
        <w:t xml:space="preserve">       </w:t>
      </w:r>
    </w:p>
    <w:p w14:paraId="35BF2468">
      <w:pPr>
        <w:spacing w:line="360" w:lineRule="auto"/>
        <w:rPr>
          <w:rFonts w:hint="eastAsia" w:ascii="仿宋" w:hAnsi="仿宋" w:eastAsia="仿宋" w:cs="仿宋"/>
          <w:sz w:val="24"/>
          <w:highlight w:val="none"/>
        </w:rPr>
      </w:pPr>
      <w:r>
        <w:rPr>
          <w:rFonts w:hint="eastAsia" w:ascii="仿宋" w:hAnsi="仿宋" w:eastAsia="仿宋" w:cs="仿宋"/>
          <w:sz w:val="24"/>
          <w:highlight w:val="none"/>
        </w:rPr>
        <w:t>委托代理人（签字）：</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委托代理人（签字）：</w:t>
      </w:r>
      <w:r>
        <w:rPr>
          <w:rFonts w:hint="eastAsia" w:ascii="仿宋" w:hAnsi="仿宋" w:eastAsia="仿宋" w:cs="仿宋"/>
          <w:sz w:val="24"/>
          <w:highlight w:val="none"/>
          <w:u w:val="single"/>
        </w:rPr>
        <w:t xml:space="preserve">       </w:t>
      </w:r>
    </w:p>
    <w:p w14:paraId="19816F78">
      <w:pPr>
        <w:spacing w:line="360" w:lineRule="auto"/>
        <w:rPr>
          <w:rFonts w:hint="eastAsia" w:ascii="仿宋" w:hAnsi="仿宋" w:eastAsia="仿宋" w:cs="仿宋"/>
          <w:sz w:val="24"/>
          <w:highlight w:val="none"/>
        </w:rPr>
      </w:pPr>
      <w:r>
        <w:rPr>
          <w:rFonts w:hint="eastAsia" w:ascii="仿宋" w:hAnsi="仿宋" w:eastAsia="仿宋" w:cs="仿宋"/>
          <w:sz w:val="24"/>
          <w:highlight w:val="none"/>
        </w:rPr>
        <w:t>电话：</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电话：</w:t>
      </w:r>
      <w:r>
        <w:rPr>
          <w:rFonts w:hint="eastAsia" w:ascii="仿宋" w:hAnsi="仿宋" w:eastAsia="仿宋" w:cs="仿宋"/>
          <w:sz w:val="24"/>
          <w:highlight w:val="none"/>
          <w:u w:val="single"/>
        </w:rPr>
        <w:t xml:space="preserve">     </w:t>
      </w:r>
    </w:p>
    <w:p w14:paraId="0E549613">
      <w:pPr>
        <w:spacing w:line="360" w:lineRule="auto"/>
        <w:rPr>
          <w:rFonts w:hint="eastAsia" w:ascii="仿宋" w:hAnsi="仿宋" w:eastAsia="仿宋" w:cs="仿宋"/>
          <w:sz w:val="24"/>
          <w:highlight w:val="none"/>
        </w:rPr>
      </w:pPr>
      <w:r>
        <w:rPr>
          <w:rFonts w:hint="eastAsia" w:ascii="仿宋" w:hAnsi="仿宋" w:eastAsia="仿宋" w:cs="仿宋"/>
          <w:sz w:val="24"/>
          <w:highlight w:val="none"/>
        </w:rPr>
        <w:t>传真：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传真：</w:t>
      </w:r>
      <w:r>
        <w:rPr>
          <w:rFonts w:hint="eastAsia" w:ascii="仿宋" w:hAnsi="仿宋" w:eastAsia="仿宋" w:cs="仿宋"/>
          <w:sz w:val="24"/>
          <w:highlight w:val="none"/>
          <w:u w:val="single"/>
        </w:rPr>
        <w:t xml:space="preserve">     </w:t>
      </w:r>
    </w:p>
    <w:p w14:paraId="15CFECB8">
      <w:pPr>
        <w:spacing w:line="360" w:lineRule="auto"/>
        <w:rPr>
          <w:rFonts w:hint="eastAsia" w:ascii="仿宋" w:hAnsi="仿宋" w:eastAsia="仿宋" w:cs="仿宋"/>
          <w:sz w:val="24"/>
          <w:highlight w:val="none"/>
        </w:rPr>
      </w:pPr>
      <w:r>
        <w:rPr>
          <w:rFonts w:hint="eastAsia" w:ascii="仿宋" w:hAnsi="仿宋" w:eastAsia="仿宋" w:cs="仿宋"/>
          <w:sz w:val="24"/>
          <w:highlight w:val="none"/>
        </w:rPr>
        <w:t>开户银行：</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开户银行：</w:t>
      </w:r>
      <w:r>
        <w:rPr>
          <w:rFonts w:hint="eastAsia" w:ascii="仿宋" w:hAnsi="仿宋" w:eastAsia="仿宋" w:cs="仿宋"/>
          <w:sz w:val="24"/>
          <w:highlight w:val="none"/>
          <w:u w:val="single"/>
        </w:rPr>
        <w:t xml:space="preserve">   </w:t>
      </w:r>
    </w:p>
    <w:p w14:paraId="4FC78AA7">
      <w:pPr>
        <w:spacing w:line="360" w:lineRule="auto"/>
        <w:rPr>
          <w:rFonts w:hint="eastAsia" w:ascii="仿宋" w:hAnsi="仿宋" w:eastAsia="仿宋" w:cs="仿宋"/>
          <w:sz w:val="24"/>
          <w:highlight w:val="none"/>
        </w:rPr>
      </w:pPr>
      <w:r>
        <w:rPr>
          <w:rFonts w:hint="eastAsia" w:ascii="仿宋" w:hAnsi="仿宋" w:eastAsia="仿宋" w:cs="仿宋"/>
          <w:sz w:val="24"/>
          <w:highlight w:val="none"/>
        </w:rPr>
        <w:t>账号：</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      账号：</w:t>
      </w:r>
      <w:r>
        <w:rPr>
          <w:rFonts w:hint="eastAsia" w:ascii="仿宋" w:hAnsi="仿宋" w:eastAsia="仿宋" w:cs="仿宋"/>
          <w:sz w:val="24"/>
          <w:highlight w:val="none"/>
          <w:u w:val="single"/>
        </w:rPr>
        <w:t xml:space="preserve">     </w:t>
      </w:r>
    </w:p>
    <w:p w14:paraId="40EE6F31">
      <w:pPr>
        <w:spacing w:line="360" w:lineRule="auto"/>
        <w:rPr>
          <w:rFonts w:hint="eastAsia" w:ascii="仿宋" w:hAnsi="仿宋" w:eastAsia="仿宋" w:cs="仿宋"/>
          <w:sz w:val="24"/>
          <w:highlight w:val="none"/>
        </w:rPr>
      </w:pPr>
      <w:r>
        <w:rPr>
          <w:rFonts w:hint="eastAsia" w:ascii="仿宋" w:hAnsi="仿宋" w:eastAsia="仿宋" w:cs="仿宋"/>
          <w:sz w:val="24"/>
          <w:highlight w:val="none"/>
        </w:rPr>
        <w:t>邮政编码：</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    邮政编码：</w:t>
      </w:r>
      <w:r>
        <w:rPr>
          <w:rFonts w:hint="eastAsia" w:ascii="仿宋" w:hAnsi="仿宋" w:eastAsia="仿宋" w:cs="仿宋"/>
          <w:sz w:val="24"/>
          <w:highlight w:val="none"/>
          <w:u w:val="single"/>
        </w:rPr>
        <w:t xml:space="preserve">   </w:t>
      </w:r>
    </w:p>
    <w:p w14:paraId="78E99E12">
      <w:pPr>
        <w:spacing w:beforeLines="50" w:afterLines="50" w:line="360" w:lineRule="auto"/>
        <w:jc w:val="left"/>
        <w:outlineLvl w:val="1"/>
        <w:rPr>
          <w:rFonts w:hint="eastAsia" w:ascii="仿宋" w:hAnsi="仿宋" w:eastAsia="仿宋" w:cs="仿宋"/>
          <w:b/>
          <w:bCs/>
          <w:szCs w:val="21"/>
          <w:highlight w:val="none"/>
        </w:rPr>
      </w:pPr>
      <w:r>
        <w:rPr>
          <w:rFonts w:hint="eastAsia" w:ascii="仿宋" w:hAnsi="仿宋" w:eastAsia="仿宋" w:cs="仿宋"/>
          <w:szCs w:val="21"/>
          <w:highlight w:val="none"/>
        </w:rPr>
        <w:br w:type="page"/>
      </w:r>
      <w:r>
        <w:rPr>
          <w:rFonts w:hint="eastAsia" w:ascii="仿宋" w:hAnsi="仿宋" w:eastAsia="仿宋" w:cs="仿宋"/>
          <w:b/>
          <w:bCs/>
          <w:szCs w:val="21"/>
          <w:highlight w:val="none"/>
        </w:rPr>
        <w:t>附件4：</w:t>
      </w:r>
    </w:p>
    <w:p w14:paraId="7701A8BB">
      <w:pPr>
        <w:spacing w:beforeLines="50" w:afterLines="50"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主要建设工程文件目录</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46D11C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51067EF3">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文件名称</w:t>
            </w:r>
          </w:p>
        </w:tc>
        <w:tc>
          <w:tcPr>
            <w:tcW w:w="1276" w:type="dxa"/>
            <w:tcBorders>
              <w:top w:val="single" w:color="auto" w:sz="12" w:space="0"/>
              <w:bottom w:val="double" w:color="auto" w:sz="6" w:space="0"/>
            </w:tcBorders>
            <w:vAlign w:val="center"/>
          </w:tcPr>
          <w:p w14:paraId="7A385152">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套数</w:t>
            </w:r>
          </w:p>
        </w:tc>
        <w:tc>
          <w:tcPr>
            <w:tcW w:w="1450" w:type="dxa"/>
            <w:tcBorders>
              <w:top w:val="single" w:color="auto" w:sz="12" w:space="0"/>
              <w:bottom w:val="double" w:color="auto" w:sz="6" w:space="0"/>
            </w:tcBorders>
            <w:vAlign w:val="center"/>
          </w:tcPr>
          <w:p w14:paraId="7E9ABD61">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费用（元）</w:t>
            </w:r>
          </w:p>
        </w:tc>
        <w:tc>
          <w:tcPr>
            <w:tcW w:w="1243" w:type="dxa"/>
            <w:tcBorders>
              <w:top w:val="single" w:color="auto" w:sz="12" w:space="0"/>
              <w:bottom w:val="double" w:color="auto" w:sz="6" w:space="0"/>
            </w:tcBorders>
            <w:vAlign w:val="center"/>
          </w:tcPr>
          <w:p w14:paraId="56806CE5">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质量</w:t>
            </w:r>
          </w:p>
        </w:tc>
        <w:tc>
          <w:tcPr>
            <w:tcW w:w="1450" w:type="dxa"/>
            <w:tcBorders>
              <w:top w:val="single" w:color="auto" w:sz="12" w:space="0"/>
              <w:bottom w:val="double" w:color="auto" w:sz="6" w:space="0"/>
            </w:tcBorders>
          </w:tcPr>
          <w:p w14:paraId="156F39EB">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移交时间</w:t>
            </w:r>
          </w:p>
        </w:tc>
        <w:tc>
          <w:tcPr>
            <w:tcW w:w="1667" w:type="dxa"/>
            <w:tcBorders>
              <w:top w:val="single" w:color="auto" w:sz="12" w:space="0"/>
              <w:bottom w:val="double" w:color="auto" w:sz="6" w:space="0"/>
            </w:tcBorders>
          </w:tcPr>
          <w:p w14:paraId="7EE1999E">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责任人</w:t>
            </w:r>
          </w:p>
        </w:tc>
      </w:tr>
      <w:tr w14:paraId="2C44E9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7155CF1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Borders>
              <w:top w:val="double" w:color="auto" w:sz="6" w:space="0"/>
              <w:bottom w:val="single" w:color="auto" w:sz="6" w:space="0"/>
            </w:tcBorders>
            <w:vAlign w:val="center"/>
          </w:tcPr>
          <w:p w14:paraId="426C3FF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tcBorders>
              <w:top w:val="double" w:color="auto" w:sz="6" w:space="0"/>
              <w:bottom w:val="single" w:color="auto" w:sz="6" w:space="0"/>
            </w:tcBorders>
            <w:vAlign w:val="center"/>
          </w:tcPr>
          <w:p w14:paraId="266D1B3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43" w:type="dxa"/>
            <w:tcBorders>
              <w:top w:val="double" w:color="auto" w:sz="6" w:space="0"/>
              <w:bottom w:val="single" w:color="auto" w:sz="6" w:space="0"/>
            </w:tcBorders>
            <w:vAlign w:val="center"/>
          </w:tcPr>
          <w:p w14:paraId="5403E72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tcBorders>
              <w:top w:val="double" w:color="auto" w:sz="6" w:space="0"/>
              <w:bottom w:val="single" w:color="auto" w:sz="6" w:space="0"/>
            </w:tcBorders>
            <w:vAlign w:val="center"/>
          </w:tcPr>
          <w:p w14:paraId="7B045F9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667" w:type="dxa"/>
            <w:tcBorders>
              <w:top w:val="double" w:color="auto" w:sz="6" w:space="0"/>
              <w:bottom w:val="single" w:color="auto" w:sz="6" w:space="0"/>
            </w:tcBorders>
            <w:vAlign w:val="center"/>
          </w:tcPr>
          <w:p w14:paraId="7AC0C521">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39394A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6C8004E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Borders>
              <w:top w:val="nil"/>
            </w:tcBorders>
            <w:vAlign w:val="center"/>
          </w:tcPr>
          <w:p w14:paraId="00FD914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tcBorders>
              <w:top w:val="nil"/>
            </w:tcBorders>
            <w:vAlign w:val="center"/>
          </w:tcPr>
          <w:p w14:paraId="1AF1D09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43" w:type="dxa"/>
            <w:tcBorders>
              <w:top w:val="nil"/>
            </w:tcBorders>
            <w:vAlign w:val="center"/>
          </w:tcPr>
          <w:p w14:paraId="050C30A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tcBorders>
              <w:top w:val="nil"/>
            </w:tcBorders>
            <w:vAlign w:val="center"/>
          </w:tcPr>
          <w:p w14:paraId="1ACC793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667" w:type="dxa"/>
            <w:tcBorders>
              <w:top w:val="nil"/>
            </w:tcBorders>
            <w:vAlign w:val="center"/>
          </w:tcPr>
          <w:p w14:paraId="71B85FF1">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3F3AEE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3A4171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vAlign w:val="center"/>
          </w:tcPr>
          <w:p w14:paraId="61E6CE9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vAlign w:val="center"/>
          </w:tcPr>
          <w:p w14:paraId="7BEF25F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43" w:type="dxa"/>
            <w:vAlign w:val="center"/>
          </w:tcPr>
          <w:p w14:paraId="5BBA67D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vAlign w:val="center"/>
          </w:tcPr>
          <w:p w14:paraId="4EC01DE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667" w:type="dxa"/>
            <w:vAlign w:val="center"/>
          </w:tcPr>
          <w:p w14:paraId="7C316E11">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AE08F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94520B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vAlign w:val="center"/>
          </w:tcPr>
          <w:p w14:paraId="2F523AB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vAlign w:val="center"/>
          </w:tcPr>
          <w:p w14:paraId="7778F7D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43" w:type="dxa"/>
            <w:vAlign w:val="center"/>
          </w:tcPr>
          <w:p w14:paraId="4D9378B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vAlign w:val="center"/>
          </w:tcPr>
          <w:p w14:paraId="40E1C19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667" w:type="dxa"/>
            <w:vAlign w:val="center"/>
          </w:tcPr>
          <w:p w14:paraId="613B225B">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768117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4F55ED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vAlign w:val="center"/>
          </w:tcPr>
          <w:p w14:paraId="2CD4762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vAlign w:val="center"/>
          </w:tcPr>
          <w:p w14:paraId="7442DAD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43" w:type="dxa"/>
            <w:vAlign w:val="center"/>
          </w:tcPr>
          <w:p w14:paraId="286F20A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vAlign w:val="center"/>
          </w:tcPr>
          <w:p w14:paraId="682402A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667" w:type="dxa"/>
            <w:vAlign w:val="center"/>
          </w:tcPr>
          <w:p w14:paraId="0F39B60B">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A6E09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CAAF5A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vAlign w:val="center"/>
          </w:tcPr>
          <w:p w14:paraId="33B6F27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vAlign w:val="center"/>
          </w:tcPr>
          <w:p w14:paraId="4248ACB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43" w:type="dxa"/>
            <w:vAlign w:val="center"/>
          </w:tcPr>
          <w:p w14:paraId="5126F3F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vAlign w:val="center"/>
          </w:tcPr>
          <w:p w14:paraId="01DACC7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667" w:type="dxa"/>
            <w:vAlign w:val="center"/>
          </w:tcPr>
          <w:p w14:paraId="0B2CC7D4">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285AB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B27613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vAlign w:val="center"/>
          </w:tcPr>
          <w:p w14:paraId="2D151C7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vAlign w:val="center"/>
          </w:tcPr>
          <w:p w14:paraId="7BBD6AF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43" w:type="dxa"/>
            <w:vAlign w:val="center"/>
          </w:tcPr>
          <w:p w14:paraId="4186B0A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vAlign w:val="center"/>
          </w:tcPr>
          <w:p w14:paraId="69D3EE7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667" w:type="dxa"/>
            <w:vAlign w:val="center"/>
          </w:tcPr>
          <w:p w14:paraId="39DC4071">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8E17B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36C638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vAlign w:val="center"/>
          </w:tcPr>
          <w:p w14:paraId="03A0273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vAlign w:val="center"/>
          </w:tcPr>
          <w:p w14:paraId="6238601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43" w:type="dxa"/>
            <w:vAlign w:val="center"/>
          </w:tcPr>
          <w:p w14:paraId="58961A6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vAlign w:val="center"/>
          </w:tcPr>
          <w:p w14:paraId="0AA4BE9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667" w:type="dxa"/>
            <w:vAlign w:val="center"/>
          </w:tcPr>
          <w:p w14:paraId="52F7A4E0">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56E3C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8CD2AF4">
            <w:pPr>
              <w:spacing w:line="360" w:lineRule="auto"/>
              <w:rPr>
                <w:rFonts w:hint="eastAsia" w:ascii="仿宋" w:hAnsi="仿宋" w:eastAsia="仿宋" w:cs="仿宋"/>
                <w:szCs w:val="21"/>
                <w:highlight w:val="none"/>
              </w:rPr>
            </w:pPr>
          </w:p>
        </w:tc>
        <w:tc>
          <w:tcPr>
            <w:tcW w:w="1276" w:type="dxa"/>
          </w:tcPr>
          <w:p w14:paraId="15B032E7">
            <w:pPr>
              <w:spacing w:line="360" w:lineRule="auto"/>
              <w:rPr>
                <w:rFonts w:hint="eastAsia" w:ascii="仿宋" w:hAnsi="仿宋" w:eastAsia="仿宋" w:cs="仿宋"/>
                <w:szCs w:val="21"/>
                <w:highlight w:val="none"/>
              </w:rPr>
            </w:pPr>
          </w:p>
        </w:tc>
        <w:tc>
          <w:tcPr>
            <w:tcW w:w="1450" w:type="dxa"/>
          </w:tcPr>
          <w:p w14:paraId="7AEB02D8">
            <w:pPr>
              <w:spacing w:line="360" w:lineRule="auto"/>
              <w:rPr>
                <w:rFonts w:hint="eastAsia" w:ascii="仿宋" w:hAnsi="仿宋" w:eastAsia="仿宋" w:cs="仿宋"/>
                <w:szCs w:val="21"/>
                <w:highlight w:val="none"/>
              </w:rPr>
            </w:pPr>
          </w:p>
        </w:tc>
        <w:tc>
          <w:tcPr>
            <w:tcW w:w="1243" w:type="dxa"/>
          </w:tcPr>
          <w:p w14:paraId="314961BE">
            <w:pPr>
              <w:spacing w:line="360" w:lineRule="auto"/>
              <w:rPr>
                <w:rFonts w:hint="eastAsia" w:ascii="仿宋" w:hAnsi="仿宋" w:eastAsia="仿宋" w:cs="仿宋"/>
                <w:szCs w:val="21"/>
                <w:highlight w:val="none"/>
              </w:rPr>
            </w:pPr>
          </w:p>
        </w:tc>
        <w:tc>
          <w:tcPr>
            <w:tcW w:w="1450" w:type="dxa"/>
          </w:tcPr>
          <w:p w14:paraId="6F5EB74A">
            <w:pPr>
              <w:spacing w:line="360" w:lineRule="auto"/>
              <w:rPr>
                <w:rFonts w:hint="eastAsia" w:ascii="仿宋" w:hAnsi="仿宋" w:eastAsia="仿宋" w:cs="仿宋"/>
                <w:szCs w:val="21"/>
                <w:highlight w:val="none"/>
              </w:rPr>
            </w:pPr>
          </w:p>
        </w:tc>
        <w:tc>
          <w:tcPr>
            <w:tcW w:w="1667" w:type="dxa"/>
          </w:tcPr>
          <w:p w14:paraId="4AC65C60">
            <w:pPr>
              <w:spacing w:line="360" w:lineRule="auto"/>
              <w:rPr>
                <w:rFonts w:hint="eastAsia" w:ascii="仿宋" w:hAnsi="仿宋" w:eastAsia="仿宋" w:cs="仿宋"/>
                <w:szCs w:val="21"/>
                <w:highlight w:val="none"/>
              </w:rPr>
            </w:pPr>
          </w:p>
        </w:tc>
      </w:tr>
      <w:tr w14:paraId="2FFED7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D333C9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vAlign w:val="center"/>
          </w:tcPr>
          <w:p w14:paraId="37A0897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vAlign w:val="center"/>
          </w:tcPr>
          <w:p w14:paraId="5ABD05D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43" w:type="dxa"/>
            <w:vAlign w:val="center"/>
          </w:tcPr>
          <w:p w14:paraId="10EDB81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50" w:type="dxa"/>
            <w:vAlign w:val="center"/>
          </w:tcPr>
          <w:p w14:paraId="20CCA02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667" w:type="dxa"/>
            <w:vAlign w:val="center"/>
          </w:tcPr>
          <w:p w14:paraId="2D0D2AFA">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3EF94D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5274AFA">
            <w:pPr>
              <w:spacing w:line="360" w:lineRule="auto"/>
              <w:rPr>
                <w:rFonts w:hint="eastAsia" w:ascii="仿宋" w:hAnsi="仿宋" w:eastAsia="仿宋" w:cs="仿宋"/>
                <w:szCs w:val="21"/>
                <w:highlight w:val="none"/>
              </w:rPr>
            </w:pPr>
          </w:p>
        </w:tc>
        <w:tc>
          <w:tcPr>
            <w:tcW w:w="1276" w:type="dxa"/>
          </w:tcPr>
          <w:p w14:paraId="5035FBD0">
            <w:pPr>
              <w:spacing w:line="360" w:lineRule="auto"/>
              <w:rPr>
                <w:rFonts w:hint="eastAsia" w:ascii="仿宋" w:hAnsi="仿宋" w:eastAsia="仿宋" w:cs="仿宋"/>
                <w:szCs w:val="21"/>
                <w:highlight w:val="none"/>
              </w:rPr>
            </w:pPr>
          </w:p>
        </w:tc>
        <w:tc>
          <w:tcPr>
            <w:tcW w:w="1450" w:type="dxa"/>
          </w:tcPr>
          <w:p w14:paraId="6BB4B1EC">
            <w:pPr>
              <w:spacing w:line="360" w:lineRule="auto"/>
              <w:rPr>
                <w:rFonts w:hint="eastAsia" w:ascii="仿宋" w:hAnsi="仿宋" w:eastAsia="仿宋" w:cs="仿宋"/>
                <w:szCs w:val="21"/>
                <w:highlight w:val="none"/>
              </w:rPr>
            </w:pPr>
          </w:p>
        </w:tc>
        <w:tc>
          <w:tcPr>
            <w:tcW w:w="1243" w:type="dxa"/>
          </w:tcPr>
          <w:p w14:paraId="4E3E5C7B">
            <w:pPr>
              <w:spacing w:line="360" w:lineRule="auto"/>
              <w:rPr>
                <w:rFonts w:hint="eastAsia" w:ascii="仿宋" w:hAnsi="仿宋" w:eastAsia="仿宋" w:cs="仿宋"/>
                <w:szCs w:val="21"/>
                <w:highlight w:val="none"/>
              </w:rPr>
            </w:pPr>
          </w:p>
        </w:tc>
        <w:tc>
          <w:tcPr>
            <w:tcW w:w="1450" w:type="dxa"/>
          </w:tcPr>
          <w:p w14:paraId="67100D3D">
            <w:pPr>
              <w:spacing w:line="360" w:lineRule="auto"/>
              <w:rPr>
                <w:rFonts w:hint="eastAsia" w:ascii="仿宋" w:hAnsi="仿宋" w:eastAsia="仿宋" w:cs="仿宋"/>
                <w:szCs w:val="21"/>
                <w:highlight w:val="none"/>
              </w:rPr>
            </w:pPr>
          </w:p>
        </w:tc>
        <w:tc>
          <w:tcPr>
            <w:tcW w:w="1667" w:type="dxa"/>
          </w:tcPr>
          <w:p w14:paraId="1B7AEC76">
            <w:pPr>
              <w:spacing w:line="360" w:lineRule="auto"/>
              <w:rPr>
                <w:rFonts w:hint="eastAsia" w:ascii="仿宋" w:hAnsi="仿宋" w:eastAsia="仿宋" w:cs="仿宋"/>
                <w:szCs w:val="21"/>
                <w:highlight w:val="none"/>
              </w:rPr>
            </w:pPr>
          </w:p>
        </w:tc>
      </w:tr>
      <w:tr w14:paraId="5F9C88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82E2D81">
            <w:pPr>
              <w:spacing w:line="360" w:lineRule="auto"/>
              <w:rPr>
                <w:rFonts w:hint="eastAsia" w:ascii="仿宋" w:hAnsi="仿宋" w:eastAsia="仿宋" w:cs="仿宋"/>
                <w:szCs w:val="21"/>
                <w:highlight w:val="none"/>
              </w:rPr>
            </w:pPr>
          </w:p>
        </w:tc>
        <w:tc>
          <w:tcPr>
            <w:tcW w:w="1276" w:type="dxa"/>
          </w:tcPr>
          <w:p w14:paraId="40CC9341">
            <w:pPr>
              <w:spacing w:line="360" w:lineRule="auto"/>
              <w:rPr>
                <w:rFonts w:hint="eastAsia" w:ascii="仿宋" w:hAnsi="仿宋" w:eastAsia="仿宋" w:cs="仿宋"/>
                <w:szCs w:val="21"/>
                <w:highlight w:val="none"/>
              </w:rPr>
            </w:pPr>
          </w:p>
        </w:tc>
        <w:tc>
          <w:tcPr>
            <w:tcW w:w="1450" w:type="dxa"/>
          </w:tcPr>
          <w:p w14:paraId="47318D0C">
            <w:pPr>
              <w:spacing w:line="360" w:lineRule="auto"/>
              <w:rPr>
                <w:rFonts w:hint="eastAsia" w:ascii="仿宋" w:hAnsi="仿宋" w:eastAsia="仿宋" w:cs="仿宋"/>
                <w:szCs w:val="21"/>
                <w:highlight w:val="none"/>
              </w:rPr>
            </w:pPr>
          </w:p>
        </w:tc>
        <w:tc>
          <w:tcPr>
            <w:tcW w:w="1243" w:type="dxa"/>
          </w:tcPr>
          <w:p w14:paraId="7CFBF279">
            <w:pPr>
              <w:spacing w:line="360" w:lineRule="auto"/>
              <w:rPr>
                <w:rFonts w:hint="eastAsia" w:ascii="仿宋" w:hAnsi="仿宋" w:eastAsia="仿宋" w:cs="仿宋"/>
                <w:szCs w:val="21"/>
                <w:highlight w:val="none"/>
              </w:rPr>
            </w:pPr>
          </w:p>
        </w:tc>
        <w:tc>
          <w:tcPr>
            <w:tcW w:w="1450" w:type="dxa"/>
          </w:tcPr>
          <w:p w14:paraId="5A9C8F65">
            <w:pPr>
              <w:spacing w:line="360" w:lineRule="auto"/>
              <w:rPr>
                <w:rFonts w:hint="eastAsia" w:ascii="仿宋" w:hAnsi="仿宋" w:eastAsia="仿宋" w:cs="仿宋"/>
                <w:szCs w:val="21"/>
                <w:highlight w:val="none"/>
              </w:rPr>
            </w:pPr>
          </w:p>
        </w:tc>
        <w:tc>
          <w:tcPr>
            <w:tcW w:w="1667" w:type="dxa"/>
          </w:tcPr>
          <w:p w14:paraId="6EB1D255">
            <w:pPr>
              <w:spacing w:line="360" w:lineRule="auto"/>
              <w:rPr>
                <w:rFonts w:hint="eastAsia" w:ascii="仿宋" w:hAnsi="仿宋" w:eastAsia="仿宋" w:cs="仿宋"/>
                <w:szCs w:val="21"/>
                <w:highlight w:val="none"/>
              </w:rPr>
            </w:pPr>
          </w:p>
        </w:tc>
      </w:tr>
      <w:tr w14:paraId="17D15B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16CCCE1">
            <w:pPr>
              <w:spacing w:line="360" w:lineRule="auto"/>
              <w:rPr>
                <w:rFonts w:hint="eastAsia" w:ascii="仿宋" w:hAnsi="仿宋" w:eastAsia="仿宋" w:cs="仿宋"/>
                <w:szCs w:val="21"/>
                <w:highlight w:val="none"/>
              </w:rPr>
            </w:pPr>
          </w:p>
        </w:tc>
        <w:tc>
          <w:tcPr>
            <w:tcW w:w="1276" w:type="dxa"/>
          </w:tcPr>
          <w:p w14:paraId="2301D6AD">
            <w:pPr>
              <w:spacing w:line="360" w:lineRule="auto"/>
              <w:rPr>
                <w:rFonts w:hint="eastAsia" w:ascii="仿宋" w:hAnsi="仿宋" w:eastAsia="仿宋" w:cs="仿宋"/>
                <w:szCs w:val="21"/>
                <w:highlight w:val="none"/>
              </w:rPr>
            </w:pPr>
          </w:p>
        </w:tc>
        <w:tc>
          <w:tcPr>
            <w:tcW w:w="1450" w:type="dxa"/>
          </w:tcPr>
          <w:p w14:paraId="22B7C013">
            <w:pPr>
              <w:spacing w:line="360" w:lineRule="auto"/>
              <w:rPr>
                <w:rFonts w:hint="eastAsia" w:ascii="仿宋" w:hAnsi="仿宋" w:eastAsia="仿宋" w:cs="仿宋"/>
                <w:szCs w:val="21"/>
                <w:highlight w:val="none"/>
              </w:rPr>
            </w:pPr>
          </w:p>
        </w:tc>
        <w:tc>
          <w:tcPr>
            <w:tcW w:w="1243" w:type="dxa"/>
          </w:tcPr>
          <w:p w14:paraId="165DD155">
            <w:pPr>
              <w:spacing w:line="360" w:lineRule="auto"/>
              <w:rPr>
                <w:rFonts w:hint="eastAsia" w:ascii="仿宋" w:hAnsi="仿宋" w:eastAsia="仿宋" w:cs="仿宋"/>
                <w:szCs w:val="21"/>
                <w:highlight w:val="none"/>
              </w:rPr>
            </w:pPr>
          </w:p>
        </w:tc>
        <w:tc>
          <w:tcPr>
            <w:tcW w:w="1450" w:type="dxa"/>
          </w:tcPr>
          <w:p w14:paraId="362042A9">
            <w:pPr>
              <w:spacing w:line="360" w:lineRule="auto"/>
              <w:rPr>
                <w:rFonts w:hint="eastAsia" w:ascii="仿宋" w:hAnsi="仿宋" w:eastAsia="仿宋" w:cs="仿宋"/>
                <w:szCs w:val="21"/>
                <w:highlight w:val="none"/>
              </w:rPr>
            </w:pPr>
          </w:p>
        </w:tc>
        <w:tc>
          <w:tcPr>
            <w:tcW w:w="1667" w:type="dxa"/>
          </w:tcPr>
          <w:p w14:paraId="10BE710E">
            <w:pPr>
              <w:spacing w:line="360" w:lineRule="auto"/>
              <w:rPr>
                <w:rFonts w:hint="eastAsia" w:ascii="仿宋" w:hAnsi="仿宋" w:eastAsia="仿宋" w:cs="仿宋"/>
                <w:szCs w:val="21"/>
                <w:highlight w:val="none"/>
              </w:rPr>
            </w:pPr>
          </w:p>
        </w:tc>
      </w:tr>
      <w:tr w14:paraId="7617B5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0D5E837">
            <w:pPr>
              <w:spacing w:line="360" w:lineRule="auto"/>
              <w:rPr>
                <w:rFonts w:hint="eastAsia" w:ascii="仿宋" w:hAnsi="仿宋" w:eastAsia="仿宋" w:cs="仿宋"/>
                <w:szCs w:val="21"/>
                <w:highlight w:val="none"/>
              </w:rPr>
            </w:pPr>
          </w:p>
        </w:tc>
        <w:tc>
          <w:tcPr>
            <w:tcW w:w="1276" w:type="dxa"/>
          </w:tcPr>
          <w:p w14:paraId="7D620575">
            <w:pPr>
              <w:spacing w:line="360" w:lineRule="auto"/>
              <w:rPr>
                <w:rFonts w:hint="eastAsia" w:ascii="仿宋" w:hAnsi="仿宋" w:eastAsia="仿宋" w:cs="仿宋"/>
                <w:szCs w:val="21"/>
                <w:highlight w:val="none"/>
              </w:rPr>
            </w:pPr>
          </w:p>
        </w:tc>
        <w:tc>
          <w:tcPr>
            <w:tcW w:w="1450" w:type="dxa"/>
          </w:tcPr>
          <w:p w14:paraId="32AC635B">
            <w:pPr>
              <w:spacing w:line="360" w:lineRule="auto"/>
              <w:rPr>
                <w:rFonts w:hint="eastAsia" w:ascii="仿宋" w:hAnsi="仿宋" w:eastAsia="仿宋" w:cs="仿宋"/>
                <w:szCs w:val="21"/>
                <w:highlight w:val="none"/>
              </w:rPr>
            </w:pPr>
          </w:p>
        </w:tc>
        <w:tc>
          <w:tcPr>
            <w:tcW w:w="1243" w:type="dxa"/>
          </w:tcPr>
          <w:p w14:paraId="1DE9F92D">
            <w:pPr>
              <w:spacing w:line="360" w:lineRule="auto"/>
              <w:rPr>
                <w:rFonts w:hint="eastAsia" w:ascii="仿宋" w:hAnsi="仿宋" w:eastAsia="仿宋" w:cs="仿宋"/>
                <w:szCs w:val="21"/>
                <w:highlight w:val="none"/>
              </w:rPr>
            </w:pPr>
          </w:p>
        </w:tc>
        <w:tc>
          <w:tcPr>
            <w:tcW w:w="1450" w:type="dxa"/>
          </w:tcPr>
          <w:p w14:paraId="7CB7E0A8">
            <w:pPr>
              <w:spacing w:line="360" w:lineRule="auto"/>
              <w:rPr>
                <w:rFonts w:hint="eastAsia" w:ascii="仿宋" w:hAnsi="仿宋" w:eastAsia="仿宋" w:cs="仿宋"/>
                <w:szCs w:val="21"/>
                <w:highlight w:val="none"/>
              </w:rPr>
            </w:pPr>
          </w:p>
        </w:tc>
        <w:tc>
          <w:tcPr>
            <w:tcW w:w="1667" w:type="dxa"/>
          </w:tcPr>
          <w:p w14:paraId="71EB4209">
            <w:pPr>
              <w:spacing w:line="360" w:lineRule="auto"/>
              <w:rPr>
                <w:rFonts w:hint="eastAsia" w:ascii="仿宋" w:hAnsi="仿宋" w:eastAsia="仿宋" w:cs="仿宋"/>
                <w:szCs w:val="21"/>
                <w:highlight w:val="none"/>
              </w:rPr>
            </w:pPr>
          </w:p>
        </w:tc>
      </w:tr>
      <w:tr w14:paraId="79EAF7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176CFB1">
            <w:pPr>
              <w:spacing w:line="360" w:lineRule="auto"/>
              <w:rPr>
                <w:rFonts w:hint="eastAsia" w:ascii="仿宋" w:hAnsi="仿宋" w:eastAsia="仿宋" w:cs="仿宋"/>
                <w:szCs w:val="21"/>
                <w:highlight w:val="none"/>
              </w:rPr>
            </w:pPr>
          </w:p>
        </w:tc>
        <w:tc>
          <w:tcPr>
            <w:tcW w:w="1276" w:type="dxa"/>
          </w:tcPr>
          <w:p w14:paraId="0EA3F78B">
            <w:pPr>
              <w:spacing w:line="360" w:lineRule="auto"/>
              <w:rPr>
                <w:rFonts w:hint="eastAsia" w:ascii="仿宋" w:hAnsi="仿宋" w:eastAsia="仿宋" w:cs="仿宋"/>
                <w:szCs w:val="21"/>
                <w:highlight w:val="none"/>
              </w:rPr>
            </w:pPr>
          </w:p>
        </w:tc>
        <w:tc>
          <w:tcPr>
            <w:tcW w:w="1450" w:type="dxa"/>
          </w:tcPr>
          <w:p w14:paraId="3236E3F8">
            <w:pPr>
              <w:spacing w:line="360" w:lineRule="auto"/>
              <w:rPr>
                <w:rFonts w:hint="eastAsia" w:ascii="仿宋" w:hAnsi="仿宋" w:eastAsia="仿宋" w:cs="仿宋"/>
                <w:szCs w:val="21"/>
                <w:highlight w:val="none"/>
              </w:rPr>
            </w:pPr>
          </w:p>
        </w:tc>
        <w:tc>
          <w:tcPr>
            <w:tcW w:w="1243" w:type="dxa"/>
          </w:tcPr>
          <w:p w14:paraId="2A65D2BB">
            <w:pPr>
              <w:spacing w:line="360" w:lineRule="auto"/>
              <w:rPr>
                <w:rFonts w:hint="eastAsia" w:ascii="仿宋" w:hAnsi="仿宋" w:eastAsia="仿宋" w:cs="仿宋"/>
                <w:szCs w:val="21"/>
                <w:highlight w:val="none"/>
              </w:rPr>
            </w:pPr>
          </w:p>
        </w:tc>
        <w:tc>
          <w:tcPr>
            <w:tcW w:w="1450" w:type="dxa"/>
          </w:tcPr>
          <w:p w14:paraId="3C499D28">
            <w:pPr>
              <w:spacing w:line="360" w:lineRule="auto"/>
              <w:rPr>
                <w:rFonts w:hint="eastAsia" w:ascii="仿宋" w:hAnsi="仿宋" w:eastAsia="仿宋" w:cs="仿宋"/>
                <w:szCs w:val="21"/>
                <w:highlight w:val="none"/>
              </w:rPr>
            </w:pPr>
          </w:p>
        </w:tc>
        <w:tc>
          <w:tcPr>
            <w:tcW w:w="1667" w:type="dxa"/>
          </w:tcPr>
          <w:p w14:paraId="5F133DBD">
            <w:pPr>
              <w:spacing w:line="360" w:lineRule="auto"/>
              <w:rPr>
                <w:rFonts w:hint="eastAsia" w:ascii="仿宋" w:hAnsi="仿宋" w:eastAsia="仿宋" w:cs="仿宋"/>
                <w:szCs w:val="21"/>
                <w:highlight w:val="none"/>
              </w:rPr>
            </w:pPr>
          </w:p>
        </w:tc>
      </w:tr>
      <w:tr w14:paraId="63BC21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E96552C">
            <w:pPr>
              <w:spacing w:line="360" w:lineRule="auto"/>
              <w:rPr>
                <w:rFonts w:hint="eastAsia" w:ascii="仿宋" w:hAnsi="仿宋" w:eastAsia="仿宋" w:cs="仿宋"/>
                <w:szCs w:val="21"/>
                <w:highlight w:val="none"/>
              </w:rPr>
            </w:pPr>
          </w:p>
        </w:tc>
        <w:tc>
          <w:tcPr>
            <w:tcW w:w="1276" w:type="dxa"/>
          </w:tcPr>
          <w:p w14:paraId="4F31115B">
            <w:pPr>
              <w:spacing w:line="360" w:lineRule="auto"/>
              <w:rPr>
                <w:rFonts w:hint="eastAsia" w:ascii="仿宋" w:hAnsi="仿宋" w:eastAsia="仿宋" w:cs="仿宋"/>
                <w:szCs w:val="21"/>
                <w:highlight w:val="none"/>
              </w:rPr>
            </w:pPr>
          </w:p>
        </w:tc>
        <w:tc>
          <w:tcPr>
            <w:tcW w:w="1450" w:type="dxa"/>
          </w:tcPr>
          <w:p w14:paraId="641CF0AE">
            <w:pPr>
              <w:spacing w:line="360" w:lineRule="auto"/>
              <w:rPr>
                <w:rFonts w:hint="eastAsia" w:ascii="仿宋" w:hAnsi="仿宋" w:eastAsia="仿宋" w:cs="仿宋"/>
                <w:szCs w:val="21"/>
                <w:highlight w:val="none"/>
              </w:rPr>
            </w:pPr>
          </w:p>
        </w:tc>
        <w:tc>
          <w:tcPr>
            <w:tcW w:w="1243" w:type="dxa"/>
          </w:tcPr>
          <w:p w14:paraId="22D4A907">
            <w:pPr>
              <w:spacing w:line="360" w:lineRule="auto"/>
              <w:rPr>
                <w:rFonts w:hint="eastAsia" w:ascii="仿宋" w:hAnsi="仿宋" w:eastAsia="仿宋" w:cs="仿宋"/>
                <w:szCs w:val="21"/>
                <w:highlight w:val="none"/>
              </w:rPr>
            </w:pPr>
          </w:p>
        </w:tc>
        <w:tc>
          <w:tcPr>
            <w:tcW w:w="1450" w:type="dxa"/>
          </w:tcPr>
          <w:p w14:paraId="660DC92B">
            <w:pPr>
              <w:spacing w:line="360" w:lineRule="auto"/>
              <w:rPr>
                <w:rFonts w:hint="eastAsia" w:ascii="仿宋" w:hAnsi="仿宋" w:eastAsia="仿宋" w:cs="仿宋"/>
                <w:szCs w:val="21"/>
                <w:highlight w:val="none"/>
              </w:rPr>
            </w:pPr>
          </w:p>
        </w:tc>
        <w:tc>
          <w:tcPr>
            <w:tcW w:w="1667" w:type="dxa"/>
          </w:tcPr>
          <w:p w14:paraId="6EE85A10">
            <w:pPr>
              <w:spacing w:line="360" w:lineRule="auto"/>
              <w:rPr>
                <w:rFonts w:hint="eastAsia" w:ascii="仿宋" w:hAnsi="仿宋" w:eastAsia="仿宋" w:cs="仿宋"/>
                <w:szCs w:val="21"/>
                <w:highlight w:val="none"/>
              </w:rPr>
            </w:pPr>
          </w:p>
        </w:tc>
      </w:tr>
      <w:tr w14:paraId="2EA6E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5B418F2">
            <w:pPr>
              <w:spacing w:line="360" w:lineRule="auto"/>
              <w:rPr>
                <w:rFonts w:hint="eastAsia" w:ascii="仿宋" w:hAnsi="仿宋" w:eastAsia="仿宋" w:cs="仿宋"/>
                <w:szCs w:val="21"/>
                <w:highlight w:val="none"/>
              </w:rPr>
            </w:pPr>
          </w:p>
        </w:tc>
        <w:tc>
          <w:tcPr>
            <w:tcW w:w="1276" w:type="dxa"/>
          </w:tcPr>
          <w:p w14:paraId="6B74EBB8">
            <w:pPr>
              <w:spacing w:line="360" w:lineRule="auto"/>
              <w:rPr>
                <w:rFonts w:hint="eastAsia" w:ascii="仿宋" w:hAnsi="仿宋" w:eastAsia="仿宋" w:cs="仿宋"/>
                <w:szCs w:val="21"/>
                <w:highlight w:val="none"/>
              </w:rPr>
            </w:pPr>
          </w:p>
        </w:tc>
        <w:tc>
          <w:tcPr>
            <w:tcW w:w="1450" w:type="dxa"/>
          </w:tcPr>
          <w:p w14:paraId="3EF83AC7">
            <w:pPr>
              <w:spacing w:line="360" w:lineRule="auto"/>
              <w:rPr>
                <w:rFonts w:hint="eastAsia" w:ascii="仿宋" w:hAnsi="仿宋" w:eastAsia="仿宋" w:cs="仿宋"/>
                <w:szCs w:val="21"/>
                <w:highlight w:val="none"/>
              </w:rPr>
            </w:pPr>
          </w:p>
        </w:tc>
        <w:tc>
          <w:tcPr>
            <w:tcW w:w="1243" w:type="dxa"/>
          </w:tcPr>
          <w:p w14:paraId="2892B645">
            <w:pPr>
              <w:spacing w:line="360" w:lineRule="auto"/>
              <w:rPr>
                <w:rFonts w:hint="eastAsia" w:ascii="仿宋" w:hAnsi="仿宋" w:eastAsia="仿宋" w:cs="仿宋"/>
                <w:szCs w:val="21"/>
                <w:highlight w:val="none"/>
              </w:rPr>
            </w:pPr>
          </w:p>
        </w:tc>
        <w:tc>
          <w:tcPr>
            <w:tcW w:w="1450" w:type="dxa"/>
          </w:tcPr>
          <w:p w14:paraId="1FDB7AA9">
            <w:pPr>
              <w:spacing w:line="360" w:lineRule="auto"/>
              <w:rPr>
                <w:rFonts w:hint="eastAsia" w:ascii="仿宋" w:hAnsi="仿宋" w:eastAsia="仿宋" w:cs="仿宋"/>
                <w:szCs w:val="21"/>
                <w:highlight w:val="none"/>
              </w:rPr>
            </w:pPr>
          </w:p>
        </w:tc>
        <w:tc>
          <w:tcPr>
            <w:tcW w:w="1667" w:type="dxa"/>
          </w:tcPr>
          <w:p w14:paraId="756530EA">
            <w:pPr>
              <w:spacing w:line="360" w:lineRule="auto"/>
              <w:rPr>
                <w:rFonts w:hint="eastAsia" w:ascii="仿宋" w:hAnsi="仿宋" w:eastAsia="仿宋" w:cs="仿宋"/>
                <w:szCs w:val="21"/>
                <w:highlight w:val="none"/>
              </w:rPr>
            </w:pPr>
          </w:p>
        </w:tc>
      </w:tr>
      <w:tr w14:paraId="0AC37E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09F4832">
            <w:pPr>
              <w:spacing w:line="360" w:lineRule="auto"/>
              <w:rPr>
                <w:rFonts w:hint="eastAsia" w:ascii="仿宋" w:hAnsi="仿宋" w:eastAsia="仿宋" w:cs="仿宋"/>
                <w:szCs w:val="21"/>
                <w:highlight w:val="none"/>
              </w:rPr>
            </w:pPr>
          </w:p>
        </w:tc>
        <w:tc>
          <w:tcPr>
            <w:tcW w:w="1276" w:type="dxa"/>
          </w:tcPr>
          <w:p w14:paraId="6EFAF6CF">
            <w:pPr>
              <w:spacing w:line="360" w:lineRule="auto"/>
              <w:rPr>
                <w:rFonts w:hint="eastAsia" w:ascii="仿宋" w:hAnsi="仿宋" w:eastAsia="仿宋" w:cs="仿宋"/>
                <w:szCs w:val="21"/>
                <w:highlight w:val="none"/>
              </w:rPr>
            </w:pPr>
          </w:p>
        </w:tc>
        <w:tc>
          <w:tcPr>
            <w:tcW w:w="1450" w:type="dxa"/>
          </w:tcPr>
          <w:p w14:paraId="61655945">
            <w:pPr>
              <w:spacing w:line="360" w:lineRule="auto"/>
              <w:rPr>
                <w:rFonts w:hint="eastAsia" w:ascii="仿宋" w:hAnsi="仿宋" w:eastAsia="仿宋" w:cs="仿宋"/>
                <w:szCs w:val="21"/>
                <w:highlight w:val="none"/>
              </w:rPr>
            </w:pPr>
          </w:p>
        </w:tc>
        <w:tc>
          <w:tcPr>
            <w:tcW w:w="1243" w:type="dxa"/>
          </w:tcPr>
          <w:p w14:paraId="610A3B87">
            <w:pPr>
              <w:spacing w:line="360" w:lineRule="auto"/>
              <w:rPr>
                <w:rFonts w:hint="eastAsia" w:ascii="仿宋" w:hAnsi="仿宋" w:eastAsia="仿宋" w:cs="仿宋"/>
                <w:szCs w:val="21"/>
                <w:highlight w:val="none"/>
              </w:rPr>
            </w:pPr>
          </w:p>
        </w:tc>
        <w:tc>
          <w:tcPr>
            <w:tcW w:w="1450" w:type="dxa"/>
          </w:tcPr>
          <w:p w14:paraId="26F964D8">
            <w:pPr>
              <w:spacing w:line="360" w:lineRule="auto"/>
              <w:rPr>
                <w:rFonts w:hint="eastAsia" w:ascii="仿宋" w:hAnsi="仿宋" w:eastAsia="仿宋" w:cs="仿宋"/>
                <w:szCs w:val="21"/>
                <w:highlight w:val="none"/>
              </w:rPr>
            </w:pPr>
          </w:p>
        </w:tc>
        <w:tc>
          <w:tcPr>
            <w:tcW w:w="1667" w:type="dxa"/>
          </w:tcPr>
          <w:p w14:paraId="21AFF635">
            <w:pPr>
              <w:spacing w:line="360" w:lineRule="auto"/>
              <w:rPr>
                <w:rFonts w:hint="eastAsia" w:ascii="仿宋" w:hAnsi="仿宋" w:eastAsia="仿宋" w:cs="仿宋"/>
                <w:szCs w:val="21"/>
                <w:highlight w:val="none"/>
              </w:rPr>
            </w:pPr>
          </w:p>
        </w:tc>
      </w:tr>
      <w:tr w14:paraId="20F62F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2824EEF">
            <w:pPr>
              <w:spacing w:line="360" w:lineRule="auto"/>
              <w:rPr>
                <w:rFonts w:hint="eastAsia" w:ascii="仿宋" w:hAnsi="仿宋" w:eastAsia="仿宋" w:cs="仿宋"/>
                <w:szCs w:val="21"/>
                <w:highlight w:val="none"/>
              </w:rPr>
            </w:pPr>
          </w:p>
        </w:tc>
        <w:tc>
          <w:tcPr>
            <w:tcW w:w="1276" w:type="dxa"/>
          </w:tcPr>
          <w:p w14:paraId="13CFC563">
            <w:pPr>
              <w:spacing w:line="360" w:lineRule="auto"/>
              <w:rPr>
                <w:rFonts w:hint="eastAsia" w:ascii="仿宋" w:hAnsi="仿宋" w:eastAsia="仿宋" w:cs="仿宋"/>
                <w:szCs w:val="21"/>
                <w:highlight w:val="none"/>
              </w:rPr>
            </w:pPr>
          </w:p>
        </w:tc>
        <w:tc>
          <w:tcPr>
            <w:tcW w:w="1450" w:type="dxa"/>
          </w:tcPr>
          <w:p w14:paraId="27A7012E">
            <w:pPr>
              <w:spacing w:line="360" w:lineRule="auto"/>
              <w:rPr>
                <w:rFonts w:hint="eastAsia" w:ascii="仿宋" w:hAnsi="仿宋" w:eastAsia="仿宋" w:cs="仿宋"/>
                <w:szCs w:val="21"/>
                <w:highlight w:val="none"/>
              </w:rPr>
            </w:pPr>
          </w:p>
        </w:tc>
        <w:tc>
          <w:tcPr>
            <w:tcW w:w="1243" w:type="dxa"/>
          </w:tcPr>
          <w:p w14:paraId="67E17046">
            <w:pPr>
              <w:spacing w:line="360" w:lineRule="auto"/>
              <w:rPr>
                <w:rFonts w:hint="eastAsia" w:ascii="仿宋" w:hAnsi="仿宋" w:eastAsia="仿宋" w:cs="仿宋"/>
                <w:szCs w:val="21"/>
                <w:highlight w:val="none"/>
              </w:rPr>
            </w:pPr>
          </w:p>
        </w:tc>
        <w:tc>
          <w:tcPr>
            <w:tcW w:w="1450" w:type="dxa"/>
          </w:tcPr>
          <w:p w14:paraId="4C29FEB5">
            <w:pPr>
              <w:spacing w:line="360" w:lineRule="auto"/>
              <w:rPr>
                <w:rFonts w:hint="eastAsia" w:ascii="仿宋" w:hAnsi="仿宋" w:eastAsia="仿宋" w:cs="仿宋"/>
                <w:szCs w:val="21"/>
                <w:highlight w:val="none"/>
              </w:rPr>
            </w:pPr>
          </w:p>
        </w:tc>
        <w:tc>
          <w:tcPr>
            <w:tcW w:w="1667" w:type="dxa"/>
          </w:tcPr>
          <w:p w14:paraId="20C2ADFB">
            <w:pPr>
              <w:spacing w:line="360" w:lineRule="auto"/>
              <w:rPr>
                <w:rFonts w:hint="eastAsia" w:ascii="仿宋" w:hAnsi="仿宋" w:eastAsia="仿宋" w:cs="仿宋"/>
                <w:szCs w:val="21"/>
                <w:highlight w:val="none"/>
              </w:rPr>
            </w:pPr>
          </w:p>
        </w:tc>
      </w:tr>
    </w:tbl>
    <w:p w14:paraId="287CA9F6">
      <w:pPr>
        <w:spacing w:line="360" w:lineRule="auto"/>
        <w:rPr>
          <w:rFonts w:hint="eastAsia" w:ascii="仿宋" w:hAnsi="仿宋" w:eastAsia="仿宋" w:cs="仿宋"/>
          <w:szCs w:val="21"/>
          <w:highlight w:val="none"/>
        </w:rPr>
      </w:pPr>
    </w:p>
    <w:p w14:paraId="4F60EFA8">
      <w:pPr>
        <w:spacing w:beforeLines="50" w:afterLines="50" w:line="360" w:lineRule="auto"/>
        <w:jc w:val="left"/>
        <w:outlineLvl w:val="1"/>
        <w:rPr>
          <w:rFonts w:hint="eastAsia" w:ascii="仿宋" w:hAnsi="仿宋" w:eastAsia="仿宋" w:cs="仿宋"/>
          <w:b/>
          <w:bCs/>
          <w:szCs w:val="21"/>
          <w:highlight w:val="none"/>
        </w:rPr>
      </w:pPr>
      <w:r>
        <w:rPr>
          <w:rFonts w:hint="eastAsia" w:ascii="仿宋" w:hAnsi="仿宋" w:eastAsia="仿宋" w:cs="仿宋"/>
          <w:szCs w:val="21"/>
          <w:highlight w:val="none"/>
        </w:rPr>
        <w:br w:type="page"/>
      </w:r>
      <w:r>
        <w:rPr>
          <w:rFonts w:hint="eastAsia" w:ascii="仿宋" w:hAnsi="仿宋" w:eastAsia="仿宋" w:cs="仿宋"/>
          <w:b/>
          <w:bCs/>
          <w:szCs w:val="21"/>
          <w:highlight w:val="none"/>
        </w:rPr>
        <w:t>附</w:t>
      </w:r>
      <w:bookmarkStart w:id="1266" w:name="_Toc296503227"/>
      <w:bookmarkStart w:id="1267" w:name="_Toc296347226"/>
      <w:bookmarkStart w:id="1268" w:name="_Toc296891267"/>
      <w:bookmarkStart w:id="1269" w:name="_Toc296346728"/>
      <w:bookmarkStart w:id="1270" w:name="_Toc267261698"/>
      <w:bookmarkStart w:id="1271" w:name="_Toc296944566"/>
      <w:bookmarkStart w:id="1272" w:name="_Toc296891055"/>
      <w:r>
        <w:rPr>
          <w:rFonts w:hint="eastAsia" w:ascii="仿宋" w:hAnsi="仿宋" w:eastAsia="仿宋" w:cs="仿宋"/>
          <w:b/>
          <w:bCs/>
          <w:szCs w:val="21"/>
          <w:highlight w:val="none"/>
        </w:rPr>
        <w:t>件5：</w:t>
      </w:r>
    </w:p>
    <w:bookmarkEnd w:id="1266"/>
    <w:bookmarkEnd w:id="1267"/>
    <w:bookmarkEnd w:id="1268"/>
    <w:bookmarkEnd w:id="1269"/>
    <w:bookmarkEnd w:id="1270"/>
    <w:bookmarkEnd w:id="1271"/>
    <w:bookmarkEnd w:id="1272"/>
    <w:p w14:paraId="0B475174">
      <w:pPr>
        <w:spacing w:beforeLines="50" w:afterLines="50"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承包人用于本工程施工的机械设备表</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676E85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4153435C">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序号</w:t>
            </w:r>
          </w:p>
        </w:tc>
        <w:tc>
          <w:tcPr>
            <w:tcW w:w="1418" w:type="dxa"/>
            <w:tcBorders>
              <w:top w:val="single" w:color="auto" w:sz="12" w:space="0"/>
              <w:bottom w:val="double" w:color="auto" w:sz="6" w:space="0"/>
            </w:tcBorders>
            <w:vAlign w:val="center"/>
          </w:tcPr>
          <w:p w14:paraId="3A2B42EC">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机械或设备名称</w:t>
            </w:r>
          </w:p>
        </w:tc>
        <w:tc>
          <w:tcPr>
            <w:tcW w:w="850" w:type="dxa"/>
            <w:tcBorders>
              <w:top w:val="single" w:color="auto" w:sz="12" w:space="0"/>
              <w:bottom w:val="double" w:color="auto" w:sz="6" w:space="0"/>
            </w:tcBorders>
            <w:vAlign w:val="center"/>
          </w:tcPr>
          <w:p w14:paraId="5327C0A5">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规格型号</w:t>
            </w:r>
          </w:p>
        </w:tc>
        <w:tc>
          <w:tcPr>
            <w:tcW w:w="1058" w:type="dxa"/>
            <w:tcBorders>
              <w:top w:val="single" w:color="auto" w:sz="12" w:space="0"/>
              <w:bottom w:val="double" w:color="auto" w:sz="6" w:space="0"/>
            </w:tcBorders>
            <w:vAlign w:val="center"/>
          </w:tcPr>
          <w:p w14:paraId="4A61656E">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数量</w:t>
            </w:r>
          </w:p>
        </w:tc>
        <w:tc>
          <w:tcPr>
            <w:tcW w:w="880" w:type="dxa"/>
            <w:tcBorders>
              <w:top w:val="single" w:color="auto" w:sz="12" w:space="0"/>
              <w:bottom w:val="double" w:color="auto" w:sz="6" w:space="0"/>
            </w:tcBorders>
            <w:vAlign w:val="center"/>
          </w:tcPr>
          <w:p w14:paraId="36678279">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产地</w:t>
            </w:r>
          </w:p>
        </w:tc>
        <w:tc>
          <w:tcPr>
            <w:tcW w:w="1020" w:type="dxa"/>
            <w:tcBorders>
              <w:top w:val="single" w:color="auto" w:sz="12" w:space="0"/>
              <w:bottom w:val="double" w:color="auto" w:sz="6" w:space="0"/>
            </w:tcBorders>
            <w:vAlign w:val="center"/>
          </w:tcPr>
          <w:p w14:paraId="4B64F784">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制造年份</w:t>
            </w:r>
          </w:p>
        </w:tc>
        <w:tc>
          <w:tcPr>
            <w:tcW w:w="1480" w:type="dxa"/>
            <w:tcBorders>
              <w:top w:val="single" w:color="auto" w:sz="12" w:space="0"/>
              <w:bottom w:val="double" w:color="auto" w:sz="6" w:space="0"/>
            </w:tcBorders>
            <w:vAlign w:val="center"/>
          </w:tcPr>
          <w:p w14:paraId="7B00D6BA">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额定功率（kW）</w:t>
            </w:r>
          </w:p>
        </w:tc>
        <w:tc>
          <w:tcPr>
            <w:tcW w:w="1020" w:type="dxa"/>
            <w:tcBorders>
              <w:top w:val="single" w:color="auto" w:sz="12" w:space="0"/>
              <w:bottom w:val="double" w:color="auto" w:sz="6" w:space="0"/>
            </w:tcBorders>
            <w:vAlign w:val="center"/>
          </w:tcPr>
          <w:p w14:paraId="41150659">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生产能力</w:t>
            </w:r>
          </w:p>
        </w:tc>
        <w:tc>
          <w:tcPr>
            <w:tcW w:w="921" w:type="dxa"/>
            <w:tcBorders>
              <w:top w:val="single" w:color="auto" w:sz="12" w:space="0"/>
              <w:bottom w:val="double" w:color="auto" w:sz="6" w:space="0"/>
            </w:tcBorders>
            <w:vAlign w:val="center"/>
          </w:tcPr>
          <w:p w14:paraId="6A3CF090">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备注</w:t>
            </w:r>
          </w:p>
        </w:tc>
      </w:tr>
      <w:tr w14:paraId="29CF66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5047246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Borders>
              <w:top w:val="double" w:color="auto" w:sz="6" w:space="0"/>
              <w:bottom w:val="single" w:color="auto" w:sz="6" w:space="0"/>
            </w:tcBorders>
            <w:vAlign w:val="center"/>
          </w:tcPr>
          <w:p w14:paraId="50D64EC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tcBorders>
              <w:top w:val="double" w:color="auto" w:sz="6" w:space="0"/>
              <w:bottom w:val="single" w:color="auto" w:sz="6" w:space="0"/>
            </w:tcBorders>
            <w:vAlign w:val="center"/>
          </w:tcPr>
          <w:p w14:paraId="45586D6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58" w:type="dxa"/>
            <w:tcBorders>
              <w:top w:val="double" w:color="auto" w:sz="6" w:space="0"/>
              <w:bottom w:val="single" w:color="auto" w:sz="6" w:space="0"/>
            </w:tcBorders>
            <w:vAlign w:val="center"/>
          </w:tcPr>
          <w:p w14:paraId="7D4A71F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80" w:type="dxa"/>
            <w:tcBorders>
              <w:top w:val="double" w:color="auto" w:sz="6" w:space="0"/>
              <w:bottom w:val="single" w:color="auto" w:sz="6" w:space="0"/>
            </w:tcBorders>
            <w:vAlign w:val="center"/>
          </w:tcPr>
          <w:p w14:paraId="2B061C4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tcBorders>
              <w:top w:val="double" w:color="auto" w:sz="6" w:space="0"/>
              <w:bottom w:val="single" w:color="auto" w:sz="6" w:space="0"/>
            </w:tcBorders>
            <w:vAlign w:val="center"/>
          </w:tcPr>
          <w:p w14:paraId="2236AC7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80" w:type="dxa"/>
            <w:tcBorders>
              <w:top w:val="double" w:color="auto" w:sz="6" w:space="0"/>
              <w:bottom w:val="single" w:color="auto" w:sz="6" w:space="0"/>
            </w:tcBorders>
            <w:vAlign w:val="center"/>
          </w:tcPr>
          <w:p w14:paraId="7E43B11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tcBorders>
              <w:top w:val="double" w:color="auto" w:sz="6" w:space="0"/>
              <w:bottom w:val="single" w:color="auto" w:sz="6" w:space="0"/>
            </w:tcBorders>
            <w:vAlign w:val="center"/>
          </w:tcPr>
          <w:p w14:paraId="7C01FFF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21" w:type="dxa"/>
            <w:tcBorders>
              <w:top w:val="double" w:color="auto" w:sz="6" w:space="0"/>
              <w:bottom w:val="single" w:color="auto" w:sz="6" w:space="0"/>
            </w:tcBorders>
            <w:vAlign w:val="center"/>
          </w:tcPr>
          <w:p w14:paraId="29BC6660">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2CF515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3389A2C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Borders>
              <w:top w:val="nil"/>
            </w:tcBorders>
            <w:vAlign w:val="center"/>
          </w:tcPr>
          <w:p w14:paraId="2EC1205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tcBorders>
              <w:top w:val="nil"/>
            </w:tcBorders>
            <w:vAlign w:val="center"/>
          </w:tcPr>
          <w:p w14:paraId="3B58002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58" w:type="dxa"/>
            <w:tcBorders>
              <w:top w:val="nil"/>
            </w:tcBorders>
            <w:vAlign w:val="center"/>
          </w:tcPr>
          <w:p w14:paraId="75DFD74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80" w:type="dxa"/>
            <w:tcBorders>
              <w:top w:val="nil"/>
            </w:tcBorders>
            <w:vAlign w:val="center"/>
          </w:tcPr>
          <w:p w14:paraId="7332FAA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tcBorders>
              <w:top w:val="nil"/>
            </w:tcBorders>
            <w:vAlign w:val="center"/>
          </w:tcPr>
          <w:p w14:paraId="15823CE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80" w:type="dxa"/>
            <w:tcBorders>
              <w:top w:val="nil"/>
            </w:tcBorders>
            <w:vAlign w:val="center"/>
          </w:tcPr>
          <w:p w14:paraId="05EE807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tcBorders>
              <w:top w:val="nil"/>
            </w:tcBorders>
            <w:vAlign w:val="center"/>
          </w:tcPr>
          <w:p w14:paraId="54BD9CF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21" w:type="dxa"/>
            <w:tcBorders>
              <w:top w:val="nil"/>
            </w:tcBorders>
            <w:vAlign w:val="center"/>
          </w:tcPr>
          <w:p w14:paraId="1F3DD4B1">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26ED7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1DE8B2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071B1E3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vAlign w:val="center"/>
          </w:tcPr>
          <w:p w14:paraId="742DC0D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58" w:type="dxa"/>
            <w:vAlign w:val="center"/>
          </w:tcPr>
          <w:p w14:paraId="733FD66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80" w:type="dxa"/>
            <w:vAlign w:val="center"/>
          </w:tcPr>
          <w:p w14:paraId="7A87704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vAlign w:val="center"/>
          </w:tcPr>
          <w:p w14:paraId="5944FD4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80" w:type="dxa"/>
            <w:vAlign w:val="center"/>
          </w:tcPr>
          <w:p w14:paraId="2E182FB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vAlign w:val="center"/>
          </w:tcPr>
          <w:p w14:paraId="5F69491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21" w:type="dxa"/>
            <w:vAlign w:val="center"/>
          </w:tcPr>
          <w:p w14:paraId="121D49CF">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373C33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15F5AE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0C72DBE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vAlign w:val="center"/>
          </w:tcPr>
          <w:p w14:paraId="5D193D0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58" w:type="dxa"/>
            <w:vAlign w:val="center"/>
          </w:tcPr>
          <w:p w14:paraId="17EF8DD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80" w:type="dxa"/>
            <w:vAlign w:val="center"/>
          </w:tcPr>
          <w:p w14:paraId="5F287E3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vAlign w:val="center"/>
          </w:tcPr>
          <w:p w14:paraId="6CBB5EC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80" w:type="dxa"/>
            <w:vAlign w:val="center"/>
          </w:tcPr>
          <w:p w14:paraId="6375721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vAlign w:val="center"/>
          </w:tcPr>
          <w:p w14:paraId="73D61BA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21" w:type="dxa"/>
            <w:vAlign w:val="center"/>
          </w:tcPr>
          <w:p w14:paraId="5C06D9E6">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BF817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5A97FC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0C23B21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vAlign w:val="center"/>
          </w:tcPr>
          <w:p w14:paraId="0F78593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58" w:type="dxa"/>
            <w:vAlign w:val="center"/>
          </w:tcPr>
          <w:p w14:paraId="38E9B13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80" w:type="dxa"/>
            <w:vAlign w:val="center"/>
          </w:tcPr>
          <w:p w14:paraId="41C74CD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vAlign w:val="center"/>
          </w:tcPr>
          <w:p w14:paraId="763C0A6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80" w:type="dxa"/>
            <w:vAlign w:val="center"/>
          </w:tcPr>
          <w:p w14:paraId="48D27B7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vAlign w:val="center"/>
          </w:tcPr>
          <w:p w14:paraId="4CB3DCA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21" w:type="dxa"/>
            <w:vAlign w:val="center"/>
          </w:tcPr>
          <w:p w14:paraId="4EE72BFB">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E30FD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667016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365CD6F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vAlign w:val="center"/>
          </w:tcPr>
          <w:p w14:paraId="3DE973C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58" w:type="dxa"/>
            <w:vAlign w:val="center"/>
          </w:tcPr>
          <w:p w14:paraId="79F1231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80" w:type="dxa"/>
            <w:vAlign w:val="center"/>
          </w:tcPr>
          <w:p w14:paraId="3A26FF3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vAlign w:val="center"/>
          </w:tcPr>
          <w:p w14:paraId="5EAF953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80" w:type="dxa"/>
            <w:vAlign w:val="center"/>
          </w:tcPr>
          <w:p w14:paraId="2B60B28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vAlign w:val="center"/>
          </w:tcPr>
          <w:p w14:paraId="3271E9F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21" w:type="dxa"/>
            <w:vAlign w:val="center"/>
          </w:tcPr>
          <w:p w14:paraId="4C3100A2">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AD7E8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BF2833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1671FB1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vAlign w:val="center"/>
          </w:tcPr>
          <w:p w14:paraId="42A91A9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58" w:type="dxa"/>
            <w:vAlign w:val="center"/>
          </w:tcPr>
          <w:p w14:paraId="531C2EB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80" w:type="dxa"/>
            <w:vAlign w:val="center"/>
          </w:tcPr>
          <w:p w14:paraId="14BB1A6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vAlign w:val="center"/>
          </w:tcPr>
          <w:p w14:paraId="0A9F94A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80" w:type="dxa"/>
            <w:vAlign w:val="center"/>
          </w:tcPr>
          <w:p w14:paraId="1589936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vAlign w:val="center"/>
          </w:tcPr>
          <w:p w14:paraId="3F5E333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21" w:type="dxa"/>
            <w:vAlign w:val="center"/>
          </w:tcPr>
          <w:p w14:paraId="3229C053">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CF76C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AFA6CD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07D0358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vAlign w:val="center"/>
          </w:tcPr>
          <w:p w14:paraId="03B172D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58" w:type="dxa"/>
            <w:vAlign w:val="center"/>
          </w:tcPr>
          <w:p w14:paraId="3CFFEC1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80" w:type="dxa"/>
            <w:vAlign w:val="center"/>
          </w:tcPr>
          <w:p w14:paraId="479C533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vAlign w:val="center"/>
          </w:tcPr>
          <w:p w14:paraId="2E6A00B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80" w:type="dxa"/>
            <w:vAlign w:val="center"/>
          </w:tcPr>
          <w:p w14:paraId="4B9A119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vAlign w:val="center"/>
          </w:tcPr>
          <w:p w14:paraId="6986A77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21" w:type="dxa"/>
            <w:vAlign w:val="center"/>
          </w:tcPr>
          <w:p w14:paraId="62FBA0BE">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C7A2A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F29A47D">
            <w:pPr>
              <w:spacing w:line="360" w:lineRule="auto"/>
              <w:rPr>
                <w:rFonts w:hint="eastAsia" w:ascii="仿宋" w:hAnsi="仿宋" w:eastAsia="仿宋" w:cs="仿宋"/>
                <w:szCs w:val="21"/>
                <w:highlight w:val="none"/>
              </w:rPr>
            </w:pPr>
          </w:p>
        </w:tc>
        <w:tc>
          <w:tcPr>
            <w:tcW w:w="1418" w:type="dxa"/>
          </w:tcPr>
          <w:p w14:paraId="5B50C58A">
            <w:pPr>
              <w:spacing w:line="360" w:lineRule="auto"/>
              <w:rPr>
                <w:rFonts w:hint="eastAsia" w:ascii="仿宋" w:hAnsi="仿宋" w:eastAsia="仿宋" w:cs="仿宋"/>
                <w:szCs w:val="21"/>
                <w:highlight w:val="none"/>
              </w:rPr>
            </w:pPr>
          </w:p>
        </w:tc>
        <w:tc>
          <w:tcPr>
            <w:tcW w:w="850" w:type="dxa"/>
          </w:tcPr>
          <w:p w14:paraId="6E0F3B82">
            <w:pPr>
              <w:spacing w:line="360" w:lineRule="auto"/>
              <w:rPr>
                <w:rFonts w:hint="eastAsia" w:ascii="仿宋" w:hAnsi="仿宋" w:eastAsia="仿宋" w:cs="仿宋"/>
                <w:szCs w:val="21"/>
                <w:highlight w:val="none"/>
              </w:rPr>
            </w:pPr>
          </w:p>
        </w:tc>
        <w:tc>
          <w:tcPr>
            <w:tcW w:w="1058" w:type="dxa"/>
          </w:tcPr>
          <w:p w14:paraId="47474719">
            <w:pPr>
              <w:spacing w:line="360" w:lineRule="auto"/>
              <w:rPr>
                <w:rFonts w:hint="eastAsia" w:ascii="仿宋" w:hAnsi="仿宋" w:eastAsia="仿宋" w:cs="仿宋"/>
                <w:szCs w:val="21"/>
                <w:highlight w:val="none"/>
              </w:rPr>
            </w:pPr>
          </w:p>
        </w:tc>
        <w:tc>
          <w:tcPr>
            <w:tcW w:w="880" w:type="dxa"/>
          </w:tcPr>
          <w:p w14:paraId="6DDDC156">
            <w:pPr>
              <w:spacing w:line="360" w:lineRule="auto"/>
              <w:rPr>
                <w:rFonts w:hint="eastAsia" w:ascii="仿宋" w:hAnsi="仿宋" w:eastAsia="仿宋" w:cs="仿宋"/>
                <w:szCs w:val="21"/>
                <w:highlight w:val="none"/>
              </w:rPr>
            </w:pPr>
          </w:p>
        </w:tc>
        <w:tc>
          <w:tcPr>
            <w:tcW w:w="1020" w:type="dxa"/>
          </w:tcPr>
          <w:p w14:paraId="049E37B9">
            <w:pPr>
              <w:spacing w:line="360" w:lineRule="auto"/>
              <w:rPr>
                <w:rFonts w:hint="eastAsia" w:ascii="仿宋" w:hAnsi="仿宋" w:eastAsia="仿宋" w:cs="仿宋"/>
                <w:szCs w:val="21"/>
                <w:highlight w:val="none"/>
              </w:rPr>
            </w:pPr>
          </w:p>
        </w:tc>
        <w:tc>
          <w:tcPr>
            <w:tcW w:w="1480" w:type="dxa"/>
          </w:tcPr>
          <w:p w14:paraId="131C217A">
            <w:pPr>
              <w:spacing w:line="360" w:lineRule="auto"/>
              <w:rPr>
                <w:rFonts w:hint="eastAsia" w:ascii="仿宋" w:hAnsi="仿宋" w:eastAsia="仿宋" w:cs="仿宋"/>
                <w:szCs w:val="21"/>
                <w:highlight w:val="none"/>
              </w:rPr>
            </w:pPr>
          </w:p>
        </w:tc>
        <w:tc>
          <w:tcPr>
            <w:tcW w:w="1020" w:type="dxa"/>
          </w:tcPr>
          <w:p w14:paraId="14847BB9">
            <w:pPr>
              <w:spacing w:line="360" w:lineRule="auto"/>
              <w:rPr>
                <w:rFonts w:hint="eastAsia" w:ascii="仿宋" w:hAnsi="仿宋" w:eastAsia="仿宋" w:cs="仿宋"/>
                <w:szCs w:val="21"/>
                <w:highlight w:val="none"/>
              </w:rPr>
            </w:pPr>
          </w:p>
        </w:tc>
        <w:tc>
          <w:tcPr>
            <w:tcW w:w="921" w:type="dxa"/>
          </w:tcPr>
          <w:p w14:paraId="27BDE62E">
            <w:pPr>
              <w:spacing w:line="360" w:lineRule="auto"/>
              <w:rPr>
                <w:rFonts w:hint="eastAsia" w:ascii="仿宋" w:hAnsi="仿宋" w:eastAsia="仿宋" w:cs="仿宋"/>
                <w:szCs w:val="21"/>
                <w:highlight w:val="none"/>
              </w:rPr>
            </w:pPr>
          </w:p>
        </w:tc>
      </w:tr>
      <w:tr w14:paraId="04DCFF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C8B3B9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5D934E4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0" w:type="dxa"/>
            <w:vAlign w:val="center"/>
          </w:tcPr>
          <w:p w14:paraId="4971D93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58" w:type="dxa"/>
            <w:vAlign w:val="center"/>
          </w:tcPr>
          <w:p w14:paraId="0DF807F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80" w:type="dxa"/>
            <w:vAlign w:val="center"/>
          </w:tcPr>
          <w:p w14:paraId="29B2A41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vAlign w:val="center"/>
          </w:tcPr>
          <w:p w14:paraId="4429B27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80" w:type="dxa"/>
            <w:vAlign w:val="center"/>
          </w:tcPr>
          <w:p w14:paraId="02471A7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020" w:type="dxa"/>
            <w:vAlign w:val="center"/>
          </w:tcPr>
          <w:p w14:paraId="354CA8E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921" w:type="dxa"/>
            <w:vAlign w:val="center"/>
          </w:tcPr>
          <w:p w14:paraId="77464055">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D4E7B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9AB9ACE">
            <w:pPr>
              <w:spacing w:line="360" w:lineRule="auto"/>
              <w:rPr>
                <w:rFonts w:hint="eastAsia" w:ascii="仿宋" w:hAnsi="仿宋" w:eastAsia="仿宋" w:cs="仿宋"/>
                <w:szCs w:val="21"/>
                <w:highlight w:val="none"/>
              </w:rPr>
            </w:pPr>
          </w:p>
        </w:tc>
        <w:tc>
          <w:tcPr>
            <w:tcW w:w="1418" w:type="dxa"/>
          </w:tcPr>
          <w:p w14:paraId="57D9D322">
            <w:pPr>
              <w:spacing w:line="360" w:lineRule="auto"/>
              <w:rPr>
                <w:rFonts w:hint="eastAsia" w:ascii="仿宋" w:hAnsi="仿宋" w:eastAsia="仿宋" w:cs="仿宋"/>
                <w:szCs w:val="21"/>
                <w:highlight w:val="none"/>
              </w:rPr>
            </w:pPr>
          </w:p>
        </w:tc>
        <w:tc>
          <w:tcPr>
            <w:tcW w:w="850" w:type="dxa"/>
          </w:tcPr>
          <w:p w14:paraId="5117DAF9">
            <w:pPr>
              <w:spacing w:line="360" w:lineRule="auto"/>
              <w:rPr>
                <w:rFonts w:hint="eastAsia" w:ascii="仿宋" w:hAnsi="仿宋" w:eastAsia="仿宋" w:cs="仿宋"/>
                <w:szCs w:val="21"/>
                <w:highlight w:val="none"/>
              </w:rPr>
            </w:pPr>
          </w:p>
        </w:tc>
        <w:tc>
          <w:tcPr>
            <w:tcW w:w="1058" w:type="dxa"/>
          </w:tcPr>
          <w:p w14:paraId="354C4474">
            <w:pPr>
              <w:spacing w:line="360" w:lineRule="auto"/>
              <w:rPr>
                <w:rFonts w:hint="eastAsia" w:ascii="仿宋" w:hAnsi="仿宋" w:eastAsia="仿宋" w:cs="仿宋"/>
                <w:szCs w:val="21"/>
                <w:highlight w:val="none"/>
              </w:rPr>
            </w:pPr>
          </w:p>
        </w:tc>
        <w:tc>
          <w:tcPr>
            <w:tcW w:w="880" w:type="dxa"/>
          </w:tcPr>
          <w:p w14:paraId="57093C49">
            <w:pPr>
              <w:spacing w:line="360" w:lineRule="auto"/>
              <w:rPr>
                <w:rFonts w:hint="eastAsia" w:ascii="仿宋" w:hAnsi="仿宋" w:eastAsia="仿宋" w:cs="仿宋"/>
                <w:szCs w:val="21"/>
                <w:highlight w:val="none"/>
              </w:rPr>
            </w:pPr>
          </w:p>
        </w:tc>
        <w:tc>
          <w:tcPr>
            <w:tcW w:w="1020" w:type="dxa"/>
          </w:tcPr>
          <w:p w14:paraId="590C2B08">
            <w:pPr>
              <w:spacing w:line="360" w:lineRule="auto"/>
              <w:rPr>
                <w:rFonts w:hint="eastAsia" w:ascii="仿宋" w:hAnsi="仿宋" w:eastAsia="仿宋" w:cs="仿宋"/>
                <w:szCs w:val="21"/>
                <w:highlight w:val="none"/>
              </w:rPr>
            </w:pPr>
          </w:p>
        </w:tc>
        <w:tc>
          <w:tcPr>
            <w:tcW w:w="1480" w:type="dxa"/>
          </w:tcPr>
          <w:p w14:paraId="07209E2F">
            <w:pPr>
              <w:spacing w:line="360" w:lineRule="auto"/>
              <w:rPr>
                <w:rFonts w:hint="eastAsia" w:ascii="仿宋" w:hAnsi="仿宋" w:eastAsia="仿宋" w:cs="仿宋"/>
                <w:szCs w:val="21"/>
                <w:highlight w:val="none"/>
              </w:rPr>
            </w:pPr>
          </w:p>
        </w:tc>
        <w:tc>
          <w:tcPr>
            <w:tcW w:w="1020" w:type="dxa"/>
          </w:tcPr>
          <w:p w14:paraId="208CC9D8">
            <w:pPr>
              <w:spacing w:line="360" w:lineRule="auto"/>
              <w:rPr>
                <w:rFonts w:hint="eastAsia" w:ascii="仿宋" w:hAnsi="仿宋" w:eastAsia="仿宋" w:cs="仿宋"/>
                <w:szCs w:val="21"/>
                <w:highlight w:val="none"/>
              </w:rPr>
            </w:pPr>
          </w:p>
        </w:tc>
        <w:tc>
          <w:tcPr>
            <w:tcW w:w="921" w:type="dxa"/>
          </w:tcPr>
          <w:p w14:paraId="24C83D59">
            <w:pPr>
              <w:spacing w:line="360" w:lineRule="auto"/>
              <w:rPr>
                <w:rFonts w:hint="eastAsia" w:ascii="仿宋" w:hAnsi="仿宋" w:eastAsia="仿宋" w:cs="仿宋"/>
                <w:szCs w:val="21"/>
                <w:highlight w:val="none"/>
              </w:rPr>
            </w:pPr>
          </w:p>
        </w:tc>
      </w:tr>
      <w:tr w14:paraId="557446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D93DE4F">
            <w:pPr>
              <w:spacing w:line="360" w:lineRule="auto"/>
              <w:rPr>
                <w:rFonts w:hint="eastAsia" w:ascii="仿宋" w:hAnsi="仿宋" w:eastAsia="仿宋" w:cs="仿宋"/>
                <w:szCs w:val="21"/>
                <w:highlight w:val="none"/>
              </w:rPr>
            </w:pPr>
          </w:p>
        </w:tc>
        <w:tc>
          <w:tcPr>
            <w:tcW w:w="1418" w:type="dxa"/>
          </w:tcPr>
          <w:p w14:paraId="2559CB2F">
            <w:pPr>
              <w:spacing w:line="360" w:lineRule="auto"/>
              <w:rPr>
                <w:rFonts w:hint="eastAsia" w:ascii="仿宋" w:hAnsi="仿宋" w:eastAsia="仿宋" w:cs="仿宋"/>
                <w:szCs w:val="21"/>
                <w:highlight w:val="none"/>
              </w:rPr>
            </w:pPr>
          </w:p>
        </w:tc>
        <w:tc>
          <w:tcPr>
            <w:tcW w:w="850" w:type="dxa"/>
          </w:tcPr>
          <w:p w14:paraId="5693FCB1">
            <w:pPr>
              <w:spacing w:line="360" w:lineRule="auto"/>
              <w:rPr>
                <w:rFonts w:hint="eastAsia" w:ascii="仿宋" w:hAnsi="仿宋" w:eastAsia="仿宋" w:cs="仿宋"/>
                <w:szCs w:val="21"/>
                <w:highlight w:val="none"/>
              </w:rPr>
            </w:pPr>
          </w:p>
        </w:tc>
        <w:tc>
          <w:tcPr>
            <w:tcW w:w="1058" w:type="dxa"/>
          </w:tcPr>
          <w:p w14:paraId="2F30F9D8">
            <w:pPr>
              <w:spacing w:line="360" w:lineRule="auto"/>
              <w:rPr>
                <w:rFonts w:hint="eastAsia" w:ascii="仿宋" w:hAnsi="仿宋" w:eastAsia="仿宋" w:cs="仿宋"/>
                <w:szCs w:val="21"/>
                <w:highlight w:val="none"/>
              </w:rPr>
            </w:pPr>
          </w:p>
        </w:tc>
        <w:tc>
          <w:tcPr>
            <w:tcW w:w="880" w:type="dxa"/>
          </w:tcPr>
          <w:p w14:paraId="598B5083">
            <w:pPr>
              <w:spacing w:line="360" w:lineRule="auto"/>
              <w:rPr>
                <w:rFonts w:hint="eastAsia" w:ascii="仿宋" w:hAnsi="仿宋" w:eastAsia="仿宋" w:cs="仿宋"/>
                <w:szCs w:val="21"/>
                <w:highlight w:val="none"/>
              </w:rPr>
            </w:pPr>
          </w:p>
        </w:tc>
        <w:tc>
          <w:tcPr>
            <w:tcW w:w="1020" w:type="dxa"/>
          </w:tcPr>
          <w:p w14:paraId="4AA649C4">
            <w:pPr>
              <w:spacing w:line="360" w:lineRule="auto"/>
              <w:rPr>
                <w:rFonts w:hint="eastAsia" w:ascii="仿宋" w:hAnsi="仿宋" w:eastAsia="仿宋" w:cs="仿宋"/>
                <w:szCs w:val="21"/>
                <w:highlight w:val="none"/>
              </w:rPr>
            </w:pPr>
          </w:p>
        </w:tc>
        <w:tc>
          <w:tcPr>
            <w:tcW w:w="1480" w:type="dxa"/>
          </w:tcPr>
          <w:p w14:paraId="11723ECD">
            <w:pPr>
              <w:spacing w:line="360" w:lineRule="auto"/>
              <w:rPr>
                <w:rFonts w:hint="eastAsia" w:ascii="仿宋" w:hAnsi="仿宋" w:eastAsia="仿宋" w:cs="仿宋"/>
                <w:szCs w:val="21"/>
                <w:highlight w:val="none"/>
              </w:rPr>
            </w:pPr>
          </w:p>
        </w:tc>
        <w:tc>
          <w:tcPr>
            <w:tcW w:w="1020" w:type="dxa"/>
          </w:tcPr>
          <w:p w14:paraId="6894AF51">
            <w:pPr>
              <w:spacing w:line="360" w:lineRule="auto"/>
              <w:rPr>
                <w:rFonts w:hint="eastAsia" w:ascii="仿宋" w:hAnsi="仿宋" w:eastAsia="仿宋" w:cs="仿宋"/>
                <w:szCs w:val="21"/>
                <w:highlight w:val="none"/>
              </w:rPr>
            </w:pPr>
          </w:p>
        </w:tc>
        <w:tc>
          <w:tcPr>
            <w:tcW w:w="921" w:type="dxa"/>
          </w:tcPr>
          <w:p w14:paraId="3A82BB70">
            <w:pPr>
              <w:spacing w:line="360" w:lineRule="auto"/>
              <w:rPr>
                <w:rFonts w:hint="eastAsia" w:ascii="仿宋" w:hAnsi="仿宋" w:eastAsia="仿宋" w:cs="仿宋"/>
                <w:szCs w:val="21"/>
                <w:highlight w:val="none"/>
              </w:rPr>
            </w:pPr>
          </w:p>
        </w:tc>
      </w:tr>
      <w:tr w14:paraId="4EB85A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9FE18E6">
            <w:pPr>
              <w:spacing w:line="360" w:lineRule="auto"/>
              <w:rPr>
                <w:rFonts w:hint="eastAsia" w:ascii="仿宋" w:hAnsi="仿宋" w:eastAsia="仿宋" w:cs="仿宋"/>
                <w:szCs w:val="21"/>
                <w:highlight w:val="none"/>
              </w:rPr>
            </w:pPr>
          </w:p>
        </w:tc>
        <w:tc>
          <w:tcPr>
            <w:tcW w:w="1418" w:type="dxa"/>
          </w:tcPr>
          <w:p w14:paraId="25590711">
            <w:pPr>
              <w:spacing w:line="360" w:lineRule="auto"/>
              <w:rPr>
                <w:rFonts w:hint="eastAsia" w:ascii="仿宋" w:hAnsi="仿宋" w:eastAsia="仿宋" w:cs="仿宋"/>
                <w:szCs w:val="21"/>
                <w:highlight w:val="none"/>
              </w:rPr>
            </w:pPr>
          </w:p>
        </w:tc>
        <w:tc>
          <w:tcPr>
            <w:tcW w:w="850" w:type="dxa"/>
          </w:tcPr>
          <w:p w14:paraId="0B013B23">
            <w:pPr>
              <w:spacing w:line="360" w:lineRule="auto"/>
              <w:rPr>
                <w:rFonts w:hint="eastAsia" w:ascii="仿宋" w:hAnsi="仿宋" w:eastAsia="仿宋" w:cs="仿宋"/>
                <w:szCs w:val="21"/>
                <w:highlight w:val="none"/>
              </w:rPr>
            </w:pPr>
          </w:p>
        </w:tc>
        <w:tc>
          <w:tcPr>
            <w:tcW w:w="1058" w:type="dxa"/>
          </w:tcPr>
          <w:p w14:paraId="5F8BDF2A">
            <w:pPr>
              <w:spacing w:line="360" w:lineRule="auto"/>
              <w:rPr>
                <w:rFonts w:hint="eastAsia" w:ascii="仿宋" w:hAnsi="仿宋" w:eastAsia="仿宋" w:cs="仿宋"/>
                <w:szCs w:val="21"/>
                <w:highlight w:val="none"/>
              </w:rPr>
            </w:pPr>
          </w:p>
        </w:tc>
        <w:tc>
          <w:tcPr>
            <w:tcW w:w="880" w:type="dxa"/>
          </w:tcPr>
          <w:p w14:paraId="501E46EB">
            <w:pPr>
              <w:spacing w:line="360" w:lineRule="auto"/>
              <w:rPr>
                <w:rFonts w:hint="eastAsia" w:ascii="仿宋" w:hAnsi="仿宋" w:eastAsia="仿宋" w:cs="仿宋"/>
                <w:szCs w:val="21"/>
                <w:highlight w:val="none"/>
              </w:rPr>
            </w:pPr>
          </w:p>
        </w:tc>
        <w:tc>
          <w:tcPr>
            <w:tcW w:w="1020" w:type="dxa"/>
          </w:tcPr>
          <w:p w14:paraId="5F361D2E">
            <w:pPr>
              <w:spacing w:line="360" w:lineRule="auto"/>
              <w:rPr>
                <w:rFonts w:hint="eastAsia" w:ascii="仿宋" w:hAnsi="仿宋" w:eastAsia="仿宋" w:cs="仿宋"/>
                <w:szCs w:val="21"/>
                <w:highlight w:val="none"/>
              </w:rPr>
            </w:pPr>
          </w:p>
        </w:tc>
        <w:tc>
          <w:tcPr>
            <w:tcW w:w="1480" w:type="dxa"/>
          </w:tcPr>
          <w:p w14:paraId="5A3BE0DA">
            <w:pPr>
              <w:spacing w:line="360" w:lineRule="auto"/>
              <w:rPr>
                <w:rFonts w:hint="eastAsia" w:ascii="仿宋" w:hAnsi="仿宋" w:eastAsia="仿宋" w:cs="仿宋"/>
                <w:szCs w:val="21"/>
                <w:highlight w:val="none"/>
              </w:rPr>
            </w:pPr>
          </w:p>
        </w:tc>
        <w:tc>
          <w:tcPr>
            <w:tcW w:w="1020" w:type="dxa"/>
          </w:tcPr>
          <w:p w14:paraId="72B2907F">
            <w:pPr>
              <w:spacing w:line="360" w:lineRule="auto"/>
              <w:rPr>
                <w:rFonts w:hint="eastAsia" w:ascii="仿宋" w:hAnsi="仿宋" w:eastAsia="仿宋" w:cs="仿宋"/>
                <w:szCs w:val="21"/>
                <w:highlight w:val="none"/>
              </w:rPr>
            </w:pPr>
          </w:p>
        </w:tc>
        <w:tc>
          <w:tcPr>
            <w:tcW w:w="921" w:type="dxa"/>
          </w:tcPr>
          <w:p w14:paraId="74ADA3CC">
            <w:pPr>
              <w:spacing w:line="360" w:lineRule="auto"/>
              <w:rPr>
                <w:rFonts w:hint="eastAsia" w:ascii="仿宋" w:hAnsi="仿宋" w:eastAsia="仿宋" w:cs="仿宋"/>
                <w:szCs w:val="21"/>
                <w:highlight w:val="none"/>
              </w:rPr>
            </w:pPr>
          </w:p>
        </w:tc>
      </w:tr>
      <w:tr w14:paraId="544CDB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73A0D70">
            <w:pPr>
              <w:spacing w:line="360" w:lineRule="auto"/>
              <w:rPr>
                <w:rFonts w:hint="eastAsia" w:ascii="仿宋" w:hAnsi="仿宋" w:eastAsia="仿宋" w:cs="仿宋"/>
                <w:szCs w:val="21"/>
                <w:highlight w:val="none"/>
              </w:rPr>
            </w:pPr>
          </w:p>
        </w:tc>
        <w:tc>
          <w:tcPr>
            <w:tcW w:w="1418" w:type="dxa"/>
          </w:tcPr>
          <w:p w14:paraId="24453772">
            <w:pPr>
              <w:spacing w:line="360" w:lineRule="auto"/>
              <w:rPr>
                <w:rFonts w:hint="eastAsia" w:ascii="仿宋" w:hAnsi="仿宋" w:eastAsia="仿宋" w:cs="仿宋"/>
                <w:szCs w:val="21"/>
                <w:highlight w:val="none"/>
              </w:rPr>
            </w:pPr>
          </w:p>
        </w:tc>
        <w:tc>
          <w:tcPr>
            <w:tcW w:w="850" w:type="dxa"/>
          </w:tcPr>
          <w:p w14:paraId="35264E3E">
            <w:pPr>
              <w:spacing w:line="360" w:lineRule="auto"/>
              <w:rPr>
                <w:rFonts w:hint="eastAsia" w:ascii="仿宋" w:hAnsi="仿宋" w:eastAsia="仿宋" w:cs="仿宋"/>
                <w:szCs w:val="21"/>
                <w:highlight w:val="none"/>
              </w:rPr>
            </w:pPr>
          </w:p>
        </w:tc>
        <w:tc>
          <w:tcPr>
            <w:tcW w:w="1058" w:type="dxa"/>
          </w:tcPr>
          <w:p w14:paraId="5A38A974">
            <w:pPr>
              <w:spacing w:line="360" w:lineRule="auto"/>
              <w:rPr>
                <w:rFonts w:hint="eastAsia" w:ascii="仿宋" w:hAnsi="仿宋" w:eastAsia="仿宋" w:cs="仿宋"/>
                <w:szCs w:val="21"/>
                <w:highlight w:val="none"/>
              </w:rPr>
            </w:pPr>
          </w:p>
        </w:tc>
        <w:tc>
          <w:tcPr>
            <w:tcW w:w="880" w:type="dxa"/>
          </w:tcPr>
          <w:p w14:paraId="6ED70037">
            <w:pPr>
              <w:spacing w:line="360" w:lineRule="auto"/>
              <w:rPr>
                <w:rFonts w:hint="eastAsia" w:ascii="仿宋" w:hAnsi="仿宋" w:eastAsia="仿宋" w:cs="仿宋"/>
                <w:szCs w:val="21"/>
                <w:highlight w:val="none"/>
              </w:rPr>
            </w:pPr>
          </w:p>
        </w:tc>
        <w:tc>
          <w:tcPr>
            <w:tcW w:w="1020" w:type="dxa"/>
          </w:tcPr>
          <w:p w14:paraId="628F8021">
            <w:pPr>
              <w:spacing w:line="360" w:lineRule="auto"/>
              <w:rPr>
                <w:rFonts w:hint="eastAsia" w:ascii="仿宋" w:hAnsi="仿宋" w:eastAsia="仿宋" w:cs="仿宋"/>
                <w:szCs w:val="21"/>
                <w:highlight w:val="none"/>
              </w:rPr>
            </w:pPr>
          </w:p>
        </w:tc>
        <w:tc>
          <w:tcPr>
            <w:tcW w:w="1480" w:type="dxa"/>
          </w:tcPr>
          <w:p w14:paraId="6A6C379E">
            <w:pPr>
              <w:spacing w:line="360" w:lineRule="auto"/>
              <w:rPr>
                <w:rFonts w:hint="eastAsia" w:ascii="仿宋" w:hAnsi="仿宋" w:eastAsia="仿宋" w:cs="仿宋"/>
                <w:szCs w:val="21"/>
                <w:highlight w:val="none"/>
              </w:rPr>
            </w:pPr>
          </w:p>
        </w:tc>
        <w:tc>
          <w:tcPr>
            <w:tcW w:w="1020" w:type="dxa"/>
          </w:tcPr>
          <w:p w14:paraId="0F5009EF">
            <w:pPr>
              <w:spacing w:line="360" w:lineRule="auto"/>
              <w:rPr>
                <w:rFonts w:hint="eastAsia" w:ascii="仿宋" w:hAnsi="仿宋" w:eastAsia="仿宋" w:cs="仿宋"/>
                <w:szCs w:val="21"/>
                <w:highlight w:val="none"/>
              </w:rPr>
            </w:pPr>
          </w:p>
        </w:tc>
        <w:tc>
          <w:tcPr>
            <w:tcW w:w="921" w:type="dxa"/>
          </w:tcPr>
          <w:p w14:paraId="435760E7">
            <w:pPr>
              <w:spacing w:line="360" w:lineRule="auto"/>
              <w:rPr>
                <w:rFonts w:hint="eastAsia" w:ascii="仿宋" w:hAnsi="仿宋" w:eastAsia="仿宋" w:cs="仿宋"/>
                <w:szCs w:val="21"/>
                <w:highlight w:val="none"/>
              </w:rPr>
            </w:pPr>
          </w:p>
        </w:tc>
      </w:tr>
      <w:tr w14:paraId="1655D4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936834C">
            <w:pPr>
              <w:spacing w:line="360" w:lineRule="auto"/>
              <w:rPr>
                <w:rFonts w:hint="eastAsia" w:ascii="仿宋" w:hAnsi="仿宋" w:eastAsia="仿宋" w:cs="仿宋"/>
                <w:szCs w:val="21"/>
                <w:highlight w:val="none"/>
              </w:rPr>
            </w:pPr>
          </w:p>
        </w:tc>
        <w:tc>
          <w:tcPr>
            <w:tcW w:w="1418" w:type="dxa"/>
          </w:tcPr>
          <w:p w14:paraId="22935CA9">
            <w:pPr>
              <w:spacing w:line="360" w:lineRule="auto"/>
              <w:rPr>
                <w:rFonts w:hint="eastAsia" w:ascii="仿宋" w:hAnsi="仿宋" w:eastAsia="仿宋" w:cs="仿宋"/>
                <w:szCs w:val="21"/>
                <w:highlight w:val="none"/>
              </w:rPr>
            </w:pPr>
          </w:p>
        </w:tc>
        <w:tc>
          <w:tcPr>
            <w:tcW w:w="850" w:type="dxa"/>
          </w:tcPr>
          <w:p w14:paraId="683EE7D8">
            <w:pPr>
              <w:spacing w:line="360" w:lineRule="auto"/>
              <w:rPr>
                <w:rFonts w:hint="eastAsia" w:ascii="仿宋" w:hAnsi="仿宋" w:eastAsia="仿宋" w:cs="仿宋"/>
                <w:szCs w:val="21"/>
                <w:highlight w:val="none"/>
              </w:rPr>
            </w:pPr>
          </w:p>
        </w:tc>
        <w:tc>
          <w:tcPr>
            <w:tcW w:w="1058" w:type="dxa"/>
          </w:tcPr>
          <w:p w14:paraId="46995058">
            <w:pPr>
              <w:spacing w:line="360" w:lineRule="auto"/>
              <w:rPr>
                <w:rFonts w:hint="eastAsia" w:ascii="仿宋" w:hAnsi="仿宋" w:eastAsia="仿宋" w:cs="仿宋"/>
                <w:szCs w:val="21"/>
                <w:highlight w:val="none"/>
              </w:rPr>
            </w:pPr>
          </w:p>
        </w:tc>
        <w:tc>
          <w:tcPr>
            <w:tcW w:w="880" w:type="dxa"/>
          </w:tcPr>
          <w:p w14:paraId="4DD7E7C8">
            <w:pPr>
              <w:spacing w:line="360" w:lineRule="auto"/>
              <w:rPr>
                <w:rFonts w:hint="eastAsia" w:ascii="仿宋" w:hAnsi="仿宋" w:eastAsia="仿宋" w:cs="仿宋"/>
                <w:szCs w:val="21"/>
                <w:highlight w:val="none"/>
              </w:rPr>
            </w:pPr>
          </w:p>
        </w:tc>
        <w:tc>
          <w:tcPr>
            <w:tcW w:w="1020" w:type="dxa"/>
          </w:tcPr>
          <w:p w14:paraId="355AB674">
            <w:pPr>
              <w:spacing w:line="360" w:lineRule="auto"/>
              <w:rPr>
                <w:rFonts w:hint="eastAsia" w:ascii="仿宋" w:hAnsi="仿宋" w:eastAsia="仿宋" w:cs="仿宋"/>
                <w:szCs w:val="21"/>
                <w:highlight w:val="none"/>
              </w:rPr>
            </w:pPr>
          </w:p>
        </w:tc>
        <w:tc>
          <w:tcPr>
            <w:tcW w:w="1480" w:type="dxa"/>
          </w:tcPr>
          <w:p w14:paraId="01888D54">
            <w:pPr>
              <w:spacing w:line="360" w:lineRule="auto"/>
              <w:rPr>
                <w:rFonts w:hint="eastAsia" w:ascii="仿宋" w:hAnsi="仿宋" w:eastAsia="仿宋" w:cs="仿宋"/>
                <w:szCs w:val="21"/>
                <w:highlight w:val="none"/>
              </w:rPr>
            </w:pPr>
          </w:p>
        </w:tc>
        <w:tc>
          <w:tcPr>
            <w:tcW w:w="1020" w:type="dxa"/>
          </w:tcPr>
          <w:p w14:paraId="3ACE1D0B">
            <w:pPr>
              <w:spacing w:line="360" w:lineRule="auto"/>
              <w:rPr>
                <w:rFonts w:hint="eastAsia" w:ascii="仿宋" w:hAnsi="仿宋" w:eastAsia="仿宋" w:cs="仿宋"/>
                <w:szCs w:val="21"/>
                <w:highlight w:val="none"/>
              </w:rPr>
            </w:pPr>
          </w:p>
        </w:tc>
        <w:tc>
          <w:tcPr>
            <w:tcW w:w="921" w:type="dxa"/>
          </w:tcPr>
          <w:p w14:paraId="4908BD70">
            <w:pPr>
              <w:spacing w:line="360" w:lineRule="auto"/>
              <w:rPr>
                <w:rFonts w:hint="eastAsia" w:ascii="仿宋" w:hAnsi="仿宋" w:eastAsia="仿宋" w:cs="仿宋"/>
                <w:szCs w:val="21"/>
                <w:highlight w:val="none"/>
              </w:rPr>
            </w:pPr>
          </w:p>
        </w:tc>
      </w:tr>
      <w:tr w14:paraId="63255A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13EED95">
            <w:pPr>
              <w:spacing w:line="360" w:lineRule="auto"/>
              <w:rPr>
                <w:rFonts w:hint="eastAsia" w:ascii="仿宋" w:hAnsi="仿宋" w:eastAsia="仿宋" w:cs="仿宋"/>
                <w:szCs w:val="21"/>
                <w:highlight w:val="none"/>
              </w:rPr>
            </w:pPr>
          </w:p>
        </w:tc>
        <w:tc>
          <w:tcPr>
            <w:tcW w:w="1418" w:type="dxa"/>
          </w:tcPr>
          <w:p w14:paraId="3160386D">
            <w:pPr>
              <w:spacing w:line="360" w:lineRule="auto"/>
              <w:rPr>
                <w:rFonts w:hint="eastAsia" w:ascii="仿宋" w:hAnsi="仿宋" w:eastAsia="仿宋" w:cs="仿宋"/>
                <w:szCs w:val="21"/>
                <w:highlight w:val="none"/>
              </w:rPr>
            </w:pPr>
          </w:p>
        </w:tc>
        <w:tc>
          <w:tcPr>
            <w:tcW w:w="850" w:type="dxa"/>
          </w:tcPr>
          <w:p w14:paraId="724A9C5B">
            <w:pPr>
              <w:spacing w:line="360" w:lineRule="auto"/>
              <w:rPr>
                <w:rFonts w:hint="eastAsia" w:ascii="仿宋" w:hAnsi="仿宋" w:eastAsia="仿宋" w:cs="仿宋"/>
                <w:szCs w:val="21"/>
                <w:highlight w:val="none"/>
              </w:rPr>
            </w:pPr>
          </w:p>
        </w:tc>
        <w:tc>
          <w:tcPr>
            <w:tcW w:w="1058" w:type="dxa"/>
          </w:tcPr>
          <w:p w14:paraId="17C261D8">
            <w:pPr>
              <w:spacing w:line="360" w:lineRule="auto"/>
              <w:rPr>
                <w:rFonts w:hint="eastAsia" w:ascii="仿宋" w:hAnsi="仿宋" w:eastAsia="仿宋" w:cs="仿宋"/>
                <w:szCs w:val="21"/>
                <w:highlight w:val="none"/>
              </w:rPr>
            </w:pPr>
          </w:p>
        </w:tc>
        <w:tc>
          <w:tcPr>
            <w:tcW w:w="880" w:type="dxa"/>
          </w:tcPr>
          <w:p w14:paraId="1618DD65">
            <w:pPr>
              <w:spacing w:line="360" w:lineRule="auto"/>
              <w:rPr>
                <w:rFonts w:hint="eastAsia" w:ascii="仿宋" w:hAnsi="仿宋" w:eastAsia="仿宋" w:cs="仿宋"/>
                <w:szCs w:val="21"/>
                <w:highlight w:val="none"/>
              </w:rPr>
            </w:pPr>
          </w:p>
        </w:tc>
        <w:tc>
          <w:tcPr>
            <w:tcW w:w="1020" w:type="dxa"/>
          </w:tcPr>
          <w:p w14:paraId="4F3BB552">
            <w:pPr>
              <w:spacing w:line="360" w:lineRule="auto"/>
              <w:rPr>
                <w:rFonts w:hint="eastAsia" w:ascii="仿宋" w:hAnsi="仿宋" w:eastAsia="仿宋" w:cs="仿宋"/>
                <w:szCs w:val="21"/>
                <w:highlight w:val="none"/>
              </w:rPr>
            </w:pPr>
          </w:p>
        </w:tc>
        <w:tc>
          <w:tcPr>
            <w:tcW w:w="1480" w:type="dxa"/>
          </w:tcPr>
          <w:p w14:paraId="5A665CE2">
            <w:pPr>
              <w:spacing w:line="360" w:lineRule="auto"/>
              <w:rPr>
                <w:rFonts w:hint="eastAsia" w:ascii="仿宋" w:hAnsi="仿宋" w:eastAsia="仿宋" w:cs="仿宋"/>
                <w:szCs w:val="21"/>
                <w:highlight w:val="none"/>
              </w:rPr>
            </w:pPr>
          </w:p>
        </w:tc>
        <w:tc>
          <w:tcPr>
            <w:tcW w:w="1020" w:type="dxa"/>
          </w:tcPr>
          <w:p w14:paraId="61FB7817">
            <w:pPr>
              <w:spacing w:line="360" w:lineRule="auto"/>
              <w:rPr>
                <w:rFonts w:hint="eastAsia" w:ascii="仿宋" w:hAnsi="仿宋" w:eastAsia="仿宋" w:cs="仿宋"/>
                <w:szCs w:val="21"/>
                <w:highlight w:val="none"/>
              </w:rPr>
            </w:pPr>
          </w:p>
        </w:tc>
        <w:tc>
          <w:tcPr>
            <w:tcW w:w="921" w:type="dxa"/>
          </w:tcPr>
          <w:p w14:paraId="37BDF56C">
            <w:pPr>
              <w:spacing w:line="360" w:lineRule="auto"/>
              <w:rPr>
                <w:rFonts w:hint="eastAsia" w:ascii="仿宋" w:hAnsi="仿宋" w:eastAsia="仿宋" w:cs="仿宋"/>
                <w:szCs w:val="21"/>
                <w:highlight w:val="none"/>
              </w:rPr>
            </w:pPr>
          </w:p>
        </w:tc>
      </w:tr>
      <w:tr w14:paraId="001FC3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ACB7A41">
            <w:pPr>
              <w:spacing w:line="360" w:lineRule="auto"/>
              <w:rPr>
                <w:rFonts w:hint="eastAsia" w:ascii="仿宋" w:hAnsi="仿宋" w:eastAsia="仿宋" w:cs="仿宋"/>
                <w:szCs w:val="21"/>
                <w:highlight w:val="none"/>
              </w:rPr>
            </w:pPr>
          </w:p>
        </w:tc>
        <w:tc>
          <w:tcPr>
            <w:tcW w:w="1418" w:type="dxa"/>
          </w:tcPr>
          <w:p w14:paraId="53F20DDE">
            <w:pPr>
              <w:spacing w:line="360" w:lineRule="auto"/>
              <w:rPr>
                <w:rFonts w:hint="eastAsia" w:ascii="仿宋" w:hAnsi="仿宋" w:eastAsia="仿宋" w:cs="仿宋"/>
                <w:szCs w:val="21"/>
                <w:highlight w:val="none"/>
              </w:rPr>
            </w:pPr>
          </w:p>
        </w:tc>
        <w:tc>
          <w:tcPr>
            <w:tcW w:w="850" w:type="dxa"/>
          </w:tcPr>
          <w:p w14:paraId="1B234271">
            <w:pPr>
              <w:spacing w:line="360" w:lineRule="auto"/>
              <w:rPr>
                <w:rFonts w:hint="eastAsia" w:ascii="仿宋" w:hAnsi="仿宋" w:eastAsia="仿宋" w:cs="仿宋"/>
                <w:szCs w:val="21"/>
                <w:highlight w:val="none"/>
              </w:rPr>
            </w:pPr>
          </w:p>
        </w:tc>
        <w:tc>
          <w:tcPr>
            <w:tcW w:w="1058" w:type="dxa"/>
          </w:tcPr>
          <w:p w14:paraId="08E8A816">
            <w:pPr>
              <w:spacing w:line="360" w:lineRule="auto"/>
              <w:rPr>
                <w:rFonts w:hint="eastAsia" w:ascii="仿宋" w:hAnsi="仿宋" w:eastAsia="仿宋" w:cs="仿宋"/>
                <w:szCs w:val="21"/>
                <w:highlight w:val="none"/>
              </w:rPr>
            </w:pPr>
          </w:p>
        </w:tc>
        <w:tc>
          <w:tcPr>
            <w:tcW w:w="880" w:type="dxa"/>
          </w:tcPr>
          <w:p w14:paraId="1A6FA69D">
            <w:pPr>
              <w:spacing w:line="360" w:lineRule="auto"/>
              <w:rPr>
                <w:rFonts w:hint="eastAsia" w:ascii="仿宋" w:hAnsi="仿宋" w:eastAsia="仿宋" w:cs="仿宋"/>
                <w:szCs w:val="21"/>
                <w:highlight w:val="none"/>
              </w:rPr>
            </w:pPr>
          </w:p>
        </w:tc>
        <w:tc>
          <w:tcPr>
            <w:tcW w:w="1020" w:type="dxa"/>
          </w:tcPr>
          <w:p w14:paraId="64272464">
            <w:pPr>
              <w:spacing w:line="360" w:lineRule="auto"/>
              <w:rPr>
                <w:rFonts w:hint="eastAsia" w:ascii="仿宋" w:hAnsi="仿宋" w:eastAsia="仿宋" w:cs="仿宋"/>
                <w:szCs w:val="21"/>
                <w:highlight w:val="none"/>
              </w:rPr>
            </w:pPr>
          </w:p>
        </w:tc>
        <w:tc>
          <w:tcPr>
            <w:tcW w:w="1480" w:type="dxa"/>
          </w:tcPr>
          <w:p w14:paraId="2249F4F7">
            <w:pPr>
              <w:spacing w:line="360" w:lineRule="auto"/>
              <w:rPr>
                <w:rFonts w:hint="eastAsia" w:ascii="仿宋" w:hAnsi="仿宋" w:eastAsia="仿宋" w:cs="仿宋"/>
                <w:szCs w:val="21"/>
                <w:highlight w:val="none"/>
              </w:rPr>
            </w:pPr>
          </w:p>
        </w:tc>
        <w:tc>
          <w:tcPr>
            <w:tcW w:w="1020" w:type="dxa"/>
          </w:tcPr>
          <w:p w14:paraId="0A1A51B8">
            <w:pPr>
              <w:spacing w:line="360" w:lineRule="auto"/>
              <w:rPr>
                <w:rFonts w:hint="eastAsia" w:ascii="仿宋" w:hAnsi="仿宋" w:eastAsia="仿宋" w:cs="仿宋"/>
                <w:szCs w:val="21"/>
                <w:highlight w:val="none"/>
              </w:rPr>
            </w:pPr>
          </w:p>
        </w:tc>
        <w:tc>
          <w:tcPr>
            <w:tcW w:w="921" w:type="dxa"/>
          </w:tcPr>
          <w:p w14:paraId="25277D53">
            <w:pPr>
              <w:spacing w:line="360" w:lineRule="auto"/>
              <w:rPr>
                <w:rFonts w:hint="eastAsia" w:ascii="仿宋" w:hAnsi="仿宋" w:eastAsia="仿宋" w:cs="仿宋"/>
                <w:szCs w:val="21"/>
                <w:highlight w:val="none"/>
              </w:rPr>
            </w:pPr>
          </w:p>
        </w:tc>
      </w:tr>
      <w:tr w14:paraId="3A3F26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BDD7FEA">
            <w:pPr>
              <w:spacing w:line="360" w:lineRule="auto"/>
              <w:rPr>
                <w:rFonts w:hint="eastAsia" w:ascii="仿宋" w:hAnsi="仿宋" w:eastAsia="仿宋" w:cs="仿宋"/>
                <w:szCs w:val="21"/>
                <w:highlight w:val="none"/>
              </w:rPr>
            </w:pPr>
          </w:p>
        </w:tc>
        <w:tc>
          <w:tcPr>
            <w:tcW w:w="1418" w:type="dxa"/>
          </w:tcPr>
          <w:p w14:paraId="49B13D09">
            <w:pPr>
              <w:spacing w:line="360" w:lineRule="auto"/>
              <w:rPr>
                <w:rFonts w:hint="eastAsia" w:ascii="仿宋" w:hAnsi="仿宋" w:eastAsia="仿宋" w:cs="仿宋"/>
                <w:szCs w:val="21"/>
                <w:highlight w:val="none"/>
              </w:rPr>
            </w:pPr>
          </w:p>
        </w:tc>
        <w:tc>
          <w:tcPr>
            <w:tcW w:w="850" w:type="dxa"/>
          </w:tcPr>
          <w:p w14:paraId="2DB9E6A5">
            <w:pPr>
              <w:spacing w:line="360" w:lineRule="auto"/>
              <w:rPr>
                <w:rFonts w:hint="eastAsia" w:ascii="仿宋" w:hAnsi="仿宋" w:eastAsia="仿宋" w:cs="仿宋"/>
                <w:szCs w:val="21"/>
                <w:highlight w:val="none"/>
              </w:rPr>
            </w:pPr>
          </w:p>
        </w:tc>
        <w:tc>
          <w:tcPr>
            <w:tcW w:w="1058" w:type="dxa"/>
          </w:tcPr>
          <w:p w14:paraId="5B63EB56">
            <w:pPr>
              <w:spacing w:line="360" w:lineRule="auto"/>
              <w:rPr>
                <w:rFonts w:hint="eastAsia" w:ascii="仿宋" w:hAnsi="仿宋" w:eastAsia="仿宋" w:cs="仿宋"/>
                <w:szCs w:val="21"/>
                <w:highlight w:val="none"/>
              </w:rPr>
            </w:pPr>
          </w:p>
        </w:tc>
        <w:tc>
          <w:tcPr>
            <w:tcW w:w="880" w:type="dxa"/>
          </w:tcPr>
          <w:p w14:paraId="153A3E64">
            <w:pPr>
              <w:spacing w:line="360" w:lineRule="auto"/>
              <w:rPr>
                <w:rFonts w:hint="eastAsia" w:ascii="仿宋" w:hAnsi="仿宋" w:eastAsia="仿宋" w:cs="仿宋"/>
                <w:szCs w:val="21"/>
                <w:highlight w:val="none"/>
              </w:rPr>
            </w:pPr>
          </w:p>
        </w:tc>
        <w:tc>
          <w:tcPr>
            <w:tcW w:w="1020" w:type="dxa"/>
          </w:tcPr>
          <w:p w14:paraId="30ADEFA2">
            <w:pPr>
              <w:spacing w:line="360" w:lineRule="auto"/>
              <w:rPr>
                <w:rFonts w:hint="eastAsia" w:ascii="仿宋" w:hAnsi="仿宋" w:eastAsia="仿宋" w:cs="仿宋"/>
                <w:szCs w:val="21"/>
                <w:highlight w:val="none"/>
              </w:rPr>
            </w:pPr>
          </w:p>
        </w:tc>
        <w:tc>
          <w:tcPr>
            <w:tcW w:w="1480" w:type="dxa"/>
          </w:tcPr>
          <w:p w14:paraId="109D461A">
            <w:pPr>
              <w:spacing w:line="360" w:lineRule="auto"/>
              <w:rPr>
                <w:rFonts w:hint="eastAsia" w:ascii="仿宋" w:hAnsi="仿宋" w:eastAsia="仿宋" w:cs="仿宋"/>
                <w:szCs w:val="21"/>
                <w:highlight w:val="none"/>
              </w:rPr>
            </w:pPr>
          </w:p>
        </w:tc>
        <w:tc>
          <w:tcPr>
            <w:tcW w:w="1020" w:type="dxa"/>
          </w:tcPr>
          <w:p w14:paraId="3D046786">
            <w:pPr>
              <w:spacing w:line="360" w:lineRule="auto"/>
              <w:rPr>
                <w:rFonts w:hint="eastAsia" w:ascii="仿宋" w:hAnsi="仿宋" w:eastAsia="仿宋" w:cs="仿宋"/>
                <w:szCs w:val="21"/>
                <w:highlight w:val="none"/>
              </w:rPr>
            </w:pPr>
          </w:p>
        </w:tc>
        <w:tc>
          <w:tcPr>
            <w:tcW w:w="921" w:type="dxa"/>
          </w:tcPr>
          <w:p w14:paraId="69F83B0D">
            <w:pPr>
              <w:spacing w:line="360" w:lineRule="auto"/>
              <w:rPr>
                <w:rFonts w:hint="eastAsia" w:ascii="仿宋" w:hAnsi="仿宋" w:eastAsia="仿宋" w:cs="仿宋"/>
                <w:szCs w:val="21"/>
                <w:highlight w:val="none"/>
              </w:rPr>
            </w:pPr>
          </w:p>
        </w:tc>
      </w:tr>
      <w:tr w14:paraId="1A234A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F0D0D36">
            <w:pPr>
              <w:spacing w:line="360" w:lineRule="auto"/>
              <w:rPr>
                <w:rFonts w:hint="eastAsia" w:ascii="仿宋" w:hAnsi="仿宋" w:eastAsia="仿宋" w:cs="仿宋"/>
                <w:szCs w:val="21"/>
                <w:highlight w:val="none"/>
              </w:rPr>
            </w:pPr>
          </w:p>
        </w:tc>
        <w:tc>
          <w:tcPr>
            <w:tcW w:w="1418" w:type="dxa"/>
          </w:tcPr>
          <w:p w14:paraId="7D549DD1">
            <w:pPr>
              <w:spacing w:line="360" w:lineRule="auto"/>
              <w:rPr>
                <w:rFonts w:hint="eastAsia" w:ascii="仿宋" w:hAnsi="仿宋" w:eastAsia="仿宋" w:cs="仿宋"/>
                <w:szCs w:val="21"/>
                <w:highlight w:val="none"/>
              </w:rPr>
            </w:pPr>
          </w:p>
        </w:tc>
        <w:tc>
          <w:tcPr>
            <w:tcW w:w="850" w:type="dxa"/>
          </w:tcPr>
          <w:p w14:paraId="096717F8">
            <w:pPr>
              <w:spacing w:line="360" w:lineRule="auto"/>
              <w:rPr>
                <w:rFonts w:hint="eastAsia" w:ascii="仿宋" w:hAnsi="仿宋" w:eastAsia="仿宋" w:cs="仿宋"/>
                <w:szCs w:val="21"/>
                <w:highlight w:val="none"/>
              </w:rPr>
            </w:pPr>
          </w:p>
        </w:tc>
        <w:tc>
          <w:tcPr>
            <w:tcW w:w="1058" w:type="dxa"/>
          </w:tcPr>
          <w:p w14:paraId="04A5A37A">
            <w:pPr>
              <w:spacing w:line="360" w:lineRule="auto"/>
              <w:rPr>
                <w:rFonts w:hint="eastAsia" w:ascii="仿宋" w:hAnsi="仿宋" w:eastAsia="仿宋" w:cs="仿宋"/>
                <w:szCs w:val="21"/>
                <w:highlight w:val="none"/>
              </w:rPr>
            </w:pPr>
          </w:p>
        </w:tc>
        <w:tc>
          <w:tcPr>
            <w:tcW w:w="880" w:type="dxa"/>
          </w:tcPr>
          <w:p w14:paraId="3B180030">
            <w:pPr>
              <w:spacing w:line="360" w:lineRule="auto"/>
              <w:rPr>
                <w:rFonts w:hint="eastAsia" w:ascii="仿宋" w:hAnsi="仿宋" w:eastAsia="仿宋" w:cs="仿宋"/>
                <w:szCs w:val="21"/>
                <w:highlight w:val="none"/>
              </w:rPr>
            </w:pPr>
          </w:p>
        </w:tc>
        <w:tc>
          <w:tcPr>
            <w:tcW w:w="1020" w:type="dxa"/>
          </w:tcPr>
          <w:p w14:paraId="5D097D2D">
            <w:pPr>
              <w:spacing w:line="360" w:lineRule="auto"/>
              <w:rPr>
                <w:rFonts w:hint="eastAsia" w:ascii="仿宋" w:hAnsi="仿宋" w:eastAsia="仿宋" w:cs="仿宋"/>
                <w:szCs w:val="21"/>
                <w:highlight w:val="none"/>
              </w:rPr>
            </w:pPr>
          </w:p>
        </w:tc>
        <w:tc>
          <w:tcPr>
            <w:tcW w:w="1480" w:type="dxa"/>
          </w:tcPr>
          <w:p w14:paraId="14A818B3">
            <w:pPr>
              <w:spacing w:line="360" w:lineRule="auto"/>
              <w:rPr>
                <w:rFonts w:hint="eastAsia" w:ascii="仿宋" w:hAnsi="仿宋" w:eastAsia="仿宋" w:cs="仿宋"/>
                <w:szCs w:val="21"/>
                <w:highlight w:val="none"/>
              </w:rPr>
            </w:pPr>
          </w:p>
        </w:tc>
        <w:tc>
          <w:tcPr>
            <w:tcW w:w="1020" w:type="dxa"/>
          </w:tcPr>
          <w:p w14:paraId="332A6C84">
            <w:pPr>
              <w:spacing w:line="360" w:lineRule="auto"/>
              <w:rPr>
                <w:rFonts w:hint="eastAsia" w:ascii="仿宋" w:hAnsi="仿宋" w:eastAsia="仿宋" w:cs="仿宋"/>
                <w:szCs w:val="21"/>
                <w:highlight w:val="none"/>
              </w:rPr>
            </w:pPr>
          </w:p>
        </w:tc>
        <w:tc>
          <w:tcPr>
            <w:tcW w:w="921" w:type="dxa"/>
          </w:tcPr>
          <w:p w14:paraId="105AE297">
            <w:pPr>
              <w:spacing w:line="360" w:lineRule="auto"/>
              <w:rPr>
                <w:rFonts w:hint="eastAsia" w:ascii="仿宋" w:hAnsi="仿宋" w:eastAsia="仿宋" w:cs="仿宋"/>
                <w:szCs w:val="21"/>
                <w:highlight w:val="none"/>
              </w:rPr>
            </w:pPr>
          </w:p>
        </w:tc>
      </w:tr>
    </w:tbl>
    <w:p w14:paraId="2468AB10">
      <w:pPr>
        <w:spacing w:beforeLines="50" w:afterLines="50" w:line="360" w:lineRule="auto"/>
        <w:jc w:val="left"/>
        <w:outlineLvl w:val="1"/>
        <w:rPr>
          <w:rFonts w:hint="eastAsia" w:ascii="仿宋" w:hAnsi="仿宋" w:eastAsia="仿宋" w:cs="仿宋"/>
          <w:b/>
          <w:bCs/>
          <w:szCs w:val="21"/>
          <w:highlight w:val="none"/>
        </w:rPr>
      </w:pPr>
      <w:r>
        <w:rPr>
          <w:rFonts w:hint="eastAsia" w:ascii="仿宋" w:hAnsi="仿宋" w:eastAsia="仿宋" w:cs="仿宋"/>
          <w:b/>
          <w:bCs/>
          <w:szCs w:val="21"/>
          <w:highlight w:val="none"/>
        </w:rPr>
        <w:t>附</w:t>
      </w:r>
      <w:bookmarkStart w:id="1273" w:name="_Toc296347227"/>
      <w:bookmarkStart w:id="1274" w:name="_Toc267261699"/>
      <w:bookmarkStart w:id="1275" w:name="_Toc296346729"/>
      <w:bookmarkStart w:id="1276" w:name="_Toc296944567"/>
      <w:bookmarkStart w:id="1277" w:name="_Toc296503228"/>
      <w:bookmarkStart w:id="1278" w:name="_Toc296891268"/>
      <w:bookmarkStart w:id="1279" w:name="_Toc296891056"/>
      <w:r>
        <w:rPr>
          <w:rFonts w:hint="eastAsia" w:ascii="仿宋" w:hAnsi="仿宋" w:eastAsia="仿宋" w:cs="仿宋"/>
          <w:b/>
          <w:bCs/>
          <w:szCs w:val="21"/>
          <w:highlight w:val="none"/>
        </w:rPr>
        <w:t>件6：</w:t>
      </w:r>
    </w:p>
    <w:bookmarkEnd w:id="1273"/>
    <w:bookmarkEnd w:id="1274"/>
    <w:bookmarkEnd w:id="1275"/>
    <w:bookmarkEnd w:id="1276"/>
    <w:bookmarkEnd w:id="1277"/>
    <w:bookmarkEnd w:id="1278"/>
    <w:bookmarkEnd w:id="1279"/>
    <w:p w14:paraId="10C7AB47">
      <w:pPr>
        <w:spacing w:beforeLines="50" w:afterLines="50"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承包人主要施工管理人员表</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0B13F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4265D852">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名    称</w:t>
            </w:r>
          </w:p>
        </w:tc>
        <w:tc>
          <w:tcPr>
            <w:tcW w:w="1418" w:type="dxa"/>
            <w:tcBorders>
              <w:top w:val="single" w:color="auto" w:sz="12" w:space="0"/>
              <w:bottom w:val="double" w:color="auto" w:sz="6" w:space="0"/>
            </w:tcBorders>
            <w:vAlign w:val="center"/>
          </w:tcPr>
          <w:p w14:paraId="72003523">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姓名</w:t>
            </w:r>
          </w:p>
        </w:tc>
        <w:tc>
          <w:tcPr>
            <w:tcW w:w="1134" w:type="dxa"/>
            <w:tcBorders>
              <w:top w:val="single" w:color="auto" w:sz="12" w:space="0"/>
              <w:bottom w:val="double" w:color="auto" w:sz="6" w:space="0"/>
            </w:tcBorders>
            <w:vAlign w:val="center"/>
          </w:tcPr>
          <w:p w14:paraId="53FD8CF9">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职务</w:t>
            </w:r>
          </w:p>
        </w:tc>
        <w:tc>
          <w:tcPr>
            <w:tcW w:w="1134" w:type="dxa"/>
            <w:tcBorders>
              <w:top w:val="single" w:color="auto" w:sz="12" w:space="0"/>
              <w:bottom w:val="double" w:color="auto" w:sz="6" w:space="0"/>
            </w:tcBorders>
            <w:vAlign w:val="center"/>
          </w:tcPr>
          <w:p w14:paraId="47AD468F">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职称</w:t>
            </w:r>
          </w:p>
        </w:tc>
        <w:tc>
          <w:tcPr>
            <w:tcW w:w="4252" w:type="dxa"/>
            <w:tcBorders>
              <w:top w:val="single" w:color="auto" w:sz="12" w:space="0"/>
              <w:bottom w:val="double" w:color="auto" w:sz="6" w:space="0"/>
            </w:tcBorders>
            <w:vAlign w:val="center"/>
          </w:tcPr>
          <w:p w14:paraId="59A6F5DF">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主要资历、经验及承担过的项目</w:t>
            </w:r>
          </w:p>
        </w:tc>
      </w:tr>
      <w:tr w14:paraId="38F96C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7D9A05DB">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一、总部人员</w:t>
            </w:r>
          </w:p>
        </w:tc>
      </w:tr>
      <w:tr w14:paraId="6D90A0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0496E6A">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项目主管</w:t>
            </w:r>
          </w:p>
        </w:tc>
        <w:tc>
          <w:tcPr>
            <w:tcW w:w="1418" w:type="dxa"/>
            <w:tcBorders>
              <w:top w:val="nil"/>
            </w:tcBorders>
            <w:vAlign w:val="center"/>
          </w:tcPr>
          <w:p w14:paraId="01C6277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tcBorders>
              <w:top w:val="nil"/>
            </w:tcBorders>
            <w:vAlign w:val="center"/>
          </w:tcPr>
          <w:p w14:paraId="3954716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tcBorders>
              <w:top w:val="nil"/>
            </w:tcBorders>
            <w:vAlign w:val="center"/>
          </w:tcPr>
          <w:p w14:paraId="4497D9D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tcBorders>
              <w:top w:val="nil"/>
            </w:tcBorders>
            <w:vAlign w:val="center"/>
          </w:tcPr>
          <w:p w14:paraId="4035ABF0">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67074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7CB2803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5026F65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32511AB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0E2F887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5B84BF76">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76B479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597828C">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其他人员</w:t>
            </w:r>
          </w:p>
        </w:tc>
        <w:tc>
          <w:tcPr>
            <w:tcW w:w="1418" w:type="dxa"/>
            <w:vAlign w:val="center"/>
          </w:tcPr>
          <w:p w14:paraId="3C15636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79EA0C8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5178115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1A1700B2">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3768B7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38CACF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6158C7A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378DA5D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1C499D3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3E66DECF">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10257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653ACADF">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二、现场人员</w:t>
            </w:r>
          </w:p>
        </w:tc>
      </w:tr>
      <w:tr w14:paraId="622987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0081B4E">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项目经理</w:t>
            </w:r>
          </w:p>
        </w:tc>
        <w:tc>
          <w:tcPr>
            <w:tcW w:w="1418" w:type="dxa"/>
            <w:vAlign w:val="center"/>
          </w:tcPr>
          <w:p w14:paraId="7998543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637BA5E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018A17C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1D53F801">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D8169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A1DA003">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项目副经理</w:t>
            </w:r>
          </w:p>
        </w:tc>
        <w:tc>
          <w:tcPr>
            <w:tcW w:w="1418" w:type="dxa"/>
            <w:vAlign w:val="center"/>
          </w:tcPr>
          <w:p w14:paraId="08D0A57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7E4E8CC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5429AF5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0AC2CE26">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5CF50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875A85A">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技术负责人</w:t>
            </w:r>
          </w:p>
        </w:tc>
        <w:tc>
          <w:tcPr>
            <w:tcW w:w="1418" w:type="dxa"/>
            <w:vAlign w:val="center"/>
          </w:tcPr>
          <w:p w14:paraId="5F88FB5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752B334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40C9E37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4E3E1C18">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393A4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0B6F9E5">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造价管理</w:t>
            </w:r>
          </w:p>
        </w:tc>
        <w:tc>
          <w:tcPr>
            <w:tcW w:w="1418" w:type="dxa"/>
            <w:vAlign w:val="center"/>
          </w:tcPr>
          <w:p w14:paraId="04DDB3C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3D18CAD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6D9F61B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367702E7">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947A0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8BFF31C">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质量管理</w:t>
            </w:r>
          </w:p>
        </w:tc>
        <w:tc>
          <w:tcPr>
            <w:tcW w:w="1418" w:type="dxa"/>
            <w:vAlign w:val="center"/>
          </w:tcPr>
          <w:p w14:paraId="4DFE0E6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4A6A51B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6F366EE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37CF957C">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9C838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D64D160">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材料管理</w:t>
            </w:r>
          </w:p>
        </w:tc>
        <w:tc>
          <w:tcPr>
            <w:tcW w:w="1418" w:type="dxa"/>
            <w:vAlign w:val="center"/>
          </w:tcPr>
          <w:p w14:paraId="43E751F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3CB52D9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4632712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2EA012C1">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27E3A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9F20F8A">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计划管理</w:t>
            </w:r>
          </w:p>
        </w:tc>
        <w:tc>
          <w:tcPr>
            <w:tcW w:w="1418" w:type="dxa"/>
            <w:vAlign w:val="center"/>
          </w:tcPr>
          <w:p w14:paraId="75B9571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674614F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0D355D9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507997A3">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B8FA4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BCC69C8">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安全管理</w:t>
            </w:r>
          </w:p>
        </w:tc>
        <w:tc>
          <w:tcPr>
            <w:tcW w:w="1418" w:type="dxa"/>
            <w:vAlign w:val="center"/>
          </w:tcPr>
          <w:p w14:paraId="6A51270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59A39B6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5E8908B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7D462FC8">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243BA2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6F67F6E0">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其他人员</w:t>
            </w:r>
          </w:p>
        </w:tc>
        <w:tc>
          <w:tcPr>
            <w:tcW w:w="1418" w:type="dxa"/>
            <w:vAlign w:val="center"/>
          </w:tcPr>
          <w:p w14:paraId="57968A6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52BD3F0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727FB31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3F5F861E">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29D97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EEBD9D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Borders>
              <w:bottom w:val="nil"/>
            </w:tcBorders>
            <w:vAlign w:val="center"/>
          </w:tcPr>
          <w:p w14:paraId="708AE29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tcBorders>
              <w:bottom w:val="nil"/>
            </w:tcBorders>
            <w:vAlign w:val="center"/>
          </w:tcPr>
          <w:p w14:paraId="2A2BA42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tcBorders>
              <w:bottom w:val="nil"/>
            </w:tcBorders>
            <w:vAlign w:val="center"/>
          </w:tcPr>
          <w:p w14:paraId="5CF02A1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tcBorders>
              <w:bottom w:val="nil"/>
            </w:tcBorders>
            <w:vAlign w:val="center"/>
          </w:tcPr>
          <w:p w14:paraId="0398236A">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347504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778695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41E72E3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7F57A75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5077158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3087A70A">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D0896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D9EFF0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53C0819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5B9B017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5808E72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622378B4">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878F3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909F5B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422519C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67845BB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2258498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35044314">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ABE75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134B3E4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Borders>
              <w:bottom w:val="single" w:color="auto" w:sz="12" w:space="0"/>
            </w:tcBorders>
            <w:vAlign w:val="center"/>
          </w:tcPr>
          <w:p w14:paraId="1010923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tcBorders>
              <w:bottom w:val="single" w:color="auto" w:sz="12" w:space="0"/>
            </w:tcBorders>
            <w:vAlign w:val="center"/>
          </w:tcPr>
          <w:p w14:paraId="231E5AE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tcBorders>
              <w:bottom w:val="single" w:color="auto" w:sz="12" w:space="0"/>
            </w:tcBorders>
            <w:vAlign w:val="center"/>
          </w:tcPr>
          <w:p w14:paraId="448634A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tcBorders>
              <w:bottom w:val="single" w:color="auto" w:sz="12" w:space="0"/>
            </w:tcBorders>
            <w:vAlign w:val="center"/>
          </w:tcPr>
          <w:p w14:paraId="6B7014C9">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bl>
    <w:p w14:paraId="0C3FEC48">
      <w:pPr>
        <w:spacing w:beforeLines="50" w:afterLines="50" w:line="360" w:lineRule="auto"/>
        <w:jc w:val="left"/>
        <w:outlineLvl w:val="1"/>
        <w:rPr>
          <w:rFonts w:hint="eastAsia" w:ascii="仿宋" w:hAnsi="仿宋" w:eastAsia="仿宋" w:cs="仿宋"/>
          <w:b/>
          <w:bCs/>
          <w:szCs w:val="21"/>
          <w:highlight w:val="none"/>
        </w:rPr>
      </w:pPr>
      <w:r>
        <w:rPr>
          <w:rFonts w:hint="eastAsia" w:ascii="仿宋" w:hAnsi="仿宋" w:eastAsia="仿宋" w:cs="仿宋"/>
          <w:szCs w:val="21"/>
          <w:highlight w:val="none"/>
        </w:rPr>
        <w:br w:type="page"/>
      </w:r>
      <w:r>
        <w:rPr>
          <w:rFonts w:hint="eastAsia" w:ascii="仿宋" w:hAnsi="仿宋" w:eastAsia="仿宋" w:cs="仿宋"/>
          <w:b/>
          <w:bCs/>
          <w:szCs w:val="21"/>
          <w:highlight w:val="none"/>
        </w:rPr>
        <w:t>附</w:t>
      </w:r>
      <w:bookmarkStart w:id="1280" w:name="_Toc296944568"/>
      <w:bookmarkStart w:id="1281" w:name="_Toc296891269"/>
      <w:bookmarkStart w:id="1282" w:name="_Toc296891057"/>
      <w:bookmarkStart w:id="1283" w:name="_Toc296347228"/>
      <w:bookmarkStart w:id="1284" w:name="_Toc296503229"/>
      <w:bookmarkStart w:id="1285" w:name="_Toc296346730"/>
      <w:r>
        <w:rPr>
          <w:rFonts w:hint="eastAsia" w:ascii="仿宋" w:hAnsi="仿宋" w:eastAsia="仿宋" w:cs="仿宋"/>
          <w:b/>
          <w:bCs/>
          <w:szCs w:val="21"/>
          <w:highlight w:val="none"/>
        </w:rPr>
        <w:t>件7：</w:t>
      </w:r>
    </w:p>
    <w:bookmarkEnd w:id="1280"/>
    <w:bookmarkEnd w:id="1281"/>
    <w:bookmarkEnd w:id="1282"/>
    <w:bookmarkEnd w:id="1283"/>
    <w:bookmarkEnd w:id="1284"/>
    <w:bookmarkEnd w:id="1285"/>
    <w:p w14:paraId="6313C62C">
      <w:pPr>
        <w:spacing w:beforeLines="50" w:afterLines="50"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分包人主要施工管理人员表</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1A7E87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38ED72AE">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名    称</w:t>
            </w:r>
          </w:p>
        </w:tc>
        <w:tc>
          <w:tcPr>
            <w:tcW w:w="1418" w:type="dxa"/>
            <w:tcBorders>
              <w:top w:val="single" w:color="auto" w:sz="12" w:space="0"/>
              <w:bottom w:val="double" w:color="auto" w:sz="6" w:space="0"/>
            </w:tcBorders>
            <w:vAlign w:val="center"/>
          </w:tcPr>
          <w:p w14:paraId="2FAA1012">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姓名</w:t>
            </w:r>
          </w:p>
        </w:tc>
        <w:tc>
          <w:tcPr>
            <w:tcW w:w="1134" w:type="dxa"/>
            <w:tcBorders>
              <w:top w:val="single" w:color="auto" w:sz="12" w:space="0"/>
              <w:bottom w:val="double" w:color="auto" w:sz="6" w:space="0"/>
            </w:tcBorders>
            <w:vAlign w:val="center"/>
          </w:tcPr>
          <w:p w14:paraId="46290BE3">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职务</w:t>
            </w:r>
          </w:p>
        </w:tc>
        <w:tc>
          <w:tcPr>
            <w:tcW w:w="1134" w:type="dxa"/>
            <w:tcBorders>
              <w:top w:val="single" w:color="auto" w:sz="12" w:space="0"/>
              <w:bottom w:val="double" w:color="auto" w:sz="6" w:space="0"/>
            </w:tcBorders>
            <w:vAlign w:val="center"/>
          </w:tcPr>
          <w:p w14:paraId="475F1A8C">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职称</w:t>
            </w:r>
          </w:p>
        </w:tc>
        <w:tc>
          <w:tcPr>
            <w:tcW w:w="4252" w:type="dxa"/>
            <w:tcBorders>
              <w:top w:val="single" w:color="auto" w:sz="12" w:space="0"/>
              <w:bottom w:val="double" w:color="auto" w:sz="6" w:space="0"/>
            </w:tcBorders>
            <w:vAlign w:val="center"/>
          </w:tcPr>
          <w:p w14:paraId="51AE8FF2">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主要资历、经验及承担过的项目</w:t>
            </w:r>
          </w:p>
        </w:tc>
      </w:tr>
      <w:tr w14:paraId="385F69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3D9113BF">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一、总部人员</w:t>
            </w:r>
          </w:p>
        </w:tc>
      </w:tr>
      <w:tr w14:paraId="3F6D2E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5170802">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项目主管</w:t>
            </w:r>
          </w:p>
        </w:tc>
        <w:tc>
          <w:tcPr>
            <w:tcW w:w="1418" w:type="dxa"/>
            <w:tcBorders>
              <w:top w:val="nil"/>
            </w:tcBorders>
            <w:vAlign w:val="center"/>
          </w:tcPr>
          <w:p w14:paraId="21A7798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tcBorders>
              <w:top w:val="nil"/>
            </w:tcBorders>
            <w:vAlign w:val="center"/>
          </w:tcPr>
          <w:p w14:paraId="43EF06E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tcBorders>
              <w:top w:val="nil"/>
            </w:tcBorders>
            <w:vAlign w:val="center"/>
          </w:tcPr>
          <w:p w14:paraId="5FE6E2F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tcBorders>
              <w:top w:val="nil"/>
            </w:tcBorders>
            <w:vAlign w:val="center"/>
          </w:tcPr>
          <w:p w14:paraId="4C10E217">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D1924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4562F5E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46F13DA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5688005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7D96A2F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700E1808">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D4F4C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65FFEDD">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其他人员</w:t>
            </w:r>
          </w:p>
        </w:tc>
        <w:tc>
          <w:tcPr>
            <w:tcW w:w="1418" w:type="dxa"/>
            <w:vAlign w:val="center"/>
          </w:tcPr>
          <w:p w14:paraId="2EA06E7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6D2FC6C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0AC0B87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352EB767">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338C8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345B63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08E52C7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740B456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3063289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6E6447B1">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CD4B1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1309E3DA">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二、现场人员</w:t>
            </w:r>
          </w:p>
        </w:tc>
      </w:tr>
      <w:tr w14:paraId="1A8988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E0615C5">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项目经理</w:t>
            </w:r>
          </w:p>
        </w:tc>
        <w:tc>
          <w:tcPr>
            <w:tcW w:w="1418" w:type="dxa"/>
            <w:vAlign w:val="center"/>
          </w:tcPr>
          <w:p w14:paraId="5AD388B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31A7F45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19144C6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6F991ABE">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F62F3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547E3D6">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项目副经理</w:t>
            </w:r>
          </w:p>
        </w:tc>
        <w:tc>
          <w:tcPr>
            <w:tcW w:w="1418" w:type="dxa"/>
            <w:vAlign w:val="center"/>
          </w:tcPr>
          <w:p w14:paraId="52F1DBE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2FF4287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00DBC79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3F561D98">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03B62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5DB3B9A">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技术负责人</w:t>
            </w:r>
          </w:p>
        </w:tc>
        <w:tc>
          <w:tcPr>
            <w:tcW w:w="1418" w:type="dxa"/>
            <w:vAlign w:val="center"/>
          </w:tcPr>
          <w:p w14:paraId="02E8A43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73E455E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647268A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057F677D">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C8327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E17FAB0">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造价管理</w:t>
            </w:r>
          </w:p>
        </w:tc>
        <w:tc>
          <w:tcPr>
            <w:tcW w:w="1418" w:type="dxa"/>
            <w:vAlign w:val="center"/>
          </w:tcPr>
          <w:p w14:paraId="3948036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21C4E6A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5E2B9B6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2888017B">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B986C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46FA4CD">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质量管理</w:t>
            </w:r>
          </w:p>
        </w:tc>
        <w:tc>
          <w:tcPr>
            <w:tcW w:w="1418" w:type="dxa"/>
            <w:vAlign w:val="center"/>
          </w:tcPr>
          <w:p w14:paraId="7A0EBB2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1DAF21E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4FB56F2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5DF5EECB">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51E07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FCB6123">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材料管理</w:t>
            </w:r>
          </w:p>
        </w:tc>
        <w:tc>
          <w:tcPr>
            <w:tcW w:w="1418" w:type="dxa"/>
            <w:vAlign w:val="center"/>
          </w:tcPr>
          <w:p w14:paraId="3A1C9BD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44CC003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64E79DE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746BE085">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E4B54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86E7B51">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计划管理</w:t>
            </w:r>
          </w:p>
        </w:tc>
        <w:tc>
          <w:tcPr>
            <w:tcW w:w="1418" w:type="dxa"/>
            <w:vAlign w:val="center"/>
          </w:tcPr>
          <w:p w14:paraId="5B5D634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12A7B00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446B576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7CF0967D">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902EE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94BBD51">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安全管理</w:t>
            </w:r>
          </w:p>
        </w:tc>
        <w:tc>
          <w:tcPr>
            <w:tcW w:w="1418" w:type="dxa"/>
            <w:vAlign w:val="center"/>
          </w:tcPr>
          <w:p w14:paraId="5510939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0AD9D29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6757422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7214DC80">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2A33AF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2665F9F8">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其他人员</w:t>
            </w:r>
          </w:p>
        </w:tc>
        <w:tc>
          <w:tcPr>
            <w:tcW w:w="1418" w:type="dxa"/>
            <w:vAlign w:val="center"/>
          </w:tcPr>
          <w:p w14:paraId="0116031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5C4DEBC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75EC36F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41563C0F">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20DCF9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17F6E0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Borders>
              <w:bottom w:val="nil"/>
            </w:tcBorders>
            <w:vAlign w:val="center"/>
          </w:tcPr>
          <w:p w14:paraId="3302575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tcBorders>
              <w:bottom w:val="nil"/>
            </w:tcBorders>
            <w:vAlign w:val="center"/>
          </w:tcPr>
          <w:p w14:paraId="564A09B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tcBorders>
              <w:bottom w:val="nil"/>
            </w:tcBorders>
            <w:vAlign w:val="center"/>
          </w:tcPr>
          <w:p w14:paraId="2325EA6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tcBorders>
              <w:bottom w:val="nil"/>
            </w:tcBorders>
            <w:vAlign w:val="center"/>
          </w:tcPr>
          <w:p w14:paraId="1AE34CC2">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7EAED5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3E682D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2D70A0A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4D194B2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272D542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49831626">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1F18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48A124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795ECE1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50E4888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62DFD48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67B36EF7">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307ED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0DA468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vAlign w:val="center"/>
          </w:tcPr>
          <w:p w14:paraId="09E1168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2085BB0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vAlign w:val="center"/>
          </w:tcPr>
          <w:p w14:paraId="7DF88CC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vAlign w:val="center"/>
          </w:tcPr>
          <w:p w14:paraId="77967AC4">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E884A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1058CD2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Borders>
              <w:bottom w:val="single" w:color="auto" w:sz="12" w:space="0"/>
            </w:tcBorders>
            <w:vAlign w:val="center"/>
          </w:tcPr>
          <w:p w14:paraId="10E3D1C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tcBorders>
              <w:bottom w:val="single" w:color="auto" w:sz="12" w:space="0"/>
            </w:tcBorders>
            <w:vAlign w:val="center"/>
          </w:tcPr>
          <w:p w14:paraId="2773DB4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134" w:type="dxa"/>
            <w:tcBorders>
              <w:bottom w:val="single" w:color="auto" w:sz="12" w:space="0"/>
            </w:tcBorders>
            <w:vAlign w:val="center"/>
          </w:tcPr>
          <w:p w14:paraId="5E735D2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252" w:type="dxa"/>
            <w:tcBorders>
              <w:bottom w:val="single" w:color="auto" w:sz="12" w:space="0"/>
            </w:tcBorders>
            <w:vAlign w:val="center"/>
          </w:tcPr>
          <w:p w14:paraId="198B79FF">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bl>
    <w:p w14:paraId="0EB63AD0">
      <w:pPr>
        <w:spacing w:beforeLines="50" w:afterLines="50" w:line="360" w:lineRule="auto"/>
        <w:jc w:val="left"/>
        <w:outlineLvl w:val="1"/>
        <w:rPr>
          <w:rFonts w:hint="eastAsia" w:ascii="仿宋" w:hAnsi="仿宋" w:eastAsia="仿宋" w:cs="仿宋"/>
          <w:b/>
          <w:bCs/>
          <w:szCs w:val="21"/>
          <w:highlight w:val="none"/>
        </w:rPr>
      </w:pPr>
      <w:r>
        <w:rPr>
          <w:rFonts w:hint="eastAsia" w:ascii="仿宋" w:hAnsi="仿宋" w:eastAsia="仿宋" w:cs="仿宋"/>
          <w:szCs w:val="21"/>
          <w:highlight w:val="none"/>
        </w:rPr>
        <w:br w:type="page"/>
      </w:r>
      <w:bookmarkStart w:id="1286" w:name="_Toc267261701"/>
      <w:r>
        <w:rPr>
          <w:rFonts w:hint="eastAsia" w:ascii="仿宋" w:hAnsi="仿宋" w:eastAsia="仿宋" w:cs="仿宋"/>
          <w:b/>
          <w:bCs/>
          <w:szCs w:val="21"/>
          <w:highlight w:val="none"/>
        </w:rPr>
        <w:t>附</w:t>
      </w:r>
      <w:bookmarkStart w:id="1287" w:name="_Toc296944570"/>
      <w:bookmarkStart w:id="1288" w:name="_Toc296346732"/>
      <w:bookmarkStart w:id="1289" w:name="_Toc296347230"/>
      <w:bookmarkStart w:id="1290" w:name="_Toc296891271"/>
      <w:bookmarkStart w:id="1291" w:name="_Toc296503231"/>
      <w:bookmarkStart w:id="1292" w:name="_Toc296891059"/>
      <w:r>
        <w:rPr>
          <w:rFonts w:hint="eastAsia" w:ascii="仿宋" w:hAnsi="仿宋" w:eastAsia="仿宋" w:cs="仿宋"/>
          <w:b/>
          <w:bCs/>
          <w:szCs w:val="21"/>
          <w:highlight w:val="none"/>
        </w:rPr>
        <w:t>件8：</w:t>
      </w:r>
    </w:p>
    <w:bookmarkEnd w:id="1286"/>
    <w:bookmarkEnd w:id="1287"/>
    <w:bookmarkEnd w:id="1288"/>
    <w:bookmarkEnd w:id="1289"/>
    <w:bookmarkEnd w:id="1290"/>
    <w:bookmarkEnd w:id="1291"/>
    <w:bookmarkEnd w:id="1292"/>
    <w:p w14:paraId="6817403B">
      <w:pPr>
        <w:spacing w:beforeLines="50" w:afterLines="50"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履约担保</w:t>
      </w:r>
    </w:p>
    <w:p w14:paraId="33B5348E">
      <w:pPr>
        <w:spacing w:line="360" w:lineRule="auto"/>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rPr>
        <w:t>（发包人名称）：</w:t>
      </w:r>
    </w:p>
    <w:p w14:paraId="2BAD17FE">
      <w:pPr>
        <w:spacing w:line="360" w:lineRule="auto"/>
        <w:rPr>
          <w:rFonts w:hint="eastAsia" w:ascii="仿宋" w:hAnsi="仿宋" w:eastAsia="仿宋" w:cs="仿宋"/>
          <w:sz w:val="24"/>
          <w:highlight w:val="none"/>
        </w:rPr>
      </w:pPr>
    </w:p>
    <w:p w14:paraId="42797CFB">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鉴于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（发包人名称，以下简称“发包人”）与</w:t>
      </w:r>
    </w:p>
    <w:p w14:paraId="5B51F354">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（承包人名称）（以下称“承包人”）于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日就</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（工程名称）施工及有关事项协商一致共同签订《建设工程施工合同》。我方愿意无条件地、不可撤销地就承包人履行与你方签订的合同，向你方提供连带责任担保。 </w:t>
      </w:r>
    </w:p>
    <w:p w14:paraId="659E0E81">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1.担保金额人民币（大写）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元（¥</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4C11E5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2.担保有效期自你方与承包人签订的合同生效之日起至你方签发或应签发工程接收证书之日止。</w:t>
      </w:r>
    </w:p>
    <w:p w14:paraId="2927FDA4">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3.在本担保有效期内，因承包人违反合同约定的义务给你方造成经济损失时，我方在收到你方以书面形式提出的在担保金额内的赔偿要求后，在7天内无条件支付。</w:t>
      </w:r>
    </w:p>
    <w:p w14:paraId="250A30B6">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4.你方和承包人按合同约定变更合同时，我方承担本担保规定的义务不变。</w:t>
      </w:r>
    </w:p>
    <w:p w14:paraId="21097AE3">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5.因本保函发生的纠纷，可由双方协商解决，协商不成的，任何一方均可提请</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仲裁委员会仲裁。</w:t>
      </w:r>
    </w:p>
    <w:p w14:paraId="3C77D8F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6.本保函自我方法定代表人（或其授权代理人）签字并加盖公章之日起生效。</w:t>
      </w:r>
    </w:p>
    <w:p w14:paraId="6152F2B5">
      <w:pPr>
        <w:spacing w:line="360" w:lineRule="auto"/>
        <w:rPr>
          <w:rFonts w:hint="eastAsia" w:ascii="仿宋" w:hAnsi="仿宋" w:eastAsia="仿宋" w:cs="仿宋"/>
          <w:sz w:val="24"/>
          <w:highlight w:val="none"/>
        </w:rPr>
      </w:pPr>
    </w:p>
    <w:p w14:paraId="4A168423">
      <w:pPr>
        <w:spacing w:line="360" w:lineRule="auto"/>
        <w:rPr>
          <w:rFonts w:hint="eastAsia" w:ascii="仿宋" w:hAnsi="仿宋" w:eastAsia="仿宋" w:cs="仿宋"/>
          <w:sz w:val="24"/>
          <w:highlight w:val="none"/>
        </w:rPr>
      </w:pPr>
      <w:r>
        <w:rPr>
          <w:rFonts w:hint="eastAsia" w:ascii="仿宋" w:hAnsi="仿宋" w:eastAsia="仿宋" w:cs="仿宋"/>
          <w:sz w:val="24"/>
          <w:highlight w:val="none"/>
        </w:rPr>
        <w:t>担 保 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（盖单位章）</w:t>
      </w:r>
    </w:p>
    <w:p w14:paraId="7E0BE056">
      <w:pPr>
        <w:spacing w:line="360" w:lineRule="auto"/>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（签字）</w:t>
      </w:r>
    </w:p>
    <w:p w14:paraId="6B17C2E4">
      <w:pPr>
        <w:spacing w:line="360" w:lineRule="auto"/>
        <w:rPr>
          <w:rFonts w:hint="eastAsia" w:ascii="仿宋" w:hAnsi="仿宋" w:eastAsia="仿宋" w:cs="仿宋"/>
          <w:sz w:val="24"/>
          <w:highlight w:val="none"/>
        </w:rPr>
      </w:pPr>
      <w:r>
        <w:rPr>
          <w:rFonts w:hint="eastAsia" w:ascii="仿宋" w:hAnsi="仿宋" w:eastAsia="仿宋" w:cs="仿宋"/>
          <w:sz w:val="24"/>
          <w:highlight w:val="none"/>
        </w:rPr>
        <w:t>地 址：</w:t>
      </w:r>
      <w:r>
        <w:rPr>
          <w:rFonts w:hint="eastAsia" w:ascii="仿宋" w:hAnsi="仿宋" w:eastAsia="仿宋" w:cs="仿宋"/>
          <w:sz w:val="24"/>
          <w:highlight w:val="none"/>
          <w:u w:val="single"/>
        </w:rPr>
        <w:t xml:space="preserve">                                      </w:t>
      </w:r>
    </w:p>
    <w:p w14:paraId="5A305848">
      <w:pPr>
        <w:spacing w:line="360" w:lineRule="auto"/>
        <w:rPr>
          <w:rFonts w:hint="eastAsia" w:ascii="仿宋" w:hAnsi="仿宋" w:eastAsia="仿宋" w:cs="仿宋"/>
          <w:sz w:val="24"/>
          <w:highlight w:val="none"/>
        </w:rPr>
      </w:pPr>
      <w:r>
        <w:rPr>
          <w:rFonts w:hint="eastAsia" w:ascii="仿宋" w:hAnsi="仿宋" w:eastAsia="仿宋" w:cs="仿宋"/>
          <w:sz w:val="24"/>
          <w:highlight w:val="none"/>
        </w:rPr>
        <w:t>邮政编码：</w:t>
      </w:r>
      <w:r>
        <w:rPr>
          <w:rFonts w:hint="eastAsia" w:ascii="仿宋" w:hAnsi="仿宋" w:eastAsia="仿宋" w:cs="仿宋"/>
          <w:sz w:val="24"/>
          <w:highlight w:val="none"/>
          <w:u w:val="single"/>
        </w:rPr>
        <w:t xml:space="preserve">                                      </w:t>
      </w:r>
    </w:p>
    <w:p w14:paraId="6FD25798">
      <w:pP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电话：</w:t>
      </w:r>
      <w:r>
        <w:rPr>
          <w:rFonts w:hint="eastAsia" w:ascii="仿宋" w:hAnsi="仿宋" w:eastAsia="仿宋" w:cs="仿宋"/>
          <w:sz w:val="24"/>
          <w:highlight w:val="none"/>
          <w:u w:val="single"/>
        </w:rPr>
        <w:t xml:space="preserve">                                      </w:t>
      </w:r>
    </w:p>
    <w:p w14:paraId="74894F5E">
      <w:pPr>
        <w:spacing w:line="360" w:lineRule="auto"/>
        <w:rPr>
          <w:rFonts w:hint="eastAsia" w:ascii="仿宋" w:hAnsi="仿宋" w:eastAsia="仿宋" w:cs="仿宋"/>
          <w:sz w:val="24"/>
          <w:highlight w:val="none"/>
        </w:rPr>
      </w:pPr>
      <w:r>
        <w:rPr>
          <w:rFonts w:hint="eastAsia" w:ascii="仿宋" w:hAnsi="仿宋" w:eastAsia="仿宋" w:cs="仿宋"/>
          <w:sz w:val="24"/>
          <w:highlight w:val="none"/>
        </w:rPr>
        <w:t>传真：</w:t>
      </w:r>
      <w:r>
        <w:rPr>
          <w:rFonts w:hint="eastAsia" w:ascii="仿宋" w:hAnsi="仿宋" w:eastAsia="仿宋" w:cs="仿宋"/>
          <w:sz w:val="24"/>
          <w:highlight w:val="none"/>
          <w:u w:val="single"/>
        </w:rPr>
        <w:t xml:space="preserve">                                      </w:t>
      </w:r>
    </w:p>
    <w:p w14:paraId="50A4EA2C">
      <w:pPr>
        <w:spacing w:line="360" w:lineRule="auto"/>
        <w:ind w:left="1519" w:hanging="1519" w:hangingChars="633"/>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582BAF60">
      <w:pPr>
        <w:spacing w:beforeLines="50" w:afterLines="50" w:line="360" w:lineRule="auto"/>
        <w:jc w:val="left"/>
        <w:outlineLvl w:val="1"/>
        <w:rPr>
          <w:rFonts w:hint="eastAsia" w:ascii="仿宋" w:hAnsi="仿宋" w:eastAsia="仿宋" w:cs="仿宋"/>
          <w:b/>
          <w:bCs/>
          <w:szCs w:val="21"/>
          <w:highlight w:val="none"/>
        </w:rPr>
      </w:pPr>
      <w:r>
        <w:rPr>
          <w:rFonts w:hint="eastAsia" w:ascii="仿宋" w:hAnsi="仿宋" w:eastAsia="仿宋" w:cs="仿宋"/>
          <w:b/>
          <w:bCs/>
          <w:szCs w:val="21"/>
          <w:highlight w:val="none"/>
        </w:rPr>
        <w:t>附</w:t>
      </w:r>
      <w:bookmarkStart w:id="1293" w:name="_Toc267261702"/>
      <w:bookmarkStart w:id="1294" w:name="_Toc296347231"/>
      <w:bookmarkStart w:id="1295" w:name="_Toc296891060"/>
      <w:bookmarkStart w:id="1296" w:name="_Toc296503232"/>
      <w:bookmarkStart w:id="1297" w:name="_Toc296944571"/>
      <w:bookmarkStart w:id="1298" w:name="_Toc296346733"/>
      <w:bookmarkStart w:id="1299" w:name="_Toc296891272"/>
      <w:r>
        <w:rPr>
          <w:rFonts w:hint="eastAsia" w:ascii="仿宋" w:hAnsi="仿宋" w:eastAsia="仿宋" w:cs="仿宋"/>
          <w:b/>
          <w:bCs/>
          <w:szCs w:val="21"/>
          <w:highlight w:val="none"/>
        </w:rPr>
        <w:t>件9：</w:t>
      </w:r>
    </w:p>
    <w:bookmarkEnd w:id="1293"/>
    <w:bookmarkEnd w:id="1294"/>
    <w:bookmarkEnd w:id="1295"/>
    <w:bookmarkEnd w:id="1296"/>
    <w:bookmarkEnd w:id="1297"/>
    <w:bookmarkEnd w:id="1298"/>
    <w:bookmarkEnd w:id="1299"/>
    <w:p w14:paraId="5D70BF7B">
      <w:pPr>
        <w:spacing w:beforeLines="50" w:afterLines="50"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预付款担保</w:t>
      </w:r>
    </w:p>
    <w:p w14:paraId="5730CC8B">
      <w:pPr>
        <w:spacing w:line="420" w:lineRule="exact"/>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（发包人名称）：</w:t>
      </w:r>
    </w:p>
    <w:p w14:paraId="590D04D1">
      <w:pPr>
        <w:spacing w:line="420" w:lineRule="exact"/>
        <w:rPr>
          <w:rFonts w:hint="eastAsia" w:ascii="仿宋" w:hAnsi="仿宋" w:eastAsia="仿宋" w:cs="仿宋"/>
          <w:sz w:val="24"/>
          <w:highlight w:val="none"/>
        </w:rPr>
      </w:pPr>
    </w:p>
    <w:p w14:paraId="04208566">
      <w:pPr>
        <w:spacing w:line="4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根据</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（承包人名称）（以下称“承包人”）与</w:t>
      </w:r>
    </w:p>
    <w:p w14:paraId="7C169134">
      <w:pPr>
        <w:spacing w:line="420" w:lineRule="exact"/>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bookmarkStart w:id="1300" w:name="_Toc45552408"/>
      <w:r>
        <w:rPr>
          <w:rFonts w:hint="eastAsia" w:ascii="仿宋" w:hAnsi="仿宋" w:eastAsia="仿宋" w:cs="仿宋"/>
          <w:sz w:val="24"/>
          <w:highlight w:val="none"/>
        </w:rPr>
        <w:t>（发包人名称）（以下简称“发包人”）</w:t>
      </w:r>
      <w:bookmarkEnd w:id="1300"/>
    </w:p>
    <w:p w14:paraId="4BB0BDC7">
      <w:pPr>
        <w:spacing w:line="420" w:lineRule="exact"/>
        <w:rPr>
          <w:rFonts w:hint="eastAsia" w:ascii="仿宋" w:hAnsi="仿宋" w:eastAsia="仿宋" w:cs="仿宋"/>
          <w:sz w:val="24"/>
          <w:highlight w:val="none"/>
        </w:rPr>
      </w:pPr>
      <w:r>
        <w:rPr>
          <w:rFonts w:hint="eastAsia" w:ascii="仿宋" w:hAnsi="仿宋" w:eastAsia="仿宋" w:cs="仿宋"/>
          <w:sz w:val="24"/>
          <w:highlight w:val="none"/>
        </w:rPr>
        <w:t>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日签订的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64A5AA78">
      <w:pPr>
        <w:spacing w:line="4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1.担保金额人民币（大写）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元（¥</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2D0139B3">
      <w:pPr>
        <w:spacing w:line="4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2.担保有效期自预付款支付给承包人起生效，至你方签发的进度款支付证书说明已完全扣清止。</w:t>
      </w:r>
    </w:p>
    <w:p w14:paraId="272FBC5F">
      <w:pPr>
        <w:spacing w:line="4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在本保函有效期内，因承包人违反合同约定的义务而要求收回预付款时，我方在收到你方的书面通知后，在7天内无条件支付。但本保函的担保金额，在任何时候不应超过预付款金额减去你方按合同约定在向承包人签发的进度款支付证书中扣除的金额。</w:t>
      </w:r>
    </w:p>
    <w:p w14:paraId="580558AA">
      <w:pPr>
        <w:spacing w:line="4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4.你方和承包人按合同约定变更合同时，我方承担本保函规定的义务不变。</w:t>
      </w:r>
    </w:p>
    <w:p w14:paraId="0FF1821A">
      <w:pPr>
        <w:spacing w:line="42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5.因本保函发生的纠纷，可由双方协商解决，协商不成的，任何一方均可提请</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仲裁委员会仲裁。</w:t>
      </w:r>
    </w:p>
    <w:p w14:paraId="5C43CEC9">
      <w:pPr>
        <w:spacing w:line="42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6.本保函自我方法定代表人（或其授权代理人）签字并加盖公章之日起生效。</w:t>
      </w:r>
    </w:p>
    <w:p w14:paraId="4F100165">
      <w:pPr>
        <w:spacing w:line="420" w:lineRule="exact"/>
        <w:rPr>
          <w:rFonts w:hint="eastAsia" w:ascii="仿宋" w:hAnsi="仿宋" w:eastAsia="仿宋" w:cs="仿宋"/>
          <w:sz w:val="24"/>
          <w:highlight w:val="none"/>
        </w:rPr>
      </w:pPr>
    </w:p>
    <w:p w14:paraId="4872A069">
      <w:pPr>
        <w:spacing w:line="420" w:lineRule="exact"/>
        <w:rPr>
          <w:rFonts w:hint="eastAsia" w:ascii="仿宋" w:hAnsi="仿宋" w:eastAsia="仿宋" w:cs="仿宋"/>
          <w:sz w:val="24"/>
          <w:highlight w:val="none"/>
        </w:rPr>
      </w:pPr>
      <w:r>
        <w:rPr>
          <w:rFonts w:hint="eastAsia" w:ascii="仿宋" w:hAnsi="仿宋" w:eastAsia="仿宋" w:cs="仿宋"/>
          <w:sz w:val="24"/>
          <w:highlight w:val="none"/>
        </w:rPr>
        <w:t>担保人：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（盖单位章）</w:t>
      </w:r>
    </w:p>
    <w:p w14:paraId="7B80027F">
      <w:pPr>
        <w:spacing w:line="420" w:lineRule="exact"/>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（签字）</w:t>
      </w:r>
    </w:p>
    <w:p w14:paraId="61386F1F">
      <w:pPr>
        <w:spacing w:line="420" w:lineRule="exact"/>
        <w:rPr>
          <w:rFonts w:hint="eastAsia" w:ascii="仿宋" w:hAnsi="仿宋" w:eastAsia="仿宋" w:cs="仿宋"/>
          <w:sz w:val="24"/>
          <w:highlight w:val="none"/>
        </w:rPr>
      </w:pPr>
      <w:r>
        <w:rPr>
          <w:rFonts w:hint="eastAsia" w:ascii="仿宋" w:hAnsi="仿宋" w:eastAsia="仿宋" w:cs="仿宋"/>
          <w:sz w:val="24"/>
          <w:highlight w:val="none"/>
        </w:rPr>
        <w:t>地    址：</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p>
    <w:p w14:paraId="08F0C4B3">
      <w:pPr>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rPr>
        <w:t>邮政编码：</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p>
    <w:p w14:paraId="6500297B">
      <w:pPr>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rPr>
        <w:t>电    话：</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p>
    <w:p w14:paraId="7C3B0C66">
      <w:pPr>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rPr>
        <w:t>传    真：</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p>
    <w:p w14:paraId="7B2470B8">
      <w:pPr>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 </w:t>
      </w:r>
    </w:p>
    <w:p w14:paraId="4C7281AC">
      <w:pPr>
        <w:spacing w:line="420" w:lineRule="exact"/>
        <w:rPr>
          <w:rFonts w:hint="eastAsia" w:ascii="仿宋" w:hAnsi="仿宋" w:eastAsia="仿宋" w:cs="仿宋"/>
          <w:b/>
          <w:bCs/>
          <w:szCs w:val="21"/>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r>
        <w:rPr>
          <w:rFonts w:hint="eastAsia" w:ascii="仿宋" w:hAnsi="仿宋" w:eastAsia="仿宋" w:cs="仿宋"/>
          <w:b/>
          <w:sz w:val="24"/>
          <w:highlight w:val="none"/>
        </w:rPr>
        <w:br w:type="page"/>
      </w:r>
      <w:r>
        <w:rPr>
          <w:rFonts w:hint="eastAsia" w:ascii="仿宋" w:hAnsi="仿宋" w:eastAsia="仿宋" w:cs="仿宋"/>
          <w:b/>
          <w:bCs/>
          <w:szCs w:val="21"/>
          <w:highlight w:val="none"/>
        </w:rPr>
        <w:t>附</w:t>
      </w:r>
      <w:bookmarkStart w:id="1301" w:name="_Toc296944572"/>
      <w:bookmarkStart w:id="1302" w:name="_Toc296346734"/>
      <w:bookmarkStart w:id="1303" w:name="_Toc296347232"/>
      <w:bookmarkStart w:id="1304" w:name="_Toc296503233"/>
      <w:bookmarkStart w:id="1305" w:name="_Toc296891273"/>
      <w:bookmarkStart w:id="1306" w:name="_Toc296891061"/>
      <w:r>
        <w:rPr>
          <w:rFonts w:hint="eastAsia" w:ascii="仿宋" w:hAnsi="仿宋" w:eastAsia="仿宋" w:cs="仿宋"/>
          <w:b/>
          <w:bCs/>
          <w:szCs w:val="21"/>
          <w:highlight w:val="none"/>
        </w:rPr>
        <w:t xml:space="preserve">件10:  </w:t>
      </w:r>
    </w:p>
    <w:bookmarkEnd w:id="1301"/>
    <w:bookmarkEnd w:id="1302"/>
    <w:bookmarkEnd w:id="1303"/>
    <w:bookmarkEnd w:id="1304"/>
    <w:bookmarkEnd w:id="1305"/>
    <w:bookmarkEnd w:id="1306"/>
    <w:p w14:paraId="607AD920">
      <w:pPr>
        <w:spacing w:beforeLines="50" w:afterLines="50"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支付担保</w:t>
      </w:r>
    </w:p>
    <w:p w14:paraId="6A50DD3A">
      <w:pPr>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（承包人）：</w:t>
      </w:r>
    </w:p>
    <w:p w14:paraId="2B20CD1E">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鉴于你方作为承包人已经与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（发包人名称）（以下称“发包人”）于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日签订了</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（工程名称）《建设工程施工合同》（以下称“主合同”），应发包人的申请，我方愿就发包人履行主合同约定的工程款支付义务以保证的方式向你方提供如下担保：</w:t>
      </w:r>
    </w:p>
    <w:p w14:paraId="304F2705">
      <w:pPr>
        <w:spacing w:line="360" w:lineRule="auto"/>
        <w:ind w:firstLine="480" w:firstLineChars="200"/>
        <w:jc w:val="left"/>
        <w:rPr>
          <w:rFonts w:hint="eastAsia" w:ascii="仿宋" w:hAnsi="仿宋" w:eastAsia="仿宋" w:cs="仿宋"/>
          <w:sz w:val="24"/>
          <w:highlight w:val="none"/>
        </w:rPr>
      </w:pPr>
      <w:bookmarkStart w:id="1307" w:name="_Toc45552409"/>
      <w:r>
        <w:rPr>
          <w:rFonts w:hint="eastAsia" w:ascii="仿宋" w:hAnsi="仿宋" w:eastAsia="仿宋" w:cs="仿宋"/>
          <w:sz w:val="24"/>
          <w:highlight w:val="none"/>
        </w:rPr>
        <w:t>一、保证的范围及保证金额</w:t>
      </w:r>
      <w:bookmarkEnd w:id="1307"/>
    </w:p>
    <w:p w14:paraId="5ACA06CD">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1.我方的保证范围是主合同约定的工程款。</w:t>
      </w:r>
    </w:p>
    <w:p w14:paraId="795F11DC">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2.本保函所称主合同约定的工程款是指主合同约定的除工程质量保证金以外的合同价款。</w:t>
      </w:r>
    </w:p>
    <w:p w14:paraId="46B1FAFD">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3.我方保证的金额是主合同约定的工程款的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%，数额最高不超过人民币元（大写：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14B1A328">
      <w:pPr>
        <w:spacing w:line="360" w:lineRule="auto"/>
        <w:ind w:firstLine="480" w:firstLineChars="200"/>
        <w:jc w:val="left"/>
        <w:rPr>
          <w:rFonts w:hint="eastAsia" w:ascii="仿宋" w:hAnsi="仿宋" w:eastAsia="仿宋" w:cs="仿宋"/>
          <w:sz w:val="24"/>
          <w:highlight w:val="none"/>
        </w:rPr>
      </w:pPr>
      <w:bookmarkStart w:id="1308" w:name="_Toc45552410"/>
      <w:r>
        <w:rPr>
          <w:rFonts w:hint="eastAsia" w:ascii="仿宋" w:hAnsi="仿宋" w:eastAsia="仿宋" w:cs="仿宋"/>
          <w:sz w:val="24"/>
          <w:highlight w:val="none"/>
        </w:rPr>
        <w:t>二、保证的方式及保证期间</w:t>
      </w:r>
      <w:bookmarkEnd w:id="1308"/>
    </w:p>
    <w:p w14:paraId="2C079DAF">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1.我方保证的方式为：连带责任保证。</w:t>
      </w:r>
    </w:p>
    <w:p w14:paraId="291A2C22">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2.我方保证的期间为：自本合同生效之日起至主合同约定的工程款支付完毕之日后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日内。</w:t>
      </w:r>
    </w:p>
    <w:p w14:paraId="44977B2E">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3.你方与发包人协议变更工程款支付日期的，经我方书面同意后，保证期间按照变更后的支付日期做相应调整。</w:t>
      </w:r>
    </w:p>
    <w:p w14:paraId="5046CCF1">
      <w:pPr>
        <w:spacing w:line="360" w:lineRule="auto"/>
        <w:ind w:firstLine="480" w:firstLineChars="200"/>
        <w:jc w:val="left"/>
        <w:rPr>
          <w:rFonts w:hint="eastAsia" w:ascii="仿宋" w:hAnsi="仿宋" w:eastAsia="仿宋" w:cs="仿宋"/>
          <w:sz w:val="24"/>
          <w:highlight w:val="none"/>
        </w:rPr>
      </w:pPr>
      <w:bookmarkStart w:id="1309" w:name="_Toc45552411"/>
      <w:r>
        <w:rPr>
          <w:rFonts w:hint="eastAsia" w:ascii="仿宋" w:hAnsi="仿宋" w:eastAsia="仿宋" w:cs="仿宋"/>
          <w:sz w:val="24"/>
          <w:highlight w:val="none"/>
        </w:rPr>
        <w:t>三、承担保证责任的形式</w:t>
      </w:r>
      <w:bookmarkEnd w:id="1309"/>
    </w:p>
    <w:p w14:paraId="24F9BF73">
      <w:pPr>
        <w:spacing w:line="360" w:lineRule="auto"/>
        <w:ind w:right="-109" w:rightChars="-52"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我方承担保证责任的形式是代为支付。发包人未按主合同约定向你方支付工程款的，由我方在保证金额内代为支付。</w:t>
      </w:r>
    </w:p>
    <w:p w14:paraId="3E49D16C">
      <w:pPr>
        <w:spacing w:line="360" w:lineRule="auto"/>
        <w:ind w:firstLine="480" w:firstLineChars="200"/>
        <w:jc w:val="left"/>
        <w:rPr>
          <w:rFonts w:hint="eastAsia" w:ascii="仿宋" w:hAnsi="仿宋" w:eastAsia="仿宋" w:cs="仿宋"/>
          <w:sz w:val="24"/>
          <w:highlight w:val="none"/>
        </w:rPr>
      </w:pPr>
      <w:bookmarkStart w:id="1310" w:name="_Toc45552412"/>
      <w:r>
        <w:rPr>
          <w:rFonts w:hint="eastAsia" w:ascii="仿宋" w:hAnsi="仿宋" w:eastAsia="仿宋" w:cs="仿宋"/>
          <w:sz w:val="24"/>
          <w:highlight w:val="none"/>
        </w:rPr>
        <w:t>四、代偿的安排</w:t>
      </w:r>
      <w:bookmarkEnd w:id="1310"/>
    </w:p>
    <w:p w14:paraId="3375A04D">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1.你方要求我方承担保证责任的，应向我方发出书面索赔通知及发包人未支付主合同约定工程款的证明材料。索赔通知应写明要求索赔的金额，支付款项应到达的账号。</w:t>
      </w:r>
    </w:p>
    <w:p w14:paraId="02C0BF02">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2.在出现你方与发包人因工程质量发生争议，发包人拒绝向你方支付工程款的情形时，你方要求我方履行保证责任代为支付的，需提供符合相应条件要求的工程质量检测机构出具的质量说明材料。</w:t>
      </w:r>
    </w:p>
    <w:p w14:paraId="6920F08A">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3.我方收到你方的书面索赔通知及相应的证明材料后7天内无条件支付。</w:t>
      </w:r>
    </w:p>
    <w:p w14:paraId="643D9B30">
      <w:pPr>
        <w:spacing w:line="360" w:lineRule="auto"/>
        <w:ind w:firstLine="480" w:firstLineChars="200"/>
        <w:jc w:val="left"/>
        <w:rPr>
          <w:rFonts w:hint="eastAsia" w:ascii="仿宋" w:hAnsi="仿宋" w:eastAsia="仿宋" w:cs="仿宋"/>
          <w:sz w:val="24"/>
          <w:highlight w:val="none"/>
        </w:rPr>
      </w:pPr>
      <w:bookmarkStart w:id="1311" w:name="_Toc45552413"/>
      <w:r>
        <w:rPr>
          <w:rFonts w:hint="eastAsia" w:ascii="仿宋" w:hAnsi="仿宋" w:eastAsia="仿宋" w:cs="仿宋"/>
          <w:sz w:val="24"/>
          <w:highlight w:val="none"/>
        </w:rPr>
        <w:t>五、保证责任的解除</w:t>
      </w:r>
      <w:bookmarkEnd w:id="1311"/>
    </w:p>
    <w:p w14:paraId="6890F09C">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1.在本保函承诺的保证期间内，你方未书面向我方主张保证责任的，自保证期间届满次日起，我方保证责任解除。</w:t>
      </w:r>
    </w:p>
    <w:p w14:paraId="023EBD3E">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2.发包人按主合同约定履行了工程款的全部支付义务的，自本保函承诺的保证期间届满次日起，我方保证责任解除。</w:t>
      </w:r>
    </w:p>
    <w:p w14:paraId="5246FCEE">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3.我方按照本保函向你方履行保证责任所支付金额达到本保函保证金额时，自我方向你方支付（支付款项从我方账户划出）之日起，保证责任即解除。</w:t>
      </w:r>
    </w:p>
    <w:p w14:paraId="47215586">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4.按照法律法规的规定或出现应解除我方保证责任的其他情形的，我方在本保函项下的保证责任亦解除。</w:t>
      </w:r>
    </w:p>
    <w:p w14:paraId="1496A795">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5.我方解除保证责任后，你方应自我方保证责任解除之日起</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个工作日内，将本保函原件返还我方。</w:t>
      </w:r>
    </w:p>
    <w:p w14:paraId="579158C8">
      <w:pPr>
        <w:spacing w:line="360" w:lineRule="auto"/>
        <w:ind w:firstLine="480" w:firstLineChars="200"/>
        <w:jc w:val="left"/>
        <w:rPr>
          <w:rFonts w:hint="eastAsia" w:ascii="仿宋" w:hAnsi="仿宋" w:eastAsia="仿宋" w:cs="仿宋"/>
          <w:sz w:val="24"/>
          <w:highlight w:val="none"/>
        </w:rPr>
      </w:pPr>
      <w:bookmarkStart w:id="1312" w:name="_Toc45552414"/>
      <w:r>
        <w:rPr>
          <w:rFonts w:hint="eastAsia" w:ascii="仿宋" w:hAnsi="仿宋" w:eastAsia="仿宋" w:cs="仿宋"/>
          <w:sz w:val="24"/>
          <w:highlight w:val="none"/>
        </w:rPr>
        <w:t>六、免责条款</w:t>
      </w:r>
      <w:bookmarkEnd w:id="1312"/>
    </w:p>
    <w:p w14:paraId="33D04F0C">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1.因你方违约致使发包人不能履行义务的，我方不承担保证责任。</w:t>
      </w:r>
    </w:p>
    <w:p w14:paraId="65FE872D">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2.依照法律法规的规定或你方与发包人的另行约定，免除发包人部分或全部义务的，我方亦免除其相应的保证责任。</w:t>
      </w:r>
    </w:p>
    <w:p w14:paraId="0AB2B993">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3.你方与发包人协议变更主合同的，如加重发包人责任致使我方保证责任加重的，需征得我方书面同意，否则我方不再承担因此而加重部分的保证责任，但主合同第10条〔变更〕约定的变更不受本款限制。</w:t>
      </w:r>
    </w:p>
    <w:p w14:paraId="33C15D30">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4.因不可抗力造成发包人不能履行义务的，我方不承担保证责任。</w:t>
      </w:r>
    </w:p>
    <w:p w14:paraId="29580655">
      <w:pPr>
        <w:spacing w:line="360" w:lineRule="auto"/>
        <w:ind w:firstLine="480" w:firstLineChars="200"/>
        <w:jc w:val="left"/>
        <w:rPr>
          <w:rFonts w:hint="eastAsia" w:ascii="仿宋" w:hAnsi="仿宋" w:eastAsia="仿宋" w:cs="仿宋"/>
          <w:sz w:val="24"/>
          <w:highlight w:val="none"/>
        </w:rPr>
      </w:pPr>
      <w:bookmarkStart w:id="1313" w:name="_Toc45552415"/>
      <w:r>
        <w:rPr>
          <w:rFonts w:hint="eastAsia" w:ascii="仿宋" w:hAnsi="仿宋" w:eastAsia="仿宋" w:cs="仿宋"/>
          <w:sz w:val="24"/>
          <w:highlight w:val="none"/>
        </w:rPr>
        <w:t>七、争议解决</w:t>
      </w:r>
      <w:bookmarkEnd w:id="1313"/>
    </w:p>
    <w:p w14:paraId="76D2353A">
      <w:pPr>
        <w:spacing w:after="12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因本保函或本保函相关事项发生的纠纷，可由双方协商解决，协商不成的，按下列第</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种方式解决：</w:t>
      </w:r>
    </w:p>
    <w:p w14:paraId="506E4277">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（1）向</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仲裁委员会申请仲裁；</w:t>
      </w:r>
    </w:p>
    <w:p w14:paraId="0FCAD42A">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（2）向</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人民法院起诉。</w:t>
      </w:r>
    </w:p>
    <w:p w14:paraId="77191F15">
      <w:pPr>
        <w:spacing w:line="360" w:lineRule="auto"/>
        <w:ind w:firstLine="480" w:firstLineChars="200"/>
        <w:jc w:val="left"/>
        <w:rPr>
          <w:rFonts w:hint="eastAsia" w:ascii="仿宋" w:hAnsi="仿宋" w:eastAsia="仿宋" w:cs="仿宋"/>
          <w:sz w:val="24"/>
          <w:highlight w:val="none"/>
        </w:rPr>
      </w:pPr>
      <w:bookmarkStart w:id="1314" w:name="_Toc45552416"/>
      <w:r>
        <w:rPr>
          <w:rFonts w:hint="eastAsia" w:ascii="仿宋" w:hAnsi="仿宋" w:eastAsia="仿宋" w:cs="仿宋"/>
          <w:sz w:val="24"/>
          <w:highlight w:val="none"/>
        </w:rPr>
        <w:t>八、保函的生效</w:t>
      </w:r>
      <w:bookmarkEnd w:id="1314"/>
    </w:p>
    <w:p w14:paraId="09A80845">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本保函自我方法定代表人（或其授权代理人）签字并加盖公章之日起生效。</w:t>
      </w:r>
    </w:p>
    <w:p w14:paraId="7D37C945">
      <w:pPr>
        <w:spacing w:line="360" w:lineRule="auto"/>
        <w:ind w:right="600"/>
        <w:jc w:val="left"/>
        <w:rPr>
          <w:rFonts w:hint="eastAsia" w:ascii="仿宋" w:hAnsi="仿宋" w:eastAsia="仿宋" w:cs="仿宋"/>
          <w:sz w:val="24"/>
          <w:highlight w:val="none"/>
        </w:rPr>
      </w:pPr>
      <w:r>
        <w:rPr>
          <w:rFonts w:hint="eastAsia" w:ascii="仿宋" w:hAnsi="仿宋" w:eastAsia="仿宋" w:cs="仿宋"/>
          <w:sz w:val="24"/>
          <w:highlight w:val="none"/>
        </w:rPr>
        <w:t>担保人：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（盖章）</w:t>
      </w:r>
    </w:p>
    <w:p w14:paraId="047B6823">
      <w:pPr>
        <w:spacing w:line="360" w:lineRule="auto"/>
        <w:ind w:right="1200"/>
        <w:rPr>
          <w:rFonts w:hint="eastAsia" w:ascii="仿宋" w:hAnsi="仿宋" w:eastAsia="仿宋" w:cs="仿宋"/>
          <w:sz w:val="24"/>
          <w:highlight w:val="none"/>
        </w:rPr>
      </w:pPr>
      <w:r>
        <w:rPr>
          <w:rFonts w:hint="eastAsia" w:ascii="仿宋" w:hAnsi="仿宋" w:eastAsia="仿宋" w:cs="仿宋"/>
          <w:sz w:val="24"/>
          <w:highlight w:val="none"/>
        </w:rPr>
        <w:t>法定代表人或委托代理人：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（签字）</w:t>
      </w:r>
    </w:p>
    <w:p w14:paraId="38A88563">
      <w:pPr>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地址：</w:t>
      </w:r>
      <w:r>
        <w:rPr>
          <w:rFonts w:hint="eastAsia" w:ascii="仿宋" w:hAnsi="仿宋" w:eastAsia="仿宋" w:cs="仿宋"/>
          <w:sz w:val="24"/>
          <w:highlight w:val="none"/>
          <w:u w:val="single"/>
        </w:rPr>
        <w:t xml:space="preserve">                                        </w:t>
      </w:r>
    </w:p>
    <w:p w14:paraId="0AE79C9D">
      <w:pPr>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邮政编码：</w:t>
      </w:r>
      <w:r>
        <w:rPr>
          <w:rFonts w:hint="eastAsia" w:ascii="仿宋" w:hAnsi="仿宋" w:eastAsia="仿宋" w:cs="仿宋"/>
          <w:sz w:val="24"/>
          <w:highlight w:val="none"/>
          <w:u w:val="single"/>
        </w:rPr>
        <w:t xml:space="preserve">                                        </w:t>
      </w:r>
    </w:p>
    <w:p w14:paraId="30DDDC7F">
      <w:pPr>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传真：</w:t>
      </w:r>
      <w:r>
        <w:rPr>
          <w:rFonts w:hint="eastAsia" w:ascii="仿宋" w:hAnsi="仿宋" w:eastAsia="仿宋" w:cs="仿宋"/>
          <w:sz w:val="24"/>
          <w:highlight w:val="none"/>
          <w:u w:val="single"/>
        </w:rPr>
        <w:t xml:space="preserve">                                        </w:t>
      </w:r>
    </w:p>
    <w:p w14:paraId="0A0EE281">
      <w:pPr>
        <w:spacing w:line="360" w:lineRule="auto"/>
        <w:ind w:right="150" w:firstLine="480" w:firstLineChars="200"/>
        <w:jc w:val="left"/>
        <w:rPr>
          <w:rFonts w:hint="eastAsia" w:ascii="仿宋" w:hAnsi="仿宋" w:eastAsia="仿宋" w:cs="仿宋"/>
          <w:sz w:val="24"/>
          <w:highlight w:val="none"/>
          <w:u w:val="single"/>
        </w:rPr>
      </w:pPr>
    </w:p>
    <w:p w14:paraId="447BA68A">
      <w:pPr>
        <w:spacing w:line="360" w:lineRule="auto"/>
        <w:ind w:right="150"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38D10C43">
      <w:pPr>
        <w:spacing w:beforeLines="50" w:afterLines="50" w:line="360" w:lineRule="auto"/>
        <w:jc w:val="left"/>
        <w:outlineLvl w:val="1"/>
        <w:rPr>
          <w:rFonts w:hint="eastAsia" w:ascii="仿宋" w:hAnsi="仿宋" w:eastAsia="仿宋" w:cs="仿宋"/>
          <w:b/>
          <w:bCs/>
          <w:szCs w:val="21"/>
          <w:highlight w:val="none"/>
        </w:rPr>
      </w:pPr>
      <w:r>
        <w:rPr>
          <w:rFonts w:hint="eastAsia" w:ascii="仿宋" w:hAnsi="仿宋" w:eastAsia="仿宋" w:cs="仿宋"/>
          <w:szCs w:val="21"/>
          <w:highlight w:val="none"/>
        </w:rPr>
        <w:br w:type="page"/>
      </w:r>
      <w:r>
        <w:rPr>
          <w:rFonts w:hint="eastAsia" w:ascii="仿宋" w:hAnsi="仿宋" w:eastAsia="仿宋" w:cs="仿宋"/>
          <w:b/>
          <w:bCs/>
          <w:szCs w:val="21"/>
          <w:highlight w:val="none"/>
        </w:rPr>
        <w:t>附件11：</w:t>
      </w:r>
    </w:p>
    <w:p w14:paraId="7E1421DD">
      <w:pPr>
        <w:spacing w:beforeLines="50" w:afterLines="50" w:line="360" w:lineRule="auto"/>
        <w:jc w:val="center"/>
        <w:rPr>
          <w:rFonts w:hint="eastAsia" w:ascii="仿宋" w:hAnsi="仿宋" w:eastAsia="仿宋" w:cs="仿宋"/>
          <w:b/>
          <w:bCs/>
          <w:sz w:val="28"/>
          <w:szCs w:val="28"/>
          <w:highlight w:val="none"/>
        </w:rPr>
      </w:pPr>
      <w:bookmarkStart w:id="1315" w:name="_Toc45552417"/>
      <w:r>
        <w:rPr>
          <w:rFonts w:hint="eastAsia" w:ascii="仿宋" w:hAnsi="仿宋" w:eastAsia="仿宋" w:cs="仿宋"/>
          <w:b/>
          <w:bCs/>
          <w:sz w:val="28"/>
          <w:szCs w:val="28"/>
          <w:highlight w:val="none"/>
        </w:rPr>
        <w:t>11-1：材料暂估价表</w:t>
      </w:r>
      <w:bookmarkEnd w:id="1315"/>
    </w:p>
    <w:tbl>
      <w:tblPr>
        <w:tblStyle w:val="3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6A165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7A121043">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序号</w:t>
            </w:r>
          </w:p>
        </w:tc>
        <w:tc>
          <w:tcPr>
            <w:tcW w:w="1984" w:type="dxa"/>
            <w:tcBorders>
              <w:top w:val="single" w:color="auto" w:sz="12" w:space="0"/>
              <w:bottom w:val="double" w:color="auto" w:sz="6" w:space="0"/>
            </w:tcBorders>
          </w:tcPr>
          <w:p w14:paraId="1BB648B2">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名称</w:t>
            </w:r>
          </w:p>
        </w:tc>
        <w:tc>
          <w:tcPr>
            <w:tcW w:w="851" w:type="dxa"/>
            <w:tcBorders>
              <w:top w:val="single" w:color="auto" w:sz="12" w:space="0"/>
              <w:bottom w:val="double" w:color="auto" w:sz="6" w:space="0"/>
            </w:tcBorders>
          </w:tcPr>
          <w:p w14:paraId="5208748E">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单位</w:t>
            </w:r>
          </w:p>
        </w:tc>
        <w:tc>
          <w:tcPr>
            <w:tcW w:w="774" w:type="dxa"/>
            <w:tcBorders>
              <w:top w:val="single" w:color="auto" w:sz="12" w:space="0"/>
              <w:bottom w:val="double" w:color="auto" w:sz="6" w:space="0"/>
            </w:tcBorders>
          </w:tcPr>
          <w:p w14:paraId="3886AF82">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数量</w:t>
            </w:r>
          </w:p>
        </w:tc>
        <w:tc>
          <w:tcPr>
            <w:tcW w:w="1352" w:type="dxa"/>
            <w:tcBorders>
              <w:top w:val="single" w:color="auto" w:sz="12" w:space="0"/>
              <w:bottom w:val="double" w:color="auto" w:sz="6" w:space="0"/>
            </w:tcBorders>
          </w:tcPr>
          <w:p w14:paraId="1B2705F8">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单价（元）</w:t>
            </w:r>
          </w:p>
        </w:tc>
        <w:tc>
          <w:tcPr>
            <w:tcW w:w="1418" w:type="dxa"/>
            <w:tcBorders>
              <w:top w:val="single" w:color="auto" w:sz="12" w:space="0"/>
              <w:bottom w:val="double" w:color="auto" w:sz="6" w:space="0"/>
            </w:tcBorders>
          </w:tcPr>
          <w:p w14:paraId="5F702403">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合价（元）</w:t>
            </w:r>
          </w:p>
        </w:tc>
        <w:tc>
          <w:tcPr>
            <w:tcW w:w="1701" w:type="dxa"/>
            <w:tcBorders>
              <w:top w:val="single" w:color="auto" w:sz="12" w:space="0"/>
              <w:bottom w:val="double" w:color="auto" w:sz="6" w:space="0"/>
            </w:tcBorders>
          </w:tcPr>
          <w:p w14:paraId="769D2568">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备注</w:t>
            </w:r>
          </w:p>
        </w:tc>
      </w:tr>
      <w:tr w14:paraId="00121F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5F5A0CC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Borders>
              <w:top w:val="double" w:color="auto" w:sz="6" w:space="0"/>
              <w:bottom w:val="single" w:color="auto" w:sz="6" w:space="0"/>
            </w:tcBorders>
          </w:tcPr>
          <w:p w14:paraId="1DD1D9B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Borders>
              <w:top w:val="double" w:color="auto" w:sz="6" w:space="0"/>
              <w:bottom w:val="single" w:color="auto" w:sz="6" w:space="0"/>
            </w:tcBorders>
          </w:tcPr>
          <w:p w14:paraId="6643A66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Borders>
              <w:top w:val="double" w:color="auto" w:sz="6" w:space="0"/>
              <w:bottom w:val="single" w:color="auto" w:sz="6" w:space="0"/>
            </w:tcBorders>
          </w:tcPr>
          <w:p w14:paraId="72CA11B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Borders>
              <w:top w:val="double" w:color="auto" w:sz="6" w:space="0"/>
              <w:bottom w:val="single" w:color="auto" w:sz="6" w:space="0"/>
            </w:tcBorders>
          </w:tcPr>
          <w:p w14:paraId="54EE415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Borders>
              <w:top w:val="double" w:color="auto" w:sz="6" w:space="0"/>
              <w:bottom w:val="single" w:color="auto" w:sz="6" w:space="0"/>
            </w:tcBorders>
          </w:tcPr>
          <w:p w14:paraId="6EA72CB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Borders>
              <w:top w:val="double" w:color="auto" w:sz="6" w:space="0"/>
              <w:bottom w:val="single" w:color="auto" w:sz="6" w:space="0"/>
            </w:tcBorders>
          </w:tcPr>
          <w:p w14:paraId="4D3E3331">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A5E79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128A287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Borders>
              <w:top w:val="nil"/>
            </w:tcBorders>
          </w:tcPr>
          <w:p w14:paraId="4F51512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Borders>
              <w:top w:val="nil"/>
            </w:tcBorders>
          </w:tcPr>
          <w:p w14:paraId="4A3A658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Borders>
              <w:top w:val="nil"/>
            </w:tcBorders>
          </w:tcPr>
          <w:p w14:paraId="449A045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Borders>
              <w:top w:val="nil"/>
            </w:tcBorders>
          </w:tcPr>
          <w:p w14:paraId="2BCE9DC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Borders>
              <w:top w:val="nil"/>
            </w:tcBorders>
          </w:tcPr>
          <w:p w14:paraId="3F81771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Borders>
              <w:top w:val="nil"/>
            </w:tcBorders>
          </w:tcPr>
          <w:p w14:paraId="04E87F1C">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D185C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0BF2D7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3ED1CA7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6A1AE38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539CDFC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73DA43D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2C60177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1FE98378">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420C4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10EEA8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7822A9C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60787A9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61C8D3B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3F6E369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61F4D6B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21486F14">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051E8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AD1748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5889C64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22AFEAD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6050CF6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41248E8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4A71AA2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00370F5B">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DD276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73F5C5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1A22DED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09962C5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1E24BF3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0AB74CA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5A2F7FF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3B488198">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FE63C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57287D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54F12DB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3AB9AF3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2539632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21C1570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451F199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45B7FB6A">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07573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4AF0D0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19BE3E2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07CDE8C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70471DC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73F342A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58F6C46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1902A8DA">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2C3EC3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B0FE86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6A49AAF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75545EE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58C65AD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14C5DA3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00F77CA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04A08B3E">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6D0A8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0CEA09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14115C4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172FC2A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61264A0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1ED2041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58E0663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22E733D1">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C2E69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BFC752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01D3DD3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149F366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716A863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64C236D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070F1E2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3264CEC0">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24F68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C751EB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1C5B343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325682E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482CAD0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3E76740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5ABB136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10494409">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3A2B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CB73AD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53C2350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63BAA73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16CED02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2781291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0EC53E2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0A92ECFF">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F394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038AE9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2D023F6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3B2F458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000DAB2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3FDA296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180E8AB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1D0AE0FB">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789B6D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9D2B43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0759A04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3F6904B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331AFAD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1DB851D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055D8E7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1EA5E2D8">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2609D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B7D328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71158B9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6AFE8E3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36503A3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4FDA679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4268E25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6368A75D">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888F7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A2D4DA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59607D5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4D7A1A6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6E03442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08EEA2A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4083447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2DA9F9B1">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7D26F1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CC3D61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45DA03C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446367E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2D657DD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484FB9F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0A5ADA8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172B152B">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7180B0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D8E00E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39F6D82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2B3C461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2B249D9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749039C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1F7F39C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17EFDF54">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316A54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8B2438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5A9F946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0F4EC71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0ED22AD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36082BA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10C06DA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48D7F273">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A340D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E272BE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2E4EF8D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07E8B5E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2FF0881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7D5A0A1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084596F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08394576">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259A4F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A94715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0FA2107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7850741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274D1C5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58163AA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4DC0B75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106D8479">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bl>
    <w:p w14:paraId="0F76CD1A">
      <w:pPr>
        <w:spacing w:beforeLines="50" w:afterLines="50" w:line="360" w:lineRule="auto"/>
        <w:rPr>
          <w:rFonts w:hint="eastAsia" w:ascii="仿宋" w:hAnsi="仿宋" w:eastAsia="仿宋" w:cs="仿宋"/>
          <w:szCs w:val="21"/>
          <w:highlight w:val="none"/>
        </w:rPr>
      </w:pPr>
    </w:p>
    <w:p w14:paraId="41B9EEE6">
      <w:pPr>
        <w:spacing w:beforeLines="50" w:afterLines="50"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11-2：工程设备暂估价表</w:t>
      </w:r>
    </w:p>
    <w:tbl>
      <w:tblPr>
        <w:tblStyle w:val="3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6E8CB7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3BA4E3FB">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序号</w:t>
            </w:r>
          </w:p>
        </w:tc>
        <w:tc>
          <w:tcPr>
            <w:tcW w:w="1984" w:type="dxa"/>
            <w:tcBorders>
              <w:top w:val="single" w:color="auto" w:sz="12" w:space="0"/>
              <w:bottom w:val="double" w:color="auto" w:sz="6" w:space="0"/>
            </w:tcBorders>
          </w:tcPr>
          <w:p w14:paraId="680AE221">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名称</w:t>
            </w:r>
          </w:p>
        </w:tc>
        <w:tc>
          <w:tcPr>
            <w:tcW w:w="851" w:type="dxa"/>
            <w:tcBorders>
              <w:top w:val="single" w:color="auto" w:sz="12" w:space="0"/>
              <w:bottom w:val="double" w:color="auto" w:sz="6" w:space="0"/>
            </w:tcBorders>
          </w:tcPr>
          <w:p w14:paraId="44B7485E">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单位</w:t>
            </w:r>
          </w:p>
        </w:tc>
        <w:tc>
          <w:tcPr>
            <w:tcW w:w="774" w:type="dxa"/>
            <w:tcBorders>
              <w:top w:val="single" w:color="auto" w:sz="12" w:space="0"/>
              <w:bottom w:val="double" w:color="auto" w:sz="6" w:space="0"/>
            </w:tcBorders>
          </w:tcPr>
          <w:p w14:paraId="7594C534">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数量</w:t>
            </w:r>
          </w:p>
        </w:tc>
        <w:tc>
          <w:tcPr>
            <w:tcW w:w="1352" w:type="dxa"/>
            <w:tcBorders>
              <w:top w:val="single" w:color="auto" w:sz="12" w:space="0"/>
              <w:bottom w:val="double" w:color="auto" w:sz="6" w:space="0"/>
            </w:tcBorders>
          </w:tcPr>
          <w:p w14:paraId="6330A710">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单价（元）</w:t>
            </w:r>
          </w:p>
        </w:tc>
        <w:tc>
          <w:tcPr>
            <w:tcW w:w="1418" w:type="dxa"/>
            <w:tcBorders>
              <w:top w:val="single" w:color="auto" w:sz="12" w:space="0"/>
              <w:bottom w:val="double" w:color="auto" w:sz="6" w:space="0"/>
            </w:tcBorders>
          </w:tcPr>
          <w:p w14:paraId="109AFEC0">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合价（元）</w:t>
            </w:r>
          </w:p>
        </w:tc>
        <w:tc>
          <w:tcPr>
            <w:tcW w:w="1701" w:type="dxa"/>
            <w:tcBorders>
              <w:top w:val="single" w:color="auto" w:sz="12" w:space="0"/>
              <w:bottom w:val="double" w:color="auto" w:sz="6" w:space="0"/>
            </w:tcBorders>
          </w:tcPr>
          <w:p w14:paraId="315E31E9">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备注</w:t>
            </w:r>
          </w:p>
        </w:tc>
      </w:tr>
      <w:tr w14:paraId="135580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224160D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Borders>
              <w:top w:val="double" w:color="auto" w:sz="6" w:space="0"/>
              <w:bottom w:val="single" w:color="auto" w:sz="6" w:space="0"/>
            </w:tcBorders>
          </w:tcPr>
          <w:p w14:paraId="5B5A8BA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Borders>
              <w:top w:val="double" w:color="auto" w:sz="6" w:space="0"/>
              <w:bottom w:val="single" w:color="auto" w:sz="6" w:space="0"/>
            </w:tcBorders>
          </w:tcPr>
          <w:p w14:paraId="20540B1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Borders>
              <w:top w:val="double" w:color="auto" w:sz="6" w:space="0"/>
              <w:bottom w:val="single" w:color="auto" w:sz="6" w:space="0"/>
            </w:tcBorders>
          </w:tcPr>
          <w:p w14:paraId="041EF94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Borders>
              <w:top w:val="double" w:color="auto" w:sz="6" w:space="0"/>
              <w:bottom w:val="single" w:color="auto" w:sz="6" w:space="0"/>
            </w:tcBorders>
          </w:tcPr>
          <w:p w14:paraId="1CAADAB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Borders>
              <w:top w:val="double" w:color="auto" w:sz="6" w:space="0"/>
              <w:bottom w:val="single" w:color="auto" w:sz="6" w:space="0"/>
            </w:tcBorders>
          </w:tcPr>
          <w:p w14:paraId="3A05674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Borders>
              <w:top w:val="double" w:color="auto" w:sz="6" w:space="0"/>
              <w:bottom w:val="single" w:color="auto" w:sz="6" w:space="0"/>
            </w:tcBorders>
          </w:tcPr>
          <w:p w14:paraId="05BE5E74">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472A3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05F52BC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Borders>
              <w:top w:val="nil"/>
            </w:tcBorders>
          </w:tcPr>
          <w:p w14:paraId="0341EC4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Borders>
              <w:top w:val="nil"/>
            </w:tcBorders>
          </w:tcPr>
          <w:p w14:paraId="0E40213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Borders>
              <w:top w:val="nil"/>
            </w:tcBorders>
          </w:tcPr>
          <w:p w14:paraId="68E60F9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Borders>
              <w:top w:val="nil"/>
            </w:tcBorders>
          </w:tcPr>
          <w:p w14:paraId="7C6DB9B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Borders>
              <w:top w:val="nil"/>
            </w:tcBorders>
          </w:tcPr>
          <w:p w14:paraId="2D164D3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Borders>
              <w:top w:val="nil"/>
            </w:tcBorders>
          </w:tcPr>
          <w:p w14:paraId="5E7BDAA7">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BB12B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BA32C7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5B65BA8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18E690D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61105B8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6360D8F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7E2A8A0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68FDD133">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6DFCE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30AF74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22934A2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35BF974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4969049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073CDDF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5BD8984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33EDAE9D">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AFDA9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522906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04A7A08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3347432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2D4B6C0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0A534C6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19C056E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4A5DBE22">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7231E1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114CCC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3A332AF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2BF96F7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22BF217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2CC748A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45F7F2F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5BBEEBD2">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75440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77FA1F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4D815A8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6C23E84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02C5738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4EEEB97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070472D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7D251BCE">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20D231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9D0207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4F7CCEB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38C1297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6A361F4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4D013A4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7D61FAA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4520258D">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1C552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5B12FB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2CFAC09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23AA935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4FD6080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7419A57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2EB522E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4CB4F894">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760ABE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F6F426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5B7D47A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727309B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3FA0B1E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024439D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5C9C9E6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37B4B248">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7E963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9E90B7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2548879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30EDB86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5120324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0704278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4F81E20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004E2E36">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FFF6B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7B14B2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238CE89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270D68A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6CAF367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7E35F91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7D6A260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09EA4F89">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86B64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BC3887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44222DF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19BAA70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451ACC0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4683135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2C93E99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4A789A54">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D5B95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7434F7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5583D1B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154A2CF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6D90700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50DA03C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17050EA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0057C4F7">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4A0D8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1D4F8B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064B70C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7601DF2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1A647F2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09B5983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615324D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2A8C5376">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3C2400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2318EF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6D6D7CF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60E685C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4BBA7E2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1B44316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13FDEAB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7A7ACC39">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B0BA2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28C80A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1499289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24A5207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487AC95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73E0E5A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500E15E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3F092D60">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71CB6A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05573D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671069E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6524D1A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710D84E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7300A7B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1D923B5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63A06F58">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51B49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8FEAC8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68BE927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3E588C2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537D514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12407CA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42162CB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7F5A4934">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0121F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7C4EDA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7F93D52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28EF7F5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0640003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3C19E10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0FC4851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7440E7EA">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CBE3A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1D6050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6E18ED0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3CF2EF5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14172B2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0A69EDD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2A02D06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3FBAFDA3">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33C0E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8C872D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3BE0B3E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69DFF11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47784FB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5822AD9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3F71F49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7192BD46">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7299DE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649794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066A86D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4A672E0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64AD93F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299C94C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5477D93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0D737D4B">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25A251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654568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5794FA6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851" w:type="dxa"/>
          </w:tcPr>
          <w:p w14:paraId="0B47B0B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774" w:type="dxa"/>
          </w:tcPr>
          <w:p w14:paraId="2BF301C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352" w:type="dxa"/>
          </w:tcPr>
          <w:p w14:paraId="34B6251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418" w:type="dxa"/>
          </w:tcPr>
          <w:p w14:paraId="4519F5B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701" w:type="dxa"/>
          </w:tcPr>
          <w:p w14:paraId="4CEB0EE1">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bl>
    <w:p w14:paraId="30D7F52B">
      <w:pPr>
        <w:spacing w:line="360" w:lineRule="auto"/>
        <w:rPr>
          <w:rFonts w:hint="eastAsia" w:ascii="仿宋" w:hAnsi="仿宋" w:eastAsia="仿宋" w:cs="仿宋"/>
          <w:szCs w:val="21"/>
          <w:highlight w:val="none"/>
        </w:rPr>
      </w:pPr>
    </w:p>
    <w:p w14:paraId="77D83A0A">
      <w:pPr>
        <w:spacing w:beforeLines="50" w:afterLines="50" w:line="360" w:lineRule="auto"/>
        <w:jc w:val="center"/>
        <w:rPr>
          <w:rFonts w:hint="eastAsia" w:ascii="仿宋" w:hAnsi="仿宋" w:eastAsia="仿宋" w:cs="仿宋"/>
          <w:b/>
          <w:bCs/>
          <w:sz w:val="28"/>
          <w:szCs w:val="28"/>
          <w:highlight w:val="none"/>
        </w:rPr>
      </w:pPr>
      <w:r>
        <w:rPr>
          <w:rFonts w:hint="eastAsia" w:ascii="仿宋" w:hAnsi="仿宋" w:eastAsia="仿宋" w:cs="仿宋"/>
          <w:szCs w:val="21"/>
          <w:highlight w:val="none"/>
        </w:rPr>
        <w:br w:type="page"/>
      </w:r>
      <w:r>
        <w:rPr>
          <w:rFonts w:hint="eastAsia" w:ascii="仿宋" w:hAnsi="仿宋" w:eastAsia="仿宋" w:cs="仿宋"/>
          <w:b/>
          <w:bCs/>
          <w:sz w:val="28"/>
          <w:szCs w:val="28"/>
          <w:highlight w:val="none"/>
        </w:rPr>
        <w:t>11-3：专业工程暂估价表</w:t>
      </w:r>
    </w:p>
    <w:tbl>
      <w:tblPr>
        <w:tblStyle w:val="3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53CEF2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1677FE9B">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序号</w:t>
            </w:r>
          </w:p>
        </w:tc>
        <w:tc>
          <w:tcPr>
            <w:tcW w:w="1984" w:type="dxa"/>
            <w:tcBorders>
              <w:top w:val="single" w:color="auto" w:sz="12" w:space="0"/>
              <w:bottom w:val="double" w:color="auto" w:sz="6" w:space="0"/>
            </w:tcBorders>
          </w:tcPr>
          <w:p w14:paraId="5A530141">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专业工程名称</w:t>
            </w:r>
          </w:p>
        </w:tc>
        <w:tc>
          <w:tcPr>
            <w:tcW w:w="4678" w:type="dxa"/>
            <w:tcBorders>
              <w:top w:val="single" w:color="auto" w:sz="12" w:space="0"/>
              <w:bottom w:val="double" w:color="auto" w:sz="6" w:space="0"/>
            </w:tcBorders>
          </w:tcPr>
          <w:p w14:paraId="63507EE3">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工程内容</w:t>
            </w:r>
          </w:p>
        </w:tc>
        <w:tc>
          <w:tcPr>
            <w:tcW w:w="1276" w:type="dxa"/>
            <w:tcBorders>
              <w:top w:val="single" w:color="auto" w:sz="12" w:space="0"/>
              <w:bottom w:val="double" w:color="auto" w:sz="6" w:space="0"/>
            </w:tcBorders>
          </w:tcPr>
          <w:p w14:paraId="5E708DE2">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金额</w:t>
            </w:r>
          </w:p>
        </w:tc>
      </w:tr>
      <w:tr w14:paraId="02342E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603E755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Borders>
              <w:top w:val="double" w:color="auto" w:sz="6" w:space="0"/>
              <w:bottom w:val="single" w:color="auto" w:sz="6" w:space="0"/>
            </w:tcBorders>
          </w:tcPr>
          <w:p w14:paraId="5A2DB17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Borders>
              <w:top w:val="double" w:color="auto" w:sz="6" w:space="0"/>
              <w:bottom w:val="single" w:color="auto" w:sz="6" w:space="0"/>
            </w:tcBorders>
          </w:tcPr>
          <w:p w14:paraId="10F8F8E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Borders>
              <w:top w:val="double" w:color="auto" w:sz="6" w:space="0"/>
              <w:bottom w:val="single" w:color="auto" w:sz="6" w:space="0"/>
            </w:tcBorders>
          </w:tcPr>
          <w:p w14:paraId="40630F85">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C4B16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378CFF12">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Borders>
              <w:top w:val="nil"/>
            </w:tcBorders>
          </w:tcPr>
          <w:p w14:paraId="248C4C6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Borders>
              <w:top w:val="nil"/>
            </w:tcBorders>
          </w:tcPr>
          <w:p w14:paraId="33A28D4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Borders>
              <w:top w:val="nil"/>
            </w:tcBorders>
          </w:tcPr>
          <w:p w14:paraId="2A11279F">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CD0B6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6AA4F09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Borders>
              <w:top w:val="nil"/>
            </w:tcBorders>
          </w:tcPr>
          <w:p w14:paraId="763D7BB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Borders>
              <w:top w:val="nil"/>
            </w:tcBorders>
          </w:tcPr>
          <w:p w14:paraId="37CB9C2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Borders>
              <w:top w:val="nil"/>
            </w:tcBorders>
          </w:tcPr>
          <w:p w14:paraId="6E70779C">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2518AD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2D38E6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72C2672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01435DD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64D34243">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5AFB2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C6EB5F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07794B6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561CE33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49EF08B0">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2A558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545DB0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2F3D190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61BE064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09643D4A">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36C729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F11C59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35B4DCE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1C32F95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4C009CA7">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82991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C4E612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3673A02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5A71FC1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40DDDA2A">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6C63A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D6C034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14D10DE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53B2796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62489B45">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314473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CD7005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45128A2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4CE7A2B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3B4E6C73">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7B6608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DD1C9C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54C533D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3ACEB5D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2E786BE8">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2C7BEE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13BFBD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15D4B04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0766D31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443C29F7">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4D14A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83D841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7B4106A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1278B6B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4E40B625">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DDC5D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6979ECF">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49E485E4">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6875CA7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32AC319C">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226F4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1D45D3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5A73931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208D43A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748A9BA2">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0BEC17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543CC7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7E1324D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79E60FA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5083EAB4">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78A17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763F4A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32ED00EA">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180761DC">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4A1456A5">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35512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E9E3910">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74CBE50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56A367C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0D810931">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10715E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8DAF985">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41CA4AAE">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6F469191">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2B3D75C6">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8A7D4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C136DB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4D112BD6">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79BA456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5823DED8">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6D9DA4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B9A67D7">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246B26DB">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1896EC9D">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4139CBA6">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56A158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47A2F09">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984" w:type="dxa"/>
          </w:tcPr>
          <w:p w14:paraId="5F9E86B3">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4678" w:type="dxa"/>
          </w:tcPr>
          <w:p w14:paraId="3A8B6458">
            <w:pPr>
              <w:pStyle w:val="16"/>
              <w:keepNext/>
              <w:spacing w:after="0" w:line="360" w:lineRule="auto"/>
              <w:ind w:left="63" w:right="63"/>
              <w:rPr>
                <w:rFonts w:hint="eastAsia" w:ascii="仿宋" w:hAnsi="仿宋" w:eastAsia="仿宋" w:cs="仿宋"/>
                <w:kern w:val="2"/>
                <w:sz w:val="21"/>
                <w:szCs w:val="21"/>
                <w:highlight w:val="none"/>
                <w:lang w:val="en-US" w:eastAsia="zh-CN"/>
              </w:rPr>
            </w:pPr>
          </w:p>
        </w:tc>
        <w:tc>
          <w:tcPr>
            <w:tcW w:w="1276" w:type="dxa"/>
          </w:tcPr>
          <w:p w14:paraId="37380480">
            <w:pPr>
              <w:pStyle w:val="16"/>
              <w:keepNext/>
              <w:spacing w:after="0" w:line="360" w:lineRule="auto"/>
              <w:ind w:left="63" w:right="63"/>
              <w:rPr>
                <w:rFonts w:hint="eastAsia" w:ascii="仿宋" w:hAnsi="仿宋" w:eastAsia="仿宋" w:cs="仿宋"/>
                <w:kern w:val="2"/>
                <w:sz w:val="21"/>
                <w:szCs w:val="21"/>
                <w:highlight w:val="none"/>
                <w:lang w:val="en-US" w:eastAsia="zh-CN"/>
              </w:rPr>
            </w:pPr>
          </w:p>
        </w:tc>
      </w:tr>
      <w:tr w14:paraId="4B4BB9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44A8C16A">
            <w:pPr>
              <w:pStyle w:val="16"/>
              <w:keepNext/>
              <w:spacing w:after="0" w:line="360" w:lineRule="auto"/>
              <w:ind w:left="63" w:right="63"/>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小计：</w:t>
            </w:r>
          </w:p>
        </w:tc>
      </w:tr>
    </w:tbl>
    <w:p w14:paraId="171A264D">
      <w:pPr>
        <w:widowControl/>
        <w:jc w:val="left"/>
        <w:rPr>
          <w:rFonts w:hint="eastAsia" w:ascii="仿宋" w:hAnsi="仿宋" w:eastAsia="仿宋" w:cs="仿宋"/>
          <w:szCs w:val="21"/>
          <w:highlight w:val="none"/>
        </w:rPr>
      </w:pPr>
    </w:p>
    <w:p w14:paraId="361C2FF5">
      <w:pPr>
        <w:wordWrap w:val="0"/>
        <w:adjustRightInd w:val="0"/>
        <w:snapToGrid w:val="0"/>
        <w:spacing w:line="360" w:lineRule="auto"/>
        <w:jc w:val="left"/>
        <w:rPr>
          <w:rFonts w:hint="eastAsia" w:ascii="仿宋" w:hAnsi="仿宋" w:eastAsia="仿宋" w:cs="仿宋"/>
          <w:szCs w:val="21"/>
          <w:highlight w:val="none"/>
        </w:rPr>
      </w:pPr>
    </w:p>
    <w:sectPr>
      <w:pgSz w:w="11906" w:h="16838"/>
      <w:pgMar w:top="1440" w:right="1803" w:bottom="1440" w:left="1803"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ingsoft UE">
    <w:panose1 w:val="02000100010000000000"/>
    <w:charset w:val="00"/>
    <w:family w:val="auto"/>
    <w:pitch w:val="default"/>
    <w:sig w:usb0="00000001" w:usb1="00004000" w:usb2="00000000" w:usb3="00000000" w:csb0="00000001" w:csb1="00000000"/>
  </w:font>
  <w:font w:name="KSOFE4500885">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3886B">
    <w:pPr>
      <w:pStyle w:val="25"/>
    </w:pPr>
    <w:r>
      <w:pict>
        <v:shape id="_x0000_s2050" o:spid="_x0000_s2050"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37B7542C">
                <w:pPr>
                  <w:pStyle w:val="25"/>
                  <w:rPr>
                    <w:rFonts w:hint="eastAsia"/>
                  </w:rPr>
                </w:pPr>
                <w:r>
                  <w:fldChar w:fldCharType="begin"/>
                </w:r>
                <w:r>
                  <w:instrText xml:space="preserve"> PAGE  \* MERGEFORMAT </w:instrText>
                </w:r>
                <w:r>
                  <w:fldChar w:fldCharType="separate"/>
                </w:r>
                <w:r>
                  <w:rPr>
                    <w:lang w:val="en-US" w:eastAsia="zh-CN"/>
                  </w:rPr>
                  <w:t>5</w:t>
                </w:r>
                <w:r>
                  <w:rPr>
                    <w:lang w:val="en-US"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ECEBF">
    <w:pPr>
      <w:pStyle w:val="25"/>
    </w:pPr>
    <w:r>
      <w:pict>
        <v:shape id="_x0000_s2051" o:spid="_x0000_s2051"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7AC65E45">
                <w:pPr>
                  <w:pStyle w:val="25"/>
                  <w:rPr>
                    <w:rFonts w:hint="eastAsia"/>
                  </w:rPr>
                </w:pPr>
                <w:r>
                  <w:fldChar w:fldCharType="begin"/>
                </w:r>
                <w:r>
                  <w:instrText xml:space="preserve"> PAGE  \* MERGEFORMAT </w:instrText>
                </w:r>
                <w:r>
                  <w:fldChar w:fldCharType="separate"/>
                </w:r>
                <w:r>
                  <w:rPr>
                    <w:lang w:val="en-US" w:eastAsia="zh-CN"/>
                  </w:rPr>
                  <w:t>26</w:t>
                </w:r>
                <w:r>
                  <w:rPr>
                    <w:lang w:val="en-US" w:eastAsia="zh-CN"/>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CD521">
    <w:pPr>
      <w:pStyle w:val="25"/>
      <w:jc w:val="center"/>
    </w:pPr>
    <w:r>
      <w:fldChar w:fldCharType="begin"/>
    </w:r>
    <w:r>
      <w:instrText xml:space="preserve">PAGE   \* MERGEFORMAT</w:instrText>
    </w:r>
    <w:r>
      <w:fldChar w:fldCharType="separate"/>
    </w:r>
    <w:r>
      <w:rPr>
        <w:lang w:val="zh-CN" w:eastAsia="zh-CN"/>
      </w:rPr>
      <w:t>60</w:t>
    </w:r>
    <w:r>
      <w:rPr>
        <w:lang w:val="zh-CN" w:eastAsia="zh-CN"/>
      </w:rPr>
      <w:fldChar w:fldCharType="end"/>
    </w:r>
  </w:p>
  <w:p w14:paraId="26A780E1">
    <w:pPr>
      <w:pStyle w:val="2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decimal"/>
      <w:suff w:val="nothing"/>
      <w:lvlText w:val="（%1）"/>
      <w:lvlJc w:val="left"/>
    </w:lvl>
  </w:abstractNum>
  <w:abstractNum w:abstractNumId="1">
    <w:nsid w:val="70AD477D"/>
    <w:multiLevelType w:val="singleLevel"/>
    <w:tmpl w:val="70AD477D"/>
    <w:lvl w:ilvl="0" w:tentative="0">
      <w:start w:val="1"/>
      <w:numFmt w:val="chineseCounting"/>
      <w:suff w:val="space"/>
      <w:lvlText w:val="第%1节"/>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1"/>
  <w:bordersDoNotSurroundFooter w:val="1"/>
  <w:hideSpellingErrors/>
  <w:documentProtection w:enforcement="0"/>
  <w:defaultTabStop w:val="420"/>
  <w:drawingGridVerticalSpacing w:val="159"/>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35AB3B2B"/>
    <w:rsid w:val="000029EC"/>
    <w:rsid w:val="000073CE"/>
    <w:rsid w:val="00007825"/>
    <w:rsid w:val="00010ACC"/>
    <w:rsid w:val="00011C8C"/>
    <w:rsid w:val="00011D0D"/>
    <w:rsid w:val="00014E7F"/>
    <w:rsid w:val="00020305"/>
    <w:rsid w:val="00020B39"/>
    <w:rsid w:val="0002450C"/>
    <w:rsid w:val="00030667"/>
    <w:rsid w:val="0003153D"/>
    <w:rsid w:val="00035830"/>
    <w:rsid w:val="00036258"/>
    <w:rsid w:val="000366EB"/>
    <w:rsid w:val="0003776A"/>
    <w:rsid w:val="000406B4"/>
    <w:rsid w:val="00040886"/>
    <w:rsid w:val="00040B5B"/>
    <w:rsid w:val="00051759"/>
    <w:rsid w:val="00052A8F"/>
    <w:rsid w:val="0005484D"/>
    <w:rsid w:val="00063352"/>
    <w:rsid w:val="0006626C"/>
    <w:rsid w:val="00071853"/>
    <w:rsid w:val="00080021"/>
    <w:rsid w:val="00083219"/>
    <w:rsid w:val="00087626"/>
    <w:rsid w:val="000922FC"/>
    <w:rsid w:val="00094A31"/>
    <w:rsid w:val="00096194"/>
    <w:rsid w:val="000A3122"/>
    <w:rsid w:val="000A49E2"/>
    <w:rsid w:val="000A7C04"/>
    <w:rsid w:val="000B05A5"/>
    <w:rsid w:val="000B1E2F"/>
    <w:rsid w:val="000B4235"/>
    <w:rsid w:val="000B69EC"/>
    <w:rsid w:val="000B78F5"/>
    <w:rsid w:val="000C037B"/>
    <w:rsid w:val="000C1C0A"/>
    <w:rsid w:val="000C28F9"/>
    <w:rsid w:val="000C66F6"/>
    <w:rsid w:val="000C6DD2"/>
    <w:rsid w:val="000C6F0E"/>
    <w:rsid w:val="000D1545"/>
    <w:rsid w:val="000D2960"/>
    <w:rsid w:val="000D2C1D"/>
    <w:rsid w:val="000D3825"/>
    <w:rsid w:val="000D5AD0"/>
    <w:rsid w:val="000D79B1"/>
    <w:rsid w:val="000E4BB4"/>
    <w:rsid w:val="000E4BCF"/>
    <w:rsid w:val="000E5C84"/>
    <w:rsid w:val="000F08E0"/>
    <w:rsid w:val="000F17B2"/>
    <w:rsid w:val="000F4130"/>
    <w:rsid w:val="000F5868"/>
    <w:rsid w:val="00102355"/>
    <w:rsid w:val="00111CCC"/>
    <w:rsid w:val="00112309"/>
    <w:rsid w:val="0011667A"/>
    <w:rsid w:val="0011683B"/>
    <w:rsid w:val="0012320A"/>
    <w:rsid w:val="0012407C"/>
    <w:rsid w:val="001249FC"/>
    <w:rsid w:val="0013083C"/>
    <w:rsid w:val="0013158F"/>
    <w:rsid w:val="00132068"/>
    <w:rsid w:val="0013776E"/>
    <w:rsid w:val="00141680"/>
    <w:rsid w:val="001438C2"/>
    <w:rsid w:val="00144984"/>
    <w:rsid w:val="00151032"/>
    <w:rsid w:val="0015390E"/>
    <w:rsid w:val="00154CCD"/>
    <w:rsid w:val="00162FA2"/>
    <w:rsid w:val="00167297"/>
    <w:rsid w:val="001675B8"/>
    <w:rsid w:val="001712A2"/>
    <w:rsid w:val="00173626"/>
    <w:rsid w:val="00174B77"/>
    <w:rsid w:val="00185BFC"/>
    <w:rsid w:val="00185D8B"/>
    <w:rsid w:val="00187BB0"/>
    <w:rsid w:val="00191063"/>
    <w:rsid w:val="00191F4C"/>
    <w:rsid w:val="00193136"/>
    <w:rsid w:val="001B0330"/>
    <w:rsid w:val="001B2FBA"/>
    <w:rsid w:val="001B7FCB"/>
    <w:rsid w:val="001C5498"/>
    <w:rsid w:val="001D725D"/>
    <w:rsid w:val="001E2C1F"/>
    <w:rsid w:val="001E4670"/>
    <w:rsid w:val="001E46CE"/>
    <w:rsid w:val="001E60D9"/>
    <w:rsid w:val="001E776C"/>
    <w:rsid w:val="001F0809"/>
    <w:rsid w:val="001F252C"/>
    <w:rsid w:val="001F27E6"/>
    <w:rsid w:val="001F423E"/>
    <w:rsid w:val="001F567E"/>
    <w:rsid w:val="001F70A6"/>
    <w:rsid w:val="002005AF"/>
    <w:rsid w:val="00202A79"/>
    <w:rsid w:val="0021042D"/>
    <w:rsid w:val="00213462"/>
    <w:rsid w:val="0021427F"/>
    <w:rsid w:val="002202F5"/>
    <w:rsid w:val="002208AB"/>
    <w:rsid w:val="00237660"/>
    <w:rsid w:val="002400D1"/>
    <w:rsid w:val="00240D56"/>
    <w:rsid w:val="002440B1"/>
    <w:rsid w:val="00252E1F"/>
    <w:rsid w:val="002579EC"/>
    <w:rsid w:val="0026346E"/>
    <w:rsid w:val="002639AF"/>
    <w:rsid w:val="00264193"/>
    <w:rsid w:val="002706E5"/>
    <w:rsid w:val="002742E6"/>
    <w:rsid w:val="002743E6"/>
    <w:rsid w:val="00286772"/>
    <w:rsid w:val="002908AE"/>
    <w:rsid w:val="00290CE4"/>
    <w:rsid w:val="00292036"/>
    <w:rsid w:val="002A41DE"/>
    <w:rsid w:val="002A423F"/>
    <w:rsid w:val="002A6B47"/>
    <w:rsid w:val="002B03B5"/>
    <w:rsid w:val="002B08BA"/>
    <w:rsid w:val="002C582E"/>
    <w:rsid w:val="002C58D5"/>
    <w:rsid w:val="002D1C50"/>
    <w:rsid w:val="002E17B4"/>
    <w:rsid w:val="002F0866"/>
    <w:rsid w:val="002F5921"/>
    <w:rsid w:val="002F6CF7"/>
    <w:rsid w:val="00301364"/>
    <w:rsid w:val="003013EB"/>
    <w:rsid w:val="00302282"/>
    <w:rsid w:val="00322978"/>
    <w:rsid w:val="00324252"/>
    <w:rsid w:val="00332350"/>
    <w:rsid w:val="0033768B"/>
    <w:rsid w:val="00342EB1"/>
    <w:rsid w:val="003438C7"/>
    <w:rsid w:val="00345349"/>
    <w:rsid w:val="003532A1"/>
    <w:rsid w:val="00355013"/>
    <w:rsid w:val="003577B2"/>
    <w:rsid w:val="00361487"/>
    <w:rsid w:val="003615B4"/>
    <w:rsid w:val="0037130E"/>
    <w:rsid w:val="00373980"/>
    <w:rsid w:val="00374B84"/>
    <w:rsid w:val="00380F35"/>
    <w:rsid w:val="00381164"/>
    <w:rsid w:val="0038191E"/>
    <w:rsid w:val="00381DCB"/>
    <w:rsid w:val="0038216F"/>
    <w:rsid w:val="003854F0"/>
    <w:rsid w:val="003945B1"/>
    <w:rsid w:val="003A3FBB"/>
    <w:rsid w:val="003A4369"/>
    <w:rsid w:val="003A43C7"/>
    <w:rsid w:val="003B1204"/>
    <w:rsid w:val="003D1064"/>
    <w:rsid w:val="003D5AD5"/>
    <w:rsid w:val="003D5E53"/>
    <w:rsid w:val="003F346A"/>
    <w:rsid w:val="003F3EFE"/>
    <w:rsid w:val="003F6E87"/>
    <w:rsid w:val="00400614"/>
    <w:rsid w:val="004053E3"/>
    <w:rsid w:val="00415B97"/>
    <w:rsid w:val="00420965"/>
    <w:rsid w:val="00420DC3"/>
    <w:rsid w:val="00424004"/>
    <w:rsid w:val="004272E5"/>
    <w:rsid w:val="0042796F"/>
    <w:rsid w:val="00432E48"/>
    <w:rsid w:val="00436CEC"/>
    <w:rsid w:val="0044288A"/>
    <w:rsid w:val="004468DD"/>
    <w:rsid w:val="00450106"/>
    <w:rsid w:val="00450710"/>
    <w:rsid w:val="0046016B"/>
    <w:rsid w:val="00461316"/>
    <w:rsid w:val="0046167F"/>
    <w:rsid w:val="00462B65"/>
    <w:rsid w:val="00462C35"/>
    <w:rsid w:val="00463F1C"/>
    <w:rsid w:val="004652E4"/>
    <w:rsid w:val="00466697"/>
    <w:rsid w:val="00473134"/>
    <w:rsid w:val="0048085C"/>
    <w:rsid w:val="00480B5C"/>
    <w:rsid w:val="00480CFA"/>
    <w:rsid w:val="0048675D"/>
    <w:rsid w:val="00490CA6"/>
    <w:rsid w:val="00493F6F"/>
    <w:rsid w:val="00495230"/>
    <w:rsid w:val="00495BA7"/>
    <w:rsid w:val="0049755B"/>
    <w:rsid w:val="00497816"/>
    <w:rsid w:val="004A2961"/>
    <w:rsid w:val="004A4274"/>
    <w:rsid w:val="004A58A0"/>
    <w:rsid w:val="004A6F36"/>
    <w:rsid w:val="004B05DF"/>
    <w:rsid w:val="004B31C2"/>
    <w:rsid w:val="004B478A"/>
    <w:rsid w:val="004C02E3"/>
    <w:rsid w:val="004C1D4A"/>
    <w:rsid w:val="004C2470"/>
    <w:rsid w:val="004C7369"/>
    <w:rsid w:val="004D61B1"/>
    <w:rsid w:val="004E08E5"/>
    <w:rsid w:val="004E460D"/>
    <w:rsid w:val="004E47ED"/>
    <w:rsid w:val="004E5227"/>
    <w:rsid w:val="004E5365"/>
    <w:rsid w:val="004F0D04"/>
    <w:rsid w:val="004F1259"/>
    <w:rsid w:val="004F1FB5"/>
    <w:rsid w:val="004F42C8"/>
    <w:rsid w:val="00503D81"/>
    <w:rsid w:val="005048F2"/>
    <w:rsid w:val="005058F3"/>
    <w:rsid w:val="00506175"/>
    <w:rsid w:val="0050625F"/>
    <w:rsid w:val="00512824"/>
    <w:rsid w:val="00512F22"/>
    <w:rsid w:val="00514F5F"/>
    <w:rsid w:val="00515B50"/>
    <w:rsid w:val="00521EE3"/>
    <w:rsid w:val="00523E5C"/>
    <w:rsid w:val="00523EE1"/>
    <w:rsid w:val="00526A9D"/>
    <w:rsid w:val="00533776"/>
    <w:rsid w:val="0053623F"/>
    <w:rsid w:val="00541B72"/>
    <w:rsid w:val="005429BA"/>
    <w:rsid w:val="00542C90"/>
    <w:rsid w:val="00543ADF"/>
    <w:rsid w:val="00544989"/>
    <w:rsid w:val="00546DC1"/>
    <w:rsid w:val="00547460"/>
    <w:rsid w:val="00550C50"/>
    <w:rsid w:val="00551407"/>
    <w:rsid w:val="00552AD2"/>
    <w:rsid w:val="00556D0D"/>
    <w:rsid w:val="00557F0B"/>
    <w:rsid w:val="005636FD"/>
    <w:rsid w:val="005659BD"/>
    <w:rsid w:val="0057148B"/>
    <w:rsid w:val="005863BC"/>
    <w:rsid w:val="005869EF"/>
    <w:rsid w:val="00587127"/>
    <w:rsid w:val="00595EC6"/>
    <w:rsid w:val="005A38DE"/>
    <w:rsid w:val="005A5A53"/>
    <w:rsid w:val="005A6858"/>
    <w:rsid w:val="005A6A1E"/>
    <w:rsid w:val="005B2D03"/>
    <w:rsid w:val="005C1BD2"/>
    <w:rsid w:val="005C4242"/>
    <w:rsid w:val="005C4E89"/>
    <w:rsid w:val="005C78DA"/>
    <w:rsid w:val="005E0351"/>
    <w:rsid w:val="005E2ABC"/>
    <w:rsid w:val="005E3ED4"/>
    <w:rsid w:val="005F281B"/>
    <w:rsid w:val="005F7EF8"/>
    <w:rsid w:val="0060404A"/>
    <w:rsid w:val="00604309"/>
    <w:rsid w:val="006056FD"/>
    <w:rsid w:val="006079EB"/>
    <w:rsid w:val="00607CA9"/>
    <w:rsid w:val="0061488C"/>
    <w:rsid w:val="006161C6"/>
    <w:rsid w:val="00624AE2"/>
    <w:rsid w:val="006261EA"/>
    <w:rsid w:val="006314DE"/>
    <w:rsid w:val="00642C93"/>
    <w:rsid w:val="006540FD"/>
    <w:rsid w:val="006603CC"/>
    <w:rsid w:val="00660A2D"/>
    <w:rsid w:val="00673701"/>
    <w:rsid w:val="00674519"/>
    <w:rsid w:val="00677DB3"/>
    <w:rsid w:val="006800BB"/>
    <w:rsid w:val="006814F3"/>
    <w:rsid w:val="006873D0"/>
    <w:rsid w:val="00687966"/>
    <w:rsid w:val="00691878"/>
    <w:rsid w:val="00693826"/>
    <w:rsid w:val="006950F5"/>
    <w:rsid w:val="006977FB"/>
    <w:rsid w:val="006A6F60"/>
    <w:rsid w:val="006A7EF3"/>
    <w:rsid w:val="006B0FE1"/>
    <w:rsid w:val="006B65FF"/>
    <w:rsid w:val="006C57FF"/>
    <w:rsid w:val="006C617D"/>
    <w:rsid w:val="006C6B21"/>
    <w:rsid w:val="006C7B73"/>
    <w:rsid w:val="006D7F80"/>
    <w:rsid w:val="006E0811"/>
    <w:rsid w:val="006E50EE"/>
    <w:rsid w:val="006E5B1C"/>
    <w:rsid w:val="006E63CA"/>
    <w:rsid w:val="006F0907"/>
    <w:rsid w:val="006F266B"/>
    <w:rsid w:val="006F28CA"/>
    <w:rsid w:val="006F2AD7"/>
    <w:rsid w:val="006F48FA"/>
    <w:rsid w:val="006F55E0"/>
    <w:rsid w:val="006F5BB1"/>
    <w:rsid w:val="006F696A"/>
    <w:rsid w:val="00701314"/>
    <w:rsid w:val="0070149A"/>
    <w:rsid w:val="00703AF0"/>
    <w:rsid w:val="00713C88"/>
    <w:rsid w:val="00716810"/>
    <w:rsid w:val="00724D2F"/>
    <w:rsid w:val="007331AB"/>
    <w:rsid w:val="0074128C"/>
    <w:rsid w:val="00742BAA"/>
    <w:rsid w:val="007474CB"/>
    <w:rsid w:val="00747C48"/>
    <w:rsid w:val="00763DAC"/>
    <w:rsid w:val="00774D30"/>
    <w:rsid w:val="00775171"/>
    <w:rsid w:val="007803C9"/>
    <w:rsid w:val="00781DB0"/>
    <w:rsid w:val="007846B3"/>
    <w:rsid w:val="00786720"/>
    <w:rsid w:val="00791C13"/>
    <w:rsid w:val="007A09C7"/>
    <w:rsid w:val="007A2BB9"/>
    <w:rsid w:val="007B1964"/>
    <w:rsid w:val="007B5933"/>
    <w:rsid w:val="007B62CB"/>
    <w:rsid w:val="007B6E36"/>
    <w:rsid w:val="007C4E10"/>
    <w:rsid w:val="007C5F25"/>
    <w:rsid w:val="007D20A4"/>
    <w:rsid w:val="007D6551"/>
    <w:rsid w:val="007E39DD"/>
    <w:rsid w:val="007E5FCE"/>
    <w:rsid w:val="007F321C"/>
    <w:rsid w:val="007F7620"/>
    <w:rsid w:val="00801392"/>
    <w:rsid w:val="00801886"/>
    <w:rsid w:val="00802FF5"/>
    <w:rsid w:val="00805FD9"/>
    <w:rsid w:val="00807274"/>
    <w:rsid w:val="00807717"/>
    <w:rsid w:val="00811577"/>
    <w:rsid w:val="00813006"/>
    <w:rsid w:val="008136E9"/>
    <w:rsid w:val="00814239"/>
    <w:rsid w:val="008147FA"/>
    <w:rsid w:val="00820C29"/>
    <w:rsid w:val="00820F82"/>
    <w:rsid w:val="008218BD"/>
    <w:rsid w:val="00823F9E"/>
    <w:rsid w:val="00831889"/>
    <w:rsid w:val="00844AC6"/>
    <w:rsid w:val="008602A0"/>
    <w:rsid w:val="008623AC"/>
    <w:rsid w:val="0087266C"/>
    <w:rsid w:val="0087275E"/>
    <w:rsid w:val="00874685"/>
    <w:rsid w:val="00883007"/>
    <w:rsid w:val="008867CA"/>
    <w:rsid w:val="00890434"/>
    <w:rsid w:val="008932A6"/>
    <w:rsid w:val="00896983"/>
    <w:rsid w:val="008A6258"/>
    <w:rsid w:val="008B5895"/>
    <w:rsid w:val="008C1681"/>
    <w:rsid w:val="008C4624"/>
    <w:rsid w:val="008C5191"/>
    <w:rsid w:val="008C6C43"/>
    <w:rsid w:val="008D63CA"/>
    <w:rsid w:val="008D6F1A"/>
    <w:rsid w:val="008E472C"/>
    <w:rsid w:val="0090119B"/>
    <w:rsid w:val="009052E8"/>
    <w:rsid w:val="00916453"/>
    <w:rsid w:val="009174AF"/>
    <w:rsid w:val="00921224"/>
    <w:rsid w:val="00921D88"/>
    <w:rsid w:val="00924B06"/>
    <w:rsid w:val="00927284"/>
    <w:rsid w:val="00935AB5"/>
    <w:rsid w:val="00935B3A"/>
    <w:rsid w:val="00936E4D"/>
    <w:rsid w:val="00945810"/>
    <w:rsid w:val="009517C2"/>
    <w:rsid w:val="00951991"/>
    <w:rsid w:val="00960F57"/>
    <w:rsid w:val="00962617"/>
    <w:rsid w:val="00966365"/>
    <w:rsid w:val="00971E49"/>
    <w:rsid w:val="0097457D"/>
    <w:rsid w:val="0097626E"/>
    <w:rsid w:val="0097747F"/>
    <w:rsid w:val="00977D07"/>
    <w:rsid w:val="00985042"/>
    <w:rsid w:val="009852DE"/>
    <w:rsid w:val="00992782"/>
    <w:rsid w:val="00994177"/>
    <w:rsid w:val="009A2271"/>
    <w:rsid w:val="009A2784"/>
    <w:rsid w:val="009A6377"/>
    <w:rsid w:val="009A7A23"/>
    <w:rsid w:val="009B3544"/>
    <w:rsid w:val="009B4C4E"/>
    <w:rsid w:val="009C2B50"/>
    <w:rsid w:val="009C4A28"/>
    <w:rsid w:val="009C6E07"/>
    <w:rsid w:val="009C7CDB"/>
    <w:rsid w:val="009D29F5"/>
    <w:rsid w:val="009D6507"/>
    <w:rsid w:val="009E1113"/>
    <w:rsid w:val="009E1122"/>
    <w:rsid w:val="009E2618"/>
    <w:rsid w:val="009F1A84"/>
    <w:rsid w:val="009F6F96"/>
    <w:rsid w:val="009F7113"/>
    <w:rsid w:val="009F71D1"/>
    <w:rsid w:val="00A00449"/>
    <w:rsid w:val="00A035E9"/>
    <w:rsid w:val="00A06E0C"/>
    <w:rsid w:val="00A13871"/>
    <w:rsid w:val="00A21883"/>
    <w:rsid w:val="00A23717"/>
    <w:rsid w:val="00A30079"/>
    <w:rsid w:val="00A3041F"/>
    <w:rsid w:val="00A32861"/>
    <w:rsid w:val="00A34297"/>
    <w:rsid w:val="00A36DF1"/>
    <w:rsid w:val="00A40C92"/>
    <w:rsid w:val="00A4363D"/>
    <w:rsid w:val="00A44AA0"/>
    <w:rsid w:val="00A53F63"/>
    <w:rsid w:val="00A57041"/>
    <w:rsid w:val="00A60CBA"/>
    <w:rsid w:val="00A60D10"/>
    <w:rsid w:val="00A61331"/>
    <w:rsid w:val="00A6241B"/>
    <w:rsid w:val="00A660C6"/>
    <w:rsid w:val="00A67ABF"/>
    <w:rsid w:val="00A73727"/>
    <w:rsid w:val="00A73DB3"/>
    <w:rsid w:val="00A759B5"/>
    <w:rsid w:val="00A80E10"/>
    <w:rsid w:val="00A81824"/>
    <w:rsid w:val="00A85718"/>
    <w:rsid w:val="00A915D5"/>
    <w:rsid w:val="00A91E1D"/>
    <w:rsid w:val="00A931A7"/>
    <w:rsid w:val="00A945FE"/>
    <w:rsid w:val="00A96232"/>
    <w:rsid w:val="00AA7CAE"/>
    <w:rsid w:val="00AB20CE"/>
    <w:rsid w:val="00AB21D1"/>
    <w:rsid w:val="00AB516E"/>
    <w:rsid w:val="00AC5D2C"/>
    <w:rsid w:val="00AC77FE"/>
    <w:rsid w:val="00AD167D"/>
    <w:rsid w:val="00AD7A85"/>
    <w:rsid w:val="00AE181B"/>
    <w:rsid w:val="00AF02E7"/>
    <w:rsid w:val="00B01524"/>
    <w:rsid w:val="00B05620"/>
    <w:rsid w:val="00B05EBD"/>
    <w:rsid w:val="00B12B71"/>
    <w:rsid w:val="00B164FA"/>
    <w:rsid w:val="00B16DF6"/>
    <w:rsid w:val="00B17A91"/>
    <w:rsid w:val="00B2164B"/>
    <w:rsid w:val="00B21859"/>
    <w:rsid w:val="00B24DEC"/>
    <w:rsid w:val="00B26F29"/>
    <w:rsid w:val="00B35102"/>
    <w:rsid w:val="00B4035C"/>
    <w:rsid w:val="00B412C7"/>
    <w:rsid w:val="00B41C15"/>
    <w:rsid w:val="00B4204C"/>
    <w:rsid w:val="00B45835"/>
    <w:rsid w:val="00B4593D"/>
    <w:rsid w:val="00B46895"/>
    <w:rsid w:val="00B62A09"/>
    <w:rsid w:val="00B63BC8"/>
    <w:rsid w:val="00B67877"/>
    <w:rsid w:val="00B71CFA"/>
    <w:rsid w:val="00B7290F"/>
    <w:rsid w:val="00B73698"/>
    <w:rsid w:val="00B8383C"/>
    <w:rsid w:val="00B84437"/>
    <w:rsid w:val="00B85B3C"/>
    <w:rsid w:val="00B90C6E"/>
    <w:rsid w:val="00B90DED"/>
    <w:rsid w:val="00B9169C"/>
    <w:rsid w:val="00B91FEB"/>
    <w:rsid w:val="00B93189"/>
    <w:rsid w:val="00B9412E"/>
    <w:rsid w:val="00B9681B"/>
    <w:rsid w:val="00B96AE5"/>
    <w:rsid w:val="00B96C1C"/>
    <w:rsid w:val="00BA4313"/>
    <w:rsid w:val="00BA483E"/>
    <w:rsid w:val="00BA54C9"/>
    <w:rsid w:val="00BA7C61"/>
    <w:rsid w:val="00BB282A"/>
    <w:rsid w:val="00BB3D9F"/>
    <w:rsid w:val="00BC381F"/>
    <w:rsid w:val="00BC6F63"/>
    <w:rsid w:val="00BD4456"/>
    <w:rsid w:val="00BD4892"/>
    <w:rsid w:val="00BD4A11"/>
    <w:rsid w:val="00BD6D48"/>
    <w:rsid w:val="00BE05CD"/>
    <w:rsid w:val="00BE189E"/>
    <w:rsid w:val="00BE63EE"/>
    <w:rsid w:val="00BE7A79"/>
    <w:rsid w:val="00BF0415"/>
    <w:rsid w:val="00BF1844"/>
    <w:rsid w:val="00BF2D5F"/>
    <w:rsid w:val="00C00975"/>
    <w:rsid w:val="00C03E7A"/>
    <w:rsid w:val="00C10492"/>
    <w:rsid w:val="00C12EE2"/>
    <w:rsid w:val="00C14A00"/>
    <w:rsid w:val="00C1695F"/>
    <w:rsid w:val="00C17EA6"/>
    <w:rsid w:val="00C26147"/>
    <w:rsid w:val="00C32D39"/>
    <w:rsid w:val="00C430E2"/>
    <w:rsid w:val="00C51672"/>
    <w:rsid w:val="00C608B4"/>
    <w:rsid w:val="00C61085"/>
    <w:rsid w:val="00C62D9A"/>
    <w:rsid w:val="00C63B72"/>
    <w:rsid w:val="00C646B5"/>
    <w:rsid w:val="00C707F2"/>
    <w:rsid w:val="00C73630"/>
    <w:rsid w:val="00C73855"/>
    <w:rsid w:val="00C75905"/>
    <w:rsid w:val="00C75A4A"/>
    <w:rsid w:val="00C7798C"/>
    <w:rsid w:val="00C8406F"/>
    <w:rsid w:val="00C873A5"/>
    <w:rsid w:val="00C94AC1"/>
    <w:rsid w:val="00CA011F"/>
    <w:rsid w:val="00CA754E"/>
    <w:rsid w:val="00CB2481"/>
    <w:rsid w:val="00CB6111"/>
    <w:rsid w:val="00CC52A5"/>
    <w:rsid w:val="00CD41FB"/>
    <w:rsid w:val="00CE3A69"/>
    <w:rsid w:val="00CE4031"/>
    <w:rsid w:val="00CE6C50"/>
    <w:rsid w:val="00CF333A"/>
    <w:rsid w:val="00CF5612"/>
    <w:rsid w:val="00D12A29"/>
    <w:rsid w:val="00D12A77"/>
    <w:rsid w:val="00D1310D"/>
    <w:rsid w:val="00D13BDC"/>
    <w:rsid w:val="00D16C8E"/>
    <w:rsid w:val="00D17404"/>
    <w:rsid w:val="00D205C2"/>
    <w:rsid w:val="00D20E66"/>
    <w:rsid w:val="00D23683"/>
    <w:rsid w:val="00D25A62"/>
    <w:rsid w:val="00D2600E"/>
    <w:rsid w:val="00D270B9"/>
    <w:rsid w:val="00D27F2C"/>
    <w:rsid w:val="00D37BB8"/>
    <w:rsid w:val="00D43E5E"/>
    <w:rsid w:val="00D446AC"/>
    <w:rsid w:val="00D515AF"/>
    <w:rsid w:val="00D57015"/>
    <w:rsid w:val="00D63F92"/>
    <w:rsid w:val="00D65067"/>
    <w:rsid w:val="00D81D78"/>
    <w:rsid w:val="00D83E9F"/>
    <w:rsid w:val="00D86E39"/>
    <w:rsid w:val="00D932FD"/>
    <w:rsid w:val="00D9395B"/>
    <w:rsid w:val="00D94352"/>
    <w:rsid w:val="00D94C88"/>
    <w:rsid w:val="00DA4D1C"/>
    <w:rsid w:val="00DA7ED5"/>
    <w:rsid w:val="00DB10A5"/>
    <w:rsid w:val="00DB41F3"/>
    <w:rsid w:val="00DB56FE"/>
    <w:rsid w:val="00DB72A1"/>
    <w:rsid w:val="00DB7837"/>
    <w:rsid w:val="00DC1547"/>
    <w:rsid w:val="00DC1AA9"/>
    <w:rsid w:val="00DC3333"/>
    <w:rsid w:val="00DC49C2"/>
    <w:rsid w:val="00DC7AD3"/>
    <w:rsid w:val="00DD1DC8"/>
    <w:rsid w:val="00DE39C0"/>
    <w:rsid w:val="00DE6CF7"/>
    <w:rsid w:val="00DF6C9C"/>
    <w:rsid w:val="00DF6E76"/>
    <w:rsid w:val="00E007CD"/>
    <w:rsid w:val="00E02CC5"/>
    <w:rsid w:val="00E03D40"/>
    <w:rsid w:val="00E05A72"/>
    <w:rsid w:val="00E05A9E"/>
    <w:rsid w:val="00E1259B"/>
    <w:rsid w:val="00E157A0"/>
    <w:rsid w:val="00E273A5"/>
    <w:rsid w:val="00E318D6"/>
    <w:rsid w:val="00E34F59"/>
    <w:rsid w:val="00E46E2C"/>
    <w:rsid w:val="00E47803"/>
    <w:rsid w:val="00E51EAC"/>
    <w:rsid w:val="00E51EEE"/>
    <w:rsid w:val="00E527B6"/>
    <w:rsid w:val="00E532F7"/>
    <w:rsid w:val="00E57717"/>
    <w:rsid w:val="00E763E3"/>
    <w:rsid w:val="00E904B4"/>
    <w:rsid w:val="00EA530A"/>
    <w:rsid w:val="00EA6938"/>
    <w:rsid w:val="00EB68F2"/>
    <w:rsid w:val="00EC0765"/>
    <w:rsid w:val="00ED1893"/>
    <w:rsid w:val="00ED4ACF"/>
    <w:rsid w:val="00ED60F0"/>
    <w:rsid w:val="00ED78DB"/>
    <w:rsid w:val="00ED7B94"/>
    <w:rsid w:val="00EE4B7A"/>
    <w:rsid w:val="00EE696B"/>
    <w:rsid w:val="00EE758F"/>
    <w:rsid w:val="00EF1FE3"/>
    <w:rsid w:val="00EF3384"/>
    <w:rsid w:val="00EF5A75"/>
    <w:rsid w:val="00F02640"/>
    <w:rsid w:val="00F12143"/>
    <w:rsid w:val="00F12D67"/>
    <w:rsid w:val="00F15778"/>
    <w:rsid w:val="00F17C4C"/>
    <w:rsid w:val="00F26065"/>
    <w:rsid w:val="00F310E3"/>
    <w:rsid w:val="00F329E5"/>
    <w:rsid w:val="00F32FB8"/>
    <w:rsid w:val="00F471F5"/>
    <w:rsid w:val="00F47970"/>
    <w:rsid w:val="00F5029F"/>
    <w:rsid w:val="00F53D65"/>
    <w:rsid w:val="00F55856"/>
    <w:rsid w:val="00F55C3B"/>
    <w:rsid w:val="00F56C87"/>
    <w:rsid w:val="00F634A5"/>
    <w:rsid w:val="00F64CB3"/>
    <w:rsid w:val="00F67E67"/>
    <w:rsid w:val="00F727CC"/>
    <w:rsid w:val="00F737C5"/>
    <w:rsid w:val="00F753C2"/>
    <w:rsid w:val="00F75657"/>
    <w:rsid w:val="00F81FBE"/>
    <w:rsid w:val="00F84025"/>
    <w:rsid w:val="00F84B22"/>
    <w:rsid w:val="00F86ABE"/>
    <w:rsid w:val="00F907A7"/>
    <w:rsid w:val="00F944CD"/>
    <w:rsid w:val="00F95804"/>
    <w:rsid w:val="00F9771C"/>
    <w:rsid w:val="00F979BF"/>
    <w:rsid w:val="00FB0298"/>
    <w:rsid w:val="00FB1CD8"/>
    <w:rsid w:val="00FB20EB"/>
    <w:rsid w:val="00FB4BB5"/>
    <w:rsid w:val="00FC3673"/>
    <w:rsid w:val="00FC7718"/>
    <w:rsid w:val="00FC7FB8"/>
    <w:rsid w:val="00FD2D5A"/>
    <w:rsid w:val="00FD55CA"/>
    <w:rsid w:val="00FE0C55"/>
    <w:rsid w:val="00FE22A0"/>
    <w:rsid w:val="00FE6CA1"/>
    <w:rsid w:val="00FE7360"/>
    <w:rsid w:val="00FE7E1B"/>
    <w:rsid w:val="00FF2BFA"/>
    <w:rsid w:val="00FF35A6"/>
    <w:rsid w:val="00FF59B3"/>
    <w:rsid w:val="00FF62E0"/>
    <w:rsid w:val="00FF76FC"/>
    <w:rsid w:val="010361F6"/>
    <w:rsid w:val="012A5692"/>
    <w:rsid w:val="01317D06"/>
    <w:rsid w:val="01520AA4"/>
    <w:rsid w:val="017734C4"/>
    <w:rsid w:val="01814CB8"/>
    <w:rsid w:val="019A5532"/>
    <w:rsid w:val="01CE7D24"/>
    <w:rsid w:val="01E82BE5"/>
    <w:rsid w:val="01EB5EF8"/>
    <w:rsid w:val="02427F8B"/>
    <w:rsid w:val="02566302"/>
    <w:rsid w:val="02717787"/>
    <w:rsid w:val="028C2065"/>
    <w:rsid w:val="0299720E"/>
    <w:rsid w:val="02BD1279"/>
    <w:rsid w:val="02DF7218"/>
    <w:rsid w:val="02FA30D3"/>
    <w:rsid w:val="032D29B2"/>
    <w:rsid w:val="0360556D"/>
    <w:rsid w:val="0370786C"/>
    <w:rsid w:val="03A013D6"/>
    <w:rsid w:val="04027582"/>
    <w:rsid w:val="0469769B"/>
    <w:rsid w:val="048C542A"/>
    <w:rsid w:val="04AC72EC"/>
    <w:rsid w:val="04CB15EC"/>
    <w:rsid w:val="05073B6D"/>
    <w:rsid w:val="050D2202"/>
    <w:rsid w:val="050E6129"/>
    <w:rsid w:val="05190704"/>
    <w:rsid w:val="05270DB5"/>
    <w:rsid w:val="0580226C"/>
    <w:rsid w:val="05D00B3B"/>
    <w:rsid w:val="06020FA3"/>
    <w:rsid w:val="06670FAD"/>
    <w:rsid w:val="06750C66"/>
    <w:rsid w:val="07116147"/>
    <w:rsid w:val="072C6AB1"/>
    <w:rsid w:val="073A744C"/>
    <w:rsid w:val="07576574"/>
    <w:rsid w:val="075E76FE"/>
    <w:rsid w:val="077A46CE"/>
    <w:rsid w:val="077D7634"/>
    <w:rsid w:val="07B122A2"/>
    <w:rsid w:val="07B60CA2"/>
    <w:rsid w:val="07FD5B4D"/>
    <w:rsid w:val="08495AAD"/>
    <w:rsid w:val="08524FDB"/>
    <w:rsid w:val="0855720F"/>
    <w:rsid w:val="08572D2F"/>
    <w:rsid w:val="088D5F5C"/>
    <w:rsid w:val="08954AAB"/>
    <w:rsid w:val="08B71729"/>
    <w:rsid w:val="09705641"/>
    <w:rsid w:val="0997077C"/>
    <w:rsid w:val="09FF5649"/>
    <w:rsid w:val="0A260FC3"/>
    <w:rsid w:val="0A4A5BF8"/>
    <w:rsid w:val="0A4E254C"/>
    <w:rsid w:val="0AC70EAF"/>
    <w:rsid w:val="0ACA4546"/>
    <w:rsid w:val="0AD33830"/>
    <w:rsid w:val="0B117617"/>
    <w:rsid w:val="0B290A93"/>
    <w:rsid w:val="0B8033F4"/>
    <w:rsid w:val="0BA525D8"/>
    <w:rsid w:val="0BD50CE3"/>
    <w:rsid w:val="0BD9761D"/>
    <w:rsid w:val="0BEE2901"/>
    <w:rsid w:val="0C1F3CBE"/>
    <w:rsid w:val="0C2F6006"/>
    <w:rsid w:val="0C417FD3"/>
    <w:rsid w:val="0C5B37C6"/>
    <w:rsid w:val="0C625853"/>
    <w:rsid w:val="0C8352C9"/>
    <w:rsid w:val="0C871385"/>
    <w:rsid w:val="0C88726E"/>
    <w:rsid w:val="0C98437D"/>
    <w:rsid w:val="0CC122F7"/>
    <w:rsid w:val="0CED4903"/>
    <w:rsid w:val="0D1C770D"/>
    <w:rsid w:val="0D39451C"/>
    <w:rsid w:val="0D5E5DCC"/>
    <w:rsid w:val="0E082052"/>
    <w:rsid w:val="0E193821"/>
    <w:rsid w:val="0E473521"/>
    <w:rsid w:val="0E4F6D2E"/>
    <w:rsid w:val="0E7864B7"/>
    <w:rsid w:val="0EAE5466"/>
    <w:rsid w:val="0EC62665"/>
    <w:rsid w:val="0F465E03"/>
    <w:rsid w:val="0F5951D3"/>
    <w:rsid w:val="0F681E22"/>
    <w:rsid w:val="0F9262E5"/>
    <w:rsid w:val="0FC1070A"/>
    <w:rsid w:val="10315608"/>
    <w:rsid w:val="1034711C"/>
    <w:rsid w:val="10390CED"/>
    <w:rsid w:val="10680058"/>
    <w:rsid w:val="108D7FEC"/>
    <w:rsid w:val="108F5946"/>
    <w:rsid w:val="10B70ADD"/>
    <w:rsid w:val="10BE3CD6"/>
    <w:rsid w:val="10EB0A61"/>
    <w:rsid w:val="10F96CD3"/>
    <w:rsid w:val="11230728"/>
    <w:rsid w:val="112310E7"/>
    <w:rsid w:val="11426F1D"/>
    <w:rsid w:val="114B1748"/>
    <w:rsid w:val="11714A01"/>
    <w:rsid w:val="117B7F5E"/>
    <w:rsid w:val="117E3EBF"/>
    <w:rsid w:val="11973FF7"/>
    <w:rsid w:val="11A63895"/>
    <w:rsid w:val="11AA0E33"/>
    <w:rsid w:val="11C15AF2"/>
    <w:rsid w:val="11D465DE"/>
    <w:rsid w:val="11E65482"/>
    <w:rsid w:val="12050D3E"/>
    <w:rsid w:val="12356713"/>
    <w:rsid w:val="124E6914"/>
    <w:rsid w:val="129231B2"/>
    <w:rsid w:val="12954D8A"/>
    <w:rsid w:val="129D4E9C"/>
    <w:rsid w:val="12F51579"/>
    <w:rsid w:val="12FF0AE7"/>
    <w:rsid w:val="13042B7A"/>
    <w:rsid w:val="1338631F"/>
    <w:rsid w:val="13810D77"/>
    <w:rsid w:val="138421E7"/>
    <w:rsid w:val="13B124D5"/>
    <w:rsid w:val="13F14B1A"/>
    <w:rsid w:val="13F9694A"/>
    <w:rsid w:val="14206501"/>
    <w:rsid w:val="14333776"/>
    <w:rsid w:val="144F6715"/>
    <w:rsid w:val="14742001"/>
    <w:rsid w:val="147C6D6F"/>
    <w:rsid w:val="14AA5797"/>
    <w:rsid w:val="14B71172"/>
    <w:rsid w:val="14C073A3"/>
    <w:rsid w:val="14D62ED9"/>
    <w:rsid w:val="14F52179"/>
    <w:rsid w:val="15066F85"/>
    <w:rsid w:val="15596654"/>
    <w:rsid w:val="15667555"/>
    <w:rsid w:val="15C846B9"/>
    <w:rsid w:val="16150220"/>
    <w:rsid w:val="161C105C"/>
    <w:rsid w:val="164342FA"/>
    <w:rsid w:val="16A22BEB"/>
    <w:rsid w:val="16B966B9"/>
    <w:rsid w:val="16CB645F"/>
    <w:rsid w:val="16D97C62"/>
    <w:rsid w:val="16DF2C8F"/>
    <w:rsid w:val="16E51ADE"/>
    <w:rsid w:val="171820A2"/>
    <w:rsid w:val="173264E4"/>
    <w:rsid w:val="17571001"/>
    <w:rsid w:val="17960455"/>
    <w:rsid w:val="17B6418E"/>
    <w:rsid w:val="17D44EBC"/>
    <w:rsid w:val="17DD01BC"/>
    <w:rsid w:val="17F01824"/>
    <w:rsid w:val="181270D8"/>
    <w:rsid w:val="18323083"/>
    <w:rsid w:val="183A7AB3"/>
    <w:rsid w:val="184335AA"/>
    <w:rsid w:val="185C4B83"/>
    <w:rsid w:val="186E798F"/>
    <w:rsid w:val="189B082A"/>
    <w:rsid w:val="18B45F0F"/>
    <w:rsid w:val="19132B6A"/>
    <w:rsid w:val="194543F2"/>
    <w:rsid w:val="19924931"/>
    <w:rsid w:val="19CF6119"/>
    <w:rsid w:val="19DD252D"/>
    <w:rsid w:val="1A0975A5"/>
    <w:rsid w:val="1A271902"/>
    <w:rsid w:val="1A3037C7"/>
    <w:rsid w:val="1AD10C6D"/>
    <w:rsid w:val="1AD5060B"/>
    <w:rsid w:val="1ADD1051"/>
    <w:rsid w:val="1B170F6C"/>
    <w:rsid w:val="1B1F0699"/>
    <w:rsid w:val="1B200CF6"/>
    <w:rsid w:val="1B2E05FE"/>
    <w:rsid w:val="1B3827EF"/>
    <w:rsid w:val="1B804CE5"/>
    <w:rsid w:val="1BAC44A2"/>
    <w:rsid w:val="1C0A3A87"/>
    <w:rsid w:val="1C2D520C"/>
    <w:rsid w:val="1C2D7855"/>
    <w:rsid w:val="1C4200E7"/>
    <w:rsid w:val="1C7F0946"/>
    <w:rsid w:val="1C834048"/>
    <w:rsid w:val="1CA7647F"/>
    <w:rsid w:val="1CB1569A"/>
    <w:rsid w:val="1CB313F6"/>
    <w:rsid w:val="1CD30593"/>
    <w:rsid w:val="1D0209C3"/>
    <w:rsid w:val="1D0D6BCC"/>
    <w:rsid w:val="1D3A13B3"/>
    <w:rsid w:val="1D503F50"/>
    <w:rsid w:val="1E066B9C"/>
    <w:rsid w:val="1E1A2EA7"/>
    <w:rsid w:val="1E1C5E73"/>
    <w:rsid w:val="1E3137A3"/>
    <w:rsid w:val="1E3D5BFF"/>
    <w:rsid w:val="1E5A0DBD"/>
    <w:rsid w:val="1E5B585E"/>
    <w:rsid w:val="1E5F0290"/>
    <w:rsid w:val="1E8563ED"/>
    <w:rsid w:val="1EA0459D"/>
    <w:rsid w:val="1EB21D4C"/>
    <w:rsid w:val="1ED42809"/>
    <w:rsid w:val="1ED76CD9"/>
    <w:rsid w:val="1F051047"/>
    <w:rsid w:val="1F055C18"/>
    <w:rsid w:val="1F230341"/>
    <w:rsid w:val="1F492E83"/>
    <w:rsid w:val="1F4B0B2C"/>
    <w:rsid w:val="1F6A2CF4"/>
    <w:rsid w:val="1F820AF2"/>
    <w:rsid w:val="1FA57DDF"/>
    <w:rsid w:val="1FFD6FC8"/>
    <w:rsid w:val="1FFE32B4"/>
    <w:rsid w:val="20017303"/>
    <w:rsid w:val="202279CC"/>
    <w:rsid w:val="202369B8"/>
    <w:rsid w:val="204109D3"/>
    <w:rsid w:val="20441B19"/>
    <w:rsid w:val="20663493"/>
    <w:rsid w:val="207A5FE1"/>
    <w:rsid w:val="20A6481A"/>
    <w:rsid w:val="20B861BA"/>
    <w:rsid w:val="20B87A68"/>
    <w:rsid w:val="20BF45FE"/>
    <w:rsid w:val="20C70459"/>
    <w:rsid w:val="2102069D"/>
    <w:rsid w:val="210B7974"/>
    <w:rsid w:val="21244F9D"/>
    <w:rsid w:val="215F78EC"/>
    <w:rsid w:val="21A7183B"/>
    <w:rsid w:val="22160B82"/>
    <w:rsid w:val="22451310"/>
    <w:rsid w:val="22633CAD"/>
    <w:rsid w:val="2294462F"/>
    <w:rsid w:val="229F23A9"/>
    <w:rsid w:val="22BA1EBD"/>
    <w:rsid w:val="22D26F9A"/>
    <w:rsid w:val="230F44D7"/>
    <w:rsid w:val="23202817"/>
    <w:rsid w:val="23875C45"/>
    <w:rsid w:val="23B12896"/>
    <w:rsid w:val="23BA4B20"/>
    <w:rsid w:val="23F316BB"/>
    <w:rsid w:val="245F0113"/>
    <w:rsid w:val="24963225"/>
    <w:rsid w:val="24994A73"/>
    <w:rsid w:val="24AE3B11"/>
    <w:rsid w:val="24C0767C"/>
    <w:rsid w:val="24EC4414"/>
    <w:rsid w:val="24FF7B77"/>
    <w:rsid w:val="25046605"/>
    <w:rsid w:val="25377C12"/>
    <w:rsid w:val="25844BC0"/>
    <w:rsid w:val="25900AA9"/>
    <w:rsid w:val="25B0273C"/>
    <w:rsid w:val="25B86354"/>
    <w:rsid w:val="25C21928"/>
    <w:rsid w:val="25D45C3E"/>
    <w:rsid w:val="25D774E6"/>
    <w:rsid w:val="25DB33D1"/>
    <w:rsid w:val="25DD61F7"/>
    <w:rsid w:val="25E31E20"/>
    <w:rsid w:val="25FF350C"/>
    <w:rsid w:val="26472EF4"/>
    <w:rsid w:val="2650009F"/>
    <w:rsid w:val="271A3DF3"/>
    <w:rsid w:val="273C3D48"/>
    <w:rsid w:val="276E7580"/>
    <w:rsid w:val="277070EA"/>
    <w:rsid w:val="279E1806"/>
    <w:rsid w:val="279F27E3"/>
    <w:rsid w:val="27D108BA"/>
    <w:rsid w:val="27EA3F9C"/>
    <w:rsid w:val="281E11E4"/>
    <w:rsid w:val="282F193E"/>
    <w:rsid w:val="28327F9F"/>
    <w:rsid w:val="284B2E0F"/>
    <w:rsid w:val="28B92147"/>
    <w:rsid w:val="28CC04F8"/>
    <w:rsid w:val="28EA020B"/>
    <w:rsid w:val="29461586"/>
    <w:rsid w:val="294D23A3"/>
    <w:rsid w:val="295A3ADD"/>
    <w:rsid w:val="29802FB2"/>
    <w:rsid w:val="29D26BE3"/>
    <w:rsid w:val="29F3177B"/>
    <w:rsid w:val="2A19597B"/>
    <w:rsid w:val="2A6C2D68"/>
    <w:rsid w:val="2A7439F6"/>
    <w:rsid w:val="2A7709C2"/>
    <w:rsid w:val="2A774ED8"/>
    <w:rsid w:val="2A943DAD"/>
    <w:rsid w:val="2AD6659D"/>
    <w:rsid w:val="2AEA69C9"/>
    <w:rsid w:val="2AFF1738"/>
    <w:rsid w:val="2B2838DB"/>
    <w:rsid w:val="2B371124"/>
    <w:rsid w:val="2B376F2C"/>
    <w:rsid w:val="2B417276"/>
    <w:rsid w:val="2B5A5895"/>
    <w:rsid w:val="2BA702B7"/>
    <w:rsid w:val="2BC36D5D"/>
    <w:rsid w:val="2C02614B"/>
    <w:rsid w:val="2C1D0F66"/>
    <w:rsid w:val="2C456DB2"/>
    <w:rsid w:val="2C4F787A"/>
    <w:rsid w:val="2C764B59"/>
    <w:rsid w:val="2C852F06"/>
    <w:rsid w:val="2C9F53AF"/>
    <w:rsid w:val="2CBA641B"/>
    <w:rsid w:val="2CFB4920"/>
    <w:rsid w:val="2D982E0B"/>
    <w:rsid w:val="2DA20924"/>
    <w:rsid w:val="2DD05EEA"/>
    <w:rsid w:val="2DD545DA"/>
    <w:rsid w:val="2DEE5C16"/>
    <w:rsid w:val="2E072654"/>
    <w:rsid w:val="2E4C0591"/>
    <w:rsid w:val="2E7B7120"/>
    <w:rsid w:val="2EB6719F"/>
    <w:rsid w:val="2F00532F"/>
    <w:rsid w:val="2F1965ED"/>
    <w:rsid w:val="2F212B1B"/>
    <w:rsid w:val="2F2E122B"/>
    <w:rsid w:val="2F5A4F27"/>
    <w:rsid w:val="2F6333F4"/>
    <w:rsid w:val="2F9075F6"/>
    <w:rsid w:val="2FF1709A"/>
    <w:rsid w:val="30062C6B"/>
    <w:rsid w:val="304F32F8"/>
    <w:rsid w:val="307B4A76"/>
    <w:rsid w:val="30E3277E"/>
    <w:rsid w:val="313951D9"/>
    <w:rsid w:val="317F3D7D"/>
    <w:rsid w:val="31B60DCF"/>
    <w:rsid w:val="31CD0C24"/>
    <w:rsid w:val="31F0559B"/>
    <w:rsid w:val="32217747"/>
    <w:rsid w:val="322963D4"/>
    <w:rsid w:val="3239017C"/>
    <w:rsid w:val="32646863"/>
    <w:rsid w:val="326E7E26"/>
    <w:rsid w:val="32A01606"/>
    <w:rsid w:val="32C94A9C"/>
    <w:rsid w:val="332D454F"/>
    <w:rsid w:val="334E1463"/>
    <w:rsid w:val="33573F06"/>
    <w:rsid w:val="33675FE5"/>
    <w:rsid w:val="33B056C5"/>
    <w:rsid w:val="33BE5DDC"/>
    <w:rsid w:val="340E7B8F"/>
    <w:rsid w:val="344275D6"/>
    <w:rsid w:val="346373FA"/>
    <w:rsid w:val="34763BE6"/>
    <w:rsid w:val="34891CAF"/>
    <w:rsid w:val="34983E85"/>
    <w:rsid w:val="34A07D70"/>
    <w:rsid w:val="34BC2C7B"/>
    <w:rsid w:val="34E84094"/>
    <w:rsid w:val="34F03F21"/>
    <w:rsid w:val="34FA6049"/>
    <w:rsid w:val="35057B39"/>
    <w:rsid w:val="3575147E"/>
    <w:rsid w:val="35A63D95"/>
    <w:rsid w:val="35AB3B2B"/>
    <w:rsid w:val="35B11597"/>
    <w:rsid w:val="35CF0A62"/>
    <w:rsid w:val="35F61457"/>
    <w:rsid w:val="36094C18"/>
    <w:rsid w:val="360B3E62"/>
    <w:rsid w:val="367F29FE"/>
    <w:rsid w:val="36D72917"/>
    <w:rsid w:val="36E41E01"/>
    <w:rsid w:val="370E4390"/>
    <w:rsid w:val="3744619F"/>
    <w:rsid w:val="37446983"/>
    <w:rsid w:val="37797AAB"/>
    <w:rsid w:val="37965565"/>
    <w:rsid w:val="37F2708E"/>
    <w:rsid w:val="38195423"/>
    <w:rsid w:val="387678EF"/>
    <w:rsid w:val="388001CE"/>
    <w:rsid w:val="388E3CF1"/>
    <w:rsid w:val="389D283F"/>
    <w:rsid w:val="395B7FBE"/>
    <w:rsid w:val="3964294B"/>
    <w:rsid w:val="39660812"/>
    <w:rsid w:val="3971655D"/>
    <w:rsid w:val="39776274"/>
    <w:rsid w:val="397B07A1"/>
    <w:rsid w:val="399A59A4"/>
    <w:rsid w:val="39D5177E"/>
    <w:rsid w:val="3A8525FC"/>
    <w:rsid w:val="3AC91B59"/>
    <w:rsid w:val="3AD4225A"/>
    <w:rsid w:val="3AD45AEE"/>
    <w:rsid w:val="3B265EE6"/>
    <w:rsid w:val="3B2958E9"/>
    <w:rsid w:val="3B3D6F2F"/>
    <w:rsid w:val="3B4A408F"/>
    <w:rsid w:val="3B7E64BE"/>
    <w:rsid w:val="3BAE26C7"/>
    <w:rsid w:val="3BB450D2"/>
    <w:rsid w:val="3BD13A15"/>
    <w:rsid w:val="3BE81CD4"/>
    <w:rsid w:val="3C016259"/>
    <w:rsid w:val="3C0C648C"/>
    <w:rsid w:val="3C806348"/>
    <w:rsid w:val="3C8C1D3C"/>
    <w:rsid w:val="3CA65007"/>
    <w:rsid w:val="3CD978E3"/>
    <w:rsid w:val="3D11205B"/>
    <w:rsid w:val="3D3D55B3"/>
    <w:rsid w:val="3D7704B3"/>
    <w:rsid w:val="3DAC5982"/>
    <w:rsid w:val="3DD57647"/>
    <w:rsid w:val="3DE10BB3"/>
    <w:rsid w:val="3DF57717"/>
    <w:rsid w:val="3DF95085"/>
    <w:rsid w:val="3E2A2B34"/>
    <w:rsid w:val="3E87586E"/>
    <w:rsid w:val="3F12480E"/>
    <w:rsid w:val="3F50722A"/>
    <w:rsid w:val="3F547CFB"/>
    <w:rsid w:val="3F645D9C"/>
    <w:rsid w:val="3F88541E"/>
    <w:rsid w:val="3F9F6BF6"/>
    <w:rsid w:val="3FC3473C"/>
    <w:rsid w:val="3FE168EF"/>
    <w:rsid w:val="3FEC750F"/>
    <w:rsid w:val="401F5033"/>
    <w:rsid w:val="405A34BE"/>
    <w:rsid w:val="40B251CA"/>
    <w:rsid w:val="40D12F9B"/>
    <w:rsid w:val="40D50F73"/>
    <w:rsid w:val="40E765BD"/>
    <w:rsid w:val="41055DF9"/>
    <w:rsid w:val="414E6719"/>
    <w:rsid w:val="415B07A2"/>
    <w:rsid w:val="417A46D4"/>
    <w:rsid w:val="419345E1"/>
    <w:rsid w:val="41940CDA"/>
    <w:rsid w:val="41CF0BCF"/>
    <w:rsid w:val="41D427C4"/>
    <w:rsid w:val="41E04248"/>
    <w:rsid w:val="41E47BF1"/>
    <w:rsid w:val="42042CCA"/>
    <w:rsid w:val="4239065F"/>
    <w:rsid w:val="428B33EB"/>
    <w:rsid w:val="428D2062"/>
    <w:rsid w:val="4290203A"/>
    <w:rsid w:val="42DF6987"/>
    <w:rsid w:val="43163E4F"/>
    <w:rsid w:val="43284021"/>
    <w:rsid w:val="43482809"/>
    <w:rsid w:val="436E35F1"/>
    <w:rsid w:val="43727FC7"/>
    <w:rsid w:val="43794BD1"/>
    <w:rsid w:val="43902086"/>
    <w:rsid w:val="43B04354"/>
    <w:rsid w:val="43DB473E"/>
    <w:rsid w:val="43FC7009"/>
    <w:rsid w:val="441E75A6"/>
    <w:rsid w:val="442A3BD8"/>
    <w:rsid w:val="44781099"/>
    <w:rsid w:val="44B1419D"/>
    <w:rsid w:val="44C57EEC"/>
    <w:rsid w:val="44D70159"/>
    <w:rsid w:val="44DC2399"/>
    <w:rsid w:val="44E93621"/>
    <w:rsid w:val="4553238D"/>
    <w:rsid w:val="45713839"/>
    <w:rsid w:val="458F46CB"/>
    <w:rsid w:val="45AA3F79"/>
    <w:rsid w:val="45F0194D"/>
    <w:rsid w:val="461A78A6"/>
    <w:rsid w:val="46A301C2"/>
    <w:rsid w:val="46A72D5F"/>
    <w:rsid w:val="46AE0331"/>
    <w:rsid w:val="46B215A3"/>
    <w:rsid w:val="46BF0C45"/>
    <w:rsid w:val="46C36755"/>
    <w:rsid w:val="46D027AA"/>
    <w:rsid w:val="47096150"/>
    <w:rsid w:val="47204C82"/>
    <w:rsid w:val="47304268"/>
    <w:rsid w:val="47440ED2"/>
    <w:rsid w:val="47723768"/>
    <w:rsid w:val="477A4296"/>
    <w:rsid w:val="479D6455"/>
    <w:rsid w:val="47D9353C"/>
    <w:rsid w:val="47FB70B2"/>
    <w:rsid w:val="47FE2089"/>
    <w:rsid w:val="480709AA"/>
    <w:rsid w:val="484E2A87"/>
    <w:rsid w:val="48690797"/>
    <w:rsid w:val="48756BB9"/>
    <w:rsid w:val="487F6ED0"/>
    <w:rsid w:val="48B42737"/>
    <w:rsid w:val="48B5112D"/>
    <w:rsid w:val="48DD2962"/>
    <w:rsid w:val="48FF6A9A"/>
    <w:rsid w:val="49413270"/>
    <w:rsid w:val="494144BF"/>
    <w:rsid w:val="4942032F"/>
    <w:rsid w:val="49490BB1"/>
    <w:rsid w:val="495B5F93"/>
    <w:rsid w:val="49692915"/>
    <w:rsid w:val="49A60E00"/>
    <w:rsid w:val="49EF1F42"/>
    <w:rsid w:val="4A3847B0"/>
    <w:rsid w:val="4A3F772C"/>
    <w:rsid w:val="4A6603DD"/>
    <w:rsid w:val="4A6E7668"/>
    <w:rsid w:val="4A8D3307"/>
    <w:rsid w:val="4A9647BF"/>
    <w:rsid w:val="4ABA45EC"/>
    <w:rsid w:val="4B7132C9"/>
    <w:rsid w:val="4B992729"/>
    <w:rsid w:val="4BF14E5C"/>
    <w:rsid w:val="4C116ED2"/>
    <w:rsid w:val="4CEC0B69"/>
    <w:rsid w:val="4CF306AC"/>
    <w:rsid w:val="4D176485"/>
    <w:rsid w:val="4D2301A6"/>
    <w:rsid w:val="4D397E04"/>
    <w:rsid w:val="4D80406A"/>
    <w:rsid w:val="4D94749F"/>
    <w:rsid w:val="4DA237EC"/>
    <w:rsid w:val="4DD1007C"/>
    <w:rsid w:val="4DD80FF0"/>
    <w:rsid w:val="4DE256A2"/>
    <w:rsid w:val="4DF37665"/>
    <w:rsid w:val="4EB04CEB"/>
    <w:rsid w:val="4EBC4081"/>
    <w:rsid w:val="4ED6221D"/>
    <w:rsid w:val="4EED0A2C"/>
    <w:rsid w:val="4F96706C"/>
    <w:rsid w:val="4F9A62A6"/>
    <w:rsid w:val="4FA060F5"/>
    <w:rsid w:val="4FB54E8E"/>
    <w:rsid w:val="4FC915F8"/>
    <w:rsid w:val="4FD84F9C"/>
    <w:rsid w:val="504E4277"/>
    <w:rsid w:val="506A683A"/>
    <w:rsid w:val="506F3038"/>
    <w:rsid w:val="5086411C"/>
    <w:rsid w:val="50F07683"/>
    <w:rsid w:val="51325AB2"/>
    <w:rsid w:val="516C70A1"/>
    <w:rsid w:val="519C25A2"/>
    <w:rsid w:val="51A55A26"/>
    <w:rsid w:val="52002EB5"/>
    <w:rsid w:val="5244547C"/>
    <w:rsid w:val="5249683C"/>
    <w:rsid w:val="52517DB8"/>
    <w:rsid w:val="525C4143"/>
    <w:rsid w:val="526A55A6"/>
    <w:rsid w:val="527D5A23"/>
    <w:rsid w:val="529E60AD"/>
    <w:rsid w:val="52B85D86"/>
    <w:rsid w:val="52C371FE"/>
    <w:rsid w:val="53084074"/>
    <w:rsid w:val="534B0C47"/>
    <w:rsid w:val="5360776D"/>
    <w:rsid w:val="537261AA"/>
    <w:rsid w:val="53E411F3"/>
    <w:rsid w:val="53E7314D"/>
    <w:rsid w:val="541B56C7"/>
    <w:rsid w:val="548117E3"/>
    <w:rsid w:val="54D46A7E"/>
    <w:rsid w:val="54E03B7D"/>
    <w:rsid w:val="551032A1"/>
    <w:rsid w:val="556F2385"/>
    <w:rsid w:val="5573011A"/>
    <w:rsid w:val="558B0EF2"/>
    <w:rsid w:val="55EF44CD"/>
    <w:rsid w:val="55F81908"/>
    <w:rsid w:val="56085966"/>
    <w:rsid w:val="56195DC5"/>
    <w:rsid w:val="56545706"/>
    <w:rsid w:val="5671771B"/>
    <w:rsid w:val="567E3A30"/>
    <w:rsid w:val="569C3C83"/>
    <w:rsid w:val="56B26734"/>
    <w:rsid w:val="56D21446"/>
    <w:rsid w:val="5701107B"/>
    <w:rsid w:val="572A056F"/>
    <w:rsid w:val="572F2122"/>
    <w:rsid w:val="57513E3C"/>
    <w:rsid w:val="575E71D1"/>
    <w:rsid w:val="5767576A"/>
    <w:rsid w:val="576B1320"/>
    <w:rsid w:val="577379DD"/>
    <w:rsid w:val="57780285"/>
    <w:rsid w:val="57935C4B"/>
    <w:rsid w:val="57CB7122"/>
    <w:rsid w:val="58091D0F"/>
    <w:rsid w:val="582E3B22"/>
    <w:rsid w:val="583A1258"/>
    <w:rsid w:val="58A4109F"/>
    <w:rsid w:val="58C67724"/>
    <w:rsid w:val="58F74373"/>
    <w:rsid w:val="59084281"/>
    <w:rsid w:val="592B2BC8"/>
    <w:rsid w:val="5945570A"/>
    <w:rsid w:val="595F5C5C"/>
    <w:rsid w:val="59633CBA"/>
    <w:rsid w:val="598A1022"/>
    <w:rsid w:val="59BD3347"/>
    <w:rsid w:val="59C06909"/>
    <w:rsid w:val="59EF1FE8"/>
    <w:rsid w:val="5A0C2052"/>
    <w:rsid w:val="5A5538A1"/>
    <w:rsid w:val="5AA20FEB"/>
    <w:rsid w:val="5B5267B9"/>
    <w:rsid w:val="5B5F034D"/>
    <w:rsid w:val="5B64318C"/>
    <w:rsid w:val="5B974CD1"/>
    <w:rsid w:val="5BC05588"/>
    <w:rsid w:val="5BE21F66"/>
    <w:rsid w:val="5BFB37A6"/>
    <w:rsid w:val="5C07795B"/>
    <w:rsid w:val="5C0A657E"/>
    <w:rsid w:val="5C240C7B"/>
    <w:rsid w:val="5C483AC9"/>
    <w:rsid w:val="5C6F3E31"/>
    <w:rsid w:val="5C941D6F"/>
    <w:rsid w:val="5CA52AF5"/>
    <w:rsid w:val="5CAA01D9"/>
    <w:rsid w:val="5CCE1A7B"/>
    <w:rsid w:val="5CF93445"/>
    <w:rsid w:val="5CFE68E7"/>
    <w:rsid w:val="5D42415C"/>
    <w:rsid w:val="5D73146B"/>
    <w:rsid w:val="5DDE2965"/>
    <w:rsid w:val="5DEF5CCF"/>
    <w:rsid w:val="5DF64611"/>
    <w:rsid w:val="5DFF13CA"/>
    <w:rsid w:val="5E0B635A"/>
    <w:rsid w:val="5E37053B"/>
    <w:rsid w:val="5EA11D24"/>
    <w:rsid w:val="5ED92AEC"/>
    <w:rsid w:val="5EF37788"/>
    <w:rsid w:val="5EFF1C82"/>
    <w:rsid w:val="5F2B1F2D"/>
    <w:rsid w:val="5F372A1F"/>
    <w:rsid w:val="5F460C39"/>
    <w:rsid w:val="5F8F1D12"/>
    <w:rsid w:val="5FA120E1"/>
    <w:rsid w:val="5FA22B96"/>
    <w:rsid w:val="5FBB64E6"/>
    <w:rsid w:val="5FC41E44"/>
    <w:rsid w:val="5FEB56E6"/>
    <w:rsid w:val="60210B27"/>
    <w:rsid w:val="602651FC"/>
    <w:rsid w:val="603C43A1"/>
    <w:rsid w:val="6040639C"/>
    <w:rsid w:val="605B7E8A"/>
    <w:rsid w:val="605C6D1E"/>
    <w:rsid w:val="605E59DD"/>
    <w:rsid w:val="607A0067"/>
    <w:rsid w:val="60846BA6"/>
    <w:rsid w:val="6098223A"/>
    <w:rsid w:val="609E675C"/>
    <w:rsid w:val="60B52231"/>
    <w:rsid w:val="60B66ADC"/>
    <w:rsid w:val="60BB7FE3"/>
    <w:rsid w:val="60E27AAD"/>
    <w:rsid w:val="610B3038"/>
    <w:rsid w:val="613B6F0D"/>
    <w:rsid w:val="6157463B"/>
    <w:rsid w:val="615B2673"/>
    <w:rsid w:val="619D78CE"/>
    <w:rsid w:val="61D95E93"/>
    <w:rsid w:val="61E25DE1"/>
    <w:rsid w:val="6200468F"/>
    <w:rsid w:val="62012E19"/>
    <w:rsid w:val="620B16CB"/>
    <w:rsid w:val="620C4DF8"/>
    <w:rsid w:val="62632FF6"/>
    <w:rsid w:val="62743C04"/>
    <w:rsid w:val="627765BE"/>
    <w:rsid w:val="62B11F77"/>
    <w:rsid w:val="62D2414E"/>
    <w:rsid w:val="62D41677"/>
    <w:rsid w:val="62FE72D8"/>
    <w:rsid w:val="630B738B"/>
    <w:rsid w:val="631B4E43"/>
    <w:rsid w:val="632F68AE"/>
    <w:rsid w:val="633E39E6"/>
    <w:rsid w:val="634D2D5C"/>
    <w:rsid w:val="634E355C"/>
    <w:rsid w:val="636522D0"/>
    <w:rsid w:val="637654F1"/>
    <w:rsid w:val="63856413"/>
    <w:rsid w:val="63B05CBA"/>
    <w:rsid w:val="63C627AB"/>
    <w:rsid w:val="63D201A3"/>
    <w:rsid w:val="63D90182"/>
    <w:rsid w:val="64003D27"/>
    <w:rsid w:val="646E04C5"/>
    <w:rsid w:val="64AD388C"/>
    <w:rsid w:val="64B60830"/>
    <w:rsid w:val="64B7725E"/>
    <w:rsid w:val="651E49ED"/>
    <w:rsid w:val="657B4235"/>
    <w:rsid w:val="657E6542"/>
    <w:rsid w:val="65D35C16"/>
    <w:rsid w:val="660D1128"/>
    <w:rsid w:val="66564BC8"/>
    <w:rsid w:val="666F5226"/>
    <w:rsid w:val="66BC375D"/>
    <w:rsid w:val="66C66E69"/>
    <w:rsid w:val="66D47E98"/>
    <w:rsid w:val="66EA2E83"/>
    <w:rsid w:val="67760CA3"/>
    <w:rsid w:val="67834728"/>
    <w:rsid w:val="67B371FE"/>
    <w:rsid w:val="67E623F7"/>
    <w:rsid w:val="681253D0"/>
    <w:rsid w:val="6852376A"/>
    <w:rsid w:val="685A6D95"/>
    <w:rsid w:val="689B47D5"/>
    <w:rsid w:val="68F2680E"/>
    <w:rsid w:val="68F424EA"/>
    <w:rsid w:val="69271690"/>
    <w:rsid w:val="696314F4"/>
    <w:rsid w:val="69BD10D9"/>
    <w:rsid w:val="69C55233"/>
    <w:rsid w:val="69EB0D20"/>
    <w:rsid w:val="69FB5F53"/>
    <w:rsid w:val="6A0441D2"/>
    <w:rsid w:val="6A1B7B8C"/>
    <w:rsid w:val="6A1C22CC"/>
    <w:rsid w:val="6A436251"/>
    <w:rsid w:val="6AE866A8"/>
    <w:rsid w:val="6AF619D0"/>
    <w:rsid w:val="6B051D29"/>
    <w:rsid w:val="6B1002F1"/>
    <w:rsid w:val="6B106310"/>
    <w:rsid w:val="6B703D33"/>
    <w:rsid w:val="6B711B7A"/>
    <w:rsid w:val="6B956DD7"/>
    <w:rsid w:val="6BE8725E"/>
    <w:rsid w:val="6C152647"/>
    <w:rsid w:val="6C2F6077"/>
    <w:rsid w:val="6C3D278A"/>
    <w:rsid w:val="6C6608D6"/>
    <w:rsid w:val="6CA7763D"/>
    <w:rsid w:val="6CF86215"/>
    <w:rsid w:val="6D0B0DAF"/>
    <w:rsid w:val="6D2A0812"/>
    <w:rsid w:val="6D614CAA"/>
    <w:rsid w:val="6D6D52FD"/>
    <w:rsid w:val="6D722C89"/>
    <w:rsid w:val="6D8D7A35"/>
    <w:rsid w:val="6DC85709"/>
    <w:rsid w:val="6DDB69F4"/>
    <w:rsid w:val="6DE31AAD"/>
    <w:rsid w:val="6E4F523E"/>
    <w:rsid w:val="6E5729A2"/>
    <w:rsid w:val="6E583A1F"/>
    <w:rsid w:val="6EAB742B"/>
    <w:rsid w:val="6EB0558D"/>
    <w:rsid w:val="6EB70C11"/>
    <w:rsid w:val="6EC6113E"/>
    <w:rsid w:val="6ED749C9"/>
    <w:rsid w:val="6EEA444D"/>
    <w:rsid w:val="6EF260EC"/>
    <w:rsid w:val="6F170E2C"/>
    <w:rsid w:val="6F873884"/>
    <w:rsid w:val="6F984397"/>
    <w:rsid w:val="70003CB6"/>
    <w:rsid w:val="70391A3F"/>
    <w:rsid w:val="70531535"/>
    <w:rsid w:val="70672A43"/>
    <w:rsid w:val="70BF0D6E"/>
    <w:rsid w:val="70C5260E"/>
    <w:rsid w:val="70E01DD1"/>
    <w:rsid w:val="71027CA7"/>
    <w:rsid w:val="71267D29"/>
    <w:rsid w:val="71597165"/>
    <w:rsid w:val="71606C7D"/>
    <w:rsid w:val="716E0B4B"/>
    <w:rsid w:val="718544F1"/>
    <w:rsid w:val="71976AED"/>
    <w:rsid w:val="71A40D30"/>
    <w:rsid w:val="71A44859"/>
    <w:rsid w:val="71F60334"/>
    <w:rsid w:val="721F1D01"/>
    <w:rsid w:val="723E3936"/>
    <w:rsid w:val="72A465D8"/>
    <w:rsid w:val="72AB4A8C"/>
    <w:rsid w:val="72BB69CE"/>
    <w:rsid w:val="7341102A"/>
    <w:rsid w:val="7374655C"/>
    <w:rsid w:val="73A17E6A"/>
    <w:rsid w:val="73A617EE"/>
    <w:rsid w:val="73E16D57"/>
    <w:rsid w:val="74162D7A"/>
    <w:rsid w:val="741A35F5"/>
    <w:rsid w:val="745C3615"/>
    <w:rsid w:val="746049BA"/>
    <w:rsid w:val="74874E5A"/>
    <w:rsid w:val="74A2568B"/>
    <w:rsid w:val="74ED42C5"/>
    <w:rsid w:val="74F708D2"/>
    <w:rsid w:val="75B229AC"/>
    <w:rsid w:val="75CC0C94"/>
    <w:rsid w:val="75DB1E4F"/>
    <w:rsid w:val="76021882"/>
    <w:rsid w:val="762568A1"/>
    <w:rsid w:val="762B6181"/>
    <w:rsid w:val="766574D1"/>
    <w:rsid w:val="766A35F9"/>
    <w:rsid w:val="767C3DB4"/>
    <w:rsid w:val="76DE1045"/>
    <w:rsid w:val="76ED78FA"/>
    <w:rsid w:val="77197D25"/>
    <w:rsid w:val="774521C8"/>
    <w:rsid w:val="77AF2483"/>
    <w:rsid w:val="77D64484"/>
    <w:rsid w:val="77E92124"/>
    <w:rsid w:val="77E922B4"/>
    <w:rsid w:val="781A5ED8"/>
    <w:rsid w:val="786258A4"/>
    <w:rsid w:val="78856FA2"/>
    <w:rsid w:val="78D14237"/>
    <w:rsid w:val="78E63B2A"/>
    <w:rsid w:val="78EE273B"/>
    <w:rsid w:val="79161BAF"/>
    <w:rsid w:val="79213C65"/>
    <w:rsid w:val="7928350F"/>
    <w:rsid w:val="79326AFC"/>
    <w:rsid w:val="7969405B"/>
    <w:rsid w:val="798B1783"/>
    <w:rsid w:val="79B2108A"/>
    <w:rsid w:val="79ED10C8"/>
    <w:rsid w:val="7A0F2527"/>
    <w:rsid w:val="7A417E6A"/>
    <w:rsid w:val="7A98347A"/>
    <w:rsid w:val="7A9E7D9F"/>
    <w:rsid w:val="7AA222D1"/>
    <w:rsid w:val="7AD22AF8"/>
    <w:rsid w:val="7ADB7905"/>
    <w:rsid w:val="7B094490"/>
    <w:rsid w:val="7B2C0F71"/>
    <w:rsid w:val="7B647A4A"/>
    <w:rsid w:val="7B6D54EB"/>
    <w:rsid w:val="7B8B77FD"/>
    <w:rsid w:val="7BC71689"/>
    <w:rsid w:val="7BE20360"/>
    <w:rsid w:val="7C50233A"/>
    <w:rsid w:val="7C566461"/>
    <w:rsid w:val="7C5A2582"/>
    <w:rsid w:val="7C7718D6"/>
    <w:rsid w:val="7C78688F"/>
    <w:rsid w:val="7D21376C"/>
    <w:rsid w:val="7D2D5273"/>
    <w:rsid w:val="7D3943CC"/>
    <w:rsid w:val="7D8B198E"/>
    <w:rsid w:val="7DFA53A3"/>
    <w:rsid w:val="7DFC7E2B"/>
    <w:rsid w:val="7E2C1F50"/>
    <w:rsid w:val="7E955D77"/>
    <w:rsid w:val="7ED72C8B"/>
    <w:rsid w:val="7EEC2CAC"/>
    <w:rsid w:val="7F183048"/>
    <w:rsid w:val="7F206182"/>
    <w:rsid w:val="7F67178E"/>
    <w:rsid w:val="7F8B1A78"/>
    <w:rsid w:val="7FA418D8"/>
    <w:rsid w:val="7FA92784"/>
    <w:rsid w:val="7FB966BE"/>
    <w:rsid w:val="7FDD570F"/>
    <w:rsid w:val="B3BBCDC7"/>
    <w:rsid w:val="DFBF1E47"/>
    <w:rsid w:val="EDBFE5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0" w:semiHidden="0" w:name="toc 2"/>
    <w:lsdException w:qFormat="1"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iPriority="0" w:name="footnote text"/>
    <w:lsdException w:qFormat="1"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semiHidden="0" w:name="Default Paragraph Font"/>
    <w:lsdException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46"/>
    <w:qFormat/>
    <w:uiPriority w:val="0"/>
    <w:pPr>
      <w:keepNext/>
      <w:keepLines/>
      <w:spacing w:before="340" w:after="330" w:line="576" w:lineRule="auto"/>
      <w:outlineLvl w:val="0"/>
    </w:pPr>
    <w:rPr>
      <w:b/>
      <w:kern w:val="44"/>
      <w:sz w:val="44"/>
      <w:szCs w:val="20"/>
    </w:rPr>
  </w:style>
  <w:style w:type="paragraph" w:styleId="3">
    <w:name w:val="heading 2"/>
    <w:basedOn w:val="1"/>
    <w:next w:val="1"/>
    <w:link w:val="47"/>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48"/>
    <w:qFormat/>
    <w:uiPriority w:val="99"/>
    <w:pPr>
      <w:keepNext/>
      <w:keepLines/>
      <w:spacing w:before="260" w:after="260" w:line="416" w:lineRule="auto"/>
      <w:outlineLvl w:val="2"/>
    </w:pPr>
    <w:rPr>
      <w:rFonts w:ascii="Times New Roman" w:hAnsi="Times New Roman" w:eastAsia="仿宋"/>
      <w:b/>
      <w:bCs/>
      <w:sz w:val="32"/>
      <w:szCs w:val="32"/>
    </w:rPr>
  </w:style>
  <w:style w:type="paragraph" w:styleId="5">
    <w:name w:val="heading 4"/>
    <w:basedOn w:val="1"/>
    <w:next w:val="1"/>
    <w:link w:val="49"/>
    <w:qFormat/>
    <w:uiPriority w:val="99"/>
    <w:pPr>
      <w:keepNext/>
      <w:keepLines/>
      <w:outlineLvl w:val="3"/>
    </w:pPr>
    <w:rPr>
      <w:rFonts w:ascii="Arial" w:hAnsi="Arial" w:eastAsia="黑体"/>
      <w:bCs/>
      <w:kern w:val="0"/>
      <w:sz w:val="24"/>
      <w:szCs w:val="28"/>
    </w:rPr>
  </w:style>
  <w:style w:type="paragraph" w:styleId="6">
    <w:name w:val="heading 5"/>
    <w:basedOn w:val="1"/>
    <w:next w:val="1"/>
    <w:link w:val="50"/>
    <w:qFormat/>
    <w:uiPriority w:val="0"/>
    <w:pPr>
      <w:keepNext/>
      <w:keepLines/>
      <w:spacing w:before="280" w:after="290" w:line="376" w:lineRule="auto"/>
      <w:outlineLvl w:val="4"/>
    </w:pPr>
    <w:rPr>
      <w:rFonts w:ascii="Times New Roman" w:hAnsi="Times New Roman" w:eastAsia="仿宋"/>
      <w:b/>
      <w:bCs/>
      <w:sz w:val="28"/>
      <w:szCs w:val="28"/>
    </w:rPr>
  </w:style>
  <w:style w:type="paragraph" w:styleId="7">
    <w:name w:val="heading 6"/>
    <w:basedOn w:val="1"/>
    <w:next w:val="1"/>
    <w:link w:val="51"/>
    <w:qFormat/>
    <w:uiPriority w:val="0"/>
    <w:pPr>
      <w:keepNext/>
      <w:keepLines/>
      <w:spacing w:before="240" w:after="64" w:line="317" w:lineRule="auto"/>
      <w:outlineLvl w:val="5"/>
    </w:pPr>
    <w:rPr>
      <w:rFonts w:ascii="Cambria" w:hAnsi="Cambria"/>
      <w:b/>
      <w:bCs/>
      <w:sz w:val="24"/>
    </w:rPr>
  </w:style>
  <w:style w:type="paragraph" w:styleId="8">
    <w:name w:val="heading 7"/>
    <w:basedOn w:val="1"/>
    <w:next w:val="1"/>
    <w:link w:val="52"/>
    <w:qFormat/>
    <w:uiPriority w:val="0"/>
    <w:pPr>
      <w:keepNext/>
      <w:keepLines/>
      <w:spacing w:before="240" w:after="64" w:line="317" w:lineRule="auto"/>
      <w:outlineLvl w:val="6"/>
    </w:pPr>
    <w:rPr>
      <w:b/>
      <w:bCs/>
      <w:sz w:val="24"/>
    </w:rPr>
  </w:style>
  <w:style w:type="paragraph" w:styleId="9">
    <w:name w:val="heading 8"/>
    <w:basedOn w:val="1"/>
    <w:next w:val="1"/>
    <w:link w:val="53"/>
    <w:qFormat/>
    <w:uiPriority w:val="0"/>
    <w:pPr>
      <w:keepNext/>
      <w:keepLines/>
      <w:spacing w:before="240" w:after="64" w:line="317" w:lineRule="auto"/>
      <w:outlineLvl w:val="7"/>
    </w:pPr>
    <w:rPr>
      <w:rFonts w:ascii="Cambria" w:hAnsi="Cambria"/>
      <w:sz w:val="24"/>
    </w:rPr>
  </w:style>
  <w:style w:type="paragraph" w:styleId="10">
    <w:name w:val="heading 9"/>
    <w:basedOn w:val="1"/>
    <w:next w:val="1"/>
    <w:link w:val="54"/>
    <w:qFormat/>
    <w:uiPriority w:val="0"/>
    <w:pPr>
      <w:keepNext/>
      <w:keepLines/>
      <w:spacing w:before="240" w:after="64" w:line="317" w:lineRule="auto"/>
      <w:outlineLvl w:val="8"/>
    </w:pPr>
    <w:rPr>
      <w:rFonts w:ascii="Cambria" w:hAnsi="Cambria"/>
      <w:szCs w:val="21"/>
    </w:rPr>
  </w:style>
  <w:style w:type="character" w:default="1" w:styleId="40">
    <w:name w:val="Default Paragraph Font"/>
    <w:unhideWhenUsed/>
    <w:uiPriority w:val="1"/>
  </w:style>
  <w:style w:type="table" w:default="1" w:styleId="38">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rPr>
      <w:szCs w:val="22"/>
    </w:rPr>
  </w:style>
  <w:style w:type="paragraph" w:styleId="12">
    <w:name w:val="Normal Indent"/>
    <w:basedOn w:val="1"/>
    <w:uiPriority w:val="0"/>
    <w:pPr>
      <w:adjustRightInd w:val="0"/>
      <w:spacing w:line="360" w:lineRule="atLeast"/>
      <w:ind w:firstLine="482"/>
      <w:textAlignment w:val="baseline"/>
    </w:pPr>
    <w:rPr>
      <w:rFonts w:ascii="Times New Roman" w:hAnsi="Times New Roman"/>
      <w:kern w:val="0"/>
      <w:sz w:val="24"/>
      <w:szCs w:val="20"/>
    </w:r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55"/>
    <w:qFormat/>
    <w:uiPriority w:val="0"/>
    <w:pPr>
      <w:shd w:val="clear" w:color="auto" w:fill="000080"/>
    </w:pPr>
    <w:rPr>
      <w:rFonts w:ascii="Times New Roman" w:hAnsi="Times New Roman"/>
      <w:kern w:val="0"/>
      <w:sz w:val="20"/>
      <w:shd w:val="clear" w:color="auto" w:fill="000080"/>
    </w:rPr>
  </w:style>
  <w:style w:type="paragraph" w:styleId="15">
    <w:name w:val="annotation text"/>
    <w:basedOn w:val="1"/>
    <w:link w:val="56"/>
    <w:unhideWhenUsed/>
    <w:qFormat/>
    <w:uiPriority w:val="99"/>
    <w:pPr>
      <w:jc w:val="left"/>
    </w:pPr>
  </w:style>
  <w:style w:type="paragraph" w:styleId="16">
    <w:name w:val="Body Text"/>
    <w:basedOn w:val="1"/>
    <w:next w:val="1"/>
    <w:link w:val="57"/>
    <w:uiPriority w:val="0"/>
    <w:pPr>
      <w:adjustRightInd w:val="0"/>
      <w:spacing w:after="60" w:line="360" w:lineRule="atLeast"/>
      <w:ind w:left="72" w:leftChars="30" w:right="30" w:rightChars="30"/>
      <w:jc w:val="center"/>
      <w:textAlignment w:val="baseline"/>
    </w:pPr>
    <w:rPr>
      <w:rFonts w:ascii="Times New Roman" w:hAnsi="Times New Roman"/>
      <w:kern w:val="0"/>
      <w:sz w:val="20"/>
      <w:szCs w:val="20"/>
    </w:rPr>
  </w:style>
  <w:style w:type="paragraph" w:styleId="17">
    <w:name w:val="Body Text Indent"/>
    <w:basedOn w:val="1"/>
    <w:qFormat/>
    <w:uiPriority w:val="0"/>
    <w:pPr>
      <w:spacing w:after="120"/>
      <w:ind w:left="420" w:leftChars="200"/>
    </w:pPr>
  </w:style>
  <w:style w:type="paragraph" w:styleId="18">
    <w:name w:val="index 4"/>
    <w:basedOn w:val="1"/>
    <w:next w:val="1"/>
    <w:uiPriority w:val="0"/>
    <w:pPr>
      <w:ind w:left="600" w:leftChars="600"/>
    </w:pPr>
    <w:rPr>
      <w:rFonts w:ascii="Times New Roman" w:hAnsi="Times New Roman"/>
    </w:rPr>
  </w:style>
  <w:style w:type="paragraph" w:styleId="19">
    <w:name w:val="toc 5"/>
    <w:basedOn w:val="1"/>
    <w:next w:val="1"/>
    <w:uiPriority w:val="0"/>
    <w:pPr>
      <w:tabs>
        <w:tab w:val="right" w:leader="dot" w:pos="8296"/>
      </w:tabs>
      <w:ind w:left="1050" w:leftChars="500"/>
    </w:pPr>
    <w:rPr>
      <w:szCs w:val="22"/>
    </w:rPr>
  </w:style>
  <w:style w:type="paragraph" w:styleId="20">
    <w:name w:val="toc 3"/>
    <w:basedOn w:val="1"/>
    <w:next w:val="1"/>
    <w:unhideWhenUsed/>
    <w:qFormat/>
    <w:uiPriority w:val="0"/>
    <w:pPr>
      <w:widowControl/>
      <w:spacing w:after="100" w:line="276" w:lineRule="auto"/>
      <w:ind w:left="440"/>
      <w:jc w:val="left"/>
    </w:pPr>
    <w:rPr>
      <w:kern w:val="0"/>
      <w:sz w:val="22"/>
      <w:szCs w:val="22"/>
    </w:rPr>
  </w:style>
  <w:style w:type="paragraph" w:styleId="21">
    <w:name w:val="Plain Text"/>
    <w:basedOn w:val="1"/>
    <w:link w:val="58"/>
    <w:qFormat/>
    <w:uiPriority w:val="99"/>
    <w:rPr>
      <w:rFonts w:ascii="宋体" w:hAnsi="Courier New"/>
      <w:szCs w:val="21"/>
    </w:rPr>
  </w:style>
  <w:style w:type="paragraph" w:styleId="22">
    <w:name w:val="toc 8"/>
    <w:basedOn w:val="1"/>
    <w:next w:val="1"/>
    <w:uiPriority w:val="0"/>
    <w:pPr>
      <w:ind w:left="2940" w:leftChars="1400"/>
    </w:pPr>
    <w:rPr>
      <w:szCs w:val="22"/>
    </w:rPr>
  </w:style>
  <w:style w:type="paragraph" w:styleId="23">
    <w:name w:val="Date"/>
    <w:basedOn w:val="1"/>
    <w:next w:val="1"/>
    <w:link w:val="59"/>
    <w:uiPriority w:val="0"/>
    <w:pPr>
      <w:ind w:left="100" w:leftChars="2500"/>
    </w:pPr>
  </w:style>
  <w:style w:type="paragraph" w:styleId="24">
    <w:name w:val="Balloon Text"/>
    <w:basedOn w:val="1"/>
    <w:link w:val="60"/>
    <w:uiPriority w:val="0"/>
    <w:rPr>
      <w:sz w:val="18"/>
      <w:szCs w:val="18"/>
    </w:rPr>
  </w:style>
  <w:style w:type="paragraph" w:styleId="25">
    <w:name w:val="footer"/>
    <w:basedOn w:val="1"/>
    <w:link w:val="61"/>
    <w:qFormat/>
    <w:uiPriority w:val="99"/>
    <w:pPr>
      <w:tabs>
        <w:tab w:val="center" w:pos="4153"/>
        <w:tab w:val="right" w:pos="8306"/>
      </w:tabs>
      <w:snapToGrid w:val="0"/>
      <w:jc w:val="left"/>
    </w:pPr>
    <w:rPr>
      <w:sz w:val="18"/>
    </w:rPr>
  </w:style>
  <w:style w:type="paragraph" w:styleId="26">
    <w:name w:val="header"/>
    <w:basedOn w:val="1"/>
    <w:link w:val="62"/>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7">
    <w:name w:val="toc 1"/>
    <w:basedOn w:val="1"/>
    <w:next w:val="1"/>
    <w:qFormat/>
    <w:uiPriority w:val="39"/>
  </w:style>
  <w:style w:type="paragraph" w:styleId="28">
    <w:name w:val="toc 4"/>
    <w:basedOn w:val="1"/>
    <w:next w:val="1"/>
    <w:uiPriority w:val="0"/>
    <w:pPr>
      <w:tabs>
        <w:tab w:val="left" w:pos="1890"/>
        <w:tab w:val="right" w:leader="dot" w:pos="8296"/>
      </w:tabs>
      <w:ind w:left="630" w:leftChars="300"/>
    </w:pPr>
    <w:rPr>
      <w:szCs w:val="22"/>
    </w:rPr>
  </w:style>
  <w:style w:type="paragraph" w:styleId="29">
    <w:name w:val="Subtitle"/>
    <w:basedOn w:val="1"/>
    <w:next w:val="1"/>
    <w:link w:val="63"/>
    <w:qFormat/>
    <w:uiPriority w:val="0"/>
    <w:pPr>
      <w:spacing w:before="240" w:after="60" w:line="312" w:lineRule="auto"/>
      <w:jc w:val="center"/>
      <w:outlineLvl w:val="1"/>
    </w:pPr>
    <w:rPr>
      <w:rFonts w:ascii="Cambria" w:hAnsi="Cambria"/>
      <w:b/>
      <w:bCs/>
      <w:kern w:val="28"/>
      <w:sz w:val="32"/>
      <w:szCs w:val="32"/>
    </w:rPr>
  </w:style>
  <w:style w:type="paragraph" w:styleId="30">
    <w:name w:val="toc 6"/>
    <w:basedOn w:val="1"/>
    <w:next w:val="1"/>
    <w:uiPriority w:val="0"/>
    <w:pPr>
      <w:ind w:left="2100" w:leftChars="1000"/>
    </w:pPr>
    <w:rPr>
      <w:szCs w:val="22"/>
    </w:rPr>
  </w:style>
  <w:style w:type="paragraph" w:styleId="31">
    <w:name w:val="toc 2"/>
    <w:basedOn w:val="1"/>
    <w:next w:val="1"/>
    <w:qFormat/>
    <w:uiPriority w:val="0"/>
    <w:pPr>
      <w:ind w:left="420" w:leftChars="200"/>
    </w:pPr>
  </w:style>
  <w:style w:type="paragraph" w:styleId="32">
    <w:name w:val="toc 9"/>
    <w:basedOn w:val="1"/>
    <w:next w:val="1"/>
    <w:uiPriority w:val="0"/>
    <w:pPr>
      <w:ind w:left="3360" w:leftChars="1600"/>
    </w:pPr>
    <w:rPr>
      <w:szCs w:val="22"/>
    </w:rPr>
  </w:style>
  <w:style w:type="paragraph" w:styleId="33">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34">
    <w:name w:val="Title"/>
    <w:basedOn w:val="1"/>
    <w:next w:val="1"/>
    <w:link w:val="64"/>
    <w:qFormat/>
    <w:uiPriority w:val="0"/>
    <w:pPr>
      <w:spacing w:before="240" w:after="60"/>
      <w:jc w:val="center"/>
      <w:outlineLvl w:val="0"/>
    </w:pPr>
    <w:rPr>
      <w:rFonts w:ascii="Cambria" w:hAnsi="Cambria"/>
      <w:b/>
      <w:bCs/>
      <w:sz w:val="32"/>
      <w:szCs w:val="32"/>
    </w:rPr>
  </w:style>
  <w:style w:type="paragraph" w:styleId="35">
    <w:name w:val="annotation subject"/>
    <w:basedOn w:val="15"/>
    <w:next w:val="15"/>
    <w:link w:val="65"/>
    <w:uiPriority w:val="0"/>
    <w:rPr>
      <w:b/>
      <w:bCs/>
    </w:rPr>
  </w:style>
  <w:style w:type="paragraph" w:styleId="36">
    <w:name w:val="Body Text First Indent"/>
    <w:basedOn w:val="1"/>
    <w:qFormat/>
    <w:uiPriority w:val="0"/>
    <w:pPr>
      <w:tabs>
        <w:tab w:val="left" w:pos="567"/>
      </w:tabs>
      <w:spacing w:line="360" w:lineRule="auto"/>
    </w:pPr>
    <w:rPr>
      <w:rFonts w:ascii="宋体" w:hAnsi="宋体"/>
      <w:sz w:val="24"/>
    </w:rPr>
  </w:style>
  <w:style w:type="paragraph" w:styleId="37">
    <w:name w:val="Body Text First Indent 2"/>
    <w:basedOn w:val="17"/>
    <w:qFormat/>
    <w:uiPriority w:val="0"/>
    <w:pPr>
      <w:adjustRightInd w:val="0"/>
      <w:spacing w:line="520" w:lineRule="exact"/>
      <w:ind w:firstLine="210"/>
      <w:textAlignment w:val="baseline"/>
    </w:pPr>
    <w:rPr>
      <w:rFonts w:ascii="黑体" w:hAnsi="Arial" w:eastAsia="黑体"/>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qFormat/>
    <w:uiPriority w:val="0"/>
    <w:rPr>
      <w:b/>
    </w:rPr>
  </w:style>
  <w:style w:type="character" w:styleId="42">
    <w:name w:val="page number"/>
    <w:qFormat/>
    <w:uiPriority w:val="0"/>
    <w:rPr>
      <w:rFonts w:cs="Times New Roman"/>
    </w:rPr>
  </w:style>
  <w:style w:type="character" w:styleId="43">
    <w:name w:val="Emphasis"/>
    <w:qFormat/>
    <w:uiPriority w:val="0"/>
    <w:rPr>
      <w:i/>
      <w:iCs/>
    </w:rPr>
  </w:style>
  <w:style w:type="character" w:styleId="44">
    <w:name w:val="Hyperlink"/>
    <w:qFormat/>
    <w:uiPriority w:val="99"/>
    <w:rPr>
      <w:color w:val="0000FF"/>
      <w:u w:val="single"/>
    </w:rPr>
  </w:style>
  <w:style w:type="character" w:styleId="45">
    <w:name w:val="annotation reference"/>
    <w:unhideWhenUsed/>
    <w:qFormat/>
    <w:uiPriority w:val="0"/>
    <w:rPr>
      <w:sz w:val="21"/>
      <w:szCs w:val="21"/>
    </w:rPr>
  </w:style>
  <w:style w:type="character" w:customStyle="1" w:styleId="46">
    <w:name w:val="标题 1 Char1"/>
    <w:link w:val="2"/>
    <w:qFormat/>
    <w:uiPriority w:val="0"/>
    <w:rPr>
      <w:b/>
      <w:kern w:val="44"/>
      <w:sz w:val="44"/>
    </w:rPr>
  </w:style>
  <w:style w:type="character" w:customStyle="1" w:styleId="47">
    <w:name w:val="标题 2 Char"/>
    <w:link w:val="3"/>
    <w:qFormat/>
    <w:uiPriority w:val="0"/>
    <w:rPr>
      <w:rFonts w:ascii="Arial" w:hAnsi="Arial" w:eastAsia="黑体"/>
      <w:b/>
      <w:kern w:val="2"/>
      <w:sz w:val="32"/>
      <w:szCs w:val="24"/>
    </w:rPr>
  </w:style>
  <w:style w:type="character" w:customStyle="1" w:styleId="48">
    <w:name w:val="标题 3 Char1"/>
    <w:link w:val="4"/>
    <w:qFormat/>
    <w:uiPriority w:val="99"/>
    <w:rPr>
      <w:rFonts w:ascii="Times New Roman" w:hAnsi="Times New Roman" w:eastAsia="仿宋"/>
      <w:b/>
      <w:bCs/>
      <w:kern w:val="2"/>
      <w:sz w:val="32"/>
      <w:szCs w:val="32"/>
    </w:rPr>
  </w:style>
  <w:style w:type="character" w:customStyle="1" w:styleId="49">
    <w:name w:val="标题 4 Char1"/>
    <w:link w:val="5"/>
    <w:qFormat/>
    <w:uiPriority w:val="99"/>
    <w:rPr>
      <w:rFonts w:ascii="Arial" w:hAnsi="Arial" w:eastAsia="黑体"/>
      <w:bCs/>
      <w:sz w:val="24"/>
      <w:szCs w:val="28"/>
    </w:rPr>
  </w:style>
  <w:style w:type="character" w:customStyle="1" w:styleId="50">
    <w:name w:val="标题 5 Char1"/>
    <w:link w:val="6"/>
    <w:qFormat/>
    <w:uiPriority w:val="0"/>
    <w:rPr>
      <w:rFonts w:ascii="Times New Roman" w:hAnsi="Times New Roman" w:eastAsia="仿宋"/>
      <w:b/>
      <w:bCs/>
      <w:kern w:val="2"/>
      <w:sz w:val="28"/>
      <w:szCs w:val="28"/>
    </w:rPr>
  </w:style>
  <w:style w:type="character" w:customStyle="1" w:styleId="51">
    <w:name w:val="标题 6 Char"/>
    <w:link w:val="7"/>
    <w:qFormat/>
    <w:uiPriority w:val="0"/>
    <w:rPr>
      <w:rFonts w:ascii="Cambria" w:hAnsi="Cambria"/>
      <w:b/>
      <w:bCs/>
      <w:kern w:val="2"/>
      <w:sz w:val="24"/>
      <w:szCs w:val="24"/>
    </w:rPr>
  </w:style>
  <w:style w:type="character" w:customStyle="1" w:styleId="52">
    <w:name w:val="标题 7 Char"/>
    <w:link w:val="8"/>
    <w:qFormat/>
    <w:uiPriority w:val="0"/>
    <w:rPr>
      <w:b/>
      <w:bCs/>
      <w:kern w:val="2"/>
      <w:sz w:val="24"/>
      <w:szCs w:val="24"/>
    </w:rPr>
  </w:style>
  <w:style w:type="character" w:customStyle="1" w:styleId="53">
    <w:name w:val="标题 8 Char"/>
    <w:link w:val="9"/>
    <w:qFormat/>
    <w:uiPriority w:val="0"/>
    <w:rPr>
      <w:rFonts w:ascii="Cambria" w:hAnsi="Cambria"/>
      <w:kern w:val="2"/>
      <w:sz w:val="24"/>
      <w:szCs w:val="24"/>
    </w:rPr>
  </w:style>
  <w:style w:type="character" w:customStyle="1" w:styleId="54">
    <w:name w:val="标题 9 Char"/>
    <w:link w:val="10"/>
    <w:qFormat/>
    <w:uiPriority w:val="0"/>
    <w:rPr>
      <w:rFonts w:ascii="Cambria" w:hAnsi="Cambria"/>
      <w:kern w:val="2"/>
      <w:sz w:val="21"/>
      <w:szCs w:val="21"/>
    </w:rPr>
  </w:style>
  <w:style w:type="character" w:customStyle="1" w:styleId="55">
    <w:name w:val="文档结构图 Char"/>
    <w:link w:val="14"/>
    <w:qFormat/>
    <w:uiPriority w:val="0"/>
    <w:rPr>
      <w:rFonts w:ascii="Times New Roman" w:hAnsi="Times New Roman"/>
      <w:szCs w:val="24"/>
      <w:shd w:val="clear" w:color="auto" w:fill="000080"/>
    </w:rPr>
  </w:style>
  <w:style w:type="character" w:customStyle="1" w:styleId="56">
    <w:name w:val="批注文字 Char1"/>
    <w:link w:val="15"/>
    <w:qFormat/>
    <w:uiPriority w:val="99"/>
    <w:rPr>
      <w:rFonts w:ascii="Calibri" w:hAnsi="Calibri" w:eastAsia="宋体" w:cs="Times New Roman"/>
      <w:kern w:val="2"/>
      <w:sz w:val="21"/>
      <w:szCs w:val="24"/>
    </w:rPr>
  </w:style>
  <w:style w:type="character" w:customStyle="1" w:styleId="57">
    <w:name w:val="正文文本 Char"/>
    <w:link w:val="16"/>
    <w:qFormat/>
    <w:uiPriority w:val="0"/>
    <w:rPr>
      <w:rFonts w:ascii="Times New Roman" w:hAnsi="Times New Roman"/>
    </w:rPr>
  </w:style>
  <w:style w:type="character" w:customStyle="1" w:styleId="58">
    <w:name w:val="纯文本 Char1"/>
    <w:link w:val="21"/>
    <w:qFormat/>
    <w:uiPriority w:val="99"/>
    <w:rPr>
      <w:rFonts w:ascii="宋体" w:hAnsi="Courier New" w:eastAsia="宋体" w:cs="Courier New"/>
      <w:kern w:val="2"/>
      <w:sz w:val="21"/>
      <w:szCs w:val="21"/>
    </w:rPr>
  </w:style>
  <w:style w:type="character" w:customStyle="1" w:styleId="59">
    <w:name w:val="日期 Char2"/>
    <w:link w:val="23"/>
    <w:qFormat/>
    <w:uiPriority w:val="0"/>
    <w:rPr>
      <w:rFonts w:ascii="Calibri" w:hAnsi="Calibri" w:eastAsia="宋体" w:cs="Times New Roman"/>
      <w:kern w:val="2"/>
      <w:sz w:val="21"/>
      <w:szCs w:val="24"/>
    </w:rPr>
  </w:style>
  <w:style w:type="character" w:customStyle="1" w:styleId="60">
    <w:name w:val="批注框文本 Char2"/>
    <w:link w:val="24"/>
    <w:qFormat/>
    <w:uiPriority w:val="0"/>
    <w:rPr>
      <w:rFonts w:ascii="Calibri" w:hAnsi="Calibri" w:eastAsia="宋体" w:cs="Times New Roman"/>
      <w:kern w:val="2"/>
      <w:sz w:val="18"/>
      <w:szCs w:val="18"/>
    </w:rPr>
  </w:style>
  <w:style w:type="character" w:customStyle="1" w:styleId="61">
    <w:name w:val="页脚 Char1"/>
    <w:link w:val="25"/>
    <w:qFormat/>
    <w:uiPriority w:val="99"/>
    <w:rPr>
      <w:kern w:val="2"/>
      <w:sz w:val="18"/>
      <w:szCs w:val="24"/>
    </w:rPr>
  </w:style>
  <w:style w:type="character" w:customStyle="1" w:styleId="62">
    <w:name w:val="页眉 Char"/>
    <w:link w:val="26"/>
    <w:qFormat/>
    <w:uiPriority w:val="0"/>
    <w:rPr>
      <w:kern w:val="2"/>
      <w:sz w:val="18"/>
      <w:szCs w:val="24"/>
    </w:rPr>
  </w:style>
  <w:style w:type="character" w:customStyle="1" w:styleId="63">
    <w:name w:val="副标题 Char"/>
    <w:link w:val="29"/>
    <w:qFormat/>
    <w:uiPriority w:val="0"/>
    <w:rPr>
      <w:rFonts w:ascii="Cambria" w:hAnsi="Cambria"/>
      <w:b/>
      <w:bCs/>
      <w:kern w:val="28"/>
      <w:sz w:val="32"/>
      <w:szCs w:val="32"/>
    </w:rPr>
  </w:style>
  <w:style w:type="character" w:customStyle="1" w:styleId="64">
    <w:name w:val="标题 Char"/>
    <w:link w:val="34"/>
    <w:qFormat/>
    <w:uiPriority w:val="0"/>
    <w:rPr>
      <w:rFonts w:ascii="Cambria" w:hAnsi="Cambria"/>
      <w:b/>
      <w:bCs/>
      <w:kern w:val="2"/>
      <w:sz w:val="32"/>
      <w:szCs w:val="32"/>
    </w:rPr>
  </w:style>
  <w:style w:type="character" w:customStyle="1" w:styleId="65">
    <w:name w:val="批注主题 Char2"/>
    <w:link w:val="35"/>
    <w:qFormat/>
    <w:uiPriority w:val="0"/>
    <w:rPr>
      <w:rFonts w:ascii="Calibri" w:hAnsi="Calibri" w:eastAsia="宋体" w:cs="Times New Roman"/>
      <w:b/>
      <w:bCs/>
      <w:kern w:val="2"/>
      <w:sz w:val="21"/>
      <w:szCs w:val="24"/>
    </w:rPr>
  </w:style>
  <w:style w:type="character" w:customStyle="1" w:styleId="66">
    <w:name w:val="Subtle Reference"/>
    <w:qFormat/>
    <w:uiPriority w:val="0"/>
    <w:rPr>
      <w:smallCaps/>
      <w:color w:val="C0504D"/>
      <w:u w:val="single"/>
    </w:rPr>
  </w:style>
  <w:style w:type="character" w:customStyle="1" w:styleId="67">
    <w:name w:val="Intense Emphasis"/>
    <w:qFormat/>
    <w:uiPriority w:val="0"/>
    <w:rPr>
      <w:b/>
      <w:bCs/>
      <w:i/>
      <w:iCs/>
      <w:color w:val="4F81BD"/>
    </w:rPr>
  </w:style>
  <w:style w:type="character" w:customStyle="1" w:styleId="68">
    <w:name w:val="标题 4 Char"/>
    <w:qFormat/>
    <w:uiPriority w:val="0"/>
    <w:rPr>
      <w:rFonts w:ascii="Cambria" w:hAnsi="Cambria" w:eastAsia="宋体" w:cs="Times New Roman"/>
      <w:b/>
      <w:bCs/>
      <w:kern w:val="2"/>
      <w:sz w:val="28"/>
      <w:szCs w:val="28"/>
    </w:rPr>
  </w:style>
  <w:style w:type="character" w:customStyle="1" w:styleId="69">
    <w:name w:val="标题5 Char Char"/>
    <w:link w:val="70"/>
    <w:qFormat/>
    <w:uiPriority w:val="0"/>
    <w:rPr>
      <w:rFonts w:ascii="Arial" w:hAnsi="Arial"/>
      <w:b/>
      <w:bCs/>
      <w:sz w:val="24"/>
      <w:szCs w:val="32"/>
    </w:rPr>
  </w:style>
  <w:style w:type="paragraph" w:customStyle="1" w:styleId="70">
    <w:name w:val="标题5"/>
    <w:basedOn w:val="4"/>
    <w:link w:val="69"/>
    <w:qFormat/>
    <w:uiPriority w:val="0"/>
    <w:pPr>
      <w:spacing w:line="413" w:lineRule="auto"/>
    </w:pPr>
    <w:rPr>
      <w:rFonts w:ascii="Arial" w:hAnsi="Arial" w:eastAsia="宋体"/>
      <w:kern w:val="0"/>
      <w:sz w:val="24"/>
    </w:rPr>
  </w:style>
  <w:style w:type="character" w:customStyle="1" w:styleId="71">
    <w:name w:val="批注主题 Char1"/>
    <w:qFormat/>
    <w:uiPriority w:val="0"/>
    <w:rPr>
      <w:b/>
      <w:bCs/>
      <w:kern w:val="2"/>
      <w:sz w:val="21"/>
      <w:szCs w:val="22"/>
    </w:rPr>
  </w:style>
  <w:style w:type="character" w:customStyle="1" w:styleId="72">
    <w:name w:val="textcontents"/>
    <w:qFormat/>
    <w:uiPriority w:val="0"/>
    <w:rPr>
      <w:rFonts w:cs="Times New Roman"/>
    </w:rPr>
  </w:style>
  <w:style w:type="character" w:customStyle="1" w:styleId="73">
    <w:name w:val="Intense Reference"/>
    <w:qFormat/>
    <w:uiPriority w:val="0"/>
    <w:rPr>
      <w:b/>
      <w:bCs/>
      <w:smallCaps/>
      <w:color w:val="C0504D"/>
      <w:spacing w:val="5"/>
      <w:u w:val="single"/>
    </w:rPr>
  </w:style>
  <w:style w:type="character" w:customStyle="1" w:styleId="74">
    <w:name w:val="引用 Char"/>
    <w:link w:val="75"/>
    <w:qFormat/>
    <w:uiPriority w:val="0"/>
    <w:rPr>
      <w:i/>
      <w:iCs/>
      <w:color w:val="000000"/>
      <w:kern w:val="2"/>
      <w:sz w:val="21"/>
      <w:szCs w:val="22"/>
    </w:rPr>
  </w:style>
  <w:style w:type="paragraph" w:styleId="75">
    <w:name w:val="Quote"/>
    <w:basedOn w:val="1"/>
    <w:next w:val="1"/>
    <w:link w:val="74"/>
    <w:qFormat/>
    <w:uiPriority w:val="0"/>
    <w:rPr>
      <w:i/>
      <w:iCs/>
      <w:color w:val="000000"/>
      <w:szCs w:val="22"/>
    </w:rPr>
  </w:style>
  <w:style w:type="character" w:customStyle="1" w:styleId="76">
    <w:name w:val="标题 3 Char"/>
    <w:qFormat/>
    <w:uiPriority w:val="0"/>
    <w:rPr>
      <w:b/>
      <w:bCs/>
      <w:kern w:val="2"/>
      <w:sz w:val="32"/>
      <w:szCs w:val="32"/>
    </w:rPr>
  </w:style>
  <w:style w:type="character" w:customStyle="1" w:styleId="77">
    <w:name w:val="文档结构图 字符"/>
    <w:semiHidden/>
    <w:qFormat/>
    <w:uiPriority w:val="0"/>
    <w:rPr>
      <w:rFonts w:ascii="Microsoft YaHei UI" w:eastAsia="Microsoft YaHei UI"/>
      <w:kern w:val="2"/>
      <w:sz w:val="18"/>
      <w:szCs w:val="18"/>
    </w:rPr>
  </w:style>
  <w:style w:type="character" w:customStyle="1" w:styleId="78">
    <w:name w:val="正文文本 字符"/>
    <w:semiHidden/>
    <w:qFormat/>
    <w:uiPriority w:val="0"/>
    <w:rPr>
      <w:kern w:val="2"/>
      <w:sz w:val="21"/>
      <w:szCs w:val="24"/>
    </w:rPr>
  </w:style>
  <w:style w:type="character" w:customStyle="1" w:styleId="79">
    <w:name w:val="标题 字符"/>
    <w:qFormat/>
    <w:uiPriority w:val="0"/>
    <w:rPr>
      <w:rFonts w:ascii="等线 Light" w:hAnsi="等线 Light" w:cs="Times New Roman"/>
      <w:b/>
      <w:bCs/>
      <w:kern w:val="2"/>
      <w:sz w:val="32"/>
      <w:szCs w:val="32"/>
    </w:rPr>
  </w:style>
  <w:style w:type="character" w:customStyle="1" w:styleId="80">
    <w:name w:val="副标题 字符"/>
    <w:qFormat/>
    <w:uiPriority w:val="0"/>
    <w:rPr>
      <w:rFonts w:ascii="等线 Light" w:hAnsi="等线 Light" w:cs="Times New Roman"/>
      <w:b/>
      <w:bCs/>
      <w:kern w:val="28"/>
      <w:sz w:val="32"/>
      <w:szCs w:val="32"/>
    </w:rPr>
  </w:style>
  <w:style w:type="character" w:customStyle="1" w:styleId="81">
    <w:name w:val="明显引用 字符"/>
    <w:qFormat/>
    <w:uiPriority w:val="99"/>
    <w:rPr>
      <w:i/>
      <w:iCs/>
      <w:color w:val="5B9BD5"/>
      <w:kern w:val="2"/>
      <w:sz w:val="21"/>
      <w:szCs w:val="24"/>
    </w:rPr>
  </w:style>
  <w:style w:type="character" w:customStyle="1" w:styleId="82">
    <w:name w:val="引用 字符"/>
    <w:qFormat/>
    <w:uiPriority w:val="99"/>
    <w:rPr>
      <w:i/>
      <w:iCs/>
      <w:color w:val="404040"/>
      <w:kern w:val="2"/>
      <w:sz w:val="21"/>
      <w:szCs w:val="24"/>
    </w:rPr>
  </w:style>
  <w:style w:type="character" w:customStyle="1" w:styleId="83">
    <w:name w:val="页脚 Char"/>
    <w:qFormat/>
    <w:uiPriority w:val="0"/>
    <w:rPr>
      <w:kern w:val="2"/>
      <w:sz w:val="18"/>
      <w:szCs w:val="24"/>
    </w:rPr>
  </w:style>
  <w:style w:type="character" w:customStyle="1" w:styleId="84">
    <w:name w:val="标题 1 Char"/>
    <w:qFormat/>
    <w:uiPriority w:val="0"/>
    <w:rPr>
      <w:b/>
      <w:kern w:val="44"/>
      <w:sz w:val="44"/>
    </w:rPr>
  </w:style>
  <w:style w:type="character" w:customStyle="1" w:styleId="85">
    <w:name w:val="日期 Char1_0"/>
    <w:link w:val="86"/>
    <w:qFormat/>
    <w:uiPriority w:val="0"/>
    <w:rPr>
      <w:rFonts w:ascii="Times New Roman" w:hAnsi="Times New Roman"/>
      <w:sz w:val="24"/>
    </w:rPr>
  </w:style>
  <w:style w:type="paragraph" w:customStyle="1" w:styleId="86">
    <w:name w:val="日期_0"/>
    <w:basedOn w:val="1"/>
    <w:next w:val="1"/>
    <w:link w:val="85"/>
    <w:qFormat/>
    <w:uiPriority w:val="0"/>
    <w:rPr>
      <w:rFonts w:ascii="Times New Roman" w:hAnsi="Times New Roman"/>
      <w:kern w:val="0"/>
      <w:sz w:val="24"/>
      <w:szCs w:val="20"/>
    </w:rPr>
  </w:style>
  <w:style w:type="character" w:customStyle="1" w:styleId="87">
    <w:name w:val="标题 6 字符"/>
    <w:semiHidden/>
    <w:qFormat/>
    <w:uiPriority w:val="0"/>
    <w:rPr>
      <w:rFonts w:ascii="等线 Light" w:hAnsi="等线 Light" w:eastAsia="等线 Light" w:cs="Times New Roman"/>
      <w:b/>
      <w:bCs/>
      <w:kern w:val="2"/>
      <w:sz w:val="24"/>
      <w:szCs w:val="24"/>
    </w:rPr>
  </w:style>
  <w:style w:type="character" w:customStyle="1" w:styleId="88">
    <w:name w:val="标题 7 字符"/>
    <w:semiHidden/>
    <w:qFormat/>
    <w:uiPriority w:val="0"/>
    <w:rPr>
      <w:b/>
      <w:bCs/>
      <w:kern w:val="2"/>
      <w:sz w:val="24"/>
      <w:szCs w:val="24"/>
    </w:rPr>
  </w:style>
  <w:style w:type="character" w:customStyle="1" w:styleId="89">
    <w:name w:val="标题 8 字符"/>
    <w:semiHidden/>
    <w:qFormat/>
    <w:uiPriority w:val="0"/>
    <w:rPr>
      <w:rFonts w:ascii="等线 Light" w:hAnsi="等线 Light" w:eastAsia="等线 Light" w:cs="Times New Roman"/>
      <w:kern w:val="2"/>
      <w:sz w:val="24"/>
      <w:szCs w:val="24"/>
    </w:rPr>
  </w:style>
  <w:style w:type="character" w:customStyle="1" w:styleId="90">
    <w:name w:val="标题 9 字符"/>
    <w:semiHidden/>
    <w:qFormat/>
    <w:uiPriority w:val="0"/>
    <w:rPr>
      <w:rFonts w:ascii="等线 Light" w:hAnsi="等线 Light" w:eastAsia="等线 Light" w:cs="Times New Roman"/>
      <w:kern w:val="2"/>
      <w:sz w:val="21"/>
      <w:szCs w:val="21"/>
    </w:rPr>
  </w:style>
  <w:style w:type="character" w:customStyle="1" w:styleId="91">
    <w:name w:val="批注文字 Char"/>
    <w:qFormat/>
    <w:uiPriority w:val="0"/>
    <w:rPr>
      <w:rFonts w:ascii="Calibri" w:hAnsi="Calibri" w:eastAsia="宋体" w:cs="Times New Roman"/>
      <w:kern w:val="2"/>
      <w:sz w:val="21"/>
      <w:szCs w:val="24"/>
    </w:rPr>
  </w:style>
  <w:style w:type="character" w:customStyle="1" w:styleId="92">
    <w:name w:val="日期 Char"/>
    <w:qFormat/>
    <w:uiPriority w:val="0"/>
    <w:rPr>
      <w:rFonts w:ascii="Calibri" w:hAnsi="Calibri" w:eastAsia="宋体" w:cs="Times New Roman"/>
      <w:kern w:val="2"/>
      <w:sz w:val="21"/>
      <w:szCs w:val="24"/>
    </w:rPr>
  </w:style>
  <w:style w:type="character" w:customStyle="1" w:styleId="93">
    <w:name w:val="纯文本 Char"/>
    <w:qFormat/>
    <w:uiPriority w:val="99"/>
    <w:rPr>
      <w:rFonts w:ascii="宋体" w:hAnsi="Courier New" w:eastAsia="宋体" w:cs="Courier New"/>
      <w:kern w:val="2"/>
      <w:sz w:val="21"/>
      <w:szCs w:val="21"/>
    </w:rPr>
  </w:style>
  <w:style w:type="character" w:customStyle="1" w:styleId="94">
    <w:name w:val="批注主题 Char"/>
    <w:qFormat/>
    <w:uiPriority w:val="0"/>
    <w:rPr>
      <w:rFonts w:ascii="Calibri" w:hAnsi="Calibri" w:eastAsia="宋体" w:cs="Times New Roman"/>
      <w:b/>
      <w:bCs/>
      <w:kern w:val="2"/>
      <w:sz w:val="21"/>
      <w:szCs w:val="24"/>
    </w:rPr>
  </w:style>
  <w:style w:type="character" w:customStyle="1" w:styleId="95">
    <w:name w:val="批注框文本 Char"/>
    <w:qFormat/>
    <w:uiPriority w:val="0"/>
    <w:rPr>
      <w:rFonts w:ascii="Calibri" w:hAnsi="Calibri" w:eastAsia="宋体" w:cs="Times New Roman"/>
      <w:kern w:val="2"/>
      <w:sz w:val="18"/>
      <w:szCs w:val="18"/>
    </w:rPr>
  </w:style>
  <w:style w:type="character" w:customStyle="1" w:styleId="96">
    <w:name w:val="正文文本 Char1"/>
    <w:qFormat/>
    <w:uiPriority w:val="0"/>
    <w:rPr>
      <w:kern w:val="2"/>
      <w:sz w:val="21"/>
      <w:szCs w:val="22"/>
    </w:rPr>
  </w:style>
  <w:style w:type="character" w:customStyle="1" w:styleId="97">
    <w:name w:val="明显引用 Char"/>
    <w:link w:val="98"/>
    <w:qFormat/>
    <w:uiPriority w:val="0"/>
    <w:rPr>
      <w:b/>
      <w:bCs/>
      <w:i/>
      <w:iCs/>
      <w:color w:val="4F81BD"/>
      <w:kern w:val="2"/>
      <w:sz w:val="21"/>
      <w:szCs w:val="22"/>
    </w:rPr>
  </w:style>
  <w:style w:type="paragraph" w:styleId="98">
    <w:name w:val="Intense Quote"/>
    <w:basedOn w:val="1"/>
    <w:next w:val="1"/>
    <w:link w:val="97"/>
    <w:qFormat/>
    <w:uiPriority w:val="0"/>
    <w:pPr>
      <w:pBdr>
        <w:bottom w:val="single" w:color="4F81BD" w:sz="4" w:space="4"/>
      </w:pBdr>
      <w:spacing w:before="200" w:after="280"/>
      <w:ind w:left="936" w:right="936"/>
    </w:pPr>
    <w:rPr>
      <w:b/>
      <w:bCs/>
      <w:i/>
      <w:iCs/>
      <w:color w:val="4F81BD"/>
      <w:szCs w:val="22"/>
    </w:rPr>
  </w:style>
  <w:style w:type="character" w:customStyle="1" w:styleId="99">
    <w:name w:val="Subtle Emphasis"/>
    <w:qFormat/>
    <w:uiPriority w:val="0"/>
    <w:rPr>
      <w:i/>
      <w:iCs/>
      <w:color w:val="808080"/>
    </w:rPr>
  </w:style>
  <w:style w:type="character" w:customStyle="1" w:styleId="100">
    <w:name w:val="标题4 Char Char"/>
    <w:link w:val="101"/>
    <w:qFormat/>
    <w:uiPriority w:val="0"/>
    <w:rPr>
      <w:rFonts w:ascii="Arial" w:hAnsi="Arial"/>
      <w:b/>
      <w:bCs/>
      <w:sz w:val="24"/>
      <w:szCs w:val="32"/>
    </w:rPr>
  </w:style>
  <w:style w:type="paragraph" w:customStyle="1" w:styleId="101">
    <w:name w:val="标题4"/>
    <w:basedOn w:val="3"/>
    <w:next w:val="18"/>
    <w:link w:val="100"/>
    <w:qFormat/>
    <w:uiPriority w:val="0"/>
    <w:rPr>
      <w:rFonts w:eastAsia="宋体"/>
      <w:bCs/>
      <w:kern w:val="0"/>
      <w:sz w:val="24"/>
      <w:szCs w:val="32"/>
    </w:rPr>
  </w:style>
  <w:style w:type="character" w:customStyle="1" w:styleId="102">
    <w:name w:val="Book Title"/>
    <w:qFormat/>
    <w:uiPriority w:val="0"/>
    <w:rPr>
      <w:b/>
      <w:bCs/>
      <w:smallCaps/>
      <w:spacing w:val="5"/>
    </w:rPr>
  </w:style>
  <w:style w:type="character" w:customStyle="1" w:styleId="103">
    <w:name w:val="批注框文本 Char1"/>
    <w:qFormat/>
    <w:uiPriority w:val="0"/>
    <w:rPr>
      <w:kern w:val="2"/>
      <w:sz w:val="18"/>
      <w:szCs w:val="18"/>
    </w:rPr>
  </w:style>
  <w:style w:type="character" w:customStyle="1" w:styleId="104">
    <w:name w:val="标题 5 Char"/>
    <w:qFormat/>
    <w:uiPriority w:val="0"/>
    <w:rPr>
      <w:b/>
      <w:bCs/>
      <w:kern w:val="2"/>
      <w:sz w:val="28"/>
      <w:szCs w:val="28"/>
    </w:rPr>
  </w:style>
  <w:style w:type="character" w:customStyle="1" w:styleId="105">
    <w:name w:val="日期 Char1"/>
    <w:qFormat/>
    <w:uiPriority w:val="0"/>
    <w:rPr>
      <w:kern w:val="2"/>
      <w:sz w:val="21"/>
      <w:szCs w:val="22"/>
    </w:rPr>
  </w:style>
  <w:style w:type="character" w:customStyle="1" w:styleId="106">
    <w:name w:val="批注文字 Char Char"/>
    <w:qFormat/>
    <w:uiPriority w:val="0"/>
    <w:rPr>
      <w:rFonts w:ascii="宋体" w:hAnsi="Times New Roman" w:eastAsia="宋体" w:cs="Times New Roman"/>
      <w:sz w:val="28"/>
      <w:szCs w:val="20"/>
    </w:rPr>
  </w:style>
  <w:style w:type="character" w:customStyle="1" w:styleId="107">
    <w:name w:val="文档结构图 Char1"/>
    <w:qFormat/>
    <w:uiPriority w:val="0"/>
    <w:rPr>
      <w:rFonts w:ascii="宋体"/>
      <w:kern w:val="2"/>
      <w:sz w:val="18"/>
      <w:szCs w:val="18"/>
    </w:rPr>
  </w:style>
  <w:style w:type="paragraph" w:customStyle="1" w:styleId="108">
    <w:name w:val="正文_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9">
    <w:name w:val="WPSOffice手动目录 1"/>
    <w:qFormat/>
    <w:uiPriority w:val="0"/>
    <w:rPr>
      <w:rFonts w:ascii="Calibri" w:hAnsi="Calibri" w:eastAsia="宋体" w:cs="Times New Roman"/>
      <w:lang w:val="en-US" w:eastAsia="zh-CN" w:bidi="ar-SA"/>
    </w:rPr>
  </w:style>
  <w:style w:type="paragraph" w:customStyle="1" w:styleId="110">
    <w:name w:val="列出段落11"/>
    <w:basedOn w:val="1"/>
    <w:qFormat/>
    <w:uiPriority w:val="34"/>
    <w:pPr>
      <w:ind w:firstLine="420" w:firstLineChars="200"/>
    </w:pPr>
    <w:rPr>
      <w:szCs w:val="22"/>
      <w:lang w:val="zh-CN"/>
    </w:rPr>
  </w:style>
  <w:style w:type="paragraph" w:styleId="111">
    <w:name w:val="List Paragraph"/>
    <w:basedOn w:val="1"/>
    <w:qFormat/>
    <w:uiPriority w:val="0"/>
    <w:pPr>
      <w:ind w:firstLine="420" w:firstLineChars="200"/>
    </w:pPr>
  </w:style>
  <w:style w:type="paragraph" w:customStyle="1" w:styleId="112">
    <w:name w:val="Revision"/>
    <w:unhideWhenUsed/>
    <w:qFormat/>
    <w:uiPriority w:val="0"/>
    <w:rPr>
      <w:rFonts w:ascii="Calibri" w:hAnsi="Calibri" w:eastAsia="宋体" w:cs="Times New Roman"/>
      <w:kern w:val="2"/>
      <w:sz w:val="21"/>
      <w:szCs w:val="24"/>
      <w:lang w:val="en-US" w:eastAsia="zh-CN" w:bidi="ar-SA"/>
    </w:rPr>
  </w:style>
  <w:style w:type="paragraph" w:customStyle="1" w:styleId="113">
    <w:name w:val="TOC Heading"/>
    <w:basedOn w:val="2"/>
    <w:next w:val="1"/>
    <w:qFormat/>
    <w:uiPriority w:val="0"/>
    <w:pPr>
      <w:widowControl/>
      <w:spacing w:before="480" w:after="0" w:line="276" w:lineRule="auto"/>
      <w:jc w:val="left"/>
      <w:outlineLvl w:val="9"/>
    </w:pPr>
    <w:rPr>
      <w:rFonts w:ascii="Calibri Light" w:hAnsi="Calibri Light"/>
      <w:bCs/>
      <w:color w:val="2E74B5"/>
      <w:kern w:val="0"/>
      <w:sz w:val="28"/>
      <w:szCs w:val="28"/>
    </w:rPr>
  </w:style>
  <w:style w:type="paragraph" w:customStyle="1" w:styleId="114">
    <w:name w:val="样式1"/>
    <w:basedOn w:val="1"/>
    <w:qFormat/>
    <w:uiPriority w:val="0"/>
    <w:pPr>
      <w:tabs>
        <w:tab w:val="left" w:pos="709"/>
      </w:tabs>
      <w:adjustRightInd w:val="0"/>
      <w:ind w:left="709" w:hanging="709"/>
      <w:textAlignment w:val="baseline"/>
    </w:pPr>
    <w:rPr>
      <w:rFonts w:ascii="宋体" w:hAnsi="宋体"/>
      <w:kern w:val="0"/>
      <w:szCs w:val="21"/>
    </w:rPr>
  </w:style>
  <w:style w:type="paragraph" w:customStyle="1" w:styleId="11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16">
    <w:name w:val="正文_14"/>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7">
    <w:name w:val="标题 3_0"/>
    <w:basedOn w:val="118"/>
    <w:next w:val="118"/>
    <w:qFormat/>
    <w:uiPriority w:val="0"/>
    <w:pPr>
      <w:keepNext/>
      <w:keepLines/>
      <w:spacing w:before="260" w:after="260" w:line="413" w:lineRule="auto"/>
      <w:outlineLvl w:val="2"/>
    </w:pPr>
    <w:rPr>
      <w:b/>
      <w:bCs/>
      <w:sz w:val="32"/>
      <w:szCs w:val="32"/>
    </w:rPr>
  </w:style>
  <w:style w:type="paragraph" w:customStyle="1" w:styleId="118">
    <w:name w:val="正文_0"/>
    <w:qFormat/>
    <w:uiPriority w:val="0"/>
    <w:pPr>
      <w:widowControl w:val="0"/>
      <w:jc w:val="both"/>
    </w:pPr>
    <w:rPr>
      <w:rFonts w:ascii="Times New Roman" w:hAnsi="Times New Roman" w:eastAsia="宋体" w:cs="Times New Roman"/>
      <w:lang w:val="en-US" w:eastAsia="zh-CN" w:bidi="ar-SA"/>
    </w:rPr>
  </w:style>
  <w:style w:type="paragraph" w:customStyle="1" w:styleId="119">
    <w:name w:val="_Style 4"/>
    <w:basedOn w:val="1"/>
    <w:next w:val="1"/>
    <w:qFormat/>
    <w:uiPriority w:val="0"/>
    <w:pPr>
      <w:keepNext/>
      <w:keepLines/>
      <w:spacing w:before="340" w:after="330" w:line="576" w:lineRule="auto"/>
    </w:pPr>
    <w:rPr>
      <w:rFonts w:ascii="Times New Roman" w:hAnsi="Times New Roman"/>
      <w:b/>
      <w:bCs/>
      <w:kern w:val="44"/>
      <w:sz w:val="44"/>
      <w:szCs w:val="44"/>
    </w:rPr>
  </w:style>
  <w:style w:type="paragraph" w:customStyle="1" w:styleId="120">
    <w:name w:val="标题 4_0"/>
    <w:basedOn w:val="118"/>
    <w:next w:val="118"/>
    <w:qFormat/>
    <w:uiPriority w:val="0"/>
    <w:pPr>
      <w:keepNext/>
      <w:keepLines/>
      <w:spacing w:before="280" w:after="290" w:line="372" w:lineRule="auto"/>
      <w:outlineLvl w:val="3"/>
    </w:pPr>
    <w:rPr>
      <w:rFonts w:ascii="Cambria" w:hAnsi="Cambria"/>
      <w:b/>
      <w:bCs/>
      <w:sz w:val="28"/>
      <w:szCs w:val="28"/>
    </w:rPr>
  </w:style>
  <w:style w:type="paragraph" w:customStyle="1" w:styleId="121">
    <w:name w:val="Heading 3_0"/>
    <w:basedOn w:val="1"/>
    <w:next w:val="1"/>
    <w:qFormat/>
    <w:uiPriority w:val="0"/>
    <w:pPr>
      <w:keepNext/>
      <w:keepLines/>
      <w:spacing w:before="260" w:after="260" w:line="413" w:lineRule="auto"/>
      <w:outlineLvl w:val="2"/>
    </w:pPr>
    <w:rPr>
      <w:rFonts w:ascii="Times New Roman" w:hAnsi="Times New Roman"/>
      <w:b/>
      <w:kern w:val="0"/>
      <w:sz w:val="32"/>
      <w:szCs w:val="20"/>
    </w:rPr>
  </w:style>
  <w:style w:type="paragraph" w:customStyle="1" w:styleId="122">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szCs w:val="20"/>
    </w:rPr>
  </w:style>
  <w:style w:type="paragraph" w:customStyle="1" w:styleId="123">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lang w:val="en-US" w:eastAsia="zh-CN"/>
    </w:rPr>
  </w:style>
  <w:style w:type="paragraph" w:customStyle="1" w:styleId="124">
    <w:name w:val="空半行"/>
    <w:basedOn w:val="1"/>
    <w:qFormat/>
    <w:uiPriority w:val="0"/>
    <w:pPr>
      <w:adjustRightInd w:val="0"/>
      <w:spacing w:line="120" w:lineRule="exact"/>
      <w:textAlignment w:val="baseline"/>
    </w:pPr>
    <w:rPr>
      <w:rFonts w:ascii="Times New Roman" w:hAnsi="Times New Roman" w:eastAsia="仿宋_GB2312"/>
      <w:color w:val="FFFFFF"/>
      <w:kern w:val="0"/>
      <w:sz w:val="30"/>
      <w:szCs w:val="20"/>
    </w:rPr>
  </w:style>
  <w:style w:type="paragraph" w:styleId="125">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6">
    <w:name w:val="flNote"/>
    <w:basedOn w:val="1"/>
    <w:qFormat/>
    <w:uiPriority w:val="0"/>
    <w:pPr>
      <w:adjustRightInd w:val="0"/>
      <w:spacing w:before="320" w:after="160" w:line="360" w:lineRule="atLeast"/>
      <w:jc w:val="center"/>
      <w:textAlignment w:val="baseline"/>
    </w:pPr>
    <w:rPr>
      <w:rFonts w:ascii="Arial" w:hAnsi="Times New Roman" w:eastAsia="黑体"/>
      <w:kern w:val="0"/>
      <w:sz w:val="30"/>
      <w:szCs w:val="20"/>
    </w:rPr>
  </w:style>
  <w:style w:type="paragraph" w:customStyle="1" w:styleId="12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28">
    <w:name w:val="Table Paragraph"/>
    <w:basedOn w:val="1"/>
    <w:qFormat/>
    <w:uiPriority w:val="1"/>
    <w:pPr>
      <w:autoSpaceDE w:val="0"/>
      <w:autoSpaceDN w:val="0"/>
      <w:jc w:val="left"/>
    </w:pPr>
    <w:rPr>
      <w:rFonts w:ascii="宋体" w:hAnsi="宋体" w:cs="宋体"/>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2.emf"/><Relationship Id="rId8" Type="http://schemas.openxmlformats.org/officeDocument/2006/relationships/oleObject" Target="embeddings/oleObject1.bin"/><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8.wmf"/><Relationship Id="rId20" Type="http://schemas.openxmlformats.org/officeDocument/2006/relationships/oleObject" Target="embeddings/oleObject7.bin"/><Relationship Id="rId2" Type="http://schemas.openxmlformats.org/officeDocument/2006/relationships/settings" Target="settings.xml"/><Relationship Id="rId19" Type="http://schemas.openxmlformats.org/officeDocument/2006/relationships/image" Target="media/image7.wmf"/><Relationship Id="rId18" Type="http://schemas.openxmlformats.org/officeDocument/2006/relationships/oleObject" Target="embeddings/oleObject6.bin"/><Relationship Id="rId17" Type="http://schemas.openxmlformats.org/officeDocument/2006/relationships/image" Target="media/image6.wmf"/><Relationship Id="rId16" Type="http://schemas.openxmlformats.org/officeDocument/2006/relationships/oleObject" Target="embeddings/oleObject5.bin"/><Relationship Id="rId15" Type="http://schemas.openxmlformats.org/officeDocument/2006/relationships/image" Target="media/image5.wmf"/><Relationship Id="rId14" Type="http://schemas.openxmlformats.org/officeDocument/2006/relationships/oleObject" Target="embeddings/oleObject4.bin"/><Relationship Id="rId13" Type="http://schemas.openxmlformats.org/officeDocument/2006/relationships/image" Target="media/image4.wmf"/><Relationship Id="rId12" Type="http://schemas.openxmlformats.org/officeDocument/2006/relationships/oleObject" Target="embeddings/oleObject3.bin"/><Relationship Id="rId11" Type="http://schemas.openxmlformats.org/officeDocument/2006/relationships/image" Target="media/image3.emf"/><Relationship Id="rId10" Type="http://schemas.openxmlformats.org/officeDocument/2006/relationships/oleObject" Target="embeddings/oleObject2.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50"/>
    <customShpInfo spid="_x0000_s2051"/>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154</Pages>
  <Words>5027</Words>
  <Characters>5495</Characters>
  <Lines>763</Lines>
  <Paragraphs>214</Paragraphs>
  <TotalTime>10</TotalTime>
  <ScaleCrop>false</ScaleCrop>
  <LinksUpToDate>false</LinksUpToDate>
  <CharactersWithSpaces>5963</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2018-12-24T06:56:00Z</dcterms:created>
  <dc:creator>meimei</dc:creator>
  <cp:lastModifiedBy>Administrator</cp:lastModifiedBy>
  <cp:lastPrinted>2019-12-28T06:15:00Z</cp:lastPrinted>
  <dcterms:modified xsi:type="dcterms:W3CDTF">2026-10-28T02:41:50Z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KSOTemplateDocerSaveRecord">
    <vt:lpwstr>eyJoZGlkIjoiM2M5NjkwMjJjZWNkNmQ1ZjIxMWEzZjg4YmEyODE3ZDEiLCJ1c2VySWQiOiIxOTU0MjM5ODYifQ==</vt:lpwstr>
  </property>
  <property fmtid="{D5CDD505-2E9C-101B-9397-08002B2CF9AE}" pid="4" name="ICV">
    <vt:lpwstr>F5E63BBFFEA94660818AF0DCA0475C57_13</vt:lpwstr>
  </property>
</Properties>
</file>