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FF2E0D">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根据《中华人民共和国民法典》、《中华人民共和国政府采购法》《中华人民共和国采购</w:t>
      </w:r>
      <w:r>
        <w:rPr>
          <w:rFonts w:hint="eastAsia" w:ascii="仿宋_GB2312" w:hAnsi="宋体" w:eastAsia="仿宋_GB2312" w:cs="宋体"/>
          <w:color w:val="auto"/>
          <w:sz w:val="32"/>
          <w:szCs w:val="32"/>
          <w:lang w:eastAsia="zh-CN"/>
        </w:rPr>
        <w:t>法实施</w:t>
      </w:r>
      <w:r>
        <w:rPr>
          <w:rFonts w:hint="eastAsia" w:ascii="仿宋_GB2312" w:hAnsi="宋体" w:eastAsia="仿宋_GB2312" w:cs="宋体"/>
          <w:color w:val="auto"/>
          <w:sz w:val="32"/>
          <w:szCs w:val="32"/>
        </w:rPr>
        <w:t>条例》等有关法律法规规定，经双方协定达成一致，签订以下内容。</w:t>
      </w:r>
    </w:p>
    <w:p w14:paraId="38741BF4">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hAnsi="宋体" w:eastAsia="仿宋_GB2312" w:cs="宋体"/>
          <w:b/>
          <w:bCs/>
          <w:color w:val="auto"/>
          <w:sz w:val="32"/>
          <w:szCs w:val="32"/>
        </w:rPr>
      </w:pPr>
      <w:r>
        <w:rPr>
          <w:rFonts w:hint="eastAsia" w:ascii="仿宋_GB2312" w:hAnsi="宋体" w:eastAsia="仿宋_GB2312" w:cs="宋体"/>
          <w:b/>
          <w:bCs/>
          <w:color w:val="auto"/>
          <w:sz w:val="32"/>
          <w:szCs w:val="32"/>
        </w:rPr>
        <w:t>第一条 具体项目及服务</w:t>
      </w:r>
    </w:p>
    <w:p w14:paraId="49BE875D">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1、项目名称:西双版纳州景洪市人民法院安全保卫服务项目。</w:t>
      </w:r>
    </w:p>
    <w:p w14:paraId="1E92173D">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2、服务项目:乙方选派保安为甲方提供门卫、巡逻、巡查、检查、保卫、传达等协助审判执行工作的安保服务。</w:t>
      </w:r>
    </w:p>
    <w:p w14:paraId="7A392D66">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3、服务内容:维护正常的办公秩序，公共秩序维护、安全防范等事项的协助管理。对外来人员、车辆进行安全检查管理。对办公区域进行巡视，检查有无安全隐患。维护服务区域内绿</w:t>
      </w:r>
      <w:bookmarkStart w:id="0" w:name="_GoBack"/>
      <w:bookmarkEnd w:id="0"/>
      <w:r>
        <w:rPr>
          <w:rFonts w:hint="eastAsia" w:ascii="仿宋_GB2312" w:hAnsi="宋体" w:eastAsia="仿宋_GB2312" w:cs="宋体"/>
          <w:color w:val="auto"/>
          <w:sz w:val="32"/>
          <w:szCs w:val="32"/>
        </w:rPr>
        <w:t>化及公共设施。定期对院内的防火、防盗</w:t>
      </w:r>
      <w:r>
        <w:rPr>
          <w:rFonts w:hint="eastAsia" w:ascii="仿宋_GB2312" w:hAnsi="宋体" w:eastAsia="仿宋_GB2312" w:cs="宋体"/>
          <w:color w:val="auto"/>
          <w:sz w:val="32"/>
          <w:szCs w:val="32"/>
          <w:lang w:eastAsia="zh-CN"/>
        </w:rPr>
        <w:t>、防灾</w:t>
      </w:r>
      <w:r>
        <w:rPr>
          <w:rFonts w:hint="eastAsia" w:ascii="仿宋_GB2312" w:hAnsi="宋体" w:eastAsia="仿宋_GB2312" w:cs="宋体"/>
          <w:color w:val="auto"/>
          <w:sz w:val="32"/>
          <w:szCs w:val="32"/>
        </w:rPr>
        <w:t>设施进行检查。预防和制止各类不安全事故的发生，及时处理重大紧急事项，确保办公区、审判区的安全。</w:t>
      </w:r>
    </w:p>
    <w:p w14:paraId="3495F0F2">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hAnsi="宋体" w:eastAsia="仿宋_GB2312" w:cs="宋体"/>
          <w:b/>
          <w:bCs/>
          <w:color w:val="auto"/>
          <w:sz w:val="32"/>
          <w:szCs w:val="32"/>
        </w:rPr>
      </w:pPr>
      <w:r>
        <w:rPr>
          <w:rFonts w:hint="eastAsia" w:ascii="仿宋_GB2312" w:hAnsi="宋体" w:eastAsia="仿宋_GB2312" w:cs="宋体"/>
          <w:b/>
          <w:bCs/>
          <w:color w:val="auto"/>
          <w:sz w:val="32"/>
          <w:szCs w:val="32"/>
        </w:rPr>
        <w:t>第二条 安保服务要求、内容和职责</w:t>
      </w:r>
    </w:p>
    <w:p w14:paraId="59E5DB01">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1、乙方及其派驻的保安人员对保安服务中获知的国家秘密、商业秘密、司法秘密及甲方要求的其他保密信息,应当予以保密。</w:t>
      </w:r>
    </w:p>
    <w:p w14:paraId="7303C169">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2、保安人员上岗着装整齐、佩戴标志齐全,按规定交接班:值班员须文明、礼貌,保持良好的个人形象;执勤中不得擅离岗位和睡岗,不准嬉笑打闹,不准吃零食、玩手机或进行其他与执勤无关的事项;</w:t>
      </w:r>
    </w:p>
    <w:p w14:paraId="28E0782A">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3、按照甲方相关安全保卫工作制度的要求,提供门岗服务,在甲方办公办案区域内治安安全行为防范、公共秩序维护、来访人员引导和检查等提供安保服务。</w:t>
      </w:r>
    </w:p>
    <w:p w14:paraId="5BC57C2B">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4、对进、出人员和车辆进行询问和登记,并负责安全检查。值班中发生、处理的各种情况必须在登记薄上作详细记录,交接班时双方签字、移交情况,责任明确。</w:t>
      </w:r>
    </w:p>
    <w:p w14:paraId="3E4EBE1D">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5、指挥进入审判大楼前大院内和停车区域的车辆停放,维护大院内和停车区域的治安秩序和安全防范事项管理。负责预防管理服务区域内的刑事案件、治安案件发生,若服务区域内发生刑事治安案件,须积极协助和配合甲方和公安部门处理和维护好事故现场;严防撬盗机动车及入室偷盗,如发生案件,应立即向甲方报告并保护好现场。</w:t>
      </w:r>
    </w:p>
    <w:p w14:paraId="04C2DF40">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6、负责预防服务区域内的水电、火灾等及破坏性事故的发生。</w:t>
      </w:r>
      <w:r>
        <w:rPr>
          <w:rFonts w:hint="eastAsia" w:ascii="仿宋_GB2312" w:hAnsi="宋体" w:eastAsia="仿宋_GB2312" w:cs="宋体"/>
          <w:color w:val="auto"/>
          <w:sz w:val="32"/>
          <w:szCs w:val="32"/>
          <w:lang w:eastAsia="zh-CN"/>
        </w:rPr>
        <w:t>每日</w:t>
      </w:r>
      <w:r>
        <w:rPr>
          <w:rFonts w:hint="eastAsia" w:ascii="仿宋_GB2312" w:hAnsi="宋体" w:eastAsia="仿宋_GB2312" w:cs="宋体"/>
          <w:color w:val="auto"/>
          <w:sz w:val="32"/>
          <w:szCs w:val="32"/>
        </w:rPr>
        <w:t>对办公办案区域进行安全巡视和检查</w:t>
      </w:r>
      <w:r>
        <w:rPr>
          <w:rFonts w:hint="eastAsia" w:ascii="仿宋_GB2312" w:hAnsi="宋体" w:eastAsia="仿宋_GB2312" w:cs="宋体"/>
          <w:color w:val="auto"/>
          <w:sz w:val="32"/>
          <w:szCs w:val="32"/>
          <w:lang w:eastAsia="zh-CN"/>
        </w:rPr>
        <w:t>，实时掌握服务区域内的安全状况</w:t>
      </w:r>
      <w:r>
        <w:rPr>
          <w:rFonts w:hint="eastAsia" w:ascii="仿宋_GB2312" w:hAnsi="宋体" w:eastAsia="仿宋_GB2312" w:cs="宋体"/>
          <w:color w:val="auto"/>
          <w:sz w:val="32"/>
          <w:szCs w:val="32"/>
        </w:rPr>
        <w:t>。</w:t>
      </w:r>
    </w:p>
    <w:p w14:paraId="0630BC4E">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7、保障车辆出入有序,停放有序,保持交通主干道、消防通道畅通;</w:t>
      </w:r>
      <w:r>
        <w:rPr>
          <w:rFonts w:hint="eastAsia" w:ascii="仿宋_GB2312" w:hAnsi="宋体" w:eastAsia="仿宋_GB2312" w:cs="宋体"/>
          <w:color w:val="auto"/>
          <w:sz w:val="32"/>
          <w:szCs w:val="32"/>
          <w:lang w:eastAsia="zh-CN"/>
        </w:rPr>
        <w:t>除甲方同意外，</w:t>
      </w:r>
      <w:r>
        <w:rPr>
          <w:rFonts w:hint="eastAsia" w:ascii="仿宋_GB2312" w:hAnsi="宋体" w:eastAsia="仿宋_GB2312" w:cs="宋体"/>
          <w:color w:val="auto"/>
          <w:sz w:val="32"/>
          <w:szCs w:val="32"/>
        </w:rPr>
        <w:t>禁止载有易燃、易爆、剧毒、污染性的车辆驶入。</w:t>
      </w:r>
    </w:p>
    <w:p w14:paraId="4BFAC26D">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8、按照甲方的要求和安排负责好办公办案域内的其他安保任务,确保服务区域安全。</w:t>
      </w:r>
    </w:p>
    <w:p w14:paraId="7E15BC64">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b/>
          <w:bCs/>
          <w:color w:val="auto"/>
          <w:sz w:val="32"/>
          <w:szCs w:val="32"/>
        </w:rPr>
      </w:pPr>
      <w:r>
        <w:rPr>
          <w:rFonts w:hint="eastAsia" w:ascii="仿宋_GB2312" w:hAnsi="宋体" w:eastAsia="仿宋_GB2312" w:cs="宋体"/>
          <w:color w:val="auto"/>
          <w:sz w:val="32"/>
          <w:szCs w:val="32"/>
        </w:rPr>
        <w:t>9、保安人员在服务期间应遵守甲方各项规章制度和值班制度。</w:t>
      </w:r>
    </w:p>
    <w:p w14:paraId="62D3C82D">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hAnsi="宋体" w:eastAsia="仿宋_GB2312" w:cs="宋体"/>
          <w:b/>
          <w:bCs/>
          <w:color w:val="auto"/>
          <w:sz w:val="32"/>
          <w:szCs w:val="32"/>
        </w:rPr>
      </w:pPr>
      <w:r>
        <w:rPr>
          <w:rFonts w:hint="eastAsia" w:ascii="仿宋_GB2312" w:hAnsi="宋体" w:eastAsia="仿宋_GB2312" w:cs="宋体"/>
          <w:b/>
          <w:bCs/>
          <w:color w:val="auto"/>
          <w:sz w:val="32"/>
          <w:szCs w:val="32"/>
        </w:rPr>
        <w:t>第三条 服务期限和地点</w:t>
      </w:r>
    </w:p>
    <w:p w14:paraId="181045DF">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u w:val="none"/>
        </w:rPr>
      </w:pPr>
      <w:r>
        <w:rPr>
          <w:rFonts w:hint="eastAsia" w:ascii="仿宋_GB2312" w:hAnsi="宋体" w:eastAsia="仿宋_GB2312" w:cs="宋体"/>
          <w:color w:val="auto"/>
          <w:sz w:val="32"/>
          <w:szCs w:val="32"/>
        </w:rPr>
        <w:t>1、</w:t>
      </w:r>
      <w:r>
        <w:rPr>
          <w:rFonts w:hint="eastAsia" w:ascii="仿宋_GB2312" w:hAnsi="宋体" w:eastAsia="仿宋_GB2312" w:cs="宋体"/>
          <w:color w:val="auto"/>
          <w:sz w:val="32"/>
          <w:szCs w:val="32"/>
          <w:lang w:val="en-US" w:eastAsia="zh-CN"/>
        </w:rPr>
        <w:t>合同履行期限：3年。合同一年一签。每年度服务完成后，采购人对服务质量进行综合评估，供应商综合评估不合格的，采购人将终止与其合作，不在签署下一年度服务合同。</w:t>
      </w:r>
      <w:r>
        <w:rPr>
          <w:rFonts w:hint="eastAsia" w:ascii="仿宋_GB2312" w:hAnsi="宋体" w:eastAsia="仿宋_GB2312" w:cs="宋体"/>
          <w:color w:val="auto"/>
          <w:sz w:val="32"/>
          <w:szCs w:val="32"/>
          <w:u w:val="none"/>
        </w:rPr>
        <w:t>本合同保安服务的期限</w:t>
      </w:r>
      <w:r>
        <w:rPr>
          <w:rFonts w:hint="eastAsia" w:ascii="仿宋_GB2312" w:hAnsi="宋体" w:eastAsia="仿宋_GB2312" w:cs="宋体"/>
          <w:color w:val="auto"/>
          <w:sz w:val="32"/>
          <w:szCs w:val="32"/>
          <w:u w:val="none"/>
          <w:lang w:val="en-US" w:eastAsia="zh-CN"/>
        </w:rPr>
        <w:t>自</w:t>
      </w:r>
      <w:r>
        <w:rPr>
          <w:rFonts w:hint="eastAsia" w:ascii="仿宋_GB2312" w:hAnsi="宋体" w:eastAsia="仿宋_GB2312" w:cs="宋体"/>
          <w:color w:val="auto"/>
          <w:sz w:val="32"/>
          <w:szCs w:val="32"/>
          <w:u w:val="none"/>
        </w:rPr>
        <w:t>202</w:t>
      </w:r>
      <w:r>
        <w:rPr>
          <w:rFonts w:hint="eastAsia" w:ascii="仿宋_GB2312" w:hAnsi="宋体" w:eastAsia="仿宋_GB2312" w:cs="宋体"/>
          <w:color w:val="auto"/>
          <w:sz w:val="32"/>
          <w:szCs w:val="32"/>
          <w:u w:val="none"/>
          <w:lang w:val="en-US" w:eastAsia="zh-CN"/>
        </w:rPr>
        <w:t>5</w:t>
      </w:r>
      <w:r>
        <w:rPr>
          <w:rFonts w:hint="eastAsia" w:ascii="仿宋_GB2312" w:hAnsi="宋体" w:eastAsia="仿宋_GB2312" w:cs="宋体"/>
          <w:color w:val="auto"/>
          <w:sz w:val="32"/>
          <w:szCs w:val="32"/>
          <w:u w:val="none"/>
        </w:rPr>
        <w:t>年7月1日</w:t>
      </w:r>
      <w:r>
        <w:rPr>
          <w:rFonts w:hint="eastAsia" w:ascii="仿宋_GB2312" w:hAnsi="宋体" w:eastAsia="仿宋_GB2312" w:cs="宋体"/>
          <w:color w:val="auto"/>
          <w:sz w:val="32"/>
          <w:szCs w:val="32"/>
          <w:u w:val="none"/>
          <w:lang w:val="en-US" w:eastAsia="zh-CN"/>
        </w:rPr>
        <w:t>至</w:t>
      </w:r>
      <w:r>
        <w:rPr>
          <w:rFonts w:hint="eastAsia" w:ascii="仿宋_GB2312" w:hAnsi="宋体" w:eastAsia="仿宋_GB2312" w:cs="宋体"/>
          <w:color w:val="auto"/>
          <w:sz w:val="32"/>
          <w:szCs w:val="32"/>
          <w:u w:val="none"/>
        </w:rPr>
        <w:t>202</w:t>
      </w:r>
      <w:r>
        <w:rPr>
          <w:rFonts w:hint="eastAsia" w:ascii="仿宋_GB2312" w:hAnsi="宋体" w:eastAsia="仿宋_GB2312" w:cs="宋体"/>
          <w:color w:val="auto"/>
          <w:sz w:val="32"/>
          <w:szCs w:val="32"/>
          <w:u w:val="none"/>
          <w:lang w:val="en-US" w:eastAsia="zh-CN"/>
        </w:rPr>
        <w:t>6</w:t>
      </w:r>
      <w:r>
        <w:rPr>
          <w:rFonts w:hint="eastAsia" w:ascii="仿宋_GB2312" w:hAnsi="宋体" w:eastAsia="仿宋_GB2312" w:cs="宋体"/>
          <w:color w:val="auto"/>
          <w:sz w:val="32"/>
          <w:szCs w:val="32"/>
          <w:u w:val="none"/>
        </w:rPr>
        <w:t>年6月30日止。</w:t>
      </w:r>
    </w:p>
    <w:p w14:paraId="27A4E3BD">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u w:val="none"/>
        </w:rPr>
      </w:pPr>
      <w:r>
        <w:rPr>
          <w:rFonts w:hint="eastAsia" w:ascii="仿宋_GB2312" w:hAnsi="宋体" w:eastAsia="仿宋_GB2312" w:cs="宋体"/>
          <w:color w:val="auto"/>
          <w:sz w:val="32"/>
          <w:szCs w:val="32"/>
          <w:u w:val="none"/>
        </w:rPr>
        <w:t>2、甲、乙双方约定的保安服务地点为:景洪市人民法院及3个派出法庭（机关10人，3个派出法庭各1人）。共13人（包含两名女性安全服务员）。</w:t>
      </w:r>
    </w:p>
    <w:p w14:paraId="642CC3D2">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hAnsi="宋体" w:eastAsia="仿宋_GB2312" w:cs="宋体"/>
          <w:b/>
          <w:bCs/>
          <w:color w:val="auto"/>
          <w:sz w:val="32"/>
          <w:szCs w:val="32"/>
        </w:rPr>
      </w:pPr>
      <w:r>
        <w:rPr>
          <w:rFonts w:hint="eastAsia" w:ascii="仿宋_GB2312" w:hAnsi="宋体" w:eastAsia="仿宋_GB2312" w:cs="宋体"/>
          <w:b/>
          <w:bCs/>
          <w:color w:val="auto"/>
          <w:sz w:val="32"/>
          <w:szCs w:val="32"/>
        </w:rPr>
        <w:t>第四条 合同金额、计算方法及付款方式</w:t>
      </w:r>
    </w:p>
    <w:p w14:paraId="5FB5CB50">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1、合同金额:</w:t>
      </w:r>
      <w:r>
        <w:rPr>
          <w:rFonts w:hint="eastAsia" w:ascii="仿宋_GB2312" w:hAnsi="宋体" w:eastAsia="仿宋_GB2312" w:cs="宋体"/>
          <w:color w:val="auto"/>
          <w:sz w:val="32"/>
          <w:szCs w:val="32"/>
          <w:lang w:val="en-US" w:eastAsia="zh-CN"/>
        </w:rPr>
        <w:t>698100</w:t>
      </w:r>
      <w:r>
        <w:rPr>
          <w:rFonts w:hint="eastAsia" w:ascii="仿宋_GB2312" w:hAnsi="宋体" w:eastAsia="仿宋_GB2312" w:cs="宋体"/>
          <w:color w:val="auto"/>
          <w:sz w:val="32"/>
          <w:szCs w:val="32"/>
        </w:rPr>
        <w:t>元(大写:</w:t>
      </w:r>
      <w:r>
        <w:rPr>
          <w:rFonts w:hint="eastAsia" w:ascii="仿宋_GB2312" w:hAnsi="宋体" w:eastAsia="仿宋_GB2312" w:cs="宋体"/>
          <w:color w:val="auto"/>
          <w:sz w:val="32"/>
          <w:szCs w:val="32"/>
          <w:lang w:eastAsia="zh-CN"/>
        </w:rPr>
        <w:t>陆</w:t>
      </w:r>
      <w:r>
        <w:rPr>
          <w:rFonts w:hint="eastAsia" w:ascii="仿宋_GB2312" w:hAnsi="宋体" w:eastAsia="仿宋_GB2312" w:cs="宋体"/>
          <w:color w:val="auto"/>
          <w:sz w:val="32"/>
          <w:szCs w:val="32"/>
        </w:rPr>
        <w:t>拾</w:t>
      </w:r>
      <w:r>
        <w:rPr>
          <w:rFonts w:hint="eastAsia" w:ascii="仿宋_GB2312" w:hAnsi="宋体" w:eastAsia="仿宋_GB2312" w:cs="宋体"/>
          <w:color w:val="auto"/>
          <w:sz w:val="32"/>
          <w:szCs w:val="32"/>
          <w:lang w:eastAsia="zh-CN"/>
        </w:rPr>
        <w:t>玖</w:t>
      </w:r>
      <w:r>
        <w:rPr>
          <w:rFonts w:hint="eastAsia" w:ascii="仿宋_GB2312" w:hAnsi="宋体" w:eastAsia="仿宋_GB2312" w:cs="宋体"/>
          <w:color w:val="auto"/>
          <w:sz w:val="32"/>
          <w:szCs w:val="32"/>
        </w:rPr>
        <w:t>万</w:t>
      </w:r>
      <w:r>
        <w:rPr>
          <w:rFonts w:hint="eastAsia" w:ascii="仿宋_GB2312" w:hAnsi="宋体" w:eastAsia="仿宋_GB2312" w:cs="宋体"/>
          <w:color w:val="auto"/>
          <w:sz w:val="32"/>
          <w:szCs w:val="32"/>
          <w:lang w:eastAsia="zh-CN"/>
        </w:rPr>
        <w:t>捌仟</w:t>
      </w:r>
      <w:r>
        <w:rPr>
          <w:rFonts w:hint="eastAsia" w:ascii="仿宋_GB2312" w:hAnsi="宋体" w:eastAsia="仿宋_GB2312" w:cs="宋体"/>
          <w:color w:val="auto"/>
          <w:sz w:val="32"/>
          <w:szCs w:val="32"/>
          <w:lang w:val="en-US" w:eastAsia="zh-CN"/>
        </w:rPr>
        <w:t>壹</w:t>
      </w:r>
      <w:r>
        <w:rPr>
          <w:rFonts w:hint="eastAsia" w:ascii="仿宋_GB2312" w:hAnsi="宋体" w:eastAsia="仿宋_GB2312" w:cs="宋体"/>
          <w:color w:val="auto"/>
          <w:sz w:val="32"/>
          <w:szCs w:val="32"/>
          <w:lang w:eastAsia="zh-CN"/>
        </w:rPr>
        <w:t>佰</w:t>
      </w:r>
      <w:r>
        <w:rPr>
          <w:rFonts w:hint="eastAsia" w:ascii="仿宋_GB2312" w:hAnsi="宋体" w:eastAsia="仿宋_GB2312" w:cs="宋体"/>
          <w:color w:val="auto"/>
          <w:sz w:val="32"/>
          <w:szCs w:val="32"/>
        </w:rPr>
        <w:t>元整)。</w:t>
      </w:r>
    </w:p>
    <w:p w14:paraId="13C731BE">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hAnsi="宋体" w:eastAsia="仿宋_GB2312" w:cs="宋体"/>
          <w:color w:val="auto"/>
          <w:sz w:val="32"/>
          <w:szCs w:val="32"/>
          <w:lang w:eastAsia="zh-CN"/>
        </w:rPr>
      </w:pPr>
      <w:r>
        <w:rPr>
          <w:rFonts w:hint="eastAsia" w:ascii="仿宋_GB2312" w:hAnsi="宋体" w:eastAsia="仿宋_GB2312" w:cs="宋体"/>
          <w:color w:val="auto"/>
          <w:sz w:val="32"/>
          <w:szCs w:val="32"/>
        </w:rPr>
        <w:t>2、支付方式：服务开始之日起 10 个工作日内，乙方开具正规发票给甲方，甲方自收到正规发票</w:t>
      </w:r>
      <w:r>
        <w:rPr>
          <w:rFonts w:hint="eastAsia" w:ascii="仿宋_GB2312" w:eastAsia="仿宋_GB2312" w:hAnsiTheme="minorEastAsia" w:cstheme="minorEastAsia"/>
          <w:color w:val="000000" w:themeColor="text1"/>
          <w:sz w:val="32"/>
          <w:szCs w:val="32"/>
          <w14:textFill>
            <w14:solidFill>
              <w14:schemeClr w14:val="tx1"/>
            </w14:solidFill>
          </w14:textFill>
        </w:rPr>
        <w:t>7个工作日内向</w:t>
      </w:r>
      <w:r>
        <w:rPr>
          <w:rFonts w:hint="eastAsia" w:ascii="Times New Roman" w:hAnsi="Times New Roman" w:eastAsia="方正仿宋简体" w:cs="Times New Roman"/>
          <w:color w:val="auto"/>
          <w:sz w:val="32"/>
          <w:szCs w:val="32"/>
          <w:lang w:eastAsia="zh-CN"/>
        </w:rPr>
        <w:t>监管账户一次性存入</w:t>
      </w:r>
      <w:r>
        <w:rPr>
          <w:rFonts w:hint="eastAsia" w:ascii="仿宋_GB2312" w:eastAsia="仿宋_GB2312" w:hAnsiTheme="minorEastAsia" w:cstheme="minorEastAsia"/>
          <w:color w:val="000000" w:themeColor="text1"/>
          <w:sz w:val="32"/>
          <w:szCs w:val="32"/>
          <w14:textFill>
            <w14:solidFill>
              <w14:schemeClr w14:val="tx1"/>
            </w14:solidFill>
          </w14:textFill>
        </w:rPr>
        <w:t>全部合同款项</w:t>
      </w:r>
      <w:r>
        <w:rPr>
          <w:rFonts w:hint="eastAsia" w:ascii="仿宋_GB2312" w:hAnsi="宋体" w:eastAsia="仿宋_GB2312" w:cs="宋体"/>
          <w:color w:val="auto"/>
          <w:sz w:val="32"/>
          <w:szCs w:val="32"/>
        </w:rPr>
        <w:t>，即人民币</w:t>
      </w:r>
      <w:r>
        <w:rPr>
          <w:rFonts w:hint="eastAsia" w:ascii="仿宋_GB2312" w:hAnsi="宋体" w:eastAsia="仿宋_GB2312" w:cs="宋体"/>
          <w:color w:val="auto"/>
          <w:sz w:val="32"/>
          <w:szCs w:val="32"/>
          <w:lang w:val="en-US" w:eastAsia="zh-CN"/>
        </w:rPr>
        <w:t>698100</w:t>
      </w:r>
      <w:r>
        <w:rPr>
          <w:rFonts w:hint="eastAsia" w:ascii="仿宋_GB2312" w:hAnsi="宋体" w:eastAsia="仿宋_GB2312" w:cs="宋体"/>
          <w:color w:val="auto"/>
          <w:sz w:val="32"/>
          <w:szCs w:val="32"/>
        </w:rPr>
        <w:t>元(大写:</w:t>
      </w:r>
      <w:r>
        <w:rPr>
          <w:rFonts w:hint="eastAsia" w:ascii="仿宋_GB2312" w:hAnsi="宋体" w:eastAsia="仿宋_GB2312" w:cs="宋体"/>
          <w:color w:val="auto"/>
          <w:sz w:val="32"/>
          <w:szCs w:val="32"/>
          <w:lang w:eastAsia="zh-CN"/>
        </w:rPr>
        <w:t>陆</w:t>
      </w:r>
      <w:r>
        <w:rPr>
          <w:rFonts w:hint="eastAsia" w:ascii="仿宋_GB2312" w:hAnsi="宋体" w:eastAsia="仿宋_GB2312" w:cs="宋体"/>
          <w:color w:val="auto"/>
          <w:sz w:val="32"/>
          <w:szCs w:val="32"/>
        </w:rPr>
        <w:t>拾</w:t>
      </w:r>
      <w:r>
        <w:rPr>
          <w:rFonts w:hint="eastAsia" w:ascii="仿宋_GB2312" w:hAnsi="宋体" w:eastAsia="仿宋_GB2312" w:cs="宋体"/>
          <w:color w:val="auto"/>
          <w:sz w:val="32"/>
          <w:szCs w:val="32"/>
          <w:lang w:eastAsia="zh-CN"/>
        </w:rPr>
        <w:t>玖</w:t>
      </w:r>
      <w:r>
        <w:rPr>
          <w:rFonts w:hint="eastAsia" w:ascii="仿宋_GB2312" w:hAnsi="宋体" w:eastAsia="仿宋_GB2312" w:cs="宋体"/>
          <w:color w:val="auto"/>
          <w:sz w:val="32"/>
          <w:szCs w:val="32"/>
        </w:rPr>
        <w:t>万</w:t>
      </w:r>
      <w:r>
        <w:rPr>
          <w:rFonts w:hint="eastAsia" w:ascii="仿宋_GB2312" w:hAnsi="宋体" w:eastAsia="仿宋_GB2312" w:cs="宋体"/>
          <w:color w:val="auto"/>
          <w:sz w:val="32"/>
          <w:szCs w:val="32"/>
          <w:lang w:eastAsia="zh-CN"/>
        </w:rPr>
        <w:t>捌仟</w:t>
      </w:r>
      <w:r>
        <w:rPr>
          <w:rFonts w:hint="eastAsia" w:ascii="仿宋_GB2312" w:hAnsi="宋体" w:eastAsia="仿宋_GB2312" w:cs="宋体"/>
          <w:color w:val="auto"/>
          <w:sz w:val="32"/>
          <w:szCs w:val="32"/>
          <w:lang w:val="en-US" w:eastAsia="zh-CN"/>
        </w:rPr>
        <w:t>壹</w:t>
      </w:r>
      <w:r>
        <w:rPr>
          <w:rFonts w:hint="eastAsia" w:ascii="仿宋_GB2312" w:hAnsi="宋体" w:eastAsia="仿宋_GB2312" w:cs="宋体"/>
          <w:color w:val="auto"/>
          <w:sz w:val="32"/>
          <w:szCs w:val="32"/>
          <w:lang w:eastAsia="zh-CN"/>
        </w:rPr>
        <w:t>佰</w:t>
      </w:r>
      <w:r>
        <w:rPr>
          <w:rFonts w:hint="eastAsia" w:ascii="仿宋_GB2312" w:hAnsi="宋体" w:eastAsia="仿宋_GB2312" w:cs="宋体"/>
          <w:color w:val="auto"/>
          <w:sz w:val="32"/>
          <w:szCs w:val="32"/>
        </w:rPr>
        <w:t>元整)</w:t>
      </w:r>
      <w:r>
        <w:rPr>
          <w:rFonts w:hint="eastAsia" w:ascii="仿宋_GB2312" w:hAnsi="宋体" w:eastAsia="仿宋_GB2312" w:cs="宋体"/>
          <w:color w:val="auto"/>
          <w:sz w:val="32"/>
          <w:szCs w:val="32"/>
          <w:lang w:eastAsia="zh-CN"/>
        </w:rPr>
        <w:t>，</w:t>
      </w:r>
      <w:r>
        <w:rPr>
          <w:rFonts w:hint="eastAsia" w:ascii="仿宋_GB2312" w:hAnsi="宋体" w:eastAsia="仿宋_GB2312" w:cs="宋体"/>
          <w:color w:val="auto"/>
          <w:sz w:val="32"/>
          <w:szCs w:val="32"/>
          <w:lang w:val="en-US" w:eastAsia="zh-CN"/>
        </w:rPr>
        <w:t>安保服务费按月计算，每季度末乙方可向甲方申请支付当季度服务费</w:t>
      </w:r>
      <w:r>
        <w:rPr>
          <w:rFonts w:hint="eastAsia" w:ascii="仿宋_GB2312" w:hAnsi="宋体" w:eastAsia="仿宋_GB2312" w:cs="宋体"/>
          <w:color w:val="auto"/>
          <w:sz w:val="32"/>
          <w:szCs w:val="32"/>
          <w:lang w:eastAsia="zh-CN"/>
        </w:rPr>
        <w:t>。</w:t>
      </w:r>
    </w:p>
    <w:p w14:paraId="2C150BAA">
      <w:pPr>
        <w:pStyle w:val="2"/>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eastAsia="仿宋_GB2312" w:hAnsiTheme="minorEastAsia" w:cstheme="minorEastAsia"/>
          <w:color w:val="000000" w:themeColor="text1"/>
          <w:sz w:val="32"/>
          <w:szCs w:val="32"/>
          <w:lang w:eastAsia="zh-CN"/>
          <w14:textFill>
            <w14:solidFill>
              <w14:schemeClr w14:val="tx1"/>
            </w14:solidFill>
          </w14:textFill>
        </w:rPr>
      </w:pPr>
      <w:r>
        <w:rPr>
          <w:rFonts w:hint="eastAsia" w:ascii="仿宋_GB2312" w:eastAsia="仿宋_GB2312" w:hAnsiTheme="minorEastAsia" w:cstheme="minorEastAsia"/>
          <w:color w:val="000000" w:themeColor="text1"/>
          <w:sz w:val="32"/>
          <w:szCs w:val="32"/>
          <w:lang w:eastAsia="zh-CN"/>
          <w14:textFill>
            <w14:solidFill>
              <w14:schemeClr w14:val="tx1"/>
            </w14:solidFill>
          </w14:textFill>
        </w:rPr>
        <w:t>监管账户信息：</w:t>
      </w:r>
    </w:p>
    <w:p w14:paraId="2ADA17A3">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eastAsia="仿宋_GB2312" w:hAnsiTheme="minorEastAsia" w:cstheme="minorEastAsia"/>
          <w:color w:val="000000" w:themeColor="text1"/>
          <w:sz w:val="32"/>
          <w:szCs w:val="32"/>
          <w:lang w:eastAsia="zh-CN"/>
          <w14:textFill>
            <w14:solidFill>
              <w14:schemeClr w14:val="tx1"/>
            </w14:solidFill>
          </w14:textFill>
        </w:rPr>
      </w:pPr>
      <w:r>
        <w:rPr>
          <w:rFonts w:hint="eastAsia" w:ascii="仿宋_GB2312" w:eastAsia="仿宋_GB2312" w:hAnsiTheme="minorEastAsia" w:cstheme="minorEastAsia"/>
          <w:color w:val="000000" w:themeColor="text1"/>
          <w:sz w:val="32"/>
          <w:szCs w:val="32"/>
          <w:lang w:eastAsia="zh-CN"/>
          <w14:textFill>
            <w14:solidFill>
              <w14:schemeClr w14:val="tx1"/>
            </w14:solidFill>
          </w14:textFill>
        </w:rPr>
        <w:t>户名：云南精卫保安服务有限公司</w:t>
      </w:r>
    </w:p>
    <w:p w14:paraId="4DB14737">
      <w:pPr>
        <w:pStyle w:val="2"/>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default" w:ascii="仿宋_GB2312" w:eastAsia="仿宋_GB2312" w:hAnsiTheme="minorEastAsia" w:cstheme="minorEastAsia"/>
          <w:color w:val="000000" w:themeColor="text1"/>
          <w:sz w:val="32"/>
          <w:szCs w:val="32"/>
          <w:lang w:val="en-US" w:eastAsia="zh-CN"/>
          <w14:textFill>
            <w14:solidFill>
              <w14:schemeClr w14:val="tx1"/>
            </w14:solidFill>
          </w14:textFill>
        </w:rPr>
      </w:pPr>
      <w:r>
        <w:rPr>
          <w:rFonts w:hint="eastAsia" w:ascii="仿宋_GB2312" w:eastAsia="仿宋_GB2312" w:hAnsiTheme="minorEastAsia" w:cstheme="minorEastAsia"/>
          <w:color w:val="000000" w:themeColor="text1"/>
          <w:sz w:val="32"/>
          <w:szCs w:val="32"/>
          <w:lang w:eastAsia="zh-CN"/>
          <w14:textFill>
            <w14:solidFill>
              <w14:schemeClr w14:val="tx1"/>
            </w14:solidFill>
          </w14:textFill>
        </w:rPr>
        <w:t>账号：</w:t>
      </w:r>
      <w:r>
        <w:rPr>
          <w:rFonts w:hint="eastAsia" w:ascii="仿宋_GB2312" w:eastAsia="仿宋_GB2312" w:hAnsiTheme="minorEastAsia" w:cstheme="minorEastAsia"/>
          <w:color w:val="000000" w:themeColor="text1"/>
          <w:sz w:val="32"/>
          <w:szCs w:val="32"/>
          <w:lang w:val="en-US" w:eastAsia="zh-CN"/>
          <w14:textFill>
            <w14:solidFill>
              <w14:schemeClr w14:val="tx1"/>
            </w14:solidFill>
          </w14:textFill>
        </w:rPr>
        <w:t>24091001040005454</w:t>
      </w:r>
    </w:p>
    <w:p w14:paraId="7CAEE797">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lang w:eastAsia="zh-CN"/>
        </w:rPr>
      </w:pPr>
      <w:r>
        <w:rPr>
          <w:rFonts w:hint="eastAsia" w:ascii="仿宋_GB2312" w:eastAsia="仿宋_GB2312" w:hAnsiTheme="minorEastAsia" w:cstheme="minorEastAsia"/>
          <w:color w:val="000000" w:themeColor="text1"/>
          <w:sz w:val="32"/>
          <w:szCs w:val="32"/>
          <w:lang w:eastAsia="zh-CN"/>
          <w14:textFill>
            <w14:solidFill>
              <w14:schemeClr w14:val="tx1"/>
            </w14:solidFill>
          </w14:textFill>
        </w:rPr>
        <w:t>开户行：中国农业银行股份有限公司景洪嘎栋支行</w:t>
      </w:r>
    </w:p>
    <w:p w14:paraId="5E24E539">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hAnsi="宋体" w:eastAsia="仿宋_GB2312" w:cs="宋体"/>
          <w:b/>
          <w:bCs/>
          <w:color w:val="auto"/>
          <w:sz w:val="32"/>
          <w:szCs w:val="32"/>
        </w:rPr>
      </w:pPr>
      <w:r>
        <w:rPr>
          <w:rFonts w:hint="eastAsia" w:ascii="仿宋_GB2312" w:hAnsi="宋体" w:eastAsia="仿宋_GB2312" w:cs="宋体"/>
          <w:b/>
          <w:bCs/>
          <w:color w:val="auto"/>
          <w:sz w:val="32"/>
          <w:szCs w:val="32"/>
        </w:rPr>
        <w:t>第五条 甲方的权利和义务</w:t>
      </w:r>
    </w:p>
    <w:p w14:paraId="64ED3A72">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1、为乙方保安人员提供保安服务相应的工作条件和值班使用的通讯电话;免费提供乙方保安人员正常的生活用水及照明用电。派出法庭值守人员食宿需自理，不在甲方保障范围内。</w:t>
      </w:r>
    </w:p>
    <w:p w14:paraId="1D615BE0">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2、甲方应尊重乙方保安人员的工作,对保安人员履行职责的活动行为予以支持和配合,并尊重乙方人员的合理化建议。</w:t>
      </w:r>
    </w:p>
    <w:p w14:paraId="6FF18CF5">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3、甲方同保安人员不建立劳动关系。</w:t>
      </w:r>
    </w:p>
    <w:p w14:paraId="3ED9AB0E">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4、甲方如需乙方保安人员从事合同约定范围之外工作,须事先经乙方同意,由此造成人员伤亡及经济损失,应由甲方负责。</w:t>
      </w:r>
    </w:p>
    <w:p w14:paraId="525115B4">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5、乙方应按照甲方招标要求和投标承诺的人员和人数实名到岗。甲方按照相关保卫规定定期对乙方保安人员进行监督和管理,监督内容包括到岗情况、岗位工作情况、工作记录情况、考勤情况、业务能力、差错率、事故和纠纷情况等。</w:t>
      </w:r>
    </w:p>
    <w:p w14:paraId="7AF7722B">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6、甲方考核不合格或不满意的管理人员或员工，乙方经培训，仍不适合岗位要求，五个工作日内更换合适人选。乙方更换员工及管理人员须经甲方主管部门同意。</w:t>
      </w:r>
    </w:p>
    <w:p w14:paraId="75E59F15">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7、甲方对乙方派驻的保安员有监督管理权,并对乙方保安人员违反规定、合同约定的行为,在24小时内以书面形式通知乙方。</w:t>
      </w:r>
    </w:p>
    <w:p w14:paraId="63494F92">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8、乙方在保安服务中造成甲方</w:t>
      </w:r>
      <w:r>
        <w:rPr>
          <w:rFonts w:hint="eastAsia" w:ascii="仿宋_GB2312" w:hAnsi="宋体" w:eastAsia="仿宋_GB2312" w:cs="宋体"/>
          <w:color w:val="auto"/>
          <w:sz w:val="32"/>
          <w:szCs w:val="32"/>
          <w:lang w:eastAsia="zh-CN"/>
        </w:rPr>
        <w:t>、第三方</w:t>
      </w:r>
      <w:r>
        <w:rPr>
          <w:rFonts w:hint="eastAsia" w:ascii="仿宋_GB2312" w:hAnsi="宋体" w:eastAsia="仿宋_GB2312" w:cs="宋体"/>
          <w:color w:val="auto"/>
          <w:sz w:val="32"/>
          <w:szCs w:val="32"/>
        </w:rPr>
        <w:t>或其它损失的,</w:t>
      </w:r>
      <w:r>
        <w:rPr>
          <w:rFonts w:hint="eastAsia" w:ascii="仿宋_GB2312" w:hAnsi="宋体" w:eastAsia="仿宋_GB2312" w:cs="宋体"/>
          <w:color w:val="auto"/>
          <w:sz w:val="32"/>
          <w:szCs w:val="32"/>
          <w:lang w:eastAsia="zh-CN"/>
        </w:rPr>
        <w:t>由乙方承担赔偿责任，甲方代为赔偿的，甲方有权向乙方追责</w:t>
      </w:r>
      <w:r>
        <w:rPr>
          <w:rFonts w:hint="eastAsia" w:ascii="仿宋_GB2312" w:hAnsi="宋体" w:eastAsia="仿宋_GB2312" w:cs="宋体"/>
          <w:color w:val="auto"/>
          <w:sz w:val="32"/>
          <w:szCs w:val="32"/>
        </w:rPr>
        <w:t>。</w:t>
      </w:r>
    </w:p>
    <w:p w14:paraId="36F537BF">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9、甲方应按合同约定及时支付服务费。</w:t>
      </w:r>
    </w:p>
    <w:p w14:paraId="1DFAB807">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hAnsi="宋体" w:eastAsia="仿宋_GB2312" w:cs="宋体"/>
          <w:b/>
          <w:bCs/>
          <w:color w:val="auto"/>
          <w:sz w:val="32"/>
          <w:szCs w:val="32"/>
        </w:rPr>
      </w:pPr>
      <w:r>
        <w:rPr>
          <w:rFonts w:hint="eastAsia" w:ascii="仿宋_GB2312" w:hAnsi="宋体" w:eastAsia="仿宋_GB2312" w:cs="宋体"/>
          <w:b/>
          <w:bCs/>
          <w:color w:val="auto"/>
          <w:sz w:val="32"/>
          <w:szCs w:val="32"/>
        </w:rPr>
        <w:t>第六条 乙方的权利和义务</w:t>
      </w:r>
    </w:p>
    <w:p w14:paraId="32DF9BA6">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1、指定专人与甲方联系，协调工作，根据甲方工作需要和特点，与甲方共同协商制定安全合理的守护制度，保证甲方正常的办公、生活秩序。</w:t>
      </w:r>
    </w:p>
    <w:p w14:paraId="15C5B366">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2.乙方按合同派驻保安人员执行保安服务,对派驻的保安人员应监督和管理。</w:t>
      </w:r>
    </w:p>
    <w:p w14:paraId="35AE5947">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3、乙方在为甲方提供保安服务期间,保安员的人事编制、档案及劳动关系隶属于乙方，乙方负责办理合法用工手续、保安员的工资和各种社会保险（包括意外伤害险、工伤险等）福利待遇的发放及购买。甲方不承担保安人员用工的有关劳动保障。</w:t>
      </w:r>
    </w:p>
    <w:p w14:paraId="7D048428">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4、乙方选派到甲方的保安人员必须经过正规保安服务培训,须具有公安机关核发的《保安员资格证》或上岗证，无违法犯罪前科;乙方应定期与甲方交流情况,征求意见,整改不足。</w:t>
      </w:r>
    </w:p>
    <w:p w14:paraId="11769A43">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5、对派驻保安人员进行培训,提高派驻保安人员的政治、业务、职业道德素质,并对派驻保安人员的违法、违规违纪行为进行处理。</w:t>
      </w:r>
    </w:p>
    <w:p w14:paraId="54F58D63">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6、乙方派驻的保安人员有权拒绝甲方合同约定服务项目以外的工作要求。为确保服务区域内的安全，若遇特殊情况，双方协商解决。</w:t>
      </w:r>
    </w:p>
    <w:p w14:paraId="7F14A730">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7、乙方因工作需要,在服务区域内安装的一切设备产权属乙方所有。</w:t>
      </w:r>
    </w:p>
    <w:p w14:paraId="595DF0AB">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8、乙方应保障服务期间保安人员按时到岗在位，严格遵守各项规章制度及操作规范</w:t>
      </w:r>
    </w:p>
    <w:p w14:paraId="55D5B888">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9、乙方及其员工在工作中发现问题和安全隐患，有责任报告甲方单位相关部门，甲方未及时整改,造成守卫目标损失的,乙方不承担责任。</w:t>
      </w:r>
    </w:p>
    <w:p w14:paraId="4E3312B0">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10、人员食宿、劳资、保险、对讲机、单警装备、安保服装、照明灯、应急包、防疫物品等由乙方提供。</w:t>
      </w:r>
    </w:p>
    <w:p w14:paraId="6F31DE27">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11、乙方派出的人员应相对稳定，若需要变动时。须事先通知甲方的有关人员。</w:t>
      </w:r>
    </w:p>
    <w:p w14:paraId="0AD701D7">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12、乙方工作人员工作中发生的各类涉及安全权益、劳务等纠纷，由乙方自行解决并承担，甲方对此不承担任何责任。乙方派驻本项目的所有服务人员在工作过程中因意外或安全事故使乙方、甲方或任意第三方人身、财产受到损害的，一切责任由乙方承担，甲方不承担任何责任。</w:t>
      </w:r>
    </w:p>
    <w:p w14:paraId="286DC5C7">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13、乙方应根据甲方的服务要求，制定员工管理、奖惩条例、应急预案、服务管理、实施细则等各项制度，并交甲方备案。对拟投入驻人员的应聘、录用、离职等管理档案需规范、手续齐全；签订合同前，需向甲方提供拟投入驻人员的相关档案资料（包含但不限于：相关人员上岗证、相关企业营业执照、健康证、无犯罪记录证明、复转军人相关证件等）。</w:t>
      </w:r>
    </w:p>
    <w:p w14:paraId="1A2F1E77">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hAnsi="宋体" w:eastAsia="仿宋_GB2312" w:cs="宋体"/>
          <w:b/>
          <w:bCs/>
          <w:color w:val="auto"/>
          <w:sz w:val="32"/>
          <w:szCs w:val="32"/>
        </w:rPr>
      </w:pPr>
      <w:r>
        <w:rPr>
          <w:rFonts w:hint="eastAsia" w:ascii="仿宋_GB2312" w:hAnsi="宋体" w:eastAsia="仿宋_GB2312" w:cs="宋体"/>
          <w:b/>
          <w:bCs/>
          <w:color w:val="auto"/>
          <w:sz w:val="32"/>
          <w:szCs w:val="32"/>
        </w:rPr>
        <w:t>第七条</w:t>
      </w:r>
      <w:r>
        <w:rPr>
          <w:rFonts w:hint="eastAsia" w:ascii="仿宋_GB2312" w:hAnsi="宋体" w:eastAsia="仿宋_GB2312" w:cs="宋体"/>
          <w:b/>
          <w:bCs/>
          <w:color w:val="auto"/>
          <w:sz w:val="32"/>
          <w:szCs w:val="32"/>
          <w:lang w:val="en-US" w:eastAsia="zh-CN"/>
        </w:rPr>
        <w:t xml:space="preserve"> </w:t>
      </w:r>
      <w:r>
        <w:rPr>
          <w:rFonts w:hint="eastAsia" w:ascii="仿宋_GB2312" w:hAnsi="宋体" w:eastAsia="仿宋_GB2312" w:cs="宋体"/>
          <w:b/>
          <w:bCs/>
          <w:color w:val="auto"/>
          <w:sz w:val="32"/>
          <w:szCs w:val="32"/>
        </w:rPr>
        <w:t>其它约定</w:t>
      </w:r>
    </w:p>
    <w:p w14:paraId="7A6164A1">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1、在承包区域的各项服务，其工作时间必须满足甲方的工作要求（包括周末），如遇特殊情况，甲方可要求乙方</w:t>
      </w:r>
      <w:r>
        <w:rPr>
          <w:rFonts w:hint="eastAsia" w:ascii="仿宋_GB2312" w:hAnsi="宋体" w:eastAsia="仿宋_GB2312" w:cs="宋体"/>
          <w:color w:val="auto"/>
          <w:sz w:val="32"/>
          <w:szCs w:val="32"/>
          <w:lang w:eastAsia="zh-CN"/>
        </w:rPr>
        <w:t>对部分岗位</w:t>
      </w:r>
      <w:r>
        <w:rPr>
          <w:rFonts w:hint="eastAsia" w:ascii="仿宋_GB2312" w:hAnsi="宋体" w:eastAsia="仿宋_GB2312" w:cs="宋体"/>
          <w:color w:val="auto"/>
          <w:sz w:val="32"/>
          <w:szCs w:val="32"/>
        </w:rPr>
        <w:t>调整工作时间直至全天二十四小时工作。</w:t>
      </w:r>
    </w:p>
    <w:p w14:paraId="2A79E249">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2、在合同期限内,超出保安服务范围造成保安人员伤亡的,双方依法协商解决。</w:t>
      </w:r>
    </w:p>
    <w:p w14:paraId="7F1BDDB2">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3、若甲方因工作需要交由乙方保安人员使用的设备和物品,由甲方负责监督使用,乙方不负责。</w:t>
      </w:r>
    </w:p>
    <w:p w14:paraId="6D88EDC2">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4、乙方保安人员在合同履行期间发生个人原因不能到岗在位的,乙方应及时派人顶替到岗。</w:t>
      </w:r>
    </w:p>
    <w:p w14:paraId="062135A0">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5、乙方保安人员违反法律、法规、规章制度,在保安服务中给甲方造成损失的,由乙方负承担赔偿责任,已构成治安、刑事案件的,依法处理。</w:t>
      </w:r>
    </w:p>
    <w:p w14:paraId="711C946E">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6、甲方不定期对乙方服务质量进行检查考核，若发现乙方及服务人员严重违反本合同约定或甲方制度的，立即勒令整改;若在期限内没有得到改善，则甲方有权解除合同，乙方48小时后自行撤离。</w:t>
      </w:r>
    </w:p>
    <w:p w14:paraId="01B975EA">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eastAsia="仿宋_GB2312"/>
          <w:color w:val="auto"/>
          <w:sz w:val="32"/>
          <w:szCs w:val="32"/>
        </w:rPr>
      </w:pPr>
      <w:r>
        <w:rPr>
          <w:rFonts w:hint="eastAsia" w:ascii="仿宋_GB2312" w:eastAsia="仿宋_GB2312"/>
          <w:color w:val="auto"/>
          <w:sz w:val="32"/>
          <w:szCs w:val="32"/>
        </w:rPr>
        <w:t>7、乙方连续三次考核检查不合格的，又不在规定的时间内整改，则甲方有权解除合同，要求乙方无条件退出离场。</w:t>
      </w:r>
    </w:p>
    <w:p w14:paraId="727A4694">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hAnsi="宋体" w:eastAsia="仿宋_GB2312" w:cs="宋体"/>
          <w:b/>
          <w:bCs/>
          <w:color w:val="auto"/>
          <w:sz w:val="32"/>
          <w:szCs w:val="32"/>
        </w:rPr>
      </w:pPr>
      <w:r>
        <w:rPr>
          <w:rFonts w:hint="eastAsia" w:ascii="仿宋_GB2312" w:hAnsi="宋体" w:eastAsia="仿宋_GB2312" w:cs="宋体"/>
          <w:b/>
          <w:bCs/>
          <w:color w:val="auto"/>
          <w:sz w:val="32"/>
          <w:szCs w:val="32"/>
        </w:rPr>
        <w:t>第八条</w:t>
      </w:r>
      <w:r>
        <w:rPr>
          <w:rFonts w:hint="eastAsia" w:ascii="仿宋_GB2312" w:hAnsi="宋体" w:eastAsia="仿宋_GB2312" w:cs="宋体"/>
          <w:b/>
          <w:bCs/>
          <w:color w:val="auto"/>
          <w:sz w:val="32"/>
          <w:szCs w:val="32"/>
          <w:lang w:val="en-US" w:eastAsia="zh-CN"/>
        </w:rPr>
        <w:t xml:space="preserve"> </w:t>
      </w:r>
      <w:r>
        <w:rPr>
          <w:rFonts w:hint="eastAsia" w:ascii="仿宋_GB2312" w:hAnsi="宋体" w:eastAsia="仿宋_GB2312" w:cs="宋体"/>
          <w:b/>
          <w:bCs/>
          <w:color w:val="auto"/>
          <w:sz w:val="32"/>
          <w:szCs w:val="32"/>
        </w:rPr>
        <w:t>违约责任</w:t>
      </w:r>
    </w:p>
    <w:p w14:paraId="46B0528A">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1、甲方未按合同约定的付款日期支付乙方服务费,甲方应每日按逾期支付金额的万分之五的标准向乙方支付违约金,逾期超过30日,甲、乙双方协商解除合同。</w:t>
      </w:r>
    </w:p>
    <w:p w14:paraId="5598611A">
      <w:pPr>
        <w:keepNext w:val="0"/>
        <w:keepLines w:val="0"/>
        <w:pageBreakBefore w:val="0"/>
        <w:widowControl w:val="0"/>
        <w:kinsoku/>
        <w:wordWrap/>
        <w:overflowPunct/>
        <w:topLinePunct w:val="0"/>
        <w:autoSpaceDE/>
        <w:autoSpaceDN w:val="0"/>
        <w:bidi w:val="0"/>
        <w:adjustRightInd/>
        <w:snapToGrid/>
        <w:spacing w:line="560" w:lineRule="exact"/>
        <w:ind w:firstLine="570"/>
        <w:textAlignment w:val="auto"/>
        <w:rPr>
          <w:rFonts w:ascii="仿宋_GB2312" w:hAnsi="Times New Roman" w:eastAsia="仿宋_GB2312" w:cs="Times New Roman"/>
          <w:color w:val="auto"/>
          <w:sz w:val="32"/>
          <w:szCs w:val="32"/>
        </w:rPr>
      </w:pPr>
      <w:r>
        <w:rPr>
          <w:rFonts w:hint="eastAsia" w:ascii="仿宋_GB2312" w:hAnsi="Times New Roman" w:eastAsia="仿宋_GB2312" w:cs="Times New Roman"/>
          <w:color w:val="auto"/>
          <w:sz w:val="32"/>
          <w:szCs w:val="32"/>
          <w:lang w:val="en-US" w:eastAsia="zh-CN"/>
        </w:rPr>
        <w:t>2、</w:t>
      </w:r>
      <w:r>
        <w:rPr>
          <w:rFonts w:hint="eastAsia" w:ascii="仿宋_GB2312" w:hAnsi="Times New Roman" w:eastAsia="仿宋_GB2312" w:cs="Times New Roman"/>
          <w:color w:val="auto"/>
          <w:sz w:val="32"/>
          <w:szCs w:val="32"/>
        </w:rPr>
        <w:t>任何一方未履行本</w:t>
      </w:r>
      <w:r>
        <w:rPr>
          <w:rFonts w:hint="eastAsia" w:ascii="仿宋_GB2312" w:hAnsi="Times New Roman" w:eastAsia="仿宋_GB2312" w:cs="Times New Roman"/>
          <w:color w:val="auto"/>
          <w:sz w:val="32"/>
          <w:szCs w:val="32"/>
          <w:lang w:eastAsia="zh-CN"/>
        </w:rPr>
        <w:t>合同</w:t>
      </w:r>
      <w:r>
        <w:rPr>
          <w:rFonts w:hint="eastAsia" w:ascii="仿宋_GB2312" w:hAnsi="Times New Roman" w:eastAsia="仿宋_GB2312" w:cs="Times New Roman"/>
          <w:color w:val="auto"/>
          <w:sz w:val="32"/>
          <w:szCs w:val="32"/>
        </w:rPr>
        <w:t>项下的条款均被视为违约。作出违约行为的一方应承担因自己的违约行为而给守约方造成的损失。如果守约方确认，对违反本</w:t>
      </w:r>
      <w:r>
        <w:rPr>
          <w:rFonts w:hint="eastAsia" w:ascii="仿宋_GB2312" w:hAnsi="Times New Roman" w:eastAsia="仿宋_GB2312" w:cs="Times New Roman"/>
          <w:color w:val="auto"/>
          <w:sz w:val="32"/>
          <w:szCs w:val="32"/>
          <w:lang w:eastAsia="zh-CN"/>
        </w:rPr>
        <w:t>合同</w:t>
      </w:r>
      <w:r>
        <w:rPr>
          <w:rFonts w:hint="eastAsia" w:ascii="仿宋_GB2312" w:hAnsi="Times New Roman" w:eastAsia="仿宋_GB2312" w:cs="Times New Roman"/>
          <w:color w:val="auto"/>
          <w:sz w:val="32"/>
          <w:szCs w:val="32"/>
        </w:rPr>
        <w:t>的行为仅采取赔偿的补救措施是不够的，则守约方还有权采取禁令、实际履行或其他合理的救济措施；而视违约行为的严重程度，守约方还可将其诉之法律途径。违反本</w:t>
      </w:r>
      <w:r>
        <w:rPr>
          <w:rFonts w:hint="eastAsia" w:ascii="仿宋_GB2312" w:hAnsi="Times New Roman" w:eastAsia="仿宋_GB2312" w:cs="Times New Roman"/>
          <w:color w:val="auto"/>
          <w:sz w:val="32"/>
          <w:szCs w:val="32"/>
          <w:lang w:eastAsia="zh-CN"/>
        </w:rPr>
        <w:t>合同</w:t>
      </w:r>
      <w:r>
        <w:rPr>
          <w:rFonts w:hint="eastAsia" w:ascii="仿宋_GB2312" w:hAnsi="Times New Roman" w:eastAsia="仿宋_GB2312" w:cs="Times New Roman"/>
          <w:color w:val="auto"/>
          <w:sz w:val="32"/>
          <w:szCs w:val="32"/>
        </w:rPr>
        <w:t>，如构成泄漏国家秘密的，依照《中华人民共和国保守秘密法》及其实施办法追究责任，并追究领导及直接责任人的责任。</w:t>
      </w:r>
    </w:p>
    <w:p w14:paraId="37588DDE">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3、履行合同期间乙方未按合同约定履行保安服务职责并造成甲方重大损失，（根据公安机关</w:t>
      </w:r>
      <w:r>
        <w:rPr>
          <w:rFonts w:hint="eastAsia" w:ascii="仿宋_GB2312" w:hAnsi="宋体" w:eastAsia="仿宋_GB2312" w:cs="宋体"/>
          <w:color w:val="auto"/>
          <w:sz w:val="32"/>
          <w:szCs w:val="32"/>
          <w:lang w:eastAsia="zh-CN"/>
        </w:rPr>
        <w:t>等行政机关</w:t>
      </w:r>
      <w:r>
        <w:rPr>
          <w:rFonts w:hint="eastAsia" w:ascii="仿宋_GB2312" w:hAnsi="宋体" w:eastAsia="仿宋_GB2312" w:cs="宋体"/>
          <w:color w:val="auto"/>
          <w:sz w:val="32"/>
          <w:szCs w:val="32"/>
        </w:rPr>
        <w:t>认定是保安员失职或不作为造成）甲方有权单方面解除合同并要求乙方赔偿全部损失。</w:t>
      </w:r>
    </w:p>
    <w:p w14:paraId="5386402B">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eastAsia="仿宋_GB2312"/>
          <w:color w:val="auto"/>
          <w:sz w:val="32"/>
          <w:szCs w:val="32"/>
        </w:rPr>
      </w:pPr>
      <w:r>
        <w:rPr>
          <w:rFonts w:hint="eastAsia" w:ascii="仿宋_GB2312" w:eastAsia="仿宋_GB2312"/>
          <w:color w:val="auto"/>
          <w:sz w:val="32"/>
          <w:szCs w:val="32"/>
        </w:rPr>
        <w:t>4、乙方未能履行合同义务，不能达到甲方要求的管理目标，甲方有权解除合同，乙方应向甲方承担合同总价30%的违约责任，并赔偿因此给甲方造成的一切损失。</w:t>
      </w:r>
    </w:p>
    <w:p w14:paraId="61148DB3">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hAnsi="宋体" w:eastAsia="仿宋_GB2312" w:cs="宋体"/>
          <w:b/>
          <w:bCs/>
          <w:color w:val="auto"/>
          <w:sz w:val="32"/>
          <w:szCs w:val="32"/>
        </w:rPr>
      </w:pPr>
      <w:r>
        <w:rPr>
          <w:rFonts w:hint="eastAsia" w:ascii="仿宋_GB2312" w:hAnsi="宋体" w:eastAsia="仿宋_GB2312" w:cs="宋体"/>
          <w:b/>
          <w:bCs/>
          <w:color w:val="auto"/>
          <w:sz w:val="32"/>
          <w:szCs w:val="32"/>
          <w:lang w:eastAsia="zh-CN"/>
        </w:rPr>
        <w:t>第九条</w:t>
      </w:r>
      <w:r>
        <w:rPr>
          <w:rFonts w:hint="eastAsia" w:ascii="仿宋_GB2312" w:hAnsi="宋体" w:eastAsia="仿宋_GB2312" w:cs="宋体"/>
          <w:b/>
          <w:bCs/>
          <w:color w:val="auto"/>
          <w:sz w:val="32"/>
          <w:szCs w:val="32"/>
          <w:lang w:val="en-US" w:eastAsia="zh-CN"/>
        </w:rPr>
        <w:t xml:space="preserve"> </w:t>
      </w:r>
      <w:r>
        <w:rPr>
          <w:rFonts w:hint="eastAsia" w:ascii="仿宋_GB2312" w:hAnsi="宋体" w:eastAsia="仿宋_GB2312" w:cs="宋体"/>
          <w:b/>
          <w:bCs/>
          <w:color w:val="auto"/>
          <w:sz w:val="32"/>
          <w:szCs w:val="32"/>
        </w:rPr>
        <w:t>免责条款</w:t>
      </w:r>
    </w:p>
    <w:p w14:paraId="1F8EB85B">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eastAsia="仿宋_GB2312" w:hAnsiTheme="minorEastAsia" w:cstheme="minorEastAsia"/>
          <w:color w:val="auto"/>
          <w:sz w:val="32"/>
          <w:szCs w:val="32"/>
          <w:lang w:eastAsia="zh-CN"/>
        </w:rPr>
      </w:pPr>
      <w:r>
        <w:rPr>
          <w:rFonts w:hint="eastAsia" w:ascii="仿宋_GB2312" w:hAnsi="Times New Roman" w:eastAsia="仿宋_GB2312" w:cs="Times New Roman"/>
          <w:color w:val="auto"/>
          <w:sz w:val="32"/>
          <w:szCs w:val="32"/>
        </w:rPr>
        <w:t>由于地震、水灾、火灾或政策变化等人力不能预见、不能避免、不能抗拒的原因，导致甲乙双方或一方不能履行或不能完全履行本</w:t>
      </w:r>
      <w:r>
        <w:rPr>
          <w:rFonts w:hint="eastAsia" w:ascii="仿宋_GB2312" w:hAnsi="Times New Roman" w:eastAsia="仿宋_GB2312" w:cs="Times New Roman"/>
          <w:color w:val="auto"/>
          <w:sz w:val="32"/>
          <w:szCs w:val="32"/>
          <w:lang w:eastAsia="zh-CN"/>
        </w:rPr>
        <w:t>合同</w:t>
      </w:r>
      <w:r>
        <w:rPr>
          <w:rFonts w:hint="eastAsia" w:ascii="仿宋_GB2312" w:hAnsi="Times New Roman" w:eastAsia="仿宋_GB2312" w:cs="Times New Roman"/>
          <w:color w:val="auto"/>
          <w:sz w:val="32"/>
          <w:szCs w:val="32"/>
        </w:rPr>
        <w:t>项下的有关义务时，甲乙双方相互不承担违约责任</w:t>
      </w:r>
      <w:r>
        <w:rPr>
          <w:rFonts w:hint="eastAsia" w:ascii="仿宋_GB2312" w:hAnsi="Times New Roman" w:eastAsia="仿宋_GB2312" w:cs="Times New Roman"/>
          <w:color w:val="auto"/>
          <w:sz w:val="32"/>
          <w:szCs w:val="32"/>
          <w:lang w:eastAsia="zh-CN"/>
        </w:rPr>
        <w:t>。</w:t>
      </w:r>
      <w:r>
        <w:rPr>
          <w:rFonts w:hint="eastAsia" w:ascii="仿宋_GB2312" w:eastAsia="仿宋_GB2312" w:hAnsiTheme="minorEastAsia" w:cstheme="minorEastAsia"/>
          <w:color w:val="auto"/>
          <w:sz w:val="32"/>
          <w:szCs w:val="32"/>
        </w:rPr>
        <w:t>在不可抗力影响消除后的合理时间内,</w:t>
      </w:r>
      <w:r>
        <w:rPr>
          <w:rFonts w:hint="eastAsia" w:ascii="仿宋_GB2312" w:eastAsia="仿宋_GB2312" w:hAnsiTheme="minorEastAsia" w:cstheme="minorEastAsia"/>
          <w:color w:val="auto"/>
          <w:sz w:val="32"/>
          <w:szCs w:val="32"/>
          <w:lang w:eastAsia="zh-CN"/>
        </w:rPr>
        <w:t>如合同不具有继续履行的条件或合同继续履行有重大变更情况的，双方可解除合同；如合同任何一方在不可抗力发生后的5个工作日内无异议，则双方应对继续履行合同。</w:t>
      </w:r>
    </w:p>
    <w:p w14:paraId="58B942CB">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hAnsi="宋体" w:eastAsia="仿宋_GB2312" w:cs="宋体"/>
          <w:b/>
          <w:bCs/>
          <w:color w:val="auto"/>
          <w:sz w:val="32"/>
          <w:szCs w:val="32"/>
          <w:lang w:val="en-US" w:eastAsia="zh-CN"/>
        </w:rPr>
      </w:pPr>
      <w:r>
        <w:rPr>
          <w:rFonts w:hint="eastAsia" w:ascii="仿宋_GB2312" w:hAnsi="宋体" w:eastAsia="仿宋_GB2312" w:cs="宋体"/>
          <w:b/>
          <w:bCs/>
          <w:color w:val="auto"/>
          <w:sz w:val="32"/>
          <w:szCs w:val="32"/>
        </w:rPr>
        <w:t>第</w:t>
      </w:r>
      <w:r>
        <w:rPr>
          <w:rFonts w:hint="eastAsia" w:ascii="仿宋_GB2312" w:hAnsi="宋体" w:eastAsia="仿宋_GB2312" w:cs="宋体"/>
          <w:b/>
          <w:bCs/>
          <w:color w:val="auto"/>
          <w:sz w:val="32"/>
          <w:szCs w:val="32"/>
          <w:lang w:eastAsia="zh-CN"/>
        </w:rPr>
        <w:t>十</w:t>
      </w:r>
      <w:r>
        <w:rPr>
          <w:rFonts w:hint="eastAsia" w:ascii="仿宋_GB2312" w:hAnsi="宋体" w:eastAsia="仿宋_GB2312" w:cs="宋体"/>
          <w:b/>
          <w:bCs/>
          <w:color w:val="auto"/>
          <w:sz w:val="32"/>
          <w:szCs w:val="32"/>
        </w:rPr>
        <w:t>条</w:t>
      </w:r>
      <w:r>
        <w:rPr>
          <w:rFonts w:hint="eastAsia" w:ascii="仿宋_GB2312" w:hAnsi="宋体" w:eastAsia="仿宋_GB2312" w:cs="宋体"/>
          <w:b/>
          <w:bCs/>
          <w:color w:val="auto"/>
          <w:sz w:val="32"/>
          <w:szCs w:val="32"/>
          <w:lang w:val="en-US" w:eastAsia="zh-CN"/>
        </w:rPr>
        <w:t xml:space="preserve"> </w:t>
      </w:r>
      <w:r>
        <w:rPr>
          <w:rFonts w:hint="eastAsia" w:ascii="仿宋_GB2312" w:hAnsi="宋体" w:eastAsia="仿宋_GB2312" w:cs="宋体"/>
          <w:b/>
          <w:bCs/>
          <w:color w:val="auto"/>
          <w:sz w:val="32"/>
          <w:szCs w:val="32"/>
        </w:rPr>
        <w:t>合同变更和终止</w:t>
      </w:r>
      <w:r>
        <w:rPr>
          <w:rFonts w:hint="eastAsia" w:ascii="仿宋_GB2312" w:hAnsi="宋体" w:eastAsia="仿宋_GB2312" w:cs="宋体"/>
          <w:b/>
          <w:bCs/>
          <w:color w:val="auto"/>
          <w:sz w:val="32"/>
          <w:szCs w:val="32"/>
          <w:lang w:val="en-US" w:eastAsia="zh-CN"/>
        </w:rPr>
        <w:t xml:space="preserve"> </w:t>
      </w:r>
    </w:p>
    <w:p w14:paraId="63BC01E0">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1、在合同履行期间,甲方需增加或减少保安人员时,应于每月末前5日内与乙方协商,乙方在下月初对保安人员进行增减调整。并根据调整签订补充合同。</w:t>
      </w:r>
    </w:p>
    <w:p w14:paraId="79DFA896">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ascii="仿宋_GB2312" w:hAnsi="宋体" w:eastAsia="仿宋_GB2312" w:cs="宋体"/>
          <w:color w:val="auto"/>
          <w:sz w:val="32"/>
          <w:szCs w:val="32"/>
        </w:rPr>
      </w:pPr>
      <w:r>
        <w:rPr>
          <w:rFonts w:hint="eastAsia" w:ascii="仿宋_GB2312" w:hAnsi="宋体" w:eastAsia="仿宋_GB2312" w:cs="宋体"/>
          <w:color w:val="auto"/>
          <w:sz w:val="32"/>
          <w:szCs w:val="32"/>
        </w:rPr>
        <w:t>2、本合同履行期间,合同无法履行终止、解除合同的,须提前一个月书面告知对方,经双方协商一致后方可终止本合同。</w:t>
      </w:r>
    </w:p>
    <w:p w14:paraId="7F11EBE8">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hAnsi="宋体" w:eastAsia="仿宋_GB2312" w:cs="宋体"/>
          <w:color w:val="auto"/>
          <w:sz w:val="32"/>
          <w:szCs w:val="32"/>
        </w:rPr>
      </w:pPr>
      <w:r>
        <w:rPr>
          <w:rFonts w:hint="eastAsia" w:ascii="仿宋_GB2312" w:hAnsi="宋体" w:eastAsia="仿宋_GB2312" w:cs="宋体"/>
          <w:b/>
          <w:bCs/>
          <w:color w:val="auto"/>
          <w:sz w:val="32"/>
          <w:szCs w:val="32"/>
        </w:rPr>
        <w:t>第十</w:t>
      </w:r>
      <w:r>
        <w:rPr>
          <w:rFonts w:hint="eastAsia" w:ascii="仿宋_GB2312" w:hAnsi="宋体" w:eastAsia="仿宋_GB2312" w:cs="宋体"/>
          <w:b/>
          <w:bCs/>
          <w:color w:val="auto"/>
          <w:sz w:val="32"/>
          <w:szCs w:val="32"/>
          <w:lang w:eastAsia="zh-CN"/>
        </w:rPr>
        <w:t>一</w:t>
      </w:r>
      <w:r>
        <w:rPr>
          <w:rFonts w:hint="eastAsia" w:ascii="仿宋_GB2312" w:hAnsi="宋体" w:eastAsia="仿宋_GB2312" w:cs="宋体"/>
          <w:b/>
          <w:bCs/>
          <w:color w:val="auto"/>
          <w:sz w:val="32"/>
          <w:szCs w:val="32"/>
        </w:rPr>
        <w:t>条</w:t>
      </w:r>
      <w:r>
        <w:rPr>
          <w:rFonts w:hint="eastAsia" w:ascii="仿宋_GB2312" w:hAnsi="宋体" w:eastAsia="仿宋_GB2312" w:cs="宋体"/>
          <w:b/>
          <w:bCs/>
          <w:color w:val="auto"/>
          <w:sz w:val="32"/>
          <w:szCs w:val="32"/>
          <w:lang w:val="en-US" w:eastAsia="zh-CN"/>
        </w:rPr>
        <w:t xml:space="preserve"> </w:t>
      </w:r>
      <w:r>
        <w:rPr>
          <w:rFonts w:hint="eastAsia" w:ascii="仿宋_GB2312" w:hAnsi="宋体" w:eastAsia="仿宋_GB2312" w:cs="宋体"/>
          <w:color w:val="auto"/>
          <w:sz w:val="32"/>
          <w:szCs w:val="32"/>
        </w:rPr>
        <w:t>本合同未尽事宜,甲、乙双方可签订补充合同明确,补充协议与本合同具有同等法律效力。</w:t>
      </w:r>
    </w:p>
    <w:p w14:paraId="7975CE78">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hAnsi="宋体" w:eastAsia="仿宋_GB2312" w:cs="宋体"/>
          <w:color w:val="auto"/>
          <w:sz w:val="32"/>
          <w:szCs w:val="32"/>
        </w:rPr>
      </w:pPr>
      <w:r>
        <w:rPr>
          <w:rFonts w:hint="eastAsia" w:ascii="仿宋_GB2312" w:hAnsi="宋体" w:eastAsia="仿宋_GB2312" w:cs="宋体"/>
          <w:b/>
          <w:bCs/>
          <w:color w:val="auto"/>
          <w:sz w:val="32"/>
          <w:szCs w:val="32"/>
        </w:rPr>
        <w:t>第十</w:t>
      </w:r>
      <w:r>
        <w:rPr>
          <w:rFonts w:hint="eastAsia" w:ascii="仿宋_GB2312" w:hAnsi="宋体" w:eastAsia="仿宋_GB2312" w:cs="宋体"/>
          <w:b/>
          <w:bCs/>
          <w:color w:val="auto"/>
          <w:sz w:val="32"/>
          <w:szCs w:val="32"/>
          <w:lang w:eastAsia="zh-CN"/>
        </w:rPr>
        <w:t>二</w:t>
      </w:r>
      <w:r>
        <w:rPr>
          <w:rFonts w:hint="eastAsia" w:ascii="仿宋_GB2312" w:hAnsi="宋体" w:eastAsia="仿宋_GB2312" w:cs="宋体"/>
          <w:b/>
          <w:bCs/>
          <w:color w:val="auto"/>
          <w:sz w:val="32"/>
          <w:szCs w:val="32"/>
        </w:rPr>
        <w:t>条</w:t>
      </w:r>
      <w:r>
        <w:rPr>
          <w:rFonts w:hint="eastAsia" w:ascii="仿宋_GB2312" w:hAnsi="宋体" w:eastAsia="仿宋_GB2312" w:cs="宋体"/>
          <w:b/>
          <w:bCs/>
          <w:color w:val="auto"/>
          <w:sz w:val="32"/>
          <w:szCs w:val="32"/>
          <w:lang w:val="en-US" w:eastAsia="zh-CN"/>
        </w:rPr>
        <w:t xml:space="preserve"> </w:t>
      </w:r>
      <w:r>
        <w:rPr>
          <w:rFonts w:hint="eastAsia" w:ascii="仿宋_GB2312" w:hAnsi="宋体" w:eastAsia="仿宋_GB2312" w:cs="宋体"/>
          <w:color w:val="auto"/>
          <w:sz w:val="32"/>
          <w:szCs w:val="32"/>
        </w:rPr>
        <w:t>争议解决:因本合同引起的争议，甲、乙双方应当首先通过友好协商解决，如果协商或调解不能解决争议，可通过向人民法院提出诉讼解决。</w:t>
      </w:r>
    </w:p>
    <w:p w14:paraId="39F1FF2A">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ascii="仿宋_GB2312" w:eastAsia="仿宋_GB2312"/>
          <w:color w:val="auto"/>
          <w:sz w:val="32"/>
          <w:szCs w:val="32"/>
        </w:rPr>
      </w:pPr>
      <w:r>
        <w:rPr>
          <w:rFonts w:hint="eastAsia" w:ascii="仿宋_GB2312" w:hAnsi="宋体" w:eastAsia="仿宋_GB2312" w:cs="宋体"/>
          <w:b/>
          <w:bCs/>
          <w:color w:val="auto"/>
          <w:sz w:val="32"/>
          <w:szCs w:val="32"/>
        </w:rPr>
        <w:t>第十</w:t>
      </w:r>
      <w:r>
        <w:rPr>
          <w:rFonts w:hint="eastAsia" w:ascii="仿宋_GB2312" w:hAnsi="宋体" w:eastAsia="仿宋_GB2312" w:cs="宋体"/>
          <w:b/>
          <w:bCs/>
          <w:color w:val="auto"/>
          <w:sz w:val="32"/>
          <w:szCs w:val="32"/>
          <w:lang w:eastAsia="zh-CN"/>
        </w:rPr>
        <w:t>三</w:t>
      </w:r>
      <w:r>
        <w:rPr>
          <w:rFonts w:hint="eastAsia" w:ascii="仿宋_GB2312" w:hAnsi="宋体" w:eastAsia="仿宋_GB2312" w:cs="宋体"/>
          <w:b/>
          <w:bCs/>
          <w:color w:val="auto"/>
          <w:sz w:val="32"/>
          <w:szCs w:val="32"/>
        </w:rPr>
        <w:t>条</w:t>
      </w:r>
      <w:r>
        <w:rPr>
          <w:rFonts w:hint="eastAsia" w:ascii="仿宋_GB2312" w:hAnsi="宋体" w:eastAsia="仿宋_GB2312" w:cs="宋体"/>
          <w:b/>
          <w:bCs/>
          <w:color w:val="auto"/>
          <w:sz w:val="32"/>
          <w:szCs w:val="32"/>
          <w:lang w:val="en-US" w:eastAsia="zh-CN"/>
        </w:rPr>
        <w:t xml:space="preserve"> </w:t>
      </w:r>
      <w:r>
        <w:rPr>
          <w:rFonts w:hint="eastAsia" w:ascii="仿宋_GB2312" w:hAnsi="宋体" w:eastAsia="仿宋_GB2312" w:cs="宋体"/>
          <w:color w:val="auto"/>
          <w:sz w:val="32"/>
          <w:szCs w:val="32"/>
        </w:rPr>
        <w:t>本合同一式</w:t>
      </w:r>
      <w:r>
        <w:rPr>
          <w:rFonts w:hint="eastAsia" w:ascii="仿宋_GB2312" w:hAnsi="宋体" w:eastAsia="仿宋_GB2312" w:cs="宋体"/>
          <w:color w:val="auto"/>
          <w:sz w:val="32"/>
          <w:szCs w:val="32"/>
          <w:lang w:eastAsia="zh-CN"/>
        </w:rPr>
        <w:t>肆</w:t>
      </w:r>
      <w:r>
        <w:rPr>
          <w:rFonts w:hint="eastAsia" w:ascii="仿宋_GB2312" w:hAnsi="宋体" w:eastAsia="仿宋_GB2312" w:cs="宋体"/>
          <w:color w:val="auto"/>
          <w:sz w:val="32"/>
          <w:szCs w:val="32"/>
        </w:rPr>
        <w:t>份,甲乙双方各执</w:t>
      </w:r>
      <w:r>
        <w:rPr>
          <w:rFonts w:hint="eastAsia" w:ascii="仿宋_GB2312" w:hAnsi="宋体" w:eastAsia="仿宋_GB2312" w:cs="宋体"/>
          <w:color w:val="auto"/>
          <w:sz w:val="32"/>
          <w:szCs w:val="32"/>
          <w:lang w:eastAsia="zh-CN"/>
        </w:rPr>
        <w:t>贰</w:t>
      </w:r>
      <w:r>
        <w:rPr>
          <w:rFonts w:hint="eastAsia" w:ascii="仿宋_GB2312" w:hAnsi="宋体" w:eastAsia="仿宋_GB2312" w:cs="宋体"/>
          <w:color w:val="auto"/>
          <w:sz w:val="32"/>
          <w:szCs w:val="32"/>
        </w:rPr>
        <w:t>份,</w:t>
      </w:r>
      <w:r>
        <w:rPr>
          <w:rFonts w:hint="eastAsia" w:ascii="仿宋_GB2312" w:eastAsia="仿宋_GB2312"/>
          <w:color w:val="auto"/>
          <w:sz w:val="32"/>
          <w:szCs w:val="32"/>
        </w:rPr>
        <w:t>本合同自</w:t>
      </w:r>
      <w:r>
        <w:rPr>
          <w:rFonts w:hint="eastAsia" w:ascii="仿宋_GB2312" w:eastAsia="仿宋_GB2312"/>
          <w:color w:val="auto"/>
          <w:sz w:val="32"/>
          <w:szCs w:val="32"/>
          <w:lang w:eastAsia="zh-CN"/>
        </w:rPr>
        <w:t>双</w:t>
      </w:r>
      <w:r>
        <w:rPr>
          <w:rFonts w:hint="eastAsia" w:ascii="仿宋_GB2312" w:eastAsia="仿宋_GB2312"/>
          <w:color w:val="auto"/>
          <w:sz w:val="32"/>
          <w:szCs w:val="32"/>
        </w:rPr>
        <w:t>方共同签订之日起生效。</w:t>
      </w:r>
    </w:p>
    <w:p w14:paraId="2A6FC3AA">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eastAsia="仿宋_GB2312"/>
          <w:color w:val="auto"/>
          <w:sz w:val="32"/>
          <w:szCs w:val="32"/>
        </w:rPr>
      </w:pPr>
      <w:r>
        <w:rPr>
          <w:rFonts w:hint="eastAsia" w:ascii="仿宋_GB2312" w:hAnsi="宋体" w:eastAsia="仿宋_GB2312" w:cs="宋体"/>
          <w:b/>
          <w:bCs/>
          <w:color w:val="auto"/>
          <w:sz w:val="32"/>
          <w:szCs w:val="32"/>
        </w:rPr>
        <w:t>第十</w:t>
      </w:r>
      <w:r>
        <w:rPr>
          <w:rFonts w:hint="eastAsia" w:ascii="仿宋_GB2312" w:hAnsi="宋体" w:eastAsia="仿宋_GB2312" w:cs="宋体"/>
          <w:b/>
          <w:bCs/>
          <w:color w:val="auto"/>
          <w:sz w:val="32"/>
          <w:szCs w:val="32"/>
          <w:lang w:eastAsia="zh-CN"/>
        </w:rPr>
        <w:t>四</w:t>
      </w:r>
      <w:r>
        <w:rPr>
          <w:rFonts w:hint="eastAsia" w:ascii="仿宋_GB2312" w:hAnsi="宋体" w:eastAsia="仿宋_GB2312" w:cs="宋体"/>
          <w:b/>
          <w:bCs/>
          <w:color w:val="auto"/>
          <w:sz w:val="32"/>
          <w:szCs w:val="32"/>
        </w:rPr>
        <w:t>条</w:t>
      </w:r>
      <w:r>
        <w:rPr>
          <w:rFonts w:hint="eastAsia" w:ascii="仿宋_GB2312" w:eastAsia="仿宋_GB2312"/>
          <w:b/>
          <w:color w:val="auto"/>
          <w:sz w:val="32"/>
          <w:szCs w:val="32"/>
        </w:rPr>
        <w:t xml:space="preserve"> 本合同不可分割之部分及解释顺序</w:t>
      </w:r>
      <w:r>
        <w:rPr>
          <w:rFonts w:hint="eastAsia" w:ascii="仿宋_GB2312" w:eastAsia="仿宋_GB2312"/>
          <w:color w:val="auto"/>
          <w:sz w:val="32"/>
          <w:szCs w:val="32"/>
        </w:rPr>
        <w:br w:type="textWrapping"/>
      </w:r>
      <w:r>
        <w:rPr>
          <w:rFonts w:hint="eastAsia" w:ascii="仿宋_GB2312" w:eastAsia="仿宋_GB2312"/>
          <w:color w:val="auto"/>
          <w:sz w:val="32"/>
          <w:szCs w:val="32"/>
        </w:rPr>
        <w:t xml:space="preserve">    1.合同书及附件;</w:t>
      </w:r>
      <w:r>
        <w:rPr>
          <w:rFonts w:hint="eastAsia" w:ascii="仿宋_GB2312" w:eastAsia="仿宋_GB2312"/>
          <w:color w:val="auto"/>
          <w:sz w:val="32"/>
          <w:szCs w:val="32"/>
        </w:rPr>
        <w:br w:type="textWrapping"/>
      </w:r>
      <w:r>
        <w:rPr>
          <w:rFonts w:hint="eastAsia" w:ascii="仿宋_GB2312" w:eastAsia="仿宋_GB2312"/>
          <w:color w:val="auto"/>
          <w:sz w:val="32"/>
          <w:szCs w:val="32"/>
        </w:rPr>
        <w:t xml:space="preserve">    2.中标通知书</w:t>
      </w:r>
      <w:r>
        <w:rPr>
          <w:rFonts w:hint="eastAsia" w:ascii="仿宋_GB2312" w:eastAsia="仿宋_GB2312"/>
          <w:color w:val="auto"/>
          <w:sz w:val="32"/>
          <w:szCs w:val="32"/>
          <w:lang w:eastAsia="zh-CN"/>
        </w:rPr>
        <w:t>；</w:t>
      </w:r>
      <w:r>
        <w:rPr>
          <w:rFonts w:hint="eastAsia" w:ascii="仿宋_GB2312" w:eastAsia="仿宋_GB2312"/>
          <w:color w:val="auto"/>
          <w:sz w:val="32"/>
          <w:szCs w:val="32"/>
        </w:rPr>
        <w:br w:type="textWrapping"/>
      </w:r>
      <w:r>
        <w:rPr>
          <w:rFonts w:hint="eastAsia" w:ascii="仿宋_GB2312" w:eastAsia="仿宋_GB2312"/>
          <w:color w:val="auto"/>
          <w:sz w:val="32"/>
          <w:szCs w:val="32"/>
        </w:rPr>
        <w:t xml:space="preserve">    3.中标人投标文件及澄清或谈判文件</w:t>
      </w:r>
      <w:r>
        <w:rPr>
          <w:rFonts w:hint="eastAsia" w:ascii="仿宋_GB2312" w:eastAsia="仿宋_GB2312"/>
          <w:color w:val="auto"/>
          <w:sz w:val="32"/>
          <w:szCs w:val="32"/>
          <w:lang w:eastAsia="zh-CN"/>
        </w:rPr>
        <w:t>；</w:t>
      </w:r>
      <w:r>
        <w:rPr>
          <w:rFonts w:hint="eastAsia" w:ascii="仿宋_GB2312" w:eastAsia="仿宋_GB2312"/>
          <w:color w:val="auto"/>
          <w:sz w:val="32"/>
          <w:szCs w:val="32"/>
        </w:rPr>
        <w:br w:type="textWrapping"/>
      </w:r>
      <w:r>
        <w:rPr>
          <w:rFonts w:hint="eastAsia" w:ascii="仿宋_GB2312" w:eastAsia="仿宋_GB2312"/>
          <w:color w:val="auto"/>
          <w:sz w:val="32"/>
          <w:szCs w:val="32"/>
        </w:rPr>
        <w:t xml:space="preserve">    4.招标文件。</w:t>
      </w:r>
    </w:p>
    <w:p w14:paraId="56E9878C">
      <w:pPr>
        <w:keepNext w:val="0"/>
        <w:keepLines w:val="0"/>
        <w:pageBreakBefore w:val="0"/>
        <w:widowControl w:val="0"/>
        <w:kinsoku/>
        <w:wordWrap/>
        <w:overflowPunct/>
        <w:topLinePunct w:val="0"/>
        <w:autoSpaceDE/>
        <w:bidi w:val="0"/>
        <w:adjustRightInd/>
        <w:snapToGrid/>
        <w:spacing w:line="560" w:lineRule="exact"/>
        <w:ind w:firstLine="640" w:firstLineChars="200"/>
        <w:jc w:val="center"/>
        <w:textAlignment w:val="auto"/>
        <w:rPr>
          <w:rFonts w:hint="eastAsia" w:ascii="仿宋_GB2312" w:hAnsi="Times New Roman" w:eastAsia="仿宋_GB2312" w:cs="Times New Roman"/>
          <w:color w:val="auto"/>
          <w:sz w:val="32"/>
          <w:szCs w:val="32"/>
          <w:lang w:eastAsia="zh-CN"/>
        </w:rPr>
      </w:pPr>
    </w:p>
    <w:p w14:paraId="003844A6">
      <w:pPr>
        <w:keepNext w:val="0"/>
        <w:keepLines w:val="0"/>
        <w:pageBreakBefore w:val="0"/>
        <w:widowControl w:val="0"/>
        <w:kinsoku/>
        <w:wordWrap/>
        <w:overflowPunct/>
        <w:topLinePunct w:val="0"/>
        <w:autoSpaceDE/>
        <w:bidi w:val="0"/>
        <w:adjustRightInd/>
        <w:snapToGrid/>
        <w:spacing w:line="560" w:lineRule="exact"/>
        <w:ind w:firstLine="640" w:firstLineChars="200"/>
        <w:jc w:val="center"/>
        <w:textAlignment w:val="auto"/>
        <w:rPr>
          <w:rFonts w:hint="eastAsia" w:ascii="仿宋_GB2312" w:hAnsi="Times New Roman" w:eastAsia="仿宋_GB2312" w:cs="Times New Roman"/>
          <w:color w:val="auto"/>
          <w:sz w:val="32"/>
          <w:szCs w:val="32"/>
          <w:lang w:eastAsia="zh-CN"/>
        </w:rPr>
      </w:pPr>
    </w:p>
    <w:p w14:paraId="1D186840">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_GB2312" w:eastAsia="仿宋_GB2312"/>
          <w:b/>
          <w:bCs/>
          <w:color w:val="auto"/>
          <w:sz w:val="32"/>
          <w:szCs w:val="32"/>
        </w:rPr>
      </w:pPr>
      <w:r>
        <w:rPr>
          <w:rFonts w:hint="eastAsia" w:ascii="仿宋_GB2312" w:hAnsi="Times New Roman" w:eastAsia="仿宋_GB2312" w:cs="Times New Roman"/>
          <w:b/>
          <w:bCs/>
          <w:color w:val="auto"/>
          <w:sz w:val="32"/>
          <w:szCs w:val="32"/>
          <w:lang w:eastAsia="zh-CN"/>
        </w:rPr>
        <w:t>（</w:t>
      </w:r>
      <w:r>
        <w:rPr>
          <w:rFonts w:hint="eastAsia" w:ascii="仿宋_GB2312" w:hAnsi="Times New Roman" w:eastAsia="仿宋_GB2312" w:cs="Times New Roman"/>
          <w:b/>
          <w:bCs/>
          <w:color w:val="auto"/>
          <w:sz w:val="32"/>
          <w:szCs w:val="32"/>
          <w:lang w:val="en-US" w:eastAsia="zh-CN"/>
        </w:rPr>
        <w:t>以下无正文，为双方签订页</w:t>
      </w:r>
      <w:r>
        <w:rPr>
          <w:rFonts w:hint="eastAsia" w:ascii="仿宋_GB2312" w:hAnsi="Times New Roman" w:eastAsia="仿宋_GB2312" w:cs="Times New Roman"/>
          <w:b/>
          <w:bCs/>
          <w:color w:val="auto"/>
          <w:sz w:val="32"/>
          <w:szCs w:val="32"/>
          <w:lang w:eastAsia="zh-CN"/>
        </w:rPr>
        <w:t>）</w:t>
      </w:r>
    </w:p>
    <w:p w14:paraId="2661DEAE">
      <w:pPr>
        <w:rPr>
          <w:rFonts w:hint="eastAsia"/>
        </w:rPr>
      </w:pPr>
    </w:p>
    <w:tbl>
      <w:tblPr>
        <w:tblStyle w:val="8"/>
        <w:tblpPr w:leftFromText="180" w:rightFromText="180" w:vertAnchor="text" w:horzAnchor="page" w:tblpX="1684" w:tblpY="462"/>
        <w:tblOverlap w:val="never"/>
        <w:tblW w:w="90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834"/>
      </w:tblGrid>
      <w:tr w14:paraId="0B64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Borders>
              <w:top w:val="nil"/>
              <w:left w:val="nil"/>
              <w:bottom w:val="nil"/>
              <w:right w:val="nil"/>
            </w:tcBorders>
          </w:tcPr>
          <w:p w14:paraId="64B07A3C">
            <w:pPr>
              <w:spacing w:line="560" w:lineRule="exact"/>
              <w:rPr>
                <w:rFonts w:hint="eastAsia" w:ascii="仿宋_GB2312" w:hAnsi="Times New Roman" w:eastAsia="仿宋_GB2312" w:cs="Times New Roman"/>
                <w:b/>
                <w:bCs/>
                <w:color w:val="auto"/>
                <w:sz w:val="32"/>
                <w:szCs w:val="32"/>
                <w:lang w:eastAsia="zh-CN"/>
              </w:rPr>
            </w:pPr>
          </w:p>
          <w:p w14:paraId="616CF74E">
            <w:pPr>
              <w:spacing w:line="560" w:lineRule="exact"/>
              <w:rPr>
                <w:rFonts w:hint="eastAsia" w:ascii="仿宋_GB2312" w:hAnsi="Times New Roman" w:eastAsia="仿宋_GB2312" w:cs="Times New Roman"/>
                <w:b/>
                <w:bCs/>
                <w:color w:val="auto"/>
                <w:sz w:val="32"/>
                <w:szCs w:val="32"/>
              </w:rPr>
            </w:pPr>
          </w:p>
          <w:p w14:paraId="5DE19A60">
            <w:pPr>
              <w:spacing w:line="560" w:lineRule="exact"/>
              <w:rPr>
                <w:rFonts w:hint="eastAsia" w:ascii="仿宋_GB2312" w:hAnsi="Times New Roman" w:eastAsia="仿宋_GB2312" w:cs="Times New Roman"/>
                <w:b/>
                <w:bCs/>
                <w:color w:val="auto"/>
                <w:sz w:val="32"/>
                <w:szCs w:val="32"/>
              </w:rPr>
            </w:pPr>
          </w:p>
          <w:p w14:paraId="3FCA88D9">
            <w:pPr>
              <w:spacing w:line="560" w:lineRule="exact"/>
              <w:rPr>
                <w:rFonts w:hint="eastAsia" w:ascii="仿宋_GB2312" w:hAnsi="Times New Roman" w:eastAsia="仿宋_GB2312" w:cs="Times New Roman"/>
                <w:b/>
                <w:bCs/>
                <w:color w:val="auto"/>
                <w:sz w:val="32"/>
                <w:szCs w:val="32"/>
              </w:rPr>
            </w:pPr>
          </w:p>
          <w:p w14:paraId="61CC7DBF">
            <w:pPr>
              <w:spacing w:line="560" w:lineRule="exact"/>
              <w:rPr>
                <w:rFonts w:ascii="仿宋_GB2312" w:hAnsi="Times New Roman" w:eastAsia="仿宋_GB2312" w:cs="Times New Roman"/>
                <w:b/>
                <w:bCs/>
                <w:color w:val="auto"/>
                <w:sz w:val="32"/>
                <w:szCs w:val="32"/>
              </w:rPr>
            </w:pPr>
            <w:r>
              <w:rPr>
                <w:rFonts w:hint="eastAsia" w:ascii="仿宋_GB2312" w:hAnsi="Times New Roman" w:eastAsia="仿宋_GB2312" w:cs="Times New Roman"/>
                <w:b/>
                <w:bCs/>
                <w:color w:val="auto"/>
                <w:sz w:val="32"/>
                <w:szCs w:val="32"/>
              </w:rPr>
              <w:t>甲方:景洪市人民法院</w:t>
            </w:r>
          </w:p>
        </w:tc>
        <w:tc>
          <w:tcPr>
            <w:tcW w:w="4834" w:type="dxa"/>
            <w:tcBorders>
              <w:top w:val="nil"/>
              <w:left w:val="nil"/>
              <w:bottom w:val="nil"/>
              <w:right w:val="nil"/>
            </w:tcBorders>
          </w:tcPr>
          <w:p w14:paraId="6D84E84C">
            <w:pPr>
              <w:spacing w:line="560" w:lineRule="exact"/>
              <w:ind w:left="609" w:leftChars="290" w:firstLine="0" w:firstLineChars="0"/>
              <w:rPr>
                <w:rFonts w:hint="eastAsia" w:ascii="仿宋_GB2312" w:hAnsi="Times New Roman" w:eastAsia="仿宋_GB2312" w:cs="Times New Roman"/>
                <w:b/>
                <w:bCs/>
                <w:color w:val="auto"/>
                <w:sz w:val="32"/>
                <w:szCs w:val="32"/>
              </w:rPr>
            </w:pPr>
          </w:p>
          <w:p w14:paraId="67C43A60">
            <w:pPr>
              <w:spacing w:line="560" w:lineRule="exact"/>
              <w:ind w:left="609" w:leftChars="290" w:firstLine="0" w:firstLineChars="0"/>
              <w:rPr>
                <w:rFonts w:hint="eastAsia" w:ascii="仿宋_GB2312" w:hAnsi="Times New Roman" w:eastAsia="仿宋_GB2312" w:cs="Times New Roman"/>
                <w:b/>
                <w:bCs/>
                <w:color w:val="auto"/>
                <w:sz w:val="32"/>
                <w:szCs w:val="32"/>
              </w:rPr>
            </w:pPr>
          </w:p>
          <w:p w14:paraId="42037E5B">
            <w:pPr>
              <w:spacing w:line="560" w:lineRule="exact"/>
              <w:ind w:left="609" w:leftChars="290" w:firstLine="0" w:firstLineChars="0"/>
              <w:rPr>
                <w:rFonts w:hint="eastAsia" w:ascii="仿宋_GB2312" w:hAnsi="Times New Roman" w:eastAsia="仿宋_GB2312" w:cs="Times New Roman"/>
                <w:b/>
                <w:bCs/>
                <w:color w:val="auto"/>
                <w:sz w:val="32"/>
                <w:szCs w:val="32"/>
              </w:rPr>
            </w:pPr>
          </w:p>
          <w:p w14:paraId="06A5F6E0">
            <w:pPr>
              <w:spacing w:line="560" w:lineRule="exact"/>
              <w:ind w:left="609" w:leftChars="290" w:firstLine="0" w:firstLineChars="0"/>
              <w:rPr>
                <w:rFonts w:hint="eastAsia" w:ascii="仿宋_GB2312" w:hAnsi="Times New Roman" w:eastAsia="仿宋_GB2312" w:cs="Times New Roman"/>
                <w:b/>
                <w:bCs/>
                <w:color w:val="auto"/>
                <w:sz w:val="32"/>
                <w:szCs w:val="32"/>
              </w:rPr>
            </w:pPr>
          </w:p>
          <w:p w14:paraId="20CEC2CE">
            <w:pPr>
              <w:spacing w:line="560" w:lineRule="exact"/>
              <w:ind w:left="638" w:leftChars="304" w:firstLine="0" w:firstLineChars="0"/>
              <w:rPr>
                <w:rFonts w:ascii="仿宋_GB2312" w:hAnsi="Times New Roman" w:eastAsia="仿宋_GB2312" w:cs="Times New Roman"/>
                <w:b/>
                <w:bCs/>
                <w:color w:val="auto"/>
                <w:sz w:val="32"/>
                <w:szCs w:val="32"/>
              </w:rPr>
            </w:pPr>
            <w:r>
              <w:rPr>
                <w:rFonts w:hint="eastAsia" w:ascii="仿宋_GB2312" w:hAnsi="Times New Roman" w:eastAsia="仿宋_GB2312" w:cs="Times New Roman"/>
                <w:b/>
                <w:bCs/>
                <w:color w:val="auto"/>
                <w:sz w:val="32"/>
                <w:szCs w:val="32"/>
              </w:rPr>
              <w:t>乙方:云南</w:t>
            </w:r>
            <w:r>
              <w:rPr>
                <w:rFonts w:hint="eastAsia" w:ascii="仿宋_GB2312" w:hAnsi="Times New Roman" w:eastAsia="仿宋_GB2312" w:cs="Times New Roman"/>
                <w:b/>
                <w:bCs/>
                <w:color w:val="auto"/>
                <w:sz w:val="32"/>
                <w:szCs w:val="32"/>
                <w:lang w:eastAsia="zh-CN"/>
              </w:rPr>
              <w:t>精卫保安服务</w:t>
            </w:r>
            <w:r>
              <w:rPr>
                <w:rFonts w:hint="eastAsia" w:ascii="仿宋_GB2312" w:hAnsi="Times New Roman" w:eastAsia="仿宋_GB2312" w:cs="Times New Roman"/>
                <w:b/>
                <w:bCs/>
                <w:color w:val="auto"/>
                <w:sz w:val="32"/>
                <w:szCs w:val="32"/>
              </w:rPr>
              <w:t>有限公司</w:t>
            </w:r>
          </w:p>
        </w:tc>
      </w:tr>
      <w:tr w14:paraId="195D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Borders>
              <w:top w:val="nil"/>
              <w:left w:val="nil"/>
              <w:bottom w:val="nil"/>
              <w:right w:val="nil"/>
            </w:tcBorders>
          </w:tcPr>
          <w:p w14:paraId="51E9014E">
            <w:pPr>
              <w:spacing w:line="560" w:lineRule="exact"/>
              <w:rPr>
                <w:rFonts w:ascii="仿宋_GB2312" w:hAnsi="Times New Roman" w:eastAsia="仿宋_GB2312" w:cs="Times New Roman"/>
                <w:b/>
                <w:bCs/>
                <w:color w:val="auto"/>
                <w:sz w:val="32"/>
                <w:szCs w:val="32"/>
              </w:rPr>
            </w:pPr>
            <w:r>
              <w:rPr>
                <w:rFonts w:hint="eastAsia" w:ascii="仿宋_GB2312" w:hAnsi="Times New Roman" w:eastAsia="仿宋_GB2312" w:cs="Times New Roman"/>
                <w:b/>
                <w:bCs/>
                <w:color w:val="auto"/>
                <w:sz w:val="32"/>
                <w:szCs w:val="32"/>
              </w:rPr>
              <w:t>地址: 云南省景洪市么龙路17号</w:t>
            </w:r>
          </w:p>
        </w:tc>
        <w:tc>
          <w:tcPr>
            <w:tcW w:w="4834" w:type="dxa"/>
            <w:tcBorders>
              <w:top w:val="nil"/>
              <w:left w:val="nil"/>
              <w:bottom w:val="nil"/>
              <w:right w:val="nil"/>
            </w:tcBorders>
          </w:tcPr>
          <w:p w14:paraId="7C46860E">
            <w:pPr>
              <w:spacing w:line="560" w:lineRule="exact"/>
              <w:ind w:left="609" w:leftChars="290" w:firstLine="0" w:firstLineChars="0"/>
              <w:rPr>
                <w:rFonts w:hint="default" w:ascii="仿宋_GB2312" w:hAnsi="Times New Roman" w:eastAsia="仿宋_GB2312" w:cs="Times New Roman"/>
                <w:b/>
                <w:bCs/>
                <w:color w:val="auto"/>
                <w:sz w:val="32"/>
                <w:szCs w:val="32"/>
                <w:lang w:val="en-US" w:eastAsia="zh-CN"/>
              </w:rPr>
            </w:pPr>
            <w:r>
              <w:rPr>
                <w:rFonts w:hint="eastAsia" w:ascii="仿宋_GB2312" w:hAnsi="Times New Roman" w:eastAsia="仿宋_GB2312" w:cs="Times New Roman"/>
                <w:b/>
                <w:bCs/>
                <w:color w:val="auto"/>
                <w:sz w:val="32"/>
                <w:szCs w:val="32"/>
              </w:rPr>
              <w:t>地址:</w:t>
            </w:r>
            <w:r>
              <w:rPr>
                <w:rFonts w:hint="eastAsia" w:ascii="仿宋_GB2312" w:hAnsi="Times New Roman" w:eastAsia="仿宋_GB2312" w:cs="Times New Roman"/>
                <w:b/>
                <w:bCs/>
                <w:color w:val="auto"/>
                <w:sz w:val="32"/>
                <w:szCs w:val="32"/>
                <w:lang w:eastAsia="zh-CN"/>
              </w:rPr>
              <w:t>景洪市山水云天</w:t>
            </w:r>
            <w:r>
              <w:rPr>
                <w:rFonts w:hint="eastAsia" w:ascii="仿宋_GB2312" w:hAnsi="Times New Roman" w:eastAsia="仿宋_GB2312" w:cs="Times New Roman"/>
                <w:b/>
                <w:bCs/>
                <w:color w:val="auto"/>
                <w:sz w:val="32"/>
                <w:szCs w:val="32"/>
                <w:lang w:val="en-US" w:eastAsia="zh-CN"/>
              </w:rPr>
              <w:t>1-6-1201</w:t>
            </w:r>
          </w:p>
        </w:tc>
      </w:tr>
      <w:tr w14:paraId="546E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Borders>
              <w:top w:val="nil"/>
              <w:left w:val="nil"/>
              <w:bottom w:val="nil"/>
              <w:right w:val="nil"/>
            </w:tcBorders>
          </w:tcPr>
          <w:p w14:paraId="5570B848">
            <w:pPr>
              <w:spacing w:line="560" w:lineRule="exact"/>
              <w:rPr>
                <w:rFonts w:hint="eastAsia" w:ascii="仿宋_GB2312" w:hAnsi="Times New Roman" w:eastAsia="仿宋_GB2312" w:cs="Times New Roman"/>
                <w:b/>
                <w:bCs/>
                <w:color w:val="auto"/>
                <w:sz w:val="32"/>
                <w:szCs w:val="32"/>
              </w:rPr>
            </w:pPr>
            <w:r>
              <w:rPr>
                <w:rFonts w:hint="eastAsia" w:ascii="仿宋_GB2312" w:hAnsi="Times New Roman" w:eastAsia="仿宋_GB2312" w:cs="Times New Roman"/>
                <w:b/>
                <w:bCs/>
                <w:color w:val="auto"/>
                <w:sz w:val="32"/>
                <w:szCs w:val="32"/>
              </w:rPr>
              <w:t>法定代表人</w:t>
            </w:r>
          </w:p>
          <w:p w14:paraId="0B422A32">
            <w:pPr>
              <w:spacing w:line="560" w:lineRule="exact"/>
              <w:rPr>
                <w:rFonts w:ascii="仿宋_GB2312" w:hAnsi="Times New Roman" w:eastAsia="仿宋_GB2312" w:cs="Times New Roman"/>
                <w:b/>
                <w:bCs/>
                <w:color w:val="auto"/>
                <w:sz w:val="32"/>
                <w:szCs w:val="32"/>
              </w:rPr>
            </w:pPr>
            <w:r>
              <w:rPr>
                <w:rFonts w:hint="eastAsia" w:ascii="仿宋_GB2312" w:hAnsi="Times New Roman" w:eastAsia="仿宋_GB2312" w:cs="Times New Roman"/>
                <w:b/>
                <w:bCs/>
                <w:color w:val="auto"/>
                <w:sz w:val="32"/>
                <w:szCs w:val="32"/>
              </w:rPr>
              <w:t xml:space="preserve">或授权委托人:                         </w:t>
            </w:r>
          </w:p>
        </w:tc>
        <w:tc>
          <w:tcPr>
            <w:tcW w:w="4834" w:type="dxa"/>
            <w:tcBorders>
              <w:top w:val="nil"/>
              <w:left w:val="nil"/>
              <w:bottom w:val="nil"/>
              <w:right w:val="nil"/>
            </w:tcBorders>
          </w:tcPr>
          <w:p w14:paraId="41C9F7E4">
            <w:pPr>
              <w:spacing w:line="560" w:lineRule="exact"/>
              <w:ind w:firstLine="643" w:firstLineChars="200"/>
              <w:rPr>
                <w:rFonts w:hint="eastAsia" w:ascii="仿宋_GB2312" w:hAnsi="Times New Roman" w:eastAsia="仿宋_GB2312" w:cs="Times New Roman"/>
                <w:b/>
                <w:bCs/>
                <w:color w:val="auto"/>
                <w:sz w:val="32"/>
                <w:szCs w:val="32"/>
              </w:rPr>
            </w:pPr>
            <w:r>
              <w:rPr>
                <w:rFonts w:hint="eastAsia" w:ascii="仿宋_GB2312" w:hAnsi="Times New Roman" w:eastAsia="仿宋_GB2312" w:cs="Times New Roman"/>
                <w:b/>
                <w:bCs/>
                <w:color w:val="auto"/>
                <w:sz w:val="32"/>
                <w:szCs w:val="32"/>
              </w:rPr>
              <w:t>法定代表人</w:t>
            </w:r>
          </w:p>
          <w:p w14:paraId="6B054461">
            <w:pPr>
              <w:spacing w:line="560" w:lineRule="exact"/>
              <w:ind w:firstLine="643" w:firstLineChars="200"/>
              <w:rPr>
                <w:rFonts w:ascii="仿宋_GB2312" w:hAnsi="Times New Roman" w:eastAsia="仿宋_GB2312" w:cs="Times New Roman"/>
                <w:b/>
                <w:bCs/>
                <w:color w:val="auto"/>
                <w:sz w:val="32"/>
                <w:szCs w:val="32"/>
              </w:rPr>
            </w:pPr>
            <w:r>
              <w:rPr>
                <w:rFonts w:hint="eastAsia" w:ascii="仿宋_GB2312" w:hAnsi="Times New Roman" w:eastAsia="仿宋_GB2312" w:cs="Times New Roman"/>
                <w:b/>
                <w:bCs/>
                <w:color w:val="auto"/>
                <w:sz w:val="32"/>
                <w:szCs w:val="32"/>
              </w:rPr>
              <w:t>或授权委托人:</w:t>
            </w:r>
          </w:p>
        </w:tc>
      </w:tr>
      <w:tr w14:paraId="7CE58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Borders>
              <w:top w:val="nil"/>
              <w:left w:val="nil"/>
              <w:bottom w:val="nil"/>
              <w:right w:val="nil"/>
            </w:tcBorders>
          </w:tcPr>
          <w:p w14:paraId="552FEDA4">
            <w:pPr>
              <w:spacing w:line="560" w:lineRule="exact"/>
              <w:rPr>
                <w:rFonts w:ascii="仿宋_GB2312" w:hAnsi="Times New Roman" w:eastAsia="仿宋_GB2312" w:cs="Times New Roman"/>
                <w:b/>
                <w:bCs/>
                <w:color w:val="auto"/>
                <w:sz w:val="32"/>
                <w:szCs w:val="32"/>
              </w:rPr>
            </w:pPr>
            <w:r>
              <w:rPr>
                <w:rFonts w:hint="eastAsia" w:ascii="仿宋_GB2312" w:hAnsi="Times New Roman" w:eastAsia="仿宋_GB2312" w:cs="Times New Roman"/>
                <w:b/>
                <w:bCs/>
                <w:color w:val="auto"/>
                <w:sz w:val="32"/>
                <w:szCs w:val="32"/>
              </w:rPr>
              <w:t>电话:</w:t>
            </w:r>
            <w:r>
              <w:rPr>
                <w:rFonts w:hint="eastAsia" w:ascii="仿宋_GB2312" w:hAnsi="Times New Roman" w:eastAsia="仿宋_GB2312" w:cs="Times New Roman"/>
                <w:b/>
                <w:bCs/>
                <w:color w:val="auto"/>
                <w:sz w:val="32"/>
                <w:szCs w:val="32"/>
                <w:lang w:val="en-US"/>
              </w:rPr>
              <w:t>0691-2584137</w:t>
            </w:r>
          </w:p>
        </w:tc>
        <w:tc>
          <w:tcPr>
            <w:tcW w:w="4834" w:type="dxa"/>
            <w:tcBorders>
              <w:top w:val="nil"/>
              <w:left w:val="nil"/>
              <w:bottom w:val="nil"/>
              <w:right w:val="nil"/>
            </w:tcBorders>
          </w:tcPr>
          <w:p w14:paraId="71798E76">
            <w:pPr>
              <w:spacing w:line="560" w:lineRule="exact"/>
              <w:ind w:firstLine="643" w:firstLineChars="200"/>
              <w:rPr>
                <w:rFonts w:hint="default" w:ascii="仿宋_GB2312" w:hAnsi="Times New Roman" w:eastAsia="仿宋_GB2312" w:cs="Times New Roman"/>
                <w:b/>
                <w:bCs/>
                <w:color w:val="auto"/>
                <w:sz w:val="32"/>
                <w:szCs w:val="32"/>
                <w:lang w:val="en-US" w:eastAsia="zh-CN"/>
              </w:rPr>
            </w:pPr>
            <w:r>
              <w:rPr>
                <w:rFonts w:hint="eastAsia" w:ascii="仿宋_GB2312" w:hAnsi="Times New Roman" w:eastAsia="仿宋_GB2312" w:cs="Times New Roman"/>
                <w:b/>
                <w:bCs/>
                <w:color w:val="auto"/>
                <w:sz w:val="32"/>
                <w:szCs w:val="32"/>
              </w:rPr>
              <w:t>电话:</w:t>
            </w:r>
            <w:r>
              <w:rPr>
                <w:rFonts w:hint="eastAsia" w:ascii="仿宋_GB2312" w:hAnsi="Times New Roman" w:eastAsia="仿宋_GB2312" w:cs="Times New Roman"/>
                <w:b/>
                <w:bCs/>
                <w:color w:val="auto"/>
                <w:sz w:val="32"/>
                <w:szCs w:val="32"/>
                <w:lang w:val="en-US" w:eastAsia="zh-CN"/>
              </w:rPr>
              <w:t>18088067668</w:t>
            </w:r>
          </w:p>
        </w:tc>
      </w:tr>
      <w:tr w14:paraId="07DF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Borders>
              <w:top w:val="nil"/>
              <w:left w:val="nil"/>
              <w:bottom w:val="nil"/>
              <w:right w:val="nil"/>
            </w:tcBorders>
          </w:tcPr>
          <w:p w14:paraId="7D107B4A">
            <w:pPr>
              <w:spacing w:line="560" w:lineRule="exact"/>
              <w:rPr>
                <w:rFonts w:ascii="仿宋_GB2312" w:hAnsi="Times New Roman" w:eastAsia="仿宋_GB2312" w:cs="Times New Roman"/>
                <w:b/>
                <w:bCs/>
                <w:color w:val="auto"/>
                <w:sz w:val="32"/>
                <w:szCs w:val="32"/>
              </w:rPr>
            </w:pPr>
            <w:r>
              <w:rPr>
                <w:rFonts w:hint="eastAsia" w:ascii="仿宋_GB2312" w:hAnsi="Times New Roman" w:eastAsia="仿宋_GB2312" w:cs="Times New Roman"/>
                <w:b/>
                <w:bCs/>
                <w:color w:val="auto"/>
                <w:sz w:val="32"/>
                <w:szCs w:val="32"/>
              </w:rPr>
              <w:t>邮编:</w:t>
            </w:r>
            <w:r>
              <w:rPr>
                <w:rFonts w:hint="eastAsia" w:ascii="仿宋_GB2312" w:hAnsi="Times New Roman" w:eastAsia="仿宋_GB2312" w:cs="Times New Roman"/>
                <w:b/>
                <w:bCs/>
                <w:color w:val="auto"/>
                <w:sz w:val="32"/>
                <w:szCs w:val="32"/>
                <w:lang w:val="en-US"/>
              </w:rPr>
              <w:t>666100</w:t>
            </w:r>
          </w:p>
        </w:tc>
        <w:tc>
          <w:tcPr>
            <w:tcW w:w="4834" w:type="dxa"/>
            <w:tcBorders>
              <w:top w:val="nil"/>
              <w:left w:val="nil"/>
              <w:bottom w:val="nil"/>
              <w:right w:val="nil"/>
            </w:tcBorders>
          </w:tcPr>
          <w:p w14:paraId="0A5B5471">
            <w:pPr>
              <w:spacing w:line="560" w:lineRule="exact"/>
              <w:ind w:firstLine="643" w:firstLineChars="200"/>
              <w:rPr>
                <w:rFonts w:ascii="仿宋_GB2312" w:hAnsi="Times New Roman" w:eastAsia="仿宋_GB2312" w:cs="Times New Roman"/>
                <w:b/>
                <w:bCs/>
                <w:color w:val="auto"/>
                <w:sz w:val="32"/>
                <w:szCs w:val="32"/>
              </w:rPr>
            </w:pPr>
            <w:r>
              <w:rPr>
                <w:rFonts w:hint="eastAsia" w:ascii="仿宋_GB2312" w:hAnsi="Times New Roman" w:eastAsia="仿宋_GB2312" w:cs="Times New Roman"/>
                <w:b/>
                <w:bCs/>
                <w:color w:val="auto"/>
                <w:sz w:val="32"/>
                <w:szCs w:val="32"/>
              </w:rPr>
              <w:t>邮编:6</w:t>
            </w:r>
            <w:r>
              <w:rPr>
                <w:rFonts w:hint="eastAsia" w:ascii="仿宋_GB2312" w:hAnsi="Times New Roman" w:eastAsia="仿宋_GB2312" w:cs="Times New Roman"/>
                <w:b/>
                <w:bCs/>
                <w:color w:val="auto"/>
                <w:sz w:val="32"/>
                <w:szCs w:val="32"/>
                <w:lang w:val="en-US" w:eastAsia="zh-CN"/>
              </w:rPr>
              <w:t>661</w:t>
            </w:r>
            <w:r>
              <w:rPr>
                <w:rFonts w:hint="eastAsia" w:ascii="仿宋_GB2312" w:hAnsi="Times New Roman" w:eastAsia="仿宋_GB2312" w:cs="Times New Roman"/>
                <w:b/>
                <w:bCs/>
                <w:color w:val="auto"/>
                <w:sz w:val="32"/>
                <w:szCs w:val="32"/>
              </w:rPr>
              <w:t>00</w:t>
            </w:r>
          </w:p>
        </w:tc>
      </w:tr>
    </w:tbl>
    <w:p w14:paraId="31E76F5B">
      <w:pPr>
        <w:rPr>
          <w:color w:val="auto"/>
        </w:rPr>
      </w:pPr>
    </w:p>
    <w:sectPr>
      <w:headerReference r:id="rId3" w:type="default"/>
      <w:footerReference r:id="rId4" w:type="default"/>
      <w:pgSz w:w="11906" w:h="16838"/>
      <w:pgMar w:top="1327" w:right="782" w:bottom="1213" w:left="78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86"/>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简体">
    <w:altName w:val="方正仿宋_GBK"/>
    <w:panose1 w:val="02010601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64F8E">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08C9B71">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308C9B71">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0AC8">
    <w:pPr>
      <w:pStyle w:val="6"/>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4422D8"/>
    <w:rsid w:val="07667A29"/>
    <w:rsid w:val="2530583D"/>
    <w:rsid w:val="2F7564F5"/>
    <w:rsid w:val="36A7119A"/>
    <w:rsid w:val="3F1C70A5"/>
    <w:rsid w:val="416C13C0"/>
    <w:rsid w:val="4CD70067"/>
    <w:rsid w:val="4F1763FD"/>
    <w:rsid w:val="5B095480"/>
    <w:rsid w:val="6CA96D27"/>
    <w:rsid w:val="704F6A64"/>
    <w:rsid w:val="71D861B6"/>
    <w:rsid w:val="72983B4F"/>
    <w:rsid w:val="77206B00"/>
    <w:rsid w:val="7D397F27"/>
    <w:rsid w:val="DFD74B6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b/>
      <w:bCs/>
      <w:kern w:val="44"/>
      <w:sz w:val="44"/>
      <w:szCs w:val="44"/>
    </w:rPr>
  </w:style>
  <w:style w:type="paragraph" w:styleId="4">
    <w:name w:val="heading 4"/>
    <w:basedOn w:val="1"/>
    <w:next w:val="1"/>
    <w:qFormat/>
    <w:uiPriority w:val="1"/>
    <w:pPr>
      <w:ind w:left="1761"/>
      <w:outlineLvl w:val="3"/>
    </w:pPr>
    <w:rPr>
      <w:b/>
      <w:bCs/>
      <w:sz w:val="28"/>
      <w:szCs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460" w:lineRule="exact"/>
    </w:pPr>
    <w:rPr>
      <w:rFonts w:ascii="宋体" w:hAnsi="宋体"/>
      <w:sz w:val="24"/>
    </w:rPr>
  </w:style>
  <w:style w:type="paragraph" w:styleId="5">
    <w:name w:val="footer"/>
    <w:basedOn w:val="1"/>
    <w:link w:val="11"/>
    <w:semiHidden/>
    <w:unhideWhenUsed/>
    <w:qFormat/>
    <w:uiPriority w:val="99"/>
    <w:pPr>
      <w:tabs>
        <w:tab w:val="center" w:pos="4153"/>
        <w:tab w:val="right" w:pos="8306"/>
      </w:tabs>
      <w:snapToGrid w:val="0"/>
      <w:jc w:val="left"/>
    </w:pPr>
    <w:rPr>
      <w:sz w:val="18"/>
      <w:szCs w:val="18"/>
    </w:rPr>
  </w:style>
  <w:style w:type="paragraph" w:styleId="6">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Indent 3"/>
    <w:basedOn w:val="1"/>
    <w:unhideWhenUsed/>
    <w:qFormat/>
    <w:uiPriority w:val="99"/>
    <w:pPr>
      <w:spacing w:after="120"/>
      <w:ind w:left="420" w:leftChars="200"/>
    </w:pPr>
    <w:rPr>
      <w:sz w:val="16"/>
      <w:szCs w:val="16"/>
    </w:rPr>
  </w:style>
  <w:style w:type="character" w:customStyle="1" w:styleId="10">
    <w:name w:val="页眉 Char"/>
    <w:basedOn w:val="9"/>
    <w:link w:val="6"/>
    <w:semiHidden/>
    <w:qFormat/>
    <w:uiPriority w:val="99"/>
    <w:rPr>
      <w:rFonts w:ascii="Calibri" w:hAnsi="Calibri" w:eastAsia="宋体" w:cs="Times New Roman"/>
      <w:sz w:val="18"/>
      <w:szCs w:val="18"/>
    </w:rPr>
  </w:style>
  <w:style w:type="character" w:customStyle="1" w:styleId="11">
    <w:name w:val="页脚 Char"/>
    <w:basedOn w:val="9"/>
    <w:link w:val="5"/>
    <w:semiHidden/>
    <w:qFormat/>
    <w:uiPriority w:val="99"/>
    <w:rPr>
      <w:rFonts w:ascii="Calibri" w:hAnsi="Calibri" w:eastAsia="宋体" w:cs="Times New Roman"/>
      <w:sz w:val="18"/>
      <w:szCs w:val="18"/>
    </w:rPr>
  </w:style>
  <w:style w:type="character" w:customStyle="1" w:styleId="12">
    <w:name w:val="NormalCharact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4201</Words>
  <Characters>4295</Characters>
  <Lines>26</Lines>
  <Paragraphs>7</Paragraphs>
  <TotalTime>4</TotalTime>
  <ScaleCrop>false</ScaleCrop>
  <LinksUpToDate>false</LinksUpToDate>
  <CharactersWithSpaces>4354</CharactersWithSpaces>
  <Application>WPS Office_12.8.2.17863_F1E327BC-269C-435d-A152-05C5408002CA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2022-06-28T09:54:00Z</dcterms:created>
  <dc:creator>周婉婷</dc:creator>
  <cp:lastModifiedBy>inspur</cp:lastModifiedBy>
  <cp:lastPrinted>2024-06-24T15:03:00Z</cp:lastPrinted>
  <dcterms:modified xsi:type="dcterms:W3CDTF">2026-06-16T16:20:07Z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2052-12.8.2.17863</vt:lpwstr>
  </property>
  <property fmtid="{D5CDD505-2E9C-101B-9397-08002B2CF9AE}" pid="3" name="KSOTemplateDocerSaveRecord">
    <vt:lpwstr>eyJoZGlkIjoiZDM2ZDcyMmQxM2Y4NjI0YzY1ZGY3ZTAxNTI2NTYzYmEiLCJ1c2VySWQiOiIyODk1NTI0ODQifQ==</vt:lpwstr>
  </property>
  <property fmtid="{D5CDD505-2E9C-101B-9397-08002B2CF9AE}" pid="4" name="ICV">
    <vt:lpwstr>3273504C4E6E16053707316A203630B7_43</vt:lpwstr>
  </property>
</Properties>
</file>