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2026-2027年度三亚市吉阳区人民法院物业管理服务项目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HNGP2026-135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三亚市吉阳区人民法院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三亚市吉阳区人民法院</w:t>
      </w:r>
      <w:r>
        <w:rPr>
          <w:rFonts w:ascii="仿宋_GB2312" w:hAnsi="仿宋_GB2312" w:cs="仿宋_GB2312" w:eastAsia="仿宋_GB2312"/>
        </w:rPr>
        <w:t xml:space="preserve"> 的委托，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2026-2027年度三亚市吉阳区人民法院物业管理服务项目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HNGP2026-135</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2026-2027年度三亚市吉阳区人民法院物业管理服务项目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2,721,909.14元</w:t>
      </w:r>
      <w:r>
        <w:rPr>
          <w:rFonts w:ascii="仿宋_GB2312" w:hAnsi="仿宋_GB2312" w:cs="仿宋_GB2312" w:eastAsia="仿宋_GB2312"/>
        </w:rPr>
        <w:t>贰佰柒拾贰万壹仟玖佰零玖元壹角肆分</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自合同签订之日起一年</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 指南，严格按照操作指南要求进行系统操作。 2.本项目采购信息指定发布媒体为： （1）中国政府采购网，网址www.ccgp.gov.cn。 （2）中国政府采购网海南分网（海南省政府采购智慧云平台），网址https://ccgp-hainan.gov.cn/。 （3）全国公共资源交易平台，网址https://ggzy.hainan.gov.cn/ggzyjy/ ※若出现上述指定媒体信息不一致情形，应以中国政府采购网海南分网（海南省政府采购智慧云平台）发布的为准。 3.有关本项目采购文件的补遗、澄清及变更信息以上述网站公告与下载为准，采购代理机构不再另行通知，采购文件与更正公告的内容相互矛 盾时，以最后发出的更正公告内容为准。 4.投标人使用交易系统遇到问题可致电技术支持：4001691288。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三亚市吉阳区人民法院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三亚市榆亚路669号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18089799031</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0898-66529828</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采购包1：2,721,909.14元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1、响应有效期为从递交响应文件的截止之日起60个日历日，有效期短于此规定的响应文件将被视为无效。2、在特殊情况下，采购中心可于响应有效期满之前，征得供应商同意延长响应有效期，要求与答复均应以书面形式进行。供应商可以拒绝接受这一要求而放弃报价，磋商保证金将尽快无息退还。同意这一要求的供应商，无需也不允许修改其响应文件，但须相应延长响应有效期。受响应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 xml:space="preserve"> 1.投标人（供应商）如对采购文件中“供应商资格要求”、“采购需求”及“详细评审标准”部分有质疑的，应直接向采购人提出。2.本项目评审过程中如有价格修正、澄清、谈判/磋商/协商(二次报价)等环节，供应商需要按照海南省政府采购智慧云平台操作要求进行线上响应，不存在人为通知供应商上述所需响应的环节.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3.解密时限以开标现场设置的时间为准，投标人应在设定的解密时限内实施文件解密。根据《海南省公共资源交易不见面开标操作指南》，在开标过程中，因投标人递交的文件损坏，投标人自身终端设备软硬件驱动和网络环境存在问题，数字证书遗失、损坏、更换、过期、密码遗忘和操作不熟练等自身原因，导致未能在规定时间内登录系统完成解密的，由投标人自行承担由此造成的不利后果。4.投标人使用智慧云平台系统遇到问题可致电技术支持：4001691288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联系人：黎先生</w:t>
      </w:r>
    </w:p>
    <w:p>
      <w:pPr>
        <w:pStyle w:val="null3"/>
        <w:jc w:val="left"/>
      </w:pPr>
      <w:r>
        <w:rPr>
          <w:rFonts w:ascii="仿宋_GB2312" w:hAnsi="仿宋_GB2312" w:cs="仿宋_GB2312" w:eastAsia="仿宋_GB2312"/>
        </w:rPr>
        <w:t>联系电话：0898-66529828</w:t>
      </w:r>
    </w:p>
    <w:p>
      <w:pPr>
        <w:pStyle w:val="null3"/>
        <w:jc w:val="left"/>
      </w:pPr>
      <w:r>
        <w:rPr>
          <w:rFonts w:ascii="仿宋_GB2312" w:hAnsi="仿宋_GB2312" w:cs="仿宋_GB2312" w:eastAsia="仿宋_GB2312"/>
        </w:rPr>
        <w:t>地址：海口市美兰区大英山西二街政务二期二楼208室（省公共资源交易服务中心新办公楼）</w:t>
      </w:r>
    </w:p>
    <w:p>
      <w:pPr>
        <w:pStyle w:val="null3"/>
        <w:jc w:val="left"/>
      </w:pPr>
      <w:r>
        <w:rPr>
          <w:rFonts w:ascii="仿宋_GB2312" w:hAnsi="仿宋_GB2312" w:cs="仿宋_GB2312" w:eastAsia="仿宋_GB2312"/>
        </w:rPr>
        <w:t>邮编：517100</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联系人：黎工</w:t>
      </w:r>
    </w:p>
    <w:p>
      <w:pPr>
        <w:pStyle w:val="null3"/>
        <w:jc w:val="left"/>
      </w:pPr>
      <w:r>
        <w:rPr>
          <w:rFonts w:ascii="仿宋_GB2312" w:hAnsi="仿宋_GB2312" w:cs="仿宋_GB2312" w:eastAsia="仿宋_GB2312"/>
        </w:rPr>
        <w:t>联系电话：18089799031</w:t>
      </w:r>
    </w:p>
    <w:p>
      <w:pPr>
        <w:pStyle w:val="null3"/>
        <w:jc w:val="left"/>
      </w:pPr>
      <w:r>
        <w:rPr>
          <w:rFonts w:ascii="仿宋_GB2312" w:hAnsi="仿宋_GB2312" w:cs="仿宋_GB2312" w:eastAsia="仿宋_GB2312"/>
        </w:rPr>
        <w:t>地址：三亚市榆亚路669号</w:t>
      </w:r>
    </w:p>
    <w:p>
      <w:pPr>
        <w:pStyle w:val="null3"/>
        <w:jc w:val="left"/>
      </w:pPr>
      <w:r>
        <w:rPr>
          <w:rFonts w:ascii="仿宋_GB2312" w:hAnsi="仿宋_GB2312" w:cs="仿宋_GB2312" w:eastAsia="仿宋_GB2312"/>
        </w:rPr>
        <w:t>邮编：572000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1.项目编号：</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项目名称：</w:t>
      </w:r>
      <w:r>
        <w:rPr>
          <w:rFonts w:ascii="仿宋_GB2312" w:hAnsi="仿宋_GB2312" w:cs="仿宋_GB2312" w:eastAsia="仿宋_GB2312"/>
        </w:rPr>
        <w:t>2026-2027年度三亚市吉阳区人民法院物业管理服务项目</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4.预算金额：</w:t>
      </w:r>
      <w:r>
        <w:rPr>
          <w:rFonts w:ascii="仿宋_GB2312" w:hAnsi="仿宋_GB2312" w:cs="仿宋_GB2312" w:eastAsia="仿宋_GB2312"/>
        </w:rPr>
        <w:t>2721909.14元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r>
        <w:rPr>
          <w:rFonts w:ascii="仿宋_GB2312" w:hAnsi="仿宋_GB2312" w:cs="仿宋_GB2312" w:eastAsia="仿宋_GB2312"/>
        </w:rPr>
        <w:t>详见“第三章 采购需求 ”</w:t>
      </w:r>
    </w:p>
    <w:p>
      <w:pPr>
        <w:pStyle w:val="null3"/>
        <w:ind w:firstLine="480"/>
        <w:jc w:val="left"/>
      </w:pPr>
      <w:r>
        <w:rPr>
          <w:rFonts w:ascii="仿宋_GB2312" w:hAnsi="仿宋_GB2312" w:cs="仿宋_GB2312" w:eastAsia="仿宋_GB2312"/>
        </w:rPr>
        <w:t>7.</w:t>
      </w:r>
      <w:r>
        <w:rPr>
          <w:rFonts w:ascii="仿宋_GB2312" w:hAnsi="仿宋_GB2312" w:cs="仿宋_GB2312" w:eastAsia="仿宋_GB2312"/>
          <w:sz w:val="21"/>
        </w:rPr>
        <w:t>本项目属于</w:t>
      </w:r>
      <w:r>
        <w:rPr>
          <w:rFonts w:ascii="仿宋_GB2312" w:hAnsi="仿宋_GB2312" w:cs="仿宋_GB2312" w:eastAsia="仿宋_GB2312"/>
          <w:sz w:val="21"/>
        </w:rPr>
        <w:t>物业管理服务</w:t>
      </w:r>
      <w:r>
        <w:rPr>
          <w:rFonts w:ascii="仿宋_GB2312" w:hAnsi="仿宋_GB2312" w:cs="仿宋_GB2312" w:eastAsia="仿宋_GB2312"/>
          <w:sz w:val="21"/>
        </w:rPr>
        <w:t>行业。</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2,721,909.14</w:t>
      </w:r>
    </w:p>
    <w:p>
      <w:pPr>
        <w:pStyle w:val="null3"/>
        <w:jc w:val="left"/>
      </w:pPr>
      <w:r>
        <w:rPr>
          <w:rFonts w:ascii="仿宋_GB2312" w:hAnsi="仿宋_GB2312" w:cs="仿宋_GB2312" w:eastAsia="仿宋_GB2312"/>
        </w:rPr>
        <w:t>采购包最高限价（元）: 2,721,909.14</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C21040000-物业管理服务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2,721,909.14</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物业管理</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2,721,909.14</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52"/>
              <w:gridCol w:w="1980"/>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w:t>
                  </w:r>
                  <w:r>
                    <w:rPr>
                      <w:rFonts w:ascii="仿宋_GB2312" w:hAnsi="仿宋_GB2312" w:cs="仿宋_GB2312" w:eastAsia="仿宋_GB2312"/>
                      <w:sz w:val="19"/>
                      <w:shd w:fill="FFFF00" w:val="clear"/>
                    </w:rPr>
                    <w:t>序号</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参数性质</w:t>
                  </w:r>
                  <w:r>
                    <w:rPr>
                      <w:rFonts w:ascii="仿宋_GB2312" w:hAnsi="仿宋_GB2312" w:cs="仿宋_GB2312" w:eastAsia="仿宋_GB2312"/>
                      <w:sz w:val="19"/>
                      <w:shd w:fill="FFFF00" w:val="clear"/>
                    </w:rPr>
                    <w:t>：</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w:t>
                  </w:r>
                  <w:r>
                    <w:rPr>
                      <w:rFonts w:ascii="仿宋_GB2312" w:hAnsi="仿宋_GB2312" w:cs="仿宋_GB2312" w:eastAsia="仿宋_GB2312"/>
                      <w:sz w:val="19"/>
                      <w:shd w:fill="FFFF00" w:val="clear"/>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三亚市吉阳区人民法院位于三亚市吉阳区榆亚路</w:t>
                  </w:r>
                  <w:r>
                    <w:rPr>
                      <w:rFonts w:ascii="仿宋_GB2312" w:hAnsi="仿宋_GB2312" w:cs="仿宋_GB2312" w:eastAsia="仿宋_GB2312"/>
                      <w:sz w:val="24"/>
                    </w:rPr>
                    <w:t>669号，占地面积约25亩，共4栋建筑，面积约18538.82㎡。主要为：审判法庭大楼1幢5层，面积15644.92㎡；诉讼服务大厅1幢1层，面积609.92平方米；后勤保障中心1幢4层，面积1943.98㎡，安检保卫中心1栋2层，面积为340平方米。建筑面积共16331平方米；消防控制室1个，出入口1个（安检通道独立）。</w:t>
                  </w:r>
                </w:p>
                <w:p>
                  <w:pPr>
                    <w:pStyle w:val="null3"/>
                    <w:ind w:firstLine="480"/>
                    <w:jc w:val="left"/>
                  </w:pPr>
                  <w:r>
                    <w:rPr>
                      <w:rFonts w:ascii="仿宋_GB2312" w:hAnsi="仿宋_GB2312" w:cs="仿宋_GB2312" w:eastAsia="仿宋_GB2312"/>
                      <w:sz w:val="24"/>
                    </w:rPr>
                    <w:t>职工食堂提供</w:t>
                  </w:r>
                  <w:r>
                    <w:rPr>
                      <w:rFonts w:ascii="仿宋_GB2312" w:hAnsi="仿宋_GB2312" w:cs="仿宋_GB2312" w:eastAsia="仿宋_GB2312"/>
                      <w:sz w:val="24"/>
                    </w:rPr>
                    <w:t>每周一至周五</w:t>
                  </w:r>
                  <w:r>
                    <w:rPr>
                      <w:rFonts w:ascii="仿宋_GB2312" w:hAnsi="仿宋_GB2312" w:cs="仿宋_GB2312" w:eastAsia="仿宋_GB2312"/>
                      <w:sz w:val="24"/>
                    </w:rPr>
                    <w:t>早中晚三餐及接待餐。周末、法定节假日不开餐（如因采购人实际工作需求，周末、节假日加班的，则按照采购人需求开餐），接待餐根据采购人要求。</w:t>
                  </w:r>
                  <w:r>
                    <w:rPr>
                      <w:rFonts w:ascii="仿宋_GB2312" w:hAnsi="仿宋_GB2312" w:cs="仿宋_GB2312" w:eastAsia="仿宋_GB2312"/>
                      <w:sz w:val="24"/>
                    </w:rPr>
                    <w:t>早餐用餐人数约</w:t>
                  </w:r>
                  <w:r>
                    <w:rPr>
                      <w:rFonts w:ascii="仿宋_GB2312" w:hAnsi="仿宋_GB2312" w:cs="仿宋_GB2312" w:eastAsia="仿宋_GB2312"/>
                      <w:sz w:val="24"/>
                    </w:rPr>
                    <w:t>260</w:t>
                  </w:r>
                  <w:r>
                    <w:rPr>
                      <w:rFonts w:ascii="仿宋_GB2312" w:hAnsi="仿宋_GB2312" w:cs="仿宋_GB2312" w:eastAsia="仿宋_GB2312"/>
                      <w:sz w:val="24"/>
                    </w:rPr>
                    <w:t>人，中餐用餐人数约</w:t>
                  </w:r>
                  <w:r>
                    <w:rPr>
                      <w:rFonts w:ascii="仿宋_GB2312" w:hAnsi="仿宋_GB2312" w:cs="仿宋_GB2312" w:eastAsia="仿宋_GB2312"/>
                      <w:sz w:val="24"/>
                    </w:rPr>
                    <w:t>260</w:t>
                  </w:r>
                  <w:r>
                    <w:rPr>
                      <w:rFonts w:ascii="仿宋_GB2312" w:hAnsi="仿宋_GB2312" w:cs="仿宋_GB2312" w:eastAsia="仿宋_GB2312"/>
                      <w:sz w:val="24"/>
                    </w:rPr>
                    <w:t>人，晚餐用餐人数约</w:t>
                  </w:r>
                  <w:r>
                    <w:rPr>
                      <w:rFonts w:ascii="仿宋_GB2312" w:hAnsi="仿宋_GB2312" w:cs="仿宋_GB2312" w:eastAsia="仿宋_GB2312"/>
                      <w:sz w:val="24"/>
                    </w:rPr>
                    <w:t>50人。</w:t>
                  </w:r>
                </w:p>
                <w:p>
                  <w:pPr>
                    <w:pStyle w:val="null3"/>
                    <w:jc w:val="both"/>
                  </w:pPr>
                  <w:r>
                    <w:rPr>
                      <w:rFonts w:ascii="仿宋_GB2312" w:hAnsi="仿宋_GB2312" w:cs="仿宋_GB2312" w:eastAsia="仿宋_GB2312"/>
                      <w:sz w:val="24"/>
                      <w:b/>
                    </w:rPr>
                    <w:t>★二、物业管理服务内容</w:t>
                  </w:r>
                </w:p>
                <w:p>
                  <w:pPr>
                    <w:pStyle w:val="null3"/>
                    <w:jc w:val="left"/>
                  </w:pPr>
                  <w:r>
                    <w:rPr>
                      <w:rFonts w:ascii="仿宋_GB2312" w:hAnsi="仿宋_GB2312" w:cs="仿宋_GB2312" w:eastAsia="仿宋_GB2312"/>
                      <w:sz w:val="24"/>
                    </w:rPr>
                    <w:t>（一）法院全院室内外公共区域清洁服务</w:t>
                  </w:r>
                </w:p>
                <w:p>
                  <w:pPr>
                    <w:pStyle w:val="null3"/>
                    <w:jc w:val="left"/>
                  </w:pPr>
                  <w:r>
                    <w:rPr>
                      <w:rFonts w:ascii="仿宋_GB2312" w:hAnsi="仿宋_GB2312" w:cs="仿宋_GB2312" w:eastAsia="仿宋_GB2312"/>
                      <w:sz w:val="24"/>
                    </w:rPr>
                    <w:t>1、对法院室外路面、道路、绿地、法院大门及门前三包范围区域每日定时清洁， 保持室外环境洁净；</w:t>
                  </w:r>
                </w:p>
                <w:p>
                  <w:pPr>
                    <w:pStyle w:val="null3"/>
                    <w:jc w:val="left"/>
                  </w:pPr>
                  <w:r>
                    <w:rPr>
                      <w:rFonts w:ascii="仿宋_GB2312" w:hAnsi="仿宋_GB2312" w:cs="仿宋_GB2312" w:eastAsia="仿宋_GB2312"/>
                      <w:sz w:val="24"/>
                    </w:rPr>
                    <w:t>2、对办公楼内各会议室、审判庭、立案庭、执行庭等公共区域提供定时清洁服务；</w:t>
                  </w:r>
                </w:p>
                <w:p>
                  <w:pPr>
                    <w:pStyle w:val="null3"/>
                    <w:jc w:val="left"/>
                  </w:pPr>
                  <w:r>
                    <w:rPr>
                      <w:rFonts w:ascii="仿宋_GB2312" w:hAnsi="仿宋_GB2312" w:cs="仿宋_GB2312" w:eastAsia="仿宋_GB2312"/>
                      <w:sz w:val="24"/>
                    </w:rPr>
                    <w:t>3、对法院室外公共座椅、公共设施、垃圾桶、各类标识等进行每日定时清洁， 并将垃圾收集与分类处理， 并进行详细记录；</w:t>
                  </w:r>
                </w:p>
                <w:p>
                  <w:pPr>
                    <w:pStyle w:val="null3"/>
                    <w:jc w:val="left"/>
                  </w:pPr>
                  <w:r>
                    <w:rPr>
                      <w:rFonts w:ascii="仿宋_GB2312" w:hAnsi="仿宋_GB2312" w:cs="仿宋_GB2312" w:eastAsia="仿宋_GB2312"/>
                      <w:sz w:val="24"/>
                    </w:rPr>
                    <w:t>4、对办公楼内公共洗手间、 电梯轿厢、楼道、窗戶 、扶手等提供清洁服务；</w:t>
                  </w:r>
                </w:p>
                <w:p>
                  <w:pPr>
                    <w:pStyle w:val="null3"/>
                    <w:jc w:val="left"/>
                  </w:pPr>
                  <w:r>
                    <w:rPr>
                      <w:rFonts w:ascii="仿宋_GB2312" w:hAnsi="仿宋_GB2312" w:cs="仿宋_GB2312" w:eastAsia="仿宋_GB2312"/>
                      <w:sz w:val="24"/>
                    </w:rPr>
                    <w:t>5、对各办公室提供垃圾收集服务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6、对法院公共区域提供四害消杀服务；</w:t>
                  </w:r>
                </w:p>
                <w:p>
                  <w:pPr>
                    <w:pStyle w:val="null3"/>
                    <w:jc w:val="left"/>
                  </w:pPr>
                  <w:r>
                    <w:rPr>
                      <w:rFonts w:ascii="仿宋_GB2312" w:hAnsi="仿宋_GB2312" w:cs="仿宋_GB2312" w:eastAsia="仿宋_GB2312"/>
                      <w:sz w:val="24"/>
                    </w:rPr>
                    <w:t>（二）全院室外绿化的修剪、浇灌、养护服务</w:t>
                  </w:r>
                </w:p>
                <w:p>
                  <w:pPr>
                    <w:pStyle w:val="null3"/>
                    <w:jc w:val="left"/>
                  </w:pPr>
                  <w:r>
                    <w:rPr>
                      <w:rFonts w:ascii="仿宋_GB2312" w:hAnsi="仿宋_GB2312" w:cs="仿宋_GB2312" w:eastAsia="仿宋_GB2312"/>
                      <w:sz w:val="24"/>
                    </w:rPr>
                    <w:t>1、根据季节变化， 对全院绿化植被定期浇灌，确保绿化健康成长；</w:t>
                  </w:r>
                </w:p>
                <w:p>
                  <w:pPr>
                    <w:pStyle w:val="null3"/>
                    <w:jc w:val="left"/>
                  </w:pPr>
                  <w:r>
                    <w:rPr>
                      <w:rFonts w:ascii="仿宋_GB2312" w:hAnsi="仿宋_GB2312" w:cs="仿宋_GB2312" w:eastAsia="仿宋_GB2312"/>
                      <w:sz w:val="24"/>
                    </w:rPr>
                    <w:t>2、根据绿化长势， 对全院绿化植被进行定期修剪、造型；</w:t>
                  </w:r>
                </w:p>
                <w:p>
                  <w:pPr>
                    <w:pStyle w:val="null3"/>
                    <w:jc w:val="left"/>
                  </w:pPr>
                  <w:r>
                    <w:rPr>
                      <w:rFonts w:ascii="仿宋_GB2312" w:hAnsi="仿宋_GB2312" w:cs="仿宋_GB2312" w:eastAsia="仿宋_GB2312"/>
                      <w:sz w:val="24"/>
                    </w:rPr>
                    <w:t>3、根据绿化生长情况， 对全院绿化植被定期进行施肥、杀虫；</w:t>
                  </w:r>
                </w:p>
                <w:p>
                  <w:pPr>
                    <w:pStyle w:val="null3"/>
                    <w:jc w:val="left"/>
                  </w:pPr>
                  <w:r>
                    <w:rPr>
                      <w:rFonts w:ascii="仿宋_GB2312" w:hAnsi="仿宋_GB2312" w:cs="仿宋_GB2312" w:eastAsia="仿宋_GB2312"/>
                      <w:sz w:val="24"/>
                    </w:rPr>
                    <w:t>4、遇台风等特殊情况， 对乔木进行加固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（三）全院公共设施设备养护、零星维修保养服务</w:t>
                  </w:r>
                </w:p>
                <w:p>
                  <w:pPr>
                    <w:pStyle w:val="null3"/>
                    <w:jc w:val="left"/>
                  </w:pPr>
                  <w:r>
                    <w:rPr>
                      <w:rFonts w:ascii="仿宋_GB2312" w:hAnsi="仿宋_GB2312" w:cs="仿宋_GB2312" w:eastAsia="仿宋_GB2312"/>
                      <w:sz w:val="24"/>
                    </w:rPr>
                    <w:t>1、对全院公共区域及各办公室提供日常零星维修服务；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对办公楼</w:t>
                  </w:r>
                  <w:r>
                    <w:rPr>
                      <w:rFonts w:ascii="仿宋_GB2312" w:hAnsi="仿宋_GB2312" w:cs="仿宋_GB2312" w:eastAsia="仿宋_GB2312"/>
                      <w:sz w:val="24"/>
                    </w:rPr>
                    <w:t>建筑共用部位巡查，包括：楼盖、屋顶、外墙面、承重结构、楼梯间、走廊通道、门厅等。</w:t>
                  </w:r>
                </w:p>
                <w:p>
                  <w:pPr>
                    <w:pStyle w:val="null3"/>
                    <w:jc w:val="left"/>
                  </w:pPr>
                  <w:r>
                    <w:rPr>
                      <w:rFonts w:ascii="仿宋_GB2312" w:hAnsi="仿宋_GB2312" w:cs="仿宋_GB2312" w:eastAsia="仿宋_GB2312"/>
                      <w:sz w:val="24"/>
                    </w:rPr>
                    <w:t>3、对</w:t>
                  </w:r>
                  <w:r>
                    <w:rPr>
                      <w:rFonts w:ascii="仿宋_GB2312" w:hAnsi="仿宋_GB2312" w:cs="仿宋_GB2312" w:eastAsia="仿宋_GB2312"/>
                      <w:sz w:val="24"/>
                    </w:rPr>
                    <w:t>共用设施、设备的养护和运行管理，包括：消防设施、防雷设施、共用的上下水管道、落水管、共用照明、天线、高压水泵房、变配电设施设备。</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市政公用设施和附属建筑物、构筑物的巡查，包括区内道路、沟渠、池、井、摩托车与自行车棚。</w:t>
                  </w:r>
                </w:p>
                <w:p>
                  <w:pPr>
                    <w:pStyle w:val="null3"/>
                    <w:jc w:val="left"/>
                  </w:pPr>
                  <w:r>
                    <w:rPr>
                      <w:rFonts w:ascii="仿宋_GB2312" w:hAnsi="仿宋_GB2312" w:cs="仿宋_GB2312" w:eastAsia="仿宋_GB2312"/>
                      <w:sz w:val="24"/>
                    </w:rPr>
                    <w:t>（四）全院秩序维护及消防安全</w:t>
                  </w:r>
                  <w:r>
                    <w:rPr>
                      <w:rFonts w:ascii="仿宋_GB2312" w:hAnsi="仿宋_GB2312" w:cs="仿宋_GB2312" w:eastAsia="仿宋_GB2312"/>
                      <w:sz w:val="24"/>
                    </w:rPr>
                    <w:t>值班</w:t>
                  </w:r>
                  <w:r>
                    <w:rPr>
                      <w:rFonts w:ascii="仿宋_GB2312" w:hAnsi="仿宋_GB2312" w:cs="仿宋_GB2312" w:eastAsia="仿宋_GB2312"/>
                      <w:sz w:val="24"/>
                    </w:rPr>
                    <w:t>检查服务</w:t>
                  </w:r>
                </w:p>
                <w:p>
                  <w:pPr>
                    <w:pStyle w:val="null3"/>
                    <w:jc w:val="left"/>
                  </w:pPr>
                  <w:r>
                    <w:rPr>
                      <w:rFonts w:ascii="仿宋_GB2312" w:hAnsi="仿宋_GB2312" w:cs="仿宋_GB2312" w:eastAsia="仿宋_GB2312"/>
                      <w:sz w:val="24"/>
                    </w:rPr>
                    <w:t>1、对法院大门岗提供每日24小时秩序执勤服务；</w:t>
                  </w:r>
                </w:p>
                <w:p>
                  <w:pPr>
                    <w:pStyle w:val="null3"/>
                    <w:jc w:val="left"/>
                  </w:pPr>
                  <w:r>
                    <w:rPr>
                      <w:rFonts w:ascii="仿宋_GB2312" w:hAnsi="仿宋_GB2312" w:cs="仿宋_GB2312" w:eastAsia="仿宋_GB2312"/>
                      <w:sz w:val="24"/>
                    </w:rPr>
                    <w:t>2、对法院安检</w:t>
                  </w:r>
                  <w:r>
                    <w:rPr>
                      <w:rFonts w:ascii="仿宋_GB2312" w:hAnsi="仿宋_GB2312" w:cs="仿宋_GB2312" w:eastAsia="仿宋_GB2312"/>
                      <w:sz w:val="24"/>
                    </w:rPr>
                    <w:t>室</w:t>
                  </w:r>
                  <w:r>
                    <w:rPr>
                      <w:rFonts w:ascii="仿宋_GB2312" w:hAnsi="仿宋_GB2312" w:cs="仿宋_GB2312" w:eastAsia="仿宋_GB2312"/>
                      <w:sz w:val="24"/>
                    </w:rPr>
                    <w:t>提供</w:t>
                  </w:r>
                  <w:r>
                    <w:rPr>
                      <w:rFonts w:ascii="仿宋_GB2312" w:hAnsi="仿宋_GB2312" w:cs="仿宋_GB2312" w:eastAsia="仿宋_GB2312"/>
                      <w:sz w:val="24"/>
                    </w:rPr>
                    <w:t>8小时安检服务；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对车辆进出提供秩序维护及车辆有序停放指挥管理服务；</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、对全院提供秩序安全巡查与检查服务；</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、严格按照消防管理规定</w:t>
                  </w:r>
                  <w:r>
                    <w:rPr>
                      <w:rFonts w:ascii="仿宋_GB2312" w:hAnsi="仿宋_GB2312" w:cs="仿宋_GB2312" w:eastAsia="仿宋_GB2312"/>
                      <w:sz w:val="24"/>
                    </w:rPr>
                    <w:t>对法院消防监控室（在审判法庭大楼独立区域，与门卫室不在同一区域）提供</w:t>
                  </w:r>
                  <w:r>
                    <w:rPr>
                      <w:rFonts w:ascii="仿宋_GB2312" w:hAnsi="仿宋_GB2312" w:cs="仿宋_GB2312" w:eastAsia="仿宋_GB2312"/>
                      <w:sz w:val="24"/>
                    </w:rPr>
                    <w:t>24小时值班服务，</w:t>
                  </w:r>
                  <w:r>
                    <w:rPr>
                      <w:rFonts w:ascii="仿宋_GB2312" w:hAnsi="仿宋_GB2312" w:cs="仿宋_GB2312" w:eastAsia="仿宋_GB2312"/>
                      <w:sz w:val="24"/>
                    </w:rPr>
                    <w:t>重点部位、消防设施设备提供每日多次</w:t>
                  </w:r>
                  <w:r>
                    <w:rPr>
                      <w:rFonts w:ascii="仿宋_GB2312" w:hAnsi="仿宋_GB2312" w:cs="仿宋_GB2312" w:eastAsia="仿宋_GB2312"/>
                      <w:sz w:val="24"/>
                    </w:rPr>
                    <w:t>，</w:t>
                  </w:r>
                  <w:r>
                    <w:rPr>
                      <w:rFonts w:ascii="仿宋_GB2312" w:hAnsi="仿宋_GB2312" w:cs="仿宋_GB2312" w:eastAsia="仿宋_GB2312"/>
                      <w:sz w:val="24"/>
                    </w:rPr>
                    <w:t>巡查及周检查和月度检查服务，</w:t>
                  </w:r>
                  <w:r>
                    <w:rPr>
                      <w:rFonts w:ascii="仿宋_GB2312" w:hAnsi="仿宋_GB2312" w:cs="仿宋_GB2312" w:eastAsia="仿宋_GB2312"/>
                      <w:sz w:val="24"/>
                    </w:rPr>
                    <w:t>并按照消防管理规定形成记录文件；</w:t>
                  </w:r>
                </w:p>
                <w:p>
                  <w:pPr>
                    <w:pStyle w:val="null3"/>
                    <w:jc w:val="left"/>
                  </w:pPr>
                  <w:r>
                    <w:rPr>
                      <w:rFonts w:ascii="仿宋_GB2312" w:hAnsi="仿宋_GB2312" w:cs="仿宋_GB2312" w:eastAsia="仿宋_GB2312"/>
                      <w:sz w:val="24"/>
                    </w:rPr>
                    <w:t>（五）会务服务及来访接待茶水服务</w:t>
                  </w:r>
                </w:p>
                <w:p>
                  <w:pPr>
                    <w:pStyle w:val="null3"/>
                    <w:jc w:val="left"/>
                  </w:pPr>
                  <w:r>
                    <w:rPr>
                      <w:rFonts w:ascii="仿宋_GB2312" w:hAnsi="仿宋_GB2312" w:cs="仿宋_GB2312" w:eastAsia="仿宋_GB2312"/>
                      <w:sz w:val="24"/>
                    </w:rPr>
                    <w:t>1、为办公楼提供会务服务， 包括会场的预定、会场布置、茶水添加、会后收尾工作等；</w:t>
                  </w:r>
                </w:p>
                <w:p>
                  <w:pPr>
                    <w:pStyle w:val="null3"/>
                    <w:jc w:val="left"/>
                  </w:pPr>
                  <w:r>
                    <w:rPr>
                      <w:rFonts w:ascii="仿宋_GB2312" w:hAnsi="仿宋_GB2312" w:cs="仿宋_GB2312" w:eastAsia="仿宋_GB2312"/>
                      <w:sz w:val="24"/>
                    </w:rPr>
                    <w:t>2、负责来访接待， 为来访客人提供茶水服务;</w:t>
                  </w:r>
                </w:p>
                <w:p>
                  <w:pPr>
                    <w:pStyle w:val="null3"/>
                    <w:jc w:val="left"/>
                  </w:pPr>
                  <w:r>
                    <w:rPr>
                      <w:rFonts w:ascii="仿宋_GB2312" w:hAnsi="仿宋_GB2312" w:cs="仿宋_GB2312" w:eastAsia="仿宋_GB2312"/>
                      <w:sz w:val="24"/>
                    </w:rPr>
                    <w:t>3、院内所有信件、包裹及报纸的收发工作。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食堂管理服务的内容</w:t>
                  </w:r>
                </w:p>
                <w:p>
                  <w:pPr>
                    <w:pStyle w:val="null3"/>
                    <w:jc w:val="left"/>
                  </w:pPr>
                  <w:r>
                    <w:rPr>
                      <w:rFonts w:ascii="仿宋_GB2312" w:hAnsi="仿宋_GB2312" w:cs="仿宋_GB2312" w:eastAsia="仿宋_GB2312"/>
                      <w:sz w:val="24"/>
                    </w:rPr>
                    <w:t>1、监督食堂服务人员每周一至周五对法院干警的早、 中、晚三餐提供科学的膳食服务；</w:t>
                  </w:r>
                </w:p>
                <w:p>
                  <w:pPr>
                    <w:pStyle w:val="null3"/>
                    <w:jc w:val="left"/>
                  </w:pPr>
                  <w:r>
                    <w:rPr>
                      <w:rFonts w:ascii="仿宋_GB2312" w:hAnsi="仿宋_GB2312" w:cs="仿宋_GB2312" w:eastAsia="仿宋_GB2312"/>
                      <w:sz w:val="24"/>
                    </w:rPr>
                    <w:t>2、对食堂提供每日不少于3次清洁、消毒、灭菌的卫生安全服务；</w:t>
                  </w:r>
                </w:p>
                <w:p>
                  <w:pPr>
                    <w:pStyle w:val="null3"/>
                    <w:jc w:val="left"/>
                  </w:pPr>
                  <w:r>
                    <w:rPr>
                      <w:rFonts w:ascii="仿宋_GB2312" w:hAnsi="仿宋_GB2312" w:cs="仿宋_GB2312" w:eastAsia="仿宋_GB2312"/>
                      <w:sz w:val="24"/>
                    </w:rPr>
                    <w:t>3、对食堂用餐人员提供就餐管理服务、餐具清洁消毒、建议与意见汇总服务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4、做好财务管理，严格对法院食堂餐费进行收支管理，规范食材采购登记，严格把控用餐数量、质量；</w:t>
                  </w:r>
                </w:p>
                <w:p>
                  <w:pPr>
                    <w:pStyle w:val="null3"/>
                    <w:jc w:val="left"/>
                  </w:pPr>
                  <w:r>
                    <w:rPr>
                      <w:rFonts w:ascii="仿宋_GB2312" w:hAnsi="仿宋_GB2312" w:cs="仿宋_GB2312" w:eastAsia="仿宋_GB2312"/>
                      <w:sz w:val="24"/>
                    </w:rPr>
                    <w:t>5、 向法院办公室提供食堂管理情况、用餐人员建议与意见的月度报告服务。</w:t>
                  </w:r>
                </w:p>
                <w:p>
                  <w:pPr>
                    <w:pStyle w:val="null3"/>
                    <w:jc w:val="left"/>
                  </w:pPr>
                  <w:r>
                    <w:rPr>
                      <w:rFonts w:ascii="仿宋_GB2312" w:hAnsi="仿宋_GB2312" w:cs="仿宋_GB2312" w:eastAsia="仿宋_GB2312"/>
                      <w:sz w:val="24"/>
                      <w:b/>
                    </w:rPr>
                    <w:t>★三、管理服务要求及标准</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物业、食堂管理服务基本要求：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供应商应按本项目管理服务标准提供专业化物业、食堂管理服务，实行目标管理。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供应商应设置物业管理派出机构，负责物业、食堂的管理工作，并制订各项管理制度、服务规范，确保履行合同，提供符合要求的服务。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供应商需向采购人配备符合工作技能要求的人员，完成本合同的物业、食堂服务工作。</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供应商需编制设施、设备、绿化等的年度维修养护计划并组织实施。</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供应商对采购人移交的资料有保管、保密责任，合同期满后移交采购人，不得遗失。</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本合同有效期内，在服务区域内发生被盗、被抢，造成采购人及第三方人身及财产损失等事故时，供应商在采取应急措施的同时，应当及时向相关部门报告，并协助做好补救、善后工作。因供应商失职造成损失，根据公安机关或相关法定机构的责任认定，需承担相应的管理责任和赔偿责任。</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供应商配备的服务人员在服务期间，因供应商自身原因造成的人身伤亡事故，供应商自行承担，与甲方无关。</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供应商应接受甲方的监督，不断完善管理服务，每半年向申方报告合同的履行情况。</w:t>
                  </w:r>
                </w:p>
                <w:p>
                  <w:pPr>
                    <w:pStyle w:val="null3"/>
                    <w:jc w:val="left"/>
                  </w:pPr>
                  <w:r>
                    <w:rPr>
                      <w:rFonts w:ascii="仿宋_GB2312" w:hAnsi="仿宋_GB2312" w:cs="仿宋_GB2312" w:eastAsia="仿宋_GB2312"/>
                      <w:sz w:val="24"/>
                    </w:rPr>
                    <w:t>9、供应商需按照消防部门要求配置24小时值班人员，完善消防安全制度、制定应急疏预案；配合消防检查，因值班人员缺岗导致的一切后果由中标人承担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供应商按采购人规定的时间准时开餐，开餐时间由采购人规定。</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供应商不准利用食堂管理之便谋利，致使采购人及其职工的利益受到损害。</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供应商必须遵守国家规定的卫生管理条例，严格执行《食品卫生法》，要保证饭菜及用餐环境的卫生。</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食堂原料仓管、饭菜制作、售卖、环境卫生等管理服务工作，不做盈利经营。</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供应商须节约用水、电、气，厨具设备合理使用，妥善保管严格管理，不得人为损坏和去失。</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合同履行期间，采购人绿化改造、房屋修、设备更换及大修等需委托中标供应商时，双方另行协商，签订补允协议。</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公共场地、设施设备日常维修的工具、材料，中标供应商申报采购单，由采购人采购、储存，中标供应商凭维修项目单，经采购人审批后领取维修材料，并作好登记。</w:t>
                  </w:r>
                </w:p>
                <w:p>
                  <w:pPr>
                    <w:pStyle w:val="null3"/>
                    <w:jc w:val="left"/>
                  </w:pPr>
                  <w:r>
                    <w:rPr>
                      <w:rFonts w:ascii="仿宋_GB2312" w:hAnsi="仿宋_GB2312" w:cs="仿宋_GB2312" w:eastAsia="仿宋_GB2312"/>
                      <w:sz w:val="22"/>
                      <w:b/>
                    </w:rPr>
                    <w:t>（二）物业专项标准</w:t>
                  </w:r>
                </w:p>
                <w:p>
                  <w:pPr>
                    <w:pStyle w:val="null3"/>
                    <w:jc w:val="left"/>
                  </w:pPr>
                  <w:r>
                    <w:rPr>
                      <w:rFonts w:ascii="仿宋_GB2312" w:hAnsi="仿宋_GB2312" w:cs="仿宋_GB2312" w:eastAsia="仿宋_GB2312"/>
                      <w:sz w:val="22"/>
                      <w:b/>
                    </w:rPr>
                    <w:t>1.保洁工作频次及标准</w:t>
                  </w:r>
                </w:p>
                <w:tbl>
                  <w:tblPr>
                    <w:tblBorders>
                      <w:top w:val="none" w:color="000000" w:sz="4"/>
                      <w:left w:val="none" w:color="000000" w:sz="4"/>
                      <w:bottom w:val="none" w:color="000000" w:sz="4"/>
                      <w:right w:val="none" w:color="000000" w:sz="4"/>
                      <w:insideH w:val="none"/>
                      <w:insideV w:val="none"/>
                    </w:tblBorders>
                  </w:tblPr>
                  <w:tblGrid>
                    <w:gridCol w:w="285"/>
                    <w:gridCol w:w="327"/>
                    <w:gridCol w:w="257"/>
                    <w:gridCol w:w="248"/>
                    <w:gridCol w:w="282"/>
                    <w:gridCol w:w="364"/>
                  </w:tblGrid>
                  <w:tr>
                    <w:tc>
                      <w:tcPr>
                        <w:tcW w:type="dxa" w:w="2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区域</w:t>
                        </w:r>
                      </w:p>
                    </w:tc>
                    <w:tc>
                      <w:tcPr>
                        <w:tcW w:type="dxa" w:w="3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清洁项目</w:t>
                        </w:r>
                      </w:p>
                    </w:tc>
                    <w:tc>
                      <w:tcPr>
                        <w:tcW w:type="dxa" w:w="78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工作频次</w:t>
                        </w:r>
                      </w:p>
                    </w:tc>
                    <w:tc>
                      <w:tcPr>
                        <w:tcW w:type="dxa" w:w="3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工作标准</w:t>
                        </w:r>
                      </w:p>
                    </w:tc>
                  </w:tr>
                  <w:tr>
                    <w:tc>
                      <w:tcPr>
                        <w:tcW w:type="dxa" w:w="285"/>
                        <w:vMerge/>
                        <w:tcBorders>
                          <w:top w:val="single" w:color="000000" w:sz="4"/>
                          <w:left w:val="single" w:color="000000" w:sz="4"/>
                          <w:bottom w:val="single" w:color="000000" w:sz="4"/>
                          <w:right w:val="single" w:color="000000" w:sz="4"/>
                        </w:tcBorders>
                      </w:tcPr>
                      <w:p/>
                    </w:tc>
                    <w:tc>
                      <w:tcPr>
                        <w:tcW w:type="dxa" w:w="327"/>
                        <w:vMerge/>
                        <w:tcBorders>
                          <w:top w:val="single" w:color="000000" w:sz="4"/>
                          <w:left w:val="single" w:color="000000" w:sz="4"/>
                          <w:bottom w:val="single" w:color="000000" w:sz="4"/>
                          <w:right w:val="single" w:color="000000" w:sz="4"/>
                        </w:tcBorders>
                      </w:tc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每日</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每周</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每月</w:t>
                        </w:r>
                      </w:p>
                    </w:tc>
                    <w:tc>
                      <w:tcPr>
                        <w:tcW w:type="dxa" w:w="364"/>
                        <w:vMerge/>
                        <w:tcBorders>
                          <w:top w:val="single" w:color="000000" w:sz="4"/>
                          <w:left w:val="single" w:color="000000" w:sz="4"/>
                          <w:bottom w:val="single" w:color="000000" w:sz="4"/>
                          <w:right w:val="single" w:color="000000" w:sz="4"/>
                        </w:tcBorders>
                      </w:tcP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会议室、多功能厅</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墙壁低位</w:t>
                        </w:r>
                        <w:r>
                          <w:rPr>
                            <w:rFonts w:ascii="仿宋_GB2312" w:hAnsi="仿宋_GB2312" w:cs="仿宋_GB2312" w:eastAsia="仿宋_GB2312"/>
                            <w:sz w:val="19"/>
                          </w:rPr>
                          <w:t>(1.5M以下）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墙壁高位</w:t>
                        </w:r>
                        <w:r>
                          <w:rPr>
                            <w:rFonts w:ascii="仿宋_GB2312" w:hAnsi="仿宋_GB2312" w:cs="仿宋_GB2312" w:eastAsia="仿宋_GB2312"/>
                            <w:sz w:val="19"/>
                          </w:rPr>
                          <w:t>(1.5M以上）</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掸尘</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门、窗、窗台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天花、风口、灯饰、牌</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玻璃内面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刮洗</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墙壁附属设施</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电脑、桌椅</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大堂</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保养</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r>
                          <w:rPr>
                            <w:rFonts w:ascii="仿宋_GB2312" w:hAnsi="仿宋_GB2312" w:cs="仿宋_GB2312" w:eastAsia="仿宋_GB2312"/>
                            <w:sz w:val="19"/>
                          </w:rPr>
                          <w:t>,显湿地效应</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全面清洁</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r>
                          <w:rPr>
                            <w:rFonts w:ascii="仿宋_GB2312" w:hAnsi="仿宋_GB2312" w:cs="仿宋_GB2312" w:eastAsia="仿宋_GB2312"/>
                            <w:sz w:val="19"/>
                          </w:rPr>
                          <w:t>,无蛛网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门、玻璃</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无灰尘、无污渍、无水迹、光亮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清洗</w:t>
                        </w:r>
                        <w:r>
                          <w:rPr>
                            <w:rFonts w:ascii="仿宋_GB2312" w:hAnsi="仿宋_GB2312" w:cs="仿宋_GB2312" w:eastAsia="仿宋_GB2312"/>
                            <w:sz w:val="19"/>
                          </w:rPr>
                          <w:t>2次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w:t>
                        </w:r>
                        <w:r>
                          <w:rPr>
                            <w:rFonts w:ascii="仿宋_GB2312" w:hAnsi="仿宋_GB2312" w:cs="仿宋_GB2312" w:eastAsia="仿宋_GB2312"/>
                            <w:sz w:val="19"/>
                          </w:rPr>
                          <w:t>,悬挂灯饰、牌</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接待台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无积尘、无污渍、无异味</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花卉植物</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干净鲜活，无积尘、无污渍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装饰物</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电梯门</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洁净光亮、油面均匀</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电梯轿厢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洁净光亮、无异味</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明亮、无尘、无蛛网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踏板接缝</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清理</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地垫</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无垃圾、无污渍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消防通道</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平台地面、踏步</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拖洗</w:t>
                        </w:r>
                        <w:r>
                          <w:rPr>
                            <w:rFonts w:ascii="仿宋_GB2312" w:hAnsi="仿宋_GB2312" w:cs="仿宋_GB2312" w:eastAsia="仿宋_GB2312"/>
                            <w:sz w:val="19"/>
                          </w:rPr>
                          <w:t>2次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清洗</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墙壁低位</w:t>
                        </w:r>
                        <w:r>
                          <w:rPr>
                            <w:rFonts w:ascii="仿宋_GB2312" w:hAnsi="仿宋_GB2312" w:cs="仿宋_GB2312" w:eastAsia="仿宋_GB2312"/>
                            <w:sz w:val="19"/>
                          </w:rPr>
                          <w:t>(1.5M以下）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墙壁高位</w:t>
                        </w:r>
                        <w:r>
                          <w:rPr>
                            <w:rFonts w:ascii="仿宋_GB2312" w:hAnsi="仿宋_GB2312" w:cs="仿宋_GB2312" w:eastAsia="仿宋_GB2312"/>
                            <w:sz w:val="19"/>
                          </w:rPr>
                          <w:t>(1.5M以上）</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掸尘</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门、窗、窗台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天花、风口、灯饰、牌</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玻璃内面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刮洗</w:t>
                        </w:r>
                        <w:r>
                          <w:rPr>
                            <w:rFonts w:ascii="仿宋_GB2312" w:hAnsi="仿宋_GB2312" w:cs="仿宋_GB2312" w:eastAsia="仿宋_GB2312"/>
                            <w:sz w:val="19"/>
                          </w:rPr>
                          <w:t>2次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2</w:t>
                        </w:r>
                      </w:p>
                      <w:p>
                        <w:pPr>
                          <w:pStyle w:val="null3"/>
                          <w:jc w:val="center"/>
                        </w:pPr>
                        <w:r>
                          <w:rPr>
                            <w:rFonts w:ascii="仿宋_GB2312" w:hAnsi="仿宋_GB2312" w:cs="仿宋_GB2312" w:eastAsia="仿宋_GB2312"/>
                            <w:sz w:val="19"/>
                          </w:rPr>
                          <w:t>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无积尘、无污渍、无异味</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地脚线</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墙壁附属设施</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扶手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扶手铁翼</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楼层走廊</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w:t>
                        </w:r>
                      </w:p>
                      <w:p>
                        <w:pPr>
                          <w:pStyle w:val="null3"/>
                          <w:jc w:val="center"/>
                        </w:pPr>
                        <w:r>
                          <w:rPr>
                            <w:rFonts w:ascii="仿宋_GB2312" w:hAnsi="仿宋_GB2312" w:cs="仿宋_GB2312" w:eastAsia="仿宋_GB2312"/>
                            <w:sz w:val="19"/>
                          </w:rPr>
                          <w:t>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保养</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r>
                          <w:rPr>
                            <w:rFonts w:ascii="仿宋_GB2312" w:hAnsi="仿宋_GB2312" w:cs="仿宋_GB2312" w:eastAsia="仿宋_GB2312"/>
                            <w:sz w:val="19"/>
                          </w:rPr>
                          <w:t>,显湿地效应</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墙壁低位</w:t>
                        </w:r>
                        <w:r>
                          <w:rPr>
                            <w:rFonts w:ascii="仿宋_GB2312" w:hAnsi="仿宋_GB2312" w:cs="仿宋_GB2312" w:eastAsia="仿宋_GB2312"/>
                            <w:sz w:val="19"/>
                          </w:rPr>
                          <w:t>(1.5M以下）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墙壁高位</w:t>
                        </w:r>
                        <w:r>
                          <w:rPr>
                            <w:rFonts w:ascii="仿宋_GB2312" w:hAnsi="仿宋_GB2312" w:cs="仿宋_GB2312" w:eastAsia="仿宋_GB2312"/>
                            <w:sz w:val="19"/>
                          </w:rPr>
                          <w:t>(1.5M以上）</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掸尘</w:t>
                        </w: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门、窗、窗台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w:t>
                        </w:r>
                        <w:r>
                          <w:rPr>
                            <w:rFonts w:ascii="仿宋_GB2312" w:hAnsi="仿宋_GB2312" w:cs="仿宋_GB2312" w:eastAsia="仿宋_GB2312"/>
                            <w:sz w:val="19"/>
                          </w:rPr>
                          <w:t>,悬挂灯饰、牌</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玻璃内面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刮洗</w:t>
                        </w: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烟灰桶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无积尘、无污渍、石米干净</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地脚线</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墙壁附属设施</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设备室闲置房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墙面、天花、照明灯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门窗、玻璃</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明亮、无积尘、无污渍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踏板接缝</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按要求</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洗手间</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无灰尘、无污渍、无积水</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隔板、墙面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3次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洁净、无污渍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理容镜</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洁净、无污渍、光亮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门、窗、窗台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天花、风口、灯饰、牌</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窗玻璃内面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刮洗</w:t>
                        </w:r>
                        <w:r>
                          <w:rPr>
                            <w:rFonts w:ascii="仿宋_GB2312" w:hAnsi="仿宋_GB2312" w:cs="仿宋_GB2312" w:eastAsia="仿宋_GB2312"/>
                            <w:sz w:val="19"/>
                          </w:rPr>
                          <w:t>2</w:t>
                        </w:r>
                      </w:p>
                      <w:p>
                        <w:pPr>
                          <w:pStyle w:val="null3"/>
                          <w:jc w:val="center"/>
                        </w:pPr>
                        <w:r>
                          <w:rPr>
                            <w:rFonts w:ascii="仿宋_GB2312" w:hAnsi="仿宋_GB2312" w:cs="仿宋_GB2312" w:eastAsia="仿宋_GB2312"/>
                            <w:sz w:val="19"/>
                          </w:rPr>
                          <w:t>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无严重污渍、垃圾不超过</w:t>
                        </w:r>
                        <w:r>
                          <w:rPr>
                            <w:rFonts w:ascii="仿宋_GB2312" w:hAnsi="仿宋_GB2312" w:cs="仿宋_GB2312" w:eastAsia="仿宋_GB2312"/>
                            <w:sz w:val="19"/>
                          </w:rPr>
                          <w:t>2/3</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厕位</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更换香球</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洁净、无污渍、无积水</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小便池</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随时保洁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更换香球</w:t>
                        </w: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无灰尘、无污渍、无积水</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空气清新剂</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随时喷洒</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无异味，空气清新</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会客厅</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墙壁低位</w:t>
                        </w:r>
                        <w:r>
                          <w:rPr>
                            <w:rFonts w:ascii="仿宋_GB2312" w:hAnsi="仿宋_GB2312" w:cs="仿宋_GB2312" w:eastAsia="仿宋_GB2312"/>
                            <w:sz w:val="19"/>
                          </w:rPr>
                          <w:t>(1.5M以下）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3</w:t>
                        </w:r>
                      </w:p>
                      <w:p>
                        <w:pPr>
                          <w:pStyle w:val="null3"/>
                          <w:jc w:val="center"/>
                        </w:pPr>
                        <w:r>
                          <w:rPr>
                            <w:rFonts w:ascii="仿宋_GB2312" w:hAnsi="仿宋_GB2312" w:cs="仿宋_GB2312" w:eastAsia="仿宋_GB2312"/>
                            <w:sz w:val="19"/>
                          </w:rPr>
                          <w:t>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无灰尘、无污渍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墙壁高位</w:t>
                        </w:r>
                        <w:r>
                          <w:rPr>
                            <w:rFonts w:ascii="仿宋_GB2312" w:hAnsi="仿宋_GB2312" w:cs="仿宋_GB2312" w:eastAsia="仿宋_GB2312"/>
                            <w:sz w:val="19"/>
                          </w:rPr>
                          <w:t>(1.5M以上）</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掸尘</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门、窗、窗台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天花、风口、灯饰、牌、玻璃</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无积尘、无污渍、无蛛网、光亮</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墙壁附属设施</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电脑、桌椅</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外环境</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路面、停车场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无垃圾、无积水</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绿化带、花池沿</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无垃圾、无积水</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指⽰牌、铭牌、标⽰等</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墙壁低位</w:t>
                        </w:r>
                        <w:r>
                          <w:rPr>
                            <w:rFonts w:ascii="仿宋_GB2312" w:hAnsi="仿宋_GB2312" w:cs="仿宋_GB2312" w:eastAsia="仿宋_GB2312"/>
                            <w:sz w:val="19"/>
                          </w:rPr>
                          <w:t>(1.5M以下）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漏沙井、排水沟</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无堵塞、无垃圾</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高位灯饰等</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r>
                          <w:rPr>
                            <w:rFonts w:ascii="仿宋_GB2312" w:hAnsi="仿宋_GB2312" w:cs="仿宋_GB2312" w:eastAsia="仿宋_GB2312"/>
                            <w:sz w:val="19"/>
                          </w:rPr>
                          <w:t>、无蛛网</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门岗房、电动门</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无积尘、无污渍</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垃圾中转站清洁</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无积水、无异味</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公共活动场所清扫</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2次</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无垃圾、无污迹</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区内公共雨、污水管道清洁</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无堵塞、无垃圾</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化粪池</w:t>
                        </w:r>
                      </w:p>
                    </w:tc>
                    <w:tc>
                      <w:tcPr>
                        <w:tcW w:type="dxa" w:w="7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每年清运一次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需要时，服务费另计</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二次供水池</w:t>
                        </w:r>
                      </w:p>
                    </w:tc>
                    <w:tc>
                      <w:tcPr>
                        <w:tcW w:type="dxa" w:w="7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每年清洗两次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有检验证明</w:t>
                        </w:r>
                      </w:p>
                    </w:tc>
                  </w:tr>
                  <w:tr>
                    <w:tc>
                      <w:tcPr>
                        <w:tcW w:type="dxa" w:w="285"/>
                        <w:vMerge/>
                        <w:tcBorders>
                          <w:top w:val="none" w:color="000000" w:sz="4"/>
                          <w:left w:val="single" w:color="000000" w:sz="4"/>
                          <w:bottom w:val="single" w:color="000000" w:sz="4"/>
                          <w:right w:val="single" w:color="000000" w:sz="4"/>
                        </w:tcBorders>
                      </w:tc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外墙清洗</w:t>
                        </w:r>
                      </w:p>
                    </w:tc>
                    <w:tc>
                      <w:tcPr>
                        <w:tcW w:type="dxa" w:w="7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按采购人要求</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需要时，服务费另计</w:t>
                        </w:r>
                      </w:p>
                    </w:tc>
                  </w:tr>
                </w:tbl>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绿化工作频次及标准</w:t>
                  </w:r>
                </w:p>
                <w:tbl>
                  <w:tblPr>
                    <w:tblBorders>
                      <w:top w:val="none" w:color="000000" w:sz="4"/>
                      <w:left w:val="none" w:color="000000" w:sz="4"/>
                      <w:bottom w:val="none" w:color="000000" w:sz="4"/>
                      <w:right w:val="none" w:color="000000" w:sz="4"/>
                      <w:insideH w:val="none"/>
                      <w:insideV w:val="none"/>
                    </w:tblBorders>
                  </w:tblPr>
                  <w:tblGrid>
                    <w:gridCol w:w="252"/>
                    <w:gridCol w:w="252"/>
                    <w:gridCol w:w="252"/>
                    <w:gridCol w:w="629"/>
                    <w:gridCol w:w="377"/>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管理工作</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服务频次</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工作标准</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质量标准</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w:t>
                        </w:r>
                      </w:p>
                      <w:p>
                        <w:pPr>
                          <w:pStyle w:val="null3"/>
                          <w:jc w:val="center"/>
                        </w:pPr>
                        <w:r>
                          <w:rPr>
                            <w:rFonts w:ascii="仿宋_GB2312" w:hAnsi="仿宋_GB2312" w:cs="仿宋_GB2312" w:eastAsia="仿宋_GB2312"/>
                            <w:sz w:val="19"/>
                          </w:rPr>
                          <w:t>坪</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浇水</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视天气而定</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草地湿润、无旱象，浇水渗入草地</w:t>
                        </w:r>
                        <w:r>
                          <w:rPr>
                            <w:rFonts w:ascii="仿宋_GB2312" w:hAnsi="仿宋_GB2312" w:cs="仿宋_GB2312" w:eastAsia="仿宋_GB2312"/>
                            <w:sz w:val="19"/>
                          </w:rPr>
                          <w:t>5cm以上</w:t>
                        </w:r>
                      </w:p>
                    </w:tc>
                    <w:tc>
                      <w:tcPr>
                        <w:tcW w:type="dxa" w:w="3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草种纯度</w:t>
                        </w:r>
                        <w:r>
                          <w:rPr>
                            <w:rFonts w:ascii="仿宋_GB2312" w:hAnsi="仿宋_GB2312" w:cs="仿宋_GB2312" w:eastAsia="仿宋_GB2312"/>
                            <w:sz w:val="19"/>
                          </w:rPr>
                          <w:t>90%以上，颜色茵绿，生长高度一致，不结堆</w:t>
                        </w: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除杂草</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杂草目视不明显、无结堆现象</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修剪</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生长高度</w:t>
                        </w:r>
                        <w:r>
                          <w:rPr>
                            <w:rFonts w:ascii="仿宋_GB2312" w:hAnsi="仿宋_GB2312" w:cs="仿宋_GB2312" w:eastAsia="仿宋_GB2312"/>
                            <w:sz w:val="19"/>
                          </w:rPr>
                          <w:t>10 cm以下（日常超高即修剪）</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施肥</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复合肥</w:t>
                        </w:r>
                        <w:r>
                          <w:rPr>
                            <w:rFonts w:ascii="仿宋_GB2312" w:hAnsi="仿宋_GB2312" w:cs="仿宋_GB2312" w:eastAsia="仿宋_GB2312"/>
                            <w:sz w:val="19"/>
                          </w:rPr>
                          <w:t>30克/m²</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补植</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死亡率</w:t>
                        </w:r>
                        <w:r>
                          <w:rPr>
                            <w:rFonts w:ascii="仿宋_GB2312" w:hAnsi="仿宋_GB2312" w:cs="仿宋_GB2312" w:eastAsia="仿宋_GB2312"/>
                            <w:sz w:val="19"/>
                          </w:rPr>
                          <w:t>50%以上、面积2 m²以上</w:t>
                        </w:r>
                      </w:p>
                    </w:tc>
                    <w:tc>
                      <w:tcPr>
                        <w:tcW w:type="dxa" w:w="377"/>
                        <w:vMerge/>
                        <w:tcBorders>
                          <w:top w:val="none" w:color="000000" w:sz="4"/>
                          <w:left w:val="none" w:color="000000" w:sz="4"/>
                          <w:bottom w:val="single" w:color="000000" w:sz="4"/>
                          <w:right w:val="single" w:color="000000" w:sz="4"/>
                        </w:tcBorders>
                      </w:tcP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绿</w:t>
                        </w:r>
                      </w:p>
                      <w:p>
                        <w:pPr>
                          <w:pStyle w:val="null3"/>
                          <w:jc w:val="center"/>
                        </w:pPr>
                        <w:r>
                          <w:rPr>
                            <w:rFonts w:ascii="仿宋_GB2312" w:hAnsi="仿宋_GB2312" w:cs="仿宋_GB2312" w:eastAsia="仿宋_GB2312"/>
                            <w:sz w:val="19"/>
                          </w:rPr>
                          <w:t>篱</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浇水</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视天气而定</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无旱象，浇水渗入土壤</w:t>
                        </w:r>
                        <w:r>
                          <w:rPr>
                            <w:rFonts w:ascii="仿宋_GB2312" w:hAnsi="仿宋_GB2312" w:cs="仿宋_GB2312" w:eastAsia="仿宋_GB2312"/>
                            <w:sz w:val="19"/>
                          </w:rPr>
                          <w:t>15cm以上</w:t>
                        </w:r>
                      </w:p>
                    </w:tc>
                    <w:tc>
                      <w:tcPr>
                        <w:tcW w:type="dxa" w:w="3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长势旺盛，高度一致，整齐美观，不断段、不缺口</w:t>
                        </w: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除杂草</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杂草目视不明显</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修剪</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顶面平整、侧面垂直，宽度一致，棱角分明</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施肥</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复合肥</w:t>
                        </w:r>
                        <w:r>
                          <w:rPr>
                            <w:rFonts w:ascii="仿宋_GB2312" w:hAnsi="仿宋_GB2312" w:cs="仿宋_GB2312" w:eastAsia="仿宋_GB2312"/>
                            <w:sz w:val="19"/>
                          </w:rPr>
                          <w:t>50克/m</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补植</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出现死株或断段、缺口</w:t>
                        </w:r>
                      </w:p>
                    </w:tc>
                    <w:tc>
                      <w:tcPr>
                        <w:tcW w:type="dxa" w:w="377"/>
                        <w:vMerge/>
                        <w:tcBorders>
                          <w:top w:val="none" w:color="000000" w:sz="4"/>
                          <w:left w:val="none" w:color="000000" w:sz="4"/>
                          <w:bottom w:val="single" w:color="000000" w:sz="4"/>
                          <w:right w:val="single" w:color="000000" w:sz="4"/>
                        </w:tcBorders>
                      </w:tcP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w:t>
                        </w:r>
                      </w:p>
                      <w:p>
                        <w:pPr>
                          <w:pStyle w:val="null3"/>
                          <w:jc w:val="center"/>
                        </w:pPr>
                        <w:r>
                          <w:rPr>
                            <w:rFonts w:ascii="仿宋_GB2312" w:hAnsi="仿宋_GB2312" w:cs="仿宋_GB2312" w:eastAsia="仿宋_GB2312"/>
                            <w:sz w:val="19"/>
                          </w:rPr>
                          <w:t>木</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浇水</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视天气而定</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根据花木高度渗入土壤</w:t>
                        </w:r>
                        <w:r>
                          <w:rPr>
                            <w:rFonts w:ascii="仿宋_GB2312" w:hAnsi="仿宋_GB2312" w:cs="仿宋_GB2312" w:eastAsia="仿宋_GB2312"/>
                            <w:sz w:val="19"/>
                          </w:rPr>
                          <w:t>20m--50 m以上</w:t>
                        </w:r>
                      </w:p>
                    </w:tc>
                    <w:tc>
                      <w:tcPr>
                        <w:tcW w:type="dxa" w:w="3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枝繁叶茂，苍茏翠绿，株姿株态美</w:t>
                        </w: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除杂草</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修剪</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每年</w:t>
                        </w:r>
                        <w:r>
                          <w:rPr>
                            <w:rFonts w:ascii="仿宋_GB2312" w:hAnsi="仿宋_GB2312" w:cs="仿宋_GB2312" w:eastAsia="仿宋_GB2312"/>
                            <w:sz w:val="19"/>
                          </w:rPr>
                          <w:t>2次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美观</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施肥</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每季度</w:t>
                        </w:r>
                        <w:r>
                          <w:rPr>
                            <w:rFonts w:ascii="仿宋_GB2312" w:hAnsi="仿宋_GB2312" w:cs="仿宋_GB2312" w:eastAsia="仿宋_GB2312"/>
                            <w:sz w:val="19"/>
                          </w:rPr>
                          <w:t>1次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根据花木大小、土质施肥</w:t>
                        </w:r>
                        <w:r>
                          <w:rPr>
                            <w:rFonts w:ascii="仿宋_GB2312" w:hAnsi="仿宋_GB2312" w:cs="仿宋_GB2312" w:eastAsia="仿宋_GB2312"/>
                            <w:sz w:val="19"/>
                          </w:rPr>
                          <w:t>100--350克/株</w:t>
                        </w:r>
                      </w:p>
                    </w:tc>
                    <w:tc>
                      <w:tcPr>
                        <w:tcW w:type="dxa" w:w="377"/>
                        <w:vMerge/>
                        <w:tcBorders>
                          <w:top w:val="none" w:color="000000" w:sz="4"/>
                          <w:left w:val="none" w:color="000000" w:sz="4"/>
                          <w:bottom w:val="single" w:color="000000" w:sz="4"/>
                          <w:right w:val="single" w:color="000000" w:sz="4"/>
                        </w:tcBorders>
                      </w:tcPr>
                      <w:p/>
                    </w:tc>
                  </w:tr>
                  <w:tr>
                    <w:tc>
                      <w:tcPr>
                        <w:tcW w:type="dxa" w:w="252"/>
                        <w:vMerge/>
                        <w:tcBorders>
                          <w:top w:val="non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抗风</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扶正、加固</w:t>
                        </w:r>
                      </w:p>
                    </w:tc>
                    <w:tc>
                      <w:tcPr>
                        <w:tcW w:type="dxa" w:w="377"/>
                        <w:vMerge/>
                        <w:tcBorders>
                          <w:top w:val="none" w:color="000000" w:sz="4"/>
                          <w:left w:val="none" w:color="000000" w:sz="4"/>
                          <w:bottom w:val="single" w:color="000000" w:sz="4"/>
                          <w:right w:val="single" w:color="000000" w:sz="4"/>
                        </w:tcBorders>
                      </w:tcP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病虫害防治</w:t>
                        </w:r>
                      </w:p>
                    </w:tc>
                    <w:tc>
                      <w:tcPr>
                        <w:tcW w:type="dxa" w:w="15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1、预防为主，综合防治</w:t>
                        </w:r>
                      </w:p>
                    </w:tc>
                  </w:tr>
                  <w:tr>
                    <w:tc>
                      <w:tcPr>
                        <w:tcW w:type="dxa" w:w="252"/>
                        <w:vMerge/>
                        <w:tcBorders>
                          <w:top w:val="none" w:color="000000" w:sz="4"/>
                          <w:left w:val="single" w:color="000000" w:sz="4"/>
                          <w:bottom w:val="single" w:color="000000" w:sz="4"/>
                          <w:right w:val="single" w:color="000000" w:sz="4"/>
                        </w:tcBorders>
                      </w:tcPr>
                      <w:p/>
                    </w:tc>
                    <w:tc>
                      <w:tcPr>
                        <w:tcW w:type="dxa" w:w="15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2、定期喷药、适时用药、对症下药、正确施药、安全用药</w:t>
                        </w:r>
                      </w:p>
                    </w:tc>
                  </w:tr>
                  <w:tr>
                    <w:tc>
                      <w:tcPr>
                        <w:tcW w:type="dxa" w:w="252"/>
                        <w:vMerge/>
                        <w:tcBorders>
                          <w:top w:val="none" w:color="000000" w:sz="4"/>
                          <w:left w:val="single" w:color="000000" w:sz="4"/>
                          <w:bottom w:val="single" w:color="000000" w:sz="4"/>
                          <w:right w:val="single" w:color="000000" w:sz="4"/>
                        </w:tcBorders>
                      </w:tcPr>
                      <w:p/>
                    </w:tc>
                    <w:tc>
                      <w:tcPr>
                        <w:tcW w:type="dxa" w:w="15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3、治早、治小、治了</w:t>
                        </w:r>
                      </w:p>
                    </w:tc>
                  </w:tr>
                  <w:tr>
                    <w:tc>
                      <w:tcPr>
                        <w:tcW w:type="dxa" w:w="252"/>
                        <w:vMerge/>
                        <w:tcBorders>
                          <w:top w:val="none" w:color="000000" w:sz="4"/>
                          <w:left w:val="single" w:color="000000" w:sz="4"/>
                          <w:bottom w:val="single" w:color="000000" w:sz="4"/>
                          <w:right w:val="single" w:color="000000" w:sz="4"/>
                        </w:tcBorders>
                      </w:tcPr>
                      <w:p/>
                    </w:tc>
                    <w:tc>
                      <w:tcPr>
                        <w:tcW w:type="dxa" w:w="15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4、初期量小人工清除、捕杀</w:t>
                        </w:r>
                      </w:p>
                    </w:tc>
                  </w:tr>
                  <w:tr>
                    <w:tc>
                      <w:tcPr>
                        <w:tcW w:type="dxa" w:w="252"/>
                        <w:vMerge/>
                        <w:tcBorders>
                          <w:top w:val="none" w:color="000000" w:sz="4"/>
                          <w:left w:val="single" w:color="000000" w:sz="4"/>
                          <w:bottom w:val="single" w:color="000000" w:sz="4"/>
                          <w:right w:val="single" w:color="000000" w:sz="4"/>
                        </w:tcBorders>
                      </w:tcPr>
                      <w:p/>
                    </w:tc>
                    <w:tc>
                      <w:tcPr>
                        <w:tcW w:type="dxa" w:w="15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5、减少农药污染，保护环境</w:t>
                        </w:r>
                      </w:p>
                    </w:tc>
                  </w:tr>
                </w:tbl>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机电</w:t>
                  </w:r>
                  <w:r>
                    <w:rPr>
                      <w:rFonts w:ascii="仿宋_GB2312" w:hAnsi="仿宋_GB2312" w:cs="仿宋_GB2312" w:eastAsia="仿宋_GB2312"/>
                      <w:sz w:val="22"/>
                      <w:b/>
                    </w:rPr>
                    <w:t>设备管理标准</w:t>
                  </w:r>
                </w:p>
                <w:tbl>
                  <w:tblPr>
                    <w:tblBorders>
                      <w:top w:val="none" w:color="000000" w:sz="4"/>
                      <w:left w:val="none" w:color="000000" w:sz="4"/>
                      <w:bottom w:val="none" w:color="000000" w:sz="4"/>
                      <w:right w:val="none" w:color="000000" w:sz="4"/>
                      <w:insideH w:val="none"/>
                      <w:insideV w:val="none"/>
                    </w:tblBorders>
                  </w:tblPr>
                  <w:tblGrid>
                    <w:gridCol w:w="236"/>
                    <w:gridCol w:w="411"/>
                    <w:gridCol w:w="1117"/>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内容</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事项</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设备运行</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共用设施设备运行正常，</w:t>
                        </w:r>
                        <w:r>
                          <w:rPr>
                            <w:rFonts w:ascii="仿宋_GB2312" w:hAnsi="仿宋_GB2312" w:cs="仿宋_GB2312" w:eastAsia="仿宋_GB2312"/>
                            <w:sz w:val="19"/>
                          </w:rPr>
                          <w:t>维护良好，</w:t>
                        </w:r>
                        <w:r>
                          <w:rPr>
                            <w:rFonts w:ascii="仿宋_GB2312" w:hAnsi="仿宋_GB2312" w:cs="仿宋_GB2312" w:eastAsia="仿宋_GB2312"/>
                            <w:sz w:val="19"/>
                          </w:rPr>
                          <w:t>无事故隐患；有设备台帐、运行记录、检查记录、维修记录、保养记录。</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值班报修</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急修报修半小时内到达现场，预约维修报修按双方约定时间到达现场；回访率</w:t>
                        </w:r>
                        <w:r>
                          <w:rPr>
                            <w:rFonts w:ascii="仿宋_GB2312" w:hAnsi="仿宋_GB2312" w:cs="仿宋_GB2312" w:eastAsia="仿宋_GB2312"/>
                            <w:sz w:val="19"/>
                          </w:rPr>
                          <w:t>100％。</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操作员工</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技能熟练，严格执行操作规程，持证上岗。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符合消防部门的有关规定进行管理，定期进行消防演习，保证消防通道畅通，设备保管使用合理。</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道路、停车场</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平整通畅，交通线标志齐全规范</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路灯、楼道灯等公共照明设备</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完好率</w:t>
                        </w:r>
                        <w:r>
                          <w:rPr>
                            <w:rFonts w:ascii="仿宋_GB2312" w:hAnsi="仿宋_GB2312" w:cs="仿宋_GB2312" w:eastAsia="仿宋_GB2312"/>
                            <w:sz w:val="19"/>
                          </w:rPr>
                          <w:t>98％以上，按采购人规定时间、规定标准，定时开关。</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制度</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维修养护制度健全并在工作场所明⽰，工作标准及岗位责任制明确，执行良好。</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设备故障及重大事件</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有完善的应急方案、现场处理措施、处理记录以及分析培训工作。</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设备房</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卫生、整洁，</w:t>
                        </w:r>
                        <w:r>
                          <w:rPr>
                            <w:rFonts w:ascii="仿宋_GB2312" w:hAnsi="仿宋_GB2312" w:cs="仿宋_GB2312" w:eastAsia="仿宋_GB2312"/>
                            <w:sz w:val="19"/>
                          </w:rPr>
                          <w:t>主要设施设备标识清楚齐全。</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设备房及公共场所、场地、危及人身安全隐患处</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有明显标志和防范措施</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停水、</w:t>
                        </w:r>
                        <w:r>
                          <w:rPr>
                            <w:rFonts w:ascii="仿宋_GB2312" w:hAnsi="仿宋_GB2312" w:cs="仿宋_GB2312" w:eastAsia="仿宋_GB2312"/>
                            <w:sz w:val="19"/>
                          </w:rPr>
                          <w:t>停电</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在接到相关部门通知后，</w:t>
                        </w:r>
                        <w:r>
                          <w:rPr>
                            <w:rFonts w:ascii="仿宋_GB2312" w:hAnsi="仿宋_GB2312" w:cs="仿宋_GB2312" w:eastAsia="仿宋_GB2312"/>
                            <w:sz w:val="19"/>
                          </w:rPr>
                          <w:t>按规定时间提前通知相关人员。市政停电时，必须在</w:t>
                        </w:r>
                        <w:r>
                          <w:rPr>
                            <w:rFonts w:ascii="仿宋_GB2312" w:hAnsi="仿宋_GB2312" w:cs="仿宋_GB2312" w:eastAsia="仿宋_GB2312"/>
                            <w:sz w:val="19"/>
                          </w:rPr>
                          <w:t>30分钟内恢复本项目场地范围内供电。</w:t>
                        </w:r>
                      </w:p>
                    </w:tc>
                  </w:tr>
                </w:tbl>
                <w:p>
                  <w:pPr>
                    <w:pStyle w:val="null3"/>
                    <w:jc w:val="left"/>
                  </w:pPr>
                  <w:r>
                    <w:rPr>
                      <w:rFonts w:ascii="仿宋_GB2312" w:hAnsi="仿宋_GB2312" w:cs="仿宋_GB2312" w:eastAsia="仿宋_GB2312"/>
                      <w:sz w:val="22"/>
                      <w:b/>
                    </w:rPr>
                    <w:t>4、秩序维护工作检查标准</w:t>
                  </w:r>
                </w:p>
                <w:tbl>
                  <w:tblPr>
                    <w:tblBorders>
                      <w:top w:val="none" w:color="000000" w:sz="4"/>
                      <w:left w:val="none" w:color="000000" w:sz="4"/>
                      <w:bottom w:val="none" w:color="000000" w:sz="4"/>
                      <w:right w:val="none" w:color="000000" w:sz="4"/>
                      <w:insideH w:val="none"/>
                      <w:insideV w:val="none"/>
                    </w:tblBorders>
                  </w:tblPr>
                  <w:tblGrid>
                    <w:gridCol w:w="180"/>
                    <w:gridCol w:w="455"/>
                    <w:gridCol w:w="1128"/>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事项</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要求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门岗、监控室</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单位办公楼出入口</w:t>
                        </w:r>
                        <w:r>
                          <w:rPr>
                            <w:rFonts w:ascii="仿宋_GB2312" w:hAnsi="仿宋_GB2312" w:cs="仿宋_GB2312" w:eastAsia="仿宋_GB2312"/>
                            <w:sz w:val="19"/>
                          </w:rPr>
                          <w:t>24小时值班，上、下班时间立岗值班.</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巡查</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办公区各重点部位每日巡查不少于</w:t>
                        </w:r>
                        <w:r>
                          <w:rPr>
                            <w:rFonts w:ascii="仿宋_GB2312" w:hAnsi="仿宋_GB2312" w:cs="仿宋_GB2312" w:eastAsia="仿宋_GB2312"/>
                            <w:sz w:val="19"/>
                          </w:rPr>
                          <w:t>4次，并做好巡逻登记。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安全防范警⽰标志</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设置在单位公共娱乐设施、水池、设备房、顶层天台等危险隐患部位。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禁止无关车辆进入本项目场地范围，确需进入的，应引导车辆有序通行、停放。要做好外来车辆及人员进出相关登记工作。</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外来人员</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禁止无关人员</w:t>
                        </w:r>
                        <w:r>
                          <w:rPr>
                            <w:rFonts w:ascii="仿宋_GB2312" w:hAnsi="仿宋_GB2312" w:cs="仿宋_GB2312" w:eastAsia="仿宋_GB2312"/>
                            <w:sz w:val="19"/>
                          </w:rPr>
                          <w:t>(产品推销及收购废品等闲杂人员)进入。对外来人员做盘问、登记管理；对访客登记、指引行走路径。</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突发事件</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火灾、水浸、刑事、交通事故等突发事件有应急处理预案（每年预演一次）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值班要求</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秩序维护员提前</w:t>
                        </w:r>
                        <w:r>
                          <w:rPr>
                            <w:rFonts w:ascii="仿宋_GB2312" w:hAnsi="仿宋_GB2312" w:cs="仿宋_GB2312" w:eastAsia="仿宋_GB2312"/>
                            <w:sz w:val="19"/>
                          </w:rPr>
                          <w:t>15分钟到岗交接班，值班人员精神集中，不离岗，不得看书、看报,不得睡觉、吃零食及做与工作无关的事情</w:t>
                        </w:r>
                      </w:p>
                    </w:tc>
                  </w:tr>
                </w:tbl>
                <w:p>
                  <w:pPr>
                    <w:pStyle w:val="null3"/>
                    <w:jc w:val="left"/>
                  </w:pPr>
                  <w:r>
                    <w:rPr>
                      <w:rFonts w:ascii="仿宋_GB2312" w:hAnsi="仿宋_GB2312" w:cs="仿宋_GB2312" w:eastAsia="仿宋_GB2312"/>
                      <w:sz w:val="22"/>
                      <w:b/>
                    </w:rPr>
                    <w:t>5、</w:t>
                  </w:r>
                  <w:r>
                    <w:rPr>
                      <w:rFonts w:ascii="仿宋_GB2312" w:hAnsi="仿宋_GB2312" w:cs="仿宋_GB2312" w:eastAsia="仿宋_GB2312"/>
                      <w:sz w:val="22"/>
                      <w:b/>
                    </w:rPr>
                    <w:t>食堂管理服务标准</w:t>
                  </w:r>
                </w:p>
                <w:tbl>
                  <w:tblPr>
                    <w:tblBorders>
                      <w:top w:val="none" w:color="000000" w:sz="4"/>
                      <w:left w:val="none" w:color="000000" w:sz="4"/>
                      <w:bottom w:val="none" w:color="000000" w:sz="4"/>
                      <w:right w:val="none" w:color="000000" w:sz="4"/>
                      <w:insideH w:val="none"/>
                      <w:insideV w:val="none"/>
                    </w:tblBorders>
                  </w:tblPr>
                  <w:tblGrid>
                    <w:gridCol w:w="197"/>
                    <w:gridCol w:w="197"/>
                    <w:gridCol w:w="271"/>
                    <w:gridCol w:w="1099"/>
                  </w:tblGrid>
                  <w:tr>
                    <w:tc>
                      <w:tcPr>
                        <w:tcW w:type="dxa" w:w="1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管理工作</w:t>
                        </w:r>
                      </w:p>
                    </w:tc>
                    <w:tc>
                      <w:tcPr>
                        <w:tcW w:type="dxa" w:w="10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工作标准</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财务</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钱、物</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钱、物专人专管，钱、帐分明，每天汇帐，月清月结，钱物相符，月满盘点，按月呈报。</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按采购计划，实行供货商供货为主、零星采购为附的方式。采购的货物验收入库，验收由库管员、项目负责人、采购人在场共同验收。采购的食品须新鲜、无毒，价格于市场价相一致。</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仓管</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出入库检查、登记，分类摆放，每日盘点、建帐，每月汇总。</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核算</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计划核算，指导采购；每日核算，标准分析；每月汇总，呈报财务。</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作帐</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每月按汇总情况，按会计标准作帐，呈报甲方。</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环境</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卫生</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随时作好食堂操作间、餐厅、洗手间的卫生清洁，作到无积尘、无污渍、无蜘蛛网、无锈蚀、无积水、无异味、无</w:t>
                        </w:r>
                        <w:r>
                          <w:rPr>
                            <w:rFonts w:ascii="仿宋_GB2312" w:hAnsi="仿宋_GB2312" w:cs="仿宋_GB2312" w:eastAsia="仿宋_GB2312"/>
                            <w:sz w:val="19"/>
                          </w:rPr>
                          <w:t>“四害”。</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消毒</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各种餐具</w:t>
                        </w:r>
                        <w:r>
                          <w:rPr>
                            <w:rFonts w:ascii="仿宋_GB2312" w:hAnsi="仿宋_GB2312" w:cs="仿宋_GB2312" w:eastAsia="仿宋_GB2312"/>
                            <w:sz w:val="19"/>
                          </w:rPr>
                          <w:t>“一洗、二刷、三冲、四消毒”，无油垢、无异味。</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美化</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呈报、建议设立必要的餐厅布置、设施，美化就餐环境。</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食品</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不同食品、生熟食品分开。</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味道</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结合就餐人员的不同口味，配置食品的味道，合理搭配。</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品种</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按就餐人员的不同需求，不断调整、更换菜品的品种，要多样化。</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节约</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合理搭配、精心安排、剩余食品冷藏，降低食品的成本。</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品种</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早餐</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4种点心，4种小菜，2种汤水，2种粥类。</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中餐</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8种菜样：其中3个荤菜、2-3个半荤半素、2-3个素菜、1-2个小菜，1种面食，1种有味汤。</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晚餐</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8种菜样：其中3个荤菜、2-3个半荤半素、2-3个素菜、1-2个小菜，1种面食，1种有味汤。</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建帐</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建立厨房设备设施台帐，并记录更换情况。</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操作</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执行安全操作规程，定期维修保养机械设备。节约用水用电。</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食谱</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每周公布食谱，按时开饭。</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文明</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文明礼貌，热情服务，征询就餐人员的意见和建议，提高服务质量。</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个人卫生</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上岗着工作服，勤剪指甲、勤洗手、勤洗澡、勤理发、勤换工作服。</w:t>
                        </w:r>
                      </w:p>
                    </w:tc>
                  </w:tr>
                  <w:tr>
                    <w:tc>
                      <w:tcPr>
                        <w:tcW w:type="dxa" w:w="1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配置</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物品添置、维修，报甲方审批，按批示执行。</w:t>
                        </w:r>
                      </w:p>
                    </w:tc>
                  </w:tr>
                  <w:tr>
                    <w:tc>
                      <w:tcPr>
                        <w:tcW w:type="dxa" w:w="197"/>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制度</w:t>
                        </w:r>
                      </w:p>
                    </w:tc>
                    <w:tc>
                      <w:tcPr>
                        <w:tcW w:type="dxa" w:w="1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建立详实的工作制度，所有食堂工作人员须严格遵守。</w:t>
                        </w:r>
                      </w:p>
                    </w:tc>
                  </w:tr>
                </w:tbl>
                <w:p>
                  <w:pPr>
                    <w:pStyle w:val="null3"/>
                    <w:jc w:val="both"/>
                  </w:pPr>
                  <w:r>
                    <w:rPr>
                      <w:rFonts w:ascii="仿宋_GB2312" w:hAnsi="仿宋_GB2312" w:cs="仿宋_GB2312" w:eastAsia="仿宋_GB2312"/>
                      <w:sz w:val="22"/>
                      <w:b/>
                    </w:rPr>
                    <w:t>★四、</w:t>
                  </w:r>
                  <w:r>
                    <w:rPr>
                      <w:rFonts w:ascii="仿宋_GB2312" w:hAnsi="仿宋_GB2312" w:cs="仿宋_GB2312" w:eastAsia="仿宋_GB2312"/>
                      <w:sz w:val="22"/>
                      <w:b/>
                    </w:rPr>
                    <w:t>岗位人员要求及配备</w:t>
                  </w:r>
                </w:p>
                <w:tbl>
                  <w:tblPr>
                    <w:tblBorders>
                      <w:top w:val="none" w:color="000000" w:sz="4"/>
                      <w:left w:val="none" w:color="000000" w:sz="4"/>
                      <w:bottom w:val="none" w:color="000000" w:sz="4"/>
                      <w:right w:val="none" w:color="000000" w:sz="4"/>
                      <w:insideH w:val="none"/>
                      <w:insideV w:val="none"/>
                    </w:tblBorders>
                  </w:tblPr>
                  <w:tblGrid>
                    <w:gridCol w:w="173"/>
                    <w:gridCol w:w="271"/>
                    <w:gridCol w:w="195"/>
                    <w:gridCol w:w="937"/>
                    <w:gridCol w:w="178"/>
                  </w:tblGrid>
                  <w:tr>
                    <w:tc>
                      <w:tcPr>
                        <w:tcW w:type="dxa" w:w="1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岗</w:t>
                        </w:r>
                        <w:r>
                          <w:rPr>
                            <w:rFonts w:ascii="仿宋_GB2312" w:hAnsi="仿宋_GB2312" w:cs="仿宋_GB2312" w:eastAsia="仿宋_GB2312"/>
                            <w:sz w:val="19"/>
                          </w:rPr>
                          <w:t>位</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r>
                          <w:rPr>
                            <w:rFonts w:ascii="仿宋_GB2312" w:hAnsi="仿宋_GB2312" w:cs="仿宋_GB2312" w:eastAsia="仿宋_GB2312"/>
                            <w:sz w:val="19"/>
                          </w:rPr>
                          <w:t>数</w:t>
                        </w:r>
                      </w:p>
                    </w:tc>
                    <w:tc>
                      <w:tcPr>
                        <w:tcW w:type="dxa" w:w="9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r>
                          <w:rPr>
                            <w:rFonts w:ascii="仿宋_GB2312" w:hAnsi="仿宋_GB2312" w:cs="仿宋_GB2312" w:eastAsia="仿宋_GB2312"/>
                            <w:sz w:val="19"/>
                          </w:rPr>
                          <w:t>（负责区域、职责）</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r>
                          <w:rPr>
                            <w:rFonts w:ascii="仿宋_GB2312" w:hAnsi="仿宋_GB2312" w:cs="仿宋_GB2312" w:eastAsia="仿宋_GB2312"/>
                            <w:sz w:val="19"/>
                          </w:rPr>
                          <w:t>经理</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负责物业、食堂管理工作，对采购人负责，对公司负责。</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环境主管</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负责保洁部和绿化全面工作，对项目主任负责。</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保洁员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负责办公区公共区域卫生清洁</w:t>
                        </w:r>
                        <w:r>
                          <w:rPr>
                            <w:rFonts w:ascii="仿宋_GB2312" w:hAnsi="仿宋_GB2312" w:cs="仿宋_GB2312" w:eastAsia="仿宋_GB2312"/>
                            <w:sz w:val="19"/>
                          </w:rPr>
                          <w:t>、</w:t>
                        </w:r>
                        <w:r>
                          <w:rPr>
                            <w:rFonts w:ascii="仿宋_GB2312" w:hAnsi="仿宋_GB2312" w:cs="仿宋_GB2312" w:eastAsia="仿宋_GB2312"/>
                            <w:sz w:val="19"/>
                          </w:rPr>
                          <w:t>公共玻璃及楼梯间和过道等。</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绿化工</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负责办公区绿化养护、修剪等工作</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会务员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负责来访接待茶水、会场布置及信件收发工作</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秩序维护队长</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主管秩序维护工作，负责</w:t>
                        </w:r>
                        <w:r>
                          <w:rPr>
                            <w:rFonts w:ascii="仿宋_GB2312" w:hAnsi="仿宋_GB2312" w:cs="仿宋_GB2312" w:eastAsia="仿宋_GB2312"/>
                            <w:sz w:val="19"/>
                          </w:rPr>
                          <w:t>院</w:t>
                        </w:r>
                        <w:r>
                          <w:rPr>
                            <w:rFonts w:ascii="仿宋_GB2312" w:hAnsi="仿宋_GB2312" w:cs="仿宋_GB2312" w:eastAsia="仿宋_GB2312"/>
                            <w:sz w:val="19"/>
                          </w:rPr>
                          <w:t>内的安全和消防管理工</w:t>
                        </w:r>
                        <w:r>
                          <w:rPr>
                            <w:rFonts w:ascii="仿宋_GB2312" w:hAnsi="仿宋_GB2312" w:cs="仿宋_GB2312" w:eastAsia="仿宋_GB2312"/>
                            <w:sz w:val="19"/>
                          </w:rPr>
                          <w:t>作</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秩序维护员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负责门岗来访登记</w:t>
                        </w:r>
                        <w:r>
                          <w:rPr>
                            <w:rFonts w:ascii="仿宋_GB2312" w:hAnsi="仿宋_GB2312" w:cs="仿宋_GB2312" w:eastAsia="仿宋_GB2312"/>
                            <w:sz w:val="19"/>
                          </w:rPr>
                          <w:t>、</w:t>
                        </w:r>
                        <w:r>
                          <w:rPr>
                            <w:rFonts w:ascii="仿宋_GB2312" w:hAnsi="仿宋_GB2312" w:cs="仿宋_GB2312" w:eastAsia="仿宋_GB2312"/>
                            <w:sz w:val="19"/>
                          </w:rPr>
                          <w:t>24小时执勤服务</w:t>
                        </w:r>
                        <w:r>
                          <w:rPr>
                            <w:rFonts w:ascii="仿宋_GB2312" w:hAnsi="仿宋_GB2312" w:cs="仿宋_GB2312" w:eastAsia="仿宋_GB2312"/>
                            <w:sz w:val="19"/>
                          </w:rPr>
                          <w:t>、</w:t>
                        </w:r>
                        <w:r>
                          <w:rPr>
                            <w:rFonts w:ascii="仿宋_GB2312" w:hAnsi="仿宋_GB2312" w:cs="仿宋_GB2312" w:eastAsia="仿宋_GB2312"/>
                            <w:sz w:val="19"/>
                          </w:rPr>
                          <w:t>巡查工作</w:t>
                        </w:r>
                        <w:r>
                          <w:rPr>
                            <w:rFonts w:ascii="仿宋_GB2312" w:hAnsi="仿宋_GB2312" w:cs="仿宋_GB2312" w:eastAsia="仿宋_GB2312"/>
                            <w:sz w:val="19"/>
                          </w:rPr>
                          <w:t>，</w:t>
                        </w:r>
                        <w:r>
                          <w:rPr>
                            <w:rFonts w:ascii="仿宋_GB2312" w:hAnsi="仿宋_GB2312" w:cs="仿宋_GB2312" w:eastAsia="仿宋_GB2312"/>
                            <w:sz w:val="19"/>
                          </w:rPr>
                          <w:t>须持有公安部门颁发的保安员证，并提供证书扫描件</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消防监控值班员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负责消防监控室</w:t>
                        </w:r>
                        <w:r>
                          <w:rPr>
                            <w:rFonts w:ascii="仿宋_GB2312" w:hAnsi="仿宋_GB2312" w:cs="仿宋_GB2312" w:eastAsia="仿宋_GB2312"/>
                            <w:sz w:val="19"/>
                          </w:rPr>
                          <w:t>24小时双岗值班，</w:t>
                        </w:r>
                        <w:r>
                          <w:rPr>
                            <w:rFonts w:ascii="仿宋_GB2312" w:hAnsi="仿宋_GB2312" w:cs="仿宋_GB2312" w:eastAsia="仿宋_GB2312"/>
                            <w:sz w:val="19"/>
                          </w:rPr>
                          <w:t>须持有公安部门颁发的</w:t>
                        </w:r>
                        <w:r>
                          <w:rPr>
                            <w:rFonts w:ascii="仿宋_GB2312" w:hAnsi="仿宋_GB2312" w:cs="仿宋_GB2312" w:eastAsia="仿宋_GB2312"/>
                            <w:sz w:val="19"/>
                          </w:rPr>
                          <w:t>消防设施操作员证或建（构）筑物消防员证</w:t>
                        </w:r>
                        <w:r>
                          <w:rPr>
                            <w:rFonts w:ascii="仿宋_GB2312" w:hAnsi="仿宋_GB2312" w:cs="仿宋_GB2312" w:eastAsia="仿宋_GB2312"/>
                            <w:sz w:val="19"/>
                          </w:rPr>
                          <w:t>，并提供证书扫描件</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安检员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负责安检工作，</w:t>
                        </w:r>
                        <w:r>
                          <w:rPr>
                            <w:rFonts w:ascii="仿宋_GB2312" w:hAnsi="仿宋_GB2312" w:cs="仿宋_GB2312" w:eastAsia="仿宋_GB2312"/>
                            <w:sz w:val="19"/>
                          </w:rPr>
                          <w:t>8小时来访人员安全检查（</w:t>
                        </w:r>
                        <w:r>
                          <w:rPr>
                            <w:rFonts w:ascii="仿宋_GB2312" w:hAnsi="仿宋_GB2312" w:cs="仿宋_GB2312" w:eastAsia="仿宋_GB2312"/>
                            <w:sz w:val="19"/>
                          </w:rPr>
                          <w:t>含</w:t>
                        </w:r>
                        <w:r>
                          <w:rPr>
                            <w:rFonts w:ascii="仿宋_GB2312" w:hAnsi="仿宋_GB2312" w:cs="仿宋_GB2312" w:eastAsia="仿宋_GB2312"/>
                            <w:sz w:val="19"/>
                          </w:rPr>
                          <w:t>一名女安检员），须持有公安部门颁发的保安员证，并提供证书扫描件</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水电工</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负责水电维修工作。设备设施维护保养</w:t>
                        </w:r>
                        <w:r>
                          <w:rPr>
                            <w:rFonts w:ascii="仿宋_GB2312" w:hAnsi="仿宋_GB2312" w:cs="仿宋_GB2312" w:eastAsia="仿宋_GB2312"/>
                            <w:sz w:val="19"/>
                          </w:rPr>
                          <w:t>.</w:t>
                        </w:r>
                        <w:r>
                          <w:rPr>
                            <w:rFonts w:ascii="仿宋_GB2312" w:hAnsi="仿宋_GB2312" w:cs="仿宋_GB2312" w:eastAsia="仿宋_GB2312"/>
                            <w:sz w:val="19"/>
                          </w:rPr>
                          <w:t>全部人员需持有应急管理部门颁发的低压电工操作证，至少有一人同时持有应急管理部门颁发的高压电工操作证，</w:t>
                        </w:r>
                        <w:r>
                          <w:rPr>
                            <w:rFonts w:ascii="仿宋_GB2312" w:hAnsi="仿宋_GB2312" w:cs="仿宋_GB2312" w:eastAsia="仿宋_GB2312"/>
                            <w:sz w:val="19"/>
                          </w:rPr>
                          <w:t>并提供证书扫描件</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食堂主管</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负责食堂全面管理工作，对项目主任负责</w:t>
                        </w:r>
                      </w:p>
                    </w:tc>
                    <w:tc>
                      <w:tcPr>
                        <w:tcW w:type="dxa" w:w="178"/>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具备健康证</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厨师长</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负责食堂后厨的工作，主厨</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3</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厨师</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负责食堂后厨的工作，烹饪早餐和中餐工作</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切配厨师</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负责协助厨师切配工作</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5</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面点师</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负责制作早餐糕点、粉汤、粥类等工作</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6</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负责前厅收捡餐具和卫生及接待服务等工作</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7</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打餐员兼传菜员</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负责前厅早餐、中餐、晚餐打餐、兼传菜员工作</w:t>
                        </w:r>
                      </w:p>
                    </w:tc>
                    <w:tc>
                      <w:tcPr>
                        <w:tcW w:type="dxa" w:w="178"/>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8</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洗碗工、杂工</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负责后厨洗菜及清洗餐具卫生等工作</w:t>
                        </w:r>
                      </w:p>
                    </w:tc>
                    <w:tc>
                      <w:tcPr>
                        <w:tcW w:type="dxa" w:w="178"/>
                        <w:vMerge/>
                        <w:tcBorders>
                          <w:top w:val="none" w:color="000000" w:sz="4"/>
                          <w:left w:val="none" w:color="000000" w:sz="4"/>
                          <w:bottom w:val="none" w:color="000000" w:sz="4"/>
                          <w:right w:val="single" w:color="000000" w:sz="4"/>
                        </w:tcBorders>
                      </w:tcPr>
                      <w:p/>
                    </w:tc>
                  </w:tr>
                  <w:tr>
                    <w:tc>
                      <w:tcPr>
                        <w:tcW w:type="dxa" w:w="444"/>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r>
                          <w:rPr>
                            <w:rFonts w:ascii="仿宋_GB2312" w:hAnsi="仿宋_GB2312" w:cs="仿宋_GB2312" w:eastAsia="仿宋_GB2312"/>
                            <w:sz w:val="19"/>
                          </w:rPr>
                          <w:t>人</w:t>
                        </w:r>
                      </w:p>
                    </w:tc>
                    <w:tc>
                      <w:tcPr>
                        <w:tcW w:type="dxa" w:w="9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2"/>
                      <w:b/>
                    </w:rPr>
                    <w:t>五、</w:t>
                  </w:r>
                  <w:r>
                    <w:rPr>
                      <w:rFonts w:ascii="仿宋_GB2312" w:hAnsi="仿宋_GB2312" w:cs="仿宋_GB2312" w:eastAsia="仿宋_GB2312"/>
                      <w:sz w:val="22"/>
                      <w:b/>
                    </w:rPr>
                    <w:t>考核</w:t>
                  </w:r>
                  <w:r>
                    <w:rPr>
                      <w:rFonts w:ascii="仿宋_GB2312" w:hAnsi="仿宋_GB2312" w:cs="仿宋_GB2312" w:eastAsia="仿宋_GB2312"/>
                      <w:sz w:val="22"/>
                      <w:b/>
                    </w:rPr>
                    <w:t>标准及</w:t>
                  </w:r>
                  <w:r>
                    <w:rPr>
                      <w:rFonts w:ascii="仿宋_GB2312" w:hAnsi="仿宋_GB2312" w:cs="仿宋_GB2312" w:eastAsia="仿宋_GB2312"/>
                      <w:sz w:val="22"/>
                      <w:b/>
                    </w:rPr>
                    <w:t>细则</w:t>
                  </w:r>
                </w:p>
                <w:p>
                  <w:pPr>
                    <w:pStyle w:val="null3"/>
                    <w:jc w:val="both"/>
                  </w:pPr>
                  <w:r>
                    <w:rPr>
                      <w:rFonts w:ascii="仿宋_GB2312" w:hAnsi="仿宋_GB2312" w:cs="仿宋_GB2312" w:eastAsia="仿宋_GB2312"/>
                      <w:sz w:val="20"/>
                    </w:rPr>
                    <w:t>综合考评结果</w:t>
                  </w:r>
                  <w:r>
                    <w:rPr>
                      <w:rFonts w:ascii="仿宋_GB2312" w:hAnsi="仿宋_GB2312" w:cs="仿宋_GB2312" w:eastAsia="仿宋_GB2312"/>
                      <w:sz w:val="20"/>
                    </w:rPr>
                    <w:t>90分为合格，90分以上足额划拨应付物业管理费；低于90分为不合格，考评为不合格的，扣除当月应付物业服务费的2%，低于85分以下的，每低3分加扣当月1%的物业费。中标人连续三个月综合考评满意率低于70%及以下，采购人有权终止合同。</w:t>
                  </w:r>
                </w:p>
                <w:tbl>
                  <w:tblPr>
                    <w:tblBorders>
                      <w:top w:val="none" w:color="000000" w:sz="4"/>
                      <w:left w:val="none" w:color="000000" w:sz="4"/>
                      <w:bottom w:val="none" w:color="000000" w:sz="4"/>
                      <w:right w:val="none" w:color="000000" w:sz="4"/>
                      <w:insideH w:val="none"/>
                      <w:insideV w:val="none"/>
                    </w:tblBorders>
                  </w:tblPr>
                  <w:tblGrid>
                    <w:gridCol w:w="441"/>
                    <w:gridCol w:w="441"/>
                    <w:gridCol w:w="441"/>
                    <w:gridCol w:w="441"/>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考核内容</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分值</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得分</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一、环境卫生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1、楼内卫生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1）门窗玻璃每月擦拭一次，下层随时擦抹，明亮，无印迹、无乱贴、乱画现象。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1分，一般0.5分，不符合0分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2）楼内附属设施，保持干净，无垃圾、灰尘、污垢、痰迹、摆放整齐。</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1分，一般0.5分，不符合0分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3）卫生间、洗手间每日清洁干净，无灰尘、灰网、乱贴乱画，地面每日清洁，无垃圾、积水、卫生洁具无锈、无异味。</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4）垃圾日产日销，垃圾桶（箱）每日擦洗倾倒，无异味、无外溢。</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5）公共部位要做到无蝇、无鼠、无蟑螂、无卫生死角。</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2、外围卫生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1）庭院卫生清洁干净，随时打扫，无垃圾、纸屑、塑料袋等杂物。</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2）庭院内垃圾桶（箱）摆放整齐、外表干净，定期擦拭，每日倾倒一次，无异味、无外溢</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3)区域围墙、围栏；大门、宣传栏框，整洁干净，无灰尘，无乱贴乱画现象。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4）卫生整体印象和效果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3、会议室卫生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1）地面清洁、无杂物、痰迹、烟头。</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2）会议室椅、柜、桌设施擦拭干净，物品摆放有序。</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vMerge/>
                        <w:tcBorders>
                          <w:top w:val="none" w:color="000000" w:sz="4"/>
                          <w:left w:val="none" w:color="000000" w:sz="4"/>
                          <w:bottom w:val="single" w:color="000000" w:sz="4"/>
                          <w:right w:val="single" w:color="000000" w:sz="4"/>
                        </w:tcBorders>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3）门、窗、玻璃、灯具干净明亮。</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vMerge/>
                        <w:tcBorders>
                          <w:top w:val="none" w:color="000000" w:sz="4"/>
                          <w:left w:val="none" w:color="000000" w:sz="4"/>
                          <w:bottom w:val="single" w:color="000000" w:sz="4"/>
                          <w:right w:val="single" w:color="000000" w:sz="4"/>
                        </w:tcBorders>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4）无灰尘、灰网、无蝇、无鼠、空气清新。</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vMerge/>
                        <w:tcBorders>
                          <w:top w:val="none" w:color="000000" w:sz="4"/>
                          <w:left w:val="none" w:color="000000" w:sz="4"/>
                          <w:bottom w:val="single" w:color="000000" w:sz="4"/>
                          <w:right w:val="single" w:color="000000" w:sz="4"/>
                        </w:tcBorders>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二、绿化管理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1、绿化服务专业、制度标准健全。</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2、绿地无破损、践踏、占用现象，无纸屑、烟头、石块等杂物。</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3、花草树木长势较好，定期实肥浇水、修剪，整齐美观，无病虫害、无折枝现象。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4、保持原有绿化覆盖面积，绿化整体效果印象。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三、公共设施设备</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1、楼宇顶层屋面每年春秋季节，要清理检修，做到无破损、无杂物、排水顺畅。</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2、室外宣传牌、路灯等保持整洁统一美观，无安全隐患或破损。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3、道路、楼宇、庭院等公共照明完好率达98%以上。</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4、窗帘、灯扇等无破损、松动摇摆现象，保持干净。（如有以上情况及时修理）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5、道路保持畅通、交通标志齐全规范，护栏、小品 、围墙等设施保持完好，定期检查有记录。</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6、接到维修要求，15分钟内到达现场，并及时处理，维修合格率达90%，并有维修验收单和记录。</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7.按程序领用维修材料及工具，服务规范，手续齐全。</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8、整体管理印象和效果。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四、安全保卫</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1、做好日常值班巡查工作，保证门岗及办公楼安全秩序，出入有登记，工作程序好，效率高。</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2、及时掌握安保基本情况，检查及夜班巡查及时到位，无安全责任事故，干警反映好。</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3、车辆按规定位置停放整齐，有明显停放车辆标志，楼内无存放机动车、自行车。</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4、有完善的应急方案和现场处理措施、处理记录，对应急事件配合及时。</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5、整体管理印象和效果。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五、食堂管理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1、服务人员工作态度良好，服务意识强，无投诉。</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2、原料、半成品、成品的加工存放及使用容器是否存在交叉污染并有明显的区分标志，生、熟食品分开。</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3、每日餐品要留样并有登记。</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4、菜单荤、素营养搭配合理。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5、工作间及就餐场所地面及桌椅每日清扫，卫生清洁，地面干净、无积水、无杂物</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6、消防安全设施完好，无火灾事故</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7、各种活动积极配合</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8、整体管理印象和效果。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六、会务服务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1、会务人员着装整齐，化妆适度，礼貌用语。接待服务态度热情及符合礼仪规范。</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0.8分，一般0.4分，不符合0分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2、会务人员必须遵守保密管理规定，对会议中领导和发言者的讲话不传不看。</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3、会务中保证茶水供应，及时续水；保持室内整洁、温度适中、设备正常运行使用。</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七、工作质量及时效</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1、对合同责任范围内的工作任务能主动、按时完成，并能积极配合采购人的各项工作，与采购人保持高度一致，有主人翁精神。</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2、对采购人安排的临时性工作反应迅速，完成任务快、质量高。</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3分，一般1.5分，不符合0分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3、管理规章制度健全，日常服务记录齐全</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3分，一般1.5分，不符合0分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八、员工风貌</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1、按要求统一着装，工作状态好。</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1.5分，一般0.75分，不符合0分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2、不与服务对象发生口角、打架等不文明的行为。</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符合得满分，基本符合得</w:t>
                        </w:r>
                        <w:r>
                          <w:rPr>
                            <w:rFonts w:ascii="仿宋_GB2312" w:hAnsi="仿宋_GB2312" w:cs="仿宋_GB2312" w:eastAsia="仿宋_GB2312"/>
                            <w:sz w:val="20"/>
                          </w:rPr>
                          <w:t>2分，一般1分，不符合0分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总分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六</w:t>
                  </w:r>
                  <w:r>
                    <w:rPr>
                      <w:rFonts w:ascii="仿宋_GB2312" w:hAnsi="仿宋_GB2312" w:cs="仿宋_GB2312" w:eastAsia="仿宋_GB2312"/>
                      <w:sz w:val="22"/>
                      <w:b/>
                    </w:rPr>
                    <w:t>、其他要求：</w:t>
                  </w:r>
                </w:p>
                <w:p>
                  <w:pPr>
                    <w:pStyle w:val="null3"/>
                    <w:spacing w:before="135"/>
                    <w:jc w:val="left"/>
                  </w:pPr>
                  <w:r>
                    <w:rPr>
                      <w:rFonts w:ascii="仿宋_GB2312" w:hAnsi="仿宋_GB2312" w:cs="仿宋_GB2312" w:eastAsia="仿宋_GB2312"/>
                      <w:sz w:val="20"/>
                    </w:rPr>
                    <w:t>1、采购人有权对中标人的服务内容随时监督、检查工作， 对不符合要求和质量标准的提出整改意见。</w:t>
                  </w:r>
                </w:p>
                <w:p>
                  <w:pPr>
                    <w:pStyle w:val="null3"/>
                    <w:spacing w:before="120"/>
                    <w:jc w:val="left"/>
                  </w:pPr>
                  <w:r>
                    <w:rPr>
                      <w:rFonts w:ascii="仿宋_GB2312" w:hAnsi="仿宋_GB2312" w:cs="仿宋_GB2312" w:eastAsia="仿宋_GB2312"/>
                      <w:sz w:val="20"/>
                    </w:rPr>
                    <w:t>2、中标人应遵循安全生产规定， 在服务过程中所发生的人身事故、责任与费用由中标人承担。</w:t>
                  </w:r>
                </w:p>
                <w:p>
                  <w:pPr>
                    <w:pStyle w:val="null3"/>
                    <w:spacing w:before="120"/>
                    <w:jc w:val="left"/>
                  </w:pPr>
                  <w:r>
                    <w:rPr>
                      <w:rFonts w:ascii="仿宋_GB2312" w:hAnsi="仿宋_GB2312" w:cs="仿宋_GB2312" w:eastAsia="仿宋_GB2312"/>
                      <w:sz w:val="20"/>
                    </w:rPr>
                    <w:t>3、中标人要制订火灾、盗窃、意外治安事件、重大设备事故和自然灾害的应急处理方案， 并做必要演习</w:t>
                  </w:r>
                  <w:r>
                    <w:rPr>
                      <w:rFonts w:ascii="仿宋_GB2312" w:hAnsi="仿宋_GB2312" w:cs="仿宋_GB2312" w:eastAsia="仿宋_GB2312"/>
                      <w:sz w:val="20"/>
                    </w:rPr>
                    <w:t>。</w:t>
                  </w:r>
                </w:p>
                <w:p>
                  <w:pPr>
                    <w:pStyle w:val="null3"/>
                    <w:spacing w:before="120"/>
                    <w:jc w:val="left"/>
                  </w:pPr>
                  <w:r>
                    <w:rPr>
                      <w:rFonts w:ascii="仿宋_GB2312" w:hAnsi="仿宋_GB2312" w:cs="仿宋_GB2312" w:eastAsia="仿宋_GB2312"/>
                      <w:sz w:val="20"/>
                    </w:rPr>
                    <w:t>4、 中标人要保持同采购人的密切联系， 遇有重大事项及时报告和反馈信息， 尊重采购人的意见，接受采购人的提议、监督和指导。</w:t>
                  </w:r>
                </w:p>
                <w:p>
                  <w:pPr>
                    <w:pStyle w:val="null3"/>
                    <w:jc w:val="both"/>
                  </w:pP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60"/>
              <w:gridCol w:w="476"/>
              <w:gridCol w:w="1417"/>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rPr>
                    <w:t xml:space="preserve"> </w:t>
                  </w:r>
                  <w:r>
                    <w:rPr>
                      <w:rFonts w:ascii="仿宋_GB2312" w:hAnsi="仿宋_GB2312" w:cs="仿宋_GB2312" w:eastAsia="仿宋_GB2312"/>
                      <w:sz w:val="28"/>
                      <w:b/>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rPr>
                    <w:t xml:space="preserve"> </w:t>
                  </w:r>
                  <w:r>
                    <w:rPr>
                      <w:rFonts w:ascii="仿宋_GB2312" w:hAnsi="仿宋_GB2312" w:cs="仿宋_GB2312" w:eastAsia="仿宋_GB2312"/>
                      <w:sz w:val="28"/>
                      <w:b/>
                    </w:rPr>
                    <w:t>商务要求性质</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rPr>
                    <w:t xml:space="preserve"> </w:t>
                  </w:r>
                  <w:r>
                    <w:rPr>
                      <w:rFonts w:ascii="仿宋_GB2312" w:hAnsi="仿宋_GB2312" w:cs="仿宋_GB2312" w:eastAsia="仿宋_GB2312"/>
                      <w:sz w:val="28"/>
                      <w:b/>
                    </w:rPr>
                    <w:t>商务要求明细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服务期限：自合同签订之日起一年</w:t>
                  </w:r>
                </w:p>
                <w:p>
                  <w:pPr>
                    <w:pStyle w:val="null3"/>
                    <w:jc w:val="both"/>
                  </w:pPr>
                  <w:r>
                    <w:rPr>
                      <w:rFonts w:ascii="仿宋_GB2312" w:hAnsi="仿宋_GB2312" w:cs="仿宋_GB2312" w:eastAsia="仿宋_GB2312"/>
                      <w:sz w:val="28"/>
                    </w:rPr>
                    <w:t>服务地点：</w:t>
                  </w:r>
                  <w:r>
                    <w:rPr>
                      <w:rFonts w:ascii="仿宋_GB2312" w:hAnsi="仿宋_GB2312" w:cs="仿宋_GB2312" w:eastAsia="仿宋_GB2312"/>
                      <w:sz w:val="28"/>
                    </w:rPr>
                    <w:t>三亚市吉阳区人民法院</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本项目采购预算：</w:t>
                  </w:r>
                  <w:r>
                    <w:rPr>
                      <w:rFonts w:ascii="仿宋_GB2312" w:hAnsi="仿宋_GB2312" w:cs="仿宋_GB2312" w:eastAsia="仿宋_GB2312"/>
                      <w:sz w:val="28"/>
                      <w:b/>
                    </w:rPr>
                    <w:t>272.190914</w:t>
                  </w:r>
                  <w:r>
                    <w:rPr>
                      <w:rFonts w:ascii="仿宋_GB2312" w:hAnsi="仿宋_GB2312" w:cs="仿宋_GB2312" w:eastAsia="仿宋_GB2312"/>
                      <w:sz w:val="28"/>
                      <w:b/>
                    </w:rPr>
                    <w:t>万元（报价不得超过采购预算）</w:t>
                  </w:r>
                </w:p>
                <w:p>
                  <w:pPr>
                    <w:pStyle w:val="null3"/>
                    <w:jc w:val="both"/>
                  </w:pPr>
                  <w:r>
                    <w:rPr>
                      <w:rFonts w:ascii="仿宋_GB2312" w:hAnsi="仿宋_GB2312" w:cs="仿宋_GB2312" w:eastAsia="仿宋_GB2312"/>
                      <w:sz w:val="28"/>
                    </w:rPr>
                    <w:t>物业服务费的构成：人员费用</w:t>
                  </w:r>
                  <w:r>
                    <w:rPr>
                      <w:rFonts w:ascii="仿宋_GB2312" w:hAnsi="仿宋_GB2312" w:cs="仿宋_GB2312" w:eastAsia="仿宋_GB2312"/>
                      <w:sz w:val="28"/>
                    </w:rPr>
                    <w:t>(标准工资、社会保险、住房公积金、工会经费、福利费、服装费等)、管理佣金、税费。办公</w:t>
                  </w:r>
                  <w:r>
                    <w:rPr>
                      <w:rFonts w:ascii="仿宋_GB2312" w:hAnsi="仿宋_GB2312" w:cs="仿宋_GB2312" w:eastAsia="仿宋_GB2312"/>
                      <w:sz w:val="28"/>
                    </w:rPr>
                    <w:t>区</w:t>
                  </w:r>
                  <w:r>
                    <w:rPr>
                      <w:rFonts w:ascii="仿宋_GB2312" w:hAnsi="仿宋_GB2312" w:cs="仿宋_GB2312" w:eastAsia="仿宋_GB2312"/>
                      <w:sz w:val="28"/>
                    </w:rPr>
                    <w:t>内外保洁日常耗材</w:t>
                  </w:r>
                  <w:r>
                    <w:rPr>
                      <w:rFonts w:ascii="仿宋_GB2312" w:hAnsi="仿宋_GB2312" w:cs="仿宋_GB2312" w:eastAsia="仿宋_GB2312"/>
                      <w:sz w:val="28"/>
                    </w:rPr>
                    <w:t>、</w:t>
                  </w:r>
                  <w:r>
                    <w:rPr>
                      <w:rFonts w:ascii="仿宋_GB2312" w:hAnsi="仿宋_GB2312" w:cs="仿宋_GB2312" w:eastAsia="仿宋_GB2312"/>
                      <w:sz w:val="28"/>
                    </w:rPr>
                    <w:t>绿化物料、绿化垃圾清运、绿化种植补种由</w:t>
                  </w:r>
                  <w:r>
                    <w:rPr>
                      <w:rFonts w:ascii="仿宋_GB2312" w:hAnsi="仿宋_GB2312" w:cs="仿宋_GB2312" w:eastAsia="仿宋_GB2312"/>
                      <w:sz w:val="28"/>
                    </w:rPr>
                    <w:t>采购人提供。</w:t>
                  </w:r>
                </w:p>
                <w:p>
                  <w:pPr>
                    <w:pStyle w:val="null3"/>
                    <w:jc w:val="both"/>
                  </w:pPr>
                  <w:r>
                    <w:rPr>
                      <w:rFonts w:ascii="仿宋_GB2312" w:hAnsi="仿宋_GB2312" w:cs="仿宋_GB2312" w:eastAsia="仿宋_GB2312"/>
                      <w:sz w:val="28"/>
                    </w:rPr>
                    <w:t>维修服务所需材料和设备费用，由中标人根据实际需要申报，经审核批准后由采购人支付。</w:t>
                  </w:r>
                </w:p>
              </w:tc>
            </w:tr>
          </w:tbl>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 2、其他 注： 1.“★”条款为不允许偏离的实质性要求和条件，如不满足则认定其投标无效。2.“二、技术和服务要求、三、商务要求”在技术、商务响应表中逐条响应,其他内容无需在技术、商务响应表中响应。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响应文件格式 投标（响应）报价明细表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响应文件格式 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响应文件格式 投标（响应）报价明细表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响应文件格式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技术部分76.00分</w:t>
            </w:r>
          </w:p>
          <w:p>
            <w:pPr>
              <w:pStyle w:val="null3"/>
              <w:jc w:val="left"/>
            </w:pPr>
            <w:r>
              <w:rPr>
                <w:rFonts w:ascii="仿宋_GB2312" w:hAnsi="仿宋_GB2312" w:cs="仿宋_GB2312" w:eastAsia="仿宋_GB2312"/>
              </w:rPr>
              <w:t>商务部分14.00分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服务团队资质要求（一）</w:t>
            </w:r>
          </w:p>
        </w:tc>
        <w:tc>
          <w:tcPr>
            <w:tcW w:type="dxa" w:w="2492"/>
          </w:tcPr>
          <w:p>
            <w:pPr>
              <w:pStyle w:val="null3"/>
              <w:jc w:val="left"/>
            </w:pPr>
            <w:r>
              <w:rPr>
                <w:rFonts w:ascii="仿宋_GB2312" w:hAnsi="仿宋_GB2312" w:cs="仿宋_GB2312" w:eastAsia="仿宋_GB2312"/>
              </w:rPr>
              <w:t>拟投入本项目在岗服务的物业负责人资质要求：（8分） 1）人员具有本科或以上学历得2分；大专学历得1分； 2）具有政府部门或政府部门授权第三方机构颁发的二级或以上企业人力资源管理师得3分； 4）具有政府部门授权第三方机构颁发的三级/高级或人社部门备案的职业技能等级认定机构颁发的物业管理师职业技能等级证书得3分。注：上述人员需提供相应证书（扫描件）并加盖单位公章，以及2026年1月1日至今任意3个月投标人为其缴纳社保的证明（扫描件），加盖公章。如投标人提供的证书是政府部门授权第三方机构颁发的，须提供技能人才评价证书全国联网查询截图（查询网址：http://zscx.osta.org.cn/），学历提供学信网查询截图，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服务团队资质要求（二）</w:t>
            </w:r>
          </w:p>
        </w:tc>
        <w:tc>
          <w:tcPr>
            <w:tcW w:type="dxa" w:w="2492"/>
          </w:tcPr>
          <w:p>
            <w:pPr>
              <w:pStyle w:val="null3"/>
              <w:jc w:val="left"/>
            </w:pPr>
            <w:r>
              <w:rPr>
                <w:rFonts w:ascii="仿宋_GB2312" w:hAnsi="仿宋_GB2312" w:cs="仿宋_GB2312" w:eastAsia="仿宋_GB2312"/>
              </w:rPr>
              <w:t>拟投入本项目在岗服务的服务人员资质要求（物业负责人除外）： 1、工程人员资质要求：（5分） 1）具有本科或以上学历得1分；大专学历得0.5分； 2）具有政府部门或政府部门授权第三方机构颁发的中华人民共和国特种设备安全管理和作业人员证、高压电工特种作业操作证、低压电工特种作业操作证、四级或以上机械设备修理人员（电工）证的得4分，每少一个证书扣1分，本小项满分4分。 2、环境主管人员资质要求：（4分） 1）具有本科或以上学历得1分；大专学历得0.5分； 2）具有中华人民共和国特种作业操作证高处作业类别证书的得3分。 3、餐饮人员资质要求：（7分） 1）食堂主管持有有效食品安全员证书或持有食品安全管理师三级（高级工）及以上技能等级的得3分。2）厨师长持有政府部门或政府部门授权第三方机构颁发的一级/高级技师烹调师证的得2分。3）厨师人员持有政府部门或政府部门授权第三方机构颁发的二级/技师及以上烹调师证的，每提供一个得1分，本小项满分2分。 4、消防监控人员资质要求：（9分）消防中控人员具有应急管理部门颁发的或公安部消防局颁发的消防设施操作员证或建（构）筑物消防员证书四级/中级工或以上，提供一人得1.5分，本小项满分9分； 5、会务员资质要求：（3分） 1）具有本科或以上学历得1分；大专学历得0.5分；2）具有人社部门备案的评价机构颁发的秘书或行政办事员、会议接待服务师等职业技能等级证书的得2分。 注：上述人员需提供相应证书（扫描件）以及2026年1月1日至今任意3个月投标人为其缴纳社保的证明（扫描件），加盖公章。如投标人提供的证书是政府部门授权第三方机构颁发的，须提供技能人才评价证书全国联网查询截图（查询网址：http://zscx.osta.org.cn/），学历提供学信网查询截图，不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整体服务方案</w:t>
            </w:r>
          </w:p>
        </w:tc>
        <w:tc>
          <w:tcPr>
            <w:tcW w:type="dxa" w:w="2492"/>
          </w:tcPr>
          <w:p>
            <w:pPr>
              <w:pStyle w:val="null3"/>
              <w:jc w:val="left"/>
            </w:pPr>
            <w:r>
              <w:rPr>
                <w:rFonts w:ascii="仿宋_GB2312" w:hAnsi="仿宋_GB2312" w:cs="仿宋_GB2312" w:eastAsia="仿宋_GB2312"/>
              </w:rPr>
              <w:t>投标人提供针对本项目特点制定的整体服务方案，方案内容包含但不限于：①服务项目概况；②管理思路、目标及定位；③项目管理制度；④项目管理重点难点；⑤人员培训；⑥档案及保密管理等。 1.方案涵盖上述6项内容且满足采购需求的得6分，方案每缺少一项内容扣1分。 2.每项内容存在一处缺陷扣0.2分，每项内容的缺陷最多扣0.8分。内容缺陷是指：非专门针对本项目或不适用本项目需求的情形。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公共设施设备维修服务方案</w:t>
            </w:r>
          </w:p>
        </w:tc>
        <w:tc>
          <w:tcPr>
            <w:tcW w:type="dxa" w:w="2492"/>
          </w:tcPr>
          <w:p>
            <w:pPr>
              <w:pStyle w:val="null3"/>
              <w:jc w:val="left"/>
            </w:pPr>
            <w:r>
              <w:rPr>
                <w:rFonts w:ascii="仿宋_GB2312" w:hAnsi="仿宋_GB2312" w:cs="仿宋_GB2312" w:eastAsia="仿宋_GB2312"/>
              </w:rPr>
              <w:t>投标人提供针对本项目特点制定的公共设施设备维修服务方案，方案内容包含但不限于：①公共设施设备管理制度；②管理标准；③岗位职责；④规范流程等；⑤重点设施设备日常管理。 1.方案涵盖上述5项内容且满足采购需求的得5分，方案每缺少一项内容扣1分。 2.每项内容存在一处缺陷扣0.2分，每项内容的缺陷最多扣0.8分。内容缺陷是指：非专门针对本项目或不适用本项目需求的情形。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秩序维护方案</w:t>
            </w:r>
          </w:p>
        </w:tc>
        <w:tc>
          <w:tcPr>
            <w:tcW w:type="dxa" w:w="2492"/>
          </w:tcPr>
          <w:p>
            <w:pPr>
              <w:pStyle w:val="null3"/>
              <w:jc w:val="left"/>
            </w:pPr>
            <w:r>
              <w:rPr>
                <w:rFonts w:ascii="仿宋_GB2312" w:hAnsi="仿宋_GB2312" w:cs="仿宋_GB2312" w:eastAsia="仿宋_GB2312"/>
              </w:rPr>
              <w:t>投标人须根据项目的实际需求，制定秩序维护方案，应包含但不限于以下内容：①服务内容及标准；②服务操作规范；③日常秩序维护方案；④消防监控管理方案；⑤安检工作方案。 1.方案涵盖上述5项内容且满足采购需求的得5分，方案每缺少一项内容扣1分。 2.每项内容存在一处缺陷扣0.2分，每项内容的缺陷最多扣0.8分。内容缺陷是指：非专门针对本项目或不适用本项目需求的情形。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保洁绿化方案</w:t>
            </w:r>
          </w:p>
        </w:tc>
        <w:tc>
          <w:tcPr>
            <w:tcW w:type="dxa" w:w="2492"/>
          </w:tcPr>
          <w:p>
            <w:pPr>
              <w:pStyle w:val="null3"/>
              <w:jc w:val="left"/>
            </w:pPr>
            <w:r>
              <w:rPr>
                <w:rFonts w:ascii="仿宋_GB2312" w:hAnsi="仿宋_GB2312" w:cs="仿宋_GB2312" w:eastAsia="仿宋_GB2312"/>
              </w:rPr>
              <w:t>投标人须根据项目的实际需求，制定保洁绿化方案，应包含但不限于以下内容：①服务内容及标准；②服务操作规范；③保洁方案；④绿化养护方案；⑤四害消杀管理方案。 1.方案涵盖上述5项内容且满足采购需求得5分；方案每缺少一项内容扣1分。 2.每项内容存在一处缺陷扣0.2分，每项内容的缺陷最多扣0.8分。内容缺陷是指：非专门针对本项目或不适用本项目需求的情形。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会务服务方案</w:t>
            </w:r>
          </w:p>
        </w:tc>
        <w:tc>
          <w:tcPr>
            <w:tcW w:type="dxa" w:w="2492"/>
          </w:tcPr>
          <w:p>
            <w:pPr>
              <w:pStyle w:val="null3"/>
              <w:jc w:val="left"/>
            </w:pPr>
            <w:r>
              <w:rPr>
                <w:rFonts w:ascii="仿宋_GB2312" w:hAnsi="仿宋_GB2312" w:cs="仿宋_GB2312" w:eastAsia="仿宋_GB2312"/>
              </w:rPr>
              <w:t>投标人提供针对本项目特点制定的会议（含音控）服务方案，方案内容包含但不限于：①会议（含音控）服务内容及标准；②服务操作规范。 1.方案涵盖上述2项内容并满足采购需求的得5分；方案每缺少一项内容扣2.5分。 2.每项内容存在一处缺陷扣0.2分，每项内容的缺陷最多扣1分。内容缺陷是指：非专门针对本项目或不适用本项目需求的情形。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食堂管理方案</w:t>
            </w:r>
          </w:p>
        </w:tc>
        <w:tc>
          <w:tcPr>
            <w:tcW w:type="dxa" w:w="2492"/>
          </w:tcPr>
          <w:p>
            <w:pPr>
              <w:pStyle w:val="null3"/>
              <w:jc w:val="left"/>
            </w:pPr>
            <w:r>
              <w:rPr>
                <w:rFonts w:ascii="仿宋_GB2312" w:hAnsi="仿宋_GB2312" w:cs="仿宋_GB2312" w:eastAsia="仿宋_GB2312"/>
              </w:rPr>
              <w:t>投标人提供食堂管理方案，方案内容包含但不限于：①食品质量；②服务质量；③卫生管控；④接待服务方案。 1.方案涵盖上述4项内容且满足采购需求的得8分，方案每缺少一项内容扣2分。 2.每项内容存在一处缺陷扣0.2分，每项内容的缺陷最多扣1分。内容缺陷是指：非专门针对本项目或不适用本项目需求的情形。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应急管控方案</w:t>
            </w:r>
          </w:p>
        </w:tc>
        <w:tc>
          <w:tcPr>
            <w:tcW w:type="dxa" w:w="2492"/>
          </w:tcPr>
          <w:p>
            <w:pPr>
              <w:pStyle w:val="null3"/>
              <w:jc w:val="left"/>
            </w:pPr>
            <w:r>
              <w:rPr>
                <w:rFonts w:ascii="仿宋_GB2312" w:hAnsi="仿宋_GB2312" w:cs="仿宋_GB2312" w:eastAsia="仿宋_GB2312"/>
              </w:rPr>
              <w:t>投标人提供针对本项目特点制定的应急管控方案，方案内容包含但不限于：①整体应急管控方案；②防汛防台应急预案；③火灾应急预案；④突发公共卫生事件应急处理；⑤突发公共安全事件；⑥餐饮应急预案。 1.方案涵盖上述6项内容且满足采购需求得6分；方案每缺少一项内容扣1分。 2.每项内容存在一处缺陷扣0.2分，每项内容的缺陷最多扣0.8分。内容缺陷是指：非专门针对本项目或不适用本项目需求的情形。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体系认证</w:t>
            </w:r>
          </w:p>
        </w:tc>
        <w:tc>
          <w:tcPr>
            <w:tcW w:type="dxa" w:w="2492"/>
          </w:tcPr>
          <w:p>
            <w:pPr>
              <w:pStyle w:val="null3"/>
              <w:jc w:val="left"/>
            </w:pPr>
            <w:r>
              <w:rPr>
                <w:rFonts w:ascii="仿宋_GB2312" w:hAnsi="仿宋_GB2312" w:cs="仿宋_GB2312" w:eastAsia="仿宋_GB2312"/>
              </w:rPr>
              <w:t>投标人具有的认证证书：IS09001质量管理体系认证、IS014001环境管理体系认证、IS045001职业健康安全管理体系认证、IS041001设施管理体系认证。每项得1分，满分4分。 须提供上述在有效期内的认证证书（扫描件）及“国家认证认可监督委员会（http://www.cnca.gov.cn）”的全国认证认可信息公共服务平台上查询到的在有效期内的官网截图，加盖公章。不提供不得分。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服务项目经验</w:t>
            </w:r>
          </w:p>
        </w:tc>
        <w:tc>
          <w:tcPr>
            <w:tcW w:type="dxa" w:w="2492"/>
          </w:tcPr>
          <w:p>
            <w:pPr>
              <w:pStyle w:val="null3"/>
              <w:jc w:val="left"/>
            </w:pPr>
            <w:r>
              <w:rPr>
                <w:rFonts w:ascii="仿宋_GB2312" w:hAnsi="仿宋_GB2312" w:cs="仿宋_GB2312" w:eastAsia="仿宋_GB2312"/>
              </w:rPr>
              <w:t>投标人2023年1月1日以来（以合同签订时间为准）正在服务或服务完成的类似项目服务业绩每个5分，满分10分。 注：类似项目服务每份业绩合同中必须包含餐饮服务，以及同时包含秩序维护、保洁、绿化、会务、维修中至少四项服务内容（名称可不完全一致），提供业绩合同关键页扫描件和合同期内任意一张双方费用结算凭证（发票和银行回单），合同关键页必须包含首页、服务内容、服务费金额、服务期限及落款盖章页，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响应文件格式</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响应文件格式</w:t>
            </w:r>
          </w:p>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详见附件：物业管理服务项目服务合同模板.docx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HNGP2026-135</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2026-2027年度三亚市吉阳区人民法院物业管理服务项目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(物业管理服务)</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2721909.14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详见附件：响应文件格式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