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D74407">
      <w:pPr>
        <w:pStyle w:val="33"/>
        <w:jc w:val="center"/>
        <w:rPr>
          <w:rFonts w:hint="eastAsia" w:hAnsi="宋体" w:eastAsia="宋体"/>
          <w:b/>
          <w:bCs/>
          <w:color w:val="auto"/>
          <w:sz w:val="52"/>
          <w:szCs w:val="52"/>
          <w:lang w:eastAsia="zh-CN"/>
        </w:rPr>
      </w:pPr>
      <w:bookmarkStart w:id="0" w:name="_Toc21670"/>
      <w:r>
        <w:rPr>
          <w:rFonts w:hint="eastAsia" w:hAnsi="宋体"/>
          <w:b/>
          <w:bCs/>
          <w:color w:val="auto"/>
          <w:sz w:val="52"/>
          <w:szCs w:val="52"/>
          <w:lang w:eastAsia="zh-CN"/>
        </w:rPr>
        <w:t>交管大队瑞丽市区货车入城禁、限行管控设备项目</w:t>
      </w:r>
    </w:p>
    <w:p w14:paraId="0B8B347C">
      <w:pPr>
        <w:rPr>
          <w:color w:val="auto"/>
        </w:rPr>
      </w:pPr>
    </w:p>
    <w:p w14:paraId="372E3B6D">
      <w:pPr>
        <w:rPr>
          <w:color w:val="auto"/>
        </w:rPr>
      </w:pPr>
    </w:p>
    <w:p w14:paraId="27DAAA82">
      <w:pPr>
        <w:rPr>
          <w:color w:val="auto"/>
        </w:rPr>
      </w:pPr>
    </w:p>
    <w:p w14:paraId="41003601">
      <w:pPr>
        <w:pStyle w:val="29"/>
        <w:ind w:firstLine="528"/>
        <w:rPr>
          <w:color w:val="auto"/>
        </w:rPr>
      </w:pPr>
    </w:p>
    <w:p w14:paraId="7E03227C">
      <w:pPr>
        <w:pStyle w:val="29"/>
        <w:ind w:firstLine="528"/>
        <w:rPr>
          <w:color w:val="auto"/>
        </w:rPr>
      </w:pPr>
    </w:p>
    <w:p w14:paraId="56BBC195">
      <w:pPr>
        <w:pStyle w:val="33"/>
        <w:rPr>
          <w:rFonts w:hAnsi="宋体"/>
          <w:b/>
          <w:bCs/>
          <w:color w:val="auto"/>
          <w:sz w:val="72"/>
        </w:rPr>
      </w:pPr>
    </w:p>
    <w:p w14:paraId="22D2A094">
      <w:pPr>
        <w:pStyle w:val="10"/>
        <w:spacing w:line="360" w:lineRule="auto"/>
        <w:jc w:val="center"/>
        <w:rPr>
          <w:rFonts w:hAnsi="宋体"/>
          <w:b/>
          <w:bCs/>
          <w:color w:val="auto"/>
          <w:sz w:val="72"/>
          <w:szCs w:val="72"/>
        </w:rPr>
      </w:pPr>
      <w:r>
        <w:rPr>
          <w:rFonts w:hint="eastAsia" w:hAnsi="宋体"/>
          <w:b/>
          <w:bCs/>
          <w:color w:val="auto"/>
          <w:sz w:val="72"/>
          <w:szCs w:val="72"/>
        </w:rPr>
        <w:t>招标文件</w:t>
      </w:r>
    </w:p>
    <w:p w14:paraId="0002BBCB">
      <w:pPr>
        <w:spacing w:line="700" w:lineRule="exact"/>
        <w:jc w:val="center"/>
        <w:rPr>
          <w:rFonts w:hint="eastAsia" w:ascii="宋体" w:hAnsi="宋体" w:eastAsia="宋体" w:cs="宋体"/>
          <w:b/>
          <w:color w:val="auto"/>
          <w:sz w:val="28"/>
          <w:szCs w:val="28"/>
          <w:lang w:eastAsia="zh-CN"/>
        </w:rPr>
      </w:pPr>
      <w:r>
        <w:rPr>
          <w:rFonts w:hint="eastAsia" w:ascii="宋体" w:hAnsi="宋体" w:cs="宋体"/>
          <w:b/>
          <w:color w:val="auto"/>
          <w:sz w:val="28"/>
          <w:szCs w:val="28"/>
        </w:rPr>
        <w:t>招标编号：</w:t>
      </w:r>
      <w:r>
        <w:rPr>
          <w:rFonts w:hint="eastAsia" w:ascii="宋体" w:hAnsi="宋体" w:cs="宋体"/>
          <w:b/>
          <w:color w:val="auto"/>
          <w:sz w:val="28"/>
          <w:szCs w:val="28"/>
          <w:lang w:eastAsia="zh-CN"/>
        </w:rPr>
        <w:t>DHAY-2025-001(公)</w:t>
      </w:r>
    </w:p>
    <w:p w14:paraId="14F97B5D">
      <w:pPr>
        <w:pStyle w:val="10"/>
        <w:spacing w:line="360" w:lineRule="auto"/>
        <w:jc w:val="center"/>
        <w:rPr>
          <w:rFonts w:hAnsi="宋体"/>
          <w:color w:val="auto"/>
          <w:sz w:val="28"/>
          <w:szCs w:val="28"/>
        </w:rPr>
      </w:pPr>
    </w:p>
    <w:p w14:paraId="60E49175">
      <w:pPr>
        <w:pStyle w:val="10"/>
        <w:spacing w:line="360" w:lineRule="auto"/>
        <w:rPr>
          <w:rFonts w:hAnsi="宋体"/>
          <w:color w:val="auto"/>
        </w:rPr>
      </w:pPr>
    </w:p>
    <w:p w14:paraId="34E36B9E">
      <w:pPr>
        <w:rPr>
          <w:color w:val="auto"/>
        </w:rPr>
      </w:pPr>
    </w:p>
    <w:p w14:paraId="40905C3D">
      <w:pPr>
        <w:rPr>
          <w:color w:val="auto"/>
        </w:rPr>
      </w:pPr>
    </w:p>
    <w:p w14:paraId="2F7959B0">
      <w:pPr>
        <w:rPr>
          <w:color w:val="auto"/>
        </w:rPr>
      </w:pPr>
    </w:p>
    <w:p w14:paraId="71F734DD">
      <w:pPr>
        <w:pStyle w:val="23"/>
        <w:spacing w:beforeLines="200" w:line="1000" w:lineRule="exact"/>
        <w:ind w:left="0" w:leftChars="0" w:firstLine="1506" w:firstLineChars="500"/>
        <w:rPr>
          <w:rFonts w:hint="eastAsia" w:eastAsiaTheme="minorEastAsia"/>
          <w:b/>
          <w:color w:val="auto"/>
          <w:sz w:val="30"/>
          <w:szCs w:val="30"/>
          <w:lang w:eastAsia="zh-CN"/>
        </w:rPr>
      </w:pPr>
      <w:r>
        <w:rPr>
          <w:rFonts w:hint="eastAsia"/>
          <w:b/>
          <w:color w:val="auto"/>
          <w:sz w:val="30"/>
          <w:szCs w:val="30"/>
        </w:rPr>
        <w:t>采购人：</w:t>
      </w:r>
      <w:r>
        <w:rPr>
          <w:rFonts w:hint="eastAsia" w:asciiTheme="majorEastAsia" w:hAnsiTheme="majorEastAsia" w:eastAsiaTheme="majorEastAsia" w:cstheme="majorEastAsia"/>
          <w:b/>
          <w:color w:val="auto"/>
          <w:sz w:val="30"/>
          <w:szCs w:val="30"/>
          <w:lang w:eastAsia="zh-CN"/>
        </w:rPr>
        <w:t>瑞丽市公安局交通管理大队</w:t>
      </w:r>
    </w:p>
    <w:p w14:paraId="0593D2A1">
      <w:pPr>
        <w:pStyle w:val="23"/>
        <w:spacing w:beforeLines="200" w:line="480" w:lineRule="auto"/>
        <w:ind w:left="0" w:leftChars="0" w:firstLine="1506" w:firstLineChars="500"/>
        <w:rPr>
          <w:rFonts w:hint="eastAsia" w:hAnsi="宋体" w:eastAsiaTheme="minorEastAsia"/>
          <w:b/>
          <w:color w:val="auto"/>
          <w:sz w:val="30"/>
          <w:szCs w:val="30"/>
          <w:lang w:eastAsia="zh-CN"/>
        </w:rPr>
      </w:pPr>
      <w:r>
        <w:rPr>
          <w:rFonts w:hint="eastAsia" w:hAnsi="宋体"/>
          <w:b/>
          <w:color w:val="auto"/>
          <w:sz w:val="30"/>
          <w:szCs w:val="30"/>
        </w:rPr>
        <w:t>采购</w:t>
      </w:r>
      <w:r>
        <w:rPr>
          <w:rFonts w:hAnsi="宋体"/>
          <w:b/>
          <w:color w:val="auto"/>
          <w:sz w:val="30"/>
          <w:szCs w:val="30"/>
        </w:rPr>
        <w:t>代理机构</w:t>
      </w:r>
      <w:r>
        <w:rPr>
          <w:rFonts w:hint="eastAsia"/>
          <w:b/>
          <w:color w:val="auto"/>
          <w:sz w:val="30"/>
          <w:szCs w:val="30"/>
        </w:rPr>
        <w:t>：</w:t>
      </w:r>
      <w:r>
        <w:rPr>
          <w:rFonts w:hint="eastAsia" w:hAnsi="宋体"/>
          <w:b/>
          <w:color w:val="auto"/>
          <w:sz w:val="30"/>
          <w:szCs w:val="30"/>
          <w:lang w:eastAsia="zh-CN"/>
        </w:rPr>
        <w:t>德宏傲亿工程管理咨询有限公司</w:t>
      </w:r>
    </w:p>
    <w:p w14:paraId="10B282B3">
      <w:pPr>
        <w:pStyle w:val="23"/>
        <w:spacing w:beforeLines="200" w:line="480" w:lineRule="auto"/>
        <w:ind w:left="0" w:leftChars="0" w:firstLine="1506" w:firstLineChars="500"/>
        <w:rPr>
          <w:rFonts w:ascii="宋体" w:hAnsi="宋体" w:cs="宋体"/>
          <w:b/>
          <w:bCs/>
          <w:color w:val="auto"/>
          <w:sz w:val="30"/>
          <w:szCs w:val="30"/>
        </w:rPr>
      </w:pPr>
      <w:r>
        <w:rPr>
          <w:rFonts w:hint="eastAsia" w:hAnsi="宋体"/>
          <w:b/>
          <w:color w:val="auto"/>
          <w:sz w:val="30"/>
          <w:szCs w:val="30"/>
        </w:rPr>
        <w:t>日  期：20</w:t>
      </w:r>
      <w:r>
        <w:rPr>
          <w:rFonts w:hint="eastAsia" w:hAnsi="宋体"/>
          <w:b/>
          <w:color w:val="auto"/>
          <w:sz w:val="30"/>
          <w:szCs w:val="30"/>
          <w:lang w:val="en-US" w:eastAsia="zh-CN"/>
        </w:rPr>
        <w:t>25</w:t>
      </w:r>
      <w:r>
        <w:rPr>
          <w:rFonts w:hint="eastAsia" w:hAnsi="宋体" w:cs="微软雅黑"/>
          <w:b/>
          <w:color w:val="auto"/>
          <w:sz w:val="30"/>
          <w:szCs w:val="30"/>
        </w:rPr>
        <w:t>年0</w:t>
      </w:r>
      <w:r>
        <w:rPr>
          <w:rFonts w:hint="eastAsia" w:hAnsi="宋体" w:cs="微软雅黑"/>
          <w:b/>
          <w:color w:val="auto"/>
          <w:sz w:val="30"/>
          <w:szCs w:val="30"/>
          <w:lang w:val="en-US" w:eastAsia="zh-CN"/>
        </w:rPr>
        <w:t>9</w:t>
      </w:r>
      <w:r>
        <w:rPr>
          <w:rFonts w:hint="eastAsia" w:hAnsi="宋体" w:cs="微软雅黑"/>
          <w:b/>
          <w:color w:val="auto"/>
          <w:sz w:val="30"/>
          <w:szCs w:val="30"/>
        </w:rPr>
        <w:t>月</w:t>
      </w:r>
    </w:p>
    <w:p w14:paraId="6CBDF356">
      <w:pPr>
        <w:pStyle w:val="33"/>
        <w:rPr>
          <w:color w:val="auto"/>
        </w:rPr>
      </w:pPr>
    </w:p>
    <w:p w14:paraId="1D17B886">
      <w:pPr>
        <w:pStyle w:val="10"/>
        <w:spacing w:line="360" w:lineRule="auto"/>
        <w:rPr>
          <w:rFonts w:hAnsi="宋体"/>
          <w:color w:val="auto"/>
        </w:rPr>
        <w:sectPr>
          <w:headerReference r:id="rId3" w:type="default"/>
          <w:footerReference r:id="rId4" w:type="default"/>
          <w:pgSz w:w="11906" w:h="16838"/>
          <w:pgMar w:top="1440" w:right="1440" w:bottom="1440" w:left="1440" w:header="851" w:footer="992" w:gutter="0"/>
          <w:cols w:space="425" w:num="1"/>
          <w:docGrid w:type="lines" w:linePitch="312" w:charSpace="0"/>
        </w:sectPr>
      </w:pPr>
    </w:p>
    <w:p w14:paraId="1F0A01F9">
      <w:pPr>
        <w:spacing w:beforeLines="50" w:afterLines="100"/>
        <w:jc w:val="center"/>
        <w:rPr>
          <w:b/>
          <w:bCs/>
          <w:color w:val="auto"/>
          <w:sz w:val="44"/>
          <w:szCs w:val="52"/>
        </w:rPr>
      </w:pPr>
      <w:r>
        <w:rPr>
          <w:rFonts w:hint="eastAsia"/>
          <w:b/>
          <w:bCs/>
          <w:color w:val="auto"/>
          <w:sz w:val="44"/>
          <w:szCs w:val="52"/>
        </w:rPr>
        <w:t>目 录</w:t>
      </w:r>
    </w:p>
    <w:p w14:paraId="73CD44CC">
      <w:pPr>
        <w:ind w:firstLine="640" w:firstLineChars="200"/>
        <w:jc w:val="left"/>
        <w:rPr>
          <w:color w:val="auto"/>
          <w:position w:val="-6"/>
          <w:sz w:val="22"/>
          <w:szCs w:val="21"/>
          <w:highlight w:val="yellow"/>
        </w:rPr>
      </w:pPr>
      <w:r>
        <w:rPr>
          <w:rFonts w:hint="eastAsia"/>
          <w:color w:val="auto"/>
          <w:sz w:val="32"/>
          <w:szCs w:val="40"/>
        </w:rPr>
        <w:t>第一章 招标公告...........................................................................1</w:t>
      </w:r>
    </w:p>
    <w:p w14:paraId="1455BAD0">
      <w:pPr>
        <w:ind w:firstLine="640" w:firstLineChars="200"/>
        <w:jc w:val="left"/>
        <w:rPr>
          <w:color w:val="auto"/>
        </w:rPr>
      </w:pPr>
      <w:r>
        <w:rPr>
          <w:rFonts w:hint="eastAsia"/>
          <w:color w:val="auto"/>
          <w:sz w:val="32"/>
          <w:szCs w:val="40"/>
        </w:rPr>
        <w:t>第二章 投标人须知.......................................................................8</w:t>
      </w:r>
    </w:p>
    <w:p w14:paraId="26D26AC3">
      <w:pPr>
        <w:ind w:firstLine="640" w:firstLineChars="200"/>
        <w:jc w:val="left"/>
        <w:rPr>
          <w:rFonts w:eastAsiaTheme="minorEastAsia"/>
          <w:color w:val="auto"/>
          <w:sz w:val="32"/>
          <w:szCs w:val="40"/>
        </w:rPr>
      </w:pPr>
      <w:r>
        <w:rPr>
          <w:rFonts w:hint="eastAsia"/>
          <w:color w:val="auto"/>
          <w:sz w:val="32"/>
          <w:szCs w:val="40"/>
        </w:rPr>
        <w:t>第三章 评标办法.........................................................................34</w:t>
      </w:r>
    </w:p>
    <w:p w14:paraId="3EA0632D">
      <w:pPr>
        <w:ind w:firstLine="640" w:firstLineChars="200"/>
        <w:jc w:val="left"/>
        <w:rPr>
          <w:rFonts w:eastAsiaTheme="minorEastAsia"/>
          <w:color w:val="auto"/>
          <w:sz w:val="32"/>
          <w:szCs w:val="40"/>
        </w:rPr>
      </w:pPr>
      <w:r>
        <w:rPr>
          <w:rFonts w:hint="eastAsia"/>
          <w:color w:val="auto"/>
          <w:sz w:val="32"/>
          <w:szCs w:val="40"/>
        </w:rPr>
        <w:t>第四章 合同条款及合同书样式.................................................4</w:t>
      </w:r>
      <w:r>
        <w:rPr>
          <w:rFonts w:hint="eastAsia"/>
          <w:color w:val="auto"/>
          <w:sz w:val="32"/>
          <w:szCs w:val="40"/>
          <w:lang w:eastAsia="zh-CN"/>
        </w:rPr>
        <w:t>8</w:t>
      </w:r>
    </w:p>
    <w:p w14:paraId="27C6E913">
      <w:pPr>
        <w:ind w:firstLine="640" w:firstLineChars="200"/>
        <w:jc w:val="left"/>
        <w:rPr>
          <w:rFonts w:hint="eastAsia" w:eastAsia="宋体"/>
          <w:color w:val="auto"/>
          <w:sz w:val="32"/>
          <w:szCs w:val="40"/>
          <w:lang w:val="en-US" w:eastAsia="zh-CN"/>
        </w:rPr>
      </w:pPr>
      <w:r>
        <w:rPr>
          <w:rFonts w:hint="eastAsia"/>
          <w:color w:val="auto"/>
          <w:sz w:val="32"/>
          <w:szCs w:val="40"/>
        </w:rPr>
        <w:t>第五章 采购需求.........................................................................5</w:t>
      </w:r>
      <w:r>
        <w:rPr>
          <w:rFonts w:hint="eastAsia"/>
          <w:color w:val="auto"/>
          <w:sz w:val="32"/>
          <w:szCs w:val="40"/>
          <w:lang w:val="en-US" w:eastAsia="zh-CN"/>
        </w:rPr>
        <w:t>5</w:t>
      </w:r>
    </w:p>
    <w:p w14:paraId="0DDCFF19">
      <w:pPr>
        <w:pStyle w:val="7"/>
        <w:ind w:firstLine="640" w:firstLineChars="200"/>
        <w:jc w:val="left"/>
        <w:rPr>
          <w:rFonts w:hint="eastAsia" w:eastAsia="宋体"/>
          <w:color w:val="auto"/>
          <w:lang w:val="en-US" w:eastAsia="zh-CN"/>
        </w:rPr>
      </w:pPr>
      <w:r>
        <w:rPr>
          <w:rFonts w:hint="eastAsia"/>
          <w:color w:val="auto"/>
          <w:sz w:val="32"/>
          <w:szCs w:val="40"/>
        </w:rPr>
        <w:t>第六章</w:t>
      </w:r>
      <w:r>
        <w:rPr>
          <w:rFonts w:hint="eastAsia"/>
          <w:color w:val="auto"/>
          <w:sz w:val="32"/>
          <w:szCs w:val="40"/>
          <w:lang w:val="en-US" w:eastAsia="zh-CN"/>
        </w:rPr>
        <w:t xml:space="preserve"> </w:t>
      </w:r>
      <w:r>
        <w:rPr>
          <w:rFonts w:hint="eastAsia"/>
          <w:color w:val="auto"/>
          <w:sz w:val="32"/>
          <w:szCs w:val="40"/>
        </w:rPr>
        <w:t>投标文件格式.................................................................7</w:t>
      </w:r>
      <w:r>
        <w:rPr>
          <w:rFonts w:hint="eastAsia"/>
          <w:color w:val="auto"/>
          <w:sz w:val="32"/>
          <w:szCs w:val="40"/>
          <w:lang w:val="en-US" w:eastAsia="zh-CN"/>
        </w:rPr>
        <w:t>4</w:t>
      </w:r>
    </w:p>
    <w:p w14:paraId="6D993602">
      <w:pPr>
        <w:rPr>
          <w:color w:val="auto"/>
        </w:rPr>
      </w:pPr>
    </w:p>
    <w:p w14:paraId="019BCC7C">
      <w:pPr>
        <w:pStyle w:val="23"/>
        <w:tabs>
          <w:tab w:val="left" w:pos="7596"/>
        </w:tabs>
        <w:rPr>
          <w:color w:val="auto"/>
        </w:rPr>
      </w:pPr>
      <w:r>
        <w:rPr>
          <w:rFonts w:hint="eastAsia"/>
          <w:color w:val="auto"/>
        </w:rPr>
        <w:tab/>
      </w:r>
    </w:p>
    <w:p w14:paraId="5B09DC3D">
      <w:pPr>
        <w:pStyle w:val="23"/>
        <w:rPr>
          <w:color w:val="auto"/>
        </w:rPr>
      </w:pPr>
    </w:p>
    <w:p w14:paraId="1A1CEE70">
      <w:pPr>
        <w:pStyle w:val="23"/>
        <w:rPr>
          <w:color w:val="auto"/>
        </w:rPr>
      </w:pPr>
    </w:p>
    <w:p w14:paraId="156C8D96">
      <w:pPr>
        <w:pStyle w:val="23"/>
        <w:rPr>
          <w:color w:val="auto"/>
        </w:rPr>
      </w:pPr>
    </w:p>
    <w:p w14:paraId="44F80D75">
      <w:pPr>
        <w:pStyle w:val="23"/>
        <w:rPr>
          <w:color w:val="auto"/>
        </w:rPr>
        <w:sectPr>
          <w:pgSz w:w="11906" w:h="16838"/>
          <w:pgMar w:top="1440" w:right="1134" w:bottom="1440" w:left="1134" w:header="851" w:footer="992" w:gutter="0"/>
          <w:cols w:space="425" w:num="1"/>
          <w:docGrid w:type="lines" w:linePitch="312" w:charSpace="0"/>
        </w:sectPr>
      </w:pPr>
    </w:p>
    <w:bookmarkEnd w:id="0"/>
    <w:p w14:paraId="4555F0D2">
      <w:pPr>
        <w:spacing w:afterLines="50"/>
        <w:jc w:val="center"/>
        <w:rPr>
          <w:b/>
          <w:color w:val="auto"/>
          <w:shd w:val="pct10" w:color="auto" w:fill="FFFFFF"/>
        </w:rPr>
      </w:pPr>
      <w:bookmarkStart w:id="1" w:name="_Toc11419"/>
      <w:bookmarkStart w:id="2" w:name="_Toc19039"/>
      <w:r>
        <w:rPr>
          <w:rFonts w:hint="eastAsia" w:ascii="宋体" w:cs="宋体"/>
          <w:b/>
          <w:color w:val="auto"/>
          <w:sz w:val="44"/>
          <w:szCs w:val="44"/>
        </w:rPr>
        <w:t>第一章</w:t>
      </w:r>
      <w:r>
        <w:rPr>
          <w:rFonts w:hint="eastAsia" w:ascii="宋体" w:cs="宋体"/>
          <w:b/>
          <w:color w:val="auto"/>
          <w:sz w:val="44"/>
          <w:szCs w:val="44"/>
          <w:lang w:val="en-US" w:eastAsia="zh-CN"/>
        </w:rPr>
        <w:t xml:space="preserve"> </w:t>
      </w:r>
      <w:r>
        <w:rPr>
          <w:rFonts w:hint="eastAsia" w:ascii="宋体" w:hAnsi="宋体" w:cs="宋体"/>
          <w:b/>
          <w:color w:val="auto"/>
          <w:sz w:val="44"/>
          <w:szCs w:val="44"/>
        </w:rPr>
        <w:t>招标公告</w:t>
      </w:r>
    </w:p>
    <w:p w14:paraId="008F5996">
      <w:pPr>
        <w:pBdr>
          <w:top w:val="single" w:color="auto" w:sz="4" w:space="1"/>
          <w:left w:val="single" w:color="auto" w:sz="4" w:space="4"/>
          <w:bottom w:val="single" w:color="auto" w:sz="4" w:space="1"/>
          <w:right w:val="single" w:color="auto" w:sz="4" w:space="4"/>
        </w:pBdr>
        <w:spacing w:line="500" w:lineRule="exact"/>
        <w:rPr>
          <w:rFonts w:ascii="宋体" w:hAnsi="宋体" w:cs="宋体"/>
          <w:color w:val="auto"/>
          <w:sz w:val="24"/>
        </w:rPr>
      </w:pPr>
      <w:r>
        <w:rPr>
          <w:rFonts w:hint="eastAsia" w:ascii="宋体" w:hAnsi="宋体" w:cs="宋体"/>
          <w:color w:val="auto"/>
          <w:sz w:val="24"/>
        </w:rPr>
        <w:t>项目概况</w:t>
      </w:r>
    </w:p>
    <w:p w14:paraId="6097043A">
      <w:pPr>
        <w:pBdr>
          <w:top w:val="single" w:color="auto" w:sz="4" w:space="1"/>
          <w:left w:val="single" w:color="auto" w:sz="4" w:space="4"/>
          <w:bottom w:val="single" w:color="auto" w:sz="4" w:space="1"/>
          <w:right w:val="single" w:color="auto" w:sz="4" w:space="4"/>
        </w:pBdr>
        <w:wordWrap w:val="0"/>
        <w:spacing w:line="500" w:lineRule="exact"/>
        <w:ind w:firstLine="480" w:firstLineChars="200"/>
        <w:rPr>
          <w:rFonts w:ascii="宋体" w:hAnsi="宋体" w:cs="宋体"/>
          <w:color w:val="auto"/>
          <w:sz w:val="24"/>
        </w:rPr>
      </w:pPr>
      <w:r>
        <w:rPr>
          <w:rFonts w:hint="eastAsia" w:ascii="宋体" w:hAnsi="宋体" w:cs="宋体"/>
          <w:color w:val="auto"/>
          <w:sz w:val="24"/>
          <w:lang w:eastAsia="zh-CN"/>
        </w:rPr>
        <w:t>交管大队瑞丽市区货车入城禁、限行管控设备项目</w:t>
      </w:r>
      <w:r>
        <w:rPr>
          <w:rFonts w:hint="eastAsia" w:ascii="宋体" w:hAnsi="宋体" w:cs="宋体"/>
          <w:color w:val="auto"/>
          <w:sz w:val="24"/>
        </w:rPr>
        <w:t>的潜在投标人应在“政府采购云平台（https://www.zcygov.cn/）”获取采购文件，并于</w:t>
      </w:r>
      <w:r>
        <w:rPr>
          <w:rFonts w:hint="eastAsia" w:ascii="宋体" w:hAnsi="宋体" w:cs="宋体"/>
          <w:color w:val="auto"/>
          <w:sz w:val="24"/>
          <w:lang w:eastAsia="zh-CN"/>
        </w:rPr>
        <w:t>20</w:t>
      </w:r>
      <w:r>
        <w:rPr>
          <w:rFonts w:hint="eastAsia" w:ascii="宋体" w:hAnsi="宋体" w:cs="宋体"/>
          <w:color w:val="auto"/>
          <w:sz w:val="24"/>
          <w:lang w:val="en-US" w:eastAsia="zh-CN"/>
        </w:rPr>
        <w:t>25</w:t>
      </w:r>
      <w:r>
        <w:rPr>
          <w:rFonts w:hint="eastAsia" w:ascii="宋体" w:hAnsi="宋体" w:cs="宋体"/>
          <w:color w:val="auto"/>
          <w:sz w:val="24"/>
          <w:lang w:eastAsia="zh-CN"/>
        </w:rPr>
        <w:t>年</w:t>
      </w:r>
      <w:r>
        <w:rPr>
          <w:rFonts w:hint="eastAsia" w:ascii="宋体" w:hAnsi="宋体" w:cs="宋体"/>
          <w:color w:val="auto"/>
          <w:sz w:val="24"/>
          <w:lang w:val="en-US" w:eastAsia="zh-CN"/>
        </w:rPr>
        <w:t>10</w:t>
      </w:r>
      <w:r>
        <w:rPr>
          <w:rFonts w:hint="eastAsia" w:ascii="宋体" w:hAnsi="宋体" w:cs="宋体"/>
          <w:color w:val="auto"/>
          <w:sz w:val="24"/>
          <w:lang w:eastAsia="zh-CN"/>
        </w:rPr>
        <w:t>月</w:t>
      </w:r>
      <w:r>
        <w:rPr>
          <w:rFonts w:hint="eastAsia" w:ascii="宋体" w:hAnsi="宋体" w:cs="宋体"/>
          <w:color w:val="auto"/>
          <w:sz w:val="24"/>
          <w:lang w:val="en-US" w:eastAsia="zh-CN"/>
        </w:rPr>
        <w:t>14</w:t>
      </w:r>
      <w:r>
        <w:rPr>
          <w:rFonts w:hint="eastAsia" w:ascii="宋体" w:hAnsi="宋体" w:cs="宋体"/>
          <w:color w:val="auto"/>
          <w:sz w:val="24"/>
          <w:lang w:eastAsia="zh-CN"/>
        </w:rPr>
        <w:t>日</w:t>
      </w:r>
      <w:r>
        <w:rPr>
          <w:rFonts w:hint="eastAsia" w:ascii="宋体" w:hAnsi="宋体" w:cs="宋体"/>
          <w:color w:val="auto"/>
          <w:sz w:val="24"/>
          <w:lang w:val="en-US" w:eastAsia="zh-CN"/>
        </w:rPr>
        <w:t>15</w:t>
      </w:r>
      <w:r>
        <w:rPr>
          <w:rFonts w:hint="eastAsia" w:ascii="宋体" w:hAnsi="宋体" w:cs="宋体"/>
          <w:color w:val="auto"/>
          <w:sz w:val="24"/>
          <w:lang w:eastAsia="zh-CN"/>
        </w:rPr>
        <w:t>点00分</w:t>
      </w:r>
      <w:r>
        <w:rPr>
          <w:rFonts w:hint="eastAsia" w:ascii="宋体" w:hAnsi="宋体" w:cs="宋体"/>
          <w:color w:val="auto"/>
          <w:sz w:val="24"/>
        </w:rPr>
        <w:t>（北京时间）前递交投标文件。</w:t>
      </w:r>
    </w:p>
    <w:p w14:paraId="51177F00">
      <w:pPr>
        <w:pStyle w:val="3"/>
        <w:numPr>
          <w:ilvl w:val="1"/>
          <w:numId w:val="0"/>
        </w:numPr>
        <w:spacing w:line="486" w:lineRule="exact"/>
        <w:textAlignment w:val="auto"/>
        <w:rPr>
          <w:rFonts w:ascii="宋体" w:hAnsi="宋体" w:eastAsia="宋体" w:cs="宋体"/>
          <w:bCs/>
          <w:color w:val="auto"/>
          <w:sz w:val="24"/>
          <w:szCs w:val="24"/>
        </w:rPr>
      </w:pPr>
      <w:bookmarkStart w:id="3" w:name="_Toc35393790"/>
      <w:bookmarkStart w:id="4" w:name="_Toc35393621"/>
      <w:bookmarkStart w:id="5" w:name="_Toc28359079"/>
      <w:bookmarkStart w:id="6" w:name="_Toc28359002"/>
      <w:bookmarkStart w:id="7" w:name="_Hlk24379207"/>
      <w:r>
        <w:rPr>
          <w:rFonts w:hint="eastAsia" w:ascii="宋体" w:hAnsi="宋体" w:eastAsia="宋体" w:cs="宋体"/>
          <w:bCs/>
          <w:color w:val="auto"/>
          <w:sz w:val="24"/>
          <w:szCs w:val="24"/>
        </w:rPr>
        <w:t>一、项目基本情况</w:t>
      </w:r>
      <w:bookmarkEnd w:id="3"/>
      <w:bookmarkEnd w:id="4"/>
      <w:bookmarkEnd w:id="5"/>
      <w:bookmarkEnd w:id="6"/>
    </w:p>
    <w:p w14:paraId="0CD52C89">
      <w:pPr>
        <w:spacing w:line="500" w:lineRule="exact"/>
        <w:ind w:firstLine="480" w:firstLineChars="200"/>
        <w:rPr>
          <w:rFonts w:ascii="宋体" w:hAnsi="宋体" w:cs="宋体"/>
          <w:color w:val="auto"/>
          <w:sz w:val="24"/>
        </w:rPr>
      </w:pPr>
      <w:r>
        <w:rPr>
          <w:rFonts w:hint="eastAsia" w:ascii="宋体" w:hAnsi="宋体" w:cs="宋体"/>
          <w:color w:val="auto"/>
          <w:sz w:val="24"/>
        </w:rPr>
        <w:t>项目编号：</w:t>
      </w:r>
      <w:r>
        <w:rPr>
          <w:rFonts w:hint="eastAsia" w:ascii="宋体" w:hAnsi="宋体" w:cs="宋体"/>
          <w:color w:val="auto"/>
          <w:sz w:val="24"/>
          <w:lang w:val="en-US" w:eastAsia="zh-CN"/>
        </w:rPr>
        <w:t>DHZC2025-G1-00766-AYGC-0008</w:t>
      </w:r>
      <w:r>
        <w:rPr>
          <w:rFonts w:hint="eastAsia" w:ascii="宋体" w:hAnsi="宋体" w:cs="宋体"/>
          <w:color w:val="auto"/>
          <w:sz w:val="24"/>
        </w:rPr>
        <w:t>；</w:t>
      </w:r>
    </w:p>
    <w:p w14:paraId="34B9B008">
      <w:pPr>
        <w:widowControl/>
        <w:spacing w:line="500" w:lineRule="exact"/>
        <w:ind w:firstLine="480" w:firstLineChars="200"/>
        <w:jc w:val="left"/>
        <w:rPr>
          <w:rFonts w:ascii="宋体" w:hAnsi="宋体" w:cs="宋体"/>
          <w:color w:val="auto"/>
          <w:sz w:val="24"/>
        </w:rPr>
      </w:pPr>
      <w:r>
        <w:rPr>
          <w:rFonts w:hint="eastAsia" w:ascii="宋体" w:hAnsi="宋体" w:cs="宋体"/>
          <w:color w:val="auto"/>
          <w:sz w:val="24"/>
        </w:rPr>
        <w:t>招标编号：</w:t>
      </w:r>
      <w:r>
        <w:rPr>
          <w:rFonts w:hint="eastAsia" w:ascii="宋体" w:hAnsi="宋体" w:cs="宋体"/>
          <w:color w:val="auto"/>
          <w:sz w:val="24"/>
          <w:lang w:eastAsia="zh-CN"/>
        </w:rPr>
        <w:t>DHAY-2025-001(公)</w:t>
      </w:r>
      <w:r>
        <w:rPr>
          <w:rFonts w:hint="eastAsia" w:ascii="宋体" w:hAnsi="宋体" w:cs="宋体"/>
          <w:color w:val="auto"/>
          <w:sz w:val="24"/>
        </w:rPr>
        <w:t>；</w:t>
      </w:r>
    </w:p>
    <w:p w14:paraId="631D7E22">
      <w:pPr>
        <w:widowControl/>
        <w:spacing w:line="500" w:lineRule="exact"/>
        <w:ind w:firstLine="480" w:firstLineChars="200"/>
        <w:jc w:val="left"/>
        <w:rPr>
          <w:rFonts w:ascii="宋体" w:hAnsi="宋体" w:cs="宋体"/>
          <w:color w:val="auto"/>
          <w:sz w:val="24"/>
        </w:rPr>
      </w:pPr>
      <w:r>
        <w:rPr>
          <w:rFonts w:hint="eastAsia" w:ascii="宋体" w:hAnsi="宋体" w:cs="宋体"/>
          <w:color w:val="auto"/>
          <w:sz w:val="24"/>
        </w:rPr>
        <w:t>项目名称：</w:t>
      </w:r>
      <w:r>
        <w:rPr>
          <w:rFonts w:hint="eastAsia" w:ascii="宋体" w:hAnsi="宋体" w:cs="宋体"/>
          <w:color w:val="auto"/>
          <w:sz w:val="24"/>
          <w:lang w:eastAsia="zh-CN"/>
        </w:rPr>
        <w:t>交管大队瑞丽市区货车入城禁、限行管控设备项目</w:t>
      </w:r>
      <w:r>
        <w:rPr>
          <w:rFonts w:hint="eastAsia" w:ascii="宋体" w:hAnsi="宋体" w:cs="宋体"/>
          <w:color w:val="auto"/>
          <w:sz w:val="24"/>
        </w:rPr>
        <w:t>；</w:t>
      </w:r>
    </w:p>
    <w:bookmarkEnd w:id="7"/>
    <w:p w14:paraId="22EF5681">
      <w:pPr>
        <w:widowControl/>
        <w:spacing w:line="500" w:lineRule="exact"/>
        <w:ind w:firstLine="480" w:firstLineChars="200"/>
        <w:jc w:val="left"/>
        <w:rPr>
          <w:rFonts w:ascii="宋体" w:hAnsi="宋体" w:cs="宋体"/>
          <w:color w:val="auto"/>
          <w:sz w:val="24"/>
        </w:rPr>
      </w:pPr>
      <w:r>
        <w:rPr>
          <w:rFonts w:hint="eastAsia" w:ascii="宋体" w:hAnsi="宋体" w:cs="宋体"/>
          <w:color w:val="auto"/>
          <w:sz w:val="24"/>
        </w:rPr>
        <w:t>预算金额：</w:t>
      </w:r>
      <w:r>
        <w:rPr>
          <w:rFonts w:hint="eastAsia" w:ascii="宋体" w:hAnsi="宋体"/>
          <w:color w:val="auto"/>
          <w:sz w:val="24"/>
          <w:lang w:val="en-US" w:eastAsia="zh-CN"/>
        </w:rPr>
        <w:t>3200000.00</w:t>
      </w:r>
      <w:r>
        <w:rPr>
          <w:rFonts w:hint="eastAsia" w:ascii="宋体" w:hAnsi="宋体"/>
          <w:color w:val="auto"/>
          <w:sz w:val="24"/>
        </w:rPr>
        <w:t>元</w:t>
      </w:r>
      <w:r>
        <w:rPr>
          <w:rFonts w:hint="eastAsia" w:ascii="宋体" w:hAnsi="宋体" w:cs="宋体"/>
          <w:color w:val="auto"/>
          <w:sz w:val="24"/>
        </w:rPr>
        <w:t>；</w:t>
      </w:r>
    </w:p>
    <w:p w14:paraId="3D5328B4">
      <w:pPr>
        <w:widowControl/>
        <w:spacing w:line="500" w:lineRule="exact"/>
        <w:ind w:firstLine="480" w:firstLineChars="200"/>
        <w:jc w:val="left"/>
        <w:rPr>
          <w:rFonts w:ascii="宋体" w:hAnsi="宋体" w:cs="宋体"/>
          <w:color w:val="auto"/>
          <w:sz w:val="24"/>
        </w:rPr>
      </w:pPr>
      <w:r>
        <w:rPr>
          <w:rFonts w:hint="eastAsia" w:ascii="宋体" w:hAnsi="宋体" w:cs="宋体"/>
          <w:color w:val="auto"/>
          <w:sz w:val="24"/>
        </w:rPr>
        <w:t>最高限价：</w:t>
      </w:r>
      <w:r>
        <w:rPr>
          <w:rFonts w:hint="eastAsia" w:ascii="宋体" w:hAnsi="宋体" w:cs="宋体"/>
          <w:color w:val="auto"/>
          <w:sz w:val="24"/>
          <w:lang w:val="en-US" w:eastAsia="zh-CN"/>
        </w:rPr>
        <w:t>3200000.00</w:t>
      </w:r>
      <w:r>
        <w:rPr>
          <w:rFonts w:hint="eastAsia" w:ascii="宋体" w:hAnsi="宋体" w:cs="宋体"/>
          <w:color w:val="auto"/>
          <w:kern w:val="0"/>
          <w:sz w:val="24"/>
        </w:rPr>
        <w:t>元</w:t>
      </w:r>
      <w:r>
        <w:rPr>
          <w:rFonts w:hint="eastAsia" w:ascii="宋体" w:hAnsi="宋体" w:cs="宋体"/>
          <w:color w:val="auto"/>
          <w:sz w:val="24"/>
        </w:rPr>
        <w:t>（超过此报价的作无效标处理）；</w:t>
      </w:r>
    </w:p>
    <w:p w14:paraId="66FC5BDB">
      <w:pPr>
        <w:widowControl/>
        <w:spacing w:line="520" w:lineRule="exact"/>
        <w:ind w:firstLine="480" w:firstLineChars="200"/>
        <w:jc w:val="left"/>
        <w:rPr>
          <w:rFonts w:hint="eastAsia" w:ascii="宋体" w:hAnsi="宋体" w:cs="宋体"/>
          <w:color w:val="auto"/>
          <w:sz w:val="24"/>
        </w:rPr>
      </w:pPr>
      <w:r>
        <w:rPr>
          <w:rFonts w:hint="eastAsia" w:ascii="宋体" w:hAnsi="宋体" w:cs="宋体"/>
          <w:color w:val="auto"/>
          <w:sz w:val="24"/>
        </w:rPr>
        <w:t>采购需求：交通安全防控体系设备一批</w:t>
      </w:r>
      <w:r>
        <w:rPr>
          <w:rFonts w:hint="eastAsia" w:ascii="宋体" w:hAnsi="宋体" w:cs="宋体"/>
          <w:color w:val="auto"/>
          <w:sz w:val="24"/>
          <w:lang w:val="en-US" w:eastAsia="zh-CN"/>
        </w:rPr>
        <w:t>具体详见“第五章 采购需求”；</w:t>
      </w:r>
    </w:p>
    <w:p w14:paraId="469B14D6">
      <w:pPr>
        <w:widowControl/>
        <w:spacing w:line="520" w:lineRule="exact"/>
        <w:ind w:firstLine="480" w:firstLineChars="200"/>
        <w:jc w:val="left"/>
        <w:rPr>
          <w:rFonts w:ascii="宋体" w:hAnsi="宋体" w:cs="宋体"/>
          <w:color w:val="auto"/>
          <w:sz w:val="24"/>
        </w:rPr>
      </w:pPr>
      <w:r>
        <w:rPr>
          <w:rFonts w:hint="eastAsia" w:ascii="宋体" w:hAnsi="宋体" w:cs="宋体"/>
          <w:color w:val="auto"/>
          <w:sz w:val="24"/>
        </w:rPr>
        <w:t>质量要求：产品及安装质量合格，达到国家及行业相关要求，一次性验收合格；</w:t>
      </w:r>
    </w:p>
    <w:p w14:paraId="523C3605">
      <w:pPr>
        <w:widowControl/>
        <w:spacing w:line="520" w:lineRule="exact"/>
        <w:ind w:firstLine="480" w:firstLineChars="200"/>
        <w:jc w:val="left"/>
        <w:rPr>
          <w:rFonts w:ascii="宋体" w:hAnsi="宋体" w:cs="宋体"/>
          <w:color w:val="auto"/>
          <w:sz w:val="24"/>
        </w:rPr>
      </w:pPr>
      <w:r>
        <w:rPr>
          <w:rFonts w:hint="eastAsia" w:ascii="宋体" w:hAnsi="宋体" w:cs="宋体"/>
          <w:color w:val="auto"/>
          <w:sz w:val="24"/>
        </w:rPr>
        <w:t>合同履行期限：合同签订后</w:t>
      </w:r>
      <w:r>
        <w:rPr>
          <w:rFonts w:hint="eastAsia" w:ascii="宋体" w:hAnsi="宋体" w:cs="宋体"/>
          <w:color w:val="auto"/>
          <w:sz w:val="24"/>
          <w:lang w:val="en-US" w:eastAsia="zh-CN"/>
        </w:rPr>
        <w:t>90</w:t>
      </w:r>
      <w:r>
        <w:rPr>
          <w:rFonts w:hint="eastAsia" w:ascii="宋体" w:hAnsi="宋体" w:cs="宋体"/>
          <w:color w:val="auto"/>
          <w:sz w:val="24"/>
        </w:rPr>
        <w:t>日历天内完成安装调试，调试运行后运维服务期</w:t>
      </w:r>
      <w:r>
        <w:rPr>
          <w:rFonts w:hint="eastAsia" w:ascii="宋体" w:hAnsi="宋体" w:cs="宋体"/>
          <w:color w:val="auto"/>
          <w:sz w:val="24"/>
          <w:lang w:eastAsia="zh-CN"/>
        </w:rPr>
        <w:t>五年</w:t>
      </w:r>
      <w:r>
        <w:rPr>
          <w:rFonts w:hint="eastAsia" w:ascii="宋体" w:hAnsi="宋体" w:cs="宋体"/>
          <w:color w:val="auto"/>
          <w:sz w:val="24"/>
        </w:rPr>
        <w:t>；</w:t>
      </w:r>
    </w:p>
    <w:p w14:paraId="5677537A">
      <w:pPr>
        <w:widowControl/>
        <w:spacing w:line="520" w:lineRule="exact"/>
        <w:ind w:firstLine="480" w:firstLineChars="200"/>
        <w:jc w:val="left"/>
        <w:rPr>
          <w:rFonts w:ascii="宋体" w:hAnsi="宋体" w:cs="宋体"/>
          <w:color w:val="auto"/>
          <w:sz w:val="24"/>
        </w:rPr>
      </w:pPr>
      <w:r>
        <w:rPr>
          <w:rFonts w:hint="eastAsia" w:ascii="宋体" w:hAnsi="宋体" w:cs="宋体"/>
          <w:color w:val="auto"/>
          <w:sz w:val="24"/>
        </w:rPr>
        <w:t>本项目(否)接受联合体投标。</w:t>
      </w:r>
    </w:p>
    <w:p w14:paraId="4B109A49">
      <w:pPr>
        <w:pStyle w:val="3"/>
        <w:numPr>
          <w:ilvl w:val="1"/>
          <w:numId w:val="0"/>
        </w:numPr>
        <w:spacing w:line="520" w:lineRule="exact"/>
        <w:textAlignment w:val="auto"/>
        <w:rPr>
          <w:rFonts w:ascii="宋体" w:hAnsi="宋体" w:eastAsia="宋体" w:cs="宋体"/>
          <w:bCs/>
          <w:color w:val="auto"/>
          <w:sz w:val="24"/>
          <w:szCs w:val="24"/>
        </w:rPr>
      </w:pPr>
      <w:bookmarkStart w:id="8" w:name="_Toc28359003"/>
      <w:bookmarkStart w:id="9" w:name="_Toc35393791"/>
      <w:bookmarkStart w:id="10" w:name="_Toc28359080"/>
      <w:bookmarkStart w:id="11" w:name="_Toc35393622"/>
      <w:r>
        <w:rPr>
          <w:rFonts w:hint="eastAsia" w:ascii="宋体" w:hAnsi="宋体" w:eastAsia="宋体" w:cs="宋体"/>
          <w:bCs/>
          <w:color w:val="auto"/>
          <w:sz w:val="24"/>
          <w:szCs w:val="24"/>
        </w:rPr>
        <w:t>二、申请人的资格要求：</w:t>
      </w:r>
      <w:bookmarkEnd w:id="8"/>
      <w:bookmarkEnd w:id="9"/>
      <w:bookmarkEnd w:id="10"/>
      <w:bookmarkEnd w:id="11"/>
    </w:p>
    <w:p w14:paraId="3B988955">
      <w:pPr>
        <w:pStyle w:val="23"/>
        <w:spacing w:after="0" w:line="520" w:lineRule="exact"/>
        <w:ind w:left="0" w:leftChars="0" w:firstLine="480"/>
        <w:rPr>
          <w:rFonts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w:t>
      </w:r>
    </w:p>
    <w:p w14:paraId="7F44DDE8">
      <w:pPr>
        <w:pStyle w:val="23"/>
        <w:spacing w:after="0" w:line="520" w:lineRule="exact"/>
        <w:ind w:left="0" w:leftChars="0" w:firstLine="480"/>
        <w:rPr>
          <w:rFonts w:ascii="宋体" w:hAnsi="宋体" w:eastAsia="宋体" w:cs="宋体"/>
          <w:color w:val="auto"/>
          <w:sz w:val="24"/>
          <w:szCs w:val="24"/>
        </w:rPr>
      </w:pPr>
      <w:bookmarkStart w:id="12" w:name="_Toc28359004"/>
      <w:bookmarkStart w:id="13" w:name="_Toc35393792"/>
      <w:bookmarkStart w:id="14" w:name="_Toc28359081"/>
      <w:bookmarkStart w:id="15" w:name="_Toc35393623"/>
      <w:r>
        <w:rPr>
          <w:rFonts w:hint="eastAsia" w:ascii="宋体" w:hAnsi="宋体" w:eastAsia="宋体" w:cs="宋体"/>
          <w:color w:val="auto"/>
          <w:sz w:val="24"/>
          <w:szCs w:val="24"/>
        </w:rPr>
        <w:t>（1）具有独立承担民事责任的能力：提供自然人有效身份证明或法人或者其他组织有效的营业执照等证明文件；</w:t>
      </w:r>
    </w:p>
    <w:p w14:paraId="40AD87F6">
      <w:pPr>
        <w:pStyle w:val="23"/>
        <w:spacing w:after="0" w:line="520" w:lineRule="exact"/>
        <w:ind w:left="0" w:leftChars="0" w:firstLine="480"/>
        <w:rPr>
          <w:rFonts w:ascii="宋体" w:hAnsi="宋体" w:eastAsia="宋体" w:cs="宋体"/>
          <w:color w:val="auto"/>
          <w:sz w:val="24"/>
          <w:szCs w:val="24"/>
        </w:rPr>
      </w:pPr>
      <w:r>
        <w:rPr>
          <w:rFonts w:hint="eastAsia" w:ascii="宋体" w:hAnsi="宋体" w:eastAsia="宋体" w:cs="宋体"/>
          <w:color w:val="auto"/>
          <w:sz w:val="24"/>
          <w:szCs w:val="24"/>
        </w:rPr>
        <w:t>（2）具有良好的商业信誉和健全的财务会计制度：</w:t>
      </w:r>
    </w:p>
    <w:p w14:paraId="184D3644">
      <w:pPr>
        <w:pStyle w:val="23"/>
        <w:spacing w:after="0" w:line="520" w:lineRule="exact"/>
        <w:ind w:left="0" w:lef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rPr>
        <w:t>良好的商业信誉：①供应商应在信用中国（www.creditchina.gov.cn）中未被列入失信被执行人；②供应商应在信用中国（www.creditchina.gov.cn）中未被列入重大税收违法失信主体；③供应商应在中国政府采购网(www.ccgp.gov.cn)中未被列入政府采购严重违法失信行为记录名单（备注：以上网站均由采购人或采购代理机构在开标后评标开始前查询，若供应商有失信行为，视为不</w:t>
      </w:r>
      <w:r>
        <w:rPr>
          <w:rFonts w:hint="eastAsia" w:ascii="宋体" w:hAnsi="宋体" w:eastAsia="宋体" w:cs="宋体"/>
          <w:color w:val="auto"/>
          <w:sz w:val="24"/>
          <w:szCs w:val="24"/>
          <w:highlight w:val="none"/>
        </w:rPr>
        <w:t>满足资格要求，为无效投标）；</w:t>
      </w:r>
    </w:p>
    <w:p w14:paraId="4C514BB3">
      <w:pPr>
        <w:pStyle w:val="23"/>
        <w:spacing w:after="0" w:line="520" w:lineRule="exact"/>
        <w:ind w:left="0" w:lef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健全的财务会计制度（内容可为以下</w:t>
      </w:r>
      <w:r>
        <w:rPr>
          <w:rFonts w:hint="eastAsia" w:ascii="宋体" w:hAnsi="宋体" w:eastAsia="宋体" w:cs="宋体"/>
          <w:color w:val="auto"/>
          <w:sz w:val="24"/>
          <w:szCs w:val="24"/>
          <w:highlight w:val="none"/>
          <w:lang w:eastAsia="zh-CN"/>
        </w:rPr>
        <w:t>二者之一</w:t>
      </w:r>
      <w:r>
        <w:rPr>
          <w:rFonts w:hint="eastAsia" w:ascii="宋体" w:hAnsi="宋体" w:eastAsia="宋体" w:cs="宋体"/>
          <w:color w:val="auto"/>
          <w:sz w:val="24"/>
          <w:szCs w:val="24"/>
          <w:highlight w:val="none"/>
        </w:rPr>
        <w:t>）：①提供202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年经第三方审计机构审计的财务状况报告（包括资产负债表、利润表、现金流量表），成立不满1年的供应商提供自成立至今的财务报表(包括资产负债表、利润表、现金流量表)；②提供基本开户银行出具的资信证明；</w:t>
      </w:r>
    </w:p>
    <w:p w14:paraId="2202F2B6">
      <w:pPr>
        <w:pStyle w:val="23"/>
        <w:spacing w:after="0" w:line="520" w:lineRule="exact"/>
        <w:ind w:left="0" w:leftChars="0" w:firstLine="480"/>
        <w:rPr>
          <w:rFonts w:ascii="宋体" w:hAnsi="宋体" w:eastAsia="宋体" w:cs="宋体"/>
          <w:color w:val="auto"/>
          <w:sz w:val="24"/>
          <w:szCs w:val="24"/>
        </w:rPr>
      </w:pPr>
      <w:r>
        <w:rPr>
          <w:rFonts w:hint="eastAsia" w:ascii="宋体" w:hAnsi="宋体" w:eastAsia="宋体" w:cs="宋体"/>
          <w:color w:val="auto"/>
          <w:sz w:val="24"/>
          <w:szCs w:val="24"/>
        </w:rPr>
        <w:t>（3）具有履行合同所必需的设备和专业技术能力：提供相关证明材料或书面声明；</w:t>
      </w:r>
    </w:p>
    <w:p w14:paraId="53BAC50B">
      <w:pPr>
        <w:pStyle w:val="23"/>
        <w:spacing w:after="0" w:line="520" w:lineRule="exact"/>
        <w:ind w:left="0" w:leftChars="0" w:firstLine="480"/>
        <w:rPr>
          <w:rFonts w:ascii="宋体" w:hAnsi="宋体" w:eastAsia="宋体" w:cs="宋体"/>
          <w:color w:val="auto"/>
          <w:sz w:val="24"/>
          <w:szCs w:val="24"/>
        </w:rPr>
      </w:pPr>
      <w:r>
        <w:rPr>
          <w:rFonts w:hint="eastAsia" w:ascii="宋体" w:hAnsi="宋体" w:eastAsia="宋体" w:cs="宋体"/>
          <w:color w:val="auto"/>
          <w:sz w:val="24"/>
          <w:szCs w:val="24"/>
        </w:rPr>
        <w:t>（4）具有依法缴纳税收和社会保障资金的良好记录：提供202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年1月至今任意1个月依法缴纳税收和缴纳社会保障资金的证明（成立未满1年的提供成立以来的税收和社会保障资金缴纳凭证或相关情况说明；依法免税或不需要缴纳社会保障资金的投标人，应提供相应文件证明其依法免税或不需要缴纳社会保障资金）；</w:t>
      </w:r>
    </w:p>
    <w:p w14:paraId="21DE107E">
      <w:pPr>
        <w:pStyle w:val="23"/>
        <w:spacing w:after="0" w:line="520" w:lineRule="exact"/>
        <w:ind w:left="0" w:leftChars="0" w:firstLine="480"/>
        <w:rPr>
          <w:rFonts w:ascii="宋体" w:hAnsi="宋体" w:eastAsia="宋体" w:cs="宋体"/>
          <w:color w:val="auto"/>
          <w:sz w:val="24"/>
          <w:szCs w:val="24"/>
        </w:rPr>
      </w:pPr>
      <w:r>
        <w:rPr>
          <w:rFonts w:hint="eastAsia" w:ascii="宋体" w:hAnsi="宋体" w:eastAsia="宋体" w:cs="宋体"/>
          <w:color w:val="auto"/>
          <w:sz w:val="24"/>
          <w:szCs w:val="24"/>
        </w:rPr>
        <w:t>（5）参与本次政府采购活动前</w:t>
      </w:r>
      <w:r>
        <w:rPr>
          <w:rFonts w:hint="eastAsia" w:ascii="宋体" w:hAnsi="宋体" w:eastAsia="宋体" w:cs="宋体"/>
          <w:color w:val="auto"/>
          <w:sz w:val="24"/>
          <w:szCs w:val="24"/>
          <w:lang w:eastAsia="zh-CN"/>
        </w:rPr>
        <w:t>五年</w:t>
      </w:r>
      <w:r>
        <w:rPr>
          <w:rFonts w:hint="eastAsia" w:ascii="宋体" w:hAnsi="宋体" w:eastAsia="宋体" w:cs="宋体"/>
          <w:color w:val="auto"/>
          <w:sz w:val="24"/>
          <w:szCs w:val="24"/>
        </w:rPr>
        <w:t>内，在经营活动中没有重大违法记录：提供参加本次政府采购活动前</w:t>
      </w:r>
      <w:r>
        <w:rPr>
          <w:rFonts w:hint="eastAsia" w:ascii="宋体" w:hAnsi="宋体" w:eastAsia="宋体" w:cs="宋体"/>
          <w:color w:val="auto"/>
          <w:sz w:val="24"/>
          <w:szCs w:val="24"/>
          <w:lang w:eastAsia="zh-CN"/>
        </w:rPr>
        <w:t>五年</w:t>
      </w:r>
      <w:r>
        <w:rPr>
          <w:rFonts w:hint="eastAsia" w:ascii="宋体" w:hAnsi="宋体" w:eastAsia="宋体" w:cs="宋体"/>
          <w:color w:val="auto"/>
          <w:sz w:val="24"/>
          <w:szCs w:val="24"/>
        </w:rPr>
        <w:t>内在经营活动中没有重大违法记录的书面声明；</w:t>
      </w:r>
    </w:p>
    <w:p w14:paraId="65C29DF3">
      <w:pPr>
        <w:pStyle w:val="23"/>
        <w:spacing w:after="0" w:line="520" w:lineRule="exact"/>
        <w:ind w:left="0" w:leftChars="0" w:firstLine="480"/>
        <w:rPr>
          <w:rFonts w:ascii="宋体" w:hAnsi="宋体" w:eastAsia="宋体" w:cs="宋体"/>
          <w:color w:val="auto"/>
          <w:sz w:val="24"/>
          <w:szCs w:val="24"/>
        </w:rPr>
      </w:pPr>
      <w:r>
        <w:rPr>
          <w:rFonts w:hint="eastAsia" w:ascii="宋体" w:hAnsi="宋体" w:eastAsia="宋体" w:cs="宋体"/>
          <w:color w:val="auto"/>
          <w:sz w:val="24"/>
          <w:szCs w:val="24"/>
        </w:rPr>
        <w:t>（6）法律、行政法规规定的其他条件：单位负责人为同一人或者存在直接控股、管理关系的不同供应商，不得参加同一合同项下的政府采购活动。</w:t>
      </w:r>
    </w:p>
    <w:p w14:paraId="58952E29">
      <w:pPr>
        <w:pStyle w:val="23"/>
        <w:spacing w:after="0" w:line="520" w:lineRule="exact"/>
        <w:ind w:left="0" w:leftChars="0" w:firstLine="480"/>
        <w:rPr>
          <w:rFonts w:ascii="宋体" w:hAnsi="宋体" w:eastAsia="宋体" w:cs="宋体"/>
          <w:color w:val="auto"/>
          <w:sz w:val="24"/>
          <w:szCs w:val="24"/>
        </w:rPr>
      </w:pPr>
      <w:r>
        <w:rPr>
          <w:rFonts w:hint="eastAsia" w:ascii="宋体" w:hAnsi="宋体" w:eastAsia="宋体" w:cs="宋体"/>
          <w:color w:val="auto"/>
          <w:sz w:val="24"/>
          <w:szCs w:val="24"/>
        </w:rPr>
        <w:t>2.落实政府采购政策需满足的资格要求：</w:t>
      </w:r>
    </w:p>
    <w:p w14:paraId="3DBCB94E">
      <w:pPr>
        <w:pStyle w:val="23"/>
        <w:spacing w:after="0" w:line="520" w:lineRule="exact"/>
        <w:ind w:left="0" w:leftChars="0" w:firstLine="480"/>
        <w:rPr>
          <w:rFonts w:ascii="宋体" w:hAnsi="宋体" w:eastAsia="宋体" w:cs="宋体"/>
          <w:color w:val="auto"/>
          <w:sz w:val="24"/>
          <w:szCs w:val="24"/>
        </w:rPr>
      </w:pPr>
      <w:r>
        <w:rPr>
          <w:rFonts w:hint="eastAsia" w:ascii="宋体" w:hAnsi="宋体" w:eastAsia="宋体" w:cs="宋体"/>
          <w:color w:val="auto"/>
          <w:sz w:val="24"/>
          <w:szCs w:val="24"/>
        </w:rPr>
        <w:t>（1）本项目不属于专门面向中小企业采购的项目；</w:t>
      </w:r>
    </w:p>
    <w:p w14:paraId="73D81671">
      <w:pPr>
        <w:pStyle w:val="23"/>
        <w:spacing w:after="0" w:line="520" w:lineRule="exact"/>
        <w:ind w:left="0" w:leftChars="0" w:firstLine="480"/>
        <w:rPr>
          <w:rFonts w:ascii="宋体" w:hAnsi="宋体" w:eastAsia="宋体" w:cs="宋体"/>
          <w:color w:val="auto"/>
          <w:sz w:val="24"/>
          <w:szCs w:val="24"/>
        </w:rPr>
      </w:pPr>
      <w:r>
        <w:rPr>
          <w:rFonts w:hint="eastAsia" w:ascii="宋体" w:hAnsi="宋体" w:eastAsia="宋体" w:cs="宋体"/>
          <w:color w:val="auto"/>
          <w:sz w:val="24"/>
          <w:szCs w:val="24"/>
        </w:rPr>
        <w:t>（2）本项目需要落实的政府采购政策：《政府采购促进中小企业发展管理办法》（财库〔2020〕46号）、《关于进一步加大政府采购支持中小企业力度的通知》（财库〔2022〕19号）、《财政部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财库〔2014〕68号)、《关于印发环境标志产品政府采购品目清单的通知》（财库〔2019〕18号）、《关于印发节能产品政府采购品目清单的通知》（财库〔2019〕19号）、《财政部 发展改革委 生态环境部 市场监管总局 关于调整优化节能产品、环境标志产品政府采购执行机制的通知》（财库〔2019〕9号）等。</w:t>
      </w:r>
    </w:p>
    <w:p w14:paraId="4C04E271">
      <w:pPr>
        <w:pStyle w:val="23"/>
        <w:spacing w:after="0" w:line="520" w:lineRule="exact"/>
        <w:ind w:left="0" w:leftChars="0" w:firstLine="480"/>
        <w:rPr>
          <w:rFonts w:ascii="宋体" w:hAnsi="宋体" w:eastAsia="宋体" w:cs="宋体"/>
          <w:color w:val="auto"/>
          <w:sz w:val="24"/>
          <w:szCs w:val="24"/>
        </w:rPr>
      </w:pPr>
      <w:r>
        <w:rPr>
          <w:rFonts w:hint="eastAsia" w:ascii="宋体" w:hAnsi="宋体" w:eastAsia="宋体" w:cs="宋体"/>
          <w:color w:val="auto"/>
          <w:sz w:val="24"/>
          <w:szCs w:val="24"/>
        </w:rPr>
        <w:t>3.本项目的特定资格要求：无。</w:t>
      </w:r>
    </w:p>
    <w:p w14:paraId="3B00CDC0">
      <w:pPr>
        <w:pStyle w:val="3"/>
        <w:numPr>
          <w:ilvl w:val="1"/>
          <w:numId w:val="0"/>
        </w:numPr>
        <w:spacing w:line="520" w:lineRule="exact"/>
        <w:textAlignment w:val="auto"/>
        <w:rPr>
          <w:rFonts w:ascii="宋体" w:hAnsi="宋体" w:eastAsia="宋体" w:cs="宋体"/>
          <w:bCs/>
          <w:color w:val="auto"/>
          <w:sz w:val="24"/>
          <w:szCs w:val="24"/>
        </w:rPr>
      </w:pPr>
      <w:r>
        <w:rPr>
          <w:rFonts w:hint="eastAsia" w:ascii="宋体" w:hAnsi="宋体" w:eastAsia="宋体" w:cs="宋体"/>
          <w:bCs/>
          <w:color w:val="auto"/>
          <w:sz w:val="24"/>
          <w:szCs w:val="24"/>
        </w:rPr>
        <w:t>三、获取招标文件</w:t>
      </w:r>
      <w:bookmarkEnd w:id="12"/>
      <w:bookmarkEnd w:id="13"/>
      <w:bookmarkEnd w:id="14"/>
      <w:bookmarkEnd w:id="15"/>
      <w:bookmarkStart w:id="16" w:name="_Toc35393793"/>
      <w:bookmarkStart w:id="17" w:name="_Toc35393624"/>
      <w:bookmarkStart w:id="18" w:name="_Toc28359005"/>
      <w:bookmarkStart w:id="19" w:name="_Toc28359082"/>
    </w:p>
    <w:p w14:paraId="4D675E6D">
      <w:pPr>
        <w:spacing w:line="520" w:lineRule="exact"/>
        <w:ind w:firstLine="480" w:firstLineChars="200"/>
        <w:jc w:val="left"/>
        <w:rPr>
          <w:rFonts w:ascii="宋体" w:hAnsi="宋体" w:cs="宋体"/>
          <w:bCs/>
          <w:color w:val="auto"/>
          <w:kern w:val="0"/>
          <w:sz w:val="24"/>
        </w:rPr>
      </w:pPr>
      <w:r>
        <w:rPr>
          <w:rFonts w:hint="eastAsia" w:ascii="宋体" w:hAnsi="宋体" w:cs="宋体"/>
          <w:bCs/>
          <w:color w:val="auto"/>
          <w:kern w:val="0"/>
          <w:sz w:val="24"/>
        </w:rPr>
        <w:t>1.时间：</w:t>
      </w:r>
      <w:r>
        <w:rPr>
          <w:rFonts w:hint="eastAsia" w:ascii="宋体" w:hAnsi="宋体" w:cs="宋体"/>
          <w:color w:val="auto"/>
          <w:sz w:val="24"/>
        </w:rPr>
        <w:t>202</w:t>
      </w:r>
      <w:r>
        <w:rPr>
          <w:rFonts w:hint="eastAsia" w:ascii="宋体" w:hAnsi="宋体" w:cs="宋体"/>
          <w:color w:val="auto"/>
          <w:sz w:val="24"/>
          <w:lang w:val="en-US" w:eastAsia="zh-CN"/>
        </w:rPr>
        <w:t>5</w:t>
      </w:r>
      <w:r>
        <w:rPr>
          <w:rFonts w:hint="eastAsia" w:ascii="宋体" w:hAnsi="宋体" w:cs="宋体"/>
          <w:color w:val="auto"/>
          <w:sz w:val="24"/>
        </w:rPr>
        <w:t>年</w:t>
      </w:r>
      <w:r>
        <w:rPr>
          <w:rFonts w:hint="eastAsia" w:ascii="宋体" w:hAnsi="宋体" w:cs="宋体"/>
          <w:color w:val="auto"/>
          <w:sz w:val="24"/>
          <w:lang w:val="en-US" w:eastAsia="zh-CN"/>
        </w:rPr>
        <w:t>9</w:t>
      </w:r>
      <w:r>
        <w:rPr>
          <w:rFonts w:hint="eastAsia" w:ascii="宋体" w:hAnsi="宋体" w:cs="宋体"/>
          <w:color w:val="auto"/>
          <w:sz w:val="24"/>
        </w:rPr>
        <w:t>月</w:t>
      </w:r>
      <w:r>
        <w:rPr>
          <w:rFonts w:hint="eastAsia" w:ascii="宋体" w:hAnsi="宋体" w:cs="宋体"/>
          <w:color w:val="auto"/>
          <w:sz w:val="24"/>
          <w:lang w:val="en-US" w:eastAsia="zh-CN"/>
        </w:rPr>
        <w:t xml:space="preserve">24 </w:t>
      </w:r>
      <w:r>
        <w:rPr>
          <w:rFonts w:hint="eastAsia" w:ascii="宋体" w:hAnsi="宋体" w:cs="宋体"/>
          <w:color w:val="auto"/>
          <w:sz w:val="24"/>
        </w:rPr>
        <w:t>日</w:t>
      </w:r>
      <w:r>
        <w:rPr>
          <w:rFonts w:hint="eastAsia" w:ascii="宋体" w:hAnsi="宋体" w:cs="宋体"/>
          <w:color w:val="auto"/>
          <w:sz w:val="24"/>
          <w:lang w:val="en-US" w:eastAsia="zh-CN"/>
        </w:rPr>
        <w:t>06</w:t>
      </w:r>
      <w:r>
        <w:rPr>
          <w:rFonts w:hint="eastAsia" w:ascii="宋体" w:hAnsi="宋体" w:cs="宋体"/>
          <w:color w:val="auto"/>
          <w:sz w:val="24"/>
        </w:rPr>
        <w:t>点00分</w:t>
      </w:r>
      <w:r>
        <w:rPr>
          <w:rFonts w:hint="eastAsia" w:ascii="宋体" w:hAnsi="宋体" w:cs="宋体"/>
          <w:bCs/>
          <w:color w:val="auto"/>
          <w:kern w:val="0"/>
          <w:sz w:val="24"/>
        </w:rPr>
        <w:t>至2024年</w:t>
      </w:r>
      <w:r>
        <w:rPr>
          <w:rFonts w:hint="eastAsia" w:ascii="宋体" w:hAnsi="宋体" w:cs="宋体"/>
          <w:bCs/>
          <w:color w:val="auto"/>
          <w:kern w:val="0"/>
          <w:sz w:val="24"/>
          <w:lang w:val="en-US" w:eastAsia="zh-CN"/>
        </w:rPr>
        <w:t>9</w:t>
      </w:r>
      <w:r>
        <w:rPr>
          <w:rFonts w:hint="eastAsia" w:ascii="宋体" w:hAnsi="宋体" w:cs="宋体"/>
          <w:bCs/>
          <w:color w:val="auto"/>
          <w:kern w:val="0"/>
          <w:sz w:val="24"/>
        </w:rPr>
        <w:t>月</w:t>
      </w:r>
      <w:r>
        <w:rPr>
          <w:rFonts w:hint="eastAsia" w:ascii="宋体" w:hAnsi="宋体" w:cs="宋体"/>
          <w:bCs/>
          <w:color w:val="auto"/>
          <w:kern w:val="0"/>
          <w:sz w:val="24"/>
          <w:lang w:val="en-US" w:eastAsia="zh-CN"/>
        </w:rPr>
        <w:t>30</w:t>
      </w:r>
      <w:r>
        <w:rPr>
          <w:rFonts w:hint="eastAsia" w:ascii="宋体" w:hAnsi="宋体" w:cs="宋体"/>
          <w:bCs/>
          <w:color w:val="auto"/>
          <w:kern w:val="0"/>
          <w:sz w:val="24"/>
        </w:rPr>
        <w:t>日23点59分；</w:t>
      </w:r>
    </w:p>
    <w:p w14:paraId="6E17FB2B">
      <w:pPr>
        <w:spacing w:line="520" w:lineRule="exact"/>
        <w:ind w:firstLine="480" w:firstLineChars="200"/>
        <w:jc w:val="left"/>
        <w:rPr>
          <w:rFonts w:ascii="宋体" w:hAnsi="宋体" w:cs="宋体"/>
          <w:bCs/>
          <w:color w:val="auto"/>
          <w:kern w:val="0"/>
          <w:sz w:val="24"/>
        </w:rPr>
      </w:pPr>
      <w:r>
        <w:rPr>
          <w:rFonts w:hint="eastAsia" w:ascii="宋体" w:hAnsi="宋体" w:cs="宋体"/>
          <w:bCs/>
          <w:color w:val="auto"/>
          <w:kern w:val="0"/>
          <w:sz w:val="24"/>
        </w:rPr>
        <w:t>2.地点：</w:t>
      </w:r>
      <w:r>
        <w:rPr>
          <w:rFonts w:hint="eastAsia" w:ascii="宋体" w:hAnsi="宋体" w:cs="宋体"/>
          <w:b/>
          <w:bCs w:val="0"/>
          <w:color w:val="auto"/>
          <w:kern w:val="0"/>
          <w:sz w:val="24"/>
        </w:rPr>
        <w:t>政府采购云平台（https://www.zcygov.cn/）</w:t>
      </w:r>
      <w:r>
        <w:rPr>
          <w:rFonts w:hint="eastAsia" w:ascii="宋体" w:hAnsi="宋体" w:cs="宋体"/>
          <w:bCs/>
          <w:color w:val="auto"/>
          <w:kern w:val="0"/>
          <w:sz w:val="24"/>
        </w:rPr>
        <w:t>；</w:t>
      </w:r>
    </w:p>
    <w:p w14:paraId="1A1E6B17">
      <w:pPr>
        <w:spacing w:line="520" w:lineRule="exact"/>
        <w:ind w:firstLine="480" w:firstLineChars="200"/>
        <w:jc w:val="left"/>
        <w:rPr>
          <w:rFonts w:ascii="宋体" w:hAnsi="宋体" w:cs="宋体"/>
          <w:bCs/>
          <w:color w:val="auto"/>
          <w:kern w:val="0"/>
          <w:sz w:val="24"/>
        </w:rPr>
      </w:pPr>
      <w:r>
        <w:rPr>
          <w:rFonts w:hint="eastAsia" w:ascii="宋体" w:hAnsi="宋体" w:cs="宋体"/>
          <w:bCs/>
          <w:color w:val="auto"/>
          <w:kern w:val="0"/>
          <w:sz w:val="24"/>
        </w:rPr>
        <w:t>3.方式：网上获取</w:t>
      </w:r>
    </w:p>
    <w:bookmarkEnd w:id="16"/>
    <w:bookmarkEnd w:id="17"/>
    <w:bookmarkEnd w:id="18"/>
    <w:bookmarkEnd w:id="19"/>
    <w:p w14:paraId="3F131ACB">
      <w:pPr>
        <w:wordWrap w:val="0"/>
        <w:spacing w:line="520" w:lineRule="exact"/>
        <w:ind w:firstLine="480" w:firstLineChars="200"/>
        <w:jc w:val="left"/>
        <w:rPr>
          <w:rFonts w:ascii="宋体" w:hAnsi="宋体" w:cs="宋体"/>
          <w:bCs/>
          <w:color w:val="auto"/>
          <w:kern w:val="0"/>
          <w:sz w:val="24"/>
        </w:rPr>
      </w:pPr>
      <w:bookmarkStart w:id="20" w:name="_Toc28359092"/>
      <w:bookmarkStart w:id="21" w:name="_Toc35393801"/>
      <w:bookmarkStart w:id="22" w:name="_Toc35393632"/>
      <w:bookmarkStart w:id="23" w:name="_Toc28359015"/>
      <w:bookmarkStart w:id="24" w:name="_Toc28359084"/>
      <w:bookmarkStart w:id="25" w:name="_Toc35393794"/>
      <w:bookmarkStart w:id="26" w:name="_Toc35393625"/>
      <w:bookmarkStart w:id="27" w:name="_Toc28359007"/>
      <w:r>
        <w:rPr>
          <w:rFonts w:hint="eastAsia" w:ascii="宋体" w:hAnsi="宋体" w:cs="宋体"/>
          <w:color w:val="auto"/>
          <w:sz w:val="24"/>
        </w:rPr>
        <w:t>（1）凡有意参加投标者，须在政采云平台办理数字证书（CA），并在政采云绑定数字证书（CA）后线上获取采购文件及其它采购资料。CA申领链接：https://middle.zcygov.cn/ca/apply/list?_app_=zcy.sys，CA申领后需登陆政采云平台完成数字证书（CA）绑定才可以使</w:t>
      </w:r>
      <w:r>
        <w:rPr>
          <w:rFonts w:hint="eastAsia" w:ascii="宋体" w:hAnsi="宋体" w:cs="宋体"/>
          <w:bCs/>
          <w:color w:val="auto"/>
          <w:kern w:val="0"/>
          <w:sz w:val="24"/>
        </w:rPr>
        <w:t>用，数字证书（CA）详见其办理流程，如有问题可拨打政采云客户服务热线95763进行咨询。</w:t>
      </w:r>
    </w:p>
    <w:p w14:paraId="7790EB7E">
      <w:pPr>
        <w:spacing w:line="520" w:lineRule="exact"/>
        <w:ind w:firstLine="480" w:firstLineChars="200"/>
        <w:jc w:val="left"/>
        <w:rPr>
          <w:rFonts w:ascii="宋体" w:hAnsi="宋体" w:cs="宋体"/>
          <w:bCs/>
          <w:color w:val="auto"/>
          <w:kern w:val="0"/>
          <w:sz w:val="24"/>
        </w:rPr>
      </w:pPr>
      <w:r>
        <w:rPr>
          <w:rFonts w:hint="eastAsia" w:ascii="宋体" w:hAnsi="宋体" w:cs="宋体"/>
          <w:bCs/>
          <w:color w:val="auto"/>
          <w:kern w:val="0"/>
          <w:sz w:val="24"/>
        </w:rPr>
        <w:t>（2）供应商自行在“政府采购云平台（https://www.zcygov.cn/）”下载采购文件（操作路径：登录政采云平台-我的工作台-项目采购-获取采购文件-找到本项目-点击“申请获取采购文件”），电子投标文件制作需要基于“政府采购云平台（https://www.zcygov.cn/）”获取的采购文件编制；</w:t>
      </w:r>
    </w:p>
    <w:p w14:paraId="477679EA">
      <w:pPr>
        <w:widowControl/>
        <w:spacing w:line="520" w:lineRule="exact"/>
        <w:ind w:firstLine="482" w:firstLineChars="200"/>
        <w:jc w:val="left"/>
        <w:rPr>
          <w:rFonts w:ascii="宋体" w:hAnsi="宋体" w:cs="宋体"/>
          <w:b/>
          <w:bCs/>
          <w:color w:val="auto"/>
          <w:sz w:val="24"/>
        </w:rPr>
      </w:pPr>
      <w:r>
        <w:rPr>
          <w:rFonts w:hint="eastAsia" w:ascii="宋体" w:hAnsi="宋体" w:cs="宋体"/>
          <w:b/>
          <w:bCs/>
          <w:color w:val="auto"/>
          <w:sz w:val="24"/>
        </w:rPr>
        <w:t>注：供应商如之前已办理过云南CA数字证书的，直接在政采云平台绑定即可，无需重复办理（2022年1月1日前办理的云南CA数字证书需到云南CA办理处进行升级），CA问题咨询电话4006727666。</w:t>
      </w:r>
    </w:p>
    <w:p w14:paraId="186C7AD4">
      <w:pPr>
        <w:widowControl/>
        <w:spacing w:line="520" w:lineRule="exact"/>
        <w:ind w:firstLine="480" w:firstLineChars="200"/>
        <w:jc w:val="left"/>
        <w:rPr>
          <w:rFonts w:ascii="宋体" w:hAnsi="宋体" w:cs="宋体"/>
          <w:color w:val="auto"/>
          <w:sz w:val="24"/>
        </w:rPr>
      </w:pPr>
      <w:r>
        <w:rPr>
          <w:rFonts w:hint="eastAsia" w:ascii="宋体" w:hAnsi="宋体" w:cs="宋体"/>
          <w:color w:val="auto"/>
          <w:sz w:val="24"/>
        </w:rPr>
        <w:t>售价：0.00元。</w:t>
      </w:r>
    </w:p>
    <w:p w14:paraId="71ECC551">
      <w:pPr>
        <w:pStyle w:val="3"/>
        <w:numPr>
          <w:ilvl w:val="1"/>
          <w:numId w:val="0"/>
        </w:numPr>
        <w:spacing w:line="520" w:lineRule="exact"/>
        <w:textAlignment w:val="auto"/>
        <w:rPr>
          <w:rFonts w:ascii="宋体" w:hAnsi="宋体" w:eastAsia="宋体" w:cs="宋体"/>
          <w:bCs/>
          <w:color w:val="auto"/>
          <w:sz w:val="24"/>
          <w:szCs w:val="24"/>
        </w:rPr>
      </w:pPr>
      <w:r>
        <w:rPr>
          <w:rFonts w:hint="eastAsia" w:ascii="宋体" w:hAnsi="宋体" w:eastAsia="宋体" w:cs="宋体"/>
          <w:bCs/>
          <w:color w:val="auto"/>
          <w:sz w:val="24"/>
          <w:szCs w:val="24"/>
        </w:rPr>
        <w:t>四、</w:t>
      </w:r>
      <w:bookmarkEnd w:id="20"/>
      <w:bookmarkEnd w:id="21"/>
      <w:bookmarkEnd w:id="22"/>
      <w:bookmarkEnd w:id="23"/>
      <w:r>
        <w:rPr>
          <w:rFonts w:hint="eastAsia" w:ascii="宋体" w:hAnsi="宋体" w:eastAsia="宋体" w:cs="宋体"/>
          <w:bCs/>
          <w:color w:val="auto"/>
          <w:sz w:val="24"/>
          <w:szCs w:val="24"/>
        </w:rPr>
        <w:t>提交投标文件截止时间、开标时间和地点</w:t>
      </w:r>
    </w:p>
    <w:p w14:paraId="26E316B6">
      <w:pPr>
        <w:widowControl/>
        <w:spacing w:line="520" w:lineRule="exact"/>
        <w:ind w:firstLine="480" w:firstLineChars="200"/>
        <w:jc w:val="left"/>
        <w:rPr>
          <w:rFonts w:ascii="宋体" w:hAnsi="宋体" w:cs="宋体"/>
          <w:color w:val="auto"/>
          <w:sz w:val="24"/>
        </w:rPr>
      </w:pPr>
      <w:bookmarkStart w:id="28" w:name="_Toc35393634"/>
      <w:bookmarkStart w:id="29" w:name="_Toc35393803"/>
      <w:bookmarkStart w:id="30" w:name="_Toc28359017"/>
      <w:bookmarkStart w:id="31" w:name="_Toc28359094"/>
      <w:r>
        <w:rPr>
          <w:rFonts w:hint="eastAsia" w:ascii="宋体" w:hAnsi="宋体" w:cs="宋体"/>
          <w:color w:val="auto"/>
          <w:sz w:val="24"/>
        </w:rPr>
        <w:t>1.提交投标文件截止时间：</w:t>
      </w:r>
      <w:r>
        <w:rPr>
          <w:rFonts w:hint="eastAsia" w:ascii="宋体" w:hAnsi="宋体" w:cs="宋体"/>
          <w:color w:val="auto"/>
          <w:sz w:val="24"/>
          <w:lang w:eastAsia="zh-CN"/>
        </w:rPr>
        <w:t>202</w:t>
      </w:r>
      <w:r>
        <w:rPr>
          <w:rFonts w:hint="eastAsia" w:ascii="宋体" w:hAnsi="宋体" w:cs="宋体"/>
          <w:color w:val="auto"/>
          <w:sz w:val="24"/>
          <w:lang w:val="en-US" w:eastAsia="zh-CN"/>
        </w:rPr>
        <w:t>5</w:t>
      </w:r>
      <w:r>
        <w:rPr>
          <w:rFonts w:hint="eastAsia" w:ascii="宋体" w:hAnsi="宋体" w:cs="宋体"/>
          <w:color w:val="auto"/>
          <w:sz w:val="24"/>
          <w:lang w:eastAsia="zh-CN"/>
        </w:rPr>
        <w:t>年</w:t>
      </w:r>
      <w:r>
        <w:rPr>
          <w:rFonts w:hint="eastAsia" w:ascii="宋体" w:hAnsi="宋体" w:cs="宋体"/>
          <w:color w:val="auto"/>
          <w:sz w:val="24"/>
          <w:lang w:val="en-US" w:eastAsia="zh-CN"/>
        </w:rPr>
        <w:t>10</w:t>
      </w:r>
      <w:r>
        <w:rPr>
          <w:rFonts w:hint="eastAsia" w:ascii="宋体" w:hAnsi="宋体" w:cs="宋体"/>
          <w:color w:val="auto"/>
          <w:sz w:val="24"/>
          <w:lang w:eastAsia="zh-CN"/>
        </w:rPr>
        <w:t>月</w:t>
      </w:r>
      <w:r>
        <w:rPr>
          <w:rFonts w:hint="eastAsia" w:ascii="宋体" w:hAnsi="宋体" w:cs="宋体"/>
          <w:color w:val="auto"/>
          <w:sz w:val="24"/>
          <w:lang w:val="en-US" w:eastAsia="zh-CN"/>
        </w:rPr>
        <w:t>14</w:t>
      </w:r>
      <w:r>
        <w:rPr>
          <w:rFonts w:hint="eastAsia" w:ascii="宋体" w:hAnsi="宋体" w:cs="宋体"/>
          <w:color w:val="auto"/>
          <w:sz w:val="24"/>
          <w:lang w:eastAsia="zh-CN"/>
        </w:rPr>
        <w:t>日</w:t>
      </w:r>
      <w:r>
        <w:rPr>
          <w:rFonts w:hint="eastAsia" w:ascii="宋体" w:hAnsi="宋体" w:cs="宋体"/>
          <w:color w:val="auto"/>
          <w:sz w:val="24"/>
          <w:lang w:val="en-US" w:eastAsia="zh-CN"/>
        </w:rPr>
        <w:t>15</w:t>
      </w:r>
      <w:r>
        <w:rPr>
          <w:rFonts w:hint="eastAsia" w:ascii="宋体" w:hAnsi="宋体" w:cs="宋体"/>
          <w:color w:val="auto"/>
          <w:sz w:val="24"/>
          <w:lang w:eastAsia="zh-CN"/>
        </w:rPr>
        <w:t>点00分</w:t>
      </w:r>
      <w:r>
        <w:rPr>
          <w:rFonts w:hint="eastAsia" w:ascii="宋体" w:hAnsi="宋体" w:cs="宋体"/>
          <w:color w:val="auto"/>
          <w:sz w:val="24"/>
        </w:rPr>
        <w:t>（北京时间）</w:t>
      </w:r>
    </w:p>
    <w:p w14:paraId="16D2528E">
      <w:pPr>
        <w:widowControl/>
        <w:spacing w:line="520" w:lineRule="exact"/>
        <w:ind w:firstLine="480" w:firstLineChars="200"/>
        <w:jc w:val="left"/>
        <w:rPr>
          <w:rFonts w:ascii="宋体" w:hAnsi="宋体" w:cs="宋体"/>
          <w:color w:val="auto"/>
          <w:sz w:val="24"/>
        </w:rPr>
      </w:pPr>
      <w:r>
        <w:rPr>
          <w:rFonts w:hint="eastAsia" w:ascii="宋体" w:hAnsi="宋体" w:cs="宋体"/>
          <w:color w:val="auto"/>
          <w:sz w:val="24"/>
        </w:rPr>
        <w:t>2.开标时间：</w:t>
      </w:r>
      <w:r>
        <w:rPr>
          <w:rFonts w:hint="eastAsia" w:ascii="宋体" w:hAnsi="宋体" w:cs="宋体"/>
          <w:color w:val="auto"/>
          <w:sz w:val="24"/>
          <w:lang w:eastAsia="zh-CN"/>
        </w:rPr>
        <w:t>202</w:t>
      </w:r>
      <w:r>
        <w:rPr>
          <w:rFonts w:hint="eastAsia" w:ascii="宋体" w:hAnsi="宋体" w:cs="宋体"/>
          <w:color w:val="auto"/>
          <w:sz w:val="24"/>
          <w:lang w:val="en-US" w:eastAsia="zh-CN"/>
        </w:rPr>
        <w:t>5</w:t>
      </w:r>
      <w:r>
        <w:rPr>
          <w:rFonts w:hint="eastAsia" w:ascii="宋体" w:hAnsi="宋体" w:cs="宋体"/>
          <w:color w:val="auto"/>
          <w:sz w:val="24"/>
          <w:lang w:eastAsia="zh-CN"/>
        </w:rPr>
        <w:t>年</w:t>
      </w:r>
      <w:r>
        <w:rPr>
          <w:rFonts w:hint="eastAsia" w:ascii="宋体" w:hAnsi="宋体" w:cs="宋体"/>
          <w:color w:val="auto"/>
          <w:sz w:val="24"/>
          <w:lang w:val="en-US" w:eastAsia="zh-CN"/>
        </w:rPr>
        <w:t>10</w:t>
      </w:r>
      <w:r>
        <w:rPr>
          <w:rFonts w:hint="eastAsia" w:ascii="宋体" w:hAnsi="宋体" w:cs="宋体"/>
          <w:color w:val="auto"/>
          <w:sz w:val="24"/>
          <w:lang w:eastAsia="zh-CN"/>
        </w:rPr>
        <w:t>月</w:t>
      </w:r>
      <w:r>
        <w:rPr>
          <w:rFonts w:hint="eastAsia" w:ascii="宋体" w:hAnsi="宋体" w:cs="宋体"/>
          <w:color w:val="auto"/>
          <w:sz w:val="24"/>
          <w:lang w:val="en-US" w:eastAsia="zh-CN"/>
        </w:rPr>
        <w:t>14</w:t>
      </w:r>
      <w:r>
        <w:rPr>
          <w:rFonts w:hint="eastAsia" w:ascii="宋体" w:hAnsi="宋体" w:cs="宋体"/>
          <w:color w:val="auto"/>
          <w:sz w:val="24"/>
          <w:lang w:eastAsia="zh-CN"/>
        </w:rPr>
        <w:t>日</w:t>
      </w:r>
      <w:r>
        <w:rPr>
          <w:rFonts w:hint="eastAsia" w:ascii="宋体" w:hAnsi="宋体" w:cs="宋体"/>
          <w:color w:val="auto"/>
          <w:sz w:val="24"/>
          <w:lang w:val="en-US" w:eastAsia="zh-CN"/>
        </w:rPr>
        <w:t>15</w:t>
      </w:r>
      <w:r>
        <w:rPr>
          <w:rFonts w:hint="eastAsia" w:ascii="宋体" w:hAnsi="宋体" w:cs="宋体"/>
          <w:color w:val="auto"/>
          <w:sz w:val="24"/>
          <w:lang w:eastAsia="zh-CN"/>
        </w:rPr>
        <w:t>点00分</w:t>
      </w:r>
      <w:r>
        <w:rPr>
          <w:rFonts w:hint="eastAsia" w:ascii="宋体" w:hAnsi="宋体" w:cs="宋体"/>
          <w:color w:val="auto"/>
          <w:sz w:val="24"/>
        </w:rPr>
        <w:t>（北京时间）</w:t>
      </w:r>
    </w:p>
    <w:p w14:paraId="6A2C2CDC">
      <w:pPr>
        <w:widowControl/>
        <w:spacing w:line="520" w:lineRule="exact"/>
        <w:ind w:firstLine="480" w:firstLineChars="200"/>
        <w:jc w:val="left"/>
        <w:rPr>
          <w:rFonts w:ascii="宋体" w:hAnsi="宋体" w:cs="宋体"/>
          <w:color w:val="auto"/>
          <w:sz w:val="24"/>
        </w:rPr>
      </w:pPr>
      <w:r>
        <w:rPr>
          <w:rFonts w:hint="eastAsia" w:ascii="宋体" w:hAnsi="宋体" w:cs="宋体"/>
          <w:color w:val="auto"/>
          <w:sz w:val="24"/>
        </w:rPr>
        <w:t>3.开标地点：“政采云”平台开标大厅（https://www.zcygov.cn/），会议地点为</w:t>
      </w:r>
      <w:r>
        <w:rPr>
          <w:rFonts w:hint="eastAsia" w:ascii="宋体" w:hAnsi="宋体" w:cs="宋体"/>
          <w:color w:val="auto"/>
          <w:sz w:val="24"/>
          <w:lang w:eastAsia="zh-CN"/>
        </w:rPr>
        <w:t>德宏傲亿工程管理咨询有限公司</w:t>
      </w:r>
      <w:r>
        <w:rPr>
          <w:rFonts w:hint="eastAsia" w:ascii="宋体" w:hAnsi="宋体" w:cs="宋体"/>
          <w:color w:val="auto"/>
          <w:sz w:val="24"/>
        </w:rPr>
        <w:t>二楼会议室（云南省德宏州芒市榕树北路5号）。</w:t>
      </w:r>
    </w:p>
    <w:p w14:paraId="32B71412">
      <w:pPr>
        <w:widowControl/>
        <w:spacing w:line="520" w:lineRule="exact"/>
        <w:ind w:firstLine="482" w:firstLineChars="200"/>
        <w:jc w:val="left"/>
        <w:rPr>
          <w:rFonts w:ascii="宋体" w:hAnsi="宋体" w:cs="宋体"/>
          <w:b/>
          <w:bCs/>
          <w:color w:val="auto"/>
          <w:sz w:val="24"/>
        </w:rPr>
      </w:pPr>
      <w:r>
        <w:rPr>
          <w:rFonts w:hint="eastAsia" w:ascii="宋体" w:hAnsi="宋体" w:cs="宋体"/>
          <w:b/>
          <w:bCs/>
          <w:color w:val="auto"/>
          <w:sz w:val="24"/>
        </w:rPr>
        <w:t>注：供应商应按照本项目采购文件和政采云平台的要求编制，须在响应文件提交截止时间前完成所有电子响应文件的上传，提交响应文件时请填写参加远程采购活动的经办人联系方式，响应文件提交截止时间前未完成文件上传的，视为撤回响应文件。</w:t>
      </w:r>
    </w:p>
    <w:p w14:paraId="69DD7D86">
      <w:pPr>
        <w:widowControl/>
        <w:spacing w:line="520" w:lineRule="exact"/>
        <w:ind w:firstLine="480" w:firstLineChars="200"/>
        <w:jc w:val="left"/>
        <w:rPr>
          <w:rFonts w:ascii="宋体" w:hAnsi="宋体" w:cs="宋体"/>
          <w:color w:val="auto"/>
          <w:sz w:val="24"/>
        </w:rPr>
      </w:pPr>
      <w:r>
        <w:rPr>
          <w:rFonts w:hint="eastAsia" w:ascii="宋体" w:hAnsi="宋体" w:cs="宋体"/>
          <w:color w:val="auto"/>
          <w:sz w:val="24"/>
        </w:rPr>
        <w:t>如遇平台相关问题，请及时联系政府采购云平台客服进行咨询，咨询电话：95763。</w:t>
      </w:r>
    </w:p>
    <w:p w14:paraId="5D052EE3">
      <w:pPr>
        <w:widowControl/>
        <w:wordWrap w:val="0"/>
        <w:spacing w:line="520" w:lineRule="exact"/>
        <w:ind w:firstLine="480" w:firstLineChars="200"/>
        <w:jc w:val="left"/>
        <w:rPr>
          <w:rFonts w:ascii="宋体" w:hAnsi="宋体" w:cs="宋体"/>
          <w:color w:val="auto"/>
          <w:sz w:val="24"/>
        </w:rPr>
      </w:pPr>
      <w:r>
        <w:rPr>
          <w:rFonts w:hint="eastAsia" w:ascii="宋体" w:hAnsi="宋体" w:cs="宋体"/>
          <w:color w:val="auto"/>
          <w:sz w:val="24"/>
        </w:rPr>
        <w:t>操作指南：https://edu.zcygov.cn/luban/yunnan-dzjy-gys?utm=luban.luban-PC-</w:t>
      </w:r>
      <w:r>
        <w:rPr>
          <w:rFonts w:ascii="宋体" w:hAnsi="宋体" w:cs="宋体"/>
          <w:color w:val="auto"/>
          <w:sz w:val="24"/>
        </w:rPr>
        <mc:AlternateContent>
          <mc:Choice Requires="wps">
            <w:drawing>
              <wp:anchor distT="0" distB="0" distL="114300" distR="114300" simplePos="0" relativeHeight="251662336" behindDoc="0" locked="0" layoutInCell="1" hidden="1" allowOverlap="1">
                <wp:simplePos x="0" y="0"/>
                <wp:positionH relativeFrom="column">
                  <wp:posOffset>-847090</wp:posOffset>
                </wp:positionH>
                <wp:positionV relativeFrom="paragraph">
                  <wp:posOffset>-593090</wp:posOffset>
                </wp:positionV>
                <wp:extent cx="63500" cy="63500"/>
                <wp:effectExtent l="0" t="0" r="0" b="0"/>
                <wp:wrapNone/>
                <wp:docPr id="3" name="矩形 3" descr="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a:effectLst/>
                      </wps:spPr>
                      <wps:bodyPr upright="1"/>
                    </wps:wsp>
                  </a:graphicData>
                </a:graphic>
              </wp:anchor>
            </w:drawing>
          </mc:Choice>
          <mc:Fallback>
            <w:pict>
              <v:rect id="_x0000_s1026" o:spid="_x0000_s1026" o:spt="1" alt="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" style="position:absolute;left:0pt;margin-left:-66.7pt;margin-top:-46.7pt;height:5pt;width:5pt;visibility:hidden;z-index:251662336;mso-width-relative:page;mso-height-relative:page;" fillcolor="#FFFFFF" filled="t" stroked="t" coordsize="21600,21600" o:gfxdata="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">
                <v:fill on="t" focussize="0,0"/>
                <v:stroke color="#000000" joinstyle="miter"/>
                <v:imagedata o:title=""/>
                <o:lock v:ext="edit" aspectratio="f"/>
              </v:rect>
            </w:pict>
          </mc:Fallback>
        </mc:AlternateContent>
      </w:r>
      <w:r>
        <w:rPr>
          <w:rFonts w:hint="eastAsia" w:ascii="宋体" w:hAnsi="宋体" w:cs="宋体"/>
          <w:color w:val="auto"/>
          <w:sz w:val="24"/>
        </w:rPr>
        <w:t>1514.161-market-menubar-pc.20.d37010404f7811edb5ec8fd9c5fe1d40。</w:t>
      </w:r>
    </w:p>
    <w:p w14:paraId="7E39E308">
      <w:pPr>
        <w:pStyle w:val="3"/>
        <w:numPr>
          <w:ilvl w:val="1"/>
          <w:numId w:val="0"/>
        </w:numPr>
        <w:spacing w:line="520" w:lineRule="exact"/>
        <w:textAlignment w:val="auto"/>
        <w:rPr>
          <w:rFonts w:ascii="宋体" w:hAnsi="宋体" w:eastAsia="宋体" w:cs="宋体"/>
          <w:bCs/>
          <w:color w:val="auto"/>
          <w:sz w:val="24"/>
          <w:szCs w:val="24"/>
        </w:rPr>
      </w:pPr>
      <w:r>
        <w:rPr>
          <w:rFonts w:hint="eastAsia" w:ascii="宋体" w:hAnsi="宋体" w:eastAsia="宋体" w:cs="宋体"/>
          <w:bCs/>
          <w:color w:val="auto"/>
          <w:sz w:val="24"/>
          <w:szCs w:val="24"/>
        </w:rPr>
        <w:t>五、公告期限</w:t>
      </w:r>
      <w:bookmarkEnd w:id="28"/>
      <w:bookmarkEnd w:id="29"/>
      <w:bookmarkEnd w:id="30"/>
      <w:bookmarkEnd w:id="31"/>
    </w:p>
    <w:p w14:paraId="64678F00">
      <w:pPr>
        <w:spacing w:line="520" w:lineRule="exact"/>
        <w:ind w:firstLine="480" w:firstLineChars="200"/>
        <w:jc w:val="left"/>
        <w:rPr>
          <w:rFonts w:ascii="宋体" w:hAnsi="宋体" w:cs="宋体"/>
          <w:color w:val="auto"/>
          <w:sz w:val="24"/>
        </w:rPr>
      </w:pPr>
      <w:r>
        <w:rPr>
          <w:rFonts w:hint="eastAsia" w:ascii="宋体" w:hAnsi="宋体" w:cs="宋体"/>
          <w:bCs/>
          <w:color w:val="auto"/>
          <w:kern w:val="0"/>
          <w:sz w:val="24"/>
        </w:rPr>
        <w:t>自本公告发布之日起5个工作日</w:t>
      </w:r>
      <w:r>
        <w:rPr>
          <w:rFonts w:hint="eastAsia" w:ascii="宋体" w:hAnsi="宋体" w:cs="宋体"/>
          <w:color w:val="auto"/>
          <w:kern w:val="0"/>
          <w:sz w:val="24"/>
        </w:rPr>
        <w:t>。</w:t>
      </w:r>
    </w:p>
    <w:bookmarkEnd w:id="24"/>
    <w:bookmarkEnd w:id="25"/>
    <w:bookmarkEnd w:id="26"/>
    <w:bookmarkEnd w:id="27"/>
    <w:p w14:paraId="24979F0D">
      <w:pPr>
        <w:pStyle w:val="3"/>
        <w:numPr>
          <w:ilvl w:val="1"/>
          <w:numId w:val="0"/>
        </w:numPr>
        <w:spacing w:line="520" w:lineRule="exact"/>
        <w:textAlignment w:val="auto"/>
        <w:rPr>
          <w:rFonts w:ascii="宋体" w:hAnsi="宋体" w:eastAsia="宋体" w:cs="宋体"/>
          <w:bCs/>
          <w:color w:val="auto"/>
          <w:sz w:val="24"/>
          <w:szCs w:val="24"/>
        </w:rPr>
      </w:pPr>
      <w:bookmarkStart w:id="32" w:name="_Toc35393626"/>
      <w:bookmarkStart w:id="33" w:name="_Toc35393795"/>
      <w:r>
        <w:rPr>
          <w:rFonts w:hint="eastAsia" w:ascii="宋体" w:hAnsi="宋体" w:eastAsia="宋体" w:cs="宋体"/>
          <w:bCs/>
          <w:color w:val="auto"/>
          <w:sz w:val="24"/>
          <w:szCs w:val="24"/>
        </w:rPr>
        <w:t>六、其他补充事宜</w:t>
      </w:r>
      <w:bookmarkEnd w:id="32"/>
      <w:bookmarkEnd w:id="33"/>
    </w:p>
    <w:p w14:paraId="41F7CB8F">
      <w:pPr>
        <w:spacing w:line="520" w:lineRule="exact"/>
        <w:ind w:firstLine="482" w:firstLineChars="200"/>
        <w:jc w:val="left"/>
        <w:rPr>
          <w:rFonts w:ascii="宋体" w:hAnsi="宋体" w:cs="宋体"/>
          <w:b/>
          <w:color w:val="auto"/>
          <w:kern w:val="0"/>
          <w:sz w:val="24"/>
        </w:rPr>
      </w:pPr>
      <w:bookmarkStart w:id="34" w:name="_Toc28359008"/>
      <w:bookmarkStart w:id="35" w:name="_Toc35393796"/>
      <w:bookmarkStart w:id="36" w:name="_Toc28359085"/>
      <w:bookmarkStart w:id="37" w:name="_Toc35393627"/>
      <w:r>
        <w:rPr>
          <w:rFonts w:hint="eastAsia" w:ascii="宋体" w:hAnsi="宋体" w:cs="宋体"/>
          <w:b/>
          <w:color w:val="auto"/>
          <w:kern w:val="0"/>
          <w:sz w:val="24"/>
        </w:rPr>
        <w:t>1.开标方式：网上开标</w:t>
      </w:r>
    </w:p>
    <w:p w14:paraId="4A06BF7C">
      <w:pPr>
        <w:spacing w:line="520" w:lineRule="exact"/>
        <w:ind w:firstLine="480" w:firstLineChars="200"/>
        <w:jc w:val="left"/>
        <w:rPr>
          <w:rFonts w:ascii="宋体" w:hAnsi="宋体" w:cs="宋体"/>
          <w:bCs/>
          <w:color w:val="auto"/>
          <w:kern w:val="0"/>
          <w:sz w:val="24"/>
        </w:rPr>
      </w:pPr>
      <w:r>
        <w:rPr>
          <w:rFonts w:hint="eastAsia" w:ascii="宋体" w:hAnsi="宋体" w:cs="宋体"/>
          <w:bCs/>
          <w:color w:val="auto"/>
          <w:kern w:val="0"/>
          <w:sz w:val="24"/>
        </w:rPr>
        <w:t>（1）供应商无需到达开启地点，须在政采云平台进行远程解密电子版响应文件；</w:t>
      </w:r>
    </w:p>
    <w:p w14:paraId="1ABF54BF">
      <w:pPr>
        <w:spacing w:line="520" w:lineRule="exact"/>
        <w:ind w:firstLine="480" w:firstLineChars="200"/>
        <w:jc w:val="left"/>
        <w:rPr>
          <w:rFonts w:ascii="宋体" w:hAnsi="宋体" w:cs="宋体"/>
          <w:bCs/>
          <w:color w:val="auto"/>
          <w:kern w:val="0"/>
          <w:sz w:val="24"/>
        </w:rPr>
      </w:pPr>
      <w:r>
        <w:rPr>
          <w:rFonts w:hint="eastAsia" w:ascii="宋体" w:hAnsi="宋体" w:cs="宋体"/>
          <w:bCs/>
          <w:color w:val="auto"/>
          <w:kern w:val="0"/>
          <w:sz w:val="24"/>
        </w:rPr>
        <w:t>（2）供应商应在响应文件提交截止时间前登录系统，并根据开标系统的提示操作解密文件。请参与本项目的供应商在使用政采云平台时，自行配备需要的音视频等设备，做好系统的调试工作，避免出现系统不能正常使用的情况；</w:t>
      </w:r>
    </w:p>
    <w:p w14:paraId="5979E1A0">
      <w:pPr>
        <w:spacing w:line="520" w:lineRule="exact"/>
        <w:ind w:firstLine="480" w:firstLineChars="200"/>
        <w:jc w:val="left"/>
        <w:rPr>
          <w:rFonts w:ascii="宋体" w:hAnsi="宋体" w:cs="宋体"/>
          <w:bCs/>
          <w:color w:val="auto"/>
          <w:kern w:val="0"/>
          <w:sz w:val="24"/>
        </w:rPr>
      </w:pPr>
      <w:r>
        <w:rPr>
          <w:rFonts w:hint="eastAsia" w:ascii="宋体" w:hAnsi="宋体" w:cs="宋体"/>
          <w:bCs/>
          <w:color w:val="auto"/>
          <w:kern w:val="0"/>
          <w:sz w:val="24"/>
        </w:rPr>
        <w:t>（3）如因供应商自身原因导致在规定时间内无法正常解密的（如：浏览器故障、未安装相关驱动、网络故障、加密CA与解密CA不一致等），代理机构不予异常处理，视为供应商自动弃标。</w:t>
      </w:r>
    </w:p>
    <w:p w14:paraId="6F1B98AC">
      <w:pPr>
        <w:spacing w:line="520" w:lineRule="exact"/>
        <w:ind w:firstLine="480" w:firstLineChars="200"/>
        <w:jc w:val="left"/>
        <w:rPr>
          <w:rFonts w:ascii="宋体" w:hAnsi="宋体" w:cs="宋体"/>
          <w:bCs/>
          <w:color w:val="auto"/>
          <w:kern w:val="0"/>
          <w:sz w:val="24"/>
        </w:rPr>
      </w:pPr>
      <w:r>
        <w:rPr>
          <w:rFonts w:hint="eastAsia" w:ascii="宋体" w:hAnsi="宋体" w:cs="宋体"/>
          <w:bCs/>
          <w:color w:val="auto"/>
          <w:kern w:val="0"/>
          <w:sz w:val="24"/>
        </w:rPr>
        <w:t>2.保证金</w:t>
      </w:r>
    </w:p>
    <w:p w14:paraId="246525DA">
      <w:pPr>
        <w:spacing w:line="520" w:lineRule="exact"/>
        <w:ind w:firstLine="482" w:firstLineChars="200"/>
        <w:jc w:val="left"/>
        <w:rPr>
          <w:rFonts w:ascii="宋体" w:hAnsi="宋体" w:cs="宋体"/>
          <w:b/>
          <w:color w:val="auto"/>
          <w:sz w:val="24"/>
        </w:rPr>
      </w:pPr>
      <w:r>
        <w:rPr>
          <w:rFonts w:hint="eastAsia" w:ascii="宋体" w:hAnsi="宋体" w:cs="宋体"/>
          <w:b/>
          <w:color w:val="auto"/>
          <w:kern w:val="0"/>
          <w:sz w:val="24"/>
        </w:rPr>
        <w:t>保证金金额：</w:t>
      </w:r>
      <w:r>
        <w:rPr>
          <w:rFonts w:hint="eastAsia" w:hAnsi="宋体" w:cs="宋体"/>
          <w:b/>
          <w:color w:val="auto"/>
          <w:sz w:val="24"/>
        </w:rPr>
        <w:t>贰万伍仟元整（¥25000.00）</w:t>
      </w:r>
    </w:p>
    <w:p w14:paraId="597323C9">
      <w:pPr>
        <w:spacing w:line="520" w:lineRule="exact"/>
        <w:ind w:firstLine="480" w:firstLineChars="200"/>
        <w:jc w:val="left"/>
        <w:rPr>
          <w:rFonts w:ascii="宋体" w:hAnsi="宋体" w:cs="宋体"/>
          <w:color w:val="auto"/>
          <w:sz w:val="24"/>
        </w:rPr>
      </w:pPr>
      <w:r>
        <w:rPr>
          <w:rFonts w:hint="eastAsia" w:ascii="宋体" w:hAnsi="宋体" w:cs="宋体"/>
          <w:color w:val="auto"/>
          <w:sz w:val="24"/>
        </w:rPr>
        <w:t>投标保证金交纳方式：可以采用“银行转账”、“银行保函”、“投标保证保险”任一方式，其中采用“银行转账”方式的，投标人以支票、汇票、本票、网上银行支付等非现金形式汇入指定账户；</w:t>
      </w:r>
    </w:p>
    <w:p w14:paraId="0143804E">
      <w:pPr>
        <w:spacing w:line="520" w:lineRule="exact"/>
        <w:ind w:firstLine="480" w:firstLineChars="200"/>
        <w:jc w:val="left"/>
        <w:rPr>
          <w:rFonts w:ascii="宋体" w:hAnsi="宋体" w:cs="宋体"/>
          <w:color w:val="auto"/>
          <w:sz w:val="24"/>
        </w:rPr>
      </w:pPr>
      <w:r>
        <w:rPr>
          <w:rFonts w:hint="eastAsia" w:ascii="宋体" w:hAnsi="宋体" w:cs="宋体"/>
          <w:color w:val="auto"/>
          <w:sz w:val="24"/>
        </w:rPr>
        <w:t>保证金交纳截止时间：同投标文件提交截止时间。</w:t>
      </w:r>
    </w:p>
    <w:p w14:paraId="6668A53E">
      <w:pPr>
        <w:spacing w:line="520" w:lineRule="exact"/>
        <w:ind w:firstLine="480" w:firstLineChars="200"/>
        <w:jc w:val="left"/>
        <w:rPr>
          <w:rFonts w:hint="eastAsia" w:ascii="宋体" w:hAnsi="宋体" w:eastAsia="宋体" w:cs="宋体"/>
          <w:color w:val="auto"/>
          <w:sz w:val="24"/>
          <w:lang w:eastAsia="zh-CN"/>
        </w:rPr>
      </w:pPr>
      <w:r>
        <w:rPr>
          <w:rFonts w:hint="eastAsia" w:ascii="宋体" w:hAnsi="宋体" w:cs="宋体"/>
          <w:color w:val="auto"/>
          <w:sz w:val="24"/>
        </w:rPr>
        <w:t>户名：</w:t>
      </w:r>
      <w:r>
        <w:rPr>
          <w:rFonts w:hint="eastAsia" w:ascii="宋体" w:hAnsi="宋体" w:cs="宋体"/>
          <w:color w:val="auto"/>
          <w:sz w:val="24"/>
          <w:lang w:eastAsia="zh-CN"/>
        </w:rPr>
        <w:t>德宏傲亿工程管理咨询有限公司</w:t>
      </w:r>
    </w:p>
    <w:p w14:paraId="034DCD74">
      <w:pPr>
        <w:spacing w:line="520" w:lineRule="exact"/>
        <w:ind w:firstLine="480" w:firstLineChars="200"/>
        <w:jc w:val="left"/>
        <w:rPr>
          <w:rFonts w:ascii="宋体" w:hAnsi="宋体" w:cs="宋体"/>
          <w:color w:val="auto"/>
          <w:sz w:val="24"/>
        </w:rPr>
      </w:pPr>
      <w:r>
        <w:rPr>
          <w:rFonts w:hint="eastAsia" w:ascii="宋体" w:hAnsi="宋体" w:cs="宋体"/>
          <w:color w:val="auto"/>
          <w:sz w:val="24"/>
        </w:rPr>
        <w:t>账号：</w:t>
      </w:r>
      <w:r>
        <w:rPr>
          <w:rFonts w:hint="eastAsia" w:ascii="宋体" w:hAnsi="宋体" w:cs="宋体"/>
          <w:color w:val="auto"/>
          <w:sz w:val="24"/>
          <w:lang w:eastAsia="zh-CN"/>
        </w:rPr>
        <w:t>53050173723600001483</w:t>
      </w:r>
      <w:r>
        <w:rPr>
          <w:rFonts w:hint="eastAsia" w:ascii="宋体" w:hAnsi="宋体" w:cs="宋体"/>
          <w:color w:val="auto"/>
          <w:sz w:val="24"/>
        </w:rPr>
        <w:t xml:space="preserve">  </w:t>
      </w:r>
    </w:p>
    <w:p w14:paraId="52B520C2">
      <w:pPr>
        <w:spacing w:line="520" w:lineRule="exact"/>
        <w:ind w:firstLine="480" w:firstLineChars="200"/>
        <w:jc w:val="left"/>
        <w:rPr>
          <w:rFonts w:hint="eastAsia" w:ascii="宋体" w:hAnsi="宋体" w:eastAsia="宋体" w:cs="宋体"/>
          <w:color w:val="auto"/>
          <w:sz w:val="24"/>
          <w:lang w:eastAsia="zh-CN"/>
        </w:rPr>
      </w:pPr>
      <w:r>
        <w:rPr>
          <w:rFonts w:hint="eastAsia" w:ascii="宋体" w:hAnsi="宋体" w:cs="宋体"/>
          <w:color w:val="auto"/>
          <w:sz w:val="24"/>
        </w:rPr>
        <w:t>开户行：</w:t>
      </w:r>
      <w:r>
        <w:rPr>
          <w:rFonts w:hint="eastAsia" w:ascii="宋体" w:hAnsi="宋体" w:cs="宋体"/>
          <w:color w:val="auto"/>
          <w:sz w:val="24"/>
          <w:lang w:eastAsia="zh-CN"/>
        </w:rPr>
        <w:t>中国建设银行股份有限公司瑞丽支行</w:t>
      </w:r>
    </w:p>
    <w:p w14:paraId="11C26067">
      <w:pPr>
        <w:spacing w:line="520" w:lineRule="exact"/>
        <w:ind w:firstLine="480" w:firstLineChars="200"/>
        <w:jc w:val="left"/>
        <w:rPr>
          <w:rFonts w:hint="default" w:ascii="宋体" w:hAnsi="宋体" w:eastAsia="宋体" w:cs="宋体"/>
          <w:color w:val="auto"/>
          <w:sz w:val="24"/>
          <w:lang w:val="en-US" w:eastAsia="zh-CN"/>
        </w:rPr>
      </w:pPr>
      <w:r>
        <w:rPr>
          <w:rFonts w:hint="eastAsia" w:ascii="宋体" w:hAnsi="宋体" w:cs="宋体"/>
          <w:color w:val="auto"/>
          <w:sz w:val="24"/>
        </w:rPr>
        <w:t>财务室联系电话：0692-</w:t>
      </w:r>
      <w:r>
        <w:rPr>
          <w:rFonts w:hint="eastAsia" w:ascii="宋体" w:hAnsi="宋体" w:cs="宋体"/>
          <w:color w:val="auto"/>
          <w:sz w:val="24"/>
          <w:lang w:val="en-US" w:eastAsia="zh-CN"/>
        </w:rPr>
        <w:t>6634777</w:t>
      </w:r>
    </w:p>
    <w:p w14:paraId="772CFA20">
      <w:pPr>
        <w:spacing w:line="520" w:lineRule="exact"/>
        <w:ind w:firstLine="480" w:firstLineChars="200"/>
        <w:jc w:val="left"/>
        <w:rPr>
          <w:rFonts w:ascii="宋体" w:hAnsi="宋体" w:cs="宋体"/>
          <w:color w:val="auto"/>
          <w:sz w:val="24"/>
        </w:rPr>
      </w:pPr>
      <w:r>
        <w:rPr>
          <w:rFonts w:hint="eastAsia" w:ascii="宋体" w:hAnsi="宋体" w:cs="宋体"/>
          <w:bCs/>
          <w:color w:val="auto"/>
          <w:kern w:val="0"/>
          <w:sz w:val="24"/>
        </w:rPr>
        <w:t>3.</w:t>
      </w:r>
      <w:r>
        <w:rPr>
          <w:rFonts w:hint="eastAsia" w:ascii="宋体" w:hAnsi="宋体" w:cs="宋体"/>
          <w:bCs/>
          <w:color w:val="auto"/>
          <w:sz w:val="24"/>
        </w:rPr>
        <w:t>相关费用：代理服务费以单个项目（或标段）成交通知书的成交金额为计费基数，按《云南省建设工程招标代理服务收费指导意见》收费标准收取，本项目代理服务费由成交单位支付</w:t>
      </w:r>
      <w:r>
        <w:rPr>
          <w:rFonts w:hint="eastAsia" w:ascii="宋体" w:hAnsi="宋体" w:cs="宋体"/>
          <w:color w:val="auto"/>
          <w:sz w:val="24"/>
        </w:rPr>
        <w:t>。</w:t>
      </w:r>
    </w:p>
    <w:p w14:paraId="478A28C4">
      <w:pPr>
        <w:widowControl/>
        <w:spacing w:line="520" w:lineRule="exact"/>
        <w:ind w:firstLine="480" w:firstLineChars="200"/>
        <w:jc w:val="left"/>
        <w:rPr>
          <w:rFonts w:ascii="宋体" w:hAnsi="宋体" w:cs="宋体"/>
          <w:color w:val="auto"/>
          <w:sz w:val="24"/>
        </w:rPr>
      </w:pPr>
      <w:r>
        <w:rPr>
          <w:rFonts w:hint="eastAsia" w:ascii="宋体" w:hAnsi="宋体" w:cs="宋体"/>
          <w:color w:val="auto"/>
          <w:sz w:val="24"/>
        </w:rPr>
        <w:t>4.</w:t>
      </w:r>
      <w:r>
        <w:rPr>
          <w:rFonts w:hint="eastAsia" w:ascii="宋体" w:hAnsi="宋体" w:cs="宋体"/>
          <w:color w:val="auto"/>
          <w:kern w:val="0"/>
          <w:sz w:val="24"/>
        </w:rPr>
        <w:t>公告发布媒体：</w:t>
      </w:r>
      <w:r>
        <w:rPr>
          <w:rFonts w:hint="eastAsia" w:ascii="宋体" w:hAnsi="宋体" w:cs="宋体"/>
          <w:color w:val="auto"/>
          <w:sz w:val="24"/>
        </w:rPr>
        <w:t>本公告在《云南省政府采购网》（http://www.yngp.com/）、</w:t>
      </w:r>
      <w:r>
        <w:rPr>
          <w:rFonts w:hint="eastAsia" w:ascii="宋体" w:hAnsi="宋体" w:cs="宋体"/>
          <w:bCs/>
          <w:color w:val="auto"/>
          <w:kern w:val="0"/>
          <w:sz w:val="24"/>
        </w:rPr>
        <w:t>政府采购云平台（https://www.zcygov.cn/）</w:t>
      </w:r>
      <w:r>
        <w:rPr>
          <w:rFonts w:hint="eastAsia" w:ascii="宋体" w:hAnsi="宋体" w:cs="宋体"/>
          <w:color w:val="auto"/>
          <w:sz w:val="24"/>
        </w:rPr>
        <w:t>上发布，我公司对其他网站或媒体转载的公告及公告内容不承担任何责任。</w:t>
      </w:r>
    </w:p>
    <w:p w14:paraId="0D748FF2">
      <w:pPr>
        <w:spacing w:line="520" w:lineRule="exact"/>
        <w:ind w:firstLine="480" w:firstLineChars="200"/>
        <w:jc w:val="left"/>
        <w:rPr>
          <w:rFonts w:ascii="宋体" w:hAnsi="宋体" w:cs="宋体"/>
          <w:color w:val="auto"/>
          <w:sz w:val="24"/>
        </w:rPr>
      </w:pPr>
      <w:r>
        <w:rPr>
          <w:rFonts w:hint="eastAsia" w:ascii="宋体" w:hAnsi="宋体" w:cs="宋体"/>
          <w:color w:val="auto"/>
          <w:sz w:val="24"/>
        </w:rPr>
        <w:t>5.本项目执行政府采购促进中小企业发展、支持监狱企业、促进残疾人就业、扶持不发达地区、少数民族地区和优先采购节能、环保产品等政府采购政策。</w:t>
      </w:r>
    </w:p>
    <w:p w14:paraId="2CAE21D9">
      <w:pPr>
        <w:pStyle w:val="3"/>
        <w:numPr>
          <w:ilvl w:val="1"/>
          <w:numId w:val="0"/>
        </w:numPr>
        <w:spacing w:before="0" w:line="520" w:lineRule="exact"/>
        <w:ind w:firstLine="480" w:firstLineChars="200"/>
        <w:textAlignment w:val="auto"/>
        <w:rPr>
          <w:rFonts w:ascii="宋体" w:hAnsi="宋体" w:eastAsia="宋体" w:cs="宋体"/>
          <w:b w:val="0"/>
          <w:color w:val="auto"/>
          <w:kern w:val="2"/>
          <w:sz w:val="24"/>
          <w:szCs w:val="24"/>
        </w:rPr>
      </w:pPr>
      <w:r>
        <w:rPr>
          <w:rFonts w:hint="eastAsia" w:ascii="宋体" w:hAnsi="宋体" w:eastAsia="宋体" w:cs="宋体"/>
          <w:b w:val="0"/>
          <w:color w:val="auto"/>
          <w:kern w:val="2"/>
          <w:sz w:val="24"/>
          <w:szCs w:val="24"/>
        </w:rPr>
        <w:t>6.监督部门及联系电话</w:t>
      </w:r>
    </w:p>
    <w:p w14:paraId="7629207F">
      <w:pPr>
        <w:widowControl/>
        <w:spacing w:line="520" w:lineRule="exact"/>
        <w:ind w:firstLine="480" w:firstLineChars="200"/>
        <w:jc w:val="left"/>
        <w:rPr>
          <w:rFonts w:ascii="宋体" w:hAnsi="宋体" w:cs="宋体"/>
          <w:color w:val="auto"/>
          <w:sz w:val="24"/>
        </w:rPr>
      </w:pPr>
      <w:r>
        <w:rPr>
          <w:rFonts w:hint="eastAsia" w:ascii="宋体" w:hAnsi="宋体" w:cs="宋体"/>
          <w:color w:val="auto"/>
          <w:sz w:val="24"/>
        </w:rPr>
        <w:t>行政监督部门及联系电话：瑞丽市财政局</w:t>
      </w:r>
      <w:r>
        <w:rPr>
          <w:rFonts w:hint="eastAsia" w:ascii="宋体" w:hAnsi="宋体" w:cs="宋体"/>
          <w:color w:val="auto"/>
          <w:sz w:val="24"/>
          <w:lang w:val="en-US" w:eastAsia="zh-CN"/>
        </w:rPr>
        <w:t xml:space="preserve"> 0692-4129739</w:t>
      </w:r>
    </w:p>
    <w:p w14:paraId="065E12F1">
      <w:pPr>
        <w:widowControl/>
        <w:spacing w:line="520" w:lineRule="exact"/>
        <w:ind w:firstLine="480" w:firstLineChars="200"/>
        <w:jc w:val="left"/>
        <w:rPr>
          <w:rFonts w:ascii="宋体" w:hAnsi="宋体" w:cs="宋体"/>
          <w:color w:val="auto"/>
          <w:sz w:val="24"/>
        </w:rPr>
      </w:pPr>
      <w:r>
        <w:rPr>
          <w:rFonts w:hint="eastAsia" w:ascii="宋体" w:hAnsi="宋体" w:cs="宋体"/>
          <w:color w:val="auto"/>
          <w:sz w:val="24"/>
        </w:rPr>
        <w:t>纪检监督联系电话：0692-12388</w:t>
      </w:r>
    </w:p>
    <w:p w14:paraId="55BAE51F">
      <w:pPr>
        <w:pStyle w:val="3"/>
        <w:numPr>
          <w:ilvl w:val="1"/>
          <w:numId w:val="0"/>
        </w:numPr>
        <w:spacing w:line="520" w:lineRule="exact"/>
        <w:textAlignment w:val="auto"/>
        <w:rPr>
          <w:rFonts w:ascii="宋体" w:hAnsi="宋体" w:eastAsia="宋体" w:cs="宋体"/>
          <w:bCs/>
          <w:color w:val="auto"/>
          <w:sz w:val="24"/>
          <w:szCs w:val="24"/>
        </w:rPr>
      </w:pPr>
      <w:r>
        <w:rPr>
          <w:rFonts w:hint="eastAsia" w:ascii="宋体" w:hAnsi="宋体" w:eastAsia="宋体" w:cs="宋体"/>
          <w:bCs/>
          <w:color w:val="auto"/>
          <w:sz w:val="24"/>
          <w:szCs w:val="24"/>
        </w:rPr>
        <w:t>七、对本次招标提出询问，请按以下方式联系。</w:t>
      </w:r>
      <w:bookmarkEnd w:id="34"/>
      <w:bookmarkEnd w:id="35"/>
      <w:bookmarkEnd w:id="36"/>
      <w:bookmarkEnd w:id="37"/>
    </w:p>
    <w:p w14:paraId="640365EE">
      <w:pPr>
        <w:widowControl/>
        <w:spacing w:line="520" w:lineRule="exact"/>
        <w:ind w:firstLine="480" w:firstLineChars="200"/>
        <w:jc w:val="left"/>
        <w:rPr>
          <w:rFonts w:ascii="宋体" w:hAnsi="宋体" w:cs="宋体"/>
          <w:color w:val="auto"/>
          <w:sz w:val="24"/>
        </w:rPr>
      </w:pPr>
      <w:bookmarkStart w:id="38" w:name="_Toc28359096"/>
      <w:bookmarkStart w:id="39" w:name="_Toc35393806"/>
      <w:bookmarkStart w:id="40" w:name="_Toc28359019"/>
      <w:bookmarkStart w:id="41" w:name="_Toc35393637"/>
      <w:bookmarkStart w:id="42" w:name="_Toc35393807"/>
      <w:bookmarkStart w:id="43" w:name="_Toc28359097"/>
      <w:bookmarkStart w:id="44" w:name="_Toc35393638"/>
      <w:bookmarkStart w:id="45" w:name="_Toc28359020"/>
      <w:r>
        <w:rPr>
          <w:rFonts w:hint="eastAsia" w:ascii="宋体" w:hAnsi="宋体" w:cs="宋体"/>
          <w:color w:val="auto"/>
          <w:sz w:val="24"/>
        </w:rPr>
        <w:t>1.采购人信息</w:t>
      </w:r>
      <w:bookmarkEnd w:id="38"/>
      <w:bookmarkEnd w:id="39"/>
      <w:bookmarkEnd w:id="40"/>
      <w:bookmarkEnd w:id="41"/>
    </w:p>
    <w:p w14:paraId="42C531C5">
      <w:pPr>
        <w:spacing w:line="520" w:lineRule="exact"/>
        <w:ind w:firstLine="480" w:firstLineChars="200"/>
        <w:jc w:val="left"/>
        <w:rPr>
          <w:rFonts w:hint="eastAsia" w:ascii="宋体" w:hAnsi="宋体" w:eastAsia="宋体" w:cs="宋体"/>
          <w:color w:val="auto"/>
          <w:sz w:val="24"/>
          <w:lang w:eastAsia="zh-CN"/>
        </w:rPr>
      </w:pPr>
      <w:r>
        <w:rPr>
          <w:rFonts w:hint="eastAsia" w:ascii="宋体" w:hAnsi="宋体" w:cs="宋体"/>
          <w:color w:val="auto"/>
          <w:sz w:val="24"/>
        </w:rPr>
        <w:t>名    称：</w:t>
      </w:r>
      <w:r>
        <w:rPr>
          <w:rFonts w:hint="eastAsia" w:ascii="宋体" w:hAnsi="宋体" w:cs="宋体"/>
          <w:color w:val="auto"/>
          <w:sz w:val="24"/>
          <w:lang w:eastAsia="zh-CN"/>
        </w:rPr>
        <w:t xml:space="preserve">瑞丽市公安局交通管理大队 </w:t>
      </w:r>
    </w:p>
    <w:p w14:paraId="6B0D1923">
      <w:pPr>
        <w:spacing w:line="520" w:lineRule="exact"/>
        <w:ind w:firstLine="480" w:firstLineChars="200"/>
        <w:jc w:val="left"/>
        <w:rPr>
          <w:rFonts w:ascii="宋体" w:hAnsi="宋体" w:cs="宋体"/>
          <w:bCs/>
          <w:color w:val="auto"/>
          <w:sz w:val="24"/>
        </w:rPr>
      </w:pPr>
      <w:r>
        <w:rPr>
          <w:rFonts w:hint="eastAsia" w:ascii="宋体" w:hAnsi="宋体" w:cs="宋体"/>
          <w:color w:val="auto"/>
          <w:sz w:val="24"/>
        </w:rPr>
        <w:t>地    址：</w:t>
      </w:r>
      <w:r>
        <w:rPr>
          <w:rFonts w:hint="eastAsia" w:ascii="宋体" w:hAnsi="宋体" w:cs="宋体"/>
          <w:color w:val="auto"/>
          <w:sz w:val="24"/>
          <w:lang w:eastAsia="zh-CN"/>
        </w:rPr>
        <w:t>瑞丽市</w:t>
      </w:r>
      <w:r>
        <w:rPr>
          <w:rFonts w:hint="eastAsia" w:ascii="宋体" w:hAnsi="宋体" w:cs="宋体"/>
          <w:color w:val="auto"/>
          <w:sz w:val="24"/>
          <w:lang w:val="en-US" w:eastAsia="zh-CN"/>
        </w:rPr>
        <w:t>瑞宏路50号</w:t>
      </w:r>
      <w:r>
        <w:rPr>
          <w:rFonts w:hint="eastAsia" w:ascii="宋体" w:hAnsi="宋体" w:cs="宋体"/>
          <w:color w:val="auto"/>
          <w:sz w:val="24"/>
          <w:lang w:eastAsia="zh-CN"/>
        </w:rPr>
        <w:t xml:space="preserve"> </w:t>
      </w:r>
    </w:p>
    <w:p w14:paraId="5D421A23">
      <w:pPr>
        <w:spacing w:line="520" w:lineRule="exact"/>
        <w:ind w:firstLine="480" w:firstLineChars="200"/>
        <w:jc w:val="left"/>
        <w:rPr>
          <w:rFonts w:ascii="宋体" w:hAnsi="宋体" w:cs="宋体"/>
          <w:color w:val="auto"/>
          <w:sz w:val="24"/>
          <w:highlight w:val="yellow"/>
        </w:rPr>
      </w:pPr>
      <w:r>
        <w:rPr>
          <w:rFonts w:hint="eastAsia" w:ascii="宋体" w:hAnsi="宋体" w:cs="宋体"/>
          <w:color w:val="auto"/>
          <w:sz w:val="24"/>
        </w:rPr>
        <w:t>联系方式：</w:t>
      </w:r>
      <w:r>
        <w:rPr>
          <w:rFonts w:hint="eastAsia" w:ascii="宋体" w:hAnsi="宋体" w:cs="宋体"/>
          <w:color w:val="auto"/>
          <w:sz w:val="24"/>
          <w:lang w:val="en-US" w:eastAsia="zh-CN"/>
        </w:rPr>
        <w:t>18869227177</w:t>
      </w:r>
    </w:p>
    <w:p w14:paraId="211405C7">
      <w:pPr>
        <w:widowControl/>
        <w:spacing w:line="520" w:lineRule="exact"/>
        <w:ind w:firstLine="480" w:firstLineChars="200"/>
        <w:jc w:val="left"/>
        <w:rPr>
          <w:rFonts w:ascii="宋体" w:hAnsi="宋体" w:cs="宋体"/>
          <w:color w:val="auto"/>
          <w:sz w:val="24"/>
        </w:rPr>
      </w:pPr>
    </w:p>
    <w:p w14:paraId="3E2CEDC2">
      <w:pPr>
        <w:widowControl/>
        <w:spacing w:line="520" w:lineRule="exact"/>
        <w:ind w:firstLine="480" w:firstLineChars="200"/>
        <w:jc w:val="left"/>
        <w:rPr>
          <w:rFonts w:ascii="宋体" w:hAnsi="宋体" w:cs="宋体"/>
          <w:color w:val="auto"/>
          <w:sz w:val="24"/>
        </w:rPr>
      </w:pPr>
      <w:r>
        <w:rPr>
          <w:rFonts w:hint="eastAsia" w:ascii="宋体" w:hAnsi="宋体" w:cs="宋体"/>
          <w:color w:val="auto"/>
          <w:sz w:val="24"/>
        </w:rPr>
        <w:t>2.采购代理机构信息</w:t>
      </w:r>
    </w:p>
    <w:p w14:paraId="4BFD0AD8">
      <w:pPr>
        <w:widowControl/>
        <w:spacing w:line="520" w:lineRule="exact"/>
        <w:ind w:firstLine="480" w:firstLineChars="200"/>
        <w:jc w:val="left"/>
        <w:rPr>
          <w:rFonts w:hint="eastAsia" w:ascii="宋体" w:hAnsi="宋体" w:eastAsia="宋体" w:cs="宋体"/>
          <w:color w:val="auto"/>
          <w:sz w:val="24"/>
          <w:lang w:eastAsia="zh-CN"/>
        </w:rPr>
      </w:pPr>
      <w:r>
        <w:rPr>
          <w:rFonts w:hint="eastAsia" w:ascii="宋体" w:hAnsi="宋体" w:cs="宋体"/>
          <w:color w:val="auto"/>
          <w:sz w:val="24"/>
        </w:rPr>
        <w:t>名    称：</w:t>
      </w:r>
      <w:r>
        <w:rPr>
          <w:rFonts w:hint="eastAsia" w:ascii="宋体" w:hAnsi="宋体" w:cs="宋体"/>
          <w:color w:val="auto"/>
          <w:sz w:val="24"/>
          <w:lang w:eastAsia="zh-CN"/>
        </w:rPr>
        <w:t>德宏傲亿工程管理咨询有限公司</w:t>
      </w:r>
    </w:p>
    <w:p w14:paraId="14ABBCE1">
      <w:pPr>
        <w:widowControl/>
        <w:spacing w:line="520" w:lineRule="exact"/>
        <w:ind w:firstLine="480" w:firstLineChars="200"/>
        <w:jc w:val="left"/>
        <w:rPr>
          <w:rFonts w:ascii="宋体" w:hAnsi="宋体" w:cs="宋体"/>
          <w:color w:val="auto"/>
          <w:sz w:val="24"/>
        </w:rPr>
      </w:pPr>
      <w:r>
        <w:rPr>
          <w:rFonts w:hint="eastAsia" w:ascii="宋体" w:hAnsi="宋体" w:cs="宋体"/>
          <w:color w:val="auto"/>
          <w:sz w:val="24"/>
        </w:rPr>
        <w:t>统一社会信用代码：91533103MA6NT2PR2J</w:t>
      </w:r>
    </w:p>
    <w:p w14:paraId="32EB7C7E">
      <w:pPr>
        <w:spacing w:line="520" w:lineRule="exact"/>
        <w:ind w:firstLine="480" w:firstLineChars="200"/>
        <w:jc w:val="left"/>
        <w:rPr>
          <w:rFonts w:ascii="宋体" w:hAnsi="宋体" w:cs="宋体"/>
          <w:color w:val="auto"/>
          <w:sz w:val="24"/>
        </w:rPr>
      </w:pPr>
      <w:r>
        <w:rPr>
          <w:rFonts w:hint="eastAsia" w:ascii="宋体" w:hAnsi="宋体" w:cs="宋体"/>
          <w:color w:val="auto"/>
          <w:sz w:val="24"/>
        </w:rPr>
        <w:t>地　　址：</w:t>
      </w:r>
      <w:r>
        <w:rPr>
          <w:rFonts w:hint="eastAsia" w:ascii="宋体" w:hAnsi="宋体" w:cs="宋体"/>
          <w:color w:val="auto"/>
          <w:sz w:val="24"/>
          <w:lang w:eastAsia="zh-CN"/>
        </w:rPr>
        <w:t>瑞丽市</w:t>
      </w:r>
      <w:r>
        <w:rPr>
          <w:rFonts w:hint="eastAsia" w:ascii="宋体" w:hAnsi="宋体" w:cs="宋体"/>
          <w:color w:val="auto"/>
          <w:sz w:val="24"/>
          <w:lang w:val="en-US" w:eastAsia="zh-CN"/>
        </w:rPr>
        <w:t>瑞宏路86-15号</w:t>
      </w:r>
    </w:p>
    <w:p w14:paraId="36398FE1">
      <w:pPr>
        <w:spacing w:line="520" w:lineRule="exact"/>
        <w:ind w:firstLine="480" w:firstLineChars="200"/>
        <w:jc w:val="left"/>
        <w:rPr>
          <w:rFonts w:hint="default" w:ascii="宋体" w:hAnsi="宋体" w:eastAsia="宋体" w:cs="宋体"/>
          <w:color w:val="auto"/>
          <w:sz w:val="24"/>
          <w:lang w:val="en-US" w:eastAsia="zh-CN"/>
        </w:rPr>
      </w:pPr>
      <w:r>
        <w:rPr>
          <w:rFonts w:hint="eastAsia" w:ascii="宋体" w:hAnsi="宋体" w:cs="宋体"/>
          <w:color w:val="auto"/>
          <w:sz w:val="24"/>
        </w:rPr>
        <w:t>联系方式：</w:t>
      </w:r>
      <w:r>
        <w:rPr>
          <w:rFonts w:hint="eastAsia" w:ascii="宋体" w:hAnsi="宋体" w:cs="宋体"/>
          <w:color w:val="auto"/>
          <w:sz w:val="24"/>
          <w:lang w:val="en-US" w:eastAsia="zh-CN"/>
        </w:rPr>
        <w:t>18988239117</w:t>
      </w:r>
    </w:p>
    <w:p w14:paraId="3B56AB6B">
      <w:pPr>
        <w:widowControl/>
        <w:spacing w:line="520" w:lineRule="exact"/>
        <w:ind w:firstLine="480" w:firstLineChars="200"/>
        <w:jc w:val="left"/>
        <w:rPr>
          <w:rFonts w:ascii="宋体" w:hAnsi="宋体" w:cs="宋体"/>
          <w:color w:val="auto"/>
          <w:sz w:val="24"/>
        </w:rPr>
      </w:pPr>
    </w:p>
    <w:p w14:paraId="5EB25A3D">
      <w:pPr>
        <w:widowControl/>
        <w:spacing w:line="520" w:lineRule="exact"/>
        <w:ind w:firstLine="480" w:firstLineChars="200"/>
        <w:jc w:val="left"/>
        <w:rPr>
          <w:rFonts w:ascii="宋体" w:hAnsi="宋体" w:cs="宋体"/>
          <w:color w:val="auto"/>
          <w:sz w:val="24"/>
        </w:rPr>
      </w:pPr>
      <w:r>
        <w:rPr>
          <w:rFonts w:hint="eastAsia" w:ascii="宋体" w:hAnsi="宋体" w:cs="宋体"/>
          <w:color w:val="auto"/>
          <w:sz w:val="24"/>
        </w:rPr>
        <w:t>3.项目联系方式</w:t>
      </w:r>
    </w:p>
    <w:bookmarkEnd w:id="42"/>
    <w:bookmarkEnd w:id="43"/>
    <w:bookmarkEnd w:id="44"/>
    <w:bookmarkEnd w:id="45"/>
    <w:p w14:paraId="6CB19D8B">
      <w:pPr>
        <w:spacing w:line="520" w:lineRule="exact"/>
        <w:ind w:firstLine="480" w:firstLineChars="200"/>
        <w:rPr>
          <w:rFonts w:ascii="宋体" w:hAnsi="宋体" w:cs="宋体"/>
          <w:color w:val="auto"/>
          <w:sz w:val="24"/>
        </w:rPr>
      </w:pPr>
      <w:r>
        <w:rPr>
          <w:rFonts w:hint="eastAsia" w:ascii="宋体" w:hAnsi="宋体" w:cs="宋体"/>
          <w:color w:val="auto"/>
          <w:sz w:val="24"/>
        </w:rPr>
        <w:t>项目联系人：</w:t>
      </w:r>
      <w:r>
        <w:rPr>
          <w:rFonts w:hint="eastAsia" w:ascii="宋体" w:hAnsi="宋体" w:cs="宋体"/>
          <w:color w:val="auto"/>
          <w:sz w:val="24"/>
          <w:lang w:val="en-US" w:eastAsia="zh-CN"/>
        </w:rPr>
        <w:t>康</w:t>
      </w:r>
      <w:r>
        <w:rPr>
          <w:rFonts w:hint="eastAsia" w:ascii="宋体" w:hAnsi="宋体" w:cs="宋体"/>
          <w:color w:val="auto"/>
          <w:sz w:val="24"/>
        </w:rPr>
        <w:t>警官（采购人）、</w:t>
      </w:r>
      <w:r>
        <w:rPr>
          <w:rFonts w:hint="eastAsia" w:ascii="宋体" w:hAnsi="宋体" w:cs="宋体"/>
          <w:color w:val="auto"/>
          <w:sz w:val="24"/>
          <w:lang w:val="en-US" w:eastAsia="zh-CN"/>
        </w:rPr>
        <w:t>张斌</w:t>
      </w:r>
      <w:r>
        <w:rPr>
          <w:rFonts w:hint="eastAsia" w:ascii="宋体" w:hAnsi="宋体" w:cs="宋体"/>
          <w:color w:val="auto"/>
          <w:sz w:val="24"/>
        </w:rPr>
        <w:t>（采购代理机构）</w:t>
      </w:r>
    </w:p>
    <w:p w14:paraId="0E1BEB63">
      <w:pPr>
        <w:spacing w:line="520" w:lineRule="exact"/>
        <w:ind w:firstLine="480" w:firstLineChars="200"/>
        <w:rPr>
          <w:rFonts w:ascii="宋体" w:hAnsi="宋体" w:cs="宋体"/>
          <w:color w:val="auto"/>
          <w:szCs w:val="21"/>
        </w:rPr>
        <w:sectPr>
          <w:footerReference r:id="rId5" w:type="default"/>
          <w:pgSz w:w="11906" w:h="16838"/>
          <w:pgMar w:top="1440" w:right="1083" w:bottom="1440" w:left="1083" w:header="851" w:footer="992" w:gutter="0"/>
          <w:pgNumType w:fmt="decimal" w:start="1"/>
          <w:cols w:space="425" w:num="1"/>
          <w:docGrid w:type="lines" w:linePitch="312" w:charSpace="0"/>
        </w:sectPr>
      </w:pPr>
      <w:r>
        <w:rPr>
          <w:rFonts w:hint="eastAsia" w:ascii="宋体" w:hAnsi="宋体" w:cs="宋体"/>
          <w:color w:val="auto"/>
          <w:sz w:val="24"/>
        </w:rPr>
        <w:t>电话：</w:t>
      </w:r>
      <w:r>
        <w:rPr>
          <w:rFonts w:hint="eastAsia" w:ascii="宋体" w:hAnsi="宋体" w:cs="宋体"/>
          <w:color w:val="auto"/>
          <w:sz w:val="24"/>
          <w:lang w:val="en-US" w:eastAsia="zh-CN"/>
        </w:rPr>
        <w:t>18869227177</w:t>
      </w:r>
      <w:r>
        <w:rPr>
          <w:rFonts w:hint="eastAsia" w:ascii="宋体" w:hAnsi="宋体" w:cs="宋体"/>
          <w:color w:val="auto"/>
          <w:sz w:val="24"/>
        </w:rPr>
        <w:t>（采购人）、</w:t>
      </w:r>
      <w:r>
        <w:rPr>
          <w:rFonts w:hint="eastAsia" w:ascii="宋体" w:hAnsi="宋体" w:cs="宋体"/>
          <w:color w:val="auto"/>
          <w:sz w:val="24"/>
          <w:lang w:val="en-US" w:eastAsia="zh-CN"/>
        </w:rPr>
        <w:t>18988239117</w:t>
      </w:r>
      <w:r>
        <w:rPr>
          <w:rFonts w:hint="eastAsia" w:ascii="宋体" w:hAnsi="宋体" w:cs="宋体"/>
          <w:color w:val="auto"/>
          <w:sz w:val="24"/>
        </w:rPr>
        <w:t>、0692-</w:t>
      </w:r>
      <w:r>
        <w:rPr>
          <w:rFonts w:hint="eastAsia" w:ascii="宋体" w:hAnsi="宋体" w:cs="宋体"/>
          <w:color w:val="auto"/>
          <w:sz w:val="24"/>
          <w:lang w:val="en-US" w:eastAsia="zh-CN"/>
        </w:rPr>
        <w:t>6634777</w:t>
      </w:r>
      <w:r>
        <w:rPr>
          <w:rFonts w:hint="eastAsia" w:ascii="宋体" w:hAnsi="宋体" w:cs="宋体"/>
          <w:color w:val="auto"/>
          <w:sz w:val="24"/>
        </w:rPr>
        <w:t>（采购代理机构）</w:t>
      </w:r>
    </w:p>
    <w:p w14:paraId="0A0D18DF">
      <w:pPr>
        <w:pStyle w:val="2"/>
        <w:spacing w:before="0" w:afterLines="50" w:line="360" w:lineRule="auto"/>
        <w:jc w:val="center"/>
        <w:rPr>
          <w:rFonts w:ascii="宋体" w:hAnsi="宋体" w:cs="宋体"/>
          <w:color w:val="auto"/>
        </w:rPr>
      </w:pPr>
      <w:r>
        <w:rPr>
          <w:rFonts w:hint="eastAsia" w:ascii="宋体" w:hAnsi="宋体" w:cs="宋体"/>
          <w:color w:val="auto"/>
        </w:rPr>
        <w:t>第二章</w:t>
      </w:r>
      <w:r>
        <w:rPr>
          <w:rFonts w:hint="eastAsia" w:ascii="宋体" w:hAnsi="宋体" w:cs="宋体"/>
          <w:color w:val="auto"/>
          <w:lang w:val="en-US" w:eastAsia="zh-CN"/>
        </w:rPr>
        <w:t xml:space="preserve"> </w:t>
      </w:r>
      <w:r>
        <w:rPr>
          <w:rFonts w:hint="eastAsia" w:ascii="宋体" w:hAnsi="宋体" w:cs="宋体"/>
          <w:color w:val="auto"/>
        </w:rPr>
        <w:t>投标人须知</w:t>
      </w:r>
    </w:p>
    <w:p w14:paraId="4EDBE26D">
      <w:pPr>
        <w:pStyle w:val="3"/>
        <w:numPr>
          <w:ilvl w:val="1"/>
          <w:numId w:val="0"/>
        </w:numPr>
        <w:tabs>
          <w:tab w:val="clear" w:pos="1021"/>
        </w:tabs>
        <w:spacing w:before="0"/>
        <w:jc w:val="center"/>
        <w:rPr>
          <w:rFonts w:ascii="宋体" w:hAnsi="宋体" w:eastAsia="宋体" w:cs="宋体"/>
          <w:color w:val="auto"/>
          <w:szCs w:val="28"/>
        </w:rPr>
      </w:pPr>
      <w:bookmarkStart w:id="46" w:name="_Toc21714"/>
      <w:bookmarkEnd w:id="46"/>
      <w:bookmarkStart w:id="47" w:name="_Toc13590"/>
      <w:bookmarkEnd w:id="47"/>
      <w:bookmarkStart w:id="48" w:name="_Toc7029"/>
      <w:bookmarkStart w:id="49" w:name="_Toc26144"/>
      <w:r>
        <w:rPr>
          <w:rFonts w:hint="eastAsia" w:ascii="宋体" w:hAnsi="宋体" w:eastAsia="宋体" w:cs="宋体"/>
          <w:color w:val="auto"/>
          <w:szCs w:val="28"/>
        </w:rPr>
        <w:t>投标人须知前附表</w:t>
      </w:r>
      <w:bookmarkEnd w:id="48"/>
      <w:bookmarkEnd w:id="49"/>
    </w:p>
    <w:p w14:paraId="06DDA2AA">
      <w:pPr>
        <w:spacing w:line="200" w:lineRule="exact"/>
        <w:rPr>
          <w:rFonts w:ascii="宋体" w:hAnsi="宋体" w:cs="宋体"/>
          <w:color w:val="auto"/>
        </w:rPr>
      </w:pPr>
    </w:p>
    <w:tbl>
      <w:tblPr>
        <w:tblStyle w:val="24"/>
        <w:tblW w:w="9824" w:type="dxa"/>
        <w:jc w:val="center"/>
        <w:tblLayout w:type="fixed"/>
        <w:tblCellMar>
          <w:top w:w="0" w:type="dxa"/>
          <w:left w:w="0" w:type="dxa"/>
          <w:bottom w:w="0" w:type="dxa"/>
          <w:right w:w="0" w:type="dxa"/>
        </w:tblCellMar>
      </w:tblPr>
      <w:tblGrid>
        <w:gridCol w:w="990"/>
        <w:gridCol w:w="1638"/>
        <w:gridCol w:w="7196"/>
      </w:tblGrid>
      <w:tr w14:paraId="4F43FC8F">
        <w:tblPrEx>
          <w:tblCellMar>
            <w:top w:w="0" w:type="dxa"/>
            <w:left w:w="0" w:type="dxa"/>
            <w:bottom w:w="0" w:type="dxa"/>
            <w:right w:w="0" w:type="dxa"/>
          </w:tblCellMar>
        </w:tblPrEx>
        <w:trPr>
          <w:trHeight w:val="473"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1662CF0A">
            <w:pPr>
              <w:jc w:val="center"/>
              <w:rPr>
                <w:rFonts w:ascii="宋体" w:hAnsi="宋体" w:cs="宋体"/>
                <w:b/>
                <w:color w:val="auto"/>
                <w:sz w:val="24"/>
              </w:rPr>
            </w:pPr>
            <w:r>
              <w:rPr>
                <w:rFonts w:hint="eastAsia" w:ascii="宋体" w:hAnsi="宋体" w:cs="宋体"/>
                <w:b/>
                <w:color w:val="auto"/>
                <w:sz w:val="24"/>
              </w:rPr>
              <w:t>序号</w:t>
            </w:r>
          </w:p>
        </w:tc>
        <w:tc>
          <w:tcPr>
            <w:tcW w:w="1638" w:type="dxa"/>
            <w:tcBorders>
              <w:top w:val="single" w:color="auto" w:sz="8" w:space="0"/>
              <w:left w:val="nil"/>
              <w:bottom w:val="single" w:color="auto" w:sz="8" w:space="0"/>
              <w:right w:val="single" w:color="auto" w:sz="8" w:space="0"/>
            </w:tcBorders>
            <w:vAlign w:val="center"/>
          </w:tcPr>
          <w:p w14:paraId="345C0086">
            <w:pPr>
              <w:jc w:val="center"/>
              <w:rPr>
                <w:rFonts w:ascii="宋体" w:hAnsi="宋体" w:cs="宋体"/>
                <w:b/>
                <w:color w:val="auto"/>
                <w:sz w:val="24"/>
              </w:rPr>
            </w:pPr>
            <w:r>
              <w:rPr>
                <w:rFonts w:hint="eastAsia" w:ascii="宋体" w:hAnsi="宋体" w:cs="宋体"/>
                <w:b/>
                <w:color w:val="auto"/>
                <w:sz w:val="24"/>
              </w:rPr>
              <w:t>条款名称</w:t>
            </w:r>
          </w:p>
        </w:tc>
        <w:tc>
          <w:tcPr>
            <w:tcW w:w="7196" w:type="dxa"/>
            <w:tcBorders>
              <w:top w:val="single" w:color="auto" w:sz="8" w:space="0"/>
              <w:left w:val="nil"/>
              <w:bottom w:val="single" w:color="auto" w:sz="8" w:space="0"/>
              <w:right w:val="single" w:color="auto" w:sz="8" w:space="0"/>
            </w:tcBorders>
            <w:vAlign w:val="center"/>
          </w:tcPr>
          <w:p w14:paraId="2BC9F151">
            <w:pPr>
              <w:jc w:val="center"/>
              <w:rPr>
                <w:rFonts w:ascii="宋体" w:hAnsi="宋体" w:cs="宋体"/>
                <w:b/>
                <w:color w:val="auto"/>
                <w:sz w:val="24"/>
              </w:rPr>
            </w:pPr>
            <w:r>
              <w:rPr>
                <w:rFonts w:hint="eastAsia" w:ascii="宋体" w:hAnsi="宋体" w:cs="宋体"/>
                <w:b/>
                <w:color w:val="auto"/>
                <w:sz w:val="24"/>
              </w:rPr>
              <w:t>编列内容</w:t>
            </w:r>
          </w:p>
        </w:tc>
      </w:tr>
      <w:tr w14:paraId="2C0CDF77">
        <w:tblPrEx>
          <w:tblCellMar>
            <w:top w:w="0" w:type="dxa"/>
            <w:left w:w="0" w:type="dxa"/>
            <w:bottom w:w="0" w:type="dxa"/>
            <w:right w:w="0" w:type="dxa"/>
          </w:tblCellMar>
        </w:tblPrEx>
        <w:trPr>
          <w:trHeight w:val="1701"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07E8FDB5">
            <w:pPr>
              <w:spacing w:line="360" w:lineRule="auto"/>
              <w:jc w:val="center"/>
              <w:rPr>
                <w:rFonts w:ascii="宋体" w:hAnsi="宋体" w:cs="宋体"/>
                <w:color w:val="auto"/>
                <w:sz w:val="24"/>
              </w:rPr>
            </w:pPr>
            <w:r>
              <w:rPr>
                <w:rFonts w:hint="eastAsia" w:ascii="宋体" w:hAnsi="宋体" w:cs="宋体"/>
                <w:color w:val="auto"/>
                <w:sz w:val="24"/>
              </w:rPr>
              <w:t>1.1.2</w:t>
            </w:r>
          </w:p>
        </w:tc>
        <w:tc>
          <w:tcPr>
            <w:tcW w:w="1638" w:type="dxa"/>
            <w:tcBorders>
              <w:top w:val="single" w:color="auto" w:sz="8" w:space="0"/>
              <w:left w:val="nil"/>
              <w:bottom w:val="single" w:color="auto" w:sz="8" w:space="0"/>
              <w:right w:val="single" w:color="auto" w:sz="8" w:space="0"/>
            </w:tcBorders>
            <w:vAlign w:val="center"/>
          </w:tcPr>
          <w:p w14:paraId="12D3437D">
            <w:pPr>
              <w:spacing w:line="360" w:lineRule="auto"/>
              <w:jc w:val="center"/>
              <w:rPr>
                <w:rFonts w:ascii="宋体" w:hAnsi="宋体" w:cs="宋体"/>
                <w:color w:val="auto"/>
                <w:sz w:val="24"/>
              </w:rPr>
            </w:pPr>
            <w:r>
              <w:rPr>
                <w:rFonts w:hint="eastAsia" w:ascii="宋体" w:hAnsi="宋体" w:cs="宋体"/>
                <w:color w:val="auto"/>
                <w:sz w:val="24"/>
              </w:rPr>
              <w:t>采购人</w:t>
            </w:r>
          </w:p>
        </w:tc>
        <w:tc>
          <w:tcPr>
            <w:tcW w:w="7196" w:type="dxa"/>
            <w:tcBorders>
              <w:top w:val="single" w:color="auto" w:sz="8" w:space="0"/>
              <w:left w:val="nil"/>
              <w:bottom w:val="single" w:color="auto" w:sz="8" w:space="0"/>
              <w:right w:val="single" w:color="auto" w:sz="8" w:space="0"/>
            </w:tcBorders>
            <w:vAlign w:val="center"/>
          </w:tcPr>
          <w:p w14:paraId="14E2C1F0">
            <w:pPr>
              <w:spacing w:line="360" w:lineRule="auto"/>
              <w:jc w:val="left"/>
              <w:rPr>
                <w:rFonts w:hint="eastAsia" w:ascii="宋体" w:hAnsi="宋体" w:eastAsia="宋体" w:cs="宋体"/>
                <w:color w:val="auto"/>
                <w:sz w:val="24"/>
                <w:lang w:eastAsia="zh-CN"/>
              </w:rPr>
            </w:pPr>
            <w:r>
              <w:rPr>
                <w:rFonts w:hint="eastAsia" w:ascii="宋体" w:hAnsi="宋体" w:cs="宋体"/>
                <w:color w:val="auto"/>
                <w:sz w:val="24"/>
              </w:rPr>
              <w:t>名称：</w:t>
            </w:r>
            <w:r>
              <w:rPr>
                <w:rFonts w:hint="eastAsia" w:ascii="宋体" w:hAnsi="宋体" w:cs="宋体"/>
                <w:color w:val="auto"/>
                <w:sz w:val="24"/>
                <w:lang w:eastAsia="zh-CN"/>
              </w:rPr>
              <w:t xml:space="preserve">瑞丽市公安局交通管理大队 </w:t>
            </w:r>
          </w:p>
          <w:p w14:paraId="62B4DCE6">
            <w:pPr>
              <w:spacing w:line="360" w:lineRule="auto"/>
              <w:jc w:val="left"/>
              <w:rPr>
                <w:rFonts w:hint="eastAsia" w:ascii="宋体" w:hAnsi="宋体" w:eastAsia="宋体" w:cs="宋体"/>
                <w:color w:val="auto"/>
                <w:sz w:val="24"/>
                <w:lang w:eastAsia="zh-CN"/>
              </w:rPr>
            </w:pPr>
            <w:r>
              <w:rPr>
                <w:rFonts w:hint="eastAsia" w:ascii="宋体" w:hAnsi="宋体" w:cs="宋体"/>
                <w:color w:val="auto"/>
                <w:sz w:val="24"/>
              </w:rPr>
              <w:t>地址：</w:t>
            </w:r>
            <w:r>
              <w:rPr>
                <w:rFonts w:hint="eastAsia" w:ascii="宋体" w:hAnsi="宋体" w:cs="宋体"/>
                <w:color w:val="auto"/>
                <w:sz w:val="24"/>
                <w:lang w:eastAsia="zh-CN"/>
              </w:rPr>
              <w:t xml:space="preserve">瑞丽市瑞宏路50号 </w:t>
            </w:r>
          </w:p>
          <w:p w14:paraId="1F98EBDE">
            <w:pPr>
              <w:spacing w:line="360" w:lineRule="auto"/>
              <w:jc w:val="left"/>
              <w:rPr>
                <w:rFonts w:ascii="宋体" w:hAnsi="宋体" w:cs="宋体"/>
                <w:color w:val="auto"/>
                <w:sz w:val="24"/>
              </w:rPr>
            </w:pPr>
            <w:r>
              <w:rPr>
                <w:rFonts w:hint="eastAsia" w:ascii="宋体" w:hAnsi="宋体" w:cs="宋体"/>
                <w:color w:val="auto"/>
                <w:sz w:val="24"/>
              </w:rPr>
              <w:t>联系人：</w:t>
            </w:r>
            <w:r>
              <w:rPr>
                <w:rFonts w:hint="eastAsia" w:ascii="宋体" w:hAnsi="宋体" w:cs="宋体"/>
                <w:color w:val="auto"/>
                <w:sz w:val="24"/>
                <w:lang w:val="en-US" w:eastAsia="zh-CN"/>
              </w:rPr>
              <w:t>康</w:t>
            </w:r>
            <w:r>
              <w:rPr>
                <w:rFonts w:hint="eastAsia" w:ascii="宋体" w:hAnsi="宋体" w:cs="宋体"/>
                <w:color w:val="auto"/>
                <w:sz w:val="24"/>
              </w:rPr>
              <w:t>警官</w:t>
            </w:r>
          </w:p>
          <w:p w14:paraId="7F7F7AB0">
            <w:pPr>
              <w:spacing w:line="360" w:lineRule="auto"/>
              <w:jc w:val="left"/>
              <w:rPr>
                <w:rFonts w:ascii="宋体" w:hAnsi="宋体" w:cs="宋体"/>
                <w:color w:val="auto"/>
                <w:sz w:val="24"/>
              </w:rPr>
            </w:pPr>
            <w:r>
              <w:rPr>
                <w:rFonts w:hint="eastAsia" w:ascii="宋体" w:hAnsi="宋体" w:cs="宋体"/>
                <w:color w:val="auto"/>
                <w:sz w:val="24"/>
              </w:rPr>
              <w:t>电话：</w:t>
            </w:r>
            <w:r>
              <w:rPr>
                <w:rFonts w:hint="eastAsia" w:ascii="宋体" w:hAnsi="宋体" w:cs="宋体"/>
                <w:color w:val="auto"/>
                <w:sz w:val="24"/>
                <w:lang w:val="en-US" w:eastAsia="zh-CN"/>
              </w:rPr>
              <w:t>18869227177</w:t>
            </w:r>
          </w:p>
        </w:tc>
      </w:tr>
      <w:tr w14:paraId="4B82B4D8">
        <w:tblPrEx>
          <w:tblCellMar>
            <w:top w:w="0" w:type="dxa"/>
            <w:left w:w="0" w:type="dxa"/>
            <w:bottom w:w="0" w:type="dxa"/>
            <w:right w:w="0" w:type="dxa"/>
          </w:tblCellMar>
        </w:tblPrEx>
        <w:trPr>
          <w:trHeight w:val="1701"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6DB02A78">
            <w:pPr>
              <w:spacing w:line="360" w:lineRule="auto"/>
              <w:jc w:val="center"/>
              <w:rPr>
                <w:rFonts w:ascii="宋体" w:hAnsi="宋体" w:cs="宋体"/>
                <w:color w:val="auto"/>
                <w:sz w:val="24"/>
              </w:rPr>
            </w:pPr>
            <w:r>
              <w:rPr>
                <w:rFonts w:hint="eastAsia" w:ascii="宋体" w:hAnsi="宋体" w:cs="宋体"/>
                <w:color w:val="auto"/>
                <w:sz w:val="24"/>
              </w:rPr>
              <w:t>1.1.3</w:t>
            </w:r>
          </w:p>
        </w:tc>
        <w:tc>
          <w:tcPr>
            <w:tcW w:w="1638" w:type="dxa"/>
            <w:tcBorders>
              <w:top w:val="single" w:color="auto" w:sz="8" w:space="0"/>
              <w:left w:val="nil"/>
              <w:bottom w:val="single" w:color="auto" w:sz="8" w:space="0"/>
              <w:right w:val="single" w:color="auto" w:sz="8" w:space="0"/>
            </w:tcBorders>
            <w:vAlign w:val="center"/>
          </w:tcPr>
          <w:p w14:paraId="06C529E3">
            <w:pPr>
              <w:spacing w:line="360" w:lineRule="auto"/>
              <w:jc w:val="center"/>
              <w:rPr>
                <w:rFonts w:ascii="宋体" w:hAnsi="宋体" w:cs="宋体"/>
                <w:color w:val="auto"/>
                <w:sz w:val="24"/>
              </w:rPr>
            </w:pPr>
            <w:r>
              <w:rPr>
                <w:rFonts w:hint="eastAsia" w:ascii="宋体" w:hAnsi="宋体" w:cs="宋体"/>
                <w:color w:val="auto"/>
                <w:sz w:val="24"/>
              </w:rPr>
              <w:t>采购代理机构</w:t>
            </w:r>
          </w:p>
        </w:tc>
        <w:tc>
          <w:tcPr>
            <w:tcW w:w="7196" w:type="dxa"/>
            <w:tcBorders>
              <w:top w:val="single" w:color="auto" w:sz="8" w:space="0"/>
              <w:left w:val="nil"/>
              <w:bottom w:val="single" w:color="auto" w:sz="8" w:space="0"/>
              <w:right w:val="single" w:color="auto" w:sz="8" w:space="0"/>
            </w:tcBorders>
            <w:vAlign w:val="center"/>
          </w:tcPr>
          <w:p w14:paraId="2967940E">
            <w:pPr>
              <w:spacing w:line="360" w:lineRule="auto"/>
              <w:jc w:val="left"/>
              <w:rPr>
                <w:rFonts w:hint="eastAsia" w:ascii="宋体" w:hAnsi="宋体" w:eastAsia="宋体" w:cs="宋体"/>
                <w:color w:val="auto"/>
                <w:sz w:val="24"/>
                <w:lang w:eastAsia="zh-CN"/>
              </w:rPr>
            </w:pPr>
            <w:r>
              <w:rPr>
                <w:rFonts w:hint="eastAsia" w:ascii="宋体" w:hAnsi="宋体" w:cs="宋体"/>
                <w:color w:val="auto"/>
                <w:sz w:val="24"/>
              </w:rPr>
              <w:t>名称：</w:t>
            </w:r>
            <w:r>
              <w:rPr>
                <w:rFonts w:hint="eastAsia" w:ascii="宋体" w:hAnsi="宋体" w:cs="宋体"/>
                <w:color w:val="auto"/>
                <w:sz w:val="24"/>
                <w:lang w:eastAsia="zh-CN"/>
              </w:rPr>
              <w:t>德宏傲亿工程管理咨询有限公司</w:t>
            </w:r>
          </w:p>
          <w:p w14:paraId="6489DD4A">
            <w:pPr>
              <w:spacing w:line="360" w:lineRule="auto"/>
              <w:jc w:val="left"/>
              <w:rPr>
                <w:rFonts w:ascii="宋体" w:hAnsi="宋体" w:cs="宋体"/>
                <w:color w:val="auto"/>
                <w:sz w:val="24"/>
              </w:rPr>
            </w:pPr>
            <w:r>
              <w:rPr>
                <w:rFonts w:hint="eastAsia" w:ascii="宋体" w:hAnsi="宋体" w:cs="宋体"/>
                <w:color w:val="auto"/>
                <w:sz w:val="24"/>
              </w:rPr>
              <w:t>地址：</w:t>
            </w:r>
            <w:r>
              <w:rPr>
                <w:rFonts w:hint="eastAsia" w:ascii="宋体" w:hAnsi="宋体" w:cs="宋体"/>
                <w:color w:val="auto"/>
                <w:sz w:val="24"/>
                <w:lang w:eastAsia="zh-CN"/>
              </w:rPr>
              <w:t>瑞丽市</w:t>
            </w:r>
            <w:r>
              <w:rPr>
                <w:rFonts w:hint="eastAsia" w:ascii="宋体" w:hAnsi="宋体" w:cs="宋体"/>
                <w:color w:val="auto"/>
                <w:sz w:val="24"/>
                <w:lang w:val="en-US" w:eastAsia="zh-CN"/>
              </w:rPr>
              <w:t>瑞宏路86-15号</w:t>
            </w:r>
          </w:p>
          <w:p w14:paraId="2CDA9F14">
            <w:pPr>
              <w:spacing w:line="360" w:lineRule="auto"/>
              <w:jc w:val="left"/>
              <w:rPr>
                <w:rFonts w:hint="eastAsia" w:ascii="宋体" w:hAnsi="宋体" w:eastAsia="宋体" w:cs="宋体"/>
                <w:color w:val="auto"/>
                <w:sz w:val="24"/>
                <w:lang w:eastAsia="zh-CN"/>
              </w:rPr>
            </w:pPr>
            <w:r>
              <w:rPr>
                <w:rFonts w:hint="eastAsia" w:ascii="宋体" w:hAnsi="宋体" w:cs="宋体"/>
                <w:color w:val="auto"/>
                <w:sz w:val="24"/>
              </w:rPr>
              <w:t>联系人：</w:t>
            </w:r>
            <w:r>
              <w:rPr>
                <w:rFonts w:hint="eastAsia" w:ascii="宋体" w:hAnsi="宋体" w:cs="宋体"/>
                <w:color w:val="auto"/>
                <w:sz w:val="24"/>
                <w:lang w:val="en-US" w:eastAsia="zh-CN"/>
              </w:rPr>
              <w:t>张斌</w:t>
            </w:r>
          </w:p>
          <w:p w14:paraId="5372B82B">
            <w:pPr>
              <w:spacing w:line="360" w:lineRule="auto"/>
              <w:jc w:val="left"/>
              <w:rPr>
                <w:rFonts w:ascii="宋体" w:hAnsi="宋体" w:cs="宋体"/>
                <w:color w:val="auto"/>
                <w:sz w:val="24"/>
              </w:rPr>
            </w:pPr>
            <w:r>
              <w:rPr>
                <w:rFonts w:hint="eastAsia" w:ascii="宋体" w:hAnsi="宋体" w:cs="宋体"/>
                <w:color w:val="auto"/>
                <w:sz w:val="24"/>
              </w:rPr>
              <w:t>电话：</w:t>
            </w:r>
            <w:r>
              <w:rPr>
                <w:rFonts w:hint="eastAsia" w:ascii="宋体" w:hAnsi="宋体" w:cs="宋体"/>
                <w:color w:val="auto"/>
                <w:sz w:val="24"/>
                <w:lang w:val="en-US" w:eastAsia="zh-CN"/>
              </w:rPr>
              <w:t>18988239117</w:t>
            </w:r>
            <w:r>
              <w:rPr>
                <w:rFonts w:hint="eastAsia" w:ascii="宋体" w:hAnsi="宋体" w:cs="宋体"/>
                <w:color w:val="auto"/>
                <w:sz w:val="24"/>
              </w:rPr>
              <w:t>、0692-</w:t>
            </w:r>
            <w:r>
              <w:rPr>
                <w:rFonts w:hint="eastAsia" w:ascii="宋体" w:hAnsi="宋体" w:cs="宋体"/>
                <w:color w:val="auto"/>
                <w:sz w:val="24"/>
                <w:lang w:val="en-US" w:eastAsia="zh-CN"/>
              </w:rPr>
              <w:t>6634777</w:t>
            </w:r>
          </w:p>
        </w:tc>
      </w:tr>
      <w:tr w14:paraId="1031228E">
        <w:tblPrEx>
          <w:tblCellMar>
            <w:top w:w="0" w:type="dxa"/>
            <w:left w:w="0" w:type="dxa"/>
            <w:bottom w:w="0" w:type="dxa"/>
            <w:right w:w="0" w:type="dxa"/>
          </w:tblCellMar>
        </w:tblPrEx>
        <w:trPr>
          <w:trHeight w:val="680"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4532E991">
            <w:pPr>
              <w:spacing w:line="360" w:lineRule="auto"/>
              <w:jc w:val="center"/>
              <w:rPr>
                <w:rFonts w:ascii="宋体" w:hAnsi="宋体" w:cs="宋体"/>
                <w:color w:val="auto"/>
                <w:sz w:val="24"/>
              </w:rPr>
            </w:pPr>
            <w:r>
              <w:rPr>
                <w:rFonts w:hint="eastAsia" w:ascii="宋体" w:hAnsi="宋体" w:cs="宋体"/>
                <w:color w:val="auto"/>
                <w:sz w:val="24"/>
              </w:rPr>
              <w:t>1.1.4</w:t>
            </w:r>
          </w:p>
        </w:tc>
        <w:tc>
          <w:tcPr>
            <w:tcW w:w="1638" w:type="dxa"/>
            <w:tcBorders>
              <w:top w:val="single" w:color="auto" w:sz="8" w:space="0"/>
              <w:left w:val="nil"/>
              <w:bottom w:val="single" w:color="auto" w:sz="8" w:space="0"/>
              <w:right w:val="single" w:color="auto" w:sz="8" w:space="0"/>
            </w:tcBorders>
            <w:vAlign w:val="center"/>
          </w:tcPr>
          <w:p w14:paraId="0C4BE9EC">
            <w:pPr>
              <w:spacing w:line="360" w:lineRule="auto"/>
              <w:jc w:val="center"/>
              <w:rPr>
                <w:rFonts w:ascii="宋体" w:hAnsi="宋体" w:cs="宋体"/>
                <w:color w:val="auto"/>
                <w:sz w:val="24"/>
              </w:rPr>
            </w:pPr>
            <w:r>
              <w:rPr>
                <w:rFonts w:hint="eastAsia" w:ascii="宋体" w:hAnsi="宋体" w:cs="宋体"/>
                <w:color w:val="auto"/>
                <w:sz w:val="24"/>
              </w:rPr>
              <w:t>采购项目名称</w:t>
            </w:r>
          </w:p>
        </w:tc>
        <w:tc>
          <w:tcPr>
            <w:tcW w:w="7196" w:type="dxa"/>
            <w:tcBorders>
              <w:top w:val="single" w:color="auto" w:sz="8" w:space="0"/>
              <w:left w:val="nil"/>
              <w:bottom w:val="single" w:color="auto" w:sz="8" w:space="0"/>
              <w:right w:val="single" w:color="auto" w:sz="8" w:space="0"/>
            </w:tcBorders>
            <w:vAlign w:val="center"/>
          </w:tcPr>
          <w:p w14:paraId="666DC120">
            <w:pPr>
              <w:spacing w:line="380" w:lineRule="exact"/>
              <w:rPr>
                <w:rFonts w:hint="eastAsia" w:ascii="宋体" w:hAnsi="宋体" w:eastAsia="宋体" w:cs="宋体"/>
                <w:color w:val="auto"/>
                <w:sz w:val="24"/>
                <w:lang w:eastAsia="zh-CN"/>
              </w:rPr>
            </w:pPr>
            <w:r>
              <w:rPr>
                <w:rFonts w:hint="eastAsia" w:ascii="宋体" w:hAnsi="宋体" w:cs="宋体"/>
                <w:color w:val="auto"/>
                <w:sz w:val="24"/>
                <w:lang w:eastAsia="zh-CN"/>
              </w:rPr>
              <w:t>交管大队瑞丽市区货车入城禁、限行管控设备项目</w:t>
            </w:r>
          </w:p>
        </w:tc>
      </w:tr>
      <w:tr w14:paraId="6E7D5926">
        <w:tblPrEx>
          <w:tblCellMar>
            <w:top w:w="0" w:type="dxa"/>
            <w:left w:w="0" w:type="dxa"/>
            <w:bottom w:w="0" w:type="dxa"/>
            <w:right w:w="0" w:type="dxa"/>
          </w:tblCellMar>
        </w:tblPrEx>
        <w:trPr>
          <w:trHeight w:val="96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501CA6B4">
            <w:pPr>
              <w:spacing w:line="360" w:lineRule="auto"/>
              <w:jc w:val="center"/>
              <w:rPr>
                <w:rFonts w:ascii="宋体" w:hAnsi="宋体" w:cs="宋体"/>
                <w:color w:val="auto"/>
                <w:sz w:val="24"/>
              </w:rPr>
            </w:pPr>
            <w:r>
              <w:rPr>
                <w:rFonts w:hint="eastAsia" w:ascii="宋体" w:hAnsi="宋体" w:cs="宋体"/>
                <w:color w:val="auto"/>
                <w:sz w:val="24"/>
              </w:rPr>
              <w:t>1.2.1</w:t>
            </w:r>
          </w:p>
        </w:tc>
        <w:tc>
          <w:tcPr>
            <w:tcW w:w="1638" w:type="dxa"/>
            <w:tcBorders>
              <w:top w:val="single" w:color="auto" w:sz="8" w:space="0"/>
              <w:left w:val="nil"/>
              <w:bottom w:val="single" w:color="auto" w:sz="8" w:space="0"/>
              <w:right w:val="single" w:color="auto" w:sz="8" w:space="0"/>
            </w:tcBorders>
            <w:vAlign w:val="center"/>
          </w:tcPr>
          <w:p w14:paraId="07039F70">
            <w:pPr>
              <w:spacing w:line="360" w:lineRule="auto"/>
              <w:jc w:val="center"/>
              <w:rPr>
                <w:rFonts w:ascii="宋体" w:hAnsi="宋体" w:cs="宋体"/>
                <w:color w:val="auto"/>
                <w:sz w:val="24"/>
              </w:rPr>
            </w:pPr>
            <w:r>
              <w:rPr>
                <w:rFonts w:hint="eastAsia" w:ascii="宋体" w:hAnsi="宋体" w:cs="宋体"/>
                <w:color w:val="auto"/>
                <w:sz w:val="24"/>
              </w:rPr>
              <w:t>资金来源及</w:t>
            </w:r>
          </w:p>
          <w:p w14:paraId="12D7ADC5">
            <w:pPr>
              <w:spacing w:line="360" w:lineRule="auto"/>
              <w:jc w:val="center"/>
              <w:rPr>
                <w:rFonts w:ascii="宋体" w:hAnsi="宋体" w:cs="宋体"/>
                <w:color w:val="auto"/>
                <w:sz w:val="24"/>
              </w:rPr>
            </w:pPr>
            <w:r>
              <w:rPr>
                <w:rFonts w:hint="eastAsia" w:ascii="宋体" w:hAnsi="宋体" w:cs="宋体"/>
                <w:color w:val="auto"/>
                <w:sz w:val="24"/>
              </w:rPr>
              <w:t>落实情况</w:t>
            </w:r>
          </w:p>
        </w:tc>
        <w:tc>
          <w:tcPr>
            <w:tcW w:w="7196" w:type="dxa"/>
            <w:tcBorders>
              <w:top w:val="single" w:color="auto" w:sz="8" w:space="0"/>
              <w:left w:val="nil"/>
              <w:bottom w:val="single" w:color="auto" w:sz="8" w:space="0"/>
              <w:right w:val="single" w:color="auto" w:sz="8" w:space="0"/>
            </w:tcBorders>
            <w:vAlign w:val="center"/>
          </w:tcPr>
          <w:p w14:paraId="043EF60D">
            <w:pPr>
              <w:spacing w:line="360" w:lineRule="auto"/>
              <w:jc w:val="left"/>
              <w:rPr>
                <w:rFonts w:ascii="宋体" w:hAnsi="宋体" w:cs="宋体"/>
                <w:color w:val="auto"/>
                <w:sz w:val="24"/>
              </w:rPr>
            </w:pPr>
            <w:r>
              <w:rPr>
                <w:rFonts w:hint="eastAsia" w:ascii="宋体" w:hAnsi="宋体" w:cs="宋体"/>
                <w:color w:val="auto"/>
                <w:sz w:val="24"/>
              </w:rPr>
              <w:t>财政资金，已落实</w:t>
            </w:r>
          </w:p>
        </w:tc>
      </w:tr>
      <w:tr w14:paraId="33D3CCC2">
        <w:tblPrEx>
          <w:tblCellMar>
            <w:top w:w="0" w:type="dxa"/>
            <w:left w:w="0" w:type="dxa"/>
            <w:bottom w:w="0" w:type="dxa"/>
            <w:right w:w="0" w:type="dxa"/>
          </w:tblCellMar>
        </w:tblPrEx>
        <w:trPr>
          <w:trHeight w:val="680"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431BB91E">
            <w:pPr>
              <w:spacing w:line="360" w:lineRule="auto"/>
              <w:jc w:val="center"/>
              <w:rPr>
                <w:rFonts w:ascii="宋体" w:hAnsi="宋体" w:cs="宋体"/>
                <w:color w:val="auto"/>
                <w:sz w:val="24"/>
              </w:rPr>
            </w:pPr>
            <w:r>
              <w:rPr>
                <w:rFonts w:hint="eastAsia" w:ascii="宋体" w:hAnsi="宋体" w:cs="宋体"/>
                <w:color w:val="auto"/>
                <w:sz w:val="24"/>
              </w:rPr>
              <w:t>1.2.2</w:t>
            </w:r>
          </w:p>
        </w:tc>
        <w:tc>
          <w:tcPr>
            <w:tcW w:w="1638" w:type="dxa"/>
            <w:tcBorders>
              <w:top w:val="single" w:color="auto" w:sz="8" w:space="0"/>
              <w:left w:val="nil"/>
              <w:bottom w:val="single" w:color="auto" w:sz="8" w:space="0"/>
              <w:right w:val="single" w:color="auto" w:sz="8" w:space="0"/>
            </w:tcBorders>
            <w:vAlign w:val="center"/>
          </w:tcPr>
          <w:p w14:paraId="4396F235">
            <w:pPr>
              <w:spacing w:line="360" w:lineRule="auto"/>
              <w:jc w:val="center"/>
              <w:rPr>
                <w:rFonts w:ascii="宋体" w:hAnsi="宋体" w:cs="宋体"/>
                <w:color w:val="auto"/>
                <w:sz w:val="24"/>
              </w:rPr>
            </w:pPr>
            <w:r>
              <w:rPr>
                <w:rFonts w:hint="eastAsia" w:ascii="宋体" w:hAnsi="宋体" w:cs="宋体"/>
                <w:color w:val="auto"/>
                <w:sz w:val="24"/>
              </w:rPr>
              <w:t>预算金额</w:t>
            </w:r>
          </w:p>
        </w:tc>
        <w:tc>
          <w:tcPr>
            <w:tcW w:w="7196" w:type="dxa"/>
            <w:tcBorders>
              <w:top w:val="single" w:color="auto" w:sz="8" w:space="0"/>
              <w:left w:val="nil"/>
              <w:bottom w:val="single" w:color="auto" w:sz="8" w:space="0"/>
              <w:right w:val="single" w:color="auto" w:sz="8" w:space="0"/>
            </w:tcBorders>
            <w:vAlign w:val="center"/>
          </w:tcPr>
          <w:p w14:paraId="61DEA3FC">
            <w:pPr>
              <w:spacing w:line="380" w:lineRule="exact"/>
              <w:rPr>
                <w:rFonts w:ascii="宋体" w:hAnsi="宋体" w:cs="宋体"/>
                <w:color w:val="auto"/>
                <w:sz w:val="24"/>
              </w:rPr>
            </w:pPr>
            <w:r>
              <w:rPr>
                <w:rFonts w:hint="eastAsia" w:ascii="宋体" w:hAnsi="宋体" w:cs="宋体"/>
                <w:color w:val="auto"/>
                <w:sz w:val="24"/>
                <w:lang w:val="en-US" w:eastAsia="zh-CN"/>
              </w:rPr>
              <w:t>3200000</w:t>
            </w:r>
            <w:r>
              <w:rPr>
                <w:rFonts w:hint="eastAsia" w:ascii="宋体" w:hAnsi="宋体" w:cs="宋体"/>
                <w:color w:val="auto"/>
                <w:sz w:val="24"/>
              </w:rPr>
              <w:t>.00元</w:t>
            </w:r>
          </w:p>
        </w:tc>
      </w:tr>
      <w:tr w14:paraId="7ED22952">
        <w:tblPrEx>
          <w:tblCellMar>
            <w:top w:w="0" w:type="dxa"/>
            <w:left w:w="0" w:type="dxa"/>
            <w:bottom w:w="0" w:type="dxa"/>
            <w:right w:w="0" w:type="dxa"/>
          </w:tblCellMar>
        </w:tblPrEx>
        <w:trPr>
          <w:trHeight w:val="90"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069B729B">
            <w:pPr>
              <w:spacing w:line="360" w:lineRule="auto"/>
              <w:jc w:val="center"/>
              <w:rPr>
                <w:rFonts w:ascii="宋体" w:hAnsi="宋体" w:cs="宋体"/>
                <w:color w:val="auto"/>
                <w:sz w:val="24"/>
              </w:rPr>
            </w:pPr>
            <w:r>
              <w:rPr>
                <w:rFonts w:hint="eastAsia" w:ascii="宋体" w:hAnsi="宋体" w:cs="宋体"/>
                <w:color w:val="auto"/>
                <w:sz w:val="24"/>
              </w:rPr>
              <w:t>1.3.1</w:t>
            </w:r>
          </w:p>
        </w:tc>
        <w:tc>
          <w:tcPr>
            <w:tcW w:w="1638" w:type="dxa"/>
            <w:tcBorders>
              <w:top w:val="single" w:color="auto" w:sz="8" w:space="0"/>
              <w:left w:val="nil"/>
              <w:bottom w:val="single" w:color="auto" w:sz="8" w:space="0"/>
              <w:right w:val="single" w:color="auto" w:sz="8" w:space="0"/>
            </w:tcBorders>
            <w:vAlign w:val="center"/>
          </w:tcPr>
          <w:p w14:paraId="35837539">
            <w:pPr>
              <w:spacing w:line="360" w:lineRule="auto"/>
              <w:jc w:val="center"/>
              <w:rPr>
                <w:rFonts w:ascii="宋体" w:hAnsi="宋体" w:cs="宋体"/>
                <w:color w:val="auto"/>
                <w:sz w:val="24"/>
              </w:rPr>
            </w:pPr>
            <w:r>
              <w:rPr>
                <w:rFonts w:hint="eastAsia" w:ascii="宋体" w:hAnsi="宋体" w:cs="宋体"/>
                <w:color w:val="auto"/>
                <w:sz w:val="24"/>
              </w:rPr>
              <w:t>采购内容</w:t>
            </w:r>
          </w:p>
        </w:tc>
        <w:tc>
          <w:tcPr>
            <w:tcW w:w="7196" w:type="dxa"/>
            <w:tcBorders>
              <w:top w:val="single" w:color="auto" w:sz="8" w:space="0"/>
              <w:left w:val="nil"/>
              <w:bottom w:val="single" w:color="auto" w:sz="8" w:space="0"/>
              <w:right w:val="single" w:color="auto" w:sz="8" w:space="0"/>
            </w:tcBorders>
            <w:vAlign w:val="center"/>
          </w:tcPr>
          <w:p w14:paraId="2C6C64C7">
            <w:pPr>
              <w:spacing w:line="360" w:lineRule="auto"/>
              <w:jc w:val="both"/>
              <w:rPr>
                <w:rFonts w:ascii="宋体" w:hAnsi="宋体" w:cs="宋体"/>
                <w:color w:val="auto"/>
                <w:sz w:val="24"/>
              </w:rPr>
            </w:pPr>
            <w:r>
              <w:rPr>
                <w:rFonts w:hint="eastAsia" w:ascii="宋体" w:hAnsi="宋体" w:eastAsia="宋体" w:cs="宋体"/>
                <w:color w:val="auto"/>
                <w:sz w:val="24"/>
              </w:rPr>
              <w:t>交通安全防控体系设备一批</w:t>
            </w:r>
            <w:r>
              <w:rPr>
                <w:rFonts w:hint="eastAsia" w:ascii="宋体" w:hAnsi="宋体" w:eastAsia="宋体" w:cs="宋体"/>
                <w:color w:val="auto"/>
                <w:sz w:val="24"/>
                <w:lang w:val="en-US" w:eastAsia="zh-CN"/>
              </w:rPr>
              <w:t>具体详见</w:t>
            </w:r>
            <w:r>
              <w:rPr>
                <w:rFonts w:hint="eastAsia" w:ascii="宋体" w:hAnsi="宋体" w:cs="宋体"/>
                <w:color w:val="auto"/>
                <w:sz w:val="24"/>
                <w:lang w:val="en-US" w:eastAsia="zh-CN"/>
              </w:rPr>
              <w:t>“第五章 采购需求”。</w:t>
            </w:r>
          </w:p>
        </w:tc>
      </w:tr>
      <w:tr w14:paraId="63FEC33A">
        <w:tblPrEx>
          <w:tblCellMar>
            <w:top w:w="0" w:type="dxa"/>
            <w:left w:w="0" w:type="dxa"/>
            <w:bottom w:w="0" w:type="dxa"/>
            <w:right w:w="0" w:type="dxa"/>
          </w:tblCellMar>
        </w:tblPrEx>
        <w:trPr>
          <w:trHeight w:val="964" w:hRule="exact"/>
          <w:jc w:val="center"/>
        </w:trPr>
        <w:tc>
          <w:tcPr>
            <w:tcW w:w="990" w:type="dxa"/>
            <w:tcBorders>
              <w:top w:val="single" w:color="auto" w:sz="8" w:space="0"/>
              <w:left w:val="single" w:color="auto" w:sz="8" w:space="0"/>
              <w:bottom w:val="single" w:color="auto" w:sz="8" w:space="0"/>
              <w:right w:val="single" w:color="auto" w:sz="8" w:space="0"/>
            </w:tcBorders>
            <w:vAlign w:val="center"/>
          </w:tcPr>
          <w:p w14:paraId="6143562F">
            <w:pPr>
              <w:spacing w:line="360" w:lineRule="auto"/>
              <w:jc w:val="center"/>
              <w:rPr>
                <w:rFonts w:ascii="宋体" w:hAnsi="宋体" w:cs="宋体"/>
                <w:color w:val="auto"/>
                <w:sz w:val="24"/>
              </w:rPr>
            </w:pPr>
            <w:r>
              <w:rPr>
                <w:rFonts w:hint="eastAsia" w:ascii="宋体" w:hAnsi="宋体" w:cs="宋体"/>
                <w:color w:val="auto"/>
                <w:sz w:val="24"/>
              </w:rPr>
              <w:t>1.3.2</w:t>
            </w:r>
          </w:p>
        </w:tc>
        <w:tc>
          <w:tcPr>
            <w:tcW w:w="1638" w:type="dxa"/>
            <w:tcBorders>
              <w:top w:val="single" w:color="auto" w:sz="8" w:space="0"/>
              <w:left w:val="nil"/>
              <w:bottom w:val="single" w:color="auto" w:sz="8" w:space="0"/>
              <w:right w:val="single" w:color="auto" w:sz="8" w:space="0"/>
            </w:tcBorders>
            <w:vAlign w:val="center"/>
          </w:tcPr>
          <w:p w14:paraId="65867D21">
            <w:pPr>
              <w:spacing w:line="360" w:lineRule="auto"/>
              <w:jc w:val="center"/>
              <w:rPr>
                <w:rFonts w:ascii="宋体" w:hAnsi="宋体" w:cs="宋体"/>
                <w:color w:val="auto"/>
                <w:sz w:val="24"/>
              </w:rPr>
            </w:pPr>
            <w:r>
              <w:rPr>
                <w:rFonts w:hint="eastAsia" w:ascii="宋体" w:hAnsi="宋体" w:cs="宋体"/>
                <w:color w:val="auto"/>
                <w:sz w:val="24"/>
              </w:rPr>
              <w:t>合同履行期限</w:t>
            </w:r>
          </w:p>
        </w:tc>
        <w:tc>
          <w:tcPr>
            <w:tcW w:w="7196" w:type="dxa"/>
            <w:tcBorders>
              <w:top w:val="single" w:color="auto" w:sz="8" w:space="0"/>
              <w:left w:val="nil"/>
              <w:bottom w:val="single" w:color="auto" w:sz="8" w:space="0"/>
              <w:right w:val="single" w:color="auto" w:sz="8" w:space="0"/>
            </w:tcBorders>
            <w:vAlign w:val="center"/>
          </w:tcPr>
          <w:p w14:paraId="6909F327">
            <w:pPr>
              <w:spacing w:line="360" w:lineRule="auto"/>
              <w:jc w:val="left"/>
              <w:rPr>
                <w:rFonts w:ascii="宋体" w:hAnsi="宋体" w:cs="宋体"/>
                <w:color w:val="auto"/>
                <w:sz w:val="24"/>
              </w:rPr>
            </w:pPr>
            <w:r>
              <w:rPr>
                <w:rFonts w:hint="eastAsia" w:ascii="宋体" w:hAnsi="宋体" w:cs="宋体"/>
                <w:color w:val="auto"/>
                <w:sz w:val="24"/>
              </w:rPr>
              <w:t>合同签</w:t>
            </w:r>
            <w:r>
              <w:rPr>
                <w:rFonts w:hint="eastAsia" w:ascii="宋体" w:hAnsi="宋体" w:cs="宋体"/>
                <w:color w:val="auto"/>
                <w:sz w:val="24"/>
                <w:highlight w:val="none"/>
              </w:rPr>
              <w:t>订后</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0日历天内</w:t>
            </w:r>
            <w:r>
              <w:rPr>
                <w:rFonts w:hint="eastAsia" w:ascii="宋体" w:hAnsi="宋体" w:cs="宋体"/>
                <w:color w:val="auto"/>
                <w:sz w:val="24"/>
              </w:rPr>
              <w:t>完成安装调试，调试运行后运维服务期</w:t>
            </w:r>
            <w:r>
              <w:rPr>
                <w:rFonts w:hint="eastAsia" w:ascii="宋体" w:hAnsi="宋体" w:cs="宋体"/>
                <w:color w:val="auto"/>
                <w:sz w:val="24"/>
                <w:lang w:eastAsia="zh-CN"/>
              </w:rPr>
              <w:t>五年</w:t>
            </w:r>
            <w:r>
              <w:rPr>
                <w:rFonts w:hint="eastAsia" w:ascii="宋体" w:hAnsi="宋体" w:cs="宋体"/>
                <w:color w:val="auto"/>
                <w:sz w:val="24"/>
              </w:rPr>
              <w:t>。</w:t>
            </w:r>
          </w:p>
        </w:tc>
      </w:tr>
      <w:tr w14:paraId="106A2587">
        <w:tblPrEx>
          <w:tblCellMar>
            <w:top w:w="0" w:type="dxa"/>
            <w:left w:w="0" w:type="dxa"/>
            <w:bottom w:w="0" w:type="dxa"/>
            <w:right w:w="0" w:type="dxa"/>
          </w:tblCellMar>
        </w:tblPrEx>
        <w:trPr>
          <w:trHeight w:val="964" w:hRule="exact"/>
          <w:jc w:val="center"/>
        </w:trPr>
        <w:tc>
          <w:tcPr>
            <w:tcW w:w="990" w:type="dxa"/>
            <w:tcBorders>
              <w:top w:val="single" w:color="auto" w:sz="8" w:space="0"/>
              <w:left w:val="single" w:color="auto" w:sz="8" w:space="0"/>
              <w:bottom w:val="single" w:color="auto" w:sz="8" w:space="0"/>
              <w:right w:val="single" w:color="auto" w:sz="8" w:space="0"/>
            </w:tcBorders>
            <w:vAlign w:val="center"/>
          </w:tcPr>
          <w:p w14:paraId="3D014A9F">
            <w:pPr>
              <w:spacing w:line="360" w:lineRule="auto"/>
              <w:jc w:val="center"/>
              <w:rPr>
                <w:rFonts w:ascii="宋体" w:hAnsi="宋体" w:cs="宋体"/>
                <w:color w:val="auto"/>
                <w:sz w:val="24"/>
              </w:rPr>
            </w:pPr>
            <w:r>
              <w:rPr>
                <w:rFonts w:hint="eastAsia" w:ascii="宋体" w:hAnsi="宋体" w:cs="宋体"/>
                <w:color w:val="auto"/>
                <w:sz w:val="24"/>
              </w:rPr>
              <w:t>1.3.3</w:t>
            </w:r>
          </w:p>
        </w:tc>
        <w:tc>
          <w:tcPr>
            <w:tcW w:w="1638" w:type="dxa"/>
            <w:tcBorders>
              <w:top w:val="single" w:color="auto" w:sz="8" w:space="0"/>
              <w:left w:val="nil"/>
              <w:bottom w:val="single" w:color="auto" w:sz="8" w:space="0"/>
              <w:right w:val="single" w:color="auto" w:sz="8" w:space="0"/>
            </w:tcBorders>
            <w:vAlign w:val="center"/>
          </w:tcPr>
          <w:p w14:paraId="15BFD0F6">
            <w:pPr>
              <w:spacing w:line="360" w:lineRule="auto"/>
              <w:jc w:val="center"/>
              <w:rPr>
                <w:rFonts w:ascii="宋体" w:hAnsi="宋体" w:cs="宋体"/>
                <w:color w:val="auto"/>
                <w:sz w:val="24"/>
              </w:rPr>
            </w:pPr>
            <w:r>
              <w:rPr>
                <w:rFonts w:hint="eastAsia" w:ascii="宋体" w:hAnsi="宋体" w:cs="宋体"/>
                <w:color w:val="auto"/>
                <w:sz w:val="24"/>
              </w:rPr>
              <w:t>质量要求</w:t>
            </w:r>
          </w:p>
        </w:tc>
        <w:tc>
          <w:tcPr>
            <w:tcW w:w="7196" w:type="dxa"/>
            <w:tcBorders>
              <w:top w:val="single" w:color="auto" w:sz="8" w:space="0"/>
              <w:left w:val="nil"/>
              <w:bottom w:val="single" w:color="auto" w:sz="8" w:space="0"/>
              <w:right w:val="single" w:color="auto" w:sz="8" w:space="0"/>
            </w:tcBorders>
            <w:vAlign w:val="center"/>
          </w:tcPr>
          <w:p w14:paraId="5E1D3007">
            <w:pPr>
              <w:spacing w:line="360" w:lineRule="auto"/>
              <w:jc w:val="left"/>
              <w:rPr>
                <w:rFonts w:ascii="宋体" w:hAnsi="宋体" w:cs="宋体"/>
                <w:color w:val="auto"/>
                <w:sz w:val="24"/>
              </w:rPr>
            </w:pPr>
            <w:r>
              <w:rPr>
                <w:rFonts w:hint="eastAsia" w:ascii="宋体" w:hAnsi="宋体" w:cs="宋体"/>
                <w:color w:val="auto"/>
                <w:sz w:val="24"/>
              </w:rPr>
              <w:t>产品及安装质量合格，达到国家及行业相关要求，一次性验收合格。</w:t>
            </w:r>
          </w:p>
        </w:tc>
      </w:tr>
      <w:tr w14:paraId="34877C3C">
        <w:tblPrEx>
          <w:tblCellMar>
            <w:top w:w="0" w:type="dxa"/>
            <w:left w:w="0" w:type="dxa"/>
            <w:bottom w:w="0" w:type="dxa"/>
            <w:right w:w="0" w:type="dxa"/>
          </w:tblCellMar>
        </w:tblPrEx>
        <w:trPr>
          <w:trHeight w:val="680" w:hRule="exact"/>
          <w:jc w:val="center"/>
        </w:trPr>
        <w:tc>
          <w:tcPr>
            <w:tcW w:w="990" w:type="dxa"/>
            <w:tcBorders>
              <w:top w:val="single" w:color="auto" w:sz="8" w:space="0"/>
              <w:left w:val="single" w:color="auto" w:sz="8" w:space="0"/>
              <w:bottom w:val="single" w:color="auto" w:sz="8" w:space="0"/>
              <w:right w:val="single" w:color="auto" w:sz="8" w:space="0"/>
            </w:tcBorders>
            <w:vAlign w:val="center"/>
          </w:tcPr>
          <w:p w14:paraId="7DE32E7F">
            <w:pPr>
              <w:spacing w:line="360" w:lineRule="auto"/>
              <w:jc w:val="center"/>
              <w:rPr>
                <w:rFonts w:ascii="宋体" w:hAnsi="宋体" w:cs="宋体"/>
                <w:color w:val="auto"/>
                <w:sz w:val="24"/>
              </w:rPr>
            </w:pPr>
            <w:r>
              <w:rPr>
                <w:rFonts w:hint="eastAsia" w:ascii="宋体" w:hAnsi="宋体" w:cs="宋体"/>
                <w:color w:val="auto"/>
                <w:sz w:val="24"/>
              </w:rPr>
              <w:t>1.3.4</w:t>
            </w:r>
          </w:p>
        </w:tc>
        <w:tc>
          <w:tcPr>
            <w:tcW w:w="1638" w:type="dxa"/>
            <w:tcBorders>
              <w:top w:val="single" w:color="auto" w:sz="8" w:space="0"/>
              <w:left w:val="nil"/>
              <w:bottom w:val="single" w:color="auto" w:sz="8" w:space="0"/>
              <w:right w:val="single" w:color="auto" w:sz="8" w:space="0"/>
            </w:tcBorders>
            <w:vAlign w:val="center"/>
          </w:tcPr>
          <w:p w14:paraId="0421D6D3">
            <w:pPr>
              <w:spacing w:line="360" w:lineRule="auto"/>
              <w:jc w:val="center"/>
              <w:rPr>
                <w:rFonts w:ascii="宋体" w:hAnsi="宋体" w:cs="宋体"/>
                <w:color w:val="auto"/>
                <w:sz w:val="24"/>
              </w:rPr>
            </w:pPr>
            <w:r>
              <w:rPr>
                <w:rFonts w:hint="eastAsia" w:ascii="宋体" w:hAnsi="宋体" w:cs="宋体"/>
                <w:color w:val="auto"/>
                <w:sz w:val="24"/>
              </w:rPr>
              <w:t>项目地点</w:t>
            </w:r>
          </w:p>
        </w:tc>
        <w:tc>
          <w:tcPr>
            <w:tcW w:w="7196" w:type="dxa"/>
            <w:tcBorders>
              <w:top w:val="single" w:color="auto" w:sz="8" w:space="0"/>
              <w:left w:val="nil"/>
              <w:bottom w:val="single" w:color="auto" w:sz="8" w:space="0"/>
              <w:right w:val="single" w:color="auto" w:sz="8" w:space="0"/>
            </w:tcBorders>
            <w:vAlign w:val="center"/>
          </w:tcPr>
          <w:p w14:paraId="7BB695A5">
            <w:pPr>
              <w:spacing w:line="360" w:lineRule="auto"/>
              <w:jc w:val="left"/>
              <w:rPr>
                <w:rFonts w:ascii="宋体" w:hAnsi="宋体" w:cs="宋体"/>
                <w:color w:val="auto"/>
                <w:sz w:val="24"/>
              </w:rPr>
            </w:pPr>
            <w:r>
              <w:rPr>
                <w:rFonts w:hint="eastAsia" w:ascii="宋体" w:hAnsi="宋体" w:cs="宋体"/>
                <w:color w:val="auto"/>
                <w:sz w:val="24"/>
              </w:rPr>
              <w:t>云南省德宏州</w:t>
            </w:r>
            <w:r>
              <w:rPr>
                <w:rFonts w:hint="eastAsia" w:ascii="宋体" w:hAnsi="宋体" w:cs="宋体"/>
                <w:color w:val="auto"/>
                <w:sz w:val="24"/>
                <w:lang w:val="en-US" w:eastAsia="zh-CN"/>
              </w:rPr>
              <w:t>瑞丽市</w:t>
            </w:r>
            <w:r>
              <w:rPr>
                <w:rFonts w:hint="eastAsia" w:ascii="宋体" w:hAnsi="宋体" w:cs="宋体"/>
                <w:color w:val="auto"/>
                <w:sz w:val="24"/>
              </w:rPr>
              <w:t>。</w:t>
            </w:r>
          </w:p>
        </w:tc>
      </w:tr>
      <w:tr w14:paraId="470903FF">
        <w:tblPrEx>
          <w:tblCellMar>
            <w:top w:w="0" w:type="dxa"/>
            <w:left w:w="0" w:type="dxa"/>
            <w:bottom w:w="0" w:type="dxa"/>
            <w:right w:w="0" w:type="dxa"/>
          </w:tblCellMar>
        </w:tblPrEx>
        <w:trPr>
          <w:trHeight w:val="549"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730E07DB">
            <w:pPr>
              <w:spacing w:line="360" w:lineRule="auto"/>
              <w:jc w:val="center"/>
              <w:rPr>
                <w:rFonts w:ascii="宋体" w:hAnsi="宋体" w:cs="宋体"/>
                <w:color w:val="auto"/>
                <w:sz w:val="24"/>
              </w:rPr>
            </w:pPr>
            <w:r>
              <w:rPr>
                <w:rFonts w:hint="eastAsia" w:ascii="宋体" w:hAnsi="宋体" w:cs="宋体"/>
                <w:color w:val="auto"/>
                <w:sz w:val="24"/>
              </w:rPr>
              <w:t>1.4.1</w:t>
            </w:r>
          </w:p>
        </w:tc>
        <w:tc>
          <w:tcPr>
            <w:tcW w:w="1638" w:type="dxa"/>
            <w:tcBorders>
              <w:top w:val="single" w:color="auto" w:sz="8" w:space="0"/>
              <w:left w:val="nil"/>
              <w:bottom w:val="single" w:color="auto" w:sz="8" w:space="0"/>
              <w:right w:val="single" w:color="auto" w:sz="8" w:space="0"/>
            </w:tcBorders>
            <w:vAlign w:val="center"/>
          </w:tcPr>
          <w:p w14:paraId="26BB067E">
            <w:pPr>
              <w:spacing w:line="360" w:lineRule="auto"/>
              <w:jc w:val="center"/>
              <w:rPr>
                <w:rFonts w:ascii="宋体" w:hAnsi="宋体" w:cs="宋体"/>
                <w:color w:val="auto"/>
                <w:sz w:val="24"/>
              </w:rPr>
            </w:pPr>
            <w:r>
              <w:rPr>
                <w:rFonts w:hint="eastAsia" w:ascii="宋体" w:hAnsi="宋体" w:cs="宋体"/>
                <w:color w:val="auto"/>
                <w:sz w:val="24"/>
              </w:rPr>
              <w:t>投标人资格</w:t>
            </w:r>
          </w:p>
          <w:p w14:paraId="7E42EBE1">
            <w:pPr>
              <w:spacing w:line="360" w:lineRule="auto"/>
              <w:jc w:val="center"/>
              <w:rPr>
                <w:rFonts w:ascii="宋体" w:hAnsi="宋体" w:cs="宋体"/>
                <w:color w:val="auto"/>
                <w:sz w:val="24"/>
              </w:rPr>
            </w:pPr>
            <w:r>
              <w:rPr>
                <w:rFonts w:hint="eastAsia" w:ascii="宋体" w:hAnsi="宋体" w:cs="宋体"/>
                <w:color w:val="auto"/>
                <w:sz w:val="24"/>
              </w:rPr>
              <w:t>要求</w:t>
            </w:r>
          </w:p>
        </w:tc>
        <w:tc>
          <w:tcPr>
            <w:tcW w:w="7196" w:type="dxa"/>
            <w:tcBorders>
              <w:top w:val="single" w:color="auto" w:sz="8" w:space="0"/>
              <w:left w:val="nil"/>
              <w:bottom w:val="single" w:color="auto" w:sz="8" w:space="0"/>
              <w:right w:val="single" w:color="auto" w:sz="8" w:space="0"/>
            </w:tcBorders>
            <w:vAlign w:val="center"/>
          </w:tcPr>
          <w:p w14:paraId="18020535">
            <w:pPr>
              <w:pStyle w:val="23"/>
              <w:spacing w:after="0" w:line="500" w:lineRule="exact"/>
              <w:ind w:left="0" w:leftChars="0" w:firstLine="0" w:firstLineChars="0"/>
              <w:rPr>
                <w:rFonts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w:t>
            </w:r>
          </w:p>
          <w:p w14:paraId="7C748191">
            <w:pPr>
              <w:pStyle w:val="23"/>
              <w:spacing w:after="0" w:line="500" w:lineRule="exact"/>
              <w:ind w:left="0" w:leftChars="0" w:firstLine="0" w:firstLineChars="0"/>
              <w:rPr>
                <w:rFonts w:ascii="宋体" w:hAnsi="宋体" w:eastAsia="宋体" w:cs="宋体"/>
                <w:color w:val="auto"/>
                <w:sz w:val="24"/>
                <w:szCs w:val="24"/>
              </w:rPr>
            </w:pPr>
            <w:r>
              <w:rPr>
                <w:rFonts w:hint="eastAsia" w:ascii="宋体" w:hAnsi="宋体" w:eastAsia="宋体" w:cs="宋体"/>
                <w:color w:val="auto"/>
                <w:sz w:val="24"/>
                <w:szCs w:val="24"/>
              </w:rPr>
              <w:t>（1）具有独立承担民事责任的能力：提供自然人有效身份证明或法人或者其他组织有效的营业执照等证明文件；</w:t>
            </w:r>
          </w:p>
          <w:p w14:paraId="65AC5FA9">
            <w:pPr>
              <w:pStyle w:val="23"/>
              <w:spacing w:after="0" w:line="500" w:lineRule="exact"/>
              <w:ind w:left="0" w:leftChars="0" w:firstLine="0" w:firstLineChars="0"/>
              <w:rPr>
                <w:rFonts w:ascii="宋体" w:hAnsi="宋体" w:eastAsia="宋体" w:cs="宋体"/>
                <w:color w:val="auto"/>
                <w:sz w:val="24"/>
                <w:szCs w:val="24"/>
              </w:rPr>
            </w:pPr>
            <w:r>
              <w:rPr>
                <w:rFonts w:hint="eastAsia" w:ascii="宋体" w:hAnsi="宋体" w:eastAsia="宋体" w:cs="宋体"/>
                <w:color w:val="auto"/>
                <w:sz w:val="24"/>
                <w:szCs w:val="24"/>
              </w:rPr>
              <w:t>（2）具有良好的商业信誉和健全的财务会计制度：</w:t>
            </w:r>
          </w:p>
          <w:p w14:paraId="7E5DF0A1">
            <w:pPr>
              <w:pStyle w:val="23"/>
              <w:spacing w:after="0" w:line="500" w:lineRule="exact"/>
              <w:ind w:left="0" w:leftChars="0" w:firstLine="0" w:firstLineChars="0"/>
              <w:rPr>
                <w:rFonts w:ascii="宋体" w:hAnsi="宋体" w:eastAsia="宋体" w:cs="宋体"/>
                <w:color w:val="auto"/>
                <w:sz w:val="24"/>
                <w:szCs w:val="24"/>
              </w:rPr>
            </w:pPr>
            <w:r>
              <w:rPr>
                <w:rFonts w:hint="eastAsia" w:ascii="宋体" w:hAnsi="宋体" w:eastAsia="宋体" w:cs="宋体"/>
                <w:color w:val="auto"/>
                <w:sz w:val="24"/>
                <w:szCs w:val="24"/>
              </w:rPr>
              <w:t>良好的商业信誉：①供应商应在信用中国（www.creditchina.gov.cn）中未被列入失信被执行人；②供应商应在信用中国（www.creditchina.gov.cn）中未被列入重大税收违法失信主体；③供应商应在中国政府采购网(www.ccgp.gov.cn)中未被列入政府采购严重违法失信行为记录名单（备注：以上网站均由采购人或采购代理机构在开标后评标开始前查询，若供应商有失信行为，视为不满足资格要求，为无效投标）；</w:t>
            </w:r>
          </w:p>
          <w:p w14:paraId="79BCDA58">
            <w:pPr>
              <w:pStyle w:val="23"/>
              <w:spacing w:after="0" w:line="500" w:lineRule="exact"/>
              <w:ind w:left="0" w:leftChars="0" w:firstLine="0" w:firstLineChars="0"/>
              <w:rPr>
                <w:rFonts w:ascii="宋体" w:hAnsi="宋体" w:eastAsia="宋体" w:cs="宋体"/>
                <w:color w:val="auto"/>
                <w:sz w:val="24"/>
                <w:szCs w:val="24"/>
              </w:rPr>
            </w:pPr>
            <w:r>
              <w:rPr>
                <w:rFonts w:hint="eastAsia" w:ascii="宋体" w:hAnsi="宋体" w:eastAsia="宋体" w:cs="宋体"/>
                <w:color w:val="auto"/>
                <w:sz w:val="24"/>
                <w:szCs w:val="24"/>
              </w:rPr>
              <w:t>健全的财务会计制度（内容可为以下</w:t>
            </w:r>
            <w:r>
              <w:rPr>
                <w:rFonts w:hint="eastAsia" w:ascii="宋体" w:hAnsi="宋体" w:eastAsia="宋体" w:cs="宋体"/>
                <w:color w:val="auto"/>
                <w:sz w:val="24"/>
                <w:szCs w:val="24"/>
                <w:lang w:eastAsia="zh-CN"/>
              </w:rPr>
              <w:t>二者之一</w:t>
            </w:r>
            <w:r>
              <w:rPr>
                <w:rFonts w:hint="eastAsia" w:ascii="宋体" w:hAnsi="宋体" w:eastAsia="宋体" w:cs="宋体"/>
                <w:color w:val="auto"/>
                <w:sz w:val="24"/>
                <w:szCs w:val="24"/>
              </w:rPr>
              <w:t>）：①提供202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年经第三方审计机构审计的财务状况报告（包括资产负债表、利润表、现金流量表），成立不满1年的供应商提供自成立至今的财务报表(包括资产负债表、利润表、现金流量表)；②提供基本开户银行出具的资信证明；</w:t>
            </w:r>
          </w:p>
          <w:p w14:paraId="18C39C8D">
            <w:pPr>
              <w:pStyle w:val="23"/>
              <w:spacing w:after="0" w:line="500" w:lineRule="exact"/>
              <w:ind w:left="0" w:leftChars="0" w:firstLine="0" w:firstLineChars="0"/>
              <w:rPr>
                <w:rFonts w:ascii="宋体" w:hAnsi="宋体" w:eastAsia="宋体" w:cs="宋体"/>
                <w:color w:val="auto"/>
                <w:sz w:val="24"/>
                <w:szCs w:val="24"/>
              </w:rPr>
            </w:pPr>
            <w:r>
              <w:rPr>
                <w:rFonts w:hint="eastAsia" w:ascii="宋体" w:hAnsi="宋体" w:eastAsia="宋体" w:cs="宋体"/>
                <w:color w:val="auto"/>
                <w:sz w:val="24"/>
                <w:szCs w:val="24"/>
              </w:rPr>
              <w:t>（3）具有履行合同所必需的设备和专业技术能力：提供相关证明材料或书面声明；</w:t>
            </w:r>
          </w:p>
          <w:p w14:paraId="43924381">
            <w:pPr>
              <w:pStyle w:val="23"/>
              <w:spacing w:after="0" w:line="500" w:lineRule="exact"/>
              <w:ind w:left="0" w:leftChars="0" w:firstLine="0" w:firstLineChars="0"/>
              <w:rPr>
                <w:rFonts w:ascii="宋体" w:hAnsi="宋体" w:eastAsia="宋体" w:cs="宋体"/>
                <w:color w:val="auto"/>
                <w:sz w:val="24"/>
                <w:szCs w:val="24"/>
              </w:rPr>
            </w:pPr>
            <w:r>
              <w:rPr>
                <w:rFonts w:hint="eastAsia" w:ascii="宋体" w:hAnsi="宋体" w:eastAsia="宋体" w:cs="宋体"/>
                <w:color w:val="auto"/>
                <w:sz w:val="24"/>
                <w:szCs w:val="24"/>
              </w:rPr>
              <w:t>（4）具有依法缴纳税收和社会保障资金的良好记录：提供202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年1月至今任意1个月依法缴纳税收和缴纳社会保障资金的证明（成立未满1年的提供成立以来的税收和社会保障资金缴纳凭证或相关情况说明；依法免税或不需要缴纳社会保障资金的投标人，应提供相应文件证明其依法免税或不需要缴纳社会保障资金）；</w:t>
            </w:r>
          </w:p>
          <w:p w14:paraId="589E994B">
            <w:pPr>
              <w:pStyle w:val="23"/>
              <w:spacing w:after="0" w:line="500" w:lineRule="exact"/>
              <w:ind w:left="0" w:leftChars="0" w:firstLine="0" w:firstLineChars="0"/>
              <w:rPr>
                <w:rFonts w:ascii="宋体" w:hAnsi="宋体" w:eastAsia="宋体" w:cs="宋体"/>
                <w:color w:val="auto"/>
                <w:sz w:val="24"/>
                <w:szCs w:val="24"/>
              </w:rPr>
            </w:pPr>
            <w:r>
              <w:rPr>
                <w:rFonts w:hint="eastAsia" w:ascii="宋体" w:hAnsi="宋体" w:eastAsia="宋体" w:cs="宋体"/>
                <w:color w:val="auto"/>
                <w:sz w:val="24"/>
                <w:szCs w:val="24"/>
              </w:rPr>
              <w:t>（5）参与本次政府采购活动前</w:t>
            </w:r>
            <w:r>
              <w:rPr>
                <w:rFonts w:hint="eastAsia" w:ascii="宋体" w:hAnsi="宋体" w:eastAsia="宋体" w:cs="宋体"/>
                <w:color w:val="auto"/>
                <w:sz w:val="24"/>
                <w:szCs w:val="24"/>
                <w:lang w:eastAsia="zh-CN"/>
              </w:rPr>
              <w:t>五年</w:t>
            </w:r>
            <w:r>
              <w:rPr>
                <w:rFonts w:hint="eastAsia" w:ascii="宋体" w:hAnsi="宋体" w:eastAsia="宋体" w:cs="宋体"/>
                <w:color w:val="auto"/>
                <w:sz w:val="24"/>
                <w:szCs w:val="24"/>
              </w:rPr>
              <w:t>内，在经营活动中没有重大违法记录：提供参加本次政府采购活动前</w:t>
            </w:r>
            <w:r>
              <w:rPr>
                <w:rFonts w:hint="eastAsia" w:ascii="宋体" w:hAnsi="宋体" w:eastAsia="宋体" w:cs="宋体"/>
                <w:color w:val="auto"/>
                <w:sz w:val="24"/>
                <w:szCs w:val="24"/>
                <w:lang w:eastAsia="zh-CN"/>
              </w:rPr>
              <w:t>五年</w:t>
            </w:r>
            <w:r>
              <w:rPr>
                <w:rFonts w:hint="eastAsia" w:ascii="宋体" w:hAnsi="宋体" w:eastAsia="宋体" w:cs="宋体"/>
                <w:color w:val="auto"/>
                <w:sz w:val="24"/>
                <w:szCs w:val="24"/>
              </w:rPr>
              <w:t>内在经营活动中没有重大违法记录的书面声明；</w:t>
            </w:r>
          </w:p>
          <w:p w14:paraId="0B4F2773">
            <w:pPr>
              <w:pStyle w:val="23"/>
              <w:spacing w:after="0" w:line="500" w:lineRule="exact"/>
              <w:ind w:left="0" w:leftChars="0" w:firstLine="0" w:firstLineChars="0"/>
              <w:rPr>
                <w:rFonts w:ascii="宋体" w:hAnsi="宋体" w:eastAsia="宋体" w:cs="宋体"/>
                <w:color w:val="auto"/>
                <w:sz w:val="24"/>
                <w:szCs w:val="24"/>
              </w:rPr>
            </w:pPr>
            <w:r>
              <w:rPr>
                <w:rFonts w:hint="eastAsia" w:ascii="宋体" w:hAnsi="宋体" w:eastAsia="宋体" w:cs="宋体"/>
                <w:color w:val="auto"/>
                <w:sz w:val="24"/>
                <w:szCs w:val="24"/>
              </w:rPr>
              <w:t>（6）法律、行政法规规定的其他条件：单位负责人为同一人或者存在直接控股、管理关系的不同供应商，不得参加同一合同项下的政府采购活动。</w:t>
            </w:r>
          </w:p>
          <w:p w14:paraId="21EF833A">
            <w:pPr>
              <w:pStyle w:val="23"/>
              <w:spacing w:after="0" w:line="500" w:lineRule="exact"/>
              <w:ind w:left="0" w:leftChars="0" w:firstLine="0" w:firstLineChars="0"/>
              <w:rPr>
                <w:rFonts w:ascii="宋体" w:hAnsi="宋体" w:eastAsia="宋体" w:cs="宋体"/>
                <w:color w:val="auto"/>
                <w:sz w:val="24"/>
                <w:szCs w:val="24"/>
              </w:rPr>
            </w:pPr>
            <w:r>
              <w:rPr>
                <w:rFonts w:hint="eastAsia" w:ascii="宋体" w:hAnsi="宋体" w:eastAsia="宋体" w:cs="宋体"/>
                <w:color w:val="auto"/>
                <w:sz w:val="24"/>
                <w:szCs w:val="24"/>
              </w:rPr>
              <w:t>2.落实政府采购政策需满足的资格要求：</w:t>
            </w:r>
          </w:p>
          <w:p w14:paraId="6A3147CA">
            <w:pPr>
              <w:pStyle w:val="23"/>
              <w:spacing w:after="0" w:line="500" w:lineRule="exact"/>
              <w:ind w:left="0" w:leftChars="0" w:firstLine="0" w:firstLineChars="0"/>
              <w:rPr>
                <w:rFonts w:ascii="宋体" w:hAnsi="宋体" w:eastAsia="宋体" w:cs="宋体"/>
                <w:color w:val="auto"/>
                <w:sz w:val="24"/>
                <w:szCs w:val="24"/>
              </w:rPr>
            </w:pPr>
            <w:r>
              <w:rPr>
                <w:rFonts w:hint="eastAsia" w:ascii="宋体" w:hAnsi="宋体" w:eastAsia="宋体" w:cs="宋体"/>
                <w:color w:val="auto"/>
                <w:sz w:val="24"/>
                <w:szCs w:val="24"/>
              </w:rPr>
              <w:t>（1）本项目不属于专门面向中小企业采购的项目；</w:t>
            </w:r>
          </w:p>
          <w:p w14:paraId="3466281E">
            <w:pPr>
              <w:pStyle w:val="23"/>
              <w:spacing w:after="0" w:line="500" w:lineRule="exact"/>
              <w:ind w:left="0" w:leftChars="0" w:firstLine="0" w:firstLineChars="0"/>
              <w:rPr>
                <w:rFonts w:ascii="宋体" w:hAnsi="宋体" w:eastAsia="宋体" w:cs="宋体"/>
                <w:color w:val="auto"/>
                <w:sz w:val="24"/>
                <w:szCs w:val="24"/>
              </w:rPr>
            </w:pPr>
            <w:r>
              <w:rPr>
                <w:rFonts w:hint="eastAsia" w:ascii="宋体" w:hAnsi="宋体" w:eastAsia="宋体" w:cs="宋体"/>
                <w:color w:val="auto"/>
                <w:sz w:val="24"/>
                <w:szCs w:val="24"/>
              </w:rPr>
              <w:t>（2）本项目需要落实的政府采购政策：《政府采购促进中小企业发展管理办法》（财库〔2020〕46号）、《关于进一步加大政府采购支持中小企业力度的通知》（财库〔2022〕19号）、《财政部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财库〔2014〕68号)、《关于印发环境标志产品政府采购品目清单的通知》（财库〔2019〕18号）、《关于印发节能产品政府采购品目清单的通知》（财库〔2019〕19号）、《财政部 发展改革委 生态环境部 市场监管总局 关于调整优化节能产品、环境标志产品政府采购执行机制的通知》（财库〔2019〕9号）等。</w:t>
            </w:r>
          </w:p>
          <w:p w14:paraId="25176A2B">
            <w:pPr>
              <w:pStyle w:val="23"/>
              <w:spacing w:after="0" w:line="484" w:lineRule="exact"/>
              <w:ind w:left="0" w:leftChars="0" w:firstLine="0" w:firstLineChars="0"/>
              <w:rPr>
                <w:rFonts w:ascii="宋体" w:hAnsi="宋体" w:eastAsia="宋体" w:cs="宋体"/>
                <w:color w:val="auto"/>
                <w:sz w:val="24"/>
                <w:szCs w:val="24"/>
              </w:rPr>
            </w:pPr>
            <w:r>
              <w:rPr>
                <w:rFonts w:hint="eastAsia" w:ascii="宋体" w:hAnsi="宋体" w:eastAsia="宋体" w:cs="宋体"/>
                <w:color w:val="auto"/>
                <w:sz w:val="24"/>
                <w:szCs w:val="24"/>
              </w:rPr>
              <w:t>3.本项目的特定资格要求：无。</w:t>
            </w:r>
          </w:p>
        </w:tc>
      </w:tr>
      <w:tr w14:paraId="5C3B11DE">
        <w:tblPrEx>
          <w:tblCellMar>
            <w:top w:w="0" w:type="dxa"/>
            <w:left w:w="0" w:type="dxa"/>
            <w:bottom w:w="0" w:type="dxa"/>
            <w:right w:w="0" w:type="dxa"/>
          </w:tblCellMar>
        </w:tblPrEx>
        <w:trPr>
          <w:trHeight w:val="96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0B30A55B">
            <w:pPr>
              <w:spacing w:line="360" w:lineRule="auto"/>
              <w:jc w:val="center"/>
              <w:rPr>
                <w:rFonts w:ascii="宋体" w:hAnsi="宋体" w:cs="宋体"/>
                <w:color w:val="auto"/>
                <w:sz w:val="24"/>
              </w:rPr>
            </w:pPr>
            <w:r>
              <w:rPr>
                <w:rFonts w:hint="eastAsia" w:ascii="宋体" w:hAnsi="宋体" w:cs="宋体"/>
                <w:color w:val="auto"/>
                <w:sz w:val="24"/>
              </w:rPr>
              <w:t>1.4.2</w:t>
            </w:r>
          </w:p>
        </w:tc>
        <w:tc>
          <w:tcPr>
            <w:tcW w:w="1638" w:type="dxa"/>
            <w:tcBorders>
              <w:top w:val="single" w:color="auto" w:sz="8" w:space="0"/>
              <w:left w:val="nil"/>
              <w:bottom w:val="single" w:color="auto" w:sz="8" w:space="0"/>
              <w:right w:val="single" w:color="auto" w:sz="8" w:space="0"/>
            </w:tcBorders>
            <w:vAlign w:val="center"/>
          </w:tcPr>
          <w:p w14:paraId="3FDF331A">
            <w:pPr>
              <w:spacing w:line="360" w:lineRule="auto"/>
              <w:jc w:val="center"/>
              <w:rPr>
                <w:rFonts w:ascii="宋体" w:hAnsi="宋体" w:cs="宋体"/>
                <w:color w:val="auto"/>
                <w:sz w:val="24"/>
              </w:rPr>
            </w:pPr>
            <w:r>
              <w:rPr>
                <w:rFonts w:hint="eastAsia" w:ascii="宋体" w:hAnsi="宋体" w:cs="宋体"/>
                <w:color w:val="auto"/>
                <w:sz w:val="24"/>
              </w:rPr>
              <w:t>是否接受联合体投标</w:t>
            </w:r>
          </w:p>
        </w:tc>
        <w:tc>
          <w:tcPr>
            <w:tcW w:w="7196" w:type="dxa"/>
            <w:tcBorders>
              <w:top w:val="single" w:color="auto" w:sz="8" w:space="0"/>
              <w:left w:val="nil"/>
              <w:bottom w:val="single" w:color="auto" w:sz="8" w:space="0"/>
              <w:right w:val="single" w:color="auto" w:sz="8" w:space="0"/>
            </w:tcBorders>
            <w:vAlign w:val="center"/>
          </w:tcPr>
          <w:p w14:paraId="3D670E2D">
            <w:pPr>
              <w:spacing w:line="360" w:lineRule="auto"/>
              <w:jc w:val="left"/>
              <w:rPr>
                <w:rFonts w:ascii="宋体" w:hAnsi="宋体" w:cs="宋体"/>
                <w:color w:val="auto"/>
                <w:sz w:val="24"/>
              </w:rPr>
            </w:pPr>
            <w:r>
              <w:rPr>
                <w:rFonts w:hint="eastAsia" w:ascii="宋体" w:hAnsi="宋体" w:cs="宋体"/>
                <w:color w:val="auto"/>
                <w:sz w:val="24"/>
              </w:rPr>
              <w:t>□接受</w:t>
            </w:r>
          </w:p>
          <w:p w14:paraId="6C7049C8">
            <w:pPr>
              <w:spacing w:line="360" w:lineRule="auto"/>
              <w:jc w:val="left"/>
              <w:rPr>
                <w:rFonts w:ascii="宋体" w:hAnsi="宋体" w:cs="宋体"/>
                <w:color w:val="auto"/>
                <w:sz w:val="24"/>
              </w:rPr>
            </w:pPr>
            <w:r>
              <w:rPr>
                <w:rFonts w:hint="eastAsia" w:ascii="宋体" w:hAnsi="宋体" w:cs="宋体"/>
                <w:color w:val="auto"/>
                <w:sz w:val="24"/>
              </w:rPr>
              <w:t>☑不接受</w:t>
            </w:r>
          </w:p>
        </w:tc>
      </w:tr>
      <w:tr w14:paraId="37B40141">
        <w:tblPrEx>
          <w:tblCellMar>
            <w:top w:w="0" w:type="dxa"/>
            <w:left w:w="0" w:type="dxa"/>
            <w:bottom w:w="0" w:type="dxa"/>
            <w:right w:w="0" w:type="dxa"/>
          </w:tblCellMar>
        </w:tblPrEx>
        <w:trPr>
          <w:trHeight w:val="181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1630F4ED">
            <w:pPr>
              <w:spacing w:line="360" w:lineRule="auto"/>
              <w:jc w:val="center"/>
              <w:rPr>
                <w:rFonts w:ascii="宋体" w:hAnsi="宋体" w:cs="宋体"/>
                <w:color w:val="auto"/>
                <w:sz w:val="24"/>
              </w:rPr>
            </w:pPr>
            <w:r>
              <w:rPr>
                <w:rFonts w:hint="eastAsia" w:ascii="宋体" w:hAnsi="宋体" w:cs="宋体"/>
                <w:color w:val="auto"/>
                <w:sz w:val="24"/>
              </w:rPr>
              <w:t>1.9.1</w:t>
            </w:r>
          </w:p>
        </w:tc>
        <w:tc>
          <w:tcPr>
            <w:tcW w:w="1638" w:type="dxa"/>
            <w:tcBorders>
              <w:top w:val="single" w:color="auto" w:sz="8" w:space="0"/>
              <w:left w:val="nil"/>
              <w:bottom w:val="single" w:color="auto" w:sz="8" w:space="0"/>
              <w:right w:val="single" w:color="auto" w:sz="8" w:space="0"/>
            </w:tcBorders>
            <w:vAlign w:val="center"/>
          </w:tcPr>
          <w:p w14:paraId="5B48C7F7">
            <w:pPr>
              <w:spacing w:line="360" w:lineRule="auto"/>
              <w:jc w:val="center"/>
              <w:rPr>
                <w:rFonts w:ascii="宋体" w:hAnsi="宋体" w:cs="宋体"/>
                <w:color w:val="auto"/>
                <w:sz w:val="24"/>
              </w:rPr>
            </w:pPr>
            <w:r>
              <w:rPr>
                <w:rFonts w:hint="eastAsia" w:ascii="宋体" w:hAnsi="宋体" w:cs="宋体"/>
                <w:color w:val="auto"/>
                <w:sz w:val="24"/>
              </w:rPr>
              <w:t>现场考察</w:t>
            </w:r>
          </w:p>
        </w:tc>
        <w:tc>
          <w:tcPr>
            <w:tcW w:w="7196" w:type="dxa"/>
            <w:tcBorders>
              <w:top w:val="single" w:color="auto" w:sz="8" w:space="0"/>
              <w:left w:val="nil"/>
              <w:bottom w:val="single" w:color="auto" w:sz="8" w:space="0"/>
              <w:right w:val="single" w:color="auto" w:sz="8" w:space="0"/>
            </w:tcBorders>
            <w:vAlign w:val="center"/>
          </w:tcPr>
          <w:p w14:paraId="7C627ECE">
            <w:pPr>
              <w:spacing w:line="360" w:lineRule="auto"/>
              <w:jc w:val="left"/>
              <w:rPr>
                <w:rFonts w:ascii="宋体" w:hAnsi="宋体" w:cs="宋体"/>
                <w:color w:val="auto"/>
                <w:sz w:val="24"/>
              </w:rPr>
            </w:pPr>
            <w:r>
              <w:rPr>
                <w:rFonts w:hint="eastAsia" w:ascii="宋体" w:hAnsi="宋体" w:cs="宋体"/>
                <w:color w:val="auto"/>
                <w:sz w:val="24"/>
              </w:rPr>
              <w:t>☑不组织</w:t>
            </w:r>
          </w:p>
          <w:p w14:paraId="0EF722DE">
            <w:pPr>
              <w:spacing w:line="360" w:lineRule="auto"/>
              <w:jc w:val="left"/>
              <w:rPr>
                <w:rFonts w:ascii="宋体" w:hAnsi="宋体" w:cs="宋体"/>
                <w:color w:val="auto"/>
                <w:sz w:val="24"/>
              </w:rPr>
            </w:pPr>
            <w:r>
              <w:rPr>
                <w:rFonts w:hint="eastAsia" w:ascii="宋体" w:hAnsi="宋体" w:cs="宋体"/>
                <w:color w:val="auto"/>
                <w:sz w:val="24"/>
              </w:rPr>
              <w:t>□组织。考察时间： 年  月  日（在招标文件提供期限截止后，开标前）</w:t>
            </w:r>
          </w:p>
          <w:p w14:paraId="5BBBF9CF">
            <w:pPr>
              <w:spacing w:line="360" w:lineRule="auto"/>
              <w:ind w:firstLine="960" w:firstLineChars="400"/>
              <w:jc w:val="left"/>
              <w:rPr>
                <w:rFonts w:ascii="宋体" w:hAnsi="宋体" w:cs="宋体"/>
                <w:color w:val="auto"/>
                <w:sz w:val="24"/>
              </w:rPr>
            </w:pPr>
            <w:r>
              <w:rPr>
                <w:rFonts w:hint="eastAsia" w:ascii="宋体" w:hAnsi="宋体" w:cs="宋体"/>
                <w:color w:val="auto"/>
                <w:sz w:val="24"/>
              </w:rPr>
              <w:t>考察集中地点： /</w:t>
            </w:r>
          </w:p>
        </w:tc>
      </w:tr>
      <w:tr w14:paraId="680BA990">
        <w:tblPrEx>
          <w:tblCellMar>
            <w:top w:w="0" w:type="dxa"/>
            <w:left w:w="0" w:type="dxa"/>
            <w:bottom w:w="0" w:type="dxa"/>
            <w:right w:w="0" w:type="dxa"/>
          </w:tblCellMar>
        </w:tblPrEx>
        <w:trPr>
          <w:trHeight w:val="86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151DF99A">
            <w:pPr>
              <w:spacing w:line="360" w:lineRule="auto"/>
              <w:jc w:val="center"/>
              <w:rPr>
                <w:rFonts w:ascii="宋体" w:hAnsi="宋体" w:cs="宋体"/>
                <w:color w:val="auto"/>
                <w:sz w:val="24"/>
              </w:rPr>
            </w:pPr>
            <w:r>
              <w:rPr>
                <w:rFonts w:hint="eastAsia" w:ascii="宋体" w:hAnsi="宋体" w:cs="宋体"/>
                <w:color w:val="auto"/>
                <w:sz w:val="24"/>
              </w:rPr>
              <w:t>1.10.1</w:t>
            </w:r>
          </w:p>
        </w:tc>
        <w:tc>
          <w:tcPr>
            <w:tcW w:w="1638" w:type="dxa"/>
            <w:tcBorders>
              <w:top w:val="single" w:color="auto" w:sz="8" w:space="0"/>
              <w:left w:val="nil"/>
              <w:bottom w:val="single" w:color="auto" w:sz="8" w:space="0"/>
              <w:right w:val="single" w:color="auto" w:sz="8" w:space="0"/>
            </w:tcBorders>
            <w:vAlign w:val="center"/>
          </w:tcPr>
          <w:p w14:paraId="11B5EE35">
            <w:pPr>
              <w:spacing w:line="360" w:lineRule="auto"/>
              <w:jc w:val="center"/>
              <w:rPr>
                <w:rFonts w:ascii="宋体" w:hAnsi="宋体" w:cs="宋体"/>
                <w:color w:val="auto"/>
                <w:sz w:val="24"/>
              </w:rPr>
            </w:pPr>
            <w:r>
              <w:rPr>
                <w:rFonts w:hint="eastAsia" w:ascii="宋体" w:hAnsi="宋体" w:cs="宋体"/>
                <w:color w:val="auto"/>
                <w:sz w:val="24"/>
              </w:rPr>
              <w:t>投标预备会</w:t>
            </w:r>
          </w:p>
        </w:tc>
        <w:tc>
          <w:tcPr>
            <w:tcW w:w="7196" w:type="dxa"/>
            <w:tcBorders>
              <w:top w:val="single" w:color="auto" w:sz="8" w:space="0"/>
              <w:left w:val="nil"/>
              <w:bottom w:val="single" w:color="auto" w:sz="8" w:space="0"/>
              <w:right w:val="single" w:color="auto" w:sz="8" w:space="0"/>
            </w:tcBorders>
            <w:vAlign w:val="center"/>
          </w:tcPr>
          <w:p w14:paraId="4433BE1C">
            <w:pPr>
              <w:spacing w:line="360" w:lineRule="auto"/>
              <w:jc w:val="left"/>
              <w:rPr>
                <w:rFonts w:ascii="宋体" w:hAnsi="宋体" w:cs="宋体"/>
                <w:color w:val="auto"/>
                <w:sz w:val="24"/>
              </w:rPr>
            </w:pPr>
            <w:r>
              <w:rPr>
                <w:rFonts w:hint="eastAsia" w:ascii="宋体" w:hAnsi="宋体" w:cs="宋体"/>
                <w:color w:val="auto"/>
                <w:sz w:val="24"/>
              </w:rPr>
              <w:t>☑不召开</w:t>
            </w:r>
          </w:p>
          <w:p w14:paraId="30D1CBC4">
            <w:pPr>
              <w:spacing w:line="360" w:lineRule="auto"/>
              <w:jc w:val="left"/>
              <w:rPr>
                <w:rFonts w:ascii="宋体" w:hAnsi="宋体" w:cs="宋体"/>
                <w:color w:val="auto"/>
                <w:sz w:val="24"/>
              </w:rPr>
            </w:pPr>
            <w:r>
              <w:rPr>
                <w:rFonts w:hint="eastAsia" w:ascii="宋体" w:hAnsi="宋体" w:cs="宋体"/>
                <w:color w:val="auto"/>
                <w:sz w:val="24"/>
              </w:rPr>
              <w:t>□召开，召开时间：/召开地点：/</w:t>
            </w:r>
          </w:p>
        </w:tc>
      </w:tr>
      <w:tr w14:paraId="100CC96F">
        <w:tblPrEx>
          <w:tblCellMar>
            <w:top w:w="0" w:type="dxa"/>
            <w:left w:w="0" w:type="dxa"/>
            <w:bottom w:w="0" w:type="dxa"/>
            <w:right w:w="0" w:type="dxa"/>
          </w:tblCellMar>
        </w:tblPrEx>
        <w:trPr>
          <w:trHeight w:val="90"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03D14840">
            <w:pPr>
              <w:spacing w:line="360" w:lineRule="auto"/>
              <w:jc w:val="center"/>
              <w:rPr>
                <w:rFonts w:ascii="宋体" w:hAnsi="宋体" w:cs="宋体"/>
                <w:color w:val="auto"/>
                <w:sz w:val="24"/>
              </w:rPr>
            </w:pPr>
            <w:r>
              <w:rPr>
                <w:rFonts w:hint="eastAsia" w:ascii="宋体" w:hAnsi="宋体" w:cs="宋体"/>
                <w:color w:val="auto"/>
                <w:sz w:val="24"/>
              </w:rPr>
              <w:t>1.11.1</w:t>
            </w:r>
          </w:p>
        </w:tc>
        <w:tc>
          <w:tcPr>
            <w:tcW w:w="1638" w:type="dxa"/>
            <w:tcBorders>
              <w:top w:val="single" w:color="auto" w:sz="8" w:space="0"/>
              <w:left w:val="nil"/>
              <w:bottom w:val="single" w:color="auto" w:sz="8" w:space="0"/>
              <w:right w:val="single" w:color="auto" w:sz="8" w:space="0"/>
            </w:tcBorders>
            <w:vAlign w:val="center"/>
          </w:tcPr>
          <w:p w14:paraId="102DA317">
            <w:pPr>
              <w:spacing w:line="360" w:lineRule="auto"/>
              <w:jc w:val="center"/>
              <w:rPr>
                <w:rFonts w:ascii="宋体" w:hAnsi="宋体" w:cs="宋体"/>
                <w:color w:val="auto"/>
                <w:sz w:val="24"/>
              </w:rPr>
            </w:pPr>
            <w:r>
              <w:rPr>
                <w:rFonts w:hint="eastAsia" w:ascii="宋体" w:hAnsi="宋体" w:cs="宋体"/>
                <w:color w:val="auto"/>
                <w:sz w:val="24"/>
              </w:rPr>
              <w:t>分包</w:t>
            </w:r>
          </w:p>
        </w:tc>
        <w:tc>
          <w:tcPr>
            <w:tcW w:w="7196" w:type="dxa"/>
            <w:tcBorders>
              <w:top w:val="single" w:color="auto" w:sz="8" w:space="0"/>
              <w:left w:val="nil"/>
              <w:bottom w:val="single" w:color="auto" w:sz="8" w:space="0"/>
              <w:right w:val="single" w:color="auto" w:sz="8" w:space="0"/>
            </w:tcBorders>
            <w:vAlign w:val="center"/>
          </w:tcPr>
          <w:p w14:paraId="04A44373">
            <w:pPr>
              <w:spacing w:line="360" w:lineRule="auto"/>
              <w:jc w:val="left"/>
              <w:rPr>
                <w:rFonts w:ascii="宋体" w:hAnsi="宋体" w:cs="宋体"/>
                <w:color w:val="auto"/>
                <w:sz w:val="24"/>
              </w:rPr>
            </w:pPr>
            <w:r>
              <w:rPr>
                <w:rFonts w:hint="eastAsia" w:ascii="宋体" w:hAnsi="宋体" w:cs="宋体"/>
                <w:color w:val="auto"/>
                <w:sz w:val="24"/>
              </w:rPr>
              <w:t>□不允许</w:t>
            </w:r>
          </w:p>
          <w:p w14:paraId="53733353">
            <w:pPr>
              <w:spacing w:line="360" w:lineRule="auto"/>
              <w:jc w:val="left"/>
              <w:rPr>
                <w:rFonts w:ascii="宋体" w:hAnsi="宋体" w:cs="宋体"/>
                <w:color w:val="auto"/>
                <w:sz w:val="24"/>
              </w:rPr>
            </w:pPr>
            <w:r>
              <w:rPr>
                <w:rFonts w:hint="eastAsia" w:ascii="宋体" w:hAnsi="宋体" w:cs="宋体"/>
                <w:color w:val="auto"/>
                <w:sz w:val="24"/>
              </w:rPr>
              <w:t>☑允许，分包内容要求：允许安装、电力、</w:t>
            </w:r>
            <w:r>
              <w:rPr>
                <w:rFonts w:hint="eastAsia" w:ascii="宋体" w:hAnsi="宋体" w:cs="宋体"/>
                <w:color w:val="auto"/>
                <w:sz w:val="24"/>
                <w:highlight w:val="none"/>
              </w:rPr>
              <w:t>网络光纤部分</w:t>
            </w:r>
            <w:r>
              <w:rPr>
                <w:rFonts w:hint="eastAsia" w:ascii="宋体" w:hAnsi="宋体" w:cs="宋体"/>
                <w:color w:val="auto"/>
                <w:sz w:val="24"/>
              </w:rPr>
              <w:t>分包。</w:t>
            </w:r>
          </w:p>
          <w:p w14:paraId="558B7776">
            <w:pPr>
              <w:spacing w:line="360" w:lineRule="auto"/>
              <w:ind w:firstLine="960" w:firstLineChars="400"/>
              <w:jc w:val="left"/>
              <w:rPr>
                <w:rFonts w:ascii="宋体" w:hAnsi="宋体" w:cs="宋体"/>
                <w:color w:val="auto"/>
                <w:sz w:val="24"/>
              </w:rPr>
            </w:pPr>
            <w:r>
              <w:rPr>
                <w:rFonts w:hint="eastAsia" w:ascii="宋体" w:hAnsi="宋体" w:cs="宋体"/>
                <w:color w:val="auto"/>
                <w:sz w:val="24"/>
              </w:rPr>
              <w:t>分包金额要求：/</w:t>
            </w:r>
          </w:p>
          <w:p w14:paraId="4951B8F5">
            <w:pPr>
              <w:spacing w:line="360" w:lineRule="auto"/>
              <w:ind w:firstLine="960" w:firstLineChars="400"/>
              <w:jc w:val="left"/>
              <w:rPr>
                <w:rFonts w:ascii="宋体" w:hAnsi="宋体" w:cs="宋体"/>
                <w:color w:val="auto"/>
                <w:sz w:val="24"/>
              </w:rPr>
            </w:pPr>
            <w:r>
              <w:rPr>
                <w:rFonts w:hint="eastAsia" w:ascii="宋体" w:hAnsi="宋体" w:cs="宋体"/>
                <w:color w:val="auto"/>
                <w:sz w:val="24"/>
              </w:rPr>
              <w:t>对分包人的资质要求：分包前得到采购人同意，分包人需达到相应的安装及电力施工技术能力及资质。</w:t>
            </w:r>
          </w:p>
        </w:tc>
      </w:tr>
      <w:tr w14:paraId="35FCC624">
        <w:tblPrEx>
          <w:tblCellMar>
            <w:top w:w="0" w:type="dxa"/>
            <w:left w:w="0" w:type="dxa"/>
            <w:bottom w:w="0" w:type="dxa"/>
            <w:right w:w="0" w:type="dxa"/>
          </w:tblCellMar>
        </w:tblPrEx>
        <w:trPr>
          <w:trHeight w:val="124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581B5035">
            <w:pPr>
              <w:spacing w:line="360" w:lineRule="auto"/>
              <w:jc w:val="center"/>
              <w:rPr>
                <w:rFonts w:ascii="宋体" w:hAnsi="宋体" w:cs="宋体"/>
                <w:color w:val="auto"/>
                <w:sz w:val="24"/>
              </w:rPr>
            </w:pPr>
            <w:r>
              <w:rPr>
                <w:rFonts w:hint="eastAsia" w:ascii="宋体" w:hAnsi="宋体" w:cs="宋体"/>
                <w:color w:val="auto"/>
                <w:sz w:val="24"/>
              </w:rPr>
              <w:t>1.12.1</w:t>
            </w:r>
          </w:p>
        </w:tc>
        <w:tc>
          <w:tcPr>
            <w:tcW w:w="1638" w:type="dxa"/>
            <w:tcBorders>
              <w:top w:val="single" w:color="auto" w:sz="8" w:space="0"/>
              <w:left w:val="nil"/>
              <w:bottom w:val="single" w:color="auto" w:sz="8" w:space="0"/>
              <w:right w:val="single" w:color="auto" w:sz="8" w:space="0"/>
            </w:tcBorders>
            <w:vAlign w:val="center"/>
          </w:tcPr>
          <w:p w14:paraId="1E798ECF">
            <w:pPr>
              <w:spacing w:line="360" w:lineRule="auto"/>
              <w:jc w:val="center"/>
              <w:rPr>
                <w:rFonts w:ascii="宋体" w:hAnsi="宋体" w:cs="宋体"/>
                <w:color w:val="auto"/>
                <w:sz w:val="24"/>
              </w:rPr>
            </w:pPr>
            <w:r>
              <w:rPr>
                <w:rFonts w:hint="eastAsia" w:ascii="宋体" w:hAnsi="宋体" w:cs="宋体"/>
                <w:color w:val="auto"/>
                <w:sz w:val="24"/>
              </w:rPr>
              <w:t>实质性要求</w:t>
            </w:r>
          </w:p>
          <w:p w14:paraId="38A78C25">
            <w:pPr>
              <w:spacing w:line="360" w:lineRule="auto"/>
              <w:jc w:val="center"/>
              <w:rPr>
                <w:rFonts w:ascii="宋体" w:hAnsi="宋体" w:cs="宋体"/>
                <w:color w:val="auto"/>
                <w:sz w:val="24"/>
              </w:rPr>
            </w:pPr>
            <w:r>
              <w:rPr>
                <w:rFonts w:hint="eastAsia" w:ascii="宋体" w:hAnsi="宋体" w:cs="宋体"/>
                <w:color w:val="auto"/>
                <w:sz w:val="24"/>
              </w:rPr>
              <w:t>和条件</w:t>
            </w:r>
          </w:p>
        </w:tc>
        <w:tc>
          <w:tcPr>
            <w:tcW w:w="7196" w:type="dxa"/>
            <w:tcBorders>
              <w:top w:val="single" w:color="auto" w:sz="8" w:space="0"/>
              <w:left w:val="nil"/>
              <w:bottom w:val="single" w:color="auto" w:sz="8" w:space="0"/>
              <w:right w:val="single" w:color="auto" w:sz="8" w:space="0"/>
            </w:tcBorders>
            <w:vAlign w:val="center"/>
          </w:tcPr>
          <w:p w14:paraId="406E9171">
            <w:pPr>
              <w:spacing w:line="360" w:lineRule="auto"/>
              <w:jc w:val="left"/>
              <w:rPr>
                <w:rFonts w:ascii="宋体" w:hAnsi="宋体" w:cs="宋体"/>
                <w:color w:val="auto"/>
                <w:sz w:val="24"/>
              </w:rPr>
            </w:pPr>
            <w:r>
              <w:rPr>
                <w:rFonts w:hint="eastAsia" w:ascii="宋体" w:hAnsi="宋体" w:cs="宋体"/>
                <w:color w:val="auto"/>
                <w:sz w:val="24"/>
              </w:rPr>
              <w:t>第三章“评标办法”资格评审标准规定的内容为实质性要求和条件，不满足任何一条将导致投标无效。请各投标人仔细阅读初步评审标准。</w:t>
            </w:r>
          </w:p>
        </w:tc>
      </w:tr>
      <w:tr w14:paraId="5C7ABB27">
        <w:tblPrEx>
          <w:tblCellMar>
            <w:top w:w="0" w:type="dxa"/>
            <w:left w:w="0" w:type="dxa"/>
            <w:bottom w:w="0" w:type="dxa"/>
            <w:right w:w="0" w:type="dxa"/>
          </w:tblCellMar>
        </w:tblPrEx>
        <w:trPr>
          <w:trHeight w:val="964" w:hRule="atLeast"/>
          <w:jc w:val="center"/>
        </w:trPr>
        <w:tc>
          <w:tcPr>
            <w:tcW w:w="990" w:type="dxa"/>
            <w:tcBorders>
              <w:top w:val="single" w:color="auto" w:sz="8" w:space="0"/>
              <w:left w:val="single" w:color="auto" w:sz="8" w:space="0"/>
              <w:bottom w:val="single" w:color="auto" w:sz="4" w:space="0"/>
              <w:right w:val="single" w:color="auto" w:sz="8" w:space="0"/>
            </w:tcBorders>
            <w:vAlign w:val="center"/>
          </w:tcPr>
          <w:p w14:paraId="3EFE35BB">
            <w:pPr>
              <w:spacing w:line="360" w:lineRule="auto"/>
              <w:jc w:val="center"/>
              <w:rPr>
                <w:rFonts w:ascii="宋体" w:hAnsi="宋体" w:cs="宋体"/>
                <w:color w:val="auto"/>
                <w:sz w:val="24"/>
              </w:rPr>
            </w:pPr>
            <w:r>
              <w:rPr>
                <w:rFonts w:hint="eastAsia" w:ascii="宋体" w:hAnsi="宋体" w:cs="宋体"/>
                <w:color w:val="auto"/>
                <w:sz w:val="24"/>
              </w:rPr>
              <w:t>1.12.3</w:t>
            </w:r>
          </w:p>
        </w:tc>
        <w:tc>
          <w:tcPr>
            <w:tcW w:w="1638" w:type="dxa"/>
            <w:tcBorders>
              <w:top w:val="single" w:color="auto" w:sz="8" w:space="0"/>
              <w:left w:val="nil"/>
              <w:bottom w:val="single" w:color="auto" w:sz="4" w:space="0"/>
              <w:right w:val="single" w:color="auto" w:sz="8" w:space="0"/>
            </w:tcBorders>
            <w:vAlign w:val="center"/>
          </w:tcPr>
          <w:p w14:paraId="013A8C6C">
            <w:pPr>
              <w:spacing w:line="360" w:lineRule="auto"/>
              <w:jc w:val="center"/>
              <w:rPr>
                <w:rFonts w:ascii="宋体" w:hAnsi="宋体" w:cs="宋体"/>
                <w:color w:val="auto"/>
                <w:sz w:val="24"/>
              </w:rPr>
            </w:pPr>
            <w:r>
              <w:rPr>
                <w:rFonts w:hint="eastAsia" w:ascii="宋体" w:hAnsi="宋体" w:cs="宋体"/>
                <w:color w:val="auto"/>
                <w:sz w:val="24"/>
              </w:rPr>
              <w:t>偏离</w:t>
            </w:r>
          </w:p>
        </w:tc>
        <w:tc>
          <w:tcPr>
            <w:tcW w:w="7196" w:type="dxa"/>
            <w:tcBorders>
              <w:top w:val="single" w:color="auto" w:sz="8" w:space="0"/>
              <w:left w:val="nil"/>
              <w:bottom w:val="single" w:color="auto" w:sz="8" w:space="0"/>
              <w:right w:val="single" w:color="auto" w:sz="8" w:space="0"/>
            </w:tcBorders>
            <w:vAlign w:val="center"/>
          </w:tcPr>
          <w:p w14:paraId="74E6E24D">
            <w:pPr>
              <w:spacing w:line="360" w:lineRule="auto"/>
              <w:jc w:val="left"/>
              <w:rPr>
                <w:rFonts w:ascii="宋体" w:hAnsi="宋体" w:cs="宋体"/>
                <w:color w:val="auto"/>
                <w:sz w:val="24"/>
              </w:rPr>
            </w:pPr>
            <w:r>
              <w:rPr>
                <w:rFonts w:hint="eastAsia" w:ascii="宋体" w:hAnsi="宋体" w:cs="宋体"/>
                <w:color w:val="auto"/>
                <w:sz w:val="24"/>
              </w:rPr>
              <w:t>□不允许</w:t>
            </w:r>
          </w:p>
          <w:p w14:paraId="59AB8BE8">
            <w:pPr>
              <w:spacing w:line="360" w:lineRule="auto"/>
              <w:jc w:val="left"/>
              <w:rPr>
                <w:rFonts w:ascii="宋体" w:hAnsi="宋体" w:cs="宋体"/>
                <w:color w:val="auto"/>
                <w:sz w:val="24"/>
              </w:rPr>
            </w:pPr>
            <w:r>
              <w:rPr>
                <w:rFonts w:hint="eastAsia" w:ascii="宋体" w:hAnsi="宋体" w:cs="宋体"/>
                <w:color w:val="auto"/>
                <w:sz w:val="24"/>
              </w:rPr>
              <w:t>☑允许：</w:t>
            </w:r>
            <w:r>
              <w:rPr>
                <w:rFonts w:hint="eastAsia" w:ascii="宋体" w:hAnsi="宋体" w:cs="宋体"/>
                <w:b/>
                <w:bCs/>
                <w:color w:val="auto"/>
                <w:sz w:val="24"/>
              </w:rPr>
              <w:t>除采购货物参数允许偏离外，其余内容不允许偏离。</w:t>
            </w:r>
          </w:p>
        </w:tc>
      </w:tr>
      <w:tr w14:paraId="252C9935">
        <w:tblPrEx>
          <w:tblCellMar>
            <w:top w:w="0" w:type="dxa"/>
            <w:left w:w="0" w:type="dxa"/>
            <w:bottom w:w="0" w:type="dxa"/>
            <w:right w:w="0" w:type="dxa"/>
          </w:tblCellMar>
        </w:tblPrEx>
        <w:trPr>
          <w:trHeight w:val="1247" w:hRule="atLeast"/>
          <w:jc w:val="center"/>
        </w:trPr>
        <w:tc>
          <w:tcPr>
            <w:tcW w:w="990" w:type="dxa"/>
            <w:tcBorders>
              <w:top w:val="single" w:color="auto" w:sz="4" w:space="0"/>
              <w:left w:val="single" w:color="auto" w:sz="4" w:space="0"/>
              <w:bottom w:val="single" w:color="auto" w:sz="8" w:space="0"/>
              <w:right w:val="single" w:color="auto" w:sz="8" w:space="0"/>
            </w:tcBorders>
            <w:vAlign w:val="center"/>
          </w:tcPr>
          <w:p w14:paraId="6748E70D">
            <w:pPr>
              <w:spacing w:line="360" w:lineRule="auto"/>
              <w:jc w:val="center"/>
              <w:rPr>
                <w:rFonts w:ascii="宋体" w:hAnsi="宋体" w:cs="宋体"/>
                <w:color w:val="auto"/>
                <w:sz w:val="24"/>
              </w:rPr>
            </w:pPr>
            <w:bookmarkStart w:id="50" w:name="page17"/>
            <w:bookmarkEnd w:id="50"/>
            <w:r>
              <w:rPr>
                <w:rFonts w:hint="eastAsia" w:ascii="宋体" w:hAnsi="宋体" w:cs="宋体"/>
                <w:color w:val="auto"/>
                <w:sz w:val="24"/>
              </w:rPr>
              <w:t>2.1</w:t>
            </w:r>
          </w:p>
        </w:tc>
        <w:tc>
          <w:tcPr>
            <w:tcW w:w="1638" w:type="dxa"/>
            <w:tcBorders>
              <w:top w:val="single" w:color="auto" w:sz="4" w:space="0"/>
              <w:left w:val="nil"/>
              <w:bottom w:val="single" w:color="auto" w:sz="8" w:space="0"/>
              <w:right w:val="single" w:color="auto" w:sz="4" w:space="0"/>
            </w:tcBorders>
            <w:vAlign w:val="center"/>
          </w:tcPr>
          <w:p w14:paraId="3722E295">
            <w:pPr>
              <w:spacing w:line="360" w:lineRule="auto"/>
              <w:jc w:val="center"/>
              <w:rPr>
                <w:rFonts w:ascii="宋体" w:hAnsi="宋体" w:cs="宋体"/>
                <w:color w:val="auto"/>
                <w:sz w:val="24"/>
              </w:rPr>
            </w:pPr>
            <w:r>
              <w:rPr>
                <w:rFonts w:hint="eastAsia" w:ascii="宋体" w:hAnsi="宋体" w:cs="宋体"/>
                <w:color w:val="auto"/>
                <w:sz w:val="24"/>
              </w:rPr>
              <w:t>构成招标文件的其他资料</w:t>
            </w:r>
          </w:p>
        </w:tc>
        <w:tc>
          <w:tcPr>
            <w:tcW w:w="7196" w:type="dxa"/>
            <w:tcBorders>
              <w:top w:val="single" w:color="auto" w:sz="8" w:space="0"/>
              <w:left w:val="single" w:color="auto" w:sz="4" w:space="0"/>
              <w:bottom w:val="single" w:color="auto" w:sz="8" w:space="0"/>
              <w:right w:val="single" w:color="auto" w:sz="8" w:space="0"/>
            </w:tcBorders>
            <w:vAlign w:val="center"/>
          </w:tcPr>
          <w:p w14:paraId="51AFF477">
            <w:pPr>
              <w:spacing w:line="360" w:lineRule="auto"/>
              <w:jc w:val="left"/>
              <w:rPr>
                <w:rFonts w:ascii="宋体" w:hAnsi="宋体" w:cs="宋体"/>
                <w:color w:val="auto"/>
                <w:sz w:val="24"/>
              </w:rPr>
            </w:pPr>
            <w:r>
              <w:rPr>
                <w:rFonts w:hint="eastAsia" w:ascii="宋体" w:hAnsi="宋体" w:cs="宋体"/>
                <w:color w:val="auto"/>
                <w:sz w:val="24"/>
              </w:rPr>
              <w:t>采购人发出的澄清、补充、修改、答疑书或通知等。</w:t>
            </w:r>
          </w:p>
        </w:tc>
      </w:tr>
      <w:tr w14:paraId="2668DB52">
        <w:tblPrEx>
          <w:tblCellMar>
            <w:top w:w="0" w:type="dxa"/>
            <w:left w:w="0" w:type="dxa"/>
            <w:bottom w:w="0" w:type="dxa"/>
            <w:right w:w="0" w:type="dxa"/>
          </w:tblCellMar>
        </w:tblPrEx>
        <w:trPr>
          <w:trHeight w:val="1814" w:hRule="atLeast"/>
          <w:jc w:val="center"/>
        </w:trPr>
        <w:tc>
          <w:tcPr>
            <w:tcW w:w="990" w:type="dxa"/>
            <w:tcBorders>
              <w:top w:val="single" w:color="auto" w:sz="8" w:space="0"/>
              <w:left w:val="single" w:color="auto" w:sz="4" w:space="0"/>
              <w:bottom w:val="single" w:color="auto" w:sz="8" w:space="0"/>
              <w:right w:val="single" w:color="auto" w:sz="8" w:space="0"/>
            </w:tcBorders>
            <w:vAlign w:val="center"/>
          </w:tcPr>
          <w:p w14:paraId="3D03CD36">
            <w:pPr>
              <w:spacing w:line="360" w:lineRule="auto"/>
              <w:jc w:val="center"/>
              <w:rPr>
                <w:rFonts w:ascii="宋体" w:hAnsi="宋体" w:cs="宋体"/>
                <w:color w:val="auto"/>
                <w:sz w:val="24"/>
              </w:rPr>
            </w:pPr>
            <w:r>
              <w:rPr>
                <w:rFonts w:hint="eastAsia" w:ascii="宋体" w:hAnsi="宋体" w:cs="宋体"/>
                <w:color w:val="auto"/>
                <w:sz w:val="24"/>
              </w:rPr>
              <w:t>2.2</w:t>
            </w:r>
          </w:p>
        </w:tc>
        <w:tc>
          <w:tcPr>
            <w:tcW w:w="1638" w:type="dxa"/>
            <w:tcBorders>
              <w:top w:val="single" w:color="auto" w:sz="8" w:space="0"/>
              <w:left w:val="nil"/>
              <w:bottom w:val="single" w:color="auto" w:sz="8" w:space="0"/>
              <w:right w:val="single" w:color="auto" w:sz="4" w:space="0"/>
            </w:tcBorders>
            <w:vAlign w:val="center"/>
          </w:tcPr>
          <w:p w14:paraId="474AAE24">
            <w:pPr>
              <w:spacing w:line="360" w:lineRule="auto"/>
              <w:jc w:val="center"/>
              <w:rPr>
                <w:rFonts w:ascii="宋体" w:hAnsi="宋体" w:cs="宋体"/>
                <w:color w:val="auto"/>
                <w:sz w:val="24"/>
              </w:rPr>
            </w:pPr>
            <w:r>
              <w:rPr>
                <w:rFonts w:hint="eastAsia" w:ascii="宋体" w:hAnsi="宋体" w:cs="宋体"/>
                <w:color w:val="auto"/>
                <w:sz w:val="24"/>
              </w:rPr>
              <w:t>投标人提出问题及要求澄清招标文件的截止时间</w:t>
            </w:r>
          </w:p>
        </w:tc>
        <w:tc>
          <w:tcPr>
            <w:tcW w:w="7196" w:type="dxa"/>
            <w:tcBorders>
              <w:top w:val="single" w:color="auto" w:sz="8" w:space="0"/>
              <w:left w:val="single" w:color="auto" w:sz="4" w:space="0"/>
              <w:bottom w:val="single" w:color="auto" w:sz="8" w:space="0"/>
              <w:right w:val="single" w:color="auto" w:sz="8" w:space="0"/>
            </w:tcBorders>
            <w:vAlign w:val="center"/>
          </w:tcPr>
          <w:p w14:paraId="7B5F7DFD">
            <w:pPr>
              <w:pStyle w:val="38"/>
              <w:spacing w:line="360" w:lineRule="auto"/>
              <w:jc w:val="left"/>
              <w:rPr>
                <w:rFonts w:ascii="宋体" w:hAnsi="宋体" w:cs="宋体"/>
                <w:color w:val="auto"/>
                <w:sz w:val="24"/>
              </w:rPr>
            </w:pPr>
            <w:r>
              <w:rPr>
                <w:rFonts w:hint="eastAsia" w:ascii="宋体" w:hAnsi="宋体" w:cs="宋体"/>
                <w:color w:val="auto"/>
                <w:sz w:val="24"/>
              </w:rPr>
              <w:t>截止时间为：应当在获取采购文件或者采购文件公告期限届满之日起7个工作日内提出。</w:t>
            </w:r>
          </w:p>
          <w:p w14:paraId="372E457F">
            <w:pPr>
              <w:pStyle w:val="38"/>
              <w:spacing w:line="360" w:lineRule="auto"/>
              <w:jc w:val="left"/>
              <w:rPr>
                <w:rFonts w:ascii="宋体" w:hAnsi="宋体" w:cs="宋体"/>
                <w:color w:val="auto"/>
                <w:sz w:val="24"/>
              </w:rPr>
            </w:pPr>
            <w:r>
              <w:rPr>
                <w:rFonts w:hint="eastAsia" w:ascii="宋体" w:hAnsi="宋体" w:cs="宋体"/>
                <w:color w:val="auto"/>
                <w:sz w:val="24"/>
              </w:rPr>
              <w:t>形式：登录“政府采购云平台（https://www.zcygov.cn/）”，通过在线方式提出。</w:t>
            </w:r>
          </w:p>
        </w:tc>
      </w:tr>
      <w:tr w14:paraId="18EF2D1C">
        <w:tblPrEx>
          <w:tblCellMar>
            <w:top w:w="0" w:type="dxa"/>
            <w:left w:w="0" w:type="dxa"/>
            <w:bottom w:w="0" w:type="dxa"/>
            <w:right w:w="0" w:type="dxa"/>
          </w:tblCellMar>
        </w:tblPrEx>
        <w:trPr>
          <w:trHeight w:val="559" w:hRule="atLeast"/>
          <w:jc w:val="center"/>
        </w:trPr>
        <w:tc>
          <w:tcPr>
            <w:tcW w:w="990" w:type="dxa"/>
            <w:tcBorders>
              <w:top w:val="single" w:color="auto" w:sz="8" w:space="0"/>
              <w:left w:val="single" w:color="auto" w:sz="4" w:space="0"/>
              <w:bottom w:val="single" w:color="auto" w:sz="8" w:space="0"/>
              <w:right w:val="single" w:color="auto" w:sz="8" w:space="0"/>
            </w:tcBorders>
            <w:vAlign w:val="center"/>
          </w:tcPr>
          <w:p w14:paraId="48307A6D">
            <w:pPr>
              <w:spacing w:line="360" w:lineRule="auto"/>
              <w:jc w:val="center"/>
              <w:rPr>
                <w:rFonts w:ascii="宋体" w:hAnsi="宋体" w:cs="宋体"/>
                <w:color w:val="auto"/>
                <w:sz w:val="24"/>
              </w:rPr>
            </w:pPr>
            <w:r>
              <w:rPr>
                <w:rFonts w:hint="eastAsia" w:ascii="宋体" w:hAnsi="宋体" w:cs="宋体"/>
                <w:color w:val="auto"/>
                <w:sz w:val="24"/>
              </w:rPr>
              <w:t>2.3.2</w:t>
            </w:r>
          </w:p>
        </w:tc>
        <w:tc>
          <w:tcPr>
            <w:tcW w:w="1638" w:type="dxa"/>
            <w:tcBorders>
              <w:top w:val="single" w:color="auto" w:sz="8" w:space="0"/>
              <w:left w:val="nil"/>
              <w:bottom w:val="single" w:color="auto" w:sz="8" w:space="0"/>
              <w:right w:val="single" w:color="auto" w:sz="4" w:space="0"/>
            </w:tcBorders>
            <w:vAlign w:val="center"/>
          </w:tcPr>
          <w:p w14:paraId="35558297">
            <w:pPr>
              <w:spacing w:line="360" w:lineRule="auto"/>
              <w:jc w:val="center"/>
              <w:rPr>
                <w:rFonts w:ascii="宋体" w:hAnsi="宋体" w:cs="宋体"/>
                <w:color w:val="auto"/>
                <w:sz w:val="24"/>
              </w:rPr>
            </w:pPr>
            <w:r>
              <w:rPr>
                <w:rFonts w:hint="eastAsia" w:ascii="宋体" w:hAnsi="宋体" w:cs="宋体"/>
                <w:color w:val="auto"/>
                <w:sz w:val="24"/>
              </w:rPr>
              <w:t>招标文件澄清或修改截止</w:t>
            </w:r>
          </w:p>
          <w:p w14:paraId="38892CA7">
            <w:pPr>
              <w:spacing w:line="360" w:lineRule="auto"/>
              <w:jc w:val="center"/>
              <w:rPr>
                <w:rFonts w:ascii="宋体" w:hAnsi="宋体" w:cs="宋体"/>
                <w:color w:val="auto"/>
                <w:sz w:val="24"/>
              </w:rPr>
            </w:pPr>
            <w:r>
              <w:rPr>
                <w:rFonts w:hint="eastAsia" w:ascii="宋体" w:hAnsi="宋体" w:cs="宋体"/>
                <w:color w:val="auto"/>
                <w:sz w:val="24"/>
              </w:rPr>
              <w:t>时间</w:t>
            </w:r>
          </w:p>
        </w:tc>
        <w:tc>
          <w:tcPr>
            <w:tcW w:w="7196" w:type="dxa"/>
            <w:tcBorders>
              <w:top w:val="single" w:color="auto" w:sz="8" w:space="0"/>
              <w:left w:val="single" w:color="auto" w:sz="4" w:space="0"/>
              <w:bottom w:val="single" w:color="auto" w:sz="8" w:space="0"/>
              <w:right w:val="single" w:color="auto" w:sz="8" w:space="0"/>
            </w:tcBorders>
            <w:vAlign w:val="center"/>
          </w:tcPr>
          <w:p w14:paraId="7A756B99">
            <w:pPr>
              <w:pStyle w:val="38"/>
              <w:spacing w:line="360" w:lineRule="auto"/>
              <w:jc w:val="left"/>
              <w:rPr>
                <w:rFonts w:ascii="宋体" w:hAnsi="宋体" w:cs="宋体"/>
                <w:color w:val="auto"/>
                <w:sz w:val="24"/>
              </w:rPr>
            </w:pPr>
            <w:r>
              <w:rPr>
                <w:rFonts w:hint="eastAsia" w:ascii="宋体" w:hAnsi="宋体" w:cs="宋体"/>
                <w:color w:val="auto"/>
                <w:sz w:val="24"/>
              </w:rPr>
              <w:t>截止时间：投标截止时间前15日。</w:t>
            </w:r>
          </w:p>
          <w:p w14:paraId="63F7B4D8">
            <w:pPr>
              <w:pStyle w:val="38"/>
              <w:spacing w:line="360" w:lineRule="auto"/>
              <w:jc w:val="left"/>
              <w:rPr>
                <w:rFonts w:ascii="宋体" w:hAnsi="宋体" w:cs="宋体"/>
                <w:color w:val="auto"/>
                <w:sz w:val="24"/>
              </w:rPr>
            </w:pPr>
            <w:r>
              <w:rPr>
                <w:rFonts w:hint="eastAsia" w:ascii="宋体" w:hAnsi="宋体" w:cs="宋体"/>
                <w:color w:val="auto"/>
                <w:sz w:val="24"/>
              </w:rPr>
              <w:t>形式：在公告发布媒介上发布澄清公告</w:t>
            </w:r>
          </w:p>
        </w:tc>
      </w:tr>
      <w:tr w14:paraId="53AE97FA">
        <w:tblPrEx>
          <w:tblCellMar>
            <w:top w:w="0" w:type="dxa"/>
            <w:left w:w="0" w:type="dxa"/>
            <w:bottom w:w="0" w:type="dxa"/>
            <w:right w:w="0" w:type="dxa"/>
          </w:tblCellMar>
        </w:tblPrEx>
        <w:trPr>
          <w:trHeight w:val="964" w:hRule="atLeast"/>
          <w:jc w:val="center"/>
        </w:trPr>
        <w:tc>
          <w:tcPr>
            <w:tcW w:w="990" w:type="dxa"/>
            <w:tcBorders>
              <w:top w:val="single" w:color="auto" w:sz="8" w:space="0"/>
              <w:left w:val="single" w:color="auto" w:sz="4" w:space="0"/>
              <w:bottom w:val="single" w:color="auto" w:sz="4" w:space="0"/>
              <w:right w:val="single" w:color="auto" w:sz="8" w:space="0"/>
            </w:tcBorders>
            <w:vAlign w:val="center"/>
          </w:tcPr>
          <w:p w14:paraId="4BCA3284">
            <w:pPr>
              <w:spacing w:line="360" w:lineRule="auto"/>
              <w:jc w:val="center"/>
              <w:rPr>
                <w:rFonts w:ascii="宋体" w:hAnsi="宋体" w:cs="宋体"/>
                <w:color w:val="auto"/>
                <w:sz w:val="24"/>
              </w:rPr>
            </w:pPr>
            <w:r>
              <w:rPr>
                <w:rFonts w:hint="eastAsia" w:ascii="宋体" w:hAnsi="宋体" w:cs="宋体"/>
                <w:color w:val="auto"/>
                <w:sz w:val="24"/>
              </w:rPr>
              <w:t>3.2.3</w:t>
            </w:r>
          </w:p>
        </w:tc>
        <w:tc>
          <w:tcPr>
            <w:tcW w:w="1638" w:type="dxa"/>
            <w:tcBorders>
              <w:top w:val="single" w:color="auto" w:sz="8" w:space="0"/>
              <w:left w:val="nil"/>
              <w:bottom w:val="single" w:color="auto" w:sz="4" w:space="0"/>
              <w:right w:val="single" w:color="auto" w:sz="4" w:space="0"/>
            </w:tcBorders>
            <w:vAlign w:val="center"/>
          </w:tcPr>
          <w:p w14:paraId="039C9477">
            <w:pPr>
              <w:spacing w:line="360" w:lineRule="auto"/>
              <w:jc w:val="center"/>
              <w:rPr>
                <w:rFonts w:ascii="宋体" w:hAnsi="宋体" w:cs="宋体"/>
                <w:color w:val="auto"/>
                <w:sz w:val="24"/>
              </w:rPr>
            </w:pPr>
            <w:r>
              <w:rPr>
                <w:rFonts w:hint="eastAsia" w:ascii="宋体" w:hAnsi="宋体" w:cs="宋体"/>
                <w:color w:val="auto"/>
                <w:sz w:val="24"/>
              </w:rPr>
              <w:t>最高投标限价</w:t>
            </w:r>
          </w:p>
        </w:tc>
        <w:tc>
          <w:tcPr>
            <w:tcW w:w="7196" w:type="dxa"/>
            <w:tcBorders>
              <w:top w:val="single" w:color="auto" w:sz="8" w:space="0"/>
              <w:left w:val="single" w:color="auto" w:sz="4" w:space="0"/>
              <w:bottom w:val="single" w:color="auto" w:sz="8" w:space="0"/>
              <w:right w:val="single" w:color="auto" w:sz="8" w:space="0"/>
            </w:tcBorders>
            <w:vAlign w:val="center"/>
          </w:tcPr>
          <w:p w14:paraId="1420D83C">
            <w:pPr>
              <w:spacing w:line="360" w:lineRule="auto"/>
              <w:jc w:val="left"/>
              <w:rPr>
                <w:rFonts w:ascii="宋体" w:hAnsi="宋体" w:cs="宋体"/>
                <w:color w:val="auto"/>
                <w:sz w:val="24"/>
              </w:rPr>
            </w:pPr>
            <w:r>
              <w:rPr>
                <w:rFonts w:hint="eastAsia" w:ascii="宋体" w:hAnsi="宋体" w:cs="宋体"/>
                <w:color w:val="auto"/>
                <w:sz w:val="24"/>
              </w:rPr>
              <w:t>□无</w:t>
            </w:r>
          </w:p>
          <w:p w14:paraId="47B07C34">
            <w:pPr>
              <w:spacing w:line="360" w:lineRule="auto"/>
              <w:jc w:val="left"/>
              <w:rPr>
                <w:rFonts w:ascii="宋体" w:hAnsi="宋体" w:cs="宋体"/>
                <w:color w:val="auto"/>
                <w:sz w:val="24"/>
              </w:rPr>
            </w:pPr>
            <w:r>
              <w:rPr>
                <w:rFonts w:hint="eastAsia" w:ascii="宋体" w:hAnsi="宋体" w:cs="宋体"/>
                <w:b/>
                <w:bCs/>
                <w:color w:val="auto"/>
                <w:sz w:val="24"/>
              </w:rPr>
              <w:t>☑有，最高投标限价：</w:t>
            </w:r>
            <w:r>
              <w:rPr>
                <w:rFonts w:hint="eastAsia" w:ascii="宋体" w:hAnsi="宋体" w:cs="宋体"/>
                <w:b/>
                <w:bCs/>
                <w:color w:val="auto"/>
                <w:sz w:val="24"/>
                <w:lang w:val="en-US" w:eastAsia="zh-CN"/>
              </w:rPr>
              <w:t>3200000.00</w:t>
            </w:r>
            <w:r>
              <w:rPr>
                <w:rFonts w:hint="eastAsia" w:ascii="宋体" w:hAnsi="宋体" w:cs="宋体"/>
                <w:b/>
                <w:bCs/>
                <w:color w:val="auto"/>
                <w:sz w:val="24"/>
              </w:rPr>
              <w:t>元（超过此报价的作无效标处理）</w:t>
            </w:r>
            <w:r>
              <w:rPr>
                <w:rFonts w:hint="eastAsia" w:ascii="宋体" w:hAnsi="宋体" w:cs="宋体"/>
                <w:color w:val="auto"/>
                <w:sz w:val="24"/>
              </w:rPr>
              <w:t>。</w:t>
            </w:r>
          </w:p>
        </w:tc>
      </w:tr>
      <w:tr w14:paraId="780FE46E">
        <w:tblPrEx>
          <w:tblCellMar>
            <w:top w:w="0" w:type="dxa"/>
            <w:left w:w="0" w:type="dxa"/>
            <w:bottom w:w="0" w:type="dxa"/>
            <w:right w:w="0" w:type="dxa"/>
          </w:tblCellMar>
        </w:tblPrEx>
        <w:trPr>
          <w:trHeight w:val="1447" w:hRule="atLeast"/>
          <w:jc w:val="center"/>
        </w:trPr>
        <w:tc>
          <w:tcPr>
            <w:tcW w:w="990" w:type="dxa"/>
            <w:tcBorders>
              <w:top w:val="single" w:color="auto" w:sz="4" w:space="0"/>
              <w:left w:val="single" w:color="auto" w:sz="8" w:space="0"/>
              <w:bottom w:val="single" w:color="auto" w:sz="8" w:space="0"/>
              <w:right w:val="single" w:color="auto" w:sz="8" w:space="0"/>
            </w:tcBorders>
            <w:vAlign w:val="center"/>
          </w:tcPr>
          <w:p w14:paraId="3F22C69B">
            <w:pPr>
              <w:spacing w:line="360" w:lineRule="auto"/>
              <w:jc w:val="center"/>
              <w:rPr>
                <w:rFonts w:ascii="宋体" w:hAnsi="宋体" w:cs="宋体"/>
                <w:color w:val="auto"/>
                <w:sz w:val="24"/>
              </w:rPr>
            </w:pPr>
            <w:r>
              <w:rPr>
                <w:rFonts w:hint="eastAsia" w:ascii="宋体" w:hAnsi="宋体" w:cs="宋体"/>
                <w:color w:val="auto"/>
                <w:sz w:val="24"/>
              </w:rPr>
              <w:t>3.2.4</w:t>
            </w:r>
          </w:p>
        </w:tc>
        <w:tc>
          <w:tcPr>
            <w:tcW w:w="1638" w:type="dxa"/>
            <w:tcBorders>
              <w:top w:val="single" w:color="auto" w:sz="4" w:space="0"/>
              <w:left w:val="nil"/>
              <w:bottom w:val="single" w:color="auto" w:sz="8" w:space="0"/>
              <w:right w:val="single" w:color="auto" w:sz="8" w:space="0"/>
            </w:tcBorders>
            <w:vAlign w:val="center"/>
          </w:tcPr>
          <w:p w14:paraId="71625725">
            <w:pPr>
              <w:spacing w:line="360" w:lineRule="auto"/>
              <w:jc w:val="center"/>
              <w:rPr>
                <w:rFonts w:ascii="宋体" w:hAnsi="宋体" w:cs="宋体"/>
                <w:color w:val="auto"/>
                <w:sz w:val="24"/>
              </w:rPr>
            </w:pPr>
            <w:r>
              <w:rPr>
                <w:rFonts w:hint="eastAsia" w:ascii="宋体" w:hAnsi="宋体" w:cs="宋体"/>
                <w:color w:val="auto"/>
                <w:sz w:val="24"/>
              </w:rPr>
              <w:t>投标报价的</w:t>
            </w:r>
          </w:p>
          <w:p w14:paraId="345FBDCB">
            <w:pPr>
              <w:spacing w:line="360" w:lineRule="auto"/>
              <w:jc w:val="center"/>
              <w:rPr>
                <w:rFonts w:ascii="宋体" w:hAnsi="宋体" w:cs="宋体"/>
                <w:color w:val="auto"/>
                <w:sz w:val="24"/>
              </w:rPr>
            </w:pPr>
            <w:r>
              <w:rPr>
                <w:rFonts w:hint="eastAsia" w:ascii="宋体" w:hAnsi="宋体" w:cs="宋体"/>
                <w:color w:val="auto"/>
                <w:sz w:val="24"/>
              </w:rPr>
              <w:t>其他要求</w:t>
            </w:r>
          </w:p>
        </w:tc>
        <w:tc>
          <w:tcPr>
            <w:tcW w:w="7196" w:type="dxa"/>
            <w:tcBorders>
              <w:top w:val="single" w:color="auto" w:sz="8" w:space="0"/>
              <w:left w:val="nil"/>
              <w:bottom w:val="single" w:color="auto" w:sz="8" w:space="0"/>
              <w:right w:val="single" w:color="auto" w:sz="8" w:space="0"/>
            </w:tcBorders>
            <w:vAlign w:val="center"/>
          </w:tcPr>
          <w:p w14:paraId="39BF13F2">
            <w:pPr>
              <w:pStyle w:val="6"/>
              <w:topLinePunct/>
              <w:spacing w:line="360" w:lineRule="auto"/>
              <w:jc w:val="left"/>
              <w:rPr>
                <w:rFonts w:hAnsi="宋体" w:cs="宋体"/>
                <w:b/>
                <w:bCs/>
                <w:color w:val="auto"/>
              </w:rPr>
            </w:pPr>
            <w:r>
              <w:rPr>
                <w:rFonts w:hint="eastAsia" w:hAnsi="宋体" w:cs="宋体"/>
                <w:b/>
                <w:bCs/>
                <w:color w:val="auto"/>
              </w:rPr>
              <w:t>（1）本项目单项设有最高限价的，投标人报价明细中单项报价与总价均不能超过最高限价。</w:t>
            </w:r>
          </w:p>
          <w:p w14:paraId="5DF39DD0">
            <w:pPr>
              <w:pStyle w:val="6"/>
              <w:topLinePunct/>
              <w:spacing w:line="360" w:lineRule="auto"/>
              <w:jc w:val="left"/>
              <w:rPr>
                <w:rFonts w:hAnsi="宋体" w:cs="宋体"/>
                <w:color w:val="auto"/>
              </w:rPr>
            </w:pPr>
            <w:r>
              <w:rPr>
                <w:rFonts w:hint="eastAsia" w:hAnsi="宋体" w:cs="宋体"/>
                <w:color w:val="auto"/>
              </w:rPr>
              <w:t>（2）本次投标报价为综合报价，报价应为人民币含税价（元），包括货物成本价格（含利润）、利润、</w:t>
            </w:r>
            <w:r>
              <w:rPr>
                <w:rFonts w:hint="eastAsia" w:hAnsi="宋体" w:cs="宋体"/>
                <w:color w:val="auto"/>
                <w:lang w:val="zh-CN"/>
              </w:rPr>
              <w:t>运输装卸、</w:t>
            </w:r>
            <w:r>
              <w:rPr>
                <w:rFonts w:hint="eastAsia" w:hAnsi="宋体" w:cs="宋体"/>
                <w:color w:val="auto"/>
              </w:rPr>
              <w:t>安装、</w:t>
            </w:r>
            <w:r>
              <w:rPr>
                <w:rFonts w:hint="eastAsia" w:hAnsi="宋体" w:cs="宋体"/>
                <w:color w:val="auto"/>
                <w:lang w:val="zh-CN"/>
              </w:rPr>
              <w:t>验收、维护、质保、</w:t>
            </w:r>
            <w:r>
              <w:rPr>
                <w:rFonts w:hint="eastAsia" w:hAnsi="宋体" w:cs="宋体"/>
                <w:color w:val="auto"/>
              </w:rPr>
              <w:t>保险、税收、后续服务、代理服务费等本项目所涉及的一切费用。</w:t>
            </w:r>
          </w:p>
          <w:p w14:paraId="37771599">
            <w:pPr>
              <w:pStyle w:val="6"/>
              <w:topLinePunct/>
              <w:spacing w:line="360" w:lineRule="auto"/>
              <w:jc w:val="left"/>
              <w:rPr>
                <w:rFonts w:hAnsi="宋体" w:cs="宋体"/>
                <w:color w:val="auto"/>
              </w:rPr>
            </w:pPr>
            <w:r>
              <w:rPr>
                <w:rFonts w:hint="eastAsia" w:hAnsi="宋体" w:cs="宋体"/>
                <w:color w:val="auto"/>
              </w:rPr>
              <w:t>（3）投标报价不得低于成本价；</w:t>
            </w:r>
          </w:p>
          <w:p w14:paraId="06D05CA5">
            <w:pPr>
              <w:pStyle w:val="6"/>
              <w:topLinePunct/>
              <w:spacing w:line="360" w:lineRule="auto"/>
              <w:jc w:val="left"/>
              <w:rPr>
                <w:rFonts w:hAnsi="宋体" w:cs="宋体"/>
                <w:color w:val="auto"/>
              </w:rPr>
            </w:pPr>
            <w:r>
              <w:rPr>
                <w:rFonts w:hint="eastAsia" w:hAnsi="宋体" w:cs="宋体"/>
                <w:color w:val="auto"/>
              </w:rPr>
              <w:t>（4）投标人应承担所有与参加投标有关的自身的所有费用，不论采购的结果如何，采购代理机构和采购人在任何情况下均无义务和责任承担这些费用。</w:t>
            </w:r>
          </w:p>
          <w:p w14:paraId="5856D1C8">
            <w:pPr>
              <w:pStyle w:val="6"/>
              <w:topLinePunct/>
              <w:spacing w:line="360" w:lineRule="auto"/>
              <w:jc w:val="left"/>
              <w:rPr>
                <w:rFonts w:hAnsi="宋体" w:cs="宋体"/>
                <w:color w:val="auto"/>
              </w:rPr>
            </w:pPr>
            <w:r>
              <w:rPr>
                <w:rFonts w:hint="eastAsia" w:hAnsi="宋体" w:cs="宋体"/>
                <w:color w:val="auto"/>
              </w:rPr>
              <w:t>（5）有关本项目实施所需的所有费用（含税费）均计入报价。开标一览表（报价表）是报价的唯一载体。投标文件中价格全部采用人民币报价。招标文件未列明，而投标人认为必需的费用也需列入报价。</w:t>
            </w:r>
          </w:p>
          <w:p w14:paraId="3B1C628F">
            <w:pPr>
              <w:pStyle w:val="6"/>
              <w:topLinePunct/>
              <w:spacing w:line="360" w:lineRule="auto"/>
              <w:jc w:val="left"/>
              <w:rPr>
                <w:rFonts w:hAnsi="宋体" w:cs="宋体"/>
                <w:b/>
                <w:bCs/>
                <w:color w:val="auto"/>
              </w:rPr>
            </w:pPr>
            <w:r>
              <w:rPr>
                <w:rFonts w:hint="eastAsia" w:hAnsi="宋体" w:cs="宋体"/>
                <w:b/>
                <w:bCs/>
                <w:color w:val="auto"/>
              </w:rPr>
              <w:t>投标报价出现下列情形的，投标无效：</w:t>
            </w:r>
          </w:p>
          <w:p w14:paraId="273510A4">
            <w:pPr>
              <w:pStyle w:val="6"/>
              <w:topLinePunct/>
              <w:spacing w:line="360" w:lineRule="auto"/>
              <w:jc w:val="left"/>
              <w:rPr>
                <w:rFonts w:hAnsi="宋体" w:cs="宋体"/>
                <w:color w:val="auto"/>
              </w:rPr>
            </w:pPr>
            <w:r>
              <w:rPr>
                <w:rFonts w:hint="eastAsia" w:hAnsi="宋体" w:cs="宋体"/>
                <w:color w:val="auto"/>
              </w:rPr>
              <w:t>①投标文件出现不是唯一的、有选择性投标报价的；</w:t>
            </w:r>
          </w:p>
          <w:p w14:paraId="620F8A1B">
            <w:pPr>
              <w:pStyle w:val="6"/>
              <w:topLinePunct/>
              <w:spacing w:line="360" w:lineRule="auto"/>
              <w:jc w:val="left"/>
              <w:rPr>
                <w:rFonts w:hAnsi="宋体" w:cs="宋体"/>
                <w:color w:val="auto"/>
              </w:rPr>
            </w:pPr>
            <w:r>
              <w:rPr>
                <w:rFonts w:hint="eastAsia" w:hAnsi="宋体" w:cs="宋体"/>
                <w:color w:val="auto"/>
              </w:rPr>
              <w:t>②投标报价超过招标文件中规定的预算金额或者最高限价的；</w:t>
            </w:r>
          </w:p>
          <w:p w14:paraId="1DB28447">
            <w:pPr>
              <w:pStyle w:val="6"/>
              <w:topLinePunct/>
              <w:spacing w:line="360" w:lineRule="auto"/>
              <w:jc w:val="left"/>
              <w:rPr>
                <w:rFonts w:hAnsi="宋体" w:cs="宋体"/>
                <w:color w:val="auto"/>
              </w:rPr>
            </w:pPr>
            <w:r>
              <w:rPr>
                <w:rFonts w:hint="eastAsia" w:hAnsi="宋体" w:cs="宋体"/>
                <w:color w:val="auto"/>
              </w:rPr>
              <w:t>③报价明显低于其他通过符合性审查投标人的报价，有可能影响产品质量或者不能诚信履约的，未能按要求提供书面说明或者提交相关证明材料证明其报价合理性的；</w:t>
            </w:r>
          </w:p>
          <w:p w14:paraId="7E1DED68">
            <w:pPr>
              <w:pStyle w:val="6"/>
              <w:topLinePunct/>
              <w:spacing w:line="360" w:lineRule="auto"/>
              <w:jc w:val="left"/>
              <w:rPr>
                <w:rFonts w:hAnsi="宋体" w:cs="宋体"/>
                <w:color w:val="auto"/>
              </w:rPr>
            </w:pPr>
            <w:r>
              <w:rPr>
                <w:rFonts w:hint="eastAsia" w:hAnsi="宋体" w:cs="宋体"/>
                <w:color w:val="auto"/>
              </w:rPr>
              <w:t>④投标人对根据修正原则修正后的报价不确认的。</w:t>
            </w:r>
          </w:p>
          <w:p w14:paraId="4EFCD8C3">
            <w:pPr>
              <w:pStyle w:val="6"/>
              <w:topLinePunct/>
              <w:spacing w:line="360" w:lineRule="auto"/>
              <w:jc w:val="left"/>
              <w:rPr>
                <w:rFonts w:hAnsi="宋体" w:cs="宋体"/>
                <w:color w:val="auto"/>
              </w:rPr>
            </w:pPr>
            <w:r>
              <w:rPr>
                <w:rFonts w:hint="eastAsia" w:hAnsi="宋体" w:cs="宋体"/>
                <w:color w:val="auto"/>
              </w:rPr>
              <w:t>（6）代理服务费：代理服务费以单个项目（或标段）成交通知书的成交金额为计费基数，按《云南省建设工程招标代理服务收费指导意见》收费标准收取，本项目代理服务费由成交单位支付。</w:t>
            </w:r>
          </w:p>
        </w:tc>
      </w:tr>
      <w:tr w14:paraId="56E07D2E">
        <w:tblPrEx>
          <w:tblCellMar>
            <w:top w:w="0" w:type="dxa"/>
            <w:left w:w="0" w:type="dxa"/>
            <w:bottom w:w="0" w:type="dxa"/>
            <w:right w:w="0" w:type="dxa"/>
          </w:tblCellMar>
        </w:tblPrEx>
        <w:trPr>
          <w:trHeight w:val="680"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206A1377">
            <w:pPr>
              <w:spacing w:line="360" w:lineRule="auto"/>
              <w:jc w:val="center"/>
              <w:rPr>
                <w:rFonts w:ascii="宋体" w:hAnsi="宋体" w:cs="宋体"/>
                <w:color w:val="auto"/>
                <w:sz w:val="24"/>
              </w:rPr>
            </w:pPr>
            <w:r>
              <w:rPr>
                <w:rFonts w:hint="eastAsia" w:ascii="宋体" w:hAnsi="宋体" w:cs="宋体"/>
                <w:color w:val="auto"/>
                <w:sz w:val="24"/>
              </w:rPr>
              <w:t>3.3.1</w:t>
            </w:r>
          </w:p>
        </w:tc>
        <w:tc>
          <w:tcPr>
            <w:tcW w:w="1638" w:type="dxa"/>
            <w:tcBorders>
              <w:top w:val="single" w:color="auto" w:sz="8" w:space="0"/>
              <w:left w:val="nil"/>
              <w:bottom w:val="single" w:color="auto" w:sz="8" w:space="0"/>
              <w:right w:val="single" w:color="auto" w:sz="8" w:space="0"/>
            </w:tcBorders>
            <w:vAlign w:val="center"/>
          </w:tcPr>
          <w:p w14:paraId="24413353">
            <w:pPr>
              <w:spacing w:line="360" w:lineRule="auto"/>
              <w:jc w:val="center"/>
              <w:rPr>
                <w:rFonts w:ascii="宋体" w:hAnsi="宋体" w:cs="宋体"/>
                <w:color w:val="auto"/>
                <w:sz w:val="24"/>
              </w:rPr>
            </w:pPr>
            <w:r>
              <w:rPr>
                <w:rFonts w:hint="eastAsia" w:ascii="宋体" w:hAnsi="宋体" w:cs="宋体"/>
                <w:color w:val="auto"/>
                <w:sz w:val="24"/>
              </w:rPr>
              <w:t>投标有效期</w:t>
            </w:r>
          </w:p>
        </w:tc>
        <w:tc>
          <w:tcPr>
            <w:tcW w:w="7196" w:type="dxa"/>
            <w:tcBorders>
              <w:top w:val="single" w:color="auto" w:sz="8" w:space="0"/>
              <w:left w:val="nil"/>
              <w:bottom w:val="single" w:color="auto" w:sz="8" w:space="0"/>
              <w:right w:val="single" w:color="auto" w:sz="8" w:space="0"/>
            </w:tcBorders>
            <w:vAlign w:val="center"/>
          </w:tcPr>
          <w:p w14:paraId="7C8A8AAB">
            <w:pPr>
              <w:spacing w:line="360" w:lineRule="auto"/>
              <w:jc w:val="left"/>
              <w:rPr>
                <w:rFonts w:ascii="宋体" w:hAnsi="宋体" w:cs="宋体"/>
                <w:color w:val="auto"/>
                <w:sz w:val="24"/>
              </w:rPr>
            </w:pPr>
            <w:r>
              <w:rPr>
                <w:rFonts w:hint="eastAsia" w:ascii="宋体" w:hAnsi="宋体" w:cs="宋体"/>
                <w:color w:val="auto"/>
                <w:sz w:val="24"/>
              </w:rPr>
              <w:t>投标有效期为90日历天（从投标截止之日算起）。</w:t>
            </w:r>
          </w:p>
        </w:tc>
      </w:tr>
      <w:tr w14:paraId="00115A94">
        <w:tblPrEx>
          <w:tblCellMar>
            <w:top w:w="0" w:type="dxa"/>
            <w:left w:w="0" w:type="dxa"/>
            <w:bottom w:w="0" w:type="dxa"/>
            <w:right w:w="0" w:type="dxa"/>
          </w:tblCellMar>
        </w:tblPrEx>
        <w:trPr>
          <w:trHeight w:val="760"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7BE44080">
            <w:pPr>
              <w:spacing w:line="360" w:lineRule="auto"/>
              <w:jc w:val="center"/>
              <w:rPr>
                <w:rFonts w:ascii="宋体" w:hAnsi="宋体" w:cs="宋体"/>
                <w:color w:val="auto"/>
                <w:sz w:val="24"/>
              </w:rPr>
            </w:pPr>
            <w:r>
              <w:rPr>
                <w:rFonts w:hint="eastAsia" w:ascii="宋体" w:hAnsi="宋体" w:cs="宋体"/>
                <w:color w:val="auto"/>
                <w:sz w:val="24"/>
              </w:rPr>
              <w:t>3.4.1</w:t>
            </w:r>
          </w:p>
        </w:tc>
        <w:tc>
          <w:tcPr>
            <w:tcW w:w="1638" w:type="dxa"/>
            <w:tcBorders>
              <w:top w:val="single" w:color="auto" w:sz="8" w:space="0"/>
              <w:left w:val="nil"/>
              <w:bottom w:val="single" w:color="auto" w:sz="8" w:space="0"/>
              <w:right w:val="single" w:color="auto" w:sz="8" w:space="0"/>
            </w:tcBorders>
            <w:vAlign w:val="center"/>
          </w:tcPr>
          <w:p w14:paraId="1C026B64">
            <w:pPr>
              <w:spacing w:line="360" w:lineRule="auto"/>
              <w:jc w:val="center"/>
              <w:rPr>
                <w:rFonts w:ascii="宋体" w:hAnsi="宋体" w:cs="宋体"/>
                <w:color w:val="auto"/>
                <w:sz w:val="24"/>
              </w:rPr>
            </w:pPr>
            <w:r>
              <w:rPr>
                <w:rFonts w:hint="eastAsia" w:ascii="宋体" w:hAnsi="宋体" w:cs="宋体"/>
                <w:color w:val="auto"/>
                <w:sz w:val="24"/>
              </w:rPr>
              <w:t>投标保证金</w:t>
            </w:r>
          </w:p>
        </w:tc>
        <w:tc>
          <w:tcPr>
            <w:tcW w:w="7196" w:type="dxa"/>
            <w:tcBorders>
              <w:top w:val="single" w:color="auto" w:sz="8" w:space="0"/>
              <w:left w:val="nil"/>
              <w:bottom w:val="single" w:color="auto" w:sz="8" w:space="0"/>
              <w:right w:val="single" w:color="auto" w:sz="8" w:space="0"/>
            </w:tcBorders>
            <w:vAlign w:val="center"/>
          </w:tcPr>
          <w:p w14:paraId="6B463E7F">
            <w:pPr>
              <w:spacing w:line="360" w:lineRule="auto"/>
              <w:jc w:val="left"/>
              <w:rPr>
                <w:rFonts w:ascii="宋体" w:hAnsi="宋体" w:cs="宋体"/>
                <w:b/>
                <w:bCs/>
                <w:color w:val="auto"/>
                <w:sz w:val="24"/>
              </w:rPr>
            </w:pPr>
            <w:r>
              <w:rPr>
                <w:rFonts w:hint="eastAsia" w:ascii="宋体" w:hAnsi="宋体" w:cs="宋体"/>
                <w:b/>
                <w:bCs/>
                <w:color w:val="auto"/>
                <w:sz w:val="24"/>
              </w:rPr>
              <w:t>一、投标保证金提交方式</w:t>
            </w:r>
          </w:p>
          <w:p w14:paraId="1ACB0615">
            <w:pPr>
              <w:spacing w:line="360" w:lineRule="auto"/>
              <w:jc w:val="left"/>
              <w:rPr>
                <w:rFonts w:ascii="宋体" w:hAnsi="宋体" w:cs="宋体"/>
                <w:color w:val="auto"/>
                <w:sz w:val="24"/>
              </w:rPr>
            </w:pPr>
            <w:r>
              <w:rPr>
                <w:rFonts w:hint="eastAsia" w:ascii="宋体" w:hAnsi="宋体" w:cs="宋体"/>
                <w:color w:val="auto"/>
                <w:sz w:val="24"/>
              </w:rPr>
              <w:t>保证金的提交方式有三种：银行转账、银行保函、投标保证保险。</w:t>
            </w:r>
          </w:p>
          <w:p w14:paraId="6CBBAF92">
            <w:pPr>
              <w:spacing w:line="360" w:lineRule="auto"/>
              <w:jc w:val="left"/>
              <w:rPr>
                <w:rFonts w:ascii="宋体" w:hAnsi="宋体" w:cs="宋体"/>
                <w:color w:val="auto"/>
                <w:sz w:val="24"/>
              </w:rPr>
            </w:pPr>
            <w:r>
              <w:rPr>
                <w:rFonts w:hint="eastAsia" w:ascii="宋体" w:hAnsi="宋体" w:cs="宋体"/>
                <w:color w:val="auto"/>
                <w:sz w:val="24"/>
              </w:rPr>
              <w:t>（一）银行转账：投标保证金应以供应商自身的名义提交，并且必须从其基本账户转出，不得以分支机构其他名义提交。</w:t>
            </w:r>
          </w:p>
          <w:p w14:paraId="631848CF">
            <w:pPr>
              <w:spacing w:line="360" w:lineRule="auto"/>
              <w:jc w:val="left"/>
              <w:rPr>
                <w:rFonts w:ascii="宋体" w:hAnsi="宋体" w:cs="宋体"/>
                <w:color w:val="auto"/>
                <w:sz w:val="24"/>
              </w:rPr>
            </w:pPr>
            <w:r>
              <w:rPr>
                <w:rFonts w:hint="eastAsia" w:ascii="宋体" w:hAnsi="宋体" w:cs="宋体"/>
                <w:color w:val="auto"/>
                <w:sz w:val="24"/>
              </w:rPr>
              <w:t>（二）银行保函：保函申请人必须是供应商，受益人必须是采购人；银行保函必须正确填写受益人和申请人的全称，并与招标文件规定的名称相一致，以免造成投标无效。</w:t>
            </w:r>
          </w:p>
          <w:p w14:paraId="2BF365A1">
            <w:pPr>
              <w:spacing w:line="360" w:lineRule="auto"/>
              <w:jc w:val="left"/>
              <w:rPr>
                <w:rFonts w:ascii="宋体" w:hAnsi="宋体" w:cs="宋体"/>
                <w:color w:val="auto"/>
                <w:sz w:val="24"/>
              </w:rPr>
            </w:pPr>
            <w:r>
              <w:rPr>
                <w:rFonts w:hint="eastAsia" w:ascii="宋体" w:hAnsi="宋体" w:cs="宋体"/>
                <w:color w:val="auto"/>
                <w:sz w:val="24"/>
              </w:rPr>
              <w:t>（三）保证保险：1.当供应商未能按照招标文件要求履行投标义务而导致采购人受到损失时，由保险公司按照保险合同对采购人的损失承担代偿责任。2.供应商在支付投标保证金保险费时，必须使用基本账号资金支付购买，未从基本账户转出支付保费造成经济纠纷的应由企业自行承担。3.在投标保证保险中，供应商为投保人，采购人为被保险人。</w:t>
            </w:r>
          </w:p>
          <w:p w14:paraId="19267F28">
            <w:pPr>
              <w:spacing w:line="360" w:lineRule="auto"/>
              <w:jc w:val="left"/>
              <w:rPr>
                <w:rFonts w:ascii="宋体" w:hAnsi="宋体" w:cs="宋体"/>
                <w:b/>
                <w:bCs/>
                <w:color w:val="auto"/>
                <w:sz w:val="24"/>
              </w:rPr>
            </w:pPr>
            <w:r>
              <w:rPr>
                <w:rFonts w:hint="eastAsia" w:ascii="宋体" w:hAnsi="宋体" w:cs="宋体"/>
                <w:b/>
                <w:bCs/>
                <w:color w:val="auto"/>
                <w:sz w:val="24"/>
              </w:rPr>
              <w:t>二、投标保证金的提交时间</w:t>
            </w:r>
          </w:p>
          <w:p w14:paraId="6E1BD3E9">
            <w:pPr>
              <w:spacing w:line="360" w:lineRule="auto"/>
              <w:jc w:val="left"/>
              <w:rPr>
                <w:rFonts w:ascii="宋体" w:hAnsi="宋体" w:cs="宋体"/>
                <w:color w:val="auto"/>
                <w:sz w:val="24"/>
              </w:rPr>
            </w:pPr>
            <w:r>
              <w:rPr>
                <w:rFonts w:hint="eastAsia" w:ascii="宋体" w:hAnsi="宋体" w:cs="宋体"/>
                <w:color w:val="auto"/>
                <w:sz w:val="24"/>
              </w:rPr>
              <w:t>供应商需在投标截止时间前递交保证金。</w:t>
            </w:r>
          </w:p>
          <w:p w14:paraId="310A21C1">
            <w:pPr>
              <w:spacing w:line="360" w:lineRule="auto"/>
              <w:jc w:val="left"/>
              <w:rPr>
                <w:rFonts w:ascii="宋体" w:hAnsi="宋体" w:cs="宋体"/>
                <w:b/>
                <w:bCs/>
                <w:color w:val="auto"/>
                <w:sz w:val="24"/>
              </w:rPr>
            </w:pPr>
            <w:r>
              <w:rPr>
                <w:rFonts w:hint="eastAsia" w:ascii="宋体" w:hAnsi="宋体" w:cs="宋体"/>
                <w:b/>
                <w:bCs/>
                <w:color w:val="auto"/>
                <w:sz w:val="24"/>
              </w:rPr>
              <w:t>三、投标保证金的办理程序</w:t>
            </w:r>
          </w:p>
          <w:p w14:paraId="1EE3DC2E">
            <w:pPr>
              <w:spacing w:line="360" w:lineRule="auto"/>
              <w:jc w:val="left"/>
              <w:rPr>
                <w:rFonts w:ascii="宋体" w:hAnsi="宋体" w:cs="宋体"/>
                <w:b/>
                <w:bCs/>
                <w:color w:val="auto"/>
                <w:sz w:val="24"/>
              </w:rPr>
            </w:pPr>
            <w:r>
              <w:rPr>
                <w:color w:val="auto"/>
              </w:rPr>
              <w:fldChar w:fldCharType="begin"/>
            </w:r>
            <w:r>
              <w:rPr>
                <w:color w:val="auto"/>
              </w:rPr>
              <w:instrText xml:space="preserve"> AUTOTEXT  input534 \* MERGEFORMAT </w:instrText>
            </w:r>
            <w:r>
              <w:rPr>
                <w:color w:val="auto"/>
              </w:rPr>
              <w:fldChar w:fldCharType="separate"/>
            </w:r>
            <w:r>
              <w:rPr>
                <w:rFonts w:hint="eastAsia" w:ascii="宋体" w:hAnsi="宋体" w:cs="宋体"/>
                <w:b/>
                <w:bCs/>
                <w:color w:val="auto"/>
                <w:sz w:val="24"/>
              </w:rPr>
              <w:t>☑</w:t>
            </w:r>
            <w:r>
              <w:rPr>
                <w:rFonts w:hint="eastAsia" w:ascii="宋体" w:hAnsi="宋体" w:cs="宋体"/>
                <w:b/>
                <w:bCs/>
                <w:color w:val="auto"/>
                <w:sz w:val="24"/>
              </w:rPr>
              <w:fldChar w:fldCharType="end"/>
            </w:r>
            <w:r>
              <w:rPr>
                <w:rFonts w:hint="eastAsia" w:ascii="宋体" w:hAnsi="宋体" w:cs="宋体"/>
                <w:b/>
                <w:bCs/>
                <w:color w:val="auto"/>
                <w:sz w:val="24"/>
              </w:rPr>
              <w:t>（一）采用银行转账方式：</w:t>
            </w:r>
          </w:p>
          <w:p w14:paraId="5EE34E24">
            <w:pPr>
              <w:spacing w:line="360" w:lineRule="auto"/>
              <w:jc w:val="left"/>
              <w:rPr>
                <w:rFonts w:hint="eastAsia" w:ascii="宋体" w:hAnsi="宋体" w:eastAsia="宋体" w:cs="宋体"/>
                <w:color w:val="auto"/>
                <w:sz w:val="24"/>
                <w:lang w:eastAsia="zh-CN"/>
              </w:rPr>
            </w:pPr>
            <w:r>
              <w:rPr>
                <w:rFonts w:hint="eastAsia" w:ascii="宋体" w:hAnsi="宋体" w:cs="宋体"/>
                <w:color w:val="auto"/>
                <w:sz w:val="24"/>
              </w:rPr>
              <w:t>项目名称：</w:t>
            </w:r>
            <w:r>
              <w:rPr>
                <w:rFonts w:hint="eastAsia" w:ascii="宋体" w:hAnsi="宋体" w:cs="宋体"/>
                <w:color w:val="auto"/>
                <w:sz w:val="24"/>
                <w:lang w:eastAsia="zh-CN"/>
              </w:rPr>
              <w:t>交管大队瑞丽市区货车入城禁、限行管控设备项目</w:t>
            </w:r>
          </w:p>
          <w:p w14:paraId="28D4C244">
            <w:pPr>
              <w:spacing w:line="360" w:lineRule="auto"/>
              <w:jc w:val="left"/>
              <w:rPr>
                <w:rFonts w:ascii="宋体" w:hAnsi="宋体" w:cs="宋体"/>
                <w:color w:val="auto"/>
                <w:sz w:val="24"/>
              </w:rPr>
            </w:pPr>
            <w:r>
              <w:rPr>
                <w:rFonts w:hint="eastAsia" w:ascii="宋体" w:hAnsi="宋体" w:cs="宋体"/>
                <w:color w:val="auto"/>
                <w:sz w:val="24"/>
              </w:rPr>
              <w:t>保证金金额：贰万伍仟元整（¥25000.00）</w:t>
            </w:r>
          </w:p>
          <w:p w14:paraId="6BDEDA36">
            <w:pPr>
              <w:spacing w:line="360" w:lineRule="auto"/>
              <w:jc w:val="left"/>
              <w:rPr>
                <w:rFonts w:hint="eastAsia" w:ascii="宋体" w:hAnsi="宋体" w:eastAsia="宋体" w:cs="宋体"/>
                <w:color w:val="auto"/>
                <w:sz w:val="24"/>
                <w:lang w:eastAsia="zh-CN"/>
              </w:rPr>
            </w:pPr>
            <w:r>
              <w:rPr>
                <w:rFonts w:hint="eastAsia" w:ascii="宋体" w:hAnsi="宋体" w:cs="宋体"/>
                <w:color w:val="auto"/>
                <w:sz w:val="24"/>
              </w:rPr>
              <w:t>户名：</w:t>
            </w:r>
            <w:r>
              <w:rPr>
                <w:rFonts w:hint="eastAsia" w:ascii="宋体" w:hAnsi="宋体" w:cs="宋体"/>
                <w:color w:val="auto"/>
                <w:sz w:val="24"/>
                <w:lang w:eastAsia="zh-CN"/>
              </w:rPr>
              <w:t>德宏傲亿工程管理咨询有限公司</w:t>
            </w:r>
          </w:p>
          <w:p w14:paraId="430EBB99">
            <w:pPr>
              <w:spacing w:line="360" w:lineRule="auto"/>
              <w:jc w:val="left"/>
              <w:rPr>
                <w:rFonts w:ascii="宋体" w:hAnsi="宋体" w:cs="宋体"/>
                <w:color w:val="auto"/>
                <w:sz w:val="24"/>
              </w:rPr>
            </w:pPr>
            <w:r>
              <w:rPr>
                <w:rFonts w:hint="eastAsia" w:ascii="宋体" w:hAnsi="宋体" w:cs="宋体"/>
                <w:color w:val="auto"/>
                <w:sz w:val="24"/>
              </w:rPr>
              <w:t>账号：</w:t>
            </w:r>
            <w:r>
              <w:rPr>
                <w:rFonts w:hint="eastAsia" w:ascii="宋体" w:hAnsi="宋体" w:cs="宋体"/>
                <w:color w:val="auto"/>
                <w:sz w:val="24"/>
                <w:lang w:eastAsia="zh-CN"/>
              </w:rPr>
              <w:t>53050173723600001483</w:t>
            </w:r>
            <w:r>
              <w:rPr>
                <w:rFonts w:hint="eastAsia" w:ascii="宋体" w:hAnsi="宋体" w:cs="宋体"/>
                <w:color w:val="auto"/>
                <w:sz w:val="24"/>
              </w:rPr>
              <w:t xml:space="preserve">    </w:t>
            </w:r>
          </w:p>
          <w:p w14:paraId="40639C0F">
            <w:pPr>
              <w:spacing w:line="360" w:lineRule="auto"/>
              <w:jc w:val="left"/>
              <w:rPr>
                <w:rFonts w:ascii="宋体" w:hAnsi="宋体" w:cs="宋体"/>
                <w:color w:val="auto"/>
                <w:sz w:val="24"/>
              </w:rPr>
            </w:pPr>
            <w:r>
              <w:rPr>
                <w:rFonts w:hint="eastAsia" w:ascii="宋体" w:hAnsi="宋体" w:cs="宋体"/>
                <w:color w:val="auto"/>
                <w:sz w:val="24"/>
              </w:rPr>
              <w:t>开户行：</w:t>
            </w:r>
            <w:r>
              <w:rPr>
                <w:rFonts w:hint="eastAsia" w:ascii="宋体" w:hAnsi="宋体" w:cs="宋体"/>
                <w:color w:val="auto"/>
                <w:sz w:val="24"/>
                <w:lang w:eastAsia="zh-CN"/>
              </w:rPr>
              <w:t>中国建设银行股份有限公司瑞丽支行</w:t>
            </w:r>
            <w:r>
              <w:rPr>
                <w:rFonts w:hint="eastAsia" w:ascii="宋体" w:hAnsi="宋体" w:cs="宋体"/>
                <w:color w:val="auto"/>
                <w:sz w:val="24"/>
              </w:rPr>
              <w:t xml:space="preserve"> </w:t>
            </w:r>
          </w:p>
          <w:p w14:paraId="77D7B10E">
            <w:pPr>
              <w:spacing w:line="360" w:lineRule="auto"/>
              <w:jc w:val="left"/>
              <w:rPr>
                <w:rFonts w:hint="default" w:ascii="宋体" w:hAnsi="宋体" w:eastAsia="宋体" w:cs="宋体"/>
                <w:color w:val="auto"/>
                <w:sz w:val="24"/>
                <w:lang w:val="en-US" w:eastAsia="zh-CN"/>
              </w:rPr>
            </w:pPr>
            <w:r>
              <w:rPr>
                <w:rFonts w:hint="eastAsia" w:ascii="宋体" w:hAnsi="宋体" w:cs="宋体"/>
                <w:color w:val="auto"/>
                <w:sz w:val="24"/>
              </w:rPr>
              <w:t>财务室联系电话：</w:t>
            </w:r>
            <w:r>
              <w:rPr>
                <w:rFonts w:hint="eastAsia" w:ascii="宋体" w:hAnsi="宋体" w:cs="宋体"/>
                <w:color w:val="auto"/>
                <w:sz w:val="24"/>
                <w:lang w:val="en-US" w:eastAsia="zh-CN"/>
              </w:rPr>
              <w:t>18988239117</w:t>
            </w:r>
          </w:p>
          <w:p w14:paraId="5C2AC0E0">
            <w:pPr>
              <w:spacing w:line="360" w:lineRule="auto"/>
              <w:jc w:val="left"/>
              <w:rPr>
                <w:rFonts w:ascii="宋体" w:hAnsi="宋体" w:cs="宋体"/>
                <w:color w:val="auto"/>
                <w:sz w:val="24"/>
              </w:rPr>
            </w:pPr>
            <w:r>
              <w:rPr>
                <w:rFonts w:hint="eastAsia" w:ascii="宋体" w:hAnsi="宋体" w:cs="宋体"/>
                <w:color w:val="auto"/>
                <w:sz w:val="24"/>
              </w:rPr>
              <w:t>办理程序：</w:t>
            </w:r>
          </w:p>
          <w:p w14:paraId="72BC437C">
            <w:pPr>
              <w:spacing w:line="360" w:lineRule="auto"/>
              <w:jc w:val="left"/>
              <w:rPr>
                <w:rFonts w:ascii="宋体" w:hAnsi="宋体" w:cs="宋体"/>
                <w:color w:val="auto"/>
                <w:sz w:val="24"/>
              </w:rPr>
            </w:pPr>
            <w:r>
              <w:rPr>
                <w:rFonts w:hint="eastAsia" w:ascii="宋体" w:hAnsi="宋体" w:cs="宋体"/>
                <w:color w:val="auto"/>
                <w:sz w:val="24"/>
              </w:rPr>
              <w:t>于投标截止时间前（建议投标截止时间前1个工作日）从供应商的基本账户汇入，并保证开标时必须到户，转账时需注明项目名称。</w:t>
            </w:r>
          </w:p>
          <w:p w14:paraId="6C03AB04">
            <w:pPr>
              <w:spacing w:line="360" w:lineRule="auto"/>
              <w:jc w:val="left"/>
              <w:rPr>
                <w:rFonts w:ascii="宋体" w:hAnsi="宋体" w:cs="宋体"/>
                <w:b/>
                <w:bCs/>
                <w:color w:val="auto"/>
                <w:sz w:val="24"/>
              </w:rPr>
            </w:pPr>
            <w:r>
              <w:rPr>
                <w:color w:val="auto"/>
              </w:rPr>
              <w:fldChar w:fldCharType="begin"/>
            </w:r>
            <w:r>
              <w:rPr>
                <w:color w:val="auto"/>
              </w:rPr>
              <w:instrText xml:space="preserve"> AUTOTEXT  input535 \* MERGEFORMAT </w:instrText>
            </w:r>
            <w:r>
              <w:rPr>
                <w:color w:val="auto"/>
              </w:rPr>
              <w:fldChar w:fldCharType="separate"/>
            </w:r>
            <w:r>
              <w:rPr>
                <w:rFonts w:hint="eastAsia" w:ascii="宋体" w:hAnsi="宋体" w:cs="宋体"/>
                <w:b/>
                <w:bCs/>
                <w:color w:val="auto"/>
                <w:sz w:val="24"/>
              </w:rPr>
              <w:t>☑</w:t>
            </w:r>
            <w:r>
              <w:rPr>
                <w:rFonts w:hint="eastAsia" w:ascii="宋体" w:hAnsi="宋体" w:cs="宋体"/>
                <w:b/>
                <w:bCs/>
                <w:color w:val="auto"/>
                <w:sz w:val="24"/>
              </w:rPr>
              <w:fldChar w:fldCharType="end"/>
            </w:r>
            <w:r>
              <w:rPr>
                <w:rFonts w:hint="eastAsia" w:ascii="宋体" w:hAnsi="宋体" w:cs="宋体"/>
                <w:b/>
                <w:bCs/>
                <w:color w:val="auto"/>
                <w:sz w:val="24"/>
              </w:rPr>
              <w:t>（二）采用银行保函方式：</w:t>
            </w:r>
          </w:p>
          <w:p w14:paraId="5EE3C210">
            <w:pPr>
              <w:spacing w:line="360" w:lineRule="auto"/>
              <w:jc w:val="left"/>
              <w:rPr>
                <w:rFonts w:hint="eastAsia" w:ascii="宋体" w:hAnsi="宋体" w:eastAsia="宋体" w:cs="宋体"/>
                <w:color w:val="auto"/>
                <w:sz w:val="24"/>
                <w:lang w:eastAsia="zh-CN"/>
              </w:rPr>
            </w:pPr>
            <w:r>
              <w:rPr>
                <w:rFonts w:hint="eastAsia" w:ascii="宋体" w:hAnsi="宋体" w:cs="宋体"/>
                <w:color w:val="auto"/>
                <w:sz w:val="24"/>
              </w:rPr>
              <w:t>项目名称：</w:t>
            </w:r>
            <w:r>
              <w:rPr>
                <w:rFonts w:hint="eastAsia" w:ascii="宋体" w:hAnsi="宋体" w:cs="宋体"/>
                <w:color w:val="auto"/>
                <w:sz w:val="24"/>
                <w:lang w:eastAsia="zh-CN"/>
              </w:rPr>
              <w:t>交管大队瑞丽市区货车入城禁、限行管控设备项目</w:t>
            </w:r>
          </w:p>
          <w:p w14:paraId="22B99427">
            <w:pPr>
              <w:spacing w:line="360" w:lineRule="auto"/>
              <w:jc w:val="left"/>
              <w:rPr>
                <w:rFonts w:ascii="宋体" w:hAnsi="宋体" w:cs="宋体"/>
                <w:color w:val="auto"/>
                <w:sz w:val="24"/>
              </w:rPr>
            </w:pPr>
            <w:r>
              <w:rPr>
                <w:rFonts w:hint="eastAsia" w:ascii="宋体" w:hAnsi="宋体" w:cs="宋体"/>
                <w:color w:val="auto"/>
                <w:sz w:val="24"/>
              </w:rPr>
              <w:t>保证金金额：贰万伍仟元整（¥25000.00）</w:t>
            </w:r>
          </w:p>
          <w:p w14:paraId="616368F6">
            <w:pPr>
              <w:spacing w:line="360" w:lineRule="auto"/>
              <w:jc w:val="left"/>
              <w:rPr>
                <w:rFonts w:ascii="宋体" w:hAnsi="宋体" w:cs="宋体"/>
                <w:color w:val="auto"/>
                <w:sz w:val="24"/>
              </w:rPr>
            </w:pPr>
            <w:r>
              <w:rPr>
                <w:rFonts w:hint="eastAsia" w:ascii="宋体" w:hAnsi="宋体" w:cs="宋体"/>
                <w:color w:val="auto"/>
                <w:sz w:val="24"/>
              </w:rPr>
              <w:t>办理程序：</w:t>
            </w:r>
          </w:p>
          <w:p w14:paraId="1D0069B3">
            <w:pPr>
              <w:spacing w:line="360" w:lineRule="auto"/>
              <w:jc w:val="left"/>
              <w:rPr>
                <w:rFonts w:ascii="宋体" w:hAnsi="宋体" w:cs="宋体"/>
                <w:color w:val="auto"/>
                <w:sz w:val="24"/>
              </w:rPr>
            </w:pPr>
            <w:r>
              <w:rPr>
                <w:rFonts w:hint="eastAsia" w:ascii="宋体" w:hAnsi="宋体" w:cs="宋体"/>
                <w:color w:val="auto"/>
                <w:sz w:val="24"/>
              </w:rPr>
              <w:t>潜在供应商银行保函必须在规定的投标截止时间前递交至托管银行。</w:t>
            </w:r>
          </w:p>
          <w:p w14:paraId="272DAB20">
            <w:pPr>
              <w:spacing w:line="360" w:lineRule="auto"/>
              <w:jc w:val="left"/>
              <w:rPr>
                <w:rFonts w:ascii="宋体" w:hAnsi="宋体" w:cs="宋体"/>
                <w:color w:val="auto"/>
                <w:sz w:val="24"/>
              </w:rPr>
            </w:pPr>
            <w:r>
              <w:rPr>
                <w:color w:val="auto"/>
              </w:rPr>
              <w:fldChar w:fldCharType="begin"/>
            </w:r>
            <w:r>
              <w:rPr>
                <w:color w:val="auto"/>
              </w:rPr>
              <w:instrText xml:space="preserve"> AUTOTEXT  input536 \* MERGEFORMAT </w:instrText>
            </w:r>
            <w:r>
              <w:rPr>
                <w:color w:val="auto"/>
              </w:rPr>
              <w:fldChar w:fldCharType="separate"/>
            </w:r>
            <w:r>
              <w:rPr>
                <w:rFonts w:hint="eastAsia" w:ascii="宋体" w:hAnsi="宋体" w:cs="宋体"/>
                <w:b/>
                <w:bCs/>
                <w:color w:val="auto"/>
                <w:sz w:val="24"/>
              </w:rPr>
              <w:t>☑</w:t>
            </w:r>
            <w:r>
              <w:rPr>
                <w:rFonts w:hint="eastAsia" w:ascii="宋体" w:hAnsi="宋体" w:cs="宋体"/>
                <w:b/>
                <w:bCs/>
                <w:color w:val="auto"/>
                <w:sz w:val="24"/>
              </w:rPr>
              <w:fldChar w:fldCharType="end"/>
            </w:r>
            <w:r>
              <w:rPr>
                <w:rFonts w:hint="eastAsia" w:ascii="宋体" w:hAnsi="宋体" w:cs="宋体"/>
                <w:b/>
                <w:bCs/>
                <w:color w:val="auto"/>
                <w:sz w:val="24"/>
              </w:rPr>
              <w:t>（三）采用投标保证保险方式</w:t>
            </w:r>
            <w:r>
              <w:rPr>
                <w:rFonts w:hint="eastAsia" w:ascii="宋体" w:hAnsi="宋体" w:cs="宋体"/>
                <w:color w:val="auto"/>
                <w:sz w:val="24"/>
              </w:rPr>
              <w:t>：</w:t>
            </w:r>
          </w:p>
          <w:p w14:paraId="74BB4804">
            <w:pPr>
              <w:spacing w:line="360" w:lineRule="auto"/>
              <w:jc w:val="left"/>
              <w:rPr>
                <w:rFonts w:hint="eastAsia" w:ascii="宋体" w:hAnsi="宋体" w:eastAsia="宋体" w:cs="宋体"/>
                <w:color w:val="auto"/>
                <w:sz w:val="24"/>
                <w:lang w:eastAsia="zh-CN"/>
              </w:rPr>
            </w:pPr>
            <w:r>
              <w:rPr>
                <w:rFonts w:hint="eastAsia" w:ascii="宋体" w:hAnsi="宋体" w:cs="宋体"/>
                <w:color w:val="auto"/>
                <w:sz w:val="24"/>
              </w:rPr>
              <w:t>项目名称：</w:t>
            </w:r>
            <w:r>
              <w:rPr>
                <w:rFonts w:hint="eastAsia" w:ascii="宋体" w:hAnsi="宋体" w:cs="宋体"/>
                <w:color w:val="auto"/>
                <w:sz w:val="24"/>
                <w:lang w:eastAsia="zh-CN"/>
              </w:rPr>
              <w:t>交管大队瑞丽市区货车入城禁、限行管控设备项目</w:t>
            </w:r>
          </w:p>
          <w:p w14:paraId="28608663">
            <w:pPr>
              <w:spacing w:line="360" w:lineRule="auto"/>
              <w:jc w:val="left"/>
              <w:rPr>
                <w:rFonts w:ascii="宋体" w:hAnsi="宋体" w:cs="宋体"/>
                <w:color w:val="auto"/>
                <w:sz w:val="24"/>
              </w:rPr>
            </w:pPr>
            <w:r>
              <w:rPr>
                <w:rFonts w:hint="eastAsia" w:ascii="宋体" w:hAnsi="宋体" w:cs="宋体"/>
                <w:color w:val="auto"/>
                <w:sz w:val="24"/>
              </w:rPr>
              <w:t>保证金金额：贰万伍仟元整（¥25000.00）</w:t>
            </w:r>
          </w:p>
          <w:p w14:paraId="4B78B5E6">
            <w:pPr>
              <w:spacing w:line="360" w:lineRule="auto"/>
              <w:jc w:val="left"/>
              <w:rPr>
                <w:rFonts w:ascii="宋体" w:hAnsi="宋体" w:cs="宋体"/>
                <w:color w:val="auto"/>
                <w:sz w:val="24"/>
              </w:rPr>
            </w:pPr>
            <w:r>
              <w:rPr>
                <w:rFonts w:hint="eastAsia" w:ascii="宋体" w:hAnsi="宋体" w:cs="宋体"/>
                <w:color w:val="auto"/>
                <w:sz w:val="24"/>
              </w:rPr>
              <w:t>办理程序：投标保证保险的投保人应当在项目投标前与保险公司签订投标保证保险合同。</w:t>
            </w:r>
          </w:p>
          <w:p w14:paraId="579A54D1">
            <w:pPr>
              <w:spacing w:line="360" w:lineRule="auto"/>
              <w:jc w:val="left"/>
              <w:rPr>
                <w:rFonts w:ascii="宋体" w:hAnsi="宋体" w:cs="宋体"/>
                <w:color w:val="auto"/>
                <w:sz w:val="24"/>
              </w:rPr>
            </w:pPr>
            <w:r>
              <w:rPr>
                <w:rFonts w:hint="eastAsia" w:ascii="宋体" w:hAnsi="宋体" w:cs="宋体"/>
                <w:color w:val="auto"/>
                <w:sz w:val="24"/>
              </w:rPr>
              <w:t>注：</w:t>
            </w:r>
          </w:p>
          <w:p w14:paraId="1B420646">
            <w:pPr>
              <w:spacing w:line="360" w:lineRule="auto"/>
              <w:jc w:val="left"/>
              <w:rPr>
                <w:rFonts w:ascii="宋体" w:hAnsi="宋体" w:cs="宋体"/>
                <w:color w:val="auto"/>
                <w:sz w:val="24"/>
              </w:rPr>
            </w:pPr>
            <w:r>
              <w:rPr>
                <w:rFonts w:hint="eastAsia" w:ascii="宋体" w:hAnsi="宋体" w:cs="宋体"/>
                <w:color w:val="auto"/>
                <w:sz w:val="24"/>
              </w:rPr>
              <w:t>1.保证金必须从供应商的基本账户划出；</w:t>
            </w:r>
          </w:p>
          <w:p w14:paraId="7B0F895D">
            <w:pPr>
              <w:spacing w:line="360" w:lineRule="auto"/>
              <w:jc w:val="left"/>
              <w:rPr>
                <w:rFonts w:ascii="宋体" w:hAnsi="宋体" w:cs="宋体"/>
                <w:color w:val="auto"/>
                <w:sz w:val="24"/>
              </w:rPr>
            </w:pPr>
            <w:r>
              <w:rPr>
                <w:rFonts w:hint="eastAsia" w:ascii="宋体" w:hAnsi="宋体" w:cs="宋体"/>
                <w:color w:val="auto"/>
                <w:sz w:val="24"/>
              </w:rPr>
              <w:t>2.保证金到账时间以保证金专用账户实际到账时间为准，未在投标截止时间前到账的保证金无效；</w:t>
            </w:r>
          </w:p>
          <w:p w14:paraId="0239803C">
            <w:pPr>
              <w:spacing w:line="360" w:lineRule="auto"/>
              <w:jc w:val="left"/>
              <w:rPr>
                <w:rFonts w:ascii="宋体" w:hAnsi="宋体" w:cs="宋体"/>
                <w:color w:val="auto"/>
                <w:sz w:val="24"/>
              </w:rPr>
            </w:pPr>
            <w:r>
              <w:rPr>
                <w:rFonts w:hint="eastAsia" w:ascii="宋体" w:hAnsi="宋体" w:cs="宋体"/>
                <w:color w:val="auto"/>
                <w:sz w:val="24"/>
              </w:rPr>
              <w:t>3.拒绝私人账户汇款及银行存现。</w:t>
            </w:r>
          </w:p>
          <w:p w14:paraId="5F947F65">
            <w:pPr>
              <w:spacing w:line="360" w:lineRule="auto"/>
              <w:jc w:val="left"/>
              <w:rPr>
                <w:rFonts w:ascii="宋体" w:hAnsi="宋体" w:cs="宋体"/>
                <w:color w:val="auto"/>
                <w:sz w:val="24"/>
              </w:rPr>
            </w:pPr>
            <w:r>
              <w:rPr>
                <w:rFonts w:hint="eastAsia" w:ascii="宋体" w:hAnsi="宋体" w:cs="宋体"/>
                <w:color w:val="auto"/>
                <w:sz w:val="24"/>
              </w:rPr>
              <w:t>4.请潜在供应商在跨行转账时考虑以下因素：按照人民银行相关规定，跨行转账在工作日下午4点半前办理手续，可以保证实时跨行到账。</w:t>
            </w:r>
          </w:p>
        </w:tc>
      </w:tr>
      <w:tr w14:paraId="63C09CA7">
        <w:tblPrEx>
          <w:tblCellMar>
            <w:top w:w="0" w:type="dxa"/>
            <w:left w:w="0" w:type="dxa"/>
            <w:bottom w:w="0" w:type="dxa"/>
            <w:right w:w="0" w:type="dxa"/>
          </w:tblCellMar>
        </w:tblPrEx>
        <w:trPr>
          <w:trHeight w:val="680"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56B840F3">
            <w:pPr>
              <w:spacing w:line="360" w:lineRule="auto"/>
              <w:jc w:val="center"/>
              <w:rPr>
                <w:rFonts w:ascii="宋体" w:hAnsi="宋体" w:cs="宋体"/>
                <w:color w:val="auto"/>
                <w:sz w:val="24"/>
              </w:rPr>
            </w:pPr>
            <w:r>
              <w:rPr>
                <w:rFonts w:hint="eastAsia" w:ascii="宋体" w:hAnsi="宋体" w:cs="宋体"/>
                <w:color w:val="auto"/>
                <w:sz w:val="24"/>
              </w:rPr>
              <w:t>3.5.1</w:t>
            </w:r>
          </w:p>
        </w:tc>
        <w:tc>
          <w:tcPr>
            <w:tcW w:w="1638" w:type="dxa"/>
            <w:tcBorders>
              <w:top w:val="single" w:color="auto" w:sz="8" w:space="0"/>
              <w:left w:val="nil"/>
              <w:bottom w:val="single" w:color="auto" w:sz="8" w:space="0"/>
              <w:right w:val="single" w:color="auto" w:sz="8" w:space="0"/>
            </w:tcBorders>
            <w:vAlign w:val="center"/>
          </w:tcPr>
          <w:p w14:paraId="13CE5F15">
            <w:pPr>
              <w:spacing w:line="360" w:lineRule="auto"/>
              <w:jc w:val="center"/>
              <w:rPr>
                <w:rFonts w:ascii="宋体" w:hAnsi="宋体" w:cs="宋体"/>
                <w:color w:val="auto"/>
                <w:sz w:val="24"/>
              </w:rPr>
            </w:pPr>
            <w:r>
              <w:rPr>
                <w:rFonts w:hint="eastAsia" w:ascii="宋体" w:hAnsi="宋体" w:cs="宋体"/>
                <w:color w:val="auto"/>
                <w:sz w:val="24"/>
              </w:rPr>
              <w:t>资格审查方式</w:t>
            </w:r>
          </w:p>
        </w:tc>
        <w:tc>
          <w:tcPr>
            <w:tcW w:w="7196" w:type="dxa"/>
            <w:tcBorders>
              <w:top w:val="single" w:color="auto" w:sz="8" w:space="0"/>
              <w:left w:val="nil"/>
              <w:bottom w:val="single" w:color="auto" w:sz="8" w:space="0"/>
              <w:right w:val="single" w:color="auto" w:sz="8" w:space="0"/>
            </w:tcBorders>
            <w:vAlign w:val="center"/>
          </w:tcPr>
          <w:p w14:paraId="79D5554B">
            <w:pPr>
              <w:spacing w:line="360" w:lineRule="auto"/>
              <w:jc w:val="left"/>
              <w:rPr>
                <w:rFonts w:ascii="宋体" w:hAnsi="宋体" w:cs="宋体"/>
                <w:color w:val="auto"/>
                <w:sz w:val="24"/>
              </w:rPr>
            </w:pPr>
            <w:r>
              <w:rPr>
                <w:rFonts w:hint="eastAsia" w:ascii="宋体" w:hAnsi="宋体" w:cs="宋体"/>
                <w:color w:val="auto"/>
                <w:sz w:val="24"/>
              </w:rPr>
              <w:t>本项目采用资格后审</w:t>
            </w:r>
          </w:p>
        </w:tc>
      </w:tr>
      <w:tr w14:paraId="6ED82E4F">
        <w:tblPrEx>
          <w:tblCellMar>
            <w:top w:w="0" w:type="dxa"/>
            <w:left w:w="0" w:type="dxa"/>
            <w:bottom w:w="0" w:type="dxa"/>
            <w:right w:w="0" w:type="dxa"/>
          </w:tblCellMar>
        </w:tblPrEx>
        <w:trPr>
          <w:trHeight w:val="96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37A13E67">
            <w:pPr>
              <w:spacing w:line="360" w:lineRule="auto"/>
              <w:jc w:val="center"/>
              <w:rPr>
                <w:rFonts w:ascii="宋体" w:hAnsi="宋体" w:cs="宋体"/>
                <w:color w:val="auto"/>
                <w:sz w:val="24"/>
              </w:rPr>
            </w:pPr>
            <w:r>
              <w:rPr>
                <w:rFonts w:hint="eastAsia" w:ascii="宋体" w:hAnsi="宋体" w:cs="宋体"/>
                <w:color w:val="auto"/>
                <w:sz w:val="24"/>
              </w:rPr>
              <w:t>3.6.1</w:t>
            </w:r>
          </w:p>
        </w:tc>
        <w:tc>
          <w:tcPr>
            <w:tcW w:w="1638" w:type="dxa"/>
            <w:tcBorders>
              <w:top w:val="single" w:color="auto" w:sz="8" w:space="0"/>
              <w:left w:val="nil"/>
              <w:bottom w:val="single" w:color="auto" w:sz="8" w:space="0"/>
              <w:right w:val="single" w:color="auto" w:sz="8" w:space="0"/>
            </w:tcBorders>
            <w:vAlign w:val="center"/>
          </w:tcPr>
          <w:p w14:paraId="183B6B99">
            <w:pPr>
              <w:spacing w:line="360" w:lineRule="auto"/>
              <w:jc w:val="center"/>
              <w:rPr>
                <w:rFonts w:ascii="宋体" w:hAnsi="宋体" w:cs="宋体"/>
                <w:color w:val="auto"/>
                <w:sz w:val="24"/>
              </w:rPr>
            </w:pPr>
            <w:r>
              <w:rPr>
                <w:rFonts w:hint="eastAsia" w:ascii="宋体" w:hAnsi="宋体" w:cs="宋体"/>
                <w:color w:val="auto"/>
                <w:sz w:val="24"/>
              </w:rPr>
              <w:t>是否允许递交备选投标方案</w:t>
            </w:r>
          </w:p>
        </w:tc>
        <w:tc>
          <w:tcPr>
            <w:tcW w:w="7196" w:type="dxa"/>
            <w:tcBorders>
              <w:top w:val="single" w:color="auto" w:sz="8" w:space="0"/>
              <w:left w:val="nil"/>
              <w:bottom w:val="single" w:color="auto" w:sz="8" w:space="0"/>
              <w:right w:val="single" w:color="auto" w:sz="8" w:space="0"/>
            </w:tcBorders>
            <w:vAlign w:val="center"/>
          </w:tcPr>
          <w:p w14:paraId="164ED1F3">
            <w:pPr>
              <w:spacing w:line="360" w:lineRule="auto"/>
              <w:jc w:val="left"/>
              <w:rPr>
                <w:rFonts w:ascii="宋体" w:hAnsi="宋体" w:cs="宋体"/>
                <w:color w:val="auto"/>
                <w:sz w:val="24"/>
              </w:rPr>
            </w:pPr>
            <w:r>
              <w:rPr>
                <w:rFonts w:hint="eastAsia" w:ascii="宋体" w:hAnsi="宋体" w:cs="宋体"/>
                <w:color w:val="auto"/>
                <w:sz w:val="24"/>
              </w:rPr>
              <w:t>☑不允许</w:t>
            </w:r>
          </w:p>
          <w:p w14:paraId="15D63299">
            <w:pPr>
              <w:spacing w:line="360" w:lineRule="auto"/>
              <w:jc w:val="left"/>
              <w:rPr>
                <w:rFonts w:ascii="宋体" w:hAnsi="宋体" w:cs="宋体"/>
                <w:color w:val="auto"/>
                <w:sz w:val="24"/>
              </w:rPr>
            </w:pPr>
            <w:r>
              <w:rPr>
                <w:rFonts w:hint="eastAsia" w:ascii="宋体" w:hAnsi="宋体" w:cs="宋体"/>
                <w:color w:val="auto"/>
                <w:sz w:val="24"/>
              </w:rPr>
              <w:t>□允许</w:t>
            </w:r>
          </w:p>
        </w:tc>
      </w:tr>
      <w:tr w14:paraId="1C4DFE4A">
        <w:tblPrEx>
          <w:tblCellMar>
            <w:top w:w="0" w:type="dxa"/>
            <w:left w:w="0" w:type="dxa"/>
            <w:bottom w:w="0" w:type="dxa"/>
            <w:right w:w="0" w:type="dxa"/>
          </w:tblCellMar>
        </w:tblPrEx>
        <w:trPr>
          <w:trHeight w:val="85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7986C6E5">
            <w:pPr>
              <w:spacing w:line="360" w:lineRule="auto"/>
              <w:jc w:val="center"/>
              <w:rPr>
                <w:rFonts w:ascii="宋体" w:hAnsi="宋体" w:cs="宋体"/>
                <w:color w:val="auto"/>
                <w:sz w:val="24"/>
              </w:rPr>
            </w:pPr>
            <w:r>
              <w:rPr>
                <w:rFonts w:hint="eastAsia" w:ascii="宋体" w:hAnsi="宋体" w:cs="宋体"/>
                <w:color w:val="auto"/>
                <w:sz w:val="24"/>
              </w:rPr>
              <w:t>3.7.4</w:t>
            </w:r>
          </w:p>
        </w:tc>
        <w:tc>
          <w:tcPr>
            <w:tcW w:w="1638" w:type="dxa"/>
            <w:tcBorders>
              <w:top w:val="single" w:color="auto" w:sz="8" w:space="0"/>
              <w:left w:val="nil"/>
              <w:bottom w:val="single" w:color="auto" w:sz="8" w:space="0"/>
              <w:right w:val="single" w:color="auto" w:sz="8" w:space="0"/>
            </w:tcBorders>
            <w:vAlign w:val="center"/>
          </w:tcPr>
          <w:p w14:paraId="25CC5B2A">
            <w:pPr>
              <w:spacing w:line="360" w:lineRule="auto"/>
              <w:jc w:val="center"/>
              <w:rPr>
                <w:rFonts w:ascii="宋体" w:hAnsi="宋体" w:cs="宋体"/>
                <w:color w:val="auto"/>
                <w:sz w:val="24"/>
              </w:rPr>
            </w:pPr>
            <w:r>
              <w:rPr>
                <w:rFonts w:hint="eastAsia" w:ascii="宋体" w:hAnsi="宋体" w:cs="宋体"/>
                <w:color w:val="auto"/>
                <w:sz w:val="24"/>
              </w:rPr>
              <w:t>电子投标文件</w:t>
            </w:r>
          </w:p>
          <w:p w14:paraId="1C26669B">
            <w:pPr>
              <w:spacing w:line="360" w:lineRule="auto"/>
              <w:jc w:val="center"/>
              <w:rPr>
                <w:rFonts w:ascii="宋体" w:hAnsi="宋体" w:cs="宋体"/>
                <w:color w:val="auto"/>
                <w:sz w:val="24"/>
              </w:rPr>
            </w:pPr>
            <w:r>
              <w:rPr>
                <w:rFonts w:hint="eastAsia" w:ascii="宋体" w:hAnsi="宋体" w:cs="宋体"/>
                <w:color w:val="auto"/>
                <w:sz w:val="24"/>
              </w:rPr>
              <w:t>编制</w:t>
            </w:r>
          </w:p>
        </w:tc>
        <w:tc>
          <w:tcPr>
            <w:tcW w:w="7196" w:type="dxa"/>
            <w:tcBorders>
              <w:top w:val="single" w:color="auto" w:sz="8" w:space="0"/>
              <w:left w:val="nil"/>
              <w:bottom w:val="single" w:color="auto" w:sz="8" w:space="0"/>
              <w:right w:val="single" w:color="auto" w:sz="8" w:space="0"/>
            </w:tcBorders>
            <w:vAlign w:val="center"/>
          </w:tcPr>
          <w:p w14:paraId="3FF57A01">
            <w:pPr>
              <w:spacing w:line="360" w:lineRule="auto"/>
              <w:jc w:val="left"/>
              <w:rPr>
                <w:rFonts w:ascii="宋体" w:hAnsi="宋体" w:cs="宋体"/>
                <w:color w:val="auto"/>
                <w:sz w:val="24"/>
              </w:rPr>
            </w:pPr>
            <w:r>
              <w:rPr>
                <w:rFonts w:ascii="宋体" w:hAnsi="宋体" w:cs="宋体"/>
                <w:color w:val="auto"/>
                <w:sz w:val="24"/>
              </w:rPr>
              <w:t>供应商应安装“政采云投标客户端”，须按照采购文件和政采云平台的要求编制投标文件。</w:t>
            </w:r>
          </w:p>
        </w:tc>
      </w:tr>
      <w:tr w14:paraId="6A67DE20">
        <w:tblPrEx>
          <w:tblCellMar>
            <w:top w:w="0" w:type="dxa"/>
            <w:left w:w="0" w:type="dxa"/>
            <w:bottom w:w="0" w:type="dxa"/>
            <w:right w:w="0" w:type="dxa"/>
          </w:tblCellMar>
        </w:tblPrEx>
        <w:trPr>
          <w:trHeight w:val="1701"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7348C68C">
            <w:pPr>
              <w:spacing w:line="360" w:lineRule="auto"/>
              <w:jc w:val="center"/>
              <w:rPr>
                <w:rFonts w:ascii="宋体" w:hAnsi="宋体" w:cs="宋体"/>
                <w:color w:val="auto"/>
                <w:sz w:val="24"/>
              </w:rPr>
            </w:pPr>
            <w:r>
              <w:rPr>
                <w:rFonts w:hint="eastAsia" w:ascii="宋体" w:hAnsi="宋体" w:cs="宋体"/>
                <w:color w:val="auto"/>
                <w:sz w:val="24"/>
              </w:rPr>
              <w:t>4.1.1</w:t>
            </w:r>
          </w:p>
        </w:tc>
        <w:tc>
          <w:tcPr>
            <w:tcW w:w="1638" w:type="dxa"/>
            <w:tcBorders>
              <w:top w:val="single" w:color="auto" w:sz="8" w:space="0"/>
              <w:left w:val="nil"/>
              <w:bottom w:val="single" w:color="auto" w:sz="8" w:space="0"/>
              <w:right w:val="single" w:color="auto" w:sz="8" w:space="0"/>
            </w:tcBorders>
            <w:vAlign w:val="center"/>
          </w:tcPr>
          <w:p w14:paraId="31B3B334">
            <w:pPr>
              <w:spacing w:line="360" w:lineRule="auto"/>
              <w:jc w:val="center"/>
              <w:rPr>
                <w:rFonts w:ascii="宋体" w:hAnsi="宋体" w:cs="宋体"/>
                <w:color w:val="auto"/>
                <w:sz w:val="24"/>
              </w:rPr>
            </w:pPr>
            <w:r>
              <w:rPr>
                <w:rFonts w:hint="eastAsia" w:ascii="宋体" w:hAnsi="宋体" w:cs="宋体"/>
                <w:color w:val="auto"/>
                <w:sz w:val="24"/>
              </w:rPr>
              <w:t>投标文件的加密</w:t>
            </w:r>
          </w:p>
        </w:tc>
        <w:tc>
          <w:tcPr>
            <w:tcW w:w="7196" w:type="dxa"/>
            <w:tcBorders>
              <w:top w:val="single" w:color="auto" w:sz="8" w:space="0"/>
              <w:left w:val="nil"/>
              <w:bottom w:val="single" w:color="auto" w:sz="8" w:space="0"/>
              <w:right w:val="single" w:color="auto" w:sz="8" w:space="0"/>
            </w:tcBorders>
            <w:vAlign w:val="center"/>
          </w:tcPr>
          <w:p w14:paraId="096ADB7B">
            <w:pPr>
              <w:spacing w:line="360" w:lineRule="auto"/>
              <w:jc w:val="left"/>
              <w:rPr>
                <w:rFonts w:ascii="宋体" w:hAnsi="宋体" w:cs="宋体"/>
                <w:color w:val="auto"/>
                <w:sz w:val="24"/>
              </w:rPr>
            </w:pPr>
            <w:r>
              <w:rPr>
                <w:rFonts w:hint="eastAsia" w:ascii="宋体" w:hAnsi="宋体" w:cs="宋体"/>
                <w:color w:val="auto"/>
                <w:sz w:val="24"/>
              </w:rPr>
              <w:t>（1）投标人进行电子交易应安装</w:t>
            </w:r>
            <w:r>
              <w:rPr>
                <w:rFonts w:ascii="宋体" w:hAnsi="宋体" w:cs="宋体"/>
                <w:color w:val="auto"/>
                <w:sz w:val="24"/>
              </w:rPr>
              <w:t>“政采云投标客户端”</w:t>
            </w:r>
            <w:r>
              <w:rPr>
                <w:rFonts w:hint="eastAsia" w:ascii="宋体" w:hAnsi="宋体" w:cs="宋体"/>
                <w:color w:val="auto"/>
                <w:sz w:val="24"/>
              </w:rPr>
              <w:t>，并按照采购文件和政采云平台的要求编制并加密投标文件。投标人未按规定加密的投标文件，电子交易平台将拒收并提示。</w:t>
            </w:r>
          </w:p>
          <w:p w14:paraId="744450C1">
            <w:pPr>
              <w:spacing w:line="360" w:lineRule="auto"/>
              <w:jc w:val="left"/>
              <w:rPr>
                <w:rFonts w:ascii="宋体" w:hAnsi="宋体" w:cs="宋体"/>
                <w:color w:val="auto"/>
                <w:sz w:val="24"/>
              </w:rPr>
            </w:pPr>
            <w:r>
              <w:rPr>
                <w:rFonts w:hint="eastAsia" w:ascii="宋体" w:hAnsi="宋体" w:cs="宋体"/>
                <w:color w:val="auto"/>
                <w:sz w:val="24"/>
              </w:rPr>
              <w:t>（2）使用</w:t>
            </w:r>
            <w:r>
              <w:rPr>
                <w:rFonts w:ascii="宋体" w:hAnsi="宋体" w:cs="宋体"/>
                <w:color w:val="auto"/>
                <w:sz w:val="24"/>
              </w:rPr>
              <w:t>“政采云投标客户端”</w:t>
            </w:r>
            <w:r>
              <w:rPr>
                <w:rFonts w:hint="eastAsia" w:ascii="宋体" w:hAnsi="宋体" w:cs="宋体"/>
                <w:color w:val="auto"/>
                <w:sz w:val="24"/>
              </w:rPr>
              <w:t>需要提前申领CA数字证书。</w:t>
            </w:r>
          </w:p>
          <w:p w14:paraId="5561E627">
            <w:pPr>
              <w:spacing w:line="360" w:lineRule="auto"/>
              <w:jc w:val="left"/>
              <w:rPr>
                <w:rFonts w:ascii="宋体" w:hAnsi="宋体" w:cs="宋体"/>
                <w:color w:val="auto"/>
                <w:sz w:val="24"/>
              </w:rPr>
            </w:pPr>
            <w:r>
              <w:rPr>
                <w:rFonts w:hint="eastAsia" w:ascii="宋体" w:hAnsi="宋体" w:cs="宋体"/>
                <w:color w:val="auto"/>
                <w:sz w:val="24"/>
              </w:rPr>
              <w:t>（3）为确保网上操作合法、有效和安全，投标人应当在投标文件提交截止时间前完成在“政府采购云平台”的身份认证，确保在电子交易过程中能够对相关数据电文进行加密和使用电子签名。</w:t>
            </w:r>
          </w:p>
        </w:tc>
      </w:tr>
      <w:tr w14:paraId="12244E22">
        <w:tblPrEx>
          <w:tblCellMar>
            <w:top w:w="0" w:type="dxa"/>
            <w:left w:w="0" w:type="dxa"/>
            <w:bottom w:w="0" w:type="dxa"/>
            <w:right w:w="0" w:type="dxa"/>
          </w:tblCellMar>
        </w:tblPrEx>
        <w:trPr>
          <w:trHeight w:val="56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21570A89">
            <w:pPr>
              <w:spacing w:line="360" w:lineRule="auto"/>
              <w:jc w:val="center"/>
              <w:rPr>
                <w:rFonts w:ascii="宋体" w:hAnsi="宋体" w:cs="宋体"/>
                <w:b/>
                <w:bCs/>
                <w:color w:val="auto"/>
                <w:sz w:val="24"/>
              </w:rPr>
            </w:pPr>
            <w:r>
              <w:rPr>
                <w:rFonts w:hint="eastAsia" w:ascii="宋体" w:hAnsi="宋体" w:cs="宋体"/>
                <w:b/>
                <w:bCs/>
                <w:color w:val="auto"/>
                <w:sz w:val="24"/>
              </w:rPr>
              <w:t>4.2.1</w:t>
            </w:r>
          </w:p>
        </w:tc>
        <w:tc>
          <w:tcPr>
            <w:tcW w:w="1638" w:type="dxa"/>
            <w:tcBorders>
              <w:top w:val="single" w:color="auto" w:sz="8" w:space="0"/>
              <w:left w:val="nil"/>
              <w:bottom w:val="single" w:color="auto" w:sz="8" w:space="0"/>
              <w:right w:val="single" w:color="auto" w:sz="8" w:space="0"/>
            </w:tcBorders>
            <w:vAlign w:val="center"/>
          </w:tcPr>
          <w:p w14:paraId="03AC7C09">
            <w:pPr>
              <w:spacing w:line="360" w:lineRule="auto"/>
              <w:jc w:val="center"/>
              <w:rPr>
                <w:rFonts w:ascii="宋体" w:hAnsi="宋体" w:cs="宋体"/>
                <w:b/>
                <w:bCs/>
                <w:color w:val="auto"/>
                <w:sz w:val="24"/>
              </w:rPr>
            </w:pPr>
            <w:r>
              <w:rPr>
                <w:rFonts w:hint="eastAsia" w:ascii="宋体" w:hAnsi="宋体" w:cs="宋体"/>
                <w:b/>
                <w:bCs/>
                <w:color w:val="auto"/>
                <w:sz w:val="24"/>
              </w:rPr>
              <w:t>投标截止时间</w:t>
            </w:r>
          </w:p>
        </w:tc>
        <w:tc>
          <w:tcPr>
            <w:tcW w:w="7196" w:type="dxa"/>
            <w:tcBorders>
              <w:top w:val="single" w:color="auto" w:sz="8" w:space="0"/>
              <w:left w:val="nil"/>
              <w:bottom w:val="single" w:color="auto" w:sz="8" w:space="0"/>
              <w:right w:val="single" w:color="auto" w:sz="8" w:space="0"/>
            </w:tcBorders>
            <w:vAlign w:val="center"/>
          </w:tcPr>
          <w:p w14:paraId="12F0FC71">
            <w:pPr>
              <w:spacing w:line="360" w:lineRule="auto"/>
              <w:jc w:val="left"/>
              <w:rPr>
                <w:rFonts w:hint="eastAsia" w:ascii="宋体" w:hAnsi="宋体" w:eastAsia="宋体" w:cs="宋体"/>
                <w:b/>
                <w:bCs/>
                <w:color w:val="auto"/>
                <w:sz w:val="24"/>
                <w:lang w:eastAsia="zh-CN"/>
              </w:rPr>
            </w:pPr>
            <w:r>
              <w:rPr>
                <w:rFonts w:hint="eastAsia" w:ascii="宋体" w:hAnsi="宋体" w:cs="宋体"/>
                <w:b/>
                <w:bCs/>
                <w:color w:val="auto"/>
                <w:sz w:val="24"/>
                <w:lang w:eastAsia="zh-CN"/>
              </w:rPr>
              <w:t>202</w:t>
            </w:r>
            <w:r>
              <w:rPr>
                <w:rFonts w:hint="eastAsia" w:ascii="宋体" w:hAnsi="宋体" w:cs="宋体"/>
                <w:b/>
                <w:bCs/>
                <w:color w:val="auto"/>
                <w:sz w:val="24"/>
                <w:lang w:val="en-US" w:eastAsia="zh-CN"/>
              </w:rPr>
              <w:t>5</w:t>
            </w:r>
            <w:r>
              <w:rPr>
                <w:rFonts w:hint="eastAsia" w:ascii="宋体" w:hAnsi="宋体" w:cs="宋体"/>
                <w:b/>
                <w:bCs/>
                <w:color w:val="auto"/>
                <w:sz w:val="24"/>
                <w:lang w:eastAsia="zh-CN"/>
              </w:rPr>
              <w:t>年</w:t>
            </w:r>
            <w:r>
              <w:rPr>
                <w:rFonts w:hint="eastAsia" w:ascii="宋体" w:hAnsi="宋体" w:cs="宋体"/>
                <w:b/>
                <w:bCs/>
                <w:color w:val="auto"/>
                <w:sz w:val="24"/>
                <w:lang w:val="en-US" w:eastAsia="zh-CN"/>
              </w:rPr>
              <w:t>10</w:t>
            </w:r>
            <w:r>
              <w:rPr>
                <w:rFonts w:hint="eastAsia" w:ascii="宋体" w:hAnsi="宋体" w:cs="宋体"/>
                <w:b/>
                <w:bCs/>
                <w:color w:val="auto"/>
                <w:sz w:val="24"/>
                <w:lang w:eastAsia="zh-CN"/>
              </w:rPr>
              <w:t>月</w:t>
            </w:r>
            <w:r>
              <w:rPr>
                <w:rFonts w:hint="eastAsia" w:ascii="宋体" w:hAnsi="宋体" w:cs="宋体"/>
                <w:b/>
                <w:bCs/>
                <w:color w:val="auto"/>
                <w:sz w:val="24"/>
                <w:lang w:val="en-US" w:eastAsia="zh-CN"/>
              </w:rPr>
              <w:t>14</w:t>
            </w:r>
            <w:r>
              <w:rPr>
                <w:rFonts w:hint="eastAsia" w:ascii="宋体" w:hAnsi="宋体" w:cs="宋体"/>
                <w:b/>
                <w:bCs/>
                <w:color w:val="auto"/>
                <w:sz w:val="24"/>
                <w:lang w:eastAsia="zh-CN"/>
              </w:rPr>
              <w:t>日</w:t>
            </w:r>
            <w:r>
              <w:rPr>
                <w:rFonts w:hint="eastAsia" w:ascii="宋体" w:hAnsi="宋体" w:cs="宋体"/>
                <w:b/>
                <w:bCs/>
                <w:color w:val="auto"/>
                <w:sz w:val="24"/>
                <w:lang w:val="en-US" w:eastAsia="zh-CN"/>
              </w:rPr>
              <w:t>15</w:t>
            </w:r>
            <w:r>
              <w:rPr>
                <w:rFonts w:hint="eastAsia" w:ascii="宋体" w:hAnsi="宋体" w:cs="宋体"/>
                <w:b/>
                <w:bCs/>
                <w:color w:val="auto"/>
                <w:sz w:val="24"/>
                <w:lang w:eastAsia="zh-CN"/>
              </w:rPr>
              <w:t>点00分</w:t>
            </w:r>
          </w:p>
        </w:tc>
      </w:tr>
      <w:tr w14:paraId="0D25EEA9">
        <w:tblPrEx>
          <w:tblCellMar>
            <w:top w:w="0" w:type="dxa"/>
            <w:left w:w="0" w:type="dxa"/>
            <w:bottom w:w="0" w:type="dxa"/>
            <w:right w:w="0" w:type="dxa"/>
          </w:tblCellMar>
        </w:tblPrEx>
        <w:trPr>
          <w:trHeight w:val="124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34AD2137">
            <w:pPr>
              <w:spacing w:line="360" w:lineRule="auto"/>
              <w:jc w:val="center"/>
              <w:rPr>
                <w:rFonts w:ascii="宋体" w:hAnsi="宋体" w:cs="宋体"/>
                <w:color w:val="auto"/>
                <w:sz w:val="24"/>
              </w:rPr>
            </w:pPr>
            <w:r>
              <w:rPr>
                <w:rFonts w:hint="eastAsia" w:ascii="宋体" w:hAnsi="宋体" w:cs="宋体"/>
                <w:color w:val="auto"/>
                <w:sz w:val="24"/>
              </w:rPr>
              <w:t>4.2.2</w:t>
            </w:r>
          </w:p>
        </w:tc>
        <w:tc>
          <w:tcPr>
            <w:tcW w:w="1638" w:type="dxa"/>
            <w:tcBorders>
              <w:top w:val="single" w:color="auto" w:sz="8" w:space="0"/>
              <w:left w:val="nil"/>
              <w:bottom w:val="single" w:color="auto" w:sz="8" w:space="0"/>
              <w:right w:val="single" w:color="auto" w:sz="8" w:space="0"/>
            </w:tcBorders>
            <w:vAlign w:val="center"/>
          </w:tcPr>
          <w:p w14:paraId="61654222">
            <w:pPr>
              <w:spacing w:line="360" w:lineRule="auto"/>
              <w:jc w:val="center"/>
              <w:rPr>
                <w:rFonts w:ascii="宋体" w:hAnsi="宋体" w:cs="宋体"/>
                <w:color w:val="auto"/>
                <w:sz w:val="24"/>
              </w:rPr>
            </w:pPr>
            <w:r>
              <w:rPr>
                <w:rFonts w:hint="eastAsia" w:ascii="宋体" w:hAnsi="宋体" w:cs="宋体"/>
                <w:color w:val="auto"/>
                <w:sz w:val="24"/>
              </w:rPr>
              <w:t>投标文件递交</w:t>
            </w:r>
          </w:p>
        </w:tc>
        <w:tc>
          <w:tcPr>
            <w:tcW w:w="7196" w:type="dxa"/>
            <w:tcBorders>
              <w:top w:val="single" w:color="auto" w:sz="8" w:space="0"/>
              <w:left w:val="nil"/>
              <w:bottom w:val="single" w:color="auto" w:sz="8" w:space="0"/>
              <w:right w:val="single" w:color="auto" w:sz="8" w:space="0"/>
            </w:tcBorders>
            <w:vAlign w:val="center"/>
          </w:tcPr>
          <w:p w14:paraId="2B3B86B8">
            <w:pPr>
              <w:wordWrap w:val="0"/>
              <w:spacing w:line="360" w:lineRule="auto"/>
              <w:jc w:val="left"/>
              <w:rPr>
                <w:rFonts w:ascii="宋体" w:hAnsi="宋体" w:cs="宋体"/>
                <w:color w:val="auto"/>
                <w:sz w:val="24"/>
              </w:rPr>
            </w:pPr>
            <w:r>
              <w:rPr>
                <w:rFonts w:hint="eastAsia" w:ascii="宋体" w:hAnsi="宋体" w:cs="宋体"/>
                <w:b/>
                <w:bCs/>
                <w:color w:val="auto"/>
                <w:sz w:val="24"/>
              </w:rPr>
              <w:t>（1）投标文件递交截止时间：</w:t>
            </w:r>
            <w:r>
              <w:rPr>
                <w:rFonts w:hint="eastAsia" w:ascii="宋体" w:hAnsi="宋体" w:cs="宋体"/>
                <w:color w:val="auto"/>
                <w:sz w:val="24"/>
              </w:rPr>
              <w:t>同投标截止时间；</w:t>
            </w:r>
          </w:p>
          <w:p w14:paraId="6CF8F320">
            <w:pPr>
              <w:wordWrap w:val="0"/>
              <w:spacing w:line="360" w:lineRule="auto"/>
              <w:jc w:val="left"/>
              <w:rPr>
                <w:rFonts w:ascii="宋体" w:hAnsi="宋体" w:cs="宋体"/>
                <w:color w:val="auto"/>
                <w:sz w:val="24"/>
              </w:rPr>
            </w:pPr>
            <w:r>
              <w:rPr>
                <w:rFonts w:hint="eastAsia" w:ascii="宋体" w:hAnsi="宋体" w:cs="宋体"/>
                <w:b/>
                <w:bCs/>
                <w:color w:val="auto"/>
                <w:sz w:val="24"/>
              </w:rPr>
              <w:t>（2）投标文件递交方式：</w:t>
            </w:r>
            <w:r>
              <w:rPr>
                <w:rFonts w:hint="eastAsia" w:ascii="宋体" w:hAnsi="宋体" w:cs="宋体"/>
                <w:color w:val="auto"/>
                <w:sz w:val="24"/>
              </w:rPr>
              <w:t>上传至“政府采购云平台（https://www.zcygov.cn/）”</w:t>
            </w:r>
          </w:p>
        </w:tc>
      </w:tr>
      <w:tr w14:paraId="79F0F4B3">
        <w:tblPrEx>
          <w:tblCellMar>
            <w:top w:w="0" w:type="dxa"/>
            <w:left w:w="0" w:type="dxa"/>
            <w:bottom w:w="0" w:type="dxa"/>
            <w:right w:w="0" w:type="dxa"/>
          </w:tblCellMar>
        </w:tblPrEx>
        <w:trPr>
          <w:trHeight w:val="90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51CCFCA7">
            <w:pPr>
              <w:spacing w:line="360" w:lineRule="auto"/>
              <w:jc w:val="center"/>
              <w:rPr>
                <w:rFonts w:ascii="宋体" w:hAnsi="宋体" w:cs="宋体"/>
                <w:color w:val="auto"/>
                <w:sz w:val="24"/>
              </w:rPr>
            </w:pPr>
            <w:r>
              <w:rPr>
                <w:rFonts w:hint="eastAsia" w:ascii="宋体" w:hAnsi="宋体" w:cs="宋体"/>
                <w:color w:val="auto"/>
                <w:sz w:val="24"/>
              </w:rPr>
              <w:t>4.2.3</w:t>
            </w:r>
          </w:p>
        </w:tc>
        <w:tc>
          <w:tcPr>
            <w:tcW w:w="1638" w:type="dxa"/>
            <w:tcBorders>
              <w:top w:val="single" w:color="auto" w:sz="8" w:space="0"/>
              <w:left w:val="nil"/>
              <w:bottom w:val="single" w:color="auto" w:sz="8" w:space="0"/>
              <w:right w:val="single" w:color="auto" w:sz="8" w:space="0"/>
            </w:tcBorders>
            <w:vAlign w:val="center"/>
          </w:tcPr>
          <w:p w14:paraId="7731DBC4">
            <w:pPr>
              <w:spacing w:line="360" w:lineRule="auto"/>
              <w:jc w:val="center"/>
              <w:rPr>
                <w:rFonts w:ascii="宋体" w:hAnsi="宋体" w:cs="宋体"/>
                <w:color w:val="auto"/>
                <w:sz w:val="24"/>
              </w:rPr>
            </w:pPr>
            <w:r>
              <w:rPr>
                <w:rFonts w:hint="eastAsia" w:ascii="宋体" w:hAnsi="宋体" w:cs="宋体"/>
                <w:color w:val="auto"/>
                <w:sz w:val="24"/>
              </w:rPr>
              <w:t>投标文件是否</w:t>
            </w:r>
          </w:p>
          <w:p w14:paraId="405419F1">
            <w:pPr>
              <w:spacing w:line="360" w:lineRule="auto"/>
              <w:jc w:val="center"/>
              <w:rPr>
                <w:rFonts w:ascii="宋体" w:hAnsi="宋体" w:cs="宋体"/>
                <w:color w:val="auto"/>
                <w:sz w:val="24"/>
              </w:rPr>
            </w:pPr>
            <w:r>
              <w:rPr>
                <w:rFonts w:hint="eastAsia" w:ascii="宋体" w:hAnsi="宋体" w:cs="宋体"/>
                <w:color w:val="auto"/>
                <w:sz w:val="24"/>
              </w:rPr>
              <w:t>退还</w:t>
            </w:r>
          </w:p>
        </w:tc>
        <w:tc>
          <w:tcPr>
            <w:tcW w:w="7196" w:type="dxa"/>
            <w:tcBorders>
              <w:top w:val="single" w:color="auto" w:sz="8" w:space="0"/>
              <w:left w:val="nil"/>
              <w:bottom w:val="single" w:color="auto" w:sz="8" w:space="0"/>
              <w:right w:val="single" w:color="auto" w:sz="8" w:space="0"/>
            </w:tcBorders>
            <w:vAlign w:val="center"/>
          </w:tcPr>
          <w:p w14:paraId="1CEA9EA7">
            <w:pPr>
              <w:spacing w:line="360" w:lineRule="auto"/>
              <w:jc w:val="left"/>
              <w:rPr>
                <w:rFonts w:ascii="宋体" w:hAnsi="宋体" w:cs="宋体"/>
                <w:color w:val="auto"/>
                <w:sz w:val="24"/>
              </w:rPr>
            </w:pPr>
            <w:r>
              <w:rPr>
                <w:rFonts w:hint="eastAsia" w:ascii="宋体" w:hAnsi="宋体" w:cs="宋体"/>
                <w:color w:val="auto"/>
                <w:sz w:val="24"/>
              </w:rPr>
              <w:t>投标文件退还：☑否</w:t>
            </w:r>
          </w:p>
          <w:p w14:paraId="07070613">
            <w:pPr>
              <w:spacing w:line="360" w:lineRule="auto"/>
              <w:ind w:firstLine="1680" w:firstLineChars="700"/>
              <w:jc w:val="left"/>
              <w:rPr>
                <w:rFonts w:ascii="宋体" w:hAnsi="宋体" w:cs="宋体"/>
                <w:color w:val="auto"/>
                <w:sz w:val="24"/>
              </w:rPr>
            </w:pPr>
            <w:r>
              <w:rPr>
                <w:rFonts w:hint="eastAsia" w:ascii="宋体" w:hAnsi="宋体" w:cs="宋体"/>
                <w:color w:val="auto"/>
                <w:sz w:val="24"/>
              </w:rPr>
              <w:t>□是</w:t>
            </w:r>
          </w:p>
          <w:p w14:paraId="3A24693C">
            <w:pPr>
              <w:spacing w:line="360" w:lineRule="auto"/>
              <w:jc w:val="left"/>
              <w:rPr>
                <w:rFonts w:ascii="宋体" w:hAnsi="宋体" w:cs="宋体"/>
                <w:color w:val="auto"/>
                <w:sz w:val="24"/>
              </w:rPr>
            </w:pPr>
            <w:r>
              <w:rPr>
                <w:rFonts w:hint="eastAsia" w:ascii="宋体" w:hAnsi="宋体" w:cs="宋体"/>
                <w:color w:val="auto"/>
                <w:sz w:val="24"/>
              </w:rPr>
              <w:t>退还时间：/</w:t>
            </w:r>
          </w:p>
        </w:tc>
      </w:tr>
      <w:tr w14:paraId="48FB93FD">
        <w:tblPrEx>
          <w:tblCellMar>
            <w:top w:w="0" w:type="dxa"/>
            <w:left w:w="0" w:type="dxa"/>
            <w:bottom w:w="0" w:type="dxa"/>
            <w:right w:w="0" w:type="dxa"/>
          </w:tblCellMar>
        </w:tblPrEx>
        <w:trPr>
          <w:trHeight w:val="1576"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1A32707B">
            <w:pPr>
              <w:spacing w:line="360" w:lineRule="auto"/>
              <w:jc w:val="center"/>
              <w:rPr>
                <w:rFonts w:ascii="宋体" w:hAnsi="宋体" w:cs="宋体"/>
                <w:color w:val="auto"/>
                <w:sz w:val="24"/>
              </w:rPr>
            </w:pPr>
            <w:r>
              <w:rPr>
                <w:rFonts w:hint="eastAsia" w:ascii="宋体" w:hAnsi="宋体" w:cs="宋体"/>
                <w:color w:val="auto"/>
                <w:sz w:val="24"/>
              </w:rPr>
              <w:t>5.1</w:t>
            </w:r>
          </w:p>
        </w:tc>
        <w:tc>
          <w:tcPr>
            <w:tcW w:w="1638" w:type="dxa"/>
            <w:tcBorders>
              <w:top w:val="single" w:color="auto" w:sz="8" w:space="0"/>
              <w:left w:val="nil"/>
              <w:bottom w:val="single" w:color="auto" w:sz="8" w:space="0"/>
              <w:right w:val="single" w:color="auto" w:sz="8" w:space="0"/>
            </w:tcBorders>
            <w:vAlign w:val="center"/>
          </w:tcPr>
          <w:p w14:paraId="35915253">
            <w:pPr>
              <w:spacing w:line="360" w:lineRule="auto"/>
              <w:jc w:val="center"/>
              <w:rPr>
                <w:rFonts w:ascii="宋体" w:hAnsi="宋体" w:cs="宋体"/>
                <w:color w:val="auto"/>
                <w:sz w:val="24"/>
              </w:rPr>
            </w:pPr>
            <w:r>
              <w:rPr>
                <w:rFonts w:hint="eastAsia" w:ascii="宋体" w:hAnsi="宋体" w:cs="宋体"/>
                <w:color w:val="auto"/>
                <w:sz w:val="24"/>
              </w:rPr>
              <w:t>开标时间</w:t>
            </w:r>
          </w:p>
          <w:p w14:paraId="53246949">
            <w:pPr>
              <w:spacing w:line="360" w:lineRule="auto"/>
              <w:jc w:val="center"/>
              <w:rPr>
                <w:rFonts w:ascii="宋体" w:hAnsi="宋体" w:cs="宋体"/>
                <w:color w:val="auto"/>
                <w:sz w:val="24"/>
              </w:rPr>
            </w:pPr>
            <w:r>
              <w:rPr>
                <w:rFonts w:hint="eastAsia" w:ascii="宋体" w:hAnsi="宋体" w:cs="宋体"/>
                <w:color w:val="auto"/>
                <w:sz w:val="24"/>
              </w:rPr>
              <w:t>和地点</w:t>
            </w:r>
          </w:p>
        </w:tc>
        <w:tc>
          <w:tcPr>
            <w:tcW w:w="7196" w:type="dxa"/>
            <w:tcBorders>
              <w:top w:val="single" w:color="auto" w:sz="8" w:space="0"/>
              <w:left w:val="nil"/>
              <w:bottom w:val="single" w:color="auto" w:sz="8" w:space="0"/>
              <w:right w:val="single" w:color="auto" w:sz="8" w:space="0"/>
            </w:tcBorders>
            <w:vAlign w:val="center"/>
          </w:tcPr>
          <w:p w14:paraId="47F33BAA">
            <w:pPr>
              <w:spacing w:line="360" w:lineRule="auto"/>
              <w:jc w:val="left"/>
              <w:rPr>
                <w:rFonts w:ascii="宋体" w:hAnsi="宋体" w:cs="宋体"/>
                <w:color w:val="auto"/>
                <w:sz w:val="24"/>
              </w:rPr>
            </w:pPr>
            <w:r>
              <w:rPr>
                <w:rFonts w:hint="eastAsia" w:ascii="宋体" w:hAnsi="宋体" w:cs="宋体"/>
                <w:color w:val="auto"/>
                <w:sz w:val="24"/>
              </w:rPr>
              <w:t>（1）开标时间：同投标截止时间</w:t>
            </w:r>
          </w:p>
          <w:p w14:paraId="728BDEFF">
            <w:pPr>
              <w:spacing w:line="360" w:lineRule="auto"/>
              <w:jc w:val="left"/>
              <w:rPr>
                <w:rFonts w:ascii="宋体" w:hAnsi="宋体" w:cs="宋体"/>
                <w:color w:val="auto"/>
                <w:sz w:val="24"/>
              </w:rPr>
            </w:pPr>
            <w:r>
              <w:rPr>
                <w:rFonts w:hint="eastAsia" w:ascii="宋体" w:hAnsi="宋体" w:cs="宋体"/>
                <w:color w:val="auto"/>
                <w:sz w:val="24"/>
              </w:rPr>
              <w:t>（2）开标地点：政府采购云平台（https://www.zcygov.cn/）</w:t>
            </w:r>
          </w:p>
          <w:p w14:paraId="4A79D2E3">
            <w:pPr>
              <w:spacing w:line="360" w:lineRule="auto"/>
              <w:jc w:val="left"/>
              <w:rPr>
                <w:rFonts w:ascii="宋体" w:hAnsi="宋体" w:cs="宋体"/>
                <w:color w:val="auto"/>
                <w:sz w:val="24"/>
              </w:rPr>
            </w:pPr>
            <w:r>
              <w:rPr>
                <w:rFonts w:hint="eastAsia" w:ascii="宋体" w:hAnsi="宋体" w:cs="宋体"/>
                <w:b/>
                <w:bCs/>
                <w:color w:val="auto"/>
                <w:sz w:val="24"/>
              </w:rPr>
              <w:t>注：供应商须在政采云平台进行远程解密电子版响应文件</w:t>
            </w:r>
          </w:p>
        </w:tc>
      </w:tr>
      <w:tr w14:paraId="56CC6497">
        <w:tblPrEx>
          <w:tblCellMar>
            <w:top w:w="0" w:type="dxa"/>
            <w:left w:w="0" w:type="dxa"/>
            <w:bottom w:w="0" w:type="dxa"/>
            <w:right w:w="0" w:type="dxa"/>
          </w:tblCellMar>
        </w:tblPrEx>
        <w:trPr>
          <w:trHeight w:val="458"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6801DF32">
            <w:pPr>
              <w:spacing w:line="360" w:lineRule="auto"/>
              <w:jc w:val="center"/>
              <w:rPr>
                <w:rFonts w:ascii="宋体" w:hAnsi="宋体" w:cs="宋体"/>
                <w:color w:val="auto"/>
                <w:sz w:val="24"/>
              </w:rPr>
            </w:pPr>
            <w:r>
              <w:rPr>
                <w:rFonts w:hint="eastAsia" w:ascii="宋体" w:hAnsi="宋体" w:cs="宋体"/>
                <w:color w:val="auto"/>
                <w:sz w:val="24"/>
              </w:rPr>
              <w:t>5.2</w:t>
            </w:r>
          </w:p>
        </w:tc>
        <w:tc>
          <w:tcPr>
            <w:tcW w:w="1638" w:type="dxa"/>
            <w:tcBorders>
              <w:top w:val="single" w:color="auto" w:sz="8" w:space="0"/>
              <w:left w:val="nil"/>
              <w:bottom w:val="single" w:color="auto" w:sz="8" w:space="0"/>
              <w:right w:val="single" w:color="auto" w:sz="8" w:space="0"/>
            </w:tcBorders>
            <w:vAlign w:val="center"/>
          </w:tcPr>
          <w:p w14:paraId="3DC9B4F1">
            <w:pPr>
              <w:spacing w:line="360" w:lineRule="auto"/>
              <w:jc w:val="center"/>
              <w:rPr>
                <w:rFonts w:ascii="宋体" w:hAnsi="宋体" w:cs="宋体"/>
                <w:color w:val="auto"/>
                <w:sz w:val="24"/>
              </w:rPr>
            </w:pPr>
            <w:r>
              <w:rPr>
                <w:rFonts w:hint="eastAsia" w:ascii="宋体" w:hAnsi="宋体" w:cs="宋体"/>
                <w:color w:val="auto"/>
                <w:sz w:val="24"/>
              </w:rPr>
              <w:t>开标程序</w:t>
            </w:r>
          </w:p>
        </w:tc>
        <w:tc>
          <w:tcPr>
            <w:tcW w:w="7196" w:type="dxa"/>
            <w:tcBorders>
              <w:top w:val="single" w:color="auto" w:sz="8" w:space="0"/>
              <w:left w:val="nil"/>
              <w:bottom w:val="single" w:color="auto" w:sz="8" w:space="0"/>
              <w:right w:val="single" w:color="auto" w:sz="8" w:space="0"/>
            </w:tcBorders>
            <w:vAlign w:val="center"/>
          </w:tcPr>
          <w:p w14:paraId="32D48819">
            <w:pPr>
              <w:spacing w:line="360" w:lineRule="auto"/>
              <w:jc w:val="left"/>
              <w:rPr>
                <w:rFonts w:ascii="宋体" w:hAnsi="宋体" w:cs="宋体"/>
                <w:color w:val="auto"/>
                <w:sz w:val="24"/>
              </w:rPr>
            </w:pPr>
            <w:r>
              <w:rPr>
                <w:rFonts w:hint="eastAsia" w:ascii="宋体" w:hAnsi="宋体" w:cs="宋体"/>
                <w:color w:val="auto"/>
                <w:sz w:val="24"/>
              </w:rPr>
              <w:t>（1）采购代理机构依托电子交易平台发起开始解密指令，投标人须使用加密时所用的CA锁按平台提示和招标文件的规定登录到“政采云”平台电子开标大厅签到，并在发起解密指令之时起60分钟内完成对电子投标文件在线解密。</w:t>
            </w:r>
          </w:p>
          <w:p w14:paraId="413ED976">
            <w:pPr>
              <w:spacing w:line="360" w:lineRule="auto"/>
              <w:jc w:val="left"/>
              <w:rPr>
                <w:rFonts w:ascii="宋体" w:hAnsi="宋体" w:cs="宋体"/>
                <w:color w:val="auto"/>
                <w:sz w:val="24"/>
              </w:rPr>
            </w:pPr>
            <w:r>
              <w:rPr>
                <w:rFonts w:hint="eastAsia" w:ascii="宋体" w:hAnsi="宋体" w:cs="宋体"/>
                <w:color w:val="auto"/>
                <w:sz w:val="24"/>
              </w:rPr>
              <w:t>（2）发起解密指令之时起</w:t>
            </w:r>
            <w:r>
              <w:rPr>
                <w:rFonts w:hint="eastAsia" w:ascii="宋体" w:hAnsi="宋体" w:cs="宋体"/>
                <w:b/>
                <w:bCs/>
                <w:color w:val="auto"/>
                <w:sz w:val="24"/>
              </w:rPr>
              <w:t>5分钟内</w:t>
            </w:r>
            <w:r>
              <w:rPr>
                <w:rFonts w:hint="eastAsia" w:ascii="宋体" w:hAnsi="宋体" w:cs="宋体"/>
                <w:color w:val="auto"/>
                <w:sz w:val="24"/>
              </w:rPr>
              <w:t>投标人还未进行解密的，代理机构可通知投标人，投标人未预留联系方式或预留联系方式无效，导致代理机构无法联系到投标人进行解密的，视为撤回投标文件。</w:t>
            </w:r>
          </w:p>
        </w:tc>
      </w:tr>
      <w:tr w14:paraId="0AA72F18">
        <w:tblPrEx>
          <w:tblCellMar>
            <w:top w:w="0" w:type="dxa"/>
            <w:left w:w="0" w:type="dxa"/>
            <w:bottom w:w="0" w:type="dxa"/>
            <w:right w:w="0" w:type="dxa"/>
          </w:tblCellMar>
        </w:tblPrEx>
        <w:trPr>
          <w:trHeight w:val="51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2E1AFAB8">
            <w:pPr>
              <w:spacing w:line="360" w:lineRule="auto"/>
              <w:jc w:val="center"/>
              <w:rPr>
                <w:rFonts w:ascii="宋体" w:hAnsi="宋体" w:cs="宋体"/>
                <w:color w:val="auto"/>
                <w:sz w:val="24"/>
              </w:rPr>
            </w:pPr>
            <w:r>
              <w:rPr>
                <w:rFonts w:hint="eastAsia" w:ascii="宋体" w:hAnsi="宋体" w:cs="宋体"/>
                <w:color w:val="auto"/>
                <w:sz w:val="24"/>
              </w:rPr>
              <w:t>6.1.1</w:t>
            </w:r>
          </w:p>
        </w:tc>
        <w:tc>
          <w:tcPr>
            <w:tcW w:w="1638" w:type="dxa"/>
            <w:tcBorders>
              <w:top w:val="single" w:color="auto" w:sz="8" w:space="0"/>
              <w:left w:val="nil"/>
              <w:bottom w:val="single" w:color="auto" w:sz="8" w:space="0"/>
              <w:right w:val="single" w:color="auto" w:sz="8" w:space="0"/>
            </w:tcBorders>
            <w:vAlign w:val="center"/>
          </w:tcPr>
          <w:p w14:paraId="32047B34">
            <w:pPr>
              <w:spacing w:line="360" w:lineRule="auto"/>
              <w:jc w:val="center"/>
              <w:rPr>
                <w:rFonts w:ascii="宋体" w:hAnsi="宋体" w:cs="宋体"/>
                <w:color w:val="auto"/>
                <w:sz w:val="24"/>
              </w:rPr>
            </w:pPr>
            <w:r>
              <w:rPr>
                <w:rFonts w:hint="eastAsia" w:ascii="宋体" w:hAnsi="宋体" w:cs="宋体"/>
                <w:color w:val="auto"/>
                <w:sz w:val="24"/>
              </w:rPr>
              <w:t>评标委员会的组建</w:t>
            </w:r>
          </w:p>
        </w:tc>
        <w:tc>
          <w:tcPr>
            <w:tcW w:w="7196" w:type="dxa"/>
            <w:tcBorders>
              <w:top w:val="single" w:color="auto" w:sz="8" w:space="0"/>
              <w:left w:val="nil"/>
              <w:bottom w:val="single" w:color="auto" w:sz="8" w:space="0"/>
              <w:right w:val="single" w:color="auto" w:sz="8" w:space="0"/>
            </w:tcBorders>
            <w:vAlign w:val="center"/>
          </w:tcPr>
          <w:p w14:paraId="0038C304">
            <w:pPr>
              <w:spacing w:line="360" w:lineRule="auto"/>
              <w:jc w:val="left"/>
              <w:rPr>
                <w:rFonts w:ascii="宋体" w:hAnsi="宋体" w:cs="宋体"/>
                <w:color w:val="auto"/>
                <w:sz w:val="24"/>
              </w:rPr>
            </w:pPr>
            <w:r>
              <w:rPr>
                <w:rFonts w:hint="eastAsia" w:ascii="宋体" w:hAnsi="宋体" w:cs="宋体"/>
                <w:color w:val="auto"/>
                <w:sz w:val="24"/>
              </w:rPr>
              <w:t>评标委员会人数：5人。</w:t>
            </w:r>
          </w:p>
          <w:p w14:paraId="296A23DC">
            <w:pPr>
              <w:spacing w:line="360" w:lineRule="auto"/>
              <w:jc w:val="left"/>
              <w:rPr>
                <w:rFonts w:ascii="宋体" w:hAnsi="宋体" w:cs="宋体"/>
                <w:color w:val="auto"/>
                <w:sz w:val="24"/>
              </w:rPr>
            </w:pPr>
            <w:r>
              <w:rPr>
                <w:rFonts w:hint="eastAsia" w:ascii="宋体" w:hAnsi="宋体" w:cs="宋体"/>
                <w:color w:val="auto"/>
                <w:sz w:val="24"/>
              </w:rPr>
              <w:t>评标专家确定方式：在《云南省政府采购评审专家库》中随机抽取4人，采购人代表1人。</w:t>
            </w:r>
          </w:p>
          <w:p w14:paraId="2F244ED3">
            <w:pPr>
              <w:spacing w:line="360" w:lineRule="auto"/>
              <w:jc w:val="left"/>
              <w:rPr>
                <w:rFonts w:ascii="宋体" w:hAnsi="宋体" w:cs="宋体"/>
                <w:color w:val="auto"/>
                <w:sz w:val="24"/>
              </w:rPr>
            </w:pPr>
            <w:r>
              <w:rPr>
                <w:rFonts w:hint="eastAsia" w:ascii="宋体" w:hAnsi="宋体" w:cs="宋体"/>
                <w:color w:val="auto"/>
                <w:sz w:val="24"/>
              </w:rPr>
              <w:t>注：特殊情况经审批后确定。</w:t>
            </w:r>
          </w:p>
        </w:tc>
      </w:tr>
      <w:tr w14:paraId="0EF57FC3">
        <w:tblPrEx>
          <w:tblCellMar>
            <w:top w:w="0" w:type="dxa"/>
            <w:left w:w="0" w:type="dxa"/>
            <w:bottom w:w="0" w:type="dxa"/>
            <w:right w:w="0" w:type="dxa"/>
          </w:tblCellMar>
        </w:tblPrEx>
        <w:trPr>
          <w:trHeight w:val="124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76082D3D">
            <w:pPr>
              <w:spacing w:line="360" w:lineRule="auto"/>
              <w:jc w:val="center"/>
              <w:rPr>
                <w:rFonts w:ascii="宋体" w:hAnsi="宋体" w:cs="宋体"/>
                <w:color w:val="auto"/>
                <w:sz w:val="24"/>
              </w:rPr>
            </w:pPr>
            <w:r>
              <w:rPr>
                <w:rFonts w:hint="eastAsia" w:ascii="宋体" w:hAnsi="宋体" w:cs="宋体"/>
                <w:color w:val="auto"/>
                <w:sz w:val="24"/>
              </w:rPr>
              <w:t>6.3.2</w:t>
            </w:r>
          </w:p>
        </w:tc>
        <w:tc>
          <w:tcPr>
            <w:tcW w:w="1638" w:type="dxa"/>
            <w:tcBorders>
              <w:top w:val="single" w:color="auto" w:sz="8" w:space="0"/>
              <w:left w:val="nil"/>
              <w:bottom w:val="single" w:color="auto" w:sz="8" w:space="0"/>
              <w:right w:val="single" w:color="auto" w:sz="8" w:space="0"/>
            </w:tcBorders>
            <w:vAlign w:val="center"/>
          </w:tcPr>
          <w:p w14:paraId="1535188B">
            <w:pPr>
              <w:spacing w:line="360" w:lineRule="auto"/>
              <w:jc w:val="center"/>
              <w:rPr>
                <w:rFonts w:ascii="宋体" w:hAnsi="宋体" w:cs="宋体"/>
                <w:color w:val="auto"/>
                <w:sz w:val="24"/>
              </w:rPr>
            </w:pPr>
            <w:r>
              <w:rPr>
                <w:rFonts w:hint="eastAsia" w:ascii="宋体" w:hAnsi="宋体" w:cs="宋体"/>
                <w:color w:val="auto"/>
                <w:sz w:val="24"/>
              </w:rPr>
              <w:t>评标委员会推荐中标候选人的人数</w:t>
            </w:r>
          </w:p>
        </w:tc>
        <w:tc>
          <w:tcPr>
            <w:tcW w:w="7196" w:type="dxa"/>
            <w:tcBorders>
              <w:top w:val="single" w:color="auto" w:sz="8" w:space="0"/>
              <w:left w:val="nil"/>
              <w:bottom w:val="single" w:color="auto" w:sz="8" w:space="0"/>
              <w:right w:val="single" w:color="auto" w:sz="8" w:space="0"/>
            </w:tcBorders>
            <w:vAlign w:val="center"/>
          </w:tcPr>
          <w:p w14:paraId="300E3CEC">
            <w:pPr>
              <w:spacing w:line="360" w:lineRule="auto"/>
              <w:jc w:val="left"/>
              <w:rPr>
                <w:rFonts w:ascii="宋体" w:hAnsi="宋体" w:cs="宋体"/>
                <w:color w:val="auto"/>
                <w:sz w:val="24"/>
              </w:rPr>
            </w:pPr>
            <w:r>
              <w:rPr>
                <w:rFonts w:hint="eastAsia" w:ascii="宋体" w:hAnsi="宋体" w:cs="宋体"/>
                <w:color w:val="auto"/>
                <w:sz w:val="24"/>
              </w:rPr>
              <w:t>评标委员会推荐的中标候选人的人数：3名。</w:t>
            </w:r>
          </w:p>
        </w:tc>
      </w:tr>
      <w:tr w14:paraId="42EC5692">
        <w:tblPrEx>
          <w:tblCellMar>
            <w:top w:w="0" w:type="dxa"/>
            <w:left w:w="0" w:type="dxa"/>
            <w:bottom w:w="0" w:type="dxa"/>
            <w:right w:w="0" w:type="dxa"/>
          </w:tblCellMar>
        </w:tblPrEx>
        <w:trPr>
          <w:trHeight w:val="175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2B8879D6">
            <w:pPr>
              <w:spacing w:line="360" w:lineRule="auto"/>
              <w:jc w:val="center"/>
              <w:rPr>
                <w:rFonts w:ascii="宋体" w:hAnsi="宋体" w:cs="宋体"/>
                <w:color w:val="auto"/>
                <w:sz w:val="24"/>
              </w:rPr>
            </w:pPr>
            <w:r>
              <w:rPr>
                <w:rFonts w:hint="eastAsia" w:ascii="宋体" w:hAnsi="宋体" w:cs="宋体"/>
                <w:color w:val="auto"/>
                <w:sz w:val="24"/>
              </w:rPr>
              <w:t>7.1</w:t>
            </w:r>
          </w:p>
        </w:tc>
        <w:tc>
          <w:tcPr>
            <w:tcW w:w="1638" w:type="dxa"/>
            <w:tcBorders>
              <w:top w:val="single" w:color="auto" w:sz="8" w:space="0"/>
              <w:left w:val="nil"/>
              <w:bottom w:val="single" w:color="auto" w:sz="8" w:space="0"/>
              <w:right w:val="single" w:color="auto" w:sz="8" w:space="0"/>
            </w:tcBorders>
            <w:vAlign w:val="center"/>
          </w:tcPr>
          <w:p w14:paraId="1DC0BDD7">
            <w:pPr>
              <w:spacing w:line="360" w:lineRule="auto"/>
              <w:jc w:val="center"/>
              <w:rPr>
                <w:rFonts w:ascii="宋体" w:hAnsi="宋体" w:cs="宋体"/>
                <w:color w:val="auto"/>
                <w:sz w:val="24"/>
              </w:rPr>
            </w:pPr>
            <w:r>
              <w:rPr>
                <w:rFonts w:hint="eastAsia" w:ascii="宋体" w:hAnsi="宋体" w:cs="宋体"/>
                <w:color w:val="auto"/>
                <w:sz w:val="24"/>
              </w:rPr>
              <w:t>是否授权评标委员会确定中标人</w:t>
            </w:r>
          </w:p>
        </w:tc>
        <w:tc>
          <w:tcPr>
            <w:tcW w:w="7196" w:type="dxa"/>
            <w:tcBorders>
              <w:top w:val="single" w:color="auto" w:sz="8" w:space="0"/>
              <w:left w:val="nil"/>
              <w:bottom w:val="single" w:color="auto" w:sz="8" w:space="0"/>
              <w:right w:val="single" w:color="auto" w:sz="8" w:space="0"/>
            </w:tcBorders>
            <w:vAlign w:val="center"/>
          </w:tcPr>
          <w:p w14:paraId="247493B1">
            <w:pPr>
              <w:spacing w:line="360" w:lineRule="auto"/>
              <w:jc w:val="left"/>
              <w:rPr>
                <w:rFonts w:ascii="宋体" w:hAnsi="宋体" w:cs="宋体"/>
                <w:color w:val="auto"/>
                <w:sz w:val="24"/>
              </w:rPr>
            </w:pPr>
            <w:r>
              <w:rPr>
                <w:rFonts w:hint="eastAsia" w:ascii="宋体" w:hAnsi="宋体" w:cs="宋体"/>
                <w:color w:val="auto"/>
                <w:sz w:val="24"/>
              </w:rPr>
              <w:t>□是</w:t>
            </w:r>
          </w:p>
          <w:p w14:paraId="7FC16230">
            <w:pPr>
              <w:spacing w:line="360" w:lineRule="auto"/>
              <w:jc w:val="left"/>
              <w:rPr>
                <w:rFonts w:ascii="宋体" w:hAnsi="宋体" w:cs="宋体"/>
                <w:color w:val="auto"/>
                <w:sz w:val="24"/>
              </w:rPr>
            </w:pPr>
            <w:r>
              <w:rPr>
                <w:rFonts w:hint="eastAsia" w:ascii="宋体" w:hAnsi="宋体" w:cs="宋体"/>
                <w:color w:val="auto"/>
                <w:sz w:val="24"/>
              </w:rPr>
              <w:t>☑否，评标委员会依据本招标文件规定的评标标准和方法，对按最终得分从高到低的顺序推荐出3名中标候选人。采购人依据评标委员会推荐的中标候选人排序确定第一中标候选人为本项目的中标人。</w:t>
            </w:r>
          </w:p>
        </w:tc>
      </w:tr>
      <w:tr w14:paraId="036BADCB">
        <w:tblPrEx>
          <w:tblCellMar>
            <w:top w:w="0" w:type="dxa"/>
            <w:left w:w="0" w:type="dxa"/>
            <w:bottom w:w="0" w:type="dxa"/>
            <w:right w:w="0" w:type="dxa"/>
          </w:tblCellMar>
        </w:tblPrEx>
        <w:trPr>
          <w:trHeight w:val="909"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6E581A90">
            <w:pPr>
              <w:spacing w:line="360" w:lineRule="auto"/>
              <w:jc w:val="center"/>
              <w:rPr>
                <w:rFonts w:ascii="宋体" w:hAnsi="宋体" w:cs="宋体"/>
                <w:color w:val="auto"/>
                <w:sz w:val="24"/>
              </w:rPr>
            </w:pPr>
            <w:r>
              <w:rPr>
                <w:rFonts w:hint="eastAsia" w:ascii="宋体" w:hAnsi="宋体" w:cs="宋体"/>
                <w:color w:val="auto"/>
                <w:sz w:val="24"/>
              </w:rPr>
              <w:t>7.2</w:t>
            </w:r>
          </w:p>
        </w:tc>
        <w:tc>
          <w:tcPr>
            <w:tcW w:w="1638" w:type="dxa"/>
            <w:tcBorders>
              <w:top w:val="single" w:color="auto" w:sz="8" w:space="0"/>
              <w:left w:val="nil"/>
              <w:bottom w:val="single" w:color="auto" w:sz="8" w:space="0"/>
              <w:right w:val="single" w:color="auto" w:sz="8" w:space="0"/>
            </w:tcBorders>
            <w:vAlign w:val="center"/>
          </w:tcPr>
          <w:p w14:paraId="5E7275E6">
            <w:pPr>
              <w:spacing w:line="360" w:lineRule="auto"/>
              <w:jc w:val="center"/>
              <w:rPr>
                <w:rFonts w:ascii="宋体" w:hAnsi="宋体" w:cs="宋体"/>
                <w:color w:val="auto"/>
                <w:sz w:val="24"/>
              </w:rPr>
            </w:pPr>
            <w:r>
              <w:rPr>
                <w:rFonts w:hint="eastAsia" w:ascii="宋体" w:hAnsi="宋体" w:cs="宋体"/>
                <w:color w:val="auto"/>
                <w:sz w:val="24"/>
              </w:rPr>
              <w:t>中标公告媒介及期限</w:t>
            </w:r>
          </w:p>
        </w:tc>
        <w:tc>
          <w:tcPr>
            <w:tcW w:w="7196" w:type="dxa"/>
            <w:tcBorders>
              <w:top w:val="single" w:color="auto" w:sz="8" w:space="0"/>
              <w:left w:val="nil"/>
              <w:bottom w:val="single" w:color="auto" w:sz="8" w:space="0"/>
              <w:right w:val="single" w:color="auto" w:sz="8" w:space="0"/>
            </w:tcBorders>
            <w:vAlign w:val="center"/>
          </w:tcPr>
          <w:p w14:paraId="3D190BFC">
            <w:pPr>
              <w:spacing w:line="360" w:lineRule="auto"/>
              <w:jc w:val="left"/>
              <w:rPr>
                <w:rFonts w:ascii="宋体" w:hAnsi="宋体" w:cs="宋体"/>
                <w:color w:val="auto"/>
                <w:sz w:val="24"/>
              </w:rPr>
            </w:pPr>
            <w:r>
              <w:rPr>
                <w:rFonts w:hint="eastAsia" w:ascii="宋体" w:hAnsi="宋体" w:cs="宋体"/>
                <w:color w:val="auto"/>
                <w:sz w:val="24"/>
              </w:rPr>
              <w:t>公告媒介：同发布招标公告的媒介</w:t>
            </w:r>
          </w:p>
          <w:p w14:paraId="22A8D0A6">
            <w:pPr>
              <w:spacing w:line="360" w:lineRule="auto"/>
              <w:jc w:val="left"/>
              <w:rPr>
                <w:rFonts w:ascii="宋体" w:hAnsi="宋体" w:cs="宋体"/>
                <w:color w:val="auto"/>
                <w:sz w:val="24"/>
              </w:rPr>
            </w:pPr>
            <w:r>
              <w:rPr>
                <w:rFonts w:hint="eastAsia" w:ascii="宋体" w:hAnsi="宋体" w:cs="宋体"/>
                <w:color w:val="auto"/>
                <w:sz w:val="24"/>
              </w:rPr>
              <w:t>公告期限：1个工作日</w:t>
            </w:r>
          </w:p>
        </w:tc>
      </w:tr>
      <w:tr w14:paraId="40ECBAF0">
        <w:tblPrEx>
          <w:tblCellMar>
            <w:top w:w="0" w:type="dxa"/>
            <w:left w:w="0" w:type="dxa"/>
            <w:bottom w:w="0" w:type="dxa"/>
            <w:right w:w="0" w:type="dxa"/>
          </w:tblCellMar>
        </w:tblPrEx>
        <w:trPr>
          <w:trHeight w:val="175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2FDF3C04">
            <w:pPr>
              <w:spacing w:line="360" w:lineRule="auto"/>
              <w:jc w:val="center"/>
              <w:rPr>
                <w:rFonts w:ascii="宋体" w:hAnsi="宋体" w:cs="宋体"/>
                <w:color w:val="auto"/>
                <w:sz w:val="24"/>
              </w:rPr>
            </w:pPr>
            <w:r>
              <w:rPr>
                <w:rFonts w:hint="eastAsia" w:ascii="宋体" w:hAnsi="宋体" w:cs="宋体"/>
                <w:color w:val="auto"/>
                <w:sz w:val="24"/>
              </w:rPr>
              <w:t>7.4.1</w:t>
            </w:r>
          </w:p>
        </w:tc>
        <w:tc>
          <w:tcPr>
            <w:tcW w:w="1638" w:type="dxa"/>
            <w:tcBorders>
              <w:top w:val="single" w:color="auto" w:sz="8" w:space="0"/>
              <w:left w:val="nil"/>
              <w:bottom w:val="single" w:color="auto" w:sz="8" w:space="0"/>
              <w:right w:val="single" w:color="auto" w:sz="8" w:space="0"/>
            </w:tcBorders>
            <w:vAlign w:val="center"/>
          </w:tcPr>
          <w:p w14:paraId="0BDE277B">
            <w:pPr>
              <w:spacing w:line="400" w:lineRule="exact"/>
              <w:jc w:val="center"/>
              <w:rPr>
                <w:rFonts w:ascii="宋体" w:hAnsi="宋体" w:cs="宋体"/>
                <w:color w:val="auto"/>
                <w:sz w:val="24"/>
              </w:rPr>
            </w:pPr>
            <w:r>
              <w:rPr>
                <w:rFonts w:hint="eastAsia" w:ascii="宋体" w:hAnsi="宋体" w:cs="宋体"/>
                <w:color w:val="auto"/>
                <w:sz w:val="24"/>
              </w:rPr>
              <w:t>履约保证金</w:t>
            </w:r>
          </w:p>
        </w:tc>
        <w:tc>
          <w:tcPr>
            <w:tcW w:w="7196" w:type="dxa"/>
            <w:tcBorders>
              <w:top w:val="single" w:color="auto" w:sz="8" w:space="0"/>
              <w:left w:val="nil"/>
              <w:bottom w:val="single" w:color="auto" w:sz="8" w:space="0"/>
              <w:right w:val="single" w:color="auto" w:sz="8" w:space="0"/>
            </w:tcBorders>
            <w:vAlign w:val="center"/>
          </w:tcPr>
          <w:p w14:paraId="41846F5E">
            <w:pPr>
              <w:pStyle w:val="6"/>
              <w:topLinePunct/>
              <w:spacing w:line="360" w:lineRule="auto"/>
              <w:rPr>
                <w:rFonts w:hAnsi="宋体" w:cs="宋体"/>
                <w:color w:val="auto"/>
              </w:rPr>
            </w:pPr>
            <w:r>
              <w:rPr>
                <w:rFonts w:hint="eastAsia" w:hAnsi="宋体" w:cs="宋体"/>
                <w:color w:val="auto"/>
              </w:rPr>
              <w:t>是否要求中标人提交履约保证金：</w:t>
            </w:r>
          </w:p>
          <w:p w14:paraId="022823D3">
            <w:pPr>
              <w:pStyle w:val="6"/>
              <w:topLinePunct/>
              <w:spacing w:line="360" w:lineRule="auto"/>
              <w:rPr>
                <w:rFonts w:hAnsi="宋体" w:cs="宋体"/>
                <w:color w:val="auto"/>
              </w:rPr>
            </w:pPr>
            <w:r>
              <w:rPr>
                <w:rFonts w:hint="eastAsia" w:hAnsi="宋体" w:cs="宋体"/>
                <w:color w:val="auto"/>
              </w:rPr>
              <w:t>□要求，</w:t>
            </w:r>
          </w:p>
          <w:p w14:paraId="03CAA98B">
            <w:pPr>
              <w:pStyle w:val="6"/>
              <w:topLinePunct/>
              <w:spacing w:line="360" w:lineRule="auto"/>
              <w:rPr>
                <w:rFonts w:hAnsi="宋体" w:cs="宋体"/>
                <w:color w:val="auto"/>
              </w:rPr>
            </w:pPr>
            <w:r>
              <w:rPr>
                <w:rFonts w:hint="eastAsia" w:hAnsi="宋体" w:cs="宋体"/>
                <w:color w:val="auto"/>
              </w:rPr>
              <w:t>履约担保的金额：/。</w:t>
            </w:r>
          </w:p>
          <w:p w14:paraId="191CE8B1">
            <w:pPr>
              <w:pStyle w:val="6"/>
              <w:topLinePunct/>
              <w:spacing w:line="360" w:lineRule="auto"/>
              <w:rPr>
                <w:rFonts w:hAnsi="宋体" w:cs="宋体"/>
                <w:color w:val="auto"/>
              </w:rPr>
            </w:pPr>
            <w:r>
              <w:rPr>
                <w:rFonts w:hint="eastAsia" w:hAnsi="宋体" w:cs="宋体"/>
                <w:color w:val="auto"/>
                <w:kern w:val="0"/>
              </w:rPr>
              <w:t>☑不要求</w:t>
            </w:r>
          </w:p>
        </w:tc>
      </w:tr>
      <w:tr w14:paraId="053CFF7D">
        <w:tblPrEx>
          <w:tblCellMar>
            <w:top w:w="0" w:type="dxa"/>
            <w:left w:w="0" w:type="dxa"/>
            <w:bottom w:w="0" w:type="dxa"/>
            <w:right w:w="0" w:type="dxa"/>
          </w:tblCellMar>
        </w:tblPrEx>
        <w:trPr>
          <w:trHeight w:val="291"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12ACB59A">
            <w:pPr>
              <w:spacing w:line="360" w:lineRule="auto"/>
              <w:jc w:val="center"/>
              <w:rPr>
                <w:rFonts w:ascii="宋体" w:hAnsi="宋体" w:cs="宋体"/>
                <w:color w:val="auto"/>
                <w:sz w:val="24"/>
              </w:rPr>
            </w:pPr>
            <w:r>
              <w:rPr>
                <w:rFonts w:hint="eastAsia" w:ascii="宋体" w:hAnsi="宋体" w:cs="宋体"/>
                <w:color w:val="auto"/>
                <w:sz w:val="24"/>
              </w:rPr>
              <w:t>10</w:t>
            </w:r>
          </w:p>
        </w:tc>
        <w:tc>
          <w:tcPr>
            <w:tcW w:w="1638" w:type="dxa"/>
            <w:tcBorders>
              <w:top w:val="single" w:color="auto" w:sz="8" w:space="0"/>
              <w:left w:val="nil"/>
              <w:bottom w:val="single" w:color="auto" w:sz="8" w:space="0"/>
              <w:right w:val="single" w:color="auto" w:sz="8" w:space="0"/>
            </w:tcBorders>
            <w:vAlign w:val="center"/>
          </w:tcPr>
          <w:p w14:paraId="06F94CDD">
            <w:pPr>
              <w:spacing w:line="360" w:lineRule="auto"/>
              <w:jc w:val="center"/>
              <w:rPr>
                <w:rFonts w:ascii="宋体" w:hAnsi="宋体" w:cs="宋体"/>
                <w:color w:val="auto"/>
                <w:sz w:val="24"/>
              </w:rPr>
            </w:pPr>
            <w:r>
              <w:rPr>
                <w:rFonts w:hint="eastAsia" w:ascii="宋体" w:hAnsi="宋体" w:cs="宋体"/>
                <w:color w:val="auto"/>
                <w:sz w:val="24"/>
              </w:rPr>
              <w:t>询问与答复</w:t>
            </w:r>
          </w:p>
        </w:tc>
        <w:tc>
          <w:tcPr>
            <w:tcW w:w="7196" w:type="dxa"/>
            <w:tcBorders>
              <w:top w:val="single" w:color="auto" w:sz="8" w:space="0"/>
              <w:left w:val="nil"/>
              <w:bottom w:val="single" w:color="auto" w:sz="8" w:space="0"/>
              <w:right w:val="single" w:color="auto" w:sz="8" w:space="0"/>
            </w:tcBorders>
            <w:vAlign w:val="center"/>
          </w:tcPr>
          <w:p w14:paraId="53B13226">
            <w:pPr>
              <w:spacing w:line="360" w:lineRule="auto"/>
              <w:jc w:val="left"/>
              <w:rPr>
                <w:rFonts w:ascii="宋体" w:hAnsi="宋体" w:cs="宋体"/>
                <w:color w:val="auto"/>
                <w:sz w:val="24"/>
              </w:rPr>
            </w:pPr>
            <w:r>
              <w:rPr>
                <w:rFonts w:hint="eastAsia" w:ascii="宋体" w:hAnsi="宋体" w:cs="宋体"/>
                <w:color w:val="auto"/>
                <w:sz w:val="24"/>
              </w:rPr>
              <w:t>凡对本次招标采购活动事项有疑问的，可以向采购代理机构提出询问，采购代理机构将及时作出答复，但答复的内容不得涉及商业秘密。</w:t>
            </w:r>
          </w:p>
        </w:tc>
      </w:tr>
      <w:tr w14:paraId="7A66C866">
        <w:tblPrEx>
          <w:tblCellMar>
            <w:top w:w="0" w:type="dxa"/>
            <w:left w:w="0" w:type="dxa"/>
            <w:bottom w:w="0" w:type="dxa"/>
            <w:right w:w="0" w:type="dxa"/>
          </w:tblCellMar>
        </w:tblPrEx>
        <w:trPr>
          <w:trHeight w:val="175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47CAA1AC">
            <w:pPr>
              <w:spacing w:line="360" w:lineRule="auto"/>
              <w:jc w:val="center"/>
              <w:rPr>
                <w:rFonts w:ascii="宋体" w:hAnsi="宋体" w:cs="宋体"/>
                <w:color w:val="auto"/>
                <w:sz w:val="24"/>
              </w:rPr>
            </w:pPr>
            <w:r>
              <w:rPr>
                <w:rFonts w:hint="eastAsia" w:ascii="宋体" w:hAnsi="宋体" w:cs="宋体"/>
                <w:color w:val="auto"/>
                <w:sz w:val="24"/>
              </w:rPr>
              <w:t>10.1</w:t>
            </w:r>
          </w:p>
          <w:p w14:paraId="27CF4F4D">
            <w:pPr>
              <w:spacing w:line="360" w:lineRule="auto"/>
              <w:jc w:val="center"/>
              <w:rPr>
                <w:rFonts w:ascii="宋体" w:hAnsi="宋体" w:cs="宋体"/>
                <w:color w:val="auto"/>
                <w:sz w:val="24"/>
              </w:rPr>
            </w:pPr>
            <w:r>
              <w:rPr>
                <w:rFonts w:hint="eastAsia" w:ascii="宋体" w:hAnsi="宋体" w:cs="宋体"/>
                <w:color w:val="auto"/>
                <w:sz w:val="24"/>
              </w:rPr>
              <w:t>10.2</w:t>
            </w:r>
          </w:p>
        </w:tc>
        <w:tc>
          <w:tcPr>
            <w:tcW w:w="1638" w:type="dxa"/>
            <w:tcBorders>
              <w:top w:val="single" w:color="auto" w:sz="8" w:space="0"/>
              <w:left w:val="nil"/>
              <w:bottom w:val="single" w:color="auto" w:sz="8" w:space="0"/>
              <w:right w:val="single" w:color="auto" w:sz="8" w:space="0"/>
            </w:tcBorders>
            <w:vAlign w:val="center"/>
          </w:tcPr>
          <w:p w14:paraId="3A0B2C52">
            <w:pPr>
              <w:spacing w:line="360" w:lineRule="auto"/>
              <w:jc w:val="center"/>
              <w:rPr>
                <w:rFonts w:ascii="宋体" w:hAnsi="宋体" w:cs="宋体"/>
                <w:color w:val="auto"/>
                <w:sz w:val="24"/>
              </w:rPr>
            </w:pPr>
            <w:r>
              <w:rPr>
                <w:rFonts w:hint="eastAsia" w:ascii="宋体" w:hAnsi="宋体" w:cs="宋体"/>
                <w:color w:val="auto"/>
                <w:sz w:val="24"/>
              </w:rPr>
              <w:t>对招标文件中的内容、采购过程及中标结果的质疑及回复</w:t>
            </w:r>
          </w:p>
        </w:tc>
        <w:tc>
          <w:tcPr>
            <w:tcW w:w="7196" w:type="dxa"/>
            <w:tcBorders>
              <w:top w:val="single" w:color="auto" w:sz="8" w:space="0"/>
              <w:left w:val="nil"/>
              <w:bottom w:val="single" w:color="auto" w:sz="8" w:space="0"/>
              <w:right w:val="single" w:color="auto" w:sz="8" w:space="0"/>
            </w:tcBorders>
            <w:vAlign w:val="center"/>
          </w:tcPr>
          <w:p w14:paraId="351BA3ED">
            <w:pPr>
              <w:spacing w:line="360" w:lineRule="auto"/>
              <w:jc w:val="left"/>
              <w:rPr>
                <w:rFonts w:ascii="宋体" w:hAnsi="宋体" w:cs="宋体"/>
                <w:color w:val="auto"/>
                <w:sz w:val="24"/>
              </w:rPr>
            </w:pPr>
            <w:r>
              <w:rPr>
                <w:rFonts w:hint="eastAsia" w:ascii="宋体" w:hAnsi="宋体" w:cs="宋体"/>
                <w:color w:val="auto"/>
                <w:sz w:val="24"/>
              </w:rPr>
              <w:t>详见总则10.1条“质疑接收”及10.2条“质疑回复”</w:t>
            </w:r>
          </w:p>
        </w:tc>
      </w:tr>
      <w:tr w14:paraId="71E5DD75">
        <w:tblPrEx>
          <w:tblCellMar>
            <w:top w:w="0" w:type="dxa"/>
            <w:left w:w="0" w:type="dxa"/>
            <w:bottom w:w="0" w:type="dxa"/>
            <w:right w:w="0" w:type="dxa"/>
          </w:tblCellMar>
        </w:tblPrEx>
        <w:trPr>
          <w:trHeight w:val="39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68804EA8">
            <w:pPr>
              <w:spacing w:line="360" w:lineRule="auto"/>
              <w:jc w:val="center"/>
              <w:rPr>
                <w:rFonts w:ascii="宋体" w:hAnsi="宋体" w:cs="宋体"/>
                <w:color w:val="auto"/>
                <w:sz w:val="24"/>
              </w:rPr>
            </w:pPr>
            <w:r>
              <w:rPr>
                <w:rFonts w:hint="eastAsia" w:ascii="宋体" w:hAnsi="宋体" w:cs="宋体"/>
                <w:color w:val="auto"/>
                <w:sz w:val="24"/>
              </w:rPr>
              <w:t>11</w:t>
            </w:r>
          </w:p>
        </w:tc>
        <w:tc>
          <w:tcPr>
            <w:tcW w:w="1638" w:type="dxa"/>
            <w:tcBorders>
              <w:top w:val="single" w:color="auto" w:sz="8" w:space="0"/>
              <w:left w:val="nil"/>
              <w:bottom w:val="single" w:color="auto" w:sz="8" w:space="0"/>
              <w:right w:val="single" w:color="auto" w:sz="8" w:space="0"/>
            </w:tcBorders>
            <w:vAlign w:val="center"/>
          </w:tcPr>
          <w:p w14:paraId="32F32588">
            <w:pPr>
              <w:spacing w:line="360" w:lineRule="auto"/>
              <w:jc w:val="center"/>
              <w:rPr>
                <w:rFonts w:ascii="宋体" w:hAnsi="宋体" w:cs="宋体"/>
                <w:color w:val="auto"/>
                <w:sz w:val="24"/>
              </w:rPr>
            </w:pPr>
            <w:r>
              <w:rPr>
                <w:rFonts w:hint="eastAsia" w:ascii="宋体" w:hAnsi="宋体" w:cs="宋体"/>
                <w:color w:val="auto"/>
                <w:sz w:val="24"/>
              </w:rPr>
              <w:t>投诉</w:t>
            </w:r>
          </w:p>
        </w:tc>
        <w:tc>
          <w:tcPr>
            <w:tcW w:w="7196" w:type="dxa"/>
            <w:tcBorders>
              <w:top w:val="single" w:color="auto" w:sz="8" w:space="0"/>
              <w:left w:val="nil"/>
              <w:bottom w:val="single" w:color="auto" w:sz="8" w:space="0"/>
              <w:right w:val="single" w:color="auto" w:sz="8" w:space="0"/>
            </w:tcBorders>
            <w:vAlign w:val="center"/>
          </w:tcPr>
          <w:p w14:paraId="5F3B4531">
            <w:pPr>
              <w:spacing w:line="360" w:lineRule="auto"/>
              <w:jc w:val="left"/>
              <w:rPr>
                <w:rFonts w:ascii="宋体" w:hAnsi="宋体" w:cs="宋体"/>
                <w:color w:val="auto"/>
                <w:sz w:val="24"/>
              </w:rPr>
            </w:pPr>
            <w:r>
              <w:rPr>
                <w:rFonts w:hint="eastAsia" w:ascii="宋体" w:hAnsi="宋体" w:cs="宋体"/>
                <w:color w:val="auto"/>
                <w:sz w:val="24"/>
              </w:rPr>
              <w:t>详见总则11条“投诉”</w:t>
            </w:r>
          </w:p>
        </w:tc>
      </w:tr>
      <w:tr w14:paraId="614EE3B6">
        <w:tblPrEx>
          <w:tblCellMar>
            <w:top w:w="0" w:type="dxa"/>
            <w:left w:w="0" w:type="dxa"/>
            <w:bottom w:w="0" w:type="dxa"/>
            <w:right w:w="0" w:type="dxa"/>
          </w:tblCellMar>
        </w:tblPrEx>
        <w:trPr>
          <w:trHeight w:val="39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2CFE634C">
            <w:pPr>
              <w:spacing w:line="360" w:lineRule="auto"/>
              <w:jc w:val="center"/>
              <w:rPr>
                <w:rFonts w:ascii="宋体" w:hAnsi="宋体" w:cs="宋体"/>
                <w:color w:val="auto"/>
                <w:sz w:val="24"/>
              </w:rPr>
            </w:pPr>
            <w:r>
              <w:rPr>
                <w:rFonts w:hint="eastAsia" w:ascii="宋体" w:hAnsi="宋体" w:cs="宋体"/>
                <w:color w:val="auto"/>
                <w:sz w:val="24"/>
              </w:rPr>
              <w:t>12</w:t>
            </w:r>
          </w:p>
        </w:tc>
        <w:tc>
          <w:tcPr>
            <w:tcW w:w="8834" w:type="dxa"/>
            <w:gridSpan w:val="2"/>
            <w:tcBorders>
              <w:top w:val="single" w:color="auto" w:sz="8" w:space="0"/>
              <w:left w:val="nil"/>
              <w:bottom w:val="single" w:color="auto" w:sz="8" w:space="0"/>
              <w:right w:val="single" w:color="auto" w:sz="8" w:space="0"/>
            </w:tcBorders>
            <w:vAlign w:val="center"/>
          </w:tcPr>
          <w:p w14:paraId="6BF30063">
            <w:pPr>
              <w:spacing w:line="360" w:lineRule="auto"/>
              <w:jc w:val="center"/>
              <w:rPr>
                <w:rFonts w:ascii="宋体" w:hAnsi="宋体" w:cs="宋体"/>
                <w:color w:val="auto"/>
                <w:sz w:val="24"/>
              </w:rPr>
            </w:pPr>
            <w:r>
              <w:rPr>
                <w:rFonts w:hint="eastAsia" w:ascii="宋体" w:hAnsi="宋体" w:cs="宋体"/>
                <w:color w:val="auto"/>
                <w:sz w:val="24"/>
              </w:rPr>
              <w:t>需要补充的其他内容</w:t>
            </w:r>
          </w:p>
        </w:tc>
      </w:tr>
      <w:tr w14:paraId="1C5915A5">
        <w:tblPrEx>
          <w:tblCellMar>
            <w:top w:w="0" w:type="dxa"/>
            <w:left w:w="0" w:type="dxa"/>
            <w:bottom w:w="0" w:type="dxa"/>
            <w:right w:w="0" w:type="dxa"/>
          </w:tblCellMar>
        </w:tblPrEx>
        <w:trPr>
          <w:trHeight w:val="96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043A2938">
            <w:pPr>
              <w:spacing w:line="360" w:lineRule="auto"/>
              <w:jc w:val="center"/>
              <w:rPr>
                <w:rFonts w:ascii="宋体" w:hAnsi="宋体" w:cs="宋体"/>
                <w:color w:val="auto"/>
                <w:sz w:val="24"/>
              </w:rPr>
            </w:pPr>
            <w:r>
              <w:rPr>
                <w:rFonts w:hint="eastAsia" w:ascii="宋体" w:hAnsi="宋体" w:cs="宋体"/>
                <w:color w:val="auto"/>
                <w:sz w:val="24"/>
              </w:rPr>
              <w:t>12.1</w:t>
            </w:r>
          </w:p>
        </w:tc>
        <w:tc>
          <w:tcPr>
            <w:tcW w:w="1638" w:type="dxa"/>
            <w:tcBorders>
              <w:top w:val="single" w:color="auto" w:sz="8" w:space="0"/>
              <w:left w:val="nil"/>
              <w:bottom w:val="single" w:color="auto" w:sz="8" w:space="0"/>
              <w:right w:val="single" w:color="auto" w:sz="8" w:space="0"/>
            </w:tcBorders>
            <w:vAlign w:val="center"/>
          </w:tcPr>
          <w:p w14:paraId="1DDE899A">
            <w:pPr>
              <w:spacing w:line="360" w:lineRule="auto"/>
              <w:jc w:val="center"/>
              <w:rPr>
                <w:rFonts w:ascii="宋体" w:hAnsi="宋体" w:cs="宋体"/>
                <w:color w:val="auto"/>
                <w:sz w:val="24"/>
              </w:rPr>
            </w:pPr>
            <w:r>
              <w:rPr>
                <w:rFonts w:hint="eastAsia" w:ascii="宋体" w:hAnsi="宋体" w:cs="宋体"/>
                <w:color w:val="auto"/>
                <w:sz w:val="24"/>
              </w:rPr>
              <w:t>评标方法</w:t>
            </w:r>
          </w:p>
        </w:tc>
        <w:tc>
          <w:tcPr>
            <w:tcW w:w="7196" w:type="dxa"/>
            <w:tcBorders>
              <w:top w:val="single" w:color="auto" w:sz="8" w:space="0"/>
              <w:left w:val="nil"/>
              <w:bottom w:val="single" w:color="auto" w:sz="8" w:space="0"/>
              <w:right w:val="single" w:color="auto" w:sz="8" w:space="0"/>
            </w:tcBorders>
            <w:vAlign w:val="center"/>
          </w:tcPr>
          <w:p w14:paraId="6D3B9960">
            <w:pPr>
              <w:spacing w:line="360" w:lineRule="auto"/>
              <w:jc w:val="left"/>
              <w:rPr>
                <w:rFonts w:ascii="宋体" w:hAnsi="宋体" w:cs="宋体"/>
                <w:color w:val="auto"/>
                <w:sz w:val="24"/>
              </w:rPr>
            </w:pPr>
            <w:r>
              <w:rPr>
                <w:rFonts w:hint="eastAsia" w:ascii="宋体" w:hAnsi="宋体" w:cs="宋体"/>
                <w:color w:val="auto"/>
                <w:sz w:val="24"/>
              </w:rPr>
              <w:t>☑综合评分法</w:t>
            </w:r>
          </w:p>
          <w:p w14:paraId="57B41F0E">
            <w:pPr>
              <w:spacing w:line="360" w:lineRule="auto"/>
              <w:jc w:val="left"/>
              <w:rPr>
                <w:rFonts w:ascii="宋体" w:hAnsi="宋体" w:cs="宋体"/>
                <w:color w:val="auto"/>
                <w:sz w:val="24"/>
              </w:rPr>
            </w:pPr>
            <w:r>
              <w:rPr>
                <w:rFonts w:hint="eastAsia" w:ascii="宋体" w:hAnsi="宋体" w:cs="宋体"/>
                <w:color w:val="auto"/>
                <w:sz w:val="24"/>
              </w:rPr>
              <w:t>□最低评标价法</w:t>
            </w:r>
          </w:p>
        </w:tc>
      </w:tr>
      <w:tr w14:paraId="70CD6F43">
        <w:tblPrEx>
          <w:tblCellMar>
            <w:top w:w="0" w:type="dxa"/>
            <w:left w:w="0" w:type="dxa"/>
            <w:bottom w:w="0" w:type="dxa"/>
            <w:right w:w="0" w:type="dxa"/>
          </w:tblCellMar>
        </w:tblPrEx>
        <w:trPr>
          <w:trHeight w:val="479"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06C75FEF">
            <w:pPr>
              <w:spacing w:line="360" w:lineRule="auto"/>
              <w:jc w:val="center"/>
              <w:rPr>
                <w:rFonts w:ascii="宋体" w:hAnsi="宋体" w:cs="宋体"/>
                <w:color w:val="auto"/>
                <w:sz w:val="24"/>
              </w:rPr>
            </w:pPr>
            <w:r>
              <w:rPr>
                <w:rFonts w:hint="eastAsia" w:ascii="宋体" w:hAnsi="宋体" w:cs="宋体"/>
                <w:color w:val="auto"/>
                <w:sz w:val="24"/>
              </w:rPr>
              <w:t>12.2</w:t>
            </w:r>
          </w:p>
        </w:tc>
        <w:tc>
          <w:tcPr>
            <w:tcW w:w="1638" w:type="dxa"/>
            <w:tcBorders>
              <w:top w:val="single" w:color="auto" w:sz="8" w:space="0"/>
              <w:left w:val="nil"/>
              <w:bottom w:val="single" w:color="auto" w:sz="8" w:space="0"/>
              <w:right w:val="single" w:color="auto" w:sz="8" w:space="0"/>
            </w:tcBorders>
            <w:vAlign w:val="center"/>
          </w:tcPr>
          <w:p w14:paraId="4830F7A4">
            <w:pPr>
              <w:spacing w:line="360" w:lineRule="auto"/>
              <w:jc w:val="center"/>
              <w:rPr>
                <w:rFonts w:ascii="宋体" w:hAnsi="宋体" w:cs="宋体"/>
                <w:color w:val="auto"/>
                <w:sz w:val="24"/>
              </w:rPr>
            </w:pPr>
            <w:r>
              <w:rPr>
                <w:rFonts w:hint="eastAsia" w:ascii="宋体" w:hAnsi="宋体" w:cs="宋体"/>
                <w:color w:val="auto"/>
                <w:sz w:val="24"/>
              </w:rPr>
              <w:t>追加合同金额</w:t>
            </w:r>
          </w:p>
        </w:tc>
        <w:tc>
          <w:tcPr>
            <w:tcW w:w="7196" w:type="dxa"/>
            <w:tcBorders>
              <w:top w:val="single" w:color="auto" w:sz="8" w:space="0"/>
              <w:left w:val="nil"/>
              <w:bottom w:val="single" w:color="auto" w:sz="8" w:space="0"/>
              <w:right w:val="single" w:color="auto" w:sz="8" w:space="0"/>
            </w:tcBorders>
            <w:vAlign w:val="center"/>
          </w:tcPr>
          <w:p w14:paraId="196E4561">
            <w:pPr>
              <w:spacing w:line="360" w:lineRule="auto"/>
              <w:jc w:val="left"/>
              <w:rPr>
                <w:rFonts w:ascii="宋体" w:hAnsi="宋体" w:cs="宋体"/>
                <w:color w:val="auto"/>
                <w:sz w:val="24"/>
              </w:rPr>
            </w:pPr>
            <w:r>
              <w:rPr>
                <w:rFonts w:hint="eastAsia" w:ascii="宋体" w:hAnsi="宋体" w:cs="宋体"/>
                <w:color w:val="auto"/>
                <w:sz w:val="24"/>
              </w:rPr>
              <w:t>政府采购合同履行中，采购人需追加与合同标的相同的服务的，在不改变合同其他条款的前提下，可以与中标投标人签订补充合同，但所有补充合同的采购金额变更不得超过原合同采购金额的10%，其中金额增加需办理合同追加手续。</w:t>
            </w:r>
          </w:p>
        </w:tc>
      </w:tr>
      <w:tr w14:paraId="4589DA06">
        <w:tblPrEx>
          <w:tblCellMar>
            <w:top w:w="0" w:type="dxa"/>
            <w:left w:w="0" w:type="dxa"/>
            <w:bottom w:w="0" w:type="dxa"/>
            <w:right w:w="0" w:type="dxa"/>
          </w:tblCellMar>
        </w:tblPrEx>
        <w:trPr>
          <w:trHeight w:val="33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4336B34D">
            <w:pPr>
              <w:spacing w:line="360" w:lineRule="auto"/>
              <w:jc w:val="center"/>
              <w:rPr>
                <w:rFonts w:ascii="宋体" w:hAnsi="宋体" w:cs="宋体"/>
                <w:color w:val="auto"/>
                <w:sz w:val="24"/>
              </w:rPr>
            </w:pPr>
            <w:r>
              <w:rPr>
                <w:rFonts w:hint="eastAsia" w:ascii="宋体" w:hAnsi="宋体" w:cs="宋体"/>
                <w:color w:val="auto"/>
                <w:sz w:val="24"/>
              </w:rPr>
              <w:t>12.3</w:t>
            </w:r>
          </w:p>
        </w:tc>
        <w:tc>
          <w:tcPr>
            <w:tcW w:w="1638" w:type="dxa"/>
            <w:tcBorders>
              <w:top w:val="single" w:color="auto" w:sz="8" w:space="0"/>
              <w:left w:val="nil"/>
              <w:bottom w:val="single" w:color="auto" w:sz="8" w:space="0"/>
              <w:right w:val="single" w:color="auto" w:sz="8" w:space="0"/>
            </w:tcBorders>
            <w:vAlign w:val="center"/>
          </w:tcPr>
          <w:p w14:paraId="09EF067D">
            <w:pPr>
              <w:spacing w:line="360" w:lineRule="auto"/>
              <w:jc w:val="center"/>
              <w:rPr>
                <w:rFonts w:ascii="宋体" w:hAnsi="宋体" w:cs="宋体"/>
                <w:color w:val="auto"/>
                <w:sz w:val="24"/>
              </w:rPr>
            </w:pPr>
            <w:r>
              <w:rPr>
                <w:rFonts w:hint="eastAsia" w:ascii="宋体" w:hAnsi="宋体" w:cs="宋体"/>
                <w:color w:val="auto"/>
                <w:sz w:val="24"/>
              </w:rPr>
              <w:t>信用查询具体要求</w:t>
            </w:r>
          </w:p>
        </w:tc>
        <w:tc>
          <w:tcPr>
            <w:tcW w:w="7196" w:type="dxa"/>
            <w:tcBorders>
              <w:top w:val="single" w:color="auto" w:sz="8" w:space="0"/>
              <w:left w:val="nil"/>
              <w:bottom w:val="single" w:color="auto" w:sz="8" w:space="0"/>
              <w:right w:val="single" w:color="auto" w:sz="8" w:space="0"/>
            </w:tcBorders>
            <w:vAlign w:val="center"/>
          </w:tcPr>
          <w:p w14:paraId="3DCCBDF5">
            <w:pPr>
              <w:spacing w:line="360" w:lineRule="auto"/>
              <w:jc w:val="left"/>
              <w:rPr>
                <w:rFonts w:ascii="宋体" w:hAnsi="宋体" w:cs="宋体"/>
                <w:color w:val="auto"/>
                <w:sz w:val="24"/>
              </w:rPr>
            </w:pPr>
            <w:r>
              <w:rPr>
                <w:rFonts w:hint="eastAsia" w:ascii="宋体" w:hAnsi="宋体" w:cs="宋体"/>
                <w:color w:val="auto"/>
                <w:sz w:val="24"/>
              </w:rPr>
              <w:t>本项目将执行在政府采购活动中查询及使用信用记录的规定，具体要求为：</w:t>
            </w:r>
          </w:p>
          <w:p w14:paraId="418F9390">
            <w:pPr>
              <w:spacing w:line="360" w:lineRule="auto"/>
              <w:jc w:val="left"/>
              <w:rPr>
                <w:rFonts w:ascii="宋体" w:hAnsi="宋体" w:cs="宋体"/>
                <w:color w:val="auto"/>
                <w:sz w:val="24"/>
              </w:rPr>
            </w:pPr>
            <w:r>
              <w:rPr>
                <w:rFonts w:hint="eastAsia" w:ascii="宋体" w:hAnsi="宋体" w:cs="宋体"/>
                <w:color w:val="auto"/>
                <w:sz w:val="24"/>
              </w:rPr>
              <w:t>（1）①投标人应在信用中国（www.creditchina.gov.cn）中未被列入失信被执行人；②投标人应在信用中国（www.creditchina.gov.cn）中未被列入重大税收违法失信主体；③投标人应在中国政府采购网(www.ccgp.gov.cn)中未被列入政府采购严重违法失信行为记录名单（被禁止在一定期限内参加政府采购活动但期限届满的除外）；</w:t>
            </w:r>
          </w:p>
          <w:p w14:paraId="4DE0F3C5">
            <w:pPr>
              <w:spacing w:line="360" w:lineRule="auto"/>
              <w:jc w:val="left"/>
              <w:rPr>
                <w:rFonts w:ascii="宋体" w:hAnsi="宋体" w:cs="宋体"/>
                <w:color w:val="auto"/>
                <w:sz w:val="24"/>
              </w:rPr>
            </w:pPr>
            <w:r>
              <w:rPr>
                <w:rFonts w:hint="eastAsia" w:ascii="宋体" w:hAnsi="宋体" w:cs="宋体"/>
                <w:color w:val="auto"/>
                <w:sz w:val="24"/>
              </w:rPr>
              <w:t>（2）信用信息查询的截止时点：投标截止时间；</w:t>
            </w:r>
          </w:p>
          <w:p w14:paraId="13CDCE5D">
            <w:pPr>
              <w:spacing w:line="360" w:lineRule="auto"/>
              <w:jc w:val="left"/>
              <w:rPr>
                <w:rFonts w:ascii="宋体" w:hAnsi="宋体" w:cs="宋体"/>
                <w:color w:val="auto"/>
                <w:sz w:val="24"/>
              </w:rPr>
            </w:pPr>
            <w:r>
              <w:rPr>
                <w:rFonts w:hint="eastAsia" w:ascii="宋体" w:hAnsi="宋体" w:cs="宋体"/>
                <w:color w:val="auto"/>
                <w:sz w:val="24"/>
              </w:rPr>
              <w:t>（3）信用信息查询渠道：“信用中国”、“中国政府采购网”；</w:t>
            </w:r>
          </w:p>
          <w:p w14:paraId="3CFC434F">
            <w:pPr>
              <w:spacing w:line="360" w:lineRule="auto"/>
              <w:jc w:val="left"/>
              <w:rPr>
                <w:rFonts w:ascii="宋体" w:hAnsi="宋体" w:cs="宋体"/>
                <w:color w:val="auto"/>
                <w:sz w:val="24"/>
              </w:rPr>
            </w:pPr>
            <w:r>
              <w:rPr>
                <w:rFonts w:hint="eastAsia" w:ascii="宋体" w:hAnsi="宋体" w:cs="宋体"/>
                <w:color w:val="auto"/>
                <w:sz w:val="24"/>
              </w:rPr>
              <w:t>（4）信用信息查询记录和证据留存具体方式：采购人、采购代理机构将经查询存在不良信用记录的潜在投标人查询结果证明材料作为查询记录和证据，与其他招标文件一并保存；</w:t>
            </w:r>
          </w:p>
          <w:p w14:paraId="5672463C">
            <w:pPr>
              <w:spacing w:line="360" w:lineRule="auto"/>
              <w:jc w:val="left"/>
              <w:rPr>
                <w:rFonts w:ascii="宋体" w:hAnsi="宋体" w:cs="宋体"/>
                <w:color w:val="auto"/>
                <w:sz w:val="24"/>
              </w:rPr>
            </w:pPr>
            <w:r>
              <w:rPr>
                <w:rFonts w:hint="eastAsia" w:ascii="宋体" w:hAnsi="宋体" w:cs="宋体"/>
                <w:color w:val="auto"/>
                <w:sz w:val="24"/>
              </w:rPr>
              <w:t>（5）信用信息的使用规则：本政府采购项目的投标人在信用信息查询截止时点（含）之前被列入失信被执行人、重大税收违法失信主体、政府采购严重违法失信行为记录名单及其他不符合《中华人民共和国政府采购法》第二十二条规定条件的投标人，其投标无效；</w:t>
            </w:r>
          </w:p>
          <w:p w14:paraId="13046213">
            <w:pPr>
              <w:spacing w:line="360" w:lineRule="auto"/>
              <w:jc w:val="left"/>
              <w:rPr>
                <w:rFonts w:ascii="宋体" w:hAnsi="宋体" w:cs="宋体"/>
                <w:color w:val="auto"/>
                <w:sz w:val="24"/>
              </w:rPr>
            </w:pPr>
            <w:r>
              <w:rPr>
                <w:rFonts w:hint="eastAsia" w:ascii="宋体" w:hAnsi="宋体" w:cs="宋体"/>
                <w:color w:val="auto"/>
                <w:sz w:val="24"/>
              </w:rPr>
              <w:t>（6）采购人、采购代理机构通过“信用中国”、“中国政府采购网”等渠道查询相关主体信用记录，若投标人存在被列入失信被执行人、重大税收违法失信主体、政府采购严重违法失信行为记录名单，则投标无效。</w:t>
            </w:r>
          </w:p>
        </w:tc>
      </w:tr>
      <w:tr w14:paraId="41521B76">
        <w:tblPrEx>
          <w:tblCellMar>
            <w:top w:w="0" w:type="dxa"/>
            <w:left w:w="0" w:type="dxa"/>
            <w:bottom w:w="0" w:type="dxa"/>
            <w:right w:w="0" w:type="dxa"/>
          </w:tblCellMar>
        </w:tblPrEx>
        <w:trPr>
          <w:trHeight w:val="33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3B5C80AF">
            <w:pPr>
              <w:spacing w:line="360" w:lineRule="auto"/>
              <w:jc w:val="center"/>
              <w:rPr>
                <w:rFonts w:ascii="宋体" w:hAnsi="宋体" w:cs="宋体"/>
                <w:color w:val="auto"/>
                <w:sz w:val="24"/>
              </w:rPr>
            </w:pPr>
            <w:r>
              <w:rPr>
                <w:rFonts w:hint="eastAsia" w:ascii="宋体" w:hAnsi="宋体" w:cs="宋体"/>
                <w:color w:val="auto"/>
                <w:sz w:val="24"/>
              </w:rPr>
              <w:t>12.4</w:t>
            </w:r>
          </w:p>
        </w:tc>
        <w:tc>
          <w:tcPr>
            <w:tcW w:w="1638" w:type="dxa"/>
            <w:tcBorders>
              <w:top w:val="single" w:color="auto" w:sz="8" w:space="0"/>
              <w:left w:val="nil"/>
              <w:bottom w:val="single" w:color="auto" w:sz="8" w:space="0"/>
              <w:right w:val="single" w:color="auto" w:sz="8" w:space="0"/>
            </w:tcBorders>
            <w:vAlign w:val="center"/>
          </w:tcPr>
          <w:p w14:paraId="1C29DE6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采购标的对应的中小企业划分标准所属行业</w:t>
            </w:r>
          </w:p>
        </w:tc>
        <w:tc>
          <w:tcPr>
            <w:tcW w:w="7196" w:type="dxa"/>
            <w:tcBorders>
              <w:top w:val="single" w:color="auto" w:sz="8" w:space="0"/>
              <w:left w:val="nil"/>
              <w:bottom w:val="single" w:color="auto" w:sz="8" w:space="0"/>
              <w:right w:val="single" w:color="auto" w:sz="8" w:space="0"/>
            </w:tcBorders>
            <w:vAlign w:val="center"/>
          </w:tcPr>
          <w:p w14:paraId="201C7468">
            <w:pPr>
              <w:spacing w:line="360" w:lineRule="auto"/>
              <w:jc w:val="left"/>
              <w:rPr>
                <w:rFonts w:ascii="宋体" w:hAnsi="宋体" w:cs="宋体"/>
                <w:color w:val="auto"/>
                <w:sz w:val="24"/>
                <w:highlight w:val="none"/>
              </w:rPr>
            </w:pPr>
            <w:r>
              <w:rPr>
                <w:rFonts w:hint="eastAsia" w:ascii="宋体" w:hAnsi="宋体" w:cs="宋体"/>
                <w:color w:val="auto"/>
                <w:sz w:val="24"/>
                <w:highlight w:val="none"/>
              </w:rPr>
              <w:t>标的：</w:t>
            </w:r>
            <w:r>
              <w:rPr>
                <w:rFonts w:hint="eastAsia" w:ascii="宋体" w:hAnsi="宋体" w:cs="宋体"/>
                <w:color w:val="auto"/>
                <w:sz w:val="24"/>
                <w:highlight w:val="none"/>
                <w:lang w:eastAsia="zh-CN"/>
              </w:rPr>
              <w:t>交管大队瑞丽市区货车入城禁、限行管控设备项目</w:t>
            </w:r>
            <w:r>
              <w:rPr>
                <w:rFonts w:hint="eastAsia" w:ascii="宋体" w:hAnsi="宋体" w:cs="宋体"/>
                <w:color w:val="auto"/>
                <w:sz w:val="24"/>
                <w:highlight w:val="none"/>
              </w:rPr>
              <w:t>；</w:t>
            </w:r>
          </w:p>
          <w:p w14:paraId="56C3D726">
            <w:pPr>
              <w:spacing w:line="360" w:lineRule="auto"/>
              <w:jc w:val="left"/>
              <w:rPr>
                <w:rFonts w:ascii="宋体" w:hAnsi="宋体" w:cs="宋体"/>
                <w:color w:val="auto"/>
                <w:sz w:val="24"/>
                <w:highlight w:val="none"/>
              </w:rPr>
            </w:pPr>
            <w:r>
              <w:rPr>
                <w:rFonts w:hint="eastAsia" w:ascii="宋体" w:hAnsi="宋体" w:cs="宋体"/>
                <w:b/>
                <w:bCs/>
                <w:color w:val="auto"/>
                <w:sz w:val="24"/>
                <w:highlight w:val="none"/>
              </w:rPr>
              <w:t>所属行业：工业</w:t>
            </w:r>
            <w:r>
              <w:rPr>
                <w:rFonts w:hint="eastAsia" w:ascii="宋体" w:hAnsi="宋体" w:cs="宋体"/>
                <w:color w:val="auto"/>
                <w:sz w:val="24"/>
                <w:highlight w:val="none"/>
              </w:rPr>
              <w:t>（包括采矿业，制造业，电力、热力、燃气及水生产和供应业）</w:t>
            </w:r>
          </w:p>
          <w:p w14:paraId="01D58B85">
            <w:pPr>
              <w:spacing w:line="360" w:lineRule="auto"/>
              <w:jc w:val="left"/>
              <w:rPr>
                <w:rFonts w:ascii="宋体" w:hAnsi="宋体" w:cs="宋体"/>
                <w:b/>
                <w:bCs/>
                <w:color w:val="auto"/>
                <w:sz w:val="24"/>
                <w:highlight w:val="none"/>
              </w:rPr>
            </w:pPr>
            <w:r>
              <w:rPr>
                <w:rFonts w:hint="eastAsia" w:ascii="宋体" w:hAnsi="宋体" w:cs="宋体"/>
                <w:color w:val="auto"/>
                <w:sz w:val="24"/>
                <w:highlight w:val="none"/>
              </w:rPr>
              <w:t>划分标准：符合国家统计局关于印发《统计上大中小微型企业划分办法（2017）》的通知（国统字〔2017〕213号）工业行业划分标准。</w:t>
            </w:r>
          </w:p>
        </w:tc>
      </w:tr>
      <w:tr w14:paraId="7EDA722E">
        <w:tblPrEx>
          <w:tblCellMar>
            <w:top w:w="0" w:type="dxa"/>
            <w:left w:w="0" w:type="dxa"/>
            <w:bottom w:w="0" w:type="dxa"/>
            <w:right w:w="0" w:type="dxa"/>
          </w:tblCellMar>
        </w:tblPrEx>
        <w:trPr>
          <w:trHeight w:val="33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0CBB6FF0">
            <w:pPr>
              <w:pStyle w:val="39"/>
              <w:spacing w:line="360" w:lineRule="auto"/>
              <w:jc w:val="center"/>
              <w:rPr>
                <w:rFonts w:hAnsi="宋体" w:cs="宋体"/>
                <w:color w:val="auto"/>
                <w:sz w:val="24"/>
                <w:szCs w:val="24"/>
              </w:rPr>
            </w:pPr>
            <w:r>
              <w:rPr>
                <w:rFonts w:hint="eastAsia" w:hAnsi="宋体" w:cs="宋体"/>
                <w:color w:val="auto"/>
                <w:sz w:val="24"/>
                <w:szCs w:val="24"/>
              </w:rPr>
              <w:t>12.5</w:t>
            </w:r>
          </w:p>
        </w:tc>
        <w:tc>
          <w:tcPr>
            <w:tcW w:w="1638" w:type="dxa"/>
            <w:tcBorders>
              <w:top w:val="single" w:color="auto" w:sz="8" w:space="0"/>
              <w:left w:val="nil"/>
              <w:bottom w:val="single" w:color="auto" w:sz="8" w:space="0"/>
              <w:right w:val="single" w:color="auto" w:sz="8" w:space="0"/>
            </w:tcBorders>
            <w:vAlign w:val="center"/>
          </w:tcPr>
          <w:p w14:paraId="1930B0E9">
            <w:pPr>
              <w:pStyle w:val="39"/>
              <w:spacing w:line="360" w:lineRule="auto"/>
              <w:jc w:val="center"/>
              <w:rPr>
                <w:rFonts w:hAnsi="宋体" w:cs="宋体"/>
                <w:color w:val="auto"/>
                <w:sz w:val="24"/>
                <w:szCs w:val="24"/>
              </w:rPr>
            </w:pPr>
            <w:r>
              <w:rPr>
                <w:rFonts w:hint="eastAsia" w:hAnsi="宋体" w:cs="宋体"/>
                <w:color w:val="auto"/>
                <w:sz w:val="24"/>
                <w:szCs w:val="24"/>
              </w:rPr>
              <w:t>评审中价格扣除及优先采购</w:t>
            </w:r>
          </w:p>
          <w:p w14:paraId="01F974EC">
            <w:pPr>
              <w:pStyle w:val="39"/>
              <w:spacing w:line="360" w:lineRule="auto"/>
              <w:jc w:val="center"/>
              <w:rPr>
                <w:rFonts w:hAnsi="宋体" w:cs="宋体"/>
                <w:color w:val="auto"/>
                <w:sz w:val="24"/>
                <w:szCs w:val="24"/>
              </w:rPr>
            </w:pPr>
          </w:p>
        </w:tc>
        <w:tc>
          <w:tcPr>
            <w:tcW w:w="7196" w:type="dxa"/>
            <w:tcBorders>
              <w:top w:val="single" w:color="auto" w:sz="8" w:space="0"/>
              <w:left w:val="nil"/>
              <w:bottom w:val="single" w:color="auto" w:sz="8" w:space="0"/>
              <w:right w:val="single" w:color="auto" w:sz="8" w:space="0"/>
            </w:tcBorders>
            <w:vAlign w:val="center"/>
          </w:tcPr>
          <w:p w14:paraId="2B9DC2F5">
            <w:pPr>
              <w:pStyle w:val="39"/>
              <w:spacing w:line="360" w:lineRule="auto"/>
              <w:jc w:val="left"/>
              <w:rPr>
                <w:rFonts w:hAnsi="宋体" w:cs="宋体"/>
                <w:color w:val="auto"/>
                <w:sz w:val="24"/>
                <w:szCs w:val="24"/>
              </w:rPr>
            </w:pPr>
            <w:r>
              <w:rPr>
                <w:rFonts w:hint="eastAsia" w:hAnsi="宋体" w:cs="宋体"/>
                <w:color w:val="auto"/>
                <w:sz w:val="24"/>
                <w:szCs w:val="24"/>
              </w:rPr>
              <w:t>（1）根据《政府采购促进中小企业发展管理办法》（财库[2020]46号）、《关于进一步加大政府采购支持中小企业力度的通知》（财库〔2022〕19号）规定，本次采购项目，对小型和微型企业产品的价格给予10%的扣除，是否为小微企业投标人提供《中小企业声明函》；</w:t>
            </w:r>
          </w:p>
          <w:p w14:paraId="7D2F14CC">
            <w:pPr>
              <w:pStyle w:val="39"/>
              <w:spacing w:line="360" w:lineRule="auto"/>
              <w:jc w:val="left"/>
              <w:rPr>
                <w:rFonts w:hAnsi="宋体" w:cs="宋体"/>
                <w:color w:val="auto"/>
                <w:sz w:val="24"/>
                <w:szCs w:val="24"/>
              </w:rPr>
            </w:pPr>
            <w:r>
              <w:rPr>
                <w:rFonts w:hint="eastAsia" w:hAnsi="宋体" w:cs="宋体"/>
                <w:color w:val="auto"/>
                <w:sz w:val="24"/>
                <w:szCs w:val="24"/>
              </w:rPr>
              <w:t xml:space="preserve">（2）按照《财政部司法部关于政府采购支持监狱企业发展有关问题的通知》（财库[2014]68号）文件规定，在政府采购活动中，监狱企业视同小型、微型企业，享受评审中价格扣除的政府采购政策； </w:t>
            </w:r>
          </w:p>
          <w:p w14:paraId="7D112DEB">
            <w:pPr>
              <w:pStyle w:val="39"/>
              <w:spacing w:line="360" w:lineRule="auto"/>
              <w:jc w:val="left"/>
              <w:rPr>
                <w:rFonts w:hAnsi="宋体" w:cs="宋体"/>
                <w:color w:val="auto"/>
                <w:sz w:val="24"/>
                <w:szCs w:val="24"/>
              </w:rPr>
            </w:pPr>
            <w:r>
              <w:rPr>
                <w:rFonts w:hint="eastAsia" w:hAnsi="宋体" w:cs="宋体"/>
                <w:color w:val="auto"/>
                <w:sz w:val="24"/>
                <w:szCs w:val="24"/>
              </w:rPr>
              <w:t xml:space="preserve">（3）按照《财政部民政部中国残疾人联合会关于促进残疾人就业政府采购政策的通知》，残疾人福利性单位视同小型、微型企业，享受评审中价格扣除的政府采购政策，残疾人福利性单位属于小型、微型企业的，不重复享受政策； </w:t>
            </w:r>
          </w:p>
          <w:p w14:paraId="4E8E69A7">
            <w:pPr>
              <w:pStyle w:val="39"/>
              <w:spacing w:line="360" w:lineRule="auto"/>
              <w:jc w:val="left"/>
              <w:rPr>
                <w:rFonts w:hAnsi="宋体" w:cs="宋体"/>
                <w:color w:val="auto"/>
                <w:sz w:val="24"/>
                <w:szCs w:val="24"/>
              </w:rPr>
            </w:pPr>
            <w:r>
              <w:rPr>
                <w:rFonts w:hint="eastAsia" w:hAnsi="宋体" w:cs="宋体"/>
                <w:color w:val="auto"/>
                <w:sz w:val="24"/>
                <w:szCs w:val="24"/>
              </w:rPr>
              <w:t>（4）评审价格=投标报价-（投标报价×扣除比例）；</w:t>
            </w:r>
          </w:p>
          <w:p w14:paraId="51B09BD8">
            <w:pPr>
              <w:pStyle w:val="39"/>
              <w:spacing w:line="360" w:lineRule="auto"/>
              <w:jc w:val="left"/>
              <w:rPr>
                <w:rFonts w:hAnsi="宋体" w:cs="宋体"/>
                <w:b/>
                <w:bCs/>
                <w:color w:val="auto"/>
                <w:sz w:val="24"/>
                <w:szCs w:val="24"/>
              </w:rPr>
            </w:pPr>
            <w:r>
              <w:rPr>
                <w:rFonts w:hint="eastAsia" w:hAnsi="宋体" w:cs="宋体"/>
                <w:b/>
                <w:bCs/>
                <w:color w:val="auto"/>
                <w:sz w:val="24"/>
                <w:szCs w:val="24"/>
              </w:rPr>
              <w:t>注：评审价格仅为评审计算依据，不作为最终的中标价格。</w:t>
            </w:r>
          </w:p>
          <w:p w14:paraId="4CE62E68">
            <w:pPr>
              <w:pStyle w:val="39"/>
              <w:spacing w:line="360" w:lineRule="auto"/>
              <w:jc w:val="left"/>
              <w:rPr>
                <w:rFonts w:hAnsi="宋体" w:cs="宋体"/>
                <w:color w:val="auto"/>
                <w:sz w:val="24"/>
                <w:szCs w:val="24"/>
              </w:rPr>
            </w:pPr>
            <w:r>
              <w:rPr>
                <w:rFonts w:hint="eastAsia" w:hAnsi="宋体" w:cs="宋体"/>
                <w:color w:val="auto"/>
                <w:sz w:val="24"/>
                <w:szCs w:val="24"/>
              </w:rPr>
              <w:t>（5）按财库[2019]9号文及财库[2019]18号通知，采购的产品属于环境标志产品政府采购品目清单时，在技术、服务等指标同等条件下，应当优先采购或强制采购。投标人投标产品是否为环境标志产品，由投标人提供国家确定的认证机构出具的、处于有效期之内的环境标志产品认证证书。</w:t>
            </w:r>
          </w:p>
          <w:p w14:paraId="2C40CA0C">
            <w:pPr>
              <w:pStyle w:val="39"/>
              <w:spacing w:line="360" w:lineRule="auto"/>
              <w:jc w:val="left"/>
              <w:rPr>
                <w:rFonts w:hAnsi="宋体" w:cs="宋体"/>
                <w:color w:val="auto"/>
                <w:sz w:val="24"/>
                <w:szCs w:val="24"/>
              </w:rPr>
            </w:pPr>
            <w:r>
              <w:rPr>
                <w:rFonts w:hint="eastAsia" w:hAnsi="宋体" w:cs="宋体"/>
                <w:color w:val="auto"/>
                <w:sz w:val="24"/>
                <w:szCs w:val="24"/>
              </w:rPr>
              <w:t>（6）按财库[2019]9号文及财库[2019]19号通知，采购的产品属于节能产品政府采购品目清单时，在技术、服务等指标同等条件下，应当优先采购或强制采购。投标人投标产品是否为节能产品，由投标人提供国家确定的认证机构出具的、处于有效期之内的节能产品认证证书。</w:t>
            </w:r>
          </w:p>
        </w:tc>
      </w:tr>
      <w:tr w14:paraId="1B083BCA">
        <w:tblPrEx>
          <w:tblCellMar>
            <w:top w:w="0" w:type="dxa"/>
            <w:left w:w="0" w:type="dxa"/>
            <w:bottom w:w="0" w:type="dxa"/>
            <w:right w:w="0" w:type="dxa"/>
          </w:tblCellMar>
        </w:tblPrEx>
        <w:trPr>
          <w:trHeight w:val="358"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0493030E">
            <w:pPr>
              <w:spacing w:line="360" w:lineRule="auto"/>
              <w:jc w:val="center"/>
              <w:rPr>
                <w:rFonts w:ascii="宋体" w:hAnsi="宋体" w:cs="宋体"/>
                <w:color w:val="auto"/>
                <w:sz w:val="24"/>
              </w:rPr>
            </w:pPr>
            <w:r>
              <w:rPr>
                <w:rFonts w:hint="eastAsia" w:ascii="宋体" w:hAnsi="宋体" w:cs="宋体"/>
                <w:color w:val="auto"/>
                <w:sz w:val="24"/>
              </w:rPr>
              <w:t>13</w:t>
            </w:r>
          </w:p>
        </w:tc>
        <w:tc>
          <w:tcPr>
            <w:tcW w:w="1638" w:type="dxa"/>
            <w:tcBorders>
              <w:top w:val="single" w:color="auto" w:sz="8" w:space="0"/>
              <w:left w:val="nil"/>
              <w:bottom w:val="single" w:color="auto" w:sz="8" w:space="0"/>
              <w:right w:val="single" w:color="auto" w:sz="8" w:space="0"/>
            </w:tcBorders>
            <w:vAlign w:val="center"/>
          </w:tcPr>
          <w:p w14:paraId="734EED06">
            <w:pPr>
              <w:spacing w:line="360" w:lineRule="auto"/>
              <w:jc w:val="center"/>
              <w:rPr>
                <w:rFonts w:ascii="宋体" w:hAnsi="宋体" w:cs="宋体"/>
                <w:color w:val="auto"/>
                <w:sz w:val="24"/>
              </w:rPr>
            </w:pPr>
            <w:r>
              <w:rPr>
                <w:rFonts w:hint="eastAsia" w:ascii="宋体" w:hAnsi="宋体" w:cs="宋体"/>
                <w:color w:val="auto"/>
                <w:sz w:val="24"/>
              </w:rPr>
              <w:t>政府采购政策</w:t>
            </w:r>
          </w:p>
          <w:p w14:paraId="4107E16D">
            <w:pPr>
              <w:spacing w:line="360" w:lineRule="auto"/>
              <w:jc w:val="center"/>
              <w:rPr>
                <w:rFonts w:ascii="宋体" w:hAnsi="宋体" w:cs="宋体"/>
                <w:color w:val="auto"/>
                <w:sz w:val="24"/>
              </w:rPr>
            </w:pPr>
          </w:p>
        </w:tc>
        <w:tc>
          <w:tcPr>
            <w:tcW w:w="7196" w:type="dxa"/>
            <w:tcBorders>
              <w:top w:val="single" w:color="auto" w:sz="8" w:space="0"/>
              <w:left w:val="nil"/>
              <w:bottom w:val="single" w:color="auto" w:sz="8" w:space="0"/>
              <w:right w:val="single" w:color="auto" w:sz="8" w:space="0"/>
            </w:tcBorders>
            <w:vAlign w:val="center"/>
          </w:tcPr>
          <w:p w14:paraId="175329E3">
            <w:pPr>
              <w:spacing w:line="360" w:lineRule="auto"/>
              <w:jc w:val="left"/>
              <w:rPr>
                <w:rFonts w:ascii="宋体" w:hAnsi="宋体" w:cs="宋体"/>
                <w:color w:val="auto"/>
                <w:sz w:val="24"/>
              </w:rPr>
            </w:pPr>
            <w:r>
              <w:rPr>
                <w:rFonts w:hint="eastAsia" w:ascii="宋体" w:hAnsi="宋体" w:cs="宋体"/>
                <w:color w:val="auto"/>
                <w:sz w:val="24"/>
              </w:rPr>
              <w:t>本项目需要落实的政府采购政策：《政府采购促进中小企业发展管理办法》（财库〔2020〕46号）、《关于进一步加大政府采购支持中小企业力度的通知》（财库〔2022〕19号）、《财政部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财库〔2014〕68号)、《关于印发环境标志产品政府采购品目清单的通知》（财库〔2019〕18号）、《关于印发节能产品政府采购品目清单的通知》（财库〔2019〕19号）、《财政部 发展改革委 生态环境部 市场监管总局 关于调整优化节能产品、环境标志产品政府采购执行机制的通知》（财库〔2019〕9号）等。</w:t>
            </w:r>
          </w:p>
        </w:tc>
      </w:tr>
      <w:tr w14:paraId="466A1935">
        <w:tblPrEx>
          <w:tblCellMar>
            <w:top w:w="0" w:type="dxa"/>
            <w:left w:w="0" w:type="dxa"/>
            <w:bottom w:w="0" w:type="dxa"/>
            <w:right w:w="0" w:type="dxa"/>
          </w:tblCellMar>
        </w:tblPrEx>
        <w:trPr>
          <w:trHeight w:val="358"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73F1071D">
            <w:pPr>
              <w:spacing w:line="360"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14</w:t>
            </w:r>
          </w:p>
        </w:tc>
        <w:tc>
          <w:tcPr>
            <w:tcW w:w="1638" w:type="dxa"/>
            <w:tcBorders>
              <w:top w:val="single" w:color="auto" w:sz="8" w:space="0"/>
              <w:left w:val="nil"/>
              <w:bottom w:val="single" w:color="auto" w:sz="8" w:space="0"/>
              <w:right w:val="single" w:color="auto" w:sz="8" w:space="0"/>
            </w:tcBorders>
            <w:vAlign w:val="center"/>
          </w:tcPr>
          <w:p w14:paraId="29C01C54">
            <w:pPr>
              <w:spacing w:line="360" w:lineRule="auto"/>
              <w:jc w:val="center"/>
              <w:rPr>
                <w:rFonts w:hint="eastAsia" w:ascii="宋体" w:hAnsi="宋体" w:eastAsia="宋体" w:cs="宋体"/>
                <w:color w:val="auto"/>
                <w:sz w:val="24"/>
              </w:rPr>
            </w:pPr>
            <w:r>
              <w:rPr>
                <w:rFonts w:hint="eastAsia" w:ascii="宋体" w:hAnsi="宋体" w:eastAsia="宋体" w:cs="宋体"/>
                <w:color w:val="auto"/>
                <w:sz w:val="24"/>
                <w:lang w:val="en-US" w:eastAsia="zh-CN"/>
              </w:rPr>
              <w:t>付款方式</w:t>
            </w:r>
          </w:p>
        </w:tc>
        <w:tc>
          <w:tcPr>
            <w:tcW w:w="7196" w:type="dxa"/>
            <w:tcBorders>
              <w:top w:val="single" w:color="auto" w:sz="8" w:space="0"/>
              <w:left w:val="nil"/>
              <w:bottom w:val="single" w:color="auto" w:sz="8" w:space="0"/>
              <w:right w:val="single" w:color="auto" w:sz="8" w:space="0"/>
            </w:tcBorders>
            <w:vAlign w:val="center"/>
          </w:tcPr>
          <w:p w14:paraId="65C3DB92">
            <w:pPr>
              <w:spacing w:line="360" w:lineRule="auto"/>
              <w:jc w:val="left"/>
              <w:rPr>
                <w:rFonts w:hint="eastAsia" w:ascii="宋体" w:hAnsi="宋体" w:eastAsia="宋体" w:cs="宋体"/>
                <w:color w:val="auto"/>
                <w:sz w:val="24"/>
              </w:rPr>
            </w:pPr>
            <w:r>
              <w:rPr>
                <w:rFonts w:hint="eastAsia" w:ascii="宋体" w:hAnsi="宋体" w:eastAsia="宋体" w:cs="宋体"/>
                <w:color w:val="auto"/>
                <w:sz w:val="24"/>
                <w:lang w:val="en-US" w:eastAsia="zh-CN"/>
              </w:rPr>
              <w:t>根据财政资金安排情况拨付项目款。</w:t>
            </w:r>
          </w:p>
        </w:tc>
      </w:tr>
    </w:tbl>
    <w:p w14:paraId="17100A5F">
      <w:pPr>
        <w:pStyle w:val="23"/>
        <w:rPr>
          <w:color w:val="auto"/>
        </w:rPr>
        <w:sectPr>
          <w:pgSz w:w="11906" w:h="16838"/>
          <w:pgMar w:top="1440" w:right="1080" w:bottom="1440" w:left="1080" w:header="851" w:footer="992" w:gutter="0"/>
          <w:pgNumType w:fmt="decimal"/>
          <w:cols w:space="425" w:num="1"/>
          <w:docGrid w:type="lines" w:linePitch="312" w:charSpace="0"/>
        </w:sectPr>
      </w:pPr>
    </w:p>
    <w:p w14:paraId="60490AF9">
      <w:pPr>
        <w:pStyle w:val="4"/>
        <w:numPr>
          <w:ilvl w:val="2"/>
          <w:numId w:val="0"/>
        </w:numPr>
        <w:tabs>
          <w:tab w:val="clear" w:pos="900"/>
        </w:tabs>
        <w:rPr>
          <w:rFonts w:eastAsia="Times New Roman"/>
          <w:color w:val="auto"/>
        </w:rPr>
      </w:pPr>
      <w:r>
        <w:rPr>
          <w:rFonts w:hint="eastAsia" w:eastAsia="Times New Roman"/>
          <w:color w:val="auto"/>
        </w:rPr>
        <w:t>1. 总则</w:t>
      </w:r>
    </w:p>
    <w:p w14:paraId="7E7BC57A">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51" w:name="_Toc31335"/>
      <w:bookmarkEnd w:id="51"/>
      <w:bookmarkStart w:id="52" w:name="_Toc700"/>
      <w:r>
        <w:rPr>
          <w:rFonts w:hint="eastAsia" w:asciiTheme="minorEastAsia" w:hAnsiTheme="minorEastAsia" w:eastAsiaTheme="minorEastAsia" w:cstheme="minorEastAsia"/>
          <w:color w:val="auto"/>
          <w:szCs w:val="28"/>
        </w:rPr>
        <w:t>1.1 项目概况</w:t>
      </w:r>
      <w:bookmarkEnd w:id="52"/>
    </w:p>
    <w:p w14:paraId="56E27AEC">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1.1.1根据《中华人民共和国政府采购法》、《中华人民共和国政府采购法实施条例》、《政府采购货物和服务招标投标管理办法》（财政部令第87号）等有关法律、法规和规章的规定，本招标项目已具备招标条件，现对本项目进行招标。</w:t>
      </w:r>
    </w:p>
    <w:p w14:paraId="334ED406">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1.1.2 采购人：见投标人须知前附表。</w:t>
      </w:r>
    </w:p>
    <w:p w14:paraId="173F1BAB">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1.1.3 采购代理机构：见投标人须知前附表。</w:t>
      </w:r>
    </w:p>
    <w:p w14:paraId="04AE1CB0">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1.1.4 采购</w:t>
      </w:r>
      <w:r>
        <w:rPr>
          <w:rFonts w:hint="eastAsia" w:ascii="宋体" w:hAnsi="宋体" w:cs="宋体"/>
          <w:color w:val="auto"/>
          <w:sz w:val="24"/>
        </w:rPr>
        <w:t>项目名称</w:t>
      </w:r>
      <w:r>
        <w:rPr>
          <w:rFonts w:hint="eastAsia" w:asciiTheme="minorEastAsia" w:hAnsiTheme="minorEastAsia" w:eastAsiaTheme="minorEastAsia" w:cstheme="minorEastAsia"/>
          <w:color w:val="auto"/>
          <w:sz w:val="24"/>
        </w:rPr>
        <w:t>：见投标人须知前附表。</w:t>
      </w:r>
    </w:p>
    <w:p w14:paraId="04536F03">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53" w:name="_Toc27395"/>
      <w:bookmarkEnd w:id="53"/>
      <w:bookmarkStart w:id="54" w:name="_Toc28747"/>
      <w:r>
        <w:rPr>
          <w:rFonts w:hint="eastAsia" w:asciiTheme="minorEastAsia" w:hAnsiTheme="minorEastAsia" w:eastAsiaTheme="minorEastAsia" w:cstheme="minorEastAsia"/>
          <w:color w:val="auto"/>
          <w:szCs w:val="28"/>
        </w:rPr>
        <w:t>1.2 招标项目的资金情况</w:t>
      </w:r>
      <w:bookmarkEnd w:id="54"/>
    </w:p>
    <w:p w14:paraId="26968536">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1.2.1 资金来源及落实情况：见投标人须知前附表。</w:t>
      </w:r>
    </w:p>
    <w:p w14:paraId="2E8987DB">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1.2.2 预算金额：见投标人须知前附表。</w:t>
      </w:r>
    </w:p>
    <w:p w14:paraId="19519E83">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55" w:name="_Toc16202"/>
      <w:bookmarkEnd w:id="55"/>
      <w:bookmarkStart w:id="56" w:name="_Toc16064"/>
      <w:bookmarkEnd w:id="56"/>
      <w:bookmarkStart w:id="57" w:name="_Toc17694"/>
      <w:bookmarkEnd w:id="57"/>
      <w:bookmarkStart w:id="58" w:name="_Toc152045532"/>
      <w:bookmarkStart w:id="59" w:name="_Toc179632549"/>
      <w:bookmarkStart w:id="60" w:name="_Toc144974500"/>
      <w:bookmarkStart w:id="61" w:name="_Toc246996178"/>
      <w:bookmarkStart w:id="62" w:name="_Toc247085692"/>
      <w:bookmarkStart w:id="63" w:name="_Toc152042308"/>
      <w:bookmarkStart w:id="64" w:name="_Toc33640250"/>
      <w:bookmarkStart w:id="65" w:name="_Toc482706203"/>
      <w:bookmarkStart w:id="66" w:name="_Toc246996921"/>
      <w:bookmarkStart w:id="67" w:name="_Toc10611"/>
      <w:r>
        <w:rPr>
          <w:rFonts w:hint="eastAsia" w:asciiTheme="minorEastAsia" w:hAnsiTheme="minorEastAsia" w:eastAsiaTheme="minorEastAsia" w:cstheme="minorEastAsia"/>
          <w:color w:val="auto"/>
          <w:szCs w:val="28"/>
        </w:rPr>
        <w:t>1.3 采购内容、合同履行期限、质量要求</w:t>
      </w:r>
      <w:bookmarkEnd w:id="58"/>
      <w:bookmarkEnd w:id="59"/>
      <w:bookmarkEnd w:id="60"/>
      <w:bookmarkEnd w:id="61"/>
      <w:bookmarkEnd w:id="62"/>
      <w:bookmarkEnd w:id="63"/>
      <w:bookmarkEnd w:id="64"/>
      <w:bookmarkEnd w:id="65"/>
      <w:bookmarkEnd w:id="66"/>
      <w:r>
        <w:rPr>
          <w:rFonts w:hint="eastAsia" w:asciiTheme="minorEastAsia" w:hAnsiTheme="minorEastAsia" w:eastAsiaTheme="minorEastAsia" w:cstheme="minorEastAsia"/>
          <w:color w:val="auto"/>
          <w:szCs w:val="28"/>
        </w:rPr>
        <w:t>、项目地点</w:t>
      </w:r>
    </w:p>
    <w:p w14:paraId="29842CF9">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1.3.1 本次采购内容：见投标人须知前附表。</w:t>
      </w:r>
    </w:p>
    <w:p w14:paraId="54293769">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1.3.2 本招标项目的合同履行期限：见投标人须知前附表。</w:t>
      </w:r>
    </w:p>
    <w:p w14:paraId="4E5AC407">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1.3.3 本招标项目的质量要求：见投标人须知前附表。</w:t>
      </w:r>
    </w:p>
    <w:p w14:paraId="03A24CDC">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1.3.4 本招标项目的项目地点：见投标人须知前附表。</w:t>
      </w:r>
    </w:p>
    <w:p w14:paraId="4D174C91">
      <w:pPr>
        <w:pStyle w:val="4"/>
        <w:numPr>
          <w:ilvl w:val="2"/>
          <w:numId w:val="0"/>
        </w:numPr>
        <w:tabs>
          <w:tab w:val="clear" w:pos="900"/>
        </w:tabs>
        <w:spacing w:before="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1.4 投标人资格要求</w:t>
      </w:r>
      <w:bookmarkEnd w:id="67"/>
    </w:p>
    <w:p w14:paraId="1E967C47">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1.4.1 投标人应具备承担本项目的资格条件。</w:t>
      </w:r>
    </w:p>
    <w:p w14:paraId="338F6B35">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1.4.2 投标人须知前附表规定接受联合体投标的，联合体除应符合本章第1.4.1 项；</w:t>
      </w:r>
    </w:p>
    <w:p w14:paraId="04ABFE01">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68" w:name="_Toc27960"/>
      <w:bookmarkEnd w:id="68"/>
      <w:bookmarkStart w:id="69" w:name="_Toc18144"/>
      <w:r>
        <w:rPr>
          <w:rFonts w:hint="eastAsia" w:asciiTheme="minorEastAsia" w:hAnsiTheme="minorEastAsia" w:eastAsiaTheme="minorEastAsia" w:cstheme="minorEastAsia"/>
          <w:color w:val="auto"/>
          <w:szCs w:val="28"/>
        </w:rPr>
        <w:t>1.5 费用承担</w:t>
      </w:r>
      <w:bookmarkEnd w:id="69"/>
    </w:p>
    <w:p w14:paraId="7F618390">
      <w:pPr>
        <w:pStyle w:val="7"/>
        <w:ind w:left="100"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投标人准备和参加投标活动发生的费用自理。</w:t>
      </w:r>
    </w:p>
    <w:p w14:paraId="3F69EEB7">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70" w:name="_Toc6230"/>
      <w:bookmarkEnd w:id="70"/>
      <w:bookmarkStart w:id="71" w:name="_Toc16680"/>
      <w:r>
        <w:rPr>
          <w:rFonts w:hint="eastAsia" w:asciiTheme="minorEastAsia" w:hAnsiTheme="minorEastAsia" w:eastAsiaTheme="minorEastAsia" w:cstheme="minorEastAsia"/>
          <w:color w:val="auto"/>
          <w:szCs w:val="28"/>
        </w:rPr>
        <w:t>1.6 保密</w:t>
      </w:r>
      <w:bookmarkEnd w:id="71"/>
    </w:p>
    <w:p w14:paraId="0A29C394">
      <w:pPr>
        <w:pStyle w:val="7"/>
        <w:ind w:left="100"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参与招标投标活动的各方应对招标文件和投标文件中的商业和技术等秘密保密，则应承担相应的法律责任。</w:t>
      </w:r>
    </w:p>
    <w:p w14:paraId="241CE9CF">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72" w:name="_Toc31781"/>
      <w:bookmarkEnd w:id="72"/>
      <w:bookmarkStart w:id="73" w:name="_Toc787"/>
      <w:r>
        <w:rPr>
          <w:rFonts w:hint="eastAsia" w:asciiTheme="minorEastAsia" w:hAnsiTheme="minorEastAsia" w:eastAsiaTheme="minorEastAsia" w:cstheme="minorEastAsia"/>
          <w:color w:val="auto"/>
          <w:szCs w:val="28"/>
        </w:rPr>
        <w:t>1.7 语言文字</w:t>
      </w:r>
      <w:bookmarkEnd w:id="73"/>
    </w:p>
    <w:p w14:paraId="0E8BF632">
      <w:pPr>
        <w:pStyle w:val="7"/>
        <w:ind w:left="100"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招标投标文件使用的语言文字为中文。专用术语使用外文的，应附有中文注释。</w:t>
      </w:r>
    </w:p>
    <w:p w14:paraId="45F8E586">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74" w:name="_Toc29423"/>
      <w:bookmarkEnd w:id="74"/>
      <w:bookmarkStart w:id="75" w:name="_Toc29116"/>
      <w:r>
        <w:rPr>
          <w:rFonts w:hint="eastAsia" w:asciiTheme="minorEastAsia" w:hAnsiTheme="minorEastAsia" w:eastAsiaTheme="minorEastAsia" w:cstheme="minorEastAsia"/>
          <w:color w:val="auto"/>
          <w:szCs w:val="28"/>
        </w:rPr>
        <w:t>1.8 计量单位</w:t>
      </w:r>
      <w:bookmarkEnd w:id="75"/>
    </w:p>
    <w:p w14:paraId="6F5D6B6E">
      <w:pPr>
        <w:pStyle w:val="7"/>
        <w:ind w:left="100"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所有计量均采用中华人民共和国法定计量单位。</w:t>
      </w:r>
    </w:p>
    <w:p w14:paraId="7C5D9819">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76" w:name="_Toc29812"/>
      <w:bookmarkEnd w:id="76"/>
      <w:bookmarkStart w:id="77" w:name="_Toc152042315"/>
      <w:bookmarkEnd w:id="77"/>
      <w:bookmarkStart w:id="78" w:name="_Toc247513962"/>
      <w:bookmarkEnd w:id="78"/>
      <w:bookmarkStart w:id="79" w:name="_Toc152045539"/>
      <w:bookmarkEnd w:id="79"/>
      <w:bookmarkStart w:id="80" w:name="_Toc247592876"/>
      <w:bookmarkEnd w:id="80"/>
      <w:bookmarkStart w:id="81" w:name="_Toc247527563"/>
      <w:bookmarkEnd w:id="81"/>
      <w:bookmarkStart w:id="82" w:name="_Toc144974507"/>
      <w:bookmarkEnd w:id="82"/>
      <w:bookmarkStart w:id="83" w:name="_Toc296602429"/>
      <w:bookmarkEnd w:id="83"/>
      <w:bookmarkStart w:id="84" w:name="_Toc29408"/>
      <w:r>
        <w:rPr>
          <w:rFonts w:hint="eastAsia" w:asciiTheme="minorEastAsia" w:hAnsiTheme="minorEastAsia" w:eastAsiaTheme="minorEastAsia" w:cstheme="minorEastAsia"/>
          <w:color w:val="auto"/>
          <w:szCs w:val="28"/>
        </w:rPr>
        <w:t>1.9 现场</w:t>
      </w:r>
      <w:bookmarkEnd w:id="84"/>
      <w:r>
        <w:rPr>
          <w:rFonts w:hint="eastAsia" w:asciiTheme="minorEastAsia" w:hAnsiTheme="minorEastAsia" w:eastAsiaTheme="minorEastAsia" w:cstheme="minorEastAsia"/>
          <w:color w:val="auto"/>
          <w:szCs w:val="28"/>
        </w:rPr>
        <w:t>考察</w:t>
      </w:r>
    </w:p>
    <w:p w14:paraId="1002D903">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1.9.1 投标人须知前附表规定组织现场考察的，采购人按投标人须知前附表规定的时间、地点组织投标人考察项目现场。</w:t>
      </w:r>
    </w:p>
    <w:p w14:paraId="24A2A23D">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1.9.2 投标人考察现场发生的费用自理。</w:t>
      </w:r>
    </w:p>
    <w:p w14:paraId="5CF56C54">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1.9.3 除采购人的原因外，投标人自行负责在考察现场中所发生的人员伤亡和财产损失。</w:t>
      </w:r>
    </w:p>
    <w:p w14:paraId="13583CCA">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1.9.4 采购人在考察现场中介绍的项目场地和相关的周边环境情况，供投标人在编制投标文件时参考，采购人不对投标人据此作出的判断和决策负责。</w:t>
      </w:r>
    </w:p>
    <w:p w14:paraId="767A7D1F">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85" w:name="_Toc31848"/>
      <w:bookmarkEnd w:id="85"/>
      <w:bookmarkStart w:id="86" w:name="_Toc587"/>
      <w:bookmarkEnd w:id="86"/>
      <w:r>
        <w:rPr>
          <w:rFonts w:hint="eastAsia" w:asciiTheme="minorEastAsia" w:hAnsiTheme="minorEastAsia" w:eastAsiaTheme="minorEastAsia" w:cstheme="minorEastAsia"/>
          <w:color w:val="auto"/>
          <w:szCs w:val="28"/>
        </w:rPr>
        <w:t>1.10 投标预备会</w:t>
      </w:r>
    </w:p>
    <w:p w14:paraId="0D1DE139">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1.10.1 投标人须知前附表规定召开投标预备会的，采购人按投标人须知前附表规定的时间和地点召开投标预备会，澄清投标人提出的问题。</w:t>
      </w:r>
    </w:p>
    <w:p w14:paraId="073C8AE3">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1.10.2 投标人应按投标人须知前附表规定的时间和形式将提出的问题送达采购人，以便招标人在会议期间澄清。</w:t>
      </w:r>
    </w:p>
    <w:p w14:paraId="7F0D480E">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1.10.3 投标预备会后，采购人将对投标人所提问题的澄清，以投标人须知前附表规定的形式通知所有购买招标文件的投标人。该澄清内容为招标文件的组成部分。</w:t>
      </w:r>
    </w:p>
    <w:p w14:paraId="637ACA7B">
      <w:pPr>
        <w:pStyle w:val="4"/>
        <w:numPr>
          <w:ilvl w:val="2"/>
          <w:numId w:val="0"/>
        </w:numPr>
        <w:tabs>
          <w:tab w:val="clear" w:pos="900"/>
        </w:tabs>
        <w:spacing w:before="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1.11 分包</w:t>
      </w:r>
    </w:p>
    <w:p w14:paraId="50C01F8B">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1.11.1 投标人拟在中标后将中标项目的非主体、非关键性设计工作进行分包的，应符合投标人须知前附表规定的分包内容、分包金额和资质要求等限制性条件，除投标人须知前附表规 定的非主体、非关键性设计工作外，其他工作不得分包。</w:t>
      </w:r>
    </w:p>
    <w:p w14:paraId="263C187E">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1.11.2 中标人不得向他人转让中标项目，接受分包的人不得再次分包。中标人应当就分包项目向采购人负责，接受分包的人就分包项目承担连带责任。</w:t>
      </w:r>
    </w:p>
    <w:p w14:paraId="77ABEDD3">
      <w:pPr>
        <w:pStyle w:val="4"/>
        <w:numPr>
          <w:ilvl w:val="2"/>
          <w:numId w:val="0"/>
        </w:numPr>
        <w:tabs>
          <w:tab w:val="clear" w:pos="900"/>
        </w:tabs>
        <w:spacing w:before="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1.12 响应和偏差</w:t>
      </w:r>
    </w:p>
    <w:p w14:paraId="0E4B627C">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1.12.1 投标文件应当对招标文件的实质性要求和条件作出满足性或更有利于采购人的响应，否则，投标人的投标将被否决。实质性要求和条件见投标人须知前附表。</w:t>
      </w:r>
    </w:p>
    <w:p w14:paraId="48769555">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1.12.2 投标人应根据招标文件的要求提供投标设计方案等内容以对招标文件作出响应。</w:t>
      </w:r>
    </w:p>
    <w:p w14:paraId="140FBE61">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1.12.3 投标人须知前附表允许投标文件偏离招标文件某些要求的，偏差应当符合招标文件规定的偏差范围和幅度。</w:t>
      </w:r>
    </w:p>
    <w:p w14:paraId="40D91966">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87" w:name="_Toc31795"/>
      <w:bookmarkEnd w:id="87"/>
      <w:bookmarkStart w:id="88" w:name="_Toc32012"/>
      <w:bookmarkEnd w:id="88"/>
      <w:bookmarkStart w:id="89" w:name="_Toc31733"/>
      <w:bookmarkStart w:id="90" w:name="_Toc29767"/>
      <w:r>
        <w:rPr>
          <w:rFonts w:hint="eastAsia" w:asciiTheme="minorEastAsia" w:hAnsiTheme="minorEastAsia" w:eastAsiaTheme="minorEastAsia" w:cstheme="minorEastAsia"/>
          <w:color w:val="auto"/>
          <w:szCs w:val="28"/>
        </w:rPr>
        <w:t>2. 招标文件</w:t>
      </w:r>
      <w:bookmarkEnd w:id="89"/>
      <w:bookmarkEnd w:id="90"/>
    </w:p>
    <w:p w14:paraId="68A5DCBB">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91" w:name="_Toc21536"/>
      <w:bookmarkEnd w:id="91"/>
      <w:bookmarkStart w:id="92" w:name="_Toc16596"/>
      <w:r>
        <w:rPr>
          <w:rFonts w:hint="eastAsia" w:asciiTheme="minorEastAsia" w:hAnsiTheme="minorEastAsia" w:eastAsiaTheme="minorEastAsia" w:cstheme="minorEastAsia"/>
          <w:color w:val="auto"/>
          <w:szCs w:val="28"/>
        </w:rPr>
        <w:t>2.1 招标文件的组成</w:t>
      </w:r>
      <w:bookmarkEnd w:id="92"/>
    </w:p>
    <w:p w14:paraId="42D1ABDA">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本招标文件包括：</w:t>
      </w:r>
    </w:p>
    <w:p w14:paraId="51E649A4">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（1）招标公告；</w:t>
      </w:r>
    </w:p>
    <w:p w14:paraId="009D23FC">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（2）投标人须知；</w:t>
      </w:r>
    </w:p>
    <w:p w14:paraId="17E92232">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（3）评标办法；</w:t>
      </w:r>
    </w:p>
    <w:p w14:paraId="780E7CA4">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（4）合同条款；</w:t>
      </w:r>
    </w:p>
    <w:p w14:paraId="0A156C45">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（5）采购需求；</w:t>
      </w:r>
    </w:p>
    <w:p w14:paraId="34D4AC97">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（6）投标文件格式；</w:t>
      </w:r>
    </w:p>
    <w:p w14:paraId="566ECD40">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根据本章第2.2款和第2.3款对招标文件所作的澄清、修改，构成招标文件的组成部分。</w:t>
      </w:r>
    </w:p>
    <w:p w14:paraId="76EE43EB">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93" w:name="_Toc23003"/>
      <w:bookmarkEnd w:id="93"/>
      <w:bookmarkStart w:id="94" w:name="_Toc13591"/>
      <w:r>
        <w:rPr>
          <w:rFonts w:hint="eastAsia" w:asciiTheme="minorEastAsia" w:hAnsiTheme="minorEastAsia" w:eastAsiaTheme="minorEastAsia" w:cstheme="minorEastAsia"/>
          <w:color w:val="auto"/>
          <w:szCs w:val="28"/>
        </w:rPr>
        <w:t>2.2投标人提疑</w:t>
      </w:r>
    </w:p>
    <w:p w14:paraId="180E4649">
      <w:pPr>
        <w:pStyle w:val="7"/>
        <w:wordWrap w:val="0"/>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投标人应仔细阅读和检查招标文件的全部内容。如发现缺页或附件不全，应及时向采购人提出，以便补齐。如有疑问，应在投标人须知前附表规定的时间前</w:t>
      </w:r>
      <w:r>
        <w:rPr>
          <w:rFonts w:hint="eastAsia" w:ascii="宋体" w:hAnsi="宋体" w:cs="宋体"/>
          <w:color w:val="auto"/>
          <w:sz w:val="24"/>
        </w:rPr>
        <w:t>登录“政府采购云平台（https://www.zcygov.cn/）”线上提出</w:t>
      </w:r>
      <w:r>
        <w:rPr>
          <w:rFonts w:hint="eastAsia" w:asciiTheme="minorEastAsia" w:hAnsiTheme="minorEastAsia" w:eastAsiaTheme="minorEastAsia" w:cstheme="minorEastAsia"/>
          <w:color w:val="auto"/>
          <w:sz w:val="24"/>
        </w:rPr>
        <w:t>，要求采购人对招标文件予以澄清。</w:t>
      </w:r>
    </w:p>
    <w:p w14:paraId="4DC7E996">
      <w:pPr>
        <w:pStyle w:val="4"/>
        <w:numPr>
          <w:ilvl w:val="2"/>
          <w:numId w:val="0"/>
        </w:numPr>
        <w:tabs>
          <w:tab w:val="clear" w:pos="900"/>
        </w:tabs>
        <w:spacing w:before="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2.3 招标文件的澄清或修改</w:t>
      </w:r>
    </w:p>
    <w:bookmarkEnd w:id="94"/>
    <w:p w14:paraId="7A1B1A2F">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2.3.1采购人或者采购代理机构可以对已发出的招标文件进行必要的澄清或者修改，但不得改变采购标的和资格条件。</w:t>
      </w:r>
    </w:p>
    <w:p w14:paraId="0F7BC04C">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2.3.2招标文件的修改</w:t>
      </w:r>
    </w:p>
    <w:p w14:paraId="10DC6AE6">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（1）采购人对采购文件中内容做出变更，将同时发布补遗文件进行说明。</w:t>
      </w:r>
    </w:p>
    <w:p w14:paraId="33B6CB31">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澄清或者修改的内容可能影响投标文件编制的，采购人或者采购代理机构应当在投标截止时间至少15日前，不足15日的，采购人或者采购代理机构应当顺延提交投标文件的截止时间。在公告发布媒介上发布澄清公告，所有获取招标文件的潜在投标人自行查看，不再另行通知，因各投标人未及时上网看到更正公告或者下载补充（变更）通知的后果由投标人自行承担。</w:t>
      </w:r>
    </w:p>
    <w:p w14:paraId="2CBFBDCF">
      <w:pPr>
        <w:spacing w:line="360" w:lineRule="auto"/>
        <w:rPr>
          <w:rFonts w:asciiTheme="minorEastAsia" w:hAnsiTheme="minorEastAsia" w:eastAsiaTheme="minorEastAsia" w:cstheme="minorEastAsia"/>
          <w:b/>
          <w:color w:val="auto"/>
          <w:kern w:val="0"/>
          <w:sz w:val="28"/>
          <w:szCs w:val="28"/>
        </w:rPr>
      </w:pPr>
      <w:bookmarkStart w:id="95" w:name="_Toc16663"/>
      <w:bookmarkEnd w:id="95"/>
      <w:bookmarkStart w:id="96" w:name="_Toc17621"/>
      <w:bookmarkEnd w:id="96"/>
      <w:bookmarkStart w:id="97" w:name="_Toc24916"/>
      <w:bookmarkEnd w:id="97"/>
      <w:bookmarkStart w:id="98" w:name="_Toc29741"/>
      <w:bookmarkEnd w:id="98"/>
      <w:bookmarkStart w:id="99" w:name="_Toc24768"/>
      <w:bookmarkStart w:id="100" w:name="_Toc13853"/>
      <w:r>
        <w:rPr>
          <w:rFonts w:hint="eastAsia" w:asciiTheme="minorEastAsia" w:hAnsiTheme="minorEastAsia" w:eastAsiaTheme="minorEastAsia" w:cstheme="minorEastAsia"/>
          <w:b/>
          <w:color w:val="auto"/>
          <w:kern w:val="0"/>
          <w:sz w:val="28"/>
          <w:szCs w:val="28"/>
        </w:rPr>
        <w:t>3. 投标文件</w:t>
      </w:r>
      <w:bookmarkEnd w:id="99"/>
      <w:bookmarkEnd w:id="100"/>
    </w:p>
    <w:p w14:paraId="40498827">
      <w:pPr>
        <w:pStyle w:val="7"/>
        <w:ind w:firstLine="480" w:firstLineChars="200"/>
        <w:jc w:val="left"/>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详见本招标文件“第六章 投标文件格式”。</w:t>
      </w:r>
    </w:p>
    <w:p w14:paraId="1D118E02">
      <w:pPr>
        <w:spacing w:line="360" w:lineRule="auto"/>
        <w:rPr>
          <w:rFonts w:asciiTheme="minorEastAsia" w:hAnsiTheme="minorEastAsia" w:eastAsiaTheme="minorEastAsia" w:cstheme="minorEastAsia"/>
          <w:b/>
          <w:color w:val="auto"/>
          <w:kern w:val="0"/>
          <w:sz w:val="28"/>
          <w:szCs w:val="28"/>
        </w:rPr>
      </w:pPr>
      <w:bookmarkStart w:id="101" w:name="_Toc21369"/>
      <w:r>
        <w:rPr>
          <w:rFonts w:hint="eastAsia" w:asciiTheme="minorEastAsia" w:hAnsiTheme="minorEastAsia" w:eastAsiaTheme="minorEastAsia" w:cstheme="minorEastAsia"/>
          <w:b/>
          <w:color w:val="auto"/>
          <w:kern w:val="0"/>
          <w:sz w:val="28"/>
          <w:szCs w:val="28"/>
        </w:rPr>
        <w:t>3.2 投标报价</w:t>
      </w:r>
      <w:bookmarkEnd w:id="101"/>
    </w:p>
    <w:p w14:paraId="0B8BA0DC">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3.2.1 投标人应按“第六章投标文件格式”的要求在进行报价。</w:t>
      </w:r>
    </w:p>
    <w:p w14:paraId="22738872">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3.2.2 投标人应充分了解该项目的总体情况以及影响投标报价的其他要素。</w:t>
      </w:r>
    </w:p>
    <w:p w14:paraId="04FC0BBC">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3.2.3 投标人的投标报价不得超过最高投标限价，若采购人还设有单价最高投标限价的，投标人的投标单价报价还应当不得超过单价最高投标限价，最高投标限价在投标人须知前附表中载明。</w:t>
      </w:r>
    </w:p>
    <w:p w14:paraId="7703014B">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3.2.4 投标报价的其他要求见投标人须知前附表。</w:t>
      </w:r>
    </w:p>
    <w:p w14:paraId="596B9938">
      <w:pPr>
        <w:spacing w:line="360" w:lineRule="auto"/>
        <w:rPr>
          <w:rFonts w:asciiTheme="minorEastAsia" w:hAnsiTheme="minorEastAsia" w:eastAsiaTheme="minorEastAsia" w:cstheme="minorEastAsia"/>
          <w:b/>
          <w:color w:val="auto"/>
          <w:kern w:val="0"/>
          <w:sz w:val="28"/>
          <w:szCs w:val="28"/>
        </w:rPr>
      </w:pPr>
      <w:bookmarkStart w:id="102" w:name="_Toc14190"/>
      <w:r>
        <w:rPr>
          <w:rFonts w:hint="eastAsia" w:asciiTheme="minorEastAsia" w:hAnsiTheme="minorEastAsia" w:eastAsiaTheme="minorEastAsia" w:cstheme="minorEastAsia"/>
          <w:b/>
          <w:color w:val="auto"/>
          <w:kern w:val="0"/>
          <w:sz w:val="28"/>
          <w:szCs w:val="28"/>
        </w:rPr>
        <w:t>3.3 投标有效期</w:t>
      </w:r>
      <w:bookmarkEnd w:id="102"/>
    </w:p>
    <w:p w14:paraId="7AF0E84A">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3.3.1投标有效期见投标人须知前附表。</w:t>
      </w:r>
    </w:p>
    <w:p w14:paraId="23F2AB15">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3.3.2在投标有效期内，投标人撤销或修改其投标文件的，应承担招标文件和法律规定的责任。</w:t>
      </w:r>
    </w:p>
    <w:p w14:paraId="36D4E788">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3.3.3 出现特殊情况需要延长投标有效期的，采购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12FCDC31">
      <w:pPr>
        <w:spacing w:line="360" w:lineRule="auto"/>
        <w:rPr>
          <w:rFonts w:asciiTheme="minorEastAsia" w:hAnsiTheme="minorEastAsia" w:eastAsiaTheme="minorEastAsia" w:cstheme="minorEastAsia"/>
          <w:b/>
          <w:color w:val="auto"/>
          <w:kern w:val="0"/>
          <w:sz w:val="28"/>
          <w:szCs w:val="28"/>
        </w:rPr>
      </w:pPr>
      <w:bookmarkStart w:id="103" w:name="_Toc1543"/>
      <w:bookmarkEnd w:id="103"/>
      <w:bookmarkStart w:id="104" w:name="_Toc23125"/>
      <w:r>
        <w:rPr>
          <w:rFonts w:hint="eastAsia" w:asciiTheme="minorEastAsia" w:hAnsiTheme="minorEastAsia" w:eastAsiaTheme="minorEastAsia" w:cstheme="minorEastAsia"/>
          <w:b/>
          <w:color w:val="auto"/>
          <w:kern w:val="0"/>
          <w:sz w:val="28"/>
          <w:szCs w:val="28"/>
        </w:rPr>
        <w:t>3.4 投标保证金</w:t>
      </w:r>
      <w:bookmarkEnd w:id="104"/>
    </w:p>
    <w:p w14:paraId="4C0626CA">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3.4.1投标人在递交投标文件的同时，应按投标人须知前附表规定的金额、形式和第六章“投标文件格式”规定的投标保证金格式递交投标保证金，并作为其投标文件的组成部分。应当从其基本账户转出并在投标文件中附上开户许可证。联合体投标的，其投标保证金可以由牵头人递交。</w:t>
      </w:r>
    </w:p>
    <w:p w14:paraId="4AF6365D">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3.4.2 投标人不按本章第3.4.1 项要求提交投标保证金的，其投标将被视为无效投标。</w:t>
      </w:r>
    </w:p>
    <w:p w14:paraId="19588D56">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3.4.3 采购人或者采购代理机构应当自成交通知书发出之日起5个工作日内退还未中标人的投标保证金，自采购合同签订之日起5个工作日内退还中标人的投标保证金。</w:t>
      </w:r>
    </w:p>
    <w:p w14:paraId="01D9068E">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3.4.4 有下列情形之一的，投标保证金将不予退还：</w:t>
      </w:r>
    </w:p>
    <w:p w14:paraId="1892A0E6">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（1）投标人在投标有效期内撤销投标文件；</w:t>
      </w:r>
    </w:p>
    <w:p w14:paraId="1BCCAA06">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（2）中标人在收到成交通知书后，无正当理由不与采购人订立合同，在签订合同时向采购人提出附加条件，或者不按照招标文件要求提交履约保证金；</w:t>
      </w:r>
    </w:p>
    <w:p w14:paraId="320C1A81">
      <w:pPr>
        <w:spacing w:line="360" w:lineRule="auto"/>
        <w:ind w:firstLine="480" w:firstLineChars="200"/>
        <w:rPr>
          <w:rFonts w:asciiTheme="minorEastAsia" w:hAnsiTheme="minorEastAsia" w:eastAsiaTheme="minorEastAsia" w:cstheme="minorEastAsia"/>
          <w:color w:val="auto"/>
          <w:sz w:val="24"/>
        </w:rPr>
      </w:pPr>
      <w:bookmarkStart w:id="105" w:name="_Toc32408"/>
      <w:bookmarkEnd w:id="105"/>
      <w:bookmarkStart w:id="106" w:name="_Toc4859"/>
      <w:r>
        <w:rPr>
          <w:rFonts w:hint="eastAsia" w:asciiTheme="minorEastAsia" w:hAnsiTheme="minorEastAsia" w:eastAsiaTheme="minorEastAsia" w:cstheme="minorEastAsia"/>
          <w:color w:val="auto"/>
          <w:sz w:val="24"/>
        </w:rPr>
        <w:t>（3）中标人中标未按招标文件的规定支付招标代理费的；</w:t>
      </w:r>
    </w:p>
    <w:p w14:paraId="75C60940">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（4）其他法律法规要求不予退还投标保证金的情形。</w:t>
      </w:r>
    </w:p>
    <w:p w14:paraId="3BDE38C0">
      <w:pPr>
        <w:pStyle w:val="4"/>
        <w:numPr>
          <w:ilvl w:val="2"/>
          <w:numId w:val="0"/>
        </w:numPr>
        <w:tabs>
          <w:tab w:val="clear" w:pos="900"/>
        </w:tabs>
        <w:spacing w:before="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3.5资格审查资料</w:t>
      </w:r>
    </w:p>
    <w:p w14:paraId="4D367CF7">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3.5.1资格审查方式：详见投标须知前附表</w:t>
      </w:r>
    </w:p>
    <w:p w14:paraId="5E55DAE3">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3.5.2除投标人须知前附表另有规定外，投标人应按“第六章 投标文件格式”规定提供资格审查资料，以证明其满足投标须知前附表1.4.1规定的资格要求。</w:t>
      </w:r>
    </w:p>
    <w:p w14:paraId="764AF8A3">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3.5.3投标人须知前附表规定接受联合体投标的，投标须知前附表1.4.1项规定的资格要求包括联合体各方相关情况。</w:t>
      </w:r>
    </w:p>
    <w:bookmarkEnd w:id="106"/>
    <w:p w14:paraId="6868019A">
      <w:pPr>
        <w:pStyle w:val="4"/>
        <w:numPr>
          <w:ilvl w:val="2"/>
          <w:numId w:val="0"/>
        </w:numPr>
        <w:tabs>
          <w:tab w:val="clear" w:pos="900"/>
        </w:tabs>
        <w:spacing w:before="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3.6备选投标方案</w:t>
      </w:r>
    </w:p>
    <w:p w14:paraId="652B7526">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3.6.1 除投标人须知前附表规定允许外，投标人不得递交备选投标方案，否则其投标将被否决。</w:t>
      </w:r>
    </w:p>
    <w:p w14:paraId="3FC4CFE4">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3.6.2 允许投标人递交备选投标方案的，只有中标人所递交的备选投标方案方可予以考虑。 评标委员会认为中标人的备选投标方案优于其按照招标文件要求编制的投标方案的，采购人可以接受该备选投标方案。</w:t>
      </w:r>
    </w:p>
    <w:p w14:paraId="6CF7F68B">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3.6.3 投标人提供两个或两个以上投标报价，或者在投标文件中提供一个报价，但同时提供两个或两个以上设计方案的，视为提供备选方案。</w:t>
      </w:r>
    </w:p>
    <w:p w14:paraId="4F3DD9E8">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107" w:name="_Toc7149"/>
      <w:bookmarkStart w:id="108" w:name="_Toc18302"/>
      <w:r>
        <w:rPr>
          <w:rFonts w:hint="eastAsia" w:asciiTheme="minorEastAsia" w:hAnsiTheme="minorEastAsia" w:eastAsiaTheme="minorEastAsia" w:cstheme="minorEastAsia"/>
          <w:color w:val="auto"/>
          <w:szCs w:val="28"/>
        </w:rPr>
        <w:t>3.7投标文件的编制</w:t>
      </w:r>
    </w:p>
    <w:p w14:paraId="1EE32401">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3.7.1 投标文件应按“第六章投标文件格式”进行编写。</w:t>
      </w:r>
    </w:p>
    <w:p w14:paraId="1F029FBA">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3.7.2 投标文件应当对招标文件投标人须知前附表1.12.3规定的不允许偏离的实质性要求和条件作出响应。</w:t>
      </w:r>
    </w:p>
    <w:p w14:paraId="5DB4D1A6">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3.7.3供应商应安装“政采云投标客户端”，须按照采购文件和政采云平台的要求编制投标文件。</w:t>
      </w:r>
    </w:p>
    <w:p w14:paraId="5D913DCA">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3.7.4电子投标文件编制</w:t>
      </w:r>
      <w:r>
        <w:rPr>
          <w:rFonts w:hint="eastAsia" w:ascii="宋体" w:hAnsi="宋体" w:cs="宋体"/>
          <w:color w:val="auto"/>
          <w:sz w:val="24"/>
        </w:rPr>
        <w:t>：</w:t>
      </w:r>
      <w:r>
        <w:rPr>
          <w:rFonts w:hint="eastAsia" w:asciiTheme="minorEastAsia" w:hAnsiTheme="minorEastAsia" w:eastAsiaTheme="minorEastAsia" w:cstheme="minorEastAsia"/>
          <w:color w:val="auto"/>
          <w:sz w:val="24"/>
        </w:rPr>
        <w:t>见投标人须知前附表。</w:t>
      </w:r>
    </w:p>
    <w:p w14:paraId="4ACACA3E">
      <w:pPr>
        <w:pStyle w:val="4"/>
        <w:numPr>
          <w:ilvl w:val="2"/>
          <w:numId w:val="0"/>
        </w:numPr>
        <w:tabs>
          <w:tab w:val="clear" w:pos="900"/>
        </w:tabs>
        <w:spacing w:before="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4. 投标</w:t>
      </w:r>
      <w:bookmarkEnd w:id="107"/>
      <w:bookmarkEnd w:id="108"/>
    </w:p>
    <w:p w14:paraId="52265FD7">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109" w:name="_Toc1523"/>
      <w:bookmarkEnd w:id="109"/>
      <w:bookmarkStart w:id="110" w:name="_Toc25497"/>
      <w:r>
        <w:rPr>
          <w:rFonts w:hint="eastAsia" w:asciiTheme="minorEastAsia" w:hAnsiTheme="minorEastAsia" w:eastAsiaTheme="minorEastAsia" w:cstheme="minorEastAsia"/>
          <w:color w:val="auto"/>
          <w:szCs w:val="28"/>
        </w:rPr>
        <w:t xml:space="preserve">4.1 </w:t>
      </w:r>
      <w:bookmarkEnd w:id="110"/>
      <w:r>
        <w:rPr>
          <w:rFonts w:hint="eastAsia" w:asciiTheme="minorEastAsia" w:hAnsiTheme="minorEastAsia" w:eastAsiaTheme="minorEastAsia" w:cstheme="minorEastAsia"/>
          <w:color w:val="auto"/>
          <w:szCs w:val="28"/>
        </w:rPr>
        <w:t>投标文件的加密</w:t>
      </w:r>
    </w:p>
    <w:p w14:paraId="07D12D84">
      <w:pPr>
        <w:spacing w:line="360" w:lineRule="auto"/>
        <w:ind w:firstLine="480" w:firstLineChars="200"/>
        <w:rPr>
          <w:rFonts w:asciiTheme="minorEastAsia" w:hAnsiTheme="minorEastAsia" w:eastAsiaTheme="minorEastAsia" w:cstheme="minorEastAsia"/>
          <w:color w:val="auto"/>
          <w:sz w:val="24"/>
        </w:rPr>
      </w:pPr>
      <w:bookmarkStart w:id="111" w:name="_Toc27596"/>
      <w:bookmarkEnd w:id="111"/>
      <w:r>
        <w:rPr>
          <w:rFonts w:hint="eastAsia" w:asciiTheme="minorEastAsia" w:hAnsiTheme="minorEastAsia" w:eastAsiaTheme="minorEastAsia" w:cstheme="minorEastAsia"/>
          <w:color w:val="auto"/>
          <w:sz w:val="24"/>
        </w:rPr>
        <w:t>4.1.1未按本章第4.1.1项要求加密的投标文件，采购人不予受理。</w:t>
      </w:r>
    </w:p>
    <w:p w14:paraId="0F3B6AC6">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112" w:name="_Toc20611"/>
      <w:bookmarkEnd w:id="112"/>
      <w:bookmarkStart w:id="113" w:name="_Toc9134"/>
      <w:r>
        <w:rPr>
          <w:rFonts w:hint="eastAsia" w:asciiTheme="minorEastAsia" w:hAnsiTheme="minorEastAsia" w:eastAsiaTheme="minorEastAsia" w:cstheme="minorEastAsia"/>
          <w:color w:val="auto"/>
          <w:szCs w:val="28"/>
        </w:rPr>
        <w:t>4.2 投标文件的递交</w:t>
      </w:r>
      <w:bookmarkEnd w:id="113"/>
    </w:p>
    <w:p w14:paraId="5A3BCAEE">
      <w:pPr>
        <w:spacing w:line="360" w:lineRule="auto"/>
        <w:ind w:firstLine="480" w:firstLineChars="200"/>
        <w:rPr>
          <w:rFonts w:asciiTheme="minorEastAsia" w:hAnsiTheme="minorEastAsia" w:eastAsiaTheme="minorEastAsia" w:cstheme="minorEastAsia"/>
          <w:color w:val="auto"/>
          <w:sz w:val="24"/>
        </w:rPr>
      </w:pPr>
      <w:bookmarkStart w:id="114" w:name="_Toc21133"/>
      <w:bookmarkEnd w:id="114"/>
      <w:r>
        <w:rPr>
          <w:rFonts w:hint="eastAsia" w:asciiTheme="minorEastAsia" w:hAnsiTheme="minorEastAsia" w:eastAsiaTheme="minorEastAsia" w:cstheme="minorEastAsia"/>
          <w:color w:val="auto"/>
          <w:sz w:val="24"/>
        </w:rPr>
        <w:t>4.2.1 投标人应在投标人须知前附表规定的投标截止时间前上传投标文件。</w:t>
      </w:r>
    </w:p>
    <w:p w14:paraId="5D45381B">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4.2.2 投标文件递交：见投标人须知前附表。</w:t>
      </w:r>
    </w:p>
    <w:p w14:paraId="35DE50A5">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4.2.3 除投标人须知前附表另有规定外，投标人所递交的投标文件不予退还。</w:t>
      </w:r>
    </w:p>
    <w:p w14:paraId="079459AD">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4.2.4 逾期提交投标文件的或者不按照投标文件要求加密封的，视为撤回投标文件，采购人不予受理。</w:t>
      </w:r>
    </w:p>
    <w:p w14:paraId="0ACA4F50">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115" w:name="_Toc8975"/>
      <w:bookmarkEnd w:id="115"/>
      <w:bookmarkStart w:id="116" w:name="_Toc5071"/>
      <w:r>
        <w:rPr>
          <w:rFonts w:hint="eastAsia" w:asciiTheme="minorEastAsia" w:hAnsiTheme="minorEastAsia" w:eastAsiaTheme="minorEastAsia" w:cstheme="minorEastAsia"/>
          <w:color w:val="auto"/>
          <w:szCs w:val="28"/>
        </w:rPr>
        <w:t>4.3 投标文件的修改与撤回</w:t>
      </w:r>
      <w:bookmarkEnd w:id="116"/>
    </w:p>
    <w:p w14:paraId="065A0E9F">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4.3.1 在本章第4.2.1项规定的投标截止时间前，投标人可以修改或撤回已递交的投标文件，无须以书面形式通知采购人。</w:t>
      </w:r>
    </w:p>
    <w:p w14:paraId="0BFDAAC5">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117" w:name="_Toc14362"/>
      <w:bookmarkEnd w:id="117"/>
      <w:bookmarkStart w:id="118" w:name="_Toc9271"/>
      <w:bookmarkEnd w:id="118"/>
      <w:bookmarkStart w:id="119" w:name="_Toc20324"/>
      <w:bookmarkStart w:id="120" w:name="_Toc27234"/>
      <w:r>
        <w:rPr>
          <w:rFonts w:hint="eastAsia" w:asciiTheme="minorEastAsia" w:hAnsiTheme="minorEastAsia" w:eastAsiaTheme="minorEastAsia" w:cstheme="minorEastAsia"/>
          <w:color w:val="auto"/>
          <w:szCs w:val="28"/>
        </w:rPr>
        <w:t>5. 开标</w:t>
      </w:r>
      <w:bookmarkEnd w:id="119"/>
      <w:bookmarkEnd w:id="120"/>
    </w:p>
    <w:p w14:paraId="385626C0">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121" w:name="_Toc1527"/>
      <w:bookmarkEnd w:id="121"/>
      <w:bookmarkStart w:id="122" w:name="_Toc9143"/>
      <w:r>
        <w:rPr>
          <w:rFonts w:hint="eastAsia" w:asciiTheme="minorEastAsia" w:hAnsiTheme="minorEastAsia" w:eastAsiaTheme="minorEastAsia" w:cstheme="minorEastAsia"/>
          <w:color w:val="auto"/>
          <w:szCs w:val="28"/>
        </w:rPr>
        <w:t>5.1 开标时间和地点</w:t>
      </w:r>
      <w:bookmarkEnd w:id="122"/>
    </w:p>
    <w:p w14:paraId="1EEC7BAF">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采购人在本章第4.2.1款规定的投标截止时间（开标时间）和投标人须知前附表规定的地点公开开标。</w:t>
      </w:r>
    </w:p>
    <w:p w14:paraId="27931484">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123" w:name="_Toc27792"/>
      <w:bookmarkEnd w:id="123"/>
      <w:bookmarkStart w:id="124" w:name="_Toc21332"/>
      <w:bookmarkEnd w:id="124"/>
      <w:bookmarkStart w:id="125" w:name="_Toc24636"/>
      <w:r>
        <w:rPr>
          <w:rFonts w:hint="eastAsia" w:asciiTheme="minorEastAsia" w:hAnsiTheme="minorEastAsia" w:eastAsiaTheme="minorEastAsia" w:cstheme="minorEastAsia"/>
          <w:color w:val="auto"/>
          <w:szCs w:val="28"/>
        </w:rPr>
        <w:t>5.2 开标程序</w:t>
      </w:r>
      <w:bookmarkEnd w:id="125"/>
    </w:p>
    <w:p w14:paraId="2DD2A723">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5.1.1主持人按下列程序进行开标：</w:t>
      </w:r>
    </w:p>
    <w:p w14:paraId="7F346C1D">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（1）宣布开标纪律；</w:t>
      </w:r>
    </w:p>
    <w:p w14:paraId="2F4ED4F5">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（2）宣布参会单位及人员；</w:t>
      </w:r>
    </w:p>
    <w:p w14:paraId="3AE0B702">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（3）投标文件开启，有关参会人员及监督人员在开标记录表上签字确认；</w:t>
      </w:r>
    </w:p>
    <w:p w14:paraId="59F659A5">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（4）开标结束，投标人不足3家的，不得开标。</w:t>
      </w:r>
    </w:p>
    <w:p w14:paraId="058FBFE0">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126" w:name="_Toc27216"/>
      <w:bookmarkEnd w:id="126"/>
      <w:bookmarkStart w:id="127" w:name="_Toc22860"/>
      <w:r>
        <w:rPr>
          <w:rFonts w:hint="eastAsia" w:asciiTheme="minorEastAsia" w:hAnsiTheme="minorEastAsia" w:eastAsiaTheme="minorEastAsia" w:cstheme="minorEastAsia"/>
          <w:color w:val="auto"/>
          <w:szCs w:val="28"/>
        </w:rPr>
        <w:t>5.3 开标</w:t>
      </w:r>
      <w:bookmarkEnd w:id="127"/>
      <w:r>
        <w:rPr>
          <w:rFonts w:hint="eastAsia" w:asciiTheme="minorEastAsia" w:hAnsiTheme="minorEastAsia" w:eastAsiaTheme="minorEastAsia" w:cstheme="minorEastAsia"/>
          <w:color w:val="auto"/>
          <w:szCs w:val="28"/>
        </w:rPr>
        <w:t>异议</w:t>
      </w:r>
    </w:p>
    <w:p w14:paraId="66858374">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开标过程应当由采购人或者采购代理机构负责记录，由参加开标的各投标人代表和相关工作人员签字确认后随采购文件一并存档。</w:t>
      </w:r>
    </w:p>
    <w:p w14:paraId="1FB4964A">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标人代表对开标过程和开标记录有异议，以及认为采购人、采购代理机构相关工作人员有需要回避的情形的，应当场提出询问或者回避申请。采购人、采购代理机构对投标人代表提出的询问或者回避申请应当及时处理。</w:t>
      </w:r>
    </w:p>
    <w:p w14:paraId="59F71B3E">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128" w:name="_Toc28237"/>
      <w:bookmarkEnd w:id="128"/>
      <w:bookmarkStart w:id="129" w:name="_Toc26040"/>
      <w:bookmarkEnd w:id="129"/>
      <w:bookmarkStart w:id="130" w:name="_Toc11518"/>
      <w:bookmarkEnd w:id="130"/>
      <w:bookmarkStart w:id="131" w:name="_Toc25563"/>
      <w:bookmarkEnd w:id="131"/>
      <w:bookmarkStart w:id="132" w:name="_Toc27754"/>
      <w:bookmarkEnd w:id="132"/>
      <w:bookmarkStart w:id="133" w:name="_Toc29087"/>
      <w:bookmarkStart w:id="134" w:name="_Toc11677"/>
      <w:bookmarkStart w:id="135" w:name="_Toc3756"/>
      <w:r>
        <w:rPr>
          <w:rFonts w:hint="eastAsia" w:asciiTheme="minorEastAsia" w:hAnsiTheme="minorEastAsia" w:eastAsiaTheme="minorEastAsia" w:cstheme="minorEastAsia"/>
          <w:color w:val="auto"/>
          <w:szCs w:val="28"/>
        </w:rPr>
        <w:t>6. 评标</w:t>
      </w:r>
      <w:bookmarkEnd w:id="133"/>
      <w:bookmarkEnd w:id="134"/>
      <w:bookmarkEnd w:id="135"/>
    </w:p>
    <w:p w14:paraId="632999B2">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136" w:name="_Toc11207"/>
      <w:bookmarkEnd w:id="136"/>
      <w:bookmarkStart w:id="137" w:name="_Toc4770"/>
      <w:r>
        <w:rPr>
          <w:rFonts w:hint="eastAsia" w:asciiTheme="minorEastAsia" w:hAnsiTheme="minorEastAsia" w:eastAsiaTheme="minorEastAsia" w:cstheme="minorEastAsia"/>
          <w:color w:val="auto"/>
          <w:szCs w:val="28"/>
        </w:rPr>
        <w:t>6.1 评标委员会</w:t>
      </w:r>
      <w:bookmarkEnd w:id="137"/>
    </w:p>
    <w:p w14:paraId="6AD276BB">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6.1.1 评标由采购人依法组建的评标委员会负责。评标委员会由采购人代表以及有关技术、经济等方面的专家组成。</w:t>
      </w:r>
    </w:p>
    <w:p w14:paraId="5064B060">
      <w:pPr>
        <w:pStyle w:val="7"/>
        <w:ind w:firstLine="480" w:firstLineChars="200"/>
        <w:rPr>
          <w:rFonts w:asciiTheme="minorEastAsia" w:hAnsiTheme="minorEastAsia" w:eastAsiaTheme="minorEastAsia" w:cstheme="minorEastAsia"/>
          <w:color w:val="auto"/>
          <w:sz w:val="24"/>
        </w:rPr>
      </w:pPr>
      <w:bookmarkStart w:id="138" w:name="_Toc6336"/>
      <w:r>
        <w:rPr>
          <w:rFonts w:hint="eastAsia" w:asciiTheme="minorEastAsia" w:hAnsiTheme="minorEastAsia" w:eastAsiaTheme="minorEastAsia" w:cstheme="minorEastAsia"/>
          <w:color w:val="auto"/>
          <w:sz w:val="24"/>
        </w:rPr>
        <w:t>6.1.2 评标委员会成员有下列情形之一的，应当回避：</w:t>
      </w:r>
    </w:p>
    <w:p w14:paraId="14788EC8">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（1）投标人或投标人主要负责人的近亲属；</w:t>
      </w:r>
    </w:p>
    <w:p w14:paraId="3C4BC8BB">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（2）项目主管部门或者行政监督部门的人员；</w:t>
      </w:r>
    </w:p>
    <w:p w14:paraId="52DEA0E2">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（3）与投标人有经济利益关系，可能影响对投标公正评审的；</w:t>
      </w:r>
    </w:p>
    <w:p w14:paraId="05F84168">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（4）曾因在招标、评标以及其他与招标投标有关活动中从事违法行为而受过行政处罚或刑事处罚的；</w:t>
      </w:r>
    </w:p>
    <w:p w14:paraId="35E87F56">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（5）与投标人有其他利害关系。</w:t>
      </w:r>
    </w:p>
    <w:p w14:paraId="2A17C762">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6.1.3 评标过程中，评标委员会成员有回避事由、擅离职守或者因健康等原因不能继续评标的，采购人有权更换。被更换的评标委员会成员作出的评审结论无效，由更换后的评标委员会成员重新进行评审。</w:t>
      </w:r>
    </w:p>
    <w:p w14:paraId="536AB470">
      <w:pPr>
        <w:pStyle w:val="4"/>
        <w:numPr>
          <w:ilvl w:val="2"/>
          <w:numId w:val="0"/>
        </w:numPr>
        <w:tabs>
          <w:tab w:val="clear" w:pos="900"/>
        </w:tabs>
        <w:spacing w:before="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6.2 评标原则</w:t>
      </w:r>
      <w:bookmarkEnd w:id="138"/>
    </w:p>
    <w:p w14:paraId="10163E7E">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评标活动遵循公平、公正、科学和择优的原则。</w:t>
      </w:r>
    </w:p>
    <w:p w14:paraId="5D5B38CD">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139" w:name="_Toc10442"/>
      <w:bookmarkEnd w:id="139"/>
      <w:bookmarkStart w:id="140" w:name="_Toc5282"/>
      <w:r>
        <w:rPr>
          <w:rFonts w:hint="eastAsia" w:asciiTheme="minorEastAsia" w:hAnsiTheme="minorEastAsia" w:eastAsiaTheme="minorEastAsia" w:cstheme="minorEastAsia"/>
          <w:color w:val="auto"/>
          <w:szCs w:val="28"/>
        </w:rPr>
        <w:t>6.3 评标</w:t>
      </w:r>
      <w:bookmarkEnd w:id="140"/>
    </w:p>
    <w:p w14:paraId="15B11DFD">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6.3.1 评标委员会按照“第三章评标办法”规定的方法、评审因素、标准和程序对投标文件进行评审。“第三章评标办法”没有规定的方法、评审因素和标准，不作为评标依据。</w:t>
      </w:r>
    </w:p>
    <w:p w14:paraId="118DDC89">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6.3.2 评标完成后，评标委员会应当向采购人提交书面评标报告和中标候选人名单。评标委员会推荐中标候选人的人数见投标人须知前附表。</w:t>
      </w:r>
    </w:p>
    <w:p w14:paraId="0295F569">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141" w:name="_Toc30483"/>
      <w:bookmarkEnd w:id="141"/>
      <w:bookmarkStart w:id="142" w:name="_Toc6003"/>
      <w:bookmarkEnd w:id="142"/>
      <w:bookmarkStart w:id="143" w:name="_Toc28955"/>
      <w:bookmarkStart w:id="144" w:name="_Toc22840"/>
      <w:r>
        <w:rPr>
          <w:rFonts w:hint="eastAsia" w:asciiTheme="minorEastAsia" w:hAnsiTheme="minorEastAsia" w:eastAsiaTheme="minorEastAsia" w:cstheme="minorEastAsia"/>
          <w:color w:val="auto"/>
          <w:szCs w:val="28"/>
        </w:rPr>
        <w:t>7. 中标和合同</w:t>
      </w:r>
      <w:bookmarkEnd w:id="143"/>
      <w:bookmarkEnd w:id="144"/>
    </w:p>
    <w:p w14:paraId="78D98650">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145" w:name="_Toc18219"/>
      <w:bookmarkEnd w:id="145"/>
      <w:bookmarkStart w:id="146" w:name="_Toc31217"/>
      <w:r>
        <w:rPr>
          <w:rFonts w:hint="eastAsia" w:asciiTheme="minorEastAsia" w:hAnsiTheme="minorEastAsia" w:eastAsiaTheme="minorEastAsia" w:cstheme="minorEastAsia"/>
          <w:color w:val="auto"/>
          <w:szCs w:val="28"/>
        </w:rPr>
        <w:t>7.1 定标</w:t>
      </w:r>
      <w:bookmarkEnd w:id="146"/>
    </w:p>
    <w:p w14:paraId="4EF85490">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按照投标人须知前附表的规定，采购人或采购人授权的评标委员会依法确定中标人。</w:t>
      </w:r>
    </w:p>
    <w:p w14:paraId="223352BD">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147" w:name="_Toc18811"/>
      <w:bookmarkEnd w:id="147"/>
      <w:bookmarkStart w:id="148" w:name="_Toc18115"/>
      <w:r>
        <w:rPr>
          <w:rFonts w:hint="eastAsia" w:asciiTheme="minorEastAsia" w:hAnsiTheme="minorEastAsia" w:eastAsiaTheme="minorEastAsia" w:cstheme="minorEastAsia"/>
          <w:color w:val="auto"/>
          <w:szCs w:val="28"/>
        </w:rPr>
        <w:t>7.2中标公告</w:t>
      </w:r>
      <w:bookmarkEnd w:id="148"/>
    </w:p>
    <w:p w14:paraId="4F4C986E">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采购人或者采购代理机构应当自中标人确定之日起2个工作日内，按照投标人须知前附表规定的媒介和期限公告中标结果，招标文件应当随中标结果同时公告。</w:t>
      </w:r>
    </w:p>
    <w:p w14:paraId="2B602857">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中标公告期限详见投标人须知前附表。</w:t>
      </w:r>
    </w:p>
    <w:p w14:paraId="239858F1">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149" w:name="_Toc16495"/>
      <w:bookmarkEnd w:id="149"/>
      <w:bookmarkStart w:id="150" w:name="_Toc8411"/>
      <w:bookmarkEnd w:id="150"/>
      <w:bookmarkStart w:id="151" w:name="_Toc3833"/>
      <w:r>
        <w:rPr>
          <w:rFonts w:hint="eastAsia" w:asciiTheme="minorEastAsia" w:hAnsiTheme="minorEastAsia" w:eastAsiaTheme="minorEastAsia" w:cstheme="minorEastAsia"/>
          <w:color w:val="auto"/>
          <w:szCs w:val="28"/>
        </w:rPr>
        <w:t>7.3中标通知</w:t>
      </w:r>
      <w:bookmarkEnd w:id="151"/>
    </w:p>
    <w:p w14:paraId="19B89330">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在本章第3.3款规定的投标有效期内，在公告中标结果的同时，采购人或者采购代理机构应当向中标人发出成交通知书。</w:t>
      </w:r>
    </w:p>
    <w:p w14:paraId="246D6270">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152" w:name="_Toc13042"/>
      <w:bookmarkEnd w:id="152"/>
      <w:bookmarkStart w:id="153" w:name="_Toc7193"/>
      <w:r>
        <w:rPr>
          <w:rFonts w:hint="eastAsia" w:asciiTheme="minorEastAsia" w:hAnsiTheme="minorEastAsia" w:eastAsiaTheme="minorEastAsia" w:cstheme="minorEastAsia"/>
          <w:color w:val="auto"/>
          <w:szCs w:val="28"/>
        </w:rPr>
        <w:t>7.4 履约</w:t>
      </w:r>
      <w:bookmarkEnd w:id="153"/>
      <w:r>
        <w:rPr>
          <w:rFonts w:hint="eastAsia" w:asciiTheme="minorEastAsia" w:hAnsiTheme="minorEastAsia" w:eastAsiaTheme="minorEastAsia" w:cstheme="minorEastAsia"/>
          <w:color w:val="auto"/>
          <w:szCs w:val="28"/>
        </w:rPr>
        <w:t>担保（本项目不要求）</w:t>
      </w:r>
    </w:p>
    <w:p w14:paraId="3B592419">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7.4.1  在签订合同前，中标人应按投标人须知前附表规定的形式、金额和招标文件“第四章合同条款及格式”规定的或者事先经过采购人书面认可的履约保证金格式向采购人提交履约保证金。履约保证金不得超过中标合同金额的10%。联合体中标的，其履约保证金以联合体各方或者联合体中牵头人的名义提交。</w:t>
      </w:r>
    </w:p>
    <w:p w14:paraId="08FCE96D">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7.4.2 中标人不能按本章第 7.4.1 项要求提交履约保证金的，视为放弃中标，其投标保证金不予退还，给采购人造成的损失超过投标保证金数额的，中标人还应当对超过部分予以赔偿。</w:t>
      </w:r>
    </w:p>
    <w:p w14:paraId="2E6D85E0">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154" w:name="_Toc6413"/>
      <w:bookmarkEnd w:id="154"/>
      <w:bookmarkStart w:id="155" w:name="_Toc18519"/>
      <w:r>
        <w:rPr>
          <w:rFonts w:hint="eastAsia" w:asciiTheme="minorEastAsia" w:hAnsiTheme="minorEastAsia" w:eastAsiaTheme="minorEastAsia" w:cstheme="minorEastAsia"/>
          <w:color w:val="auto"/>
          <w:szCs w:val="28"/>
        </w:rPr>
        <w:t>7.5 签订合同</w:t>
      </w:r>
      <w:bookmarkEnd w:id="155"/>
    </w:p>
    <w:p w14:paraId="2BF0148F">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7.5.1 采购人应当自成交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255143DF">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7.5.2 成交通知书发出后，采购人不得违法改变中标结果，中标人无正当理由不得放弃中标。</w:t>
      </w:r>
    </w:p>
    <w:p w14:paraId="161432E8">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7.5.3联合体中标的，联合体各方应当共同与采购人签订合同，就中标项目向采购人承担连带责任。</w:t>
      </w:r>
    </w:p>
    <w:p w14:paraId="4FC30630">
      <w:pPr>
        <w:pStyle w:val="4"/>
        <w:numPr>
          <w:ilvl w:val="2"/>
          <w:numId w:val="0"/>
        </w:numPr>
        <w:tabs>
          <w:tab w:val="clear" w:pos="900"/>
        </w:tabs>
        <w:spacing w:before="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8.重新招标</w:t>
      </w:r>
    </w:p>
    <w:p w14:paraId="5B3CE1BE">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有下列情形之一的依法必须招标的项目， 采购人将重新招标:</w:t>
      </w:r>
    </w:p>
    <w:p w14:paraId="038FEEA9">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（1）经评标委员会评审后否决所有投标的; </w:t>
      </w:r>
    </w:p>
    <w:p w14:paraId="3271B366">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（2）国家相关法律法规规定的其他重新招标情形。</w:t>
      </w:r>
    </w:p>
    <w:p w14:paraId="0D881DAA">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（3）公开招标数额标准以上的采购项目，投标截止后投标人不足3家或者通过资格审查或符合性审查的投标人不足3家的，除采购任务取消情形外，按照以下方式处理：</w:t>
      </w:r>
    </w:p>
    <w:p w14:paraId="4C689297">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（一）招标文件存在不合理条款或者招标程序不符合规定的，采购人、采购代理机构改正后依法重新招标；</w:t>
      </w:r>
    </w:p>
    <w:p w14:paraId="41173922">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（二）招标文件没有不合理条款、招标程序符合规定，需要采用其他采购方式采购的，采购人应当依法报财政部门批准。</w:t>
      </w:r>
    </w:p>
    <w:p w14:paraId="70E268E4">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156" w:name="_Toc20692"/>
      <w:bookmarkEnd w:id="156"/>
      <w:bookmarkStart w:id="157" w:name="_Toc11854"/>
      <w:bookmarkEnd w:id="157"/>
      <w:bookmarkStart w:id="158" w:name="_Toc31137"/>
      <w:bookmarkEnd w:id="158"/>
      <w:r>
        <w:rPr>
          <w:rFonts w:hint="eastAsia" w:asciiTheme="minorEastAsia" w:hAnsiTheme="minorEastAsia" w:eastAsiaTheme="minorEastAsia" w:cstheme="minorEastAsia"/>
          <w:color w:val="auto"/>
          <w:szCs w:val="28"/>
        </w:rPr>
        <w:t>9.纪律和监督</w:t>
      </w:r>
    </w:p>
    <w:p w14:paraId="7E8FBA78">
      <w:pPr>
        <w:pStyle w:val="4"/>
        <w:numPr>
          <w:ilvl w:val="2"/>
          <w:numId w:val="0"/>
        </w:numPr>
        <w:tabs>
          <w:tab w:val="clear" w:pos="900"/>
        </w:tabs>
        <w:spacing w:before="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9.1 对采购人的纪律要求</w:t>
      </w:r>
    </w:p>
    <w:p w14:paraId="167A6351">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采购人不得泄露招标投标活动中应当保密的情况和资料，不得与投标人串通损害国家利益、社会公共利益或者他人合法权益。</w:t>
      </w:r>
    </w:p>
    <w:p w14:paraId="74E9D240">
      <w:pPr>
        <w:pStyle w:val="4"/>
        <w:numPr>
          <w:ilvl w:val="2"/>
          <w:numId w:val="0"/>
        </w:numPr>
        <w:tabs>
          <w:tab w:val="clear" w:pos="900"/>
        </w:tabs>
        <w:spacing w:before="0"/>
        <w:rPr>
          <w:rFonts w:asciiTheme="minorEastAsia" w:hAnsiTheme="minorEastAsia" w:eastAsiaTheme="minorEastAsia" w:cstheme="minorEastAsia"/>
          <w:color w:val="auto"/>
          <w:kern w:val="2"/>
          <w:szCs w:val="28"/>
        </w:rPr>
      </w:pPr>
      <w:r>
        <w:rPr>
          <w:rFonts w:hint="eastAsia" w:asciiTheme="minorEastAsia" w:hAnsiTheme="minorEastAsia" w:eastAsiaTheme="minorEastAsia" w:cstheme="minorEastAsia"/>
          <w:color w:val="auto"/>
          <w:szCs w:val="28"/>
        </w:rPr>
        <w:t>9.2 对投标人的纪律要求</w:t>
      </w:r>
    </w:p>
    <w:p w14:paraId="2317B79B">
      <w:pPr>
        <w:pStyle w:val="7"/>
        <w:ind w:left="100"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6A8A4A36">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159" w:name="_bookmark74"/>
      <w:bookmarkEnd w:id="159"/>
      <w:r>
        <w:rPr>
          <w:rFonts w:hint="eastAsia" w:asciiTheme="minorEastAsia" w:hAnsiTheme="minorEastAsia" w:eastAsiaTheme="minorEastAsia" w:cstheme="minorEastAsia"/>
          <w:color w:val="auto"/>
          <w:szCs w:val="28"/>
        </w:rPr>
        <w:t>9.3 对评标委员会成员的纪律要求</w:t>
      </w:r>
    </w:p>
    <w:p w14:paraId="3FE6A232">
      <w:pPr>
        <w:pStyle w:val="7"/>
        <w:ind w:left="100"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7D3CBC71">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政府采购评审专家应当遵守评审工作纪律，不得泄露评审文件、评审情况和评审中获悉的商业秘密。</w:t>
      </w:r>
    </w:p>
    <w:p w14:paraId="5053ABE0">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评标委员会、竞争性谈判小组或者询价小组在评审过程中发现投标人有行贿、提供虚假材料或者串通等违法行为的，应当及时向财政部门报告。政府采购评审专家在评审过程中受到非法干预的，应当及时向财政、监察等部门举报。</w:t>
      </w:r>
    </w:p>
    <w:p w14:paraId="7562DA3C">
      <w:pPr>
        <w:pStyle w:val="4"/>
        <w:numPr>
          <w:ilvl w:val="2"/>
          <w:numId w:val="0"/>
        </w:numPr>
        <w:tabs>
          <w:tab w:val="clear" w:pos="900"/>
        </w:tabs>
        <w:spacing w:before="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9.4 对与评标活动有关的工作人员的纪律要求</w:t>
      </w:r>
    </w:p>
    <w:p w14:paraId="2D216B1F">
      <w:pPr>
        <w:pStyle w:val="7"/>
        <w:ind w:left="100"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2EF162CB">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160" w:name="_Toc23291"/>
      <w:bookmarkStart w:id="161" w:name="_Toc5396"/>
      <w:r>
        <w:rPr>
          <w:rFonts w:hint="eastAsia" w:asciiTheme="minorEastAsia" w:hAnsiTheme="minorEastAsia" w:eastAsiaTheme="minorEastAsia" w:cstheme="minorEastAsia"/>
          <w:color w:val="auto"/>
          <w:szCs w:val="28"/>
        </w:rPr>
        <w:t>10.质疑接收、回复</w:t>
      </w:r>
      <w:bookmarkEnd w:id="160"/>
      <w:bookmarkEnd w:id="161"/>
      <w:r>
        <w:rPr>
          <w:rFonts w:hint="eastAsia" w:asciiTheme="minorEastAsia" w:hAnsiTheme="minorEastAsia" w:eastAsiaTheme="minorEastAsia" w:cstheme="minorEastAsia"/>
          <w:color w:val="auto"/>
          <w:szCs w:val="28"/>
        </w:rPr>
        <w:t>询问与答复</w:t>
      </w:r>
    </w:p>
    <w:p w14:paraId="2561BD73">
      <w:pPr>
        <w:pStyle w:val="7"/>
        <w:ind w:left="100"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凡对本次招标采购活动事项有疑问的，可以向采购代理机构提出询问，采购代理机构将及时作出答复，但答复的内容不得涉及商业秘密。</w:t>
      </w:r>
    </w:p>
    <w:p w14:paraId="60E28F69">
      <w:pPr>
        <w:pStyle w:val="4"/>
        <w:numPr>
          <w:ilvl w:val="2"/>
          <w:numId w:val="0"/>
        </w:numPr>
        <w:tabs>
          <w:tab w:val="clear" w:pos="900"/>
        </w:tabs>
        <w:spacing w:before="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10.1质疑接收</w:t>
      </w:r>
    </w:p>
    <w:p w14:paraId="4A725493">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10.1.1 投标人认为招标文件、招标过程和中标结果使自己的权益受到损害的，</w:t>
      </w:r>
      <w:r>
        <w:rPr>
          <w:rFonts w:hint="eastAsia" w:asciiTheme="minorEastAsia" w:hAnsiTheme="minorEastAsia" w:eastAsiaTheme="minorEastAsia" w:cstheme="minorEastAsia"/>
          <w:color w:val="auto"/>
          <w:spacing w:val="12"/>
          <w:sz w:val="24"/>
        </w:rPr>
        <w:t>可以在知道或者应知其权益受到损害之日起7个工作日内，</w:t>
      </w:r>
      <w:r>
        <w:rPr>
          <w:rFonts w:hint="eastAsia" w:asciiTheme="minorEastAsia" w:hAnsiTheme="minorEastAsia" w:eastAsiaTheme="minorEastAsia" w:cstheme="minorEastAsia"/>
          <w:color w:val="auto"/>
          <w:sz w:val="24"/>
        </w:rPr>
        <w:t>根据《中华人民共和国政府采购法》、《中华人民共和国政府采购法实施条例》和《政府采购质疑和投诉办法》的有关规定，依法通过“政府采购云平台（https://www.zcygov.cn/）”向采购人或其委托的采购代理机构提出质疑。</w:t>
      </w:r>
    </w:p>
    <w:p w14:paraId="0CC7ACE6">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10.1.2 质疑投标人应按照财政部制定的《政府采购质疑函范本》格式和《政府采购质疑和投诉办法》的要求，在法定质疑期内通过“政府采购云平台（https://www.zcygov.cn/）”向采购人、采购代理机构提出质疑，针对同一采购程序环节的质疑应一次性提出。</w:t>
      </w:r>
    </w:p>
    <w:p w14:paraId="3694E2C5">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超出法定质疑期的、重复提出的、分次提出的或内容、形式不符合《政府采购质疑和投诉办法》的，质疑投标人将依法承担不利后果。</w:t>
      </w:r>
    </w:p>
    <w:p w14:paraId="5921DACD">
      <w:pPr>
        <w:spacing w:line="360" w:lineRule="auto"/>
        <w:ind w:firstLine="482" w:firstLineChars="200"/>
        <w:rPr>
          <w:rFonts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提出质疑的投标人（以下简称质疑投标人）应当是参与所质疑项目采购活动的投标人。</w:t>
      </w:r>
    </w:p>
    <w:p w14:paraId="48E2FBAC">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潜在投标人已依法获取其可质疑的采购文件的，可以对该文件提出质疑。对采购文件提出质疑的，应当在获取采购文件或者采购文件公告期限届满之日起7个工作日内提出。</w:t>
      </w:r>
    </w:p>
    <w:p w14:paraId="454F8CC3">
      <w:pPr>
        <w:pStyle w:val="29"/>
        <w:ind w:firstLine="528"/>
        <w:rPr>
          <w:rFonts w:asciiTheme="minorEastAsia" w:hAnsiTheme="minorEastAsia" w:cstheme="minorEastAsia"/>
          <w:color w:val="auto"/>
          <w:szCs w:val="24"/>
        </w:rPr>
      </w:pPr>
      <w:r>
        <w:rPr>
          <w:rFonts w:hint="eastAsia" w:asciiTheme="minorEastAsia" w:hAnsiTheme="minorEastAsia" w:cstheme="minorEastAsia"/>
          <w:color w:val="auto"/>
          <w:szCs w:val="24"/>
        </w:rPr>
        <w:t>10.1.3 投标人提出质疑应当提交质疑函和必要的证明材料。质疑函应当包括下列内容：</w:t>
      </w:r>
    </w:p>
    <w:p w14:paraId="46162632">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（一）投标人的姓名或者名称、地址、邮编、联系人及联系电话；</w:t>
      </w:r>
    </w:p>
    <w:p w14:paraId="58736A5A">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（二）质疑项目的名称、编号；</w:t>
      </w:r>
    </w:p>
    <w:p w14:paraId="22E1810E">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（三）具体、明确的质疑事项和与质疑事项相关的请求；</w:t>
      </w:r>
    </w:p>
    <w:p w14:paraId="26980481">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（四）事实依据；</w:t>
      </w:r>
    </w:p>
    <w:p w14:paraId="1C291F31">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（五）必要的法律依据；</w:t>
      </w:r>
    </w:p>
    <w:p w14:paraId="1EEE222C">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（六）提出质疑的日期。</w:t>
      </w:r>
    </w:p>
    <w:p w14:paraId="22953274">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投标人为自然人的，应当由本人签字；投标人为法人或者其他组织的，应当由法定代表人、主要负责人，或者其授权代表签字或者盖章，并加盖公章。</w:t>
      </w:r>
    </w:p>
    <w:p w14:paraId="39C9B319">
      <w:pPr>
        <w:pStyle w:val="4"/>
        <w:numPr>
          <w:ilvl w:val="2"/>
          <w:numId w:val="0"/>
        </w:numPr>
        <w:tabs>
          <w:tab w:val="clear" w:pos="900"/>
        </w:tabs>
        <w:spacing w:before="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10.2质疑回复</w:t>
      </w:r>
    </w:p>
    <w:p w14:paraId="0F9DC794">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采购人、采购代理机构不得拒收质疑投标人在法定质疑期内发出的质疑函，应当在收到质疑函后7个工作日内作出答复，并通过“政府采购云平台（https://www.zcygov.cn/）”回复质疑人和所有潜在投标人。</w:t>
      </w:r>
    </w:p>
    <w:p w14:paraId="3AC37299">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投标人对评审过程、中标或者成交结果提出质疑的，采购人、采购代理机构可以组织原评标委员会协助答复质疑。</w:t>
      </w:r>
    </w:p>
    <w:p w14:paraId="7CF9CB5B">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质疑答复应当包括下列内容：</w:t>
      </w:r>
    </w:p>
    <w:p w14:paraId="62B8FEF1">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（一）质疑投标人的姓名或者名称；</w:t>
      </w:r>
    </w:p>
    <w:p w14:paraId="620576E3">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（二）收到质疑函的日期、质疑项目名称及编号；</w:t>
      </w:r>
    </w:p>
    <w:p w14:paraId="5F6423C0">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（三）质疑事项、质疑答复的具体内容、事实依据和法律依据；</w:t>
      </w:r>
    </w:p>
    <w:p w14:paraId="79D902DE">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（四）告知质疑投标人依法投诉的权利；</w:t>
      </w:r>
    </w:p>
    <w:p w14:paraId="52181F69">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（五）质疑答复人名称；</w:t>
      </w:r>
    </w:p>
    <w:p w14:paraId="0493FA62">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（六）答复质疑的日期。</w:t>
      </w:r>
    </w:p>
    <w:p w14:paraId="10AEE545">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质疑答复的内容不得涉及商业秘密。</w:t>
      </w:r>
    </w:p>
    <w:p w14:paraId="67791B10">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采购人、采购代理机构认为投标人质疑不成立，或者成立但未对中标、成交结果构成影响的，继续开展采购活动；认为投标人质疑成立且影响或者可能影响中标、成交结果的，按照下列情况处理：</w:t>
      </w:r>
    </w:p>
    <w:p w14:paraId="394D62ED">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（一）对采购文件提出的质疑，依法通过澄清或者修改可以继续开展采购活动的，澄清或者修改采购文件后继续开展采购活动；否则应当修改采购文件后重新开展采购活动。</w:t>
      </w:r>
    </w:p>
    <w:p w14:paraId="7BEB8BA8">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二）对采购过程、中标或者成交结果提出的质疑，合格投标人符合法定数量时，可以从合格的中标或者成交候选人中另行确定中标、成交投标人的，应当依法另行确定中标、成交投标人；否则应当重新开展采购活动。</w:t>
      </w:r>
    </w:p>
    <w:p w14:paraId="67033F39">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质疑答复导致中标、成交结果改变的，采购人或者采购代理机构应当将有关情况书面报告本级财政部门。</w:t>
      </w:r>
    </w:p>
    <w:p w14:paraId="30511850">
      <w:pPr>
        <w:pStyle w:val="4"/>
        <w:numPr>
          <w:ilvl w:val="2"/>
          <w:numId w:val="0"/>
        </w:numPr>
        <w:tabs>
          <w:tab w:val="clear" w:pos="900"/>
        </w:tabs>
        <w:spacing w:before="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11.投诉</w:t>
      </w:r>
    </w:p>
    <w:p w14:paraId="45C4ED63">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11.1投标人或者其他利害关系人认为采购投标活动不符合法律、行政法规规定的，应当在知道或者应当知道其权益受到侵害之日起十日内向有关行政监督部门提出书面投诉，其他利害关系人是指投标人以外的，与采购项目或者采购活动有直接和间接利益关系的法人、其他组织和个人。</w:t>
      </w:r>
    </w:p>
    <w:p w14:paraId="27032FD1">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11.2就本章11条规定事项投诉的，应当先向采购人提出质疑，质疑答复期间不计算在前款规定的期限内。</w:t>
      </w:r>
    </w:p>
    <w:p w14:paraId="270AA347">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11.3投诉人投诉时，应当提交投诉书。投诉书应当包括下列内容：</w:t>
      </w:r>
    </w:p>
    <w:p w14:paraId="6F2646CD">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投诉人的名称、地址及有效联系方式；</w:t>
      </w:r>
    </w:p>
    <w:p w14:paraId="4A6FDF88">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被投诉人的名称、地址及有效联系方式；</w:t>
      </w:r>
    </w:p>
    <w:p w14:paraId="31120F87">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投诉事项的基本事实；</w:t>
      </w:r>
    </w:p>
    <w:p w14:paraId="7AA50A4B">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相关请求及主张；</w:t>
      </w:r>
    </w:p>
    <w:p w14:paraId="1A050C7E">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（五）有效线索和相关证明材料。</w:t>
      </w:r>
    </w:p>
    <w:p w14:paraId="5E3DB6FC">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诉人是法人的，投诉书必须由其法定代表人或者授权代表签字并盖章；其他组织或者个人投诉的，投诉书必须由其主要负责人或者投诉人本人签字，并附有效身份证明复印件。投诉书有关材料是外文的，投诉人应当同时提供其中文译本。</w:t>
      </w:r>
    </w:p>
    <w:p w14:paraId="220F064D">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11.4投诉人不得以投诉为名排挤竞争对手，不得进行虚假、恶意投诉，阻碍采购投标活动的正常进行。</w:t>
      </w:r>
    </w:p>
    <w:p w14:paraId="5ACBAE60">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11.5投诉人可以直接投诉，也可以委托代理人办理投诉事务。代理人办理投诉事务时，应将授权委托书连同投诉书一并提交给行政监督部门。授权委托书应当明确有关委托代理权限和事项。</w:t>
      </w:r>
    </w:p>
    <w:p w14:paraId="41BCAC18">
      <w:pPr>
        <w:pStyle w:val="7"/>
        <w:ind w:firstLine="480" w:firstLineChars="200"/>
        <w:rPr>
          <w:rFonts w:asciiTheme="minorEastAsia" w:hAnsiTheme="minorEastAsia" w:eastAsiaTheme="minorEastAsia" w:cstheme="minorEastAsia"/>
          <w:color w:val="auto"/>
          <w:sz w:val="24"/>
        </w:rPr>
      </w:pPr>
      <w:bookmarkStart w:id="162" w:name="_Toc20594"/>
      <w:r>
        <w:rPr>
          <w:rFonts w:hint="eastAsia" w:asciiTheme="minorEastAsia" w:hAnsiTheme="minorEastAsia" w:eastAsiaTheme="minorEastAsia" w:cstheme="minorEastAsia"/>
          <w:color w:val="auto"/>
          <w:sz w:val="24"/>
        </w:rPr>
        <w:t>11.6有下列情形之一的投诉，不予受理；</w:t>
      </w:r>
    </w:p>
    <w:p w14:paraId="6F375010">
      <w:pPr>
        <w:pStyle w:val="29"/>
        <w:ind w:firstLine="480"/>
        <w:rPr>
          <w:rFonts w:asciiTheme="minorEastAsia" w:hAnsiTheme="minorEastAsia" w:cstheme="minorEastAsia"/>
          <w:color w:val="auto"/>
          <w:spacing w:val="0"/>
          <w:szCs w:val="24"/>
        </w:rPr>
      </w:pPr>
      <w:r>
        <w:rPr>
          <w:rFonts w:hint="eastAsia" w:asciiTheme="minorEastAsia" w:hAnsiTheme="minorEastAsia" w:cstheme="minorEastAsia"/>
          <w:color w:val="auto"/>
          <w:spacing w:val="0"/>
          <w:szCs w:val="24"/>
        </w:rPr>
        <w:t>（一）投诉人不是所投诉采购投标活动的参与者，或者与投诉项目无任何利害关系；</w:t>
      </w:r>
    </w:p>
    <w:p w14:paraId="008F02AC">
      <w:pPr>
        <w:pStyle w:val="29"/>
        <w:ind w:firstLine="480"/>
        <w:rPr>
          <w:rFonts w:asciiTheme="minorEastAsia" w:hAnsiTheme="minorEastAsia" w:cstheme="minorEastAsia"/>
          <w:color w:val="auto"/>
          <w:spacing w:val="0"/>
          <w:szCs w:val="24"/>
        </w:rPr>
      </w:pPr>
      <w:r>
        <w:rPr>
          <w:rFonts w:hint="eastAsia" w:asciiTheme="minorEastAsia" w:hAnsiTheme="minorEastAsia" w:cstheme="minorEastAsia"/>
          <w:color w:val="auto"/>
          <w:spacing w:val="0"/>
          <w:szCs w:val="24"/>
        </w:rPr>
        <w:t>（二）投诉事项不具体，且未提供有效线索，难以查证的；</w:t>
      </w:r>
    </w:p>
    <w:p w14:paraId="6A18690D">
      <w:pPr>
        <w:pStyle w:val="29"/>
        <w:ind w:firstLine="480"/>
        <w:rPr>
          <w:rFonts w:asciiTheme="minorEastAsia" w:hAnsiTheme="minorEastAsia" w:cstheme="minorEastAsia"/>
          <w:color w:val="auto"/>
          <w:spacing w:val="0"/>
          <w:szCs w:val="24"/>
        </w:rPr>
      </w:pPr>
      <w:r>
        <w:rPr>
          <w:rFonts w:hint="eastAsia" w:asciiTheme="minorEastAsia" w:hAnsiTheme="minorEastAsia" w:cstheme="minorEastAsia"/>
          <w:color w:val="auto"/>
          <w:spacing w:val="0"/>
          <w:szCs w:val="24"/>
        </w:rPr>
        <w:t>（三）投诉书未署具投诉人真实姓名、签字和有效联系方式的；以法人名义投诉的，投诉书未经法定代表人签字并加盖公章的；</w:t>
      </w:r>
    </w:p>
    <w:p w14:paraId="75EB7A24">
      <w:pPr>
        <w:pStyle w:val="29"/>
        <w:ind w:firstLine="480"/>
        <w:rPr>
          <w:rFonts w:asciiTheme="minorEastAsia" w:hAnsiTheme="minorEastAsia" w:cstheme="minorEastAsia"/>
          <w:color w:val="auto"/>
          <w:spacing w:val="0"/>
          <w:szCs w:val="24"/>
        </w:rPr>
      </w:pPr>
      <w:r>
        <w:rPr>
          <w:rFonts w:hint="eastAsia" w:asciiTheme="minorEastAsia" w:hAnsiTheme="minorEastAsia" w:cstheme="minorEastAsia"/>
          <w:color w:val="auto"/>
          <w:spacing w:val="0"/>
          <w:szCs w:val="24"/>
        </w:rPr>
        <w:t>（四）超过投诉时效的；</w:t>
      </w:r>
    </w:p>
    <w:p w14:paraId="4AEC4263">
      <w:pPr>
        <w:pStyle w:val="29"/>
        <w:ind w:firstLine="480"/>
        <w:rPr>
          <w:rFonts w:asciiTheme="minorEastAsia" w:hAnsiTheme="minorEastAsia" w:cstheme="minorEastAsia"/>
          <w:color w:val="auto"/>
          <w:spacing w:val="0"/>
          <w:szCs w:val="24"/>
        </w:rPr>
      </w:pPr>
      <w:r>
        <w:rPr>
          <w:rFonts w:hint="eastAsia" w:asciiTheme="minorEastAsia" w:hAnsiTheme="minorEastAsia" w:cstheme="minorEastAsia"/>
          <w:color w:val="auto"/>
          <w:spacing w:val="0"/>
          <w:szCs w:val="24"/>
        </w:rPr>
        <w:t>（五）已经作出处理决定，并且投诉人没有提出新的证据；</w:t>
      </w:r>
    </w:p>
    <w:p w14:paraId="37996160">
      <w:pPr>
        <w:pStyle w:val="29"/>
        <w:ind w:firstLine="480"/>
        <w:rPr>
          <w:rFonts w:asciiTheme="minorEastAsia" w:hAnsiTheme="minorEastAsia" w:cstheme="minorEastAsia"/>
          <w:color w:val="auto"/>
          <w:spacing w:val="0"/>
          <w:szCs w:val="24"/>
        </w:rPr>
      </w:pPr>
      <w:r>
        <w:rPr>
          <w:rFonts w:hint="eastAsia" w:asciiTheme="minorEastAsia" w:hAnsiTheme="minorEastAsia" w:cstheme="minorEastAsia"/>
          <w:color w:val="auto"/>
          <w:spacing w:val="0"/>
          <w:szCs w:val="24"/>
        </w:rPr>
        <w:t>（六）投诉事项已进入行政复议或者行政诉讼程序的。</w:t>
      </w:r>
    </w:p>
    <w:p w14:paraId="211DDB9A">
      <w:pPr>
        <w:pStyle w:val="29"/>
        <w:ind w:firstLine="480"/>
        <w:rPr>
          <w:rFonts w:asciiTheme="minorEastAsia" w:hAnsiTheme="minorEastAsia" w:cstheme="minorEastAsia"/>
          <w:color w:val="auto"/>
          <w:szCs w:val="24"/>
        </w:rPr>
      </w:pPr>
      <w:r>
        <w:rPr>
          <w:rFonts w:hint="eastAsia" w:asciiTheme="minorEastAsia" w:hAnsiTheme="minorEastAsia" w:cstheme="minorEastAsia"/>
          <w:color w:val="auto"/>
          <w:spacing w:val="0"/>
          <w:szCs w:val="24"/>
        </w:rPr>
        <w:t>11.7未尽事宜，按国家现行有关法律法规、中华人民共和国财政部令第94号--《政府采购质疑和投诉办法》的规定执行</w:t>
      </w:r>
      <w:r>
        <w:rPr>
          <w:rFonts w:hint="eastAsia" w:asciiTheme="minorEastAsia" w:hAnsiTheme="minorEastAsia" w:cstheme="minorEastAsia"/>
          <w:color w:val="auto"/>
          <w:szCs w:val="24"/>
        </w:rPr>
        <w:t>。</w:t>
      </w:r>
    </w:p>
    <w:bookmarkEnd w:id="162"/>
    <w:p w14:paraId="0D0FAF79">
      <w:pPr>
        <w:pStyle w:val="4"/>
        <w:numPr>
          <w:ilvl w:val="2"/>
          <w:numId w:val="0"/>
        </w:numPr>
        <w:tabs>
          <w:tab w:val="clear" w:pos="900"/>
        </w:tabs>
        <w:spacing w:before="0"/>
        <w:rPr>
          <w:rFonts w:asciiTheme="minorEastAsia" w:hAnsiTheme="minorEastAsia" w:eastAsiaTheme="minorEastAsia" w:cstheme="minorEastAsia"/>
          <w:color w:val="auto"/>
          <w:szCs w:val="28"/>
        </w:rPr>
      </w:pPr>
      <w:bookmarkStart w:id="163" w:name="_Toc11354"/>
      <w:bookmarkEnd w:id="163"/>
      <w:bookmarkStart w:id="164" w:name="_Toc11291"/>
      <w:bookmarkEnd w:id="164"/>
      <w:bookmarkStart w:id="165" w:name="_Toc19873"/>
      <w:bookmarkEnd w:id="165"/>
      <w:bookmarkStart w:id="166" w:name="_Toc18697"/>
      <w:bookmarkEnd w:id="166"/>
      <w:bookmarkStart w:id="167" w:name="_Toc3960"/>
      <w:bookmarkEnd w:id="167"/>
      <w:bookmarkStart w:id="168" w:name="_Toc26816"/>
      <w:bookmarkStart w:id="169" w:name="_Toc22793"/>
      <w:bookmarkStart w:id="170" w:name="_Toc14857"/>
      <w:r>
        <w:rPr>
          <w:rFonts w:hint="eastAsia" w:asciiTheme="minorEastAsia" w:hAnsiTheme="minorEastAsia" w:eastAsiaTheme="minorEastAsia" w:cstheme="minorEastAsia"/>
          <w:color w:val="auto"/>
          <w:szCs w:val="28"/>
        </w:rPr>
        <w:t>12.需要补充的其他内容</w:t>
      </w:r>
      <w:bookmarkEnd w:id="168"/>
      <w:bookmarkEnd w:id="169"/>
      <w:bookmarkEnd w:id="170"/>
    </w:p>
    <w:p w14:paraId="4B6780D1">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12.1需要补充的其他内容：见投标人须知前附表；</w:t>
      </w:r>
    </w:p>
    <w:p w14:paraId="7239AFE4">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12.2在领取成交通知书的同时，按照《政府采购代理机构管理暂行办法》规定由中标人向采购代理机构支付代理服务费；</w:t>
      </w:r>
    </w:p>
    <w:p w14:paraId="4D40E8F0">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12.2中标人与采购人签订合同后，将合同副本彩色复印件或扫描件报采购代理机构备案。</w:t>
      </w:r>
    </w:p>
    <w:p w14:paraId="5A1683D2">
      <w:pPr>
        <w:pStyle w:val="4"/>
        <w:numPr>
          <w:ilvl w:val="2"/>
          <w:numId w:val="0"/>
        </w:numPr>
        <w:tabs>
          <w:tab w:val="clear" w:pos="900"/>
        </w:tabs>
        <w:spacing w:before="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13.政府采购政策</w:t>
      </w:r>
    </w:p>
    <w:p w14:paraId="152DEC20">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13.1关于中小企业</w:t>
      </w:r>
    </w:p>
    <w:p w14:paraId="3604AAE3">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13.1.1根据《关于印发&lt;政府采购促进中小企业发展管理办法&gt;的通知》（财库〔2020〕46 号）及《关于进一步加大政府采购支持中小企业力度的通知》（财库〔2022〕19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2495153">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13.1.2在政府采购活动中，投标人提供的货物、工程或者服务符合下列情形的，享受中小企业扶持政策：</w:t>
      </w:r>
    </w:p>
    <w:p w14:paraId="5AD51B9C">
      <w:pPr>
        <w:spacing w:line="360" w:lineRule="auto"/>
        <w:ind w:firstLine="482" w:firstLineChars="200"/>
        <w:rPr>
          <w:rFonts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（一）在货物采购项目中，货物由中小企业制造，即货物由中小企业生产且使用该中小企业商号或者注册商标；</w:t>
      </w:r>
    </w:p>
    <w:p w14:paraId="39E68107">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（二）在工程采购项目中，工程由中小企业承建，即工程施工单位为中小企业；</w:t>
      </w:r>
    </w:p>
    <w:p w14:paraId="74BFCF55">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（三）在服务采购项目中，服务由中小企业承接，即提供服务的人员为中小企业依照《中华人民共和国劳动合同法》订立劳动合同的从业人员。</w:t>
      </w:r>
    </w:p>
    <w:p w14:paraId="1906D8EB">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在货物采购项目中，投标人提供的货物既有中小企业制造货物，也有大型企业制造货物的，不享受本办法规定的中小企业扶持政策。</w:t>
      </w:r>
    </w:p>
    <w:p w14:paraId="731D6239">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以联合体形式参加政府采购活动，联合体各方均为中小企业的，联合体视同中小企业。其中，联合体各方均为小微企业的，联合体视同小微企业。</w:t>
      </w:r>
    </w:p>
    <w:p w14:paraId="58201233">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13.1.3依据《政府采购促进中小企业发展管理办法》（财库〔2020〕46号）及《关于进一步加大政府采购支持中小企业力度的通知》（财库〔2022〕19号）规定享受扶持政策获得政府采购合同的，小微企业不得将合同分包给大中型企业，中型企业不得将合同分包给大型企业。</w:t>
      </w:r>
    </w:p>
    <w:p w14:paraId="55D34487">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13.1.4中小企业参加政府采购活动，应当出具本办法规定的《中小企业声明函》（后附），否则不得享受相关中小企业扶持政策。</w:t>
      </w:r>
    </w:p>
    <w:p w14:paraId="31D06487">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13.1.5本项目针对小微企业报价给予10%的扣除，用扣除后的价格参与评审。残疾人福利性单位属于小型、微型企业、监狱企业的，不重复享受政策。</w:t>
      </w:r>
    </w:p>
    <w:p w14:paraId="51AA21C2">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13.2关于残疾人福利性单位：</w:t>
      </w:r>
    </w:p>
    <w:p w14:paraId="17DDB1F1">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13.2.1根据《关于促进残疾人就业政府采购政策的通知》（财库〔2017〕141号）的规定，享受政府采购支持政策的残疾人福利性单位应当同时满足以下条件：</w:t>
      </w:r>
    </w:p>
    <w:p w14:paraId="50AD395D">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（一）安置的残疾人占本单位在职职工人数的比例不低于25%（含25%），并且安置的残疾人人数不少于10人（含10人）；</w:t>
      </w:r>
    </w:p>
    <w:p w14:paraId="56148B12">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（二）依法与安置的每位残疾人签订了一年以上（含一年）的劳动合同或服务协议；</w:t>
      </w:r>
    </w:p>
    <w:p w14:paraId="14E999A9">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（三）为安置的每位残疾人按月足额缴纳了基本养老保险、基本医疗保险、失业保险、工伤保险和生育保险等社会保险费；</w:t>
      </w:r>
    </w:p>
    <w:p w14:paraId="7C4A7369">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（四）通过银行等金融机构向安置的每位残疾人，按月支付了不低于单位所在区县适用的经省级人民政府批准的月最低工资标准的工资；</w:t>
      </w:r>
    </w:p>
    <w:p w14:paraId="285B51A7">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（五）提供本单位制造的货物、承担的工程或者服务（以下简称产品），或者提供其他残疾人福利性单位制造的货物（不包括使用非残疾人福利性单位注册商标的货物）。</w:t>
      </w:r>
    </w:p>
    <w:p w14:paraId="7CA68CFE">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8BC3DED">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13.2.2符合条件的残疾人福利性单位在参加政府采购活动时，应当按《三部门联合发布关于促进残疾人就业政府采购政策的通知》（财库〔2017〕141号）提供规定的《残疾人福利性单位声明函》，并对声明的真实性负责。</w:t>
      </w:r>
    </w:p>
    <w:p w14:paraId="3BD9647A">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13.2.3本项目针对残疾人福利性单位产品的价格给予10%的扣除，</w:t>
      </w:r>
      <w:bookmarkStart w:id="171" w:name="_Hlk92451014"/>
      <w:r>
        <w:rPr>
          <w:rFonts w:hint="eastAsia" w:asciiTheme="minorEastAsia" w:hAnsiTheme="minorEastAsia" w:eastAsiaTheme="minorEastAsia" w:cstheme="minorEastAsia"/>
          <w:color w:val="auto"/>
          <w:sz w:val="24"/>
        </w:rPr>
        <w:t>用扣除后的价格参与评审。残疾人福利性单位属于小型、微型企业、监狱企业的，不重复享受政策。</w:t>
      </w:r>
      <w:bookmarkEnd w:id="171"/>
    </w:p>
    <w:p w14:paraId="6A0E34BB">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13.3关于监狱企业：</w:t>
      </w:r>
    </w:p>
    <w:p w14:paraId="65896DCB">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13.3.1 依照&lt;财政部、司法部关于政府采购支持监狱企业发展有关问题的通知&gt;（财库〔2014〕68号）之规定，监狱企业应当符合以下条件：</w:t>
      </w:r>
    </w:p>
    <w:p w14:paraId="27B41C13">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13.3.2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8AE08E3">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13.3.3 监狱企业参加政府采购活动时，视同小型、微型企业，应当提供由省级以上监狱管理局、戒毒管理局（含新疆生产建设兵团）出具的属于监狱企业的证明文件。</w:t>
      </w:r>
    </w:p>
    <w:p w14:paraId="68F6B7B5">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13.3.4在政府采购活动中，监狱企业视同小型、微型企业，享受预留份额、评审中价格扣除等政府采购促进中小企业发展的政府采购政策。</w:t>
      </w:r>
    </w:p>
    <w:p w14:paraId="0D32CBDA">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13.4关于节能产品及环境标志产品。</w:t>
      </w:r>
    </w:p>
    <w:p w14:paraId="774008D7">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13.4.1投标人提供经国家认定的节能产品或环保产品须提供有效证明材料方可获得加分。</w:t>
      </w:r>
    </w:p>
    <w:p w14:paraId="114B2994">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13.4.2节能产品是指列入财政部和发展改革委公布的《关于印发节能产品政府采购品目清单的通知》（财库〔2019〕19 号）《节能产品政府采购品目清单》中的产品，其中已标注的政府强制采购产品。</w:t>
      </w:r>
    </w:p>
    <w:p w14:paraId="099A5AC8">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13.4.3环境标志产品是指列入财政部和生态环境部公布的《关于印发环境标志产品政府采购品目清单的通知》（财库〔2019〕18 号）《环境标志产品政府采购品目清单》中的产品。</w:t>
      </w:r>
    </w:p>
    <w:p w14:paraId="458DC357">
      <w:pPr>
        <w:pStyle w:val="7"/>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13.4.4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273F76A7">
      <w:pPr>
        <w:pStyle w:val="7"/>
        <w:ind w:firstLine="480" w:firstLineChars="200"/>
        <w:rPr>
          <w:rFonts w:ascii="宋体" w:hAnsi="宋体" w:cs="宋体"/>
          <w:color w:val="auto"/>
          <w:szCs w:val="21"/>
        </w:rPr>
      </w:pPr>
      <w:r>
        <w:rPr>
          <w:rFonts w:hint="eastAsia" w:asciiTheme="minorEastAsia" w:hAnsiTheme="minorEastAsia" w:eastAsiaTheme="minorEastAsia" w:cstheme="minorEastAsia"/>
          <w:color w:val="auto"/>
          <w:sz w:val="24"/>
        </w:rPr>
        <w:t>13.4.5投标人应在投标文件中提供所投标产品国家确定的认证机构出具的、处于有效期之内的节能产品、环境标志产品认证证书，否则不予认可。</w:t>
      </w:r>
    </w:p>
    <w:p w14:paraId="759C455E">
      <w:pPr>
        <w:spacing w:line="520" w:lineRule="exact"/>
        <w:ind w:firstLine="480" w:firstLineChars="200"/>
        <w:rPr>
          <w:rFonts w:asciiTheme="minorEastAsia" w:hAnsiTheme="minorEastAsia" w:eastAsiaTheme="minorEastAsia" w:cstheme="minorEastAsia"/>
          <w:color w:val="auto"/>
          <w:sz w:val="24"/>
        </w:rPr>
        <w:sectPr>
          <w:pgSz w:w="11906" w:h="16838"/>
          <w:pgMar w:top="1440" w:right="1080" w:bottom="1440" w:left="1080" w:header="851" w:footer="992" w:gutter="0"/>
          <w:pgNumType w:fmt="decimal"/>
          <w:cols w:space="425" w:num="1"/>
          <w:docGrid w:type="lines" w:linePitch="312" w:charSpace="0"/>
        </w:sectPr>
      </w:pPr>
      <w:r>
        <w:rPr>
          <w:rFonts w:hint="eastAsia" w:asciiTheme="minorEastAsia" w:hAnsiTheme="minorEastAsia" w:eastAsiaTheme="minorEastAsia" w:cstheme="minorEastAsia"/>
          <w:color w:val="auto"/>
          <w:sz w:val="24"/>
        </w:rPr>
        <w:t>13.4.6《节能产品政府采购品目清单》及《环境标志产品政府采购品目清单》可通过中国政府采购网（http://www.ccgp.gov.cn/ ）查阅、下载。认证机构名录如若以现行最新规定为准。</w:t>
      </w:r>
    </w:p>
    <w:bookmarkEnd w:id="1"/>
    <w:bookmarkEnd w:id="2"/>
    <w:p w14:paraId="703EAD52">
      <w:pPr>
        <w:pStyle w:val="2"/>
        <w:spacing w:before="0" w:after="0" w:line="360" w:lineRule="auto"/>
        <w:ind w:firstLine="442" w:firstLineChars="100"/>
        <w:jc w:val="center"/>
        <w:rPr>
          <w:rFonts w:ascii="宋体" w:hAnsi="宋体" w:cs="宋体"/>
          <w:color w:val="auto"/>
        </w:rPr>
      </w:pPr>
      <w:bookmarkStart w:id="172" w:name="_Toc2432"/>
      <w:bookmarkEnd w:id="172"/>
      <w:bookmarkStart w:id="173" w:name="_Toc12995"/>
      <w:bookmarkEnd w:id="173"/>
      <w:bookmarkStart w:id="174" w:name="_Toc1490"/>
      <w:bookmarkEnd w:id="174"/>
      <w:bookmarkStart w:id="175" w:name="_Toc13757"/>
      <w:bookmarkEnd w:id="175"/>
      <w:bookmarkStart w:id="176" w:name="_bookmark73"/>
      <w:bookmarkEnd w:id="176"/>
      <w:bookmarkStart w:id="177" w:name="_bookmark75"/>
      <w:bookmarkEnd w:id="177"/>
      <w:bookmarkStart w:id="178" w:name="_Toc7645"/>
      <w:r>
        <w:rPr>
          <w:rFonts w:hint="eastAsia" w:ascii="宋体" w:hAnsi="宋体" w:cs="宋体"/>
          <w:color w:val="auto"/>
        </w:rPr>
        <w:t>第三章 评标办法</w:t>
      </w:r>
      <w:bookmarkEnd w:id="178"/>
    </w:p>
    <w:p w14:paraId="258EB7C4">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根据《中华人民共和国政府采购法》、第87号令《政府采购货物和服务招标投标管理办法》、财政部（财库[2012]69号）《财政部关于进一步规范政府采购评审工作有关问题的通知》、国务院（国务院第658号）《中华人民共和国政府采购法实施条例》等法律、法规。</w:t>
      </w:r>
    </w:p>
    <w:p w14:paraId="715C6028">
      <w:pPr>
        <w:pStyle w:val="23"/>
        <w:spacing w:after="0" w:line="360" w:lineRule="auto"/>
        <w:ind w:left="0" w:leftChars="0" w:firstLine="0" w:firstLineChars="0"/>
        <w:jc w:val="left"/>
        <w:rPr>
          <w:rFonts w:asciiTheme="minorEastAsia" w:hAnsiTheme="minorEastAsia" w:cstheme="minorEastAsia"/>
          <w:b/>
          <w:bCs/>
          <w:color w:val="auto"/>
          <w:sz w:val="28"/>
          <w:szCs w:val="28"/>
        </w:rPr>
      </w:pPr>
      <w:r>
        <w:rPr>
          <w:rFonts w:hint="eastAsia" w:asciiTheme="minorEastAsia" w:hAnsiTheme="minorEastAsia" w:cstheme="minorEastAsia"/>
          <w:b/>
          <w:bCs/>
          <w:color w:val="auto"/>
          <w:sz w:val="28"/>
          <w:szCs w:val="28"/>
        </w:rPr>
        <w:t>一、评标原则</w:t>
      </w:r>
    </w:p>
    <w:p w14:paraId="2A7580A3">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1.坚持“公平、公正、科学、择优”的原则，本着实事求是的精神，不带有任何主观意愿和偏见，认真负责地做好评标工作，公平、公正地对待每一个投标人。</w:t>
      </w:r>
    </w:p>
    <w:p w14:paraId="38D9BF87">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2.全面分析，综合评审。</w:t>
      </w:r>
    </w:p>
    <w:p w14:paraId="69F9A97B">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3.评标只对投标人的投标文件进行评审，投标文件以外的资料、信息不作为评标的依据。</w:t>
      </w:r>
    </w:p>
    <w:p w14:paraId="4FBB201B">
      <w:pPr>
        <w:pStyle w:val="23"/>
        <w:spacing w:after="0" w:line="360" w:lineRule="auto"/>
        <w:ind w:left="0" w:leftChars="0" w:firstLine="0" w:firstLineChars="0"/>
        <w:jc w:val="left"/>
        <w:rPr>
          <w:rFonts w:asciiTheme="minorEastAsia" w:hAnsiTheme="minorEastAsia" w:cstheme="minorEastAsia"/>
          <w:b/>
          <w:bCs/>
          <w:color w:val="auto"/>
          <w:sz w:val="28"/>
          <w:szCs w:val="28"/>
        </w:rPr>
      </w:pPr>
      <w:r>
        <w:rPr>
          <w:rFonts w:hint="eastAsia" w:asciiTheme="minorEastAsia" w:hAnsiTheme="minorEastAsia" w:cstheme="minorEastAsia"/>
          <w:b/>
          <w:bCs/>
          <w:color w:val="auto"/>
          <w:sz w:val="28"/>
          <w:szCs w:val="28"/>
        </w:rPr>
        <w:t>二、评标机构</w:t>
      </w:r>
    </w:p>
    <w:p w14:paraId="38E35D71">
      <w:pPr>
        <w:pStyle w:val="23"/>
        <w:spacing w:after="0" w:line="360" w:lineRule="auto"/>
        <w:ind w:left="0" w:leftChars="0" w:firstLine="480"/>
        <w:jc w:val="left"/>
        <w:rPr>
          <w:rFonts w:asciiTheme="minorEastAsia" w:hAnsiTheme="minorEastAsia" w:cstheme="minorEastAsia"/>
          <w:b/>
          <w:bCs/>
          <w:color w:val="auto"/>
          <w:sz w:val="28"/>
          <w:szCs w:val="28"/>
        </w:rPr>
      </w:pPr>
      <w:r>
        <w:rPr>
          <w:rFonts w:hint="eastAsia" w:asciiTheme="minorEastAsia" w:hAnsiTheme="minorEastAsia" w:cstheme="minorEastAsia"/>
          <w:color w:val="auto"/>
          <w:sz w:val="24"/>
          <w:szCs w:val="24"/>
        </w:rPr>
        <w:t>评标机构为评标委员会，评标委员会的组成见“第二章 投标人须知 投标人须知前附表 6.1.1”</w:t>
      </w:r>
    </w:p>
    <w:p w14:paraId="50E8943B">
      <w:pPr>
        <w:pStyle w:val="23"/>
        <w:spacing w:after="0" w:line="360" w:lineRule="auto"/>
        <w:ind w:left="0" w:leftChars="0" w:firstLine="0" w:firstLineChars="0"/>
        <w:jc w:val="left"/>
        <w:rPr>
          <w:rFonts w:asciiTheme="minorEastAsia" w:hAnsiTheme="minorEastAsia" w:cstheme="minorEastAsia"/>
          <w:b/>
          <w:bCs/>
          <w:color w:val="auto"/>
          <w:sz w:val="28"/>
          <w:szCs w:val="28"/>
        </w:rPr>
      </w:pPr>
      <w:r>
        <w:rPr>
          <w:rFonts w:hint="eastAsia" w:asciiTheme="minorEastAsia" w:hAnsiTheme="minorEastAsia" w:cstheme="minorEastAsia"/>
          <w:b/>
          <w:bCs/>
          <w:color w:val="auto"/>
          <w:sz w:val="28"/>
          <w:szCs w:val="28"/>
        </w:rPr>
        <w:t xml:space="preserve">三、评标委员会职责 </w:t>
      </w:r>
    </w:p>
    <w:p w14:paraId="76D7143F">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 xml:space="preserve">评标委员会负责具体评标事务，并独立履行下列职责： </w:t>
      </w:r>
    </w:p>
    <w:p w14:paraId="5D439453">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 xml:space="preserve">(一)审查、评价投标文件是否符合招标文件的商务、技术等实质性要求。 </w:t>
      </w:r>
    </w:p>
    <w:p w14:paraId="5229AA33">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 xml:space="preserve">(二)要求投标人对投标文件有关事项作出澄清或者说明。 </w:t>
      </w:r>
    </w:p>
    <w:p w14:paraId="152B31C4">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(三)对投标文件进行比较和评价。</w:t>
      </w:r>
    </w:p>
    <w:p w14:paraId="0AB143C9">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 xml:space="preserve">(四)确定中标候选人名单，以及根据采购人委托直接确定中标人。 </w:t>
      </w:r>
    </w:p>
    <w:p w14:paraId="31921CA6">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(五)向采购人、采购代理机构或者有关部门报告评标中发现的违法行为。</w:t>
      </w:r>
    </w:p>
    <w:p w14:paraId="45640C05">
      <w:pPr>
        <w:pStyle w:val="23"/>
        <w:spacing w:after="0" w:line="360" w:lineRule="auto"/>
        <w:ind w:left="0" w:leftChars="0" w:firstLine="0" w:firstLineChars="0"/>
        <w:jc w:val="left"/>
        <w:rPr>
          <w:rFonts w:asciiTheme="minorEastAsia" w:hAnsiTheme="minorEastAsia" w:cstheme="minorEastAsia"/>
          <w:b/>
          <w:bCs/>
          <w:color w:val="auto"/>
          <w:sz w:val="28"/>
          <w:szCs w:val="28"/>
        </w:rPr>
      </w:pPr>
      <w:r>
        <w:rPr>
          <w:rFonts w:hint="eastAsia" w:asciiTheme="minorEastAsia" w:hAnsiTheme="minorEastAsia" w:cstheme="minorEastAsia"/>
          <w:b/>
          <w:bCs/>
          <w:color w:val="auto"/>
          <w:sz w:val="28"/>
          <w:szCs w:val="28"/>
        </w:rPr>
        <w:t>四、评标纪律</w:t>
      </w:r>
    </w:p>
    <w:p w14:paraId="29BC206F">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1.对评标过程要严格保密，不得向投标人或与该过程无关的其它人员泄露；</w:t>
      </w:r>
    </w:p>
    <w:p w14:paraId="0C203FF1">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2.任何属于投标文件审查、澄清、评价和比较的资料，不得向投标人或与该过程无关的其它人员泄露；</w:t>
      </w:r>
    </w:p>
    <w:p w14:paraId="40F93CF0">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3.所有资料（包括招标文件、投标文件、评标表格及各种文字记录）在评标结束后均应分别整理、存档备查，任何人不得复制和保留，不得向外泄露；</w:t>
      </w:r>
    </w:p>
    <w:p w14:paraId="35662558">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4.评标期间，评标人员不得外出，确需外出时应事先请假；</w:t>
      </w:r>
    </w:p>
    <w:p w14:paraId="098AB496">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5.评标期间，所有与会人员均不得私自以任何方式和投标人进行联系，需询问、澄清的问题由评标委员会统一组织办理；</w:t>
      </w:r>
    </w:p>
    <w:p w14:paraId="6B879FC4">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6.评标结束后，与会人员不得向外界透露评标人员的评标意见，如因此造成的后果由责任者承担。</w:t>
      </w:r>
    </w:p>
    <w:p w14:paraId="2203D766">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7.根据《政府采购货物和服务招标投标管理办法》(财政部令第 87 号)规定，评标委员会及其成员不得有下列行为，否则其评审意见无效：</w:t>
      </w:r>
    </w:p>
    <w:p w14:paraId="3959108F">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（1）确定参与评标至评标结束前私自接触投标人；</w:t>
      </w:r>
    </w:p>
    <w:p w14:paraId="0150BD69">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（2）接受投标人提出的与投标文件不一致的澄清或者说明，本办法第五十一条规定的情形除外；</w:t>
      </w:r>
    </w:p>
    <w:p w14:paraId="4795F6EB">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（3）违反评标纪律发表倾向性意见或者征询采购人的倾向性意见；</w:t>
      </w:r>
    </w:p>
    <w:p w14:paraId="434F0A09">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（4）对需要专业判断的主观评审因素协商评分；</w:t>
      </w:r>
    </w:p>
    <w:p w14:paraId="2E5030F0">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（5）在评标过程中擅离职守，影响评标程序正常进行的；</w:t>
      </w:r>
    </w:p>
    <w:p w14:paraId="5084DD90">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（6）记录、复制或者带走任何评标资料；</w:t>
      </w:r>
    </w:p>
    <w:p w14:paraId="1F3BC3B3">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（7）其他不遵守评标纪律的行为。</w:t>
      </w:r>
    </w:p>
    <w:p w14:paraId="742016FF">
      <w:pPr>
        <w:pStyle w:val="23"/>
        <w:spacing w:after="0" w:line="360" w:lineRule="auto"/>
        <w:ind w:left="0" w:leftChars="0" w:firstLine="0" w:firstLineChars="0"/>
        <w:jc w:val="left"/>
        <w:rPr>
          <w:rFonts w:asciiTheme="minorEastAsia" w:hAnsiTheme="minorEastAsia" w:cstheme="minorEastAsia"/>
          <w:b/>
          <w:bCs/>
          <w:color w:val="auto"/>
          <w:sz w:val="28"/>
          <w:szCs w:val="28"/>
        </w:rPr>
      </w:pPr>
      <w:r>
        <w:rPr>
          <w:rFonts w:hint="eastAsia" w:asciiTheme="minorEastAsia" w:hAnsiTheme="minorEastAsia" w:cstheme="minorEastAsia"/>
          <w:b/>
          <w:bCs/>
          <w:color w:val="auto"/>
          <w:sz w:val="28"/>
          <w:szCs w:val="28"/>
        </w:rPr>
        <w:t>五、评标程序</w:t>
      </w:r>
    </w:p>
    <w:p w14:paraId="2455A0A1">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本次招标所采用的评标方法为《政府采购货物和服务招标投标管理办法》(财政部令第87号)第五十五条规定的“综合评分法”，即：投标文件满足招标文件全部实质性要求，且按照评审因素的量化指标评审得分最高的投标人为中标候选人的评标方法。</w:t>
      </w:r>
    </w:p>
    <w:p w14:paraId="59120250">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评标按：资格审查→符合性审查→商务技术评审→统计评标结果→编写评标报告的程序进行。</w:t>
      </w:r>
    </w:p>
    <w:p w14:paraId="2A260F31">
      <w:pPr>
        <w:pStyle w:val="23"/>
        <w:spacing w:beforeLines="100" w:afterLines="50"/>
        <w:ind w:left="0" w:leftChars="0" w:firstLine="0" w:firstLineChars="0"/>
        <w:jc w:val="left"/>
        <w:rPr>
          <w:rFonts w:asciiTheme="minorEastAsia" w:hAnsiTheme="minorEastAsia" w:cstheme="minorEastAsia"/>
          <w:b/>
          <w:bCs/>
          <w:color w:val="auto"/>
          <w:sz w:val="28"/>
          <w:szCs w:val="28"/>
        </w:rPr>
      </w:pPr>
      <w:r>
        <w:rPr>
          <w:rFonts w:hint="eastAsia" w:asciiTheme="minorEastAsia" w:hAnsiTheme="minorEastAsia" w:cstheme="minorEastAsia"/>
          <w:b/>
          <w:bCs/>
          <w:color w:val="auto"/>
          <w:sz w:val="28"/>
          <w:szCs w:val="28"/>
        </w:rPr>
        <w:t>（一）资格审查</w:t>
      </w:r>
    </w:p>
    <w:p w14:paraId="526ED06D">
      <w:pPr>
        <w:pStyle w:val="23"/>
        <w:spacing w:after="0" w:line="360" w:lineRule="auto"/>
        <w:ind w:left="0" w:leftChars="0" w:firstLine="480"/>
        <w:jc w:val="left"/>
        <w:rPr>
          <w:rFonts w:asciiTheme="minorEastAsia" w:hAnsiTheme="minorEastAsia" w:cstheme="minorEastAsia"/>
          <w:b/>
          <w:bCs/>
          <w:color w:val="auto"/>
          <w:sz w:val="24"/>
          <w:szCs w:val="24"/>
        </w:rPr>
      </w:pPr>
      <w:r>
        <w:rPr>
          <w:rFonts w:hint="eastAsia" w:asciiTheme="minorEastAsia" w:hAnsiTheme="minorEastAsia" w:cstheme="minorEastAsia"/>
          <w:color w:val="auto"/>
          <w:sz w:val="24"/>
          <w:szCs w:val="24"/>
        </w:rPr>
        <w:t>开标会结束后，采购人(和/或)采购代理机构依据法律法规和招标文件的规定对投标人的资格进行审查，以确定投标人是否具备投标资格。只有通过资格审查的投标文件才能进入评标。</w:t>
      </w:r>
    </w:p>
    <w:p w14:paraId="41BB0720">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 xml:space="preserve">不符合下列情形之一的投标文件不能通过资格审查： </w:t>
      </w:r>
    </w:p>
    <w:tbl>
      <w:tblPr>
        <w:tblStyle w:val="25"/>
        <w:tblW w:w="0" w:type="auto"/>
        <w:tblInd w:w="119"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3255"/>
        <w:gridCol w:w="5685"/>
      </w:tblGrid>
      <w:tr w14:paraId="1D915F3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514589F2">
            <w:pPr>
              <w:spacing w:line="360" w:lineRule="auto"/>
              <w:jc w:val="center"/>
              <w:rPr>
                <w:rFonts w:ascii="宋体" w:hAnsi="宋体" w:cs="宋体"/>
                <w:b/>
                <w:bCs/>
                <w:color w:val="auto"/>
                <w:sz w:val="24"/>
              </w:rPr>
            </w:pPr>
            <w:r>
              <w:rPr>
                <w:rFonts w:hint="eastAsia" w:ascii="宋体" w:hAnsi="宋体" w:cs="宋体"/>
                <w:b/>
                <w:bCs/>
                <w:color w:val="auto"/>
                <w:sz w:val="24"/>
              </w:rPr>
              <w:t>序号</w:t>
            </w:r>
          </w:p>
        </w:tc>
        <w:tc>
          <w:tcPr>
            <w:tcW w:w="3255" w:type="dxa"/>
            <w:tcBorders>
              <w:tl2br w:val="nil"/>
              <w:tr2bl w:val="nil"/>
            </w:tcBorders>
            <w:noWrap/>
            <w:vAlign w:val="center"/>
          </w:tcPr>
          <w:p w14:paraId="269E4572">
            <w:pPr>
              <w:spacing w:line="360" w:lineRule="auto"/>
              <w:jc w:val="center"/>
              <w:rPr>
                <w:rFonts w:ascii="宋体" w:hAnsi="宋体" w:cs="宋体"/>
                <w:b/>
                <w:bCs/>
                <w:color w:val="auto"/>
                <w:sz w:val="24"/>
              </w:rPr>
            </w:pPr>
            <w:r>
              <w:rPr>
                <w:rFonts w:hint="eastAsia" w:ascii="宋体" w:hAnsi="宋体" w:cs="宋体"/>
                <w:b/>
                <w:bCs/>
                <w:color w:val="auto"/>
                <w:sz w:val="24"/>
              </w:rPr>
              <w:t>评审因素</w:t>
            </w:r>
          </w:p>
        </w:tc>
        <w:tc>
          <w:tcPr>
            <w:tcW w:w="5685" w:type="dxa"/>
            <w:tcBorders>
              <w:tl2br w:val="nil"/>
              <w:tr2bl w:val="nil"/>
            </w:tcBorders>
            <w:noWrap/>
            <w:vAlign w:val="center"/>
          </w:tcPr>
          <w:p w14:paraId="38A14952">
            <w:pPr>
              <w:spacing w:line="360" w:lineRule="auto"/>
              <w:jc w:val="center"/>
              <w:rPr>
                <w:rFonts w:ascii="宋体" w:hAnsi="宋体" w:cs="宋体"/>
                <w:b/>
                <w:bCs/>
                <w:color w:val="auto"/>
                <w:sz w:val="24"/>
              </w:rPr>
            </w:pPr>
            <w:r>
              <w:rPr>
                <w:rFonts w:hint="eastAsia" w:ascii="宋体" w:hAnsi="宋体" w:cs="宋体"/>
                <w:b/>
                <w:bCs/>
                <w:color w:val="auto"/>
                <w:sz w:val="24"/>
              </w:rPr>
              <w:t>资格评审标准</w:t>
            </w:r>
          </w:p>
        </w:tc>
      </w:tr>
      <w:tr w14:paraId="39A66F5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3D79D978">
            <w:pPr>
              <w:spacing w:line="360" w:lineRule="auto"/>
              <w:jc w:val="center"/>
              <w:rPr>
                <w:rFonts w:ascii="宋体" w:hAnsi="宋体" w:cs="宋体"/>
                <w:color w:val="auto"/>
                <w:sz w:val="24"/>
              </w:rPr>
            </w:pPr>
            <w:r>
              <w:rPr>
                <w:rFonts w:hint="eastAsia" w:ascii="宋体" w:hAnsi="宋体" w:cs="宋体"/>
                <w:color w:val="auto"/>
                <w:sz w:val="24"/>
              </w:rPr>
              <w:t>1</w:t>
            </w:r>
          </w:p>
        </w:tc>
        <w:tc>
          <w:tcPr>
            <w:tcW w:w="3255" w:type="dxa"/>
            <w:tcBorders>
              <w:tl2br w:val="nil"/>
              <w:tr2bl w:val="nil"/>
            </w:tcBorders>
            <w:noWrap/>
            <w:vAlign w:val="center"/>
          </w:tcPr>
          <w:p w14:paraId="6B381187">
            <w:pPr>
              <w:widowControl/>
              <w:spacing w:line="360" w:lineRule="auto"/>
              <w:jc w:val="center"/>
              <w:rPr>
                <w:rFonts w:ascii="宋体" w:hAnsi="宋体" w:cs="宋体"/>
                <w:color w:val="auto"/>
                <w:sz w:val="24"/>
              </w:rPr>
            </w:pPr>
            <w:r>
              <w:rPr>
                <w:rFonts w:hint="eastAsia" w:ascii="宋体" w:hAnsi="宋体" w:cs="宋体"/>
                <w:color w:val="auto"/>
                <w:sz w:val="24"/>
              </w:rPr>
              <w:t>具有独立承担民事责任的</w:t>
            </w:r>
          </w:p>
          <w:p w14:paraId="0A36A1B6">
            <w:pPr>
              <w:widowControl/>
              <w:spacing w:line="360" w:lineRule="auto"/>
              <w:jc w:val="center"/>
              <w:rPr>
                <w:rFonts w:ascii="宋体" w:hAnsi="宋体" w:cs="宋体"/>
                <w:color w:val="auto"/>
                <w:sz w:val="24"/>
              </w:rPr>
            </w:pPr>
            <w:r>
              <w:rPr>
                <w:rFonts w:hint="eastAsia" w:ascii="宋体" w:hAnsi="宋体" w:cs="宋体"/>
                <w:color w:val="auto"/>
                <w:sz w:val="24"/>
              </w:rPr>
              <w:t>能力</w:t>
            </w:r>
          </w:p>
        </w:tc>
        <w:tc>
          <w:tcPr>
            <w:tcW w:w="5685" w:type="dxa"/>
            <w:tcBorders>
              <w:tl2br w:val="nil"/>
              <w:tr2bl w:val="nil"/>
            </w:tcBorders>
            <w:noWrap/>
            <w:vAlign w:val="center"/>
          </w:tcPr>
          <w:p w14:paraId="4C0E2DAA">
            <w:pPr>
              <w:widowControl/>
              <w:spacing w:line="360" w:lineRule="auto"/>
              <w:rPr>
                <w:rFonts w:ascii="宋体" w:hAnsi="宋体" w:cs="宋体"/>
                <w:color w:val="auto"/>
                <w:sz w:val="24"/>
              </w:rPr>
            </w:pPr>
            <w:r>
              <w:rPr>
                <w:rFonts w:hint="eastAsia" w:ascii="宋体" w:hAnsi="宋体" w:cs="宋体"/>
                <w:color w:val="auto"/>
                <w:sz w:val="24"/>
              </w:rPr>
              <w:t>提供自然人有效身份证明或法人或者其他组织有效的营业执照等证明文件。</w:t>
            </w:r>
          </w:p>
        </w:tc>
      </w:tr>
      <w:tr w14:paraId="206555F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6AC2E274">
            <w:pPr>
              <w:widowControl/>
              <w:spacing w:line="360" w:lineRule="auto"/>
              <w:jc w:val="center"/>
              <w:rPr>
                <w:rFonts w:ascii="宋体" w:hAnsi="宋体" w:cs="宋体"/>
                <w:color w:val="auto"/>
                <w:sz w:val="24"/>
              </w:rPr>
            </w:pPr>
            <w:r>
              <w:rPr>
                <w:rFonts w:hint="eastAsia" w:ascii="宋体" w:hAnsi="宋体" w:cs="宋体"/>
                <w:color w:val="auto"/>
                <w:sz w:val="24"/>
              </w:rPr>
              <w:t>2</w:t>
            </w:r>
          </w:p>
        </w:tc>
        <w:tc>
          <w:tcPr>
            <w:tcW w:w="3255" w:type="dxa"/>
            <w:tcBorders>
              <w:tl2br w:val="nil"/>
              <w:tr2bl w:val="nil"/>
            </w:tcBorders>
            <w:noWrap/>
            <w:vAlign w:val="center"/>
          </w:tcPr>
          <w:p w14:paraId="3E8E1A2A">
            <w:pPr>
              <w:widowControl/>
              <w:spacing w:line="360" w:lineRule="auto"/>
              <w:jc w:val="center"/>
              <w:rPr>
                <w:rFonts w:ascii="宋体" w:hAnsi="宋体" w:cs="宋体"/>
                <w:color w:val="auto"/>
                <w:sz w:val="24"/>
              </w:rPr>
            </w:pPr>
            <w:r>
              <w:rPr>
                <w:rFonts w:hint="eastAsia" w:ascii="宋体" w:hAnsi="宋体" w:cs="宋体"/>
                <w:color w:val="auto"/>
                <w:sz w:val="24"/>
              </w:rPr>
              <w:t>具有良好的商业信誉</w:t>
            </w:r>
          </w:p>
        </w:tc>
        <w:tc>
          <w:tcPr>
            <w:tcW w:w="5685" w:type="dxa"/>
            <w:tcBorders>
              <w:tl2br w:val="nil"/>
              <w:tr2bl w:val="nil"/>
            </w:tcBorders>
            <w:noWrap/>
            <w:vAlign w:val="center"/>
          </w:tcPr>
          <w:p w14:paraId="6E423CB0">
            <w:pPr>
              <w:widowControl/>
              <w:spacing w:line="360" w:lineRule="auto"/>
              <w:rPr>
                <w:rFonts w:ascii="宋体" w:hAnsi="宋体" w:cs="宋体"/>
                <w:color w:val="auto"/>
                <w:sz w:val="24"/>
              </w:rPr>
            </w:pPr>
            <w:r>
              <w:rPr>
                <w:rFonts w:hint="eastAsia" w:ascii="宋体" w:hAnsi="宋体" w:cs="宋体"/>
                <w:color w:val="auto"/>
                <w:sz w:val="24"/>
              </w:rPr>
              <w:t>①供应商应在信用中国（www.creditchina.gov.cn）中未被列入失信被执行人；②供应商应在信用中国（www.creditchina.gov.cn）中未被列入重大税收违法失信主体；③供应商应在中国政府采购网(www.ccgp.gov.cn)中未被列入政府采购严重违法失信行为记录名单（备注：以上网站均由采购人或采购代理机构在开标后评标开始前查询，若供应商有失信行为，视为不满足资格要求，为无效投标）。</w:t>
            </w:r>
          </w:p>
        </w:tc>
      </w:tr>
      <w:tr w14:paraId="699BA79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276254B1">
            <w:pPr>
              <w:spacing w:line="360" w:lineRule="auto"/>
              <w:jc w:val="center"/>
              <w:rPr>
                <w:rFonts w:ascii="宋体" w:hAnsi="宋体" w:cs="宋体"/>
                <w:color w:val="auto"/>
                <w:sz w:val="24"/>
              </w:rPr>
            </w:pPr>
            <w:r>
              <w:rPr>
                <w:rFonts w:hint="eastAsia" w:ascii="宋体" w:hAnsi="宋体" w:cs="宋体"/>
                <w:color w:val="auto"/>
                <w:sz w:val="24"/>
              </w:rPr>
              <w:t>3</w:t>
            </w:r>
          </w:p>
        </w:tc>
        <w:tc>
          <w:tcPr>
            <w:tcW w:w="3255" w:type="dxa"/>
            <w:tcBorders>
              <w:tl2br w:val="nil"/>
              <w:tr2bl w:val="nil"/>
            </w:tcBorders>
            <w:noWrap/>
            <w:vAlign w:val="center"/>
          </w:tcPr>
          <w:p w14:paraId="49F14B5D">
            <w:pPr>
              <w:widowControl/>
              <w:spacing w:line="360" w:lineRule="auto"/>
              <w:jc w:val="center"/>
              <w:rPr>
                <w:rFonts w:ascii="宋体" w:hAnsi="宋体" w:cs="宋体"/>
                <w:color w:val="auto"/>
                <w:sz w:val="24"/>
              </w:rPr>
            </w:pPr>
            <w:r>
              <w:rPr>
                <w:rFonts w:hint="eastAsia" w:ascii="宋体" w:hAnsi="宋体" w:cs="宋体"/>
                <w:color w:val="auto"/>
                <w:sz w:val="24"/>
              </w:rPr>
              <w:t>健全的财务会计制度</w:t>
            </w:r>
          </w:p>
        </w:tc>
        <w:tc>
          <w:tcPr>
            <w:tcW w:w="5685" w:type="dxa"/>
            <w:tcBorders>
              <w:tl2br w:val="nil"/>
              <w:tr2bl w:val="nil"/>
            </w:tcBorders>
            <w:noWrap/>
            <w:vAlign w:val="center"/>
          </w:tcPr>
          <w:p w14:paraId="191A7F68">
            <w:pPr>
              <w:widowControl/>
              <w:spacing w:line="360" w:lineRule="auto"/>
              <w:rPr>
                <w:rFonts w:ascii="宋体" w:hAnsi="宋体" w:cs="宋体"/>
                <w:color w:val="auto"/>
                <w:sz w:val="24"/>
              </w:rPr>
            </w:pPr>
            <w:r>
              <w:rPr>
                <w:rFonts w:hint="eastAsia" w:ascii="宋体" w:hAnsi="宋体" w:cs="宋体"/>
                <w:color w:val="auto"/>
                <w:sz w:val="24"/>
              </w:rPr>
              <w:t>健全的财务会计制度（内容可为以下</w:t>
            </w:r>
            <w:r>
              <w:rPr>
                <w:rFonts w:hint="eastAsia" w:ascii="宋体" w:hAnsi="宋体" w:cs="宋体"/>
                <w:color w:val="auto"/>
                <w:sz w:val="24"/>
                <w:lang w:eastAsia="zh-CN"/>
              </w:rPr>
              <w:t>二者之一</w:t>
            </w:r>
            <w:r>
              <w:rPr>
                <w:rFonts w:hint="eastAsia" w:ascii="宋体" w:hAnsi="宋体" w:cs="宋体"/>
                <w:color w:val="auto"/>
                <w:sz w:val="24"/>
              </w:rPr>
              <w:t>）：①提供20</w:t>
            </w:r>
            <w:r>
              <w:rPr>
                <w:rFonts w:hint="eastAsia" w:ascii="宋体" w:hAnsi="宋体" w:cs="宋体"/>
                <w:color w:val="auto"/>
                <w:sz w:val="24"/>
                <w:lang w:val="en-US" w:eastAsia="zh-CN"/>
              </w:rPr>
              <w:t>24</w:t>
            </w:r>
            <w:r>
              <w:rPr>
                <w:rFonts w:hint="eastAsia" w:ascii="宋体" w:hAnsi="宋体" w:cs="宋体"/>
                <w:color w:val="auto"/>
                <w:sz w:val="24"/>
              </w:rPr>
              <w:t>年度经第三方审计机构审计的财务状况报告（包括资产负债表、利润表、现金流量表），成立不满1年的供应商提供自成立至今的财务报表(包括资产负债表、利润表、现金流量表)；②提供基本开户银行出具的资信证明。</w:t>
            </w:r>
          </w:p>
        </w:tc>
      </w:tr>
      <w:tr w14:paraId="5C95076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7D61B2DE">
            <w:pPr>
              <w:spacing w:line="360" w:lineRule="auto"/>
              <w:jc w:val="center"/>
              <w:rPr>
                <w:rFonts w:ascii="宋体" w:hAnsi="宋体" w:cs="宋体"/>
                <w:color w:val="auto"/>
                <w:sz w:val="24"/>
              </w:rPr>
            </w:pPr>
            <w:r>
              <w:rPr>
                <w:rFonts w:hint="eastAsia" w:ascii="宋体" w:hAnsi="宋体" w:cs="宋体"/>
                <w:color w:val="auto"/>
                <w:sz w:val="24"/>
              </w:rPr>
              <w:t>4</w:t>
            </w:r>
          </w:p>
        </w:tc>
        <w:tc>
          <w:tcPr>
            <w:tcW w:w="3255" w:type="dxa"/>
            <w:tcBorders>
              <w:tl2br w:val="nil"/>
              <w:tr2bl w:val="nil"/>
            </w:tcBorders>
            <w:noWrap/>
            <w:vAlign w:val="center"/>
          </w:tcPr>
          <w:p w14:paraId="0274FCC8">
            <w:pPr>
              <w:widowControl/>
              <w:spacing w:line="360" w:lineRule="auto"/>
              <w:jc w:val="center"/>
              <w:rPr>
                <w:rFonts w:ascii="宋体" w:hAnsi="宋体" w:cs="宋体"/>
                <w:color w:val="auto"/>
                <w:sz w:val="24"/>
              </w:rPr>
            </w:pPr>
            <w:r>
              <w:rPr>
                <w:rFonts w:hint="eastAsia" w:ascii="宋体" w:hAnsi="宋体" w:cs="宋体"/>
                <w:color w:val="auto"/>
                <w:sz w:val="24"/>
              </w:rPr>
              <w:t>具有履行合同所必需的设备和专业技术能力</w:t>
            </w:r>
          </w:p>
        </w:tc>
        <w:tc>
          <w:tcPr>
            <w:tcW w:w="5685" w:type="dxa"/>
            <w:tcBorders>
              <w:tl2br w:val="nil"/>
              <w:tr2bl w:val="nil"/>
            </w:tcBorders>
            <w:noWrap/>
            <w:vAlign w:val="center"/>
          </w:tcPr>
          <w:p w14:paraId="6FC866B0">
            <w:pPr>
              <w:widowControl/>
              <w:spacing w:line="360" w:lineRule="auto"/>
              <w:rPr>
                <w:rFonts w:ascii="宋体" w:hAnsi="宋体" w:cs="宋体"/>
                <w:color w:val="auto"/>
                <w:sz w:val="24"/>
              </w:rPr>
            </w:pPr>
            <w:r>
              <w:rPr>
                <w:rFonts w:hint="eastAsia" w:ascii="宋体" w:hAnsi="宋体" w:cs="宋体"/>
                <w:color w:val="auto"/>
                <w:sz w:val="24"/>
              </w:rPr>
              <w:t>提供相关证明材料或书面声明。</w:t>
            </w:r>
          </w:p>
        </w:tc>
      </w:tr>
      <w:tr w14:paraId="1DBBF44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4FA02816">
            <w:pPr>
              <w:spacing w:line="360" w:lineRule="auto"/>
              <w:jc w:val="center"/>
              <w:rPr>
                <w:rFonts w:ascii="宋体" w:hAnsi="宋体" w:cs="宋体"/>
                <w:color w:val="auto"/>
                <w:sz w:val="24"/>
              </w:rPr>
            </w:pPr>
            <w:r>
              <w:rPr>
                <w:rFonts w:hint="eastAsia" w:ascii="宋体" w:hAnsi="宋体" w:cs="宋体"/>
                <w:color w:val="auto"/>
                <w:sz w:val="24"/>
              </w:rPr>
              <w:t>5</w:t>
            </w:r>
          </w:p>
        </w:tc>
        <w:tc>
          <w:tcPr>
            <w:tcW w:w="3255" w:type="dxa"/>
            <w:tcBorders>
              <w:tl2br w:val="nil"/>
              <w:tr2bl w:val="nil"/>
            </w:tcBorders>
            <w:noWrap/>
            <w:vAlign w:val="center"/>
          </w:tcPr>
          <w:p w14:paraId="50F4A6DA">
            <w:pPr>
              <w:widowControl/>
              <w:spacing w:line="360" w:lineRule="auto"/>
              <w:jc w:val="center"/>
              <w:rPr>
                <w:rFonts w:ascii="宋体" w:hAnsi="宋体" w:cs="宋体"/>
                <w:color w:val="auto"/>
                <w:sz w:val="24"/>
              </w:rPr>
            </w:pPr>
            <w:r>
              <w:rPr>
                <w:rFonts w:hint="eastAsia" w:ascii="宋体" w:hAnsi="宋体" w:cs="宋体"/>
                <w:color w:val="auto"/>
                <w:sz w:val="24"/>
              </w:rPr>
              <w:t>具有依法缴纳税收和社会保障资金的良好记录</w:t>
            </w:r>
          </w:p>
        </w:tc>
        <w:tc>
          <w:tcPr>
            <w:tcW w:w="5685" w:type="dxa"/>
            <w:tcBorders>
              <w:tl2br w:val="nil"/>
              <w:tr2bl w:val="nil"/>
            </w:tcBorders>
            <w:noWrap/>
            <w:vAlign w:val="center"/>
          </w:tcPr>
          <w:p w14:paraId="0B79D94B">
            <w:pPr>
              <w:widowControl/>
              <w:spacing w:line="360" w:lineRule="auto"/>
              <w:rPr>
                <w:rFonts w:ascii="宋体" w:hAnsi="宋体" w:cs="宋体"/>
                <w:color w:val="auto"/>
                <w:sz w:val="24"/>
              </w:rPr>
            </w:pPr>
            <w:r>
              <w:rPr>
                <w:rFonts w:hint="eastAsia" w:ascii="宋体" w:hAnsi="宋体" w:cs="宋体"/>
                <w:color w:val="auto"/>
                <w:sz w:val="24"/>
              </w:rPr>
              <w:t>提供202</w:t>
            </w:r>
            <w:r>
              <w:rPr>
                <w:rFonts w:hint="eastAsia" w:ascii="宋体" w:hAnsi="宋体" w:cs="宋体"/>
                <w:color w:val="auto"/>
                <w:sz w:val="24"/>
                <w:lang w:val="en-US" w:eastAsia="zh-CN"/>
              </w:rPr>
              <w:t>4</w:t>
            </w:r>
            <w:r>
              <w:rPr>
                <w:rFonts w:hint="eastAsia" w:ascii="宋体" w:hAnsi="宋体" w:cs="宋体"/>
                <w:color w:val="auto"/>
                <w:sz w:val="24"/>
              </w:rPr>
              <w:t>年1月至今任意1个月依法缴纳税收和缴纳社会保障资金的证明（成立未满1年的提供成立以来的税收和社会保障资金缴纳凭证或相关情况说明；依法免税或不需要缴纳社会保障资金的投标人，应提供相应文件证明其依法免税或不需要缴纳社会保障资金）。</w:t>
            </w:r>
          </w:p>
        </w:tc>
      </w:tr>
      <w:tr w14:paraId="776C8A3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3E73A525">
            <w:pPr>
              <w:spacing w:line="360" w:lineRule="auto"/>
              <w:jc w:val="center"/>
              <w:rPr>
                <w:rFonts w:ascii="宋体" w:hAnsi="宋体" w:cs="宋体"/>
                <w:color w:val="auto"/>
                <w:sz w:val="24"/>
              </w:rPr>
            </w:pPr>
            <w:r>
              <w:rPr>
                <w:rFonts w:hint="eastAsia" w:ascii="宋体" w:hAnsi="宋体" w:cs="宋体"/>
                <w:color w:val="auto"/>
                <w:sz w:val="24"/>
              </w:rPr>
              <w:t>6</w:t>
            </w:r>
          </w:p>
        </w:tc>
        <w:tc>
          <w:tcPr>
            <w:tcW w:w="3255" w:type="dxa"/>
            <w:tcBorders>
              <w:tl2br w:val="nil"/>
              <w:tr2bl w:val="nil"/>
            </w:tcBorders>
            <w:noWrap/>
            <w:vAlign w:val="center"/>
          </w:tcPr>
          <w:p w14:paraId="046642BD">
            <w:pPr>
              <w:widowControl/>
              <w:spacing w:line="360" w:lineRule="auto"/>
              <w:jc w:val="center"/>
              <w:rPr>
                <w:rFonts w:ascii="宋体" w:hAnsi="宋体" w:cs="宋体"/>
                <w:color w:val="auto"/>
                <w:sz w:val="24"/>
              </w:rPr>
            </w:pPr>
            <w:r>
              <w:rPr>
                <w:rFonts w:hint="eastAsia" w:ascii="宋体" w:hAnsi="宋体" w:cs="宋体"/>
                <w:color w:val="auto"/>
                <w:sz w:val="24"/>
              </w:rPr>
              <w:t>无重大违法记录声明</w:t>
            </w:r>
          </w:p>
        </w:tc>
        <w:tc>
          <w:tcPr>
            <w:tcW w:w="5685" w:type="dxa"/>
            <w:tcBorders>
              <w:tl2br w:val="nil"/>
              <w:tr2bl w:val="nil"/>
            </w:tcBorders>
            <w:noWrap/>
            <w:vAlign w:val="center"/>
          </w:tcPr>
          <w:p w14:paraId="496F4F07">
            <w:pPr>
              <w:widowControl/>
              <w:spacing w:line="360" w:lineRule="auto"/>
              <w:rPr>
                <w:rFonts w:ascii="宋体" w:hAnsi="宋体" w:cs="宋体"/>
                <w:color w:val="auto"/>
                <w:sz w:val="24"/>
              </w:rPr>
            </w:pPr>
            <w:r>
              <w:rPr>
                <w:rFonts w:hint="eastAsia" w:ascii="宋体" w:hAnsi="宋体" w:cs="宋体"/>
                <w:color w:val="auto"/>
                <w:sz w:val="24"/>
              </w:rPr>
              <w:t>提供参加本次政府采购活动前</w:t>
            </w:r>
            <w:r>
              <w:rPr>
                <w:rFonts w:hint="eastAsia" w:ascii="宋体" w:hAnsi="宋体" w:cs="宋体"/>
                <w:color w:val="auto"/>
                <w:sz w:val="24"/>
                <w:lang w:eastAsia="zh-CN"/>
              </w:rPr>
              <w:t>五年</w:t>
            </w:r>
            <w:r>
              <w:rPr>
                <w:rFonts w:hint="eastAsia" w:ascii="宋体" w:hAnsi="宋体" w:cs="宋体"/>
                <w:color w:val="auto"/>
                <w:sz w:val="24"/>
              </w:rPr>
              <w:t>内在经营活动中没有重大违法记录的书面声明。</w:t>
            </w:r>
          </w:p>
        </w:tc>
      </w:tr>
      <w:tr w14:paraId="018C1FA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58EC4692">
            <w:pPr>
              <w:spacing w:line="360" w:lineRule="auto"/>
              <w:jc w:val="center"/>
              <w:rPr>
                <w:rFonts w:ascii="宋体" w:hAnsi="宋体" w:cs="宋体"/>
                <w:color w:val="auto"/>
                <w:sz w:val="24"/>
              </w:rPr>
            </w:pPr>
            <w:r>
              <w:rPr>
                <w:rFonts w:hint="eastAsia" w:ascii="宋体" w:hAnsi="宋体" w:cs="宋体"/>
                <w:color w:val="auto"/>
                <w:sz w:val="24"/>
              </w:rPr>
              <w:t>7</w:t>
            </w:r>
          </w:p>
        </w:tc>
        <w:tc>
          <w:tcPr>
            <w:tcW w:w="3255" w:type="dxa"/>
            <w:tcBorders>
              <w:tl2br w:val="nil"/>
              <w:tr2bl w:val="nil"/>
            </w:tcBorders>
            <w:noWrap/>
            <w:vAlign w:val="center"/>
          </w:tcPr>
          <w:p w14:paraId="77277B26">
            <w:pPr>
              <w:widowControl/>
              <w:spacing w:line="360" w:lineRule="auto"/>
              <w:jc w:val="center"/>
              <w:rPr>
                <w:rFonts w:ascii="宋体" w:hAnsi="宋体" w:cs="宋体"/>
                <w:color w:val="auto"/>
                <w:sz w:val="24"/>
              </w:rPr>
            </w:pPr>
            <w:r>
              <w:rPr>
                <w:rFonts w:hint="eastAsia" w:ascii="宋体" w:hAnsi="宋体" w:cs="宋体"/>
                <w:color w:val="auto"/>
                <w:sz w:val="24"/>
              </w:rPr>
              <w:t>法律、行政法规规定的其他条件</w:t>
            </w:r>
          </w:p>
        </w:tc>
        <w:tc>
          <w:tcPr>
            <w:tcW w:w="5685" w:type="dxa"/>
            <w:tcBorders>
              <w:tl2br w:val="nil"/>
              <w:tr2bl w:val="nil"/>
            </w:tcBorders>
            <w:noWrap/>
            <w:vAlign w:val="center"/>
          </w:tcPr>
          <w:p w14:paraId="476D2A45">
            <w:pPr>
              <w:widowControl/>
              <w:spacing w:line="360" w:lineRule="auto"/>
              <w:rPr>
                <w:rFonts w:ascii="宋体" w:hAnsi="宋体" w:cs="宋体"/>
                <w:color w:val="auto"/>
                <w:sz w:val="24"/>
              </w:rPr>
            </w:pPr>
            <w:r>
              <w:rPr>
                <w:rFonts w:hint="eastAsia" w:ascii="宋体" w:hAnsi="宋体" w:cs="宋体"/>
                <w:color w:val="auto"/>
                <w:sz w:val="24"/>
              </w:rPr>
              <w:t>单位负责人为同一人或者存在直接控股、管理关系的不同供应商，不得参加同一合同项下的政府采购活动。</w:t>
            </w:r>
          </w:p>
        </w:tc>
      </w:tr>
      <w:tr w14:paraId="4664A1D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38F94B35">
            <w:pPr>
              <w:spacing w:line="360" w:lineRule="auto"/>
              <w:jc w:val="center"/>
              <w:rPr>
                <w:rFonts w:ascii="宋体" w:hAnsi="宋体" w:cs="宋体"/>
                <w:color w:val="auto"/>
                <w:sz w:val="24"/>
              </w:rPr>
            </w:pPr>
            <w:r>
              <w:rPr>
                <w:rFonts w:hint="eastAsia" w:ascii="宋体" w:hAnsi="宋体" w:cs="宋体"/>
                <w:color w:val="auto"/>
                <w:sz w:val="24"/>
              </w:rPr>
              <w:t>8</w:t>
            </w:r>
          </w:p>
        </w:tc>
        <w:tc>
          <w:tcPr>
            <w:tcW w:w="3255" w:type="dxa"/>
            <w:tcBorders>
              <w:tl2br w:val="nil"/>
              <w:tr2bl w:val="nil"/>
            </w:tcBorders>
            <w:noWrap/>
            <w:vAlign w:val="center"/>
          </w:tcPr>
          <w:p w14:paraId="4FCCF6D0">
            <w:pPr>
              <w:widowControl/>
              <w:spacing w:line="360" w:lineRule="auto"/>
              <w:jc w:val="center"/>
              <w:rPr>
                <w:rFonts w:ascii="宋体" w:hAnsi="宋体" w:cs="宋体"/>
                <w:color w:val="auto"/>
                <w:sz w:val="24"/>
              </w:rPr>
            </w:pPr>
            <w:r>
              <w:rPr>
                <w:rFonts w:hint="eastAsia" w:ascii="宋体" w:hAnsi="宋体" w:cs="宋体"/>
                <w:color w:val="auto"/>
                <w:sz w:val="24"/>
              </w:rPr>
              <w:t>特定资格要求</w:t>
            </w:r>
          </w:p>
        </w:tc>
        <w:tc>
          <w:tcPr>
            <w:tcW w:w="5685" w:type="dxa"/>
            <w:tcBorders>
              <w:tl2br w:val="nil"/>
              <w:tr2bl w:val="nil"/>
            </w:tcBorders>
            <w:noWrap/>
            <w:vAlign w:val="center"/>
          </w:tcPr>
          <w:p w14:paraId="7A833977">
            <w:pPr>
              <w:widowControl/>
              <w:spacing w:line="360" w:lineRule="auto"/>
              <w:jc w:val="left"/>
              <w:rPr>
                <w:rFonts w:ascii="宋体" w:hAnsi="宋体" w:cs="宋体"/>
                <w:color w:val="auto"/>
                <w:sz w:val="24"/>
              </w:rPr>
            </w:pPr>
            <w:r>
              <w:rPr>
                <w:rFonts w:hint="eastAsia" w:ascii="宋体" w:hAnsi="宋体" w:cs="宋体"/>
                <w:color w:val="auto"/>
                <w:sz w:val="24"/>
              </w:rPr>
              <w:t>无。</w:t>
            </w:r>
          </w:p>
        </w:tc>
      </w:tr>
    </w:tbl>
    <w:p w14:paraId="7B941108">
      <w:pPr>
        <w:pStyle w:val="23"/>
        <w:spacing w:beforeLines="100" w:afterLines="50"/>
        <w:ind w:left="0" w:leftChars="0" w:firstLine="0" w:firstLineChars="0"/>
        <w:jc w:val="left"/>
        <w:rPr>
          <w:rFonts w:asciiTheme="minorEastAsia" w:hAnsiTheme="minorEastAsia" w:cstheme="minorEastAsia"/>
          <w:b/>
          <w:bCs/>
          <w:color w:val="auto"/>
          <w:sz w:val="28"/>
          <w:szCs w:val="28"/>
        </w:rPr>
      </w:pPr>
      <w:r>
        <w:rPr>
          <w:rFonts w:hint="eastAsia" w:asciiTheme="minorEastAsia" w:hAnsiTheme="minorEastAsia" w:cstheme="minorEastAsia"/>
          <w:b/>
          <w:bCs/>
          <w:color w:val="auto"/>
          <w:sz w:val="28"/>
          <w:szCs w:val="28"/>
        </w:rPr>
        <w:t>（二）符合性审查</w:t>
      </w:r>
    </w:p>
    <w:p w14:paraId="741215D9">
      <w:pPr>
        <w:pStyle w:val="23"/>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评标委员会依据符合性评审标准对符合资格的投标人的投标文件进行符合性审查，有一项不符合评审标准的，评标委员会应当否决其投标。</w:t>
      </w:r>
    </w:p>
    <w:tbl>
      <w:tblPr>
        <w:tblStyle w:val="25"/>
        <w:tblW w:w="0" w:type="auto"/>
        <w:tblInd w:w="134"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3"/>
        <w:gridCol w:w="3146"/>
        <w:gridCol w:w="5535"/>
      </w:tblGrid>
      <w:tr w14:paraId="3C84FA1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72012A5E">
            <w:pPr>
              <w:spacing w:line="360" w:lineRule="auto"/>
              <w:jc w:val="center"/>
              <w:rPr>
                <w:rFonts w:ascii="宋体" w:hAnsi="宋体" w:cs="宋体"/>
                <w:b/>
                <w:bCs/>
                <w:color w:val="auto"/>
                <w:sz w:val="24"/>
              </w:rPr>
            </w:pPr>
            <w:r>
              <w:rPr>
                <w:rFonts w:hint="eastAsia" w:ascii="宋体" w:hAnsi="宋体" w:cs="宋体"/>
                <w:b/>
                <w:bCs/>
                <w:color w:val="auto"/>
                <w:sz w:val="24"/>
              </w:rPr>
              <w:t>序号</w:t>
            </w:r>
          </w:p>
        </w:tc>
        <w:tc>
          <w:tcPr>
            <w:tcW w:w="3146" w:type="dxa"/>
            <w:tcBorders>
              <w:tl2br w:val="nil"/>
              <w:tr2bl w:val="nil"/>
            </w:tcBorders>
            <w:noWrap/>
            <w:vAlign w:val="center"/>
          </w:tcPr>
          <w:p w14:paraId="786027C2">
            <w:pPr>
              <w:spacing w:line="360" w:lineRule="auto"/>
              <w:jc w:val="center"/>
              <w:rPr>
                <w:rFonts w:ascii="宋体" w:hAnsi="宋体" w:cs="宋体"/>
                <w:b/>
                <w:bCs/>
                <w:color w:val="auto"/>
                <w:sz w:val="24"/>
              </w:rPr>
            </w:pPr>
            <w:r>
              <w:rPr>
                <w:rFonts w:hint="eastAsia" w:ascii="宋体" w:hAnsi="宋体" w:cs="宋体"/>
                <w:b/>
                <w:bCs/>
                <w:color w:val="auto"/>
                <w:sz w:val="24"/>
              </w:rPr>
              <w:t>评审因素</w:t>
            </w:r>
          </w:p>
        </w:tc>
        <w:tc>
          <w:tcPr>
            <w:tcW w:w="5535" w:type="dxa"/>
            <w:tcBorders>
              <w:tl2br w:val="nil"/>
              <w:tr2bl w:val="nil"/>
            </w:tcBorders>
            <w:noWrap/>
            <w:vAlign w:val="center"/>
          </w:tcPr>
          <w:p w14:paraId="4FEB5994">
            <w:pPr>
              <w:spacing w:line="360" w:lineRule="auto"/>
              <w:jc w:val="center"/>
              <w:rPr>
                <w:rFonts w:ascii="宋体" w:hAnsi="宋体" w:cs="宋体"/>
                <w:b/>
                <w:bCs/>
                <w:color w:val="auto"/>
                <w:sz w:val="24"/>
              </w:rPr>
            </w:pPr>
            <w:r>
              <w:rPr>
                <w:rFonts w:hint="eastAsia" w:ascii="宋体" w:hAnsi="宋体" w:cs="宋体"/>
                <w:b/>
                <w:bCs/>
                <w:color w:val="auto"/>
                <w:sz w:val="24"/>
              </w:rPr>
              <w:t>符合性评审标准</w:t>
            </w:r>
          </w:p>
        </w:tc>
      </w:tr>
      <w:tr w14:paraId="06290E1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46359919">
            <w:pPr>
              <w:adjustRightInd w:val="0"/>
              <w:snapToGrid w:val="0"/>
              <w:spacing w:line="360" w:lineRule="auto"/>
              <w:jc w:val="center"/>
              <w:rPr>
                <w:rFonts w:ascii="宋体" w:hAnsi="宋体" w:cs="宋体"/>
                <w:b/>
                <w:bCs/>
                <w:color w:val="auto"/>
                <w:sz w:val="24"/>
              </w:rPr>
            </w:pPr>
            <w:r>
              <w:rPr>
                <w:rFonts w:hint="eastAsia" w:ascii="宋体" w:hAnsi="宋体" w:cs="宋体"/>
                <w:color w:val="auto"/>
                <w:sz w:val="24"/>
              </w:rPr>
              <w:t>1</w:t>
            </w:r>
          </w:p>
        </w:tc>
        <w:tc>
          <w:tcPr>
            <w:tcW w:w="3146" w:type="dxa"/>
            <w:tcBorders>
              <w:tl2br w:val="nil"/>
              <w:tr2bl w:val="nil"/>
            </w:tcBorders>
            <w:noWrap/>
            <w:vAlign w:val="center"/>
          </w:tcPr>
          <w:p w14:paraId="11FE7E97">
            <w:pPr>
              <w:spacing w:line="360" w:lineRule="auto"/>
              <w:jc w:val="center"/>
              <w:rPr>
                <w:rFonts w:ascii="宋体" w:hAnsi="宋体" w:cs="宋体"/>
                <w:b/>
                <w:bCs/>
                <w:color w:val="auto"/>
                <w:sz w:val="24"/>
              </w:rPr>
            </w:pPr>
            <w:r>
              <w:rPr>
                <w:rFonts w:hint="eastAsia" w:ascii="宋体" w:hAnsi="宋体" w:cs="宋体"/>
                <w:color w:val="auto"/>
                <w:sz w:val="24"/>
              </w:rPr>
              <w:t>投标人名称</w:t>
            </w:r>
          </w:p>
        </w:tc>
        <w:tc>
          <w:tcPr>
            <w:tcW w:w="5535" w:type="dxa"/>
            <w:tcBorders>
              <w:tl2br w:val="nil"/>
              <w:tr2bl w:val="nil"/>
            </w:tcBorders>
            <w:noWrap/>
            <w:vAlign w:val="center"/>
          </w:tcPr>
          <w:p w14:paraId="6FC9FF80">
            <w:pPr>
              <w:spacing w:line="360" w:lineRule="auto"/>
              <w:jc w:val="left"/>
              <w:rPr>
                <w:rFonts w:ascii="宋体" w:hAnsi="宋体" w:cs="宋体"/>
                <w:b/>
                <w:bCs/>
                <w:color w:val="auto"/>
                <w:sz w:val="24"/>
              </w:rPr>
            </w:pPr>
            <w:r>
              <w:rPr>
                <w:rFonts w:hint="eastAsia" w:ascii="宋体" w:hAnsi="宋体" w:cs="宋体"/>
                <w:color w:val="auto"/>
                <w:sz w:val="24"/>
              </w:rPr>
              <w:t>与“独立承担民事责任的能力”证明材料名称一致</w:t>
            </w:r>
          </w:p>
        </w:tc>
      </w:tr>
      <w:tr w14:paraId="75606BB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32A43404">
            <w:pPr>
              <w:adjustRightInd w:val="0"/>
              <w:snapToGrid w:val="0"/>
              <w:spacing w:line="360" w:lineRule="auto"/>
              <w:jc w:val="center"/>
              <w:rPr>
                <w:rFonts w:ascii="宋体" w:hAnsi="宋体" w:cs="宋体"/>
                <w:color w:val="auto"/>
                <w:sz w:val="24"/>
              </w:rPr>
            </w:pPr>
            <w:r>
              <w:rPr>
                <w:rFonts w:hint="eastAsia" w:ascii="宋体" w:hAnsi="宋体" w:cs="宋体"/>
                <w:color w:val="auto"/>
                <w:sz w:val="24"/>
              </w:rPr>
              <w:t>2</w:t>
            </w:r>
          </w:p>
        </w:tc>
        <w:tc>
          <w:tcPr>
            <w:tcW w:w="3146" w:type="dxa"/>
            <w:tcBorders>
              <w:tl2br w:val="nil"/>
              <w:tr2bl w:val="nil"/>
            </w:tcBorders>
            <w:noWrap/>
            <w:vAlign w:val="center"/>
          </w:tcPr>
          <w:p w14:paraId="4E614DCB">
            <w:pPr>
              <w:autoSpaceDE w:val="0"/>
              <w:autoSpaceDN w:val="0"/>
              <w:adjustRightInd w:val="0"/>
              <w:spacing w:before="43" w:line="360" w:lineRule="auto"/>
              <w:ind w:right="-20"/>
              <w:jc w:val="center"/>
              <w:rPr>
                <w:rFonts w:ascii="宋体" w:hAnsi="宋体" w:cs="宋体"/>
                <w:color w:val="auto"/>
                <w:sz w:val="24"/>
              </w:rPr>
            </w:pPr>
            <w:r>
              <w:rPr>
                <w:rFonts w:hint="eastAsia" w:ascii="宋体" w:hAnsi="宋体" w:cs="宋体"/>
                <w:color w:val="auto"/>
                <w:kern w:val="0"/>
                <w:sz w:val="24"/>
              </w:rPr>
              <w:t>投标保证金</w:t>
            </w:r>
          </w:p>
        </w:tc>
        <w:tc>
          <w:tcPr>
            <w:tcW w:w="5535" w:type="dxa"/>
            <w:tcBorders>
              <w:tl2br w:val="nil"/>
              <w:tr2bl w:val="nil"/>
            </w:tcBorders>
            <w:noWrap/>
            <w:vAlign w:val="center"/>
          </w:tcPr>
          <w:p w14:paraId="79270B65">
            <w:pPr>
              <w:spacing w:line="360" w:lineRule="auto"/>
              <w:jc w:val="left"/>
              <w:rPr>
                <w:rFonts w:ascii="宋体" w:hAnsi="宋体" w:cs="宋体"/>
                <w:color w:val="auto"/>
                <w:sz w:val="24"/>
              </w:rPr>
            </w:pPr>
            <w:r>
              <w:rPr>
                <w:rFonts w:hint="eastAsia" w:ascii="宋体" w:hAnsi="宋体" w:cs="宋体"/>
                <w:color w:val="auto"/>
                <w:sz w:val="24"/>
              </w:rPr>
              <w:t>按照招标文件第二章“投标人须知前附表”第3.4.1项规定提交投标保证金</w:t>
            </w:r>
          </w:p>
        </w:tc>
      </w:tr>
      <w:tr w14:paraId="5866122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0132CCD7">
            <w:pPr>
              <w:adjustRightInd w:val="0"/>
              <w:snapToGrid w:val="0"/>
              <w:spacing w:line="360" w:lineRule="auto"/>
              <w:jc w:val="center"/>
              <w:rPr>
                <w:rFonts w:ascii="宋体" w:hAnsi="宋体" w:cs="宋体"/>
                <w:color w:val="auto"/>
                <w:sz w:val="24"/>
              </w:rPr>
            </w:pPr>
            <w:r>
              <w:rPr>
                <w:rFonts w:hint="eastAsia" w:ascii="宋体" w:hAnsi="宋体" w:cs="宋体"/>
                <w:color w:val="auto"/>
                <w:sz w:val="24"/>
              </w:rPr>
              <w:t>3</w:t>
            </w:r>
          </w:p>
        </w:tc>
        <w:tc>
          <w:tcPr>
            <w:tcW w:w="3146" w:type="dxa"/>
            <w:tcBorders>
              <w:tl2br w:val="nil"/>
              <w:tr2bl w:val="nil"/>
            </w:tcBorders>
            <w:noWrap/>
            <w:vAlign w:val="center"/>
          </w:tcPr>
          <w:p w14:paraId="1E0B04A9">
            <w:pPr>
              <w:tabs>
                <w:tab w:val="center" w:pos="4153"/>
                <w:tab w:val="right" w:pos="8306"/>
              </w:tabs>
              <w:snapToGrid w:val="0"/>
              <w:spacing w:beforeLines="20" w:line="360" w:lineRule="auto"/>
              <w:jc w:val="center"/>
              <w:rPr>
                <w:rFonts w:ascii="宋体" w:hAnsi="宋体" w:cs="宋体"/>
                <w:color w:val="auto"/>
                <w:sz w:val="24"/>
              </w:rPr>
            </w:pPr>
            <w:r>
              <w:rPr>
                <w:rFonts w:hint="eastAsia" w:ascii="宋体" w:hAnsi="宋体" w:cs="宋体"/>
                <w:color w:val="auto"/>
                <w:sz w:val="24"/>
              </w:rPr>
              <w:t>投标文件的签章</w:t>
            </w:r>
          </w:p>
        </w:tc>
        <w:tc>
          <w:tcPr>
            <w:tcW w:w="5535" w:type="dxa"/>
            <w:tcBorders>
              <w:tl2br w:val="nil"/>
              <w:tr2bl w:val="nil"/>
            </w:tcBorders>
            <w:noWrap/>
            <w:vAlign w:val="center"/>
          </w:tcPr>
          <w:p w14:paraId="774125BB">
            <w:pPr>
              <w:spacing w:line="360" w:lineRule="auto"/>
              <w:jc w:val="left"/>
              <w:rPr>
                <w:rFonts w:ascii="宋体" w:hAnsi="宋体" w:cs="宋体"/>
                <w:color w:val="auto"/>
                <w:sz w:val="24"/>
              </w:rPr>
            </w:pPr>
            <w:r>
              <w:rPr>
                <w:rFonts w:hint="eastAsia" w:ascii="宋体" w:hAnsi="宋体" w:cs="宋体"/>
                <w:color w:val="auto"/>
                <w:sz w:val="24"/>
              </w:rPr>
              <w:t>投标文件应按照招标文件格式要求签章</w:t>
            </w:r>
          </w:p>
        </w:tc>
      </w:tr>
      <w:tr w14:paraId="5485DDE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43C3ADB2">
            <w:pPr>
              <w:adjustRightInd w:val="0"/>
              <w:snapToGrid w:val="0"/>
              <w:spacing w:line="360" w:lineRule="auto"/>
              <w:jc w:val="center"/>
              <w:rPr>
                <w:rFonts w:ascii="宋体" w:hAnsi="宋体" w:cs="宋体"/>
                <w:color w:val="auto"/>
                <w:sz w:val="24"/>
              </w:rPr>
            </w:pPr>
            <w:r>
              <w:rPr>
                <w:rFonts w:hint="eastAsia" w:ascii="宋体" w:hAnsi="宋体" w:cs="宋体"/>
                <w:color w:val="auto"/>
                <w:sz w:val="24"/>
              </w:rPr>
              <w:t>4</w:t>
            </w:r>
          </w:p>
        </w:tc>
        <w:tc>
          <w:tcPr>
            <w:tcW w:w="3146" w:type="dxa"/>
            <w:tcBorders>
              <w:tl2br w:val="nil"/>
              <w:tr2bl w:val="nil"/>
            </w:tcBorders>
            <w:noWrap/>
            <w:vAlign w:val="center"/>
          </w:tcPr>
          <w:p w14:paraId="53D6D46A">
            <w:pPr>
              <w:adjustRightInd w:val="0"/>
              <w:snapToGrid w:val="0"/>
              <w:spacing w:line="360" w:lineRule="auto"/>
              <w:jc w:val="center"/>
              <w:rPr>
                <w:rFonts w:ascii="宋体" w:hAnsi="宋体" w:cs="宋体"/>
                <w:color w:val="auto"/>
                <w:sz w:val="24"/>
              </w:rPr>
            </w:pPr>
            <w:r>
              <w:rPr>
                <w:rFonts w:hint="eastAsia" w:ascii="宋体" w:hAnsi="宋体" w:cs="宋体"/>
                <w:color w:val="auto"/>
                <w:sz w:val="24"/>
              </w:rPr>
              <w:t>投标文件的完整性</w:t>
            </w:r>
          </w:p>
        </w:tc>
        <w:tc>
          <w:tcPr>
            <w:tcW w:w="5535" w:type="dxa"/>
            <w:tcBorders>
              <w:tl2br w:val="nil"/>
              <w:tr2bl w:val="nil"/>
            </w:tcBorders>
            <w:noWrap/>
            <w:vAlign w:val="center"/>
          </w:tcPr>
          <w:p w14:paraId="1770356E">
            <w:pPr>
              <w:spacing w:line="360" w:lineRule="auto"/>
              <w:jc w:val="left"/>
              <w:rPr>
                <w:rFonts w:ascii="宋体" w:hAnsi="宋体" w:cs="宋体"/>
                <w:color w:val="auto"/>
                <w:sz w:val="24"/>
              </w:rPr>
            </w:pPr>
            <w:r>
              <w:rPr>
                <w:rFonts w:ascii="宋体" w:hAnsi="宋体" w:cs="宋体"/>
                <w:color w:val="auto"/>
                <w:sz w:val="24"/>
              </w:rPr>
              <w:t>投标文件内容符合招标文件要求</w:t>
            </w:r>
          </w:p>
        </w:tc>
      </w:tr>
      <w:tr w14:paraId="0966361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02ABCC1D">
            <w:pPr>
              <w:adjustRightInd w:val="0"/>
              <w:snapToGrid w:val="0"/>
              <w:spacing w:line="360" w:lineRule="auto"/>
              <w:jc w:val="center"/>
              <w:rPr>
                <w:rFonts w:ascii="宋体" w:hAnsi="宋体" w:cs="宋体"/>
                <w:color w:val="auto"/>
                <w:sz w:val="24"/>
              </w:rPr>
            </w:pPr>
            <w:r>
              <w:rPr>
                <w:rFonts w:hint="eastAsia" w:ascii="宋体" w:hAnsi="宋体" w:cs="宋体"/>
                <w:color w:val="auto"/>
                <w:sz w:val="24"/>
              </w:rPr>
              <w:t>5</w:t>
            </w:r>
          </w:p>
        </w:tc>
        <w:tc>
          <w:tcPr>
            <w:tcW w:w="3146" w:type="dxa"/>
            <w:tcBorders>
              <w:tl2br w:val="nil"/>
              <w:tr2bl w:val="nil"/>
            </w:tcBorders>
            <w:noWrap/>
            <w:vAlign w:val="center"/>
          </w:tcPr>
          <w:p w14:paraId="19798599">
            <w:pPr>
              <w:adjustRightInd w:val="0"/>
              <w:snapToGrid w:val="0"/>
              <w:spacing w:line="360" w:lineRule="auto"/>
              <w:jc w:val="center"/>
              <w:rPr>
                <w:rFonts w:ascii="宋体" w:hAnsi="宋体" w:cs="宋体"/>
                <w:color w:val="auto"/>
                <w:sz w:val="24"/>
              </w:rPr>
            </w:pPr>
            <w:r>
              <w:rPr>
                <w:rFonts w:hint="eastAsia" w:ascii="宋体" w:hAnsi="宋体" w:cs="宋体"/>
                <w:color w:val="auto"/>
                <w:sz w:val="24"/>
              </w:rPr>
              <w:t>报价唯一</w:t>
            </w:r>
          </w:p>
        </w:tc>
        <w:tc>
          <w:tcPr>
            <w:tcW w:w="5535" w:type="dxa"/>
            <w:tcBorders>
              <w:tl2br w:val="nil"/>
              <w:tr2bl w:val="nil"/>
            </w:tcBorders>
            <w:noWrap/>
            <w:vAlign w:val="center"/>
          </w:tcPr>
          <w:p w14:paraId="7F3E7614">
            <w:pPr>
              <w:spacing w:line="360" w:lineRule="auto"/>
              <w:jc w:val="left"/>
              <w:rPr>
                <w:rFonts w:ascii="宋体" w:hAnsi="宋体" w:cs="宋体"/>
                <w:color w:val="auto"/>
                <w:sz w:val="24"/>
              </w:rPr>
            </w:pPr>
            <w:r>
              <w:rPr>
                <w:rFonts w:hint="eastAsia" w:ascii="宋体" w:hAnsi="宋体" w:cs="宋体"/>
                <w:color w:val="auto"/>
                <w:sz w:val="24"/>
              </w:rPr>
              <w:t>投标人递交两份或多份内容不同的投标文件，或在一份投标文件中对同一招标项目报有两个或多个报价，且未声明哪一个有效</w:t>
            </w:r>
          </w:p>
        </w:tc>
      </w:tr>
      <w:tr w14:paraId="6AC7497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199078A4">
            <w:pPr>
              <w:adjustRightInd w:val="0"/>
              <w:snapToGrid w:val="0"/>
              <w:spacing w:line="360" w:lineRule="auto"/>
              <w:jc w:val="center"/>
              <w:rPr>
                <w:rFonts w:ascii="宋体" w:hAnsi="宋体" w:cs="宋体"/>
                <w:color w:val="auto"/>
                <w:sz w:val="24"/>
              </w:rPr>
            </w:pPr>
            <w:r>
              <w:rPr>
                <w:rFonts w:hint="eastAsia" w:ascii="宋体" w:hAnsi="宋体" w:cs="宋体"/>
                <w:color w:val="auto"/>
                <w:sz w:val="24"/>
              </w:rPr>
              <w:t>6</w:t>
            </w:r>
          </w:p>
        </w:tc>
        <w:tc>
          <w:tcPr>
            <w:tcW w:w="3146" w:type="dxa"/>
            <w:tcBorders>
              <w:tl2br w:val="nil"/>
              <w:tr2bl w:val="nil"/>
            </w:tcBorders>
            <w:noWrap/>
            <w:vAlign w:val="center"/>
          </w:tcPr>
          <w:p w14:paraId="5175903F">
            <w:pPr>
              <w:adjustRightInd w:val="0"/>
              <w:snapToGrid w:val="0"/>
              <w:spacing w:line="360" w:lineRule="auto"/>
              <w:jc w:val="center"/>
              <w:rPr>
                <w:rFonts w:ascii="宋体" w:hAnsi="宋体" w:cs="宋体"/>
                <w:color w:val="auto"/>
                <w:sz w:val="24"/>
              </w:rPr>
            </w:pPr>
            <w:r>
              <w:rPr>
                <w:rFonts w:hint="eastAsia" w:ascii="宋体" w:hAnsi="宋体" w:cs="宋体"/>
                <w:color w:val="auto"/>
                <w:sz w:val="24"/>
              </w:rPr>
              <w:t>投标报价</w:t>
            </w:r>
          </w:p>
        </w:tc>
        <w:tc>
          <w:tcPr>
            <w:tcW w:w="5535" w:type="dxa"/>
            <w:tcBorders>
              <w:tl2br w:val="nil"/>
              <w:tr2bl w:val="nil"/>
            </w:tcBorders>
            <w:noWrap/>
            <w:vAlign w:val="center"/>
          </w:tcPr>
          <w:p w14:paraId="50A96733">
            <w:pPr>
              <w:spacing w:line="360" w:lineRule="auto"/>
              <w:jc w:val="left"/>
              <w:rPr>
                <w:rFonts w:ascii="宋体" w:hAnsi="宋体" w:cs="宋体"/>
                <w:color w:val="auto"/>
                <w:sz w:val="24"/>
              </w:rPr>
            </w:pPr>
            <w:r>
              <w:rPr>
                <w:rFonts w:hint="eastAsia" w:ascii="宋体" w:hAnsi="宋体" w:cs="宋体"/>
                <w:color w:val="auto"/>
                <w:sz w:val="24"/>
              </w:rPr>
              <w:t>符合第二章“投标人须知”第 3.2.3项规定和第二章“投标人须知前附表”第 3.2.4 款规定</w:t>
            </w:r>
          </w:p>
        </w:tc>
      </w:tr>
      <w:tr w14:paraId="622476F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6126E0D2">
            <w:pPr>
              <w:adjustRightInd w:val="0"/>
              <w:snapToGrid w:val="0"/>
              <w:spacing w:line="360" w:lineRule="auto"/>
              <w:jc w:val="center"/>
              <w:rPr>
                <w:rFonts w:ascii="宋体" w:hAnsi="宋体" w:cs="宋体"/>
                <w:color w:val="auto"/>
                <w:sz w:val="24"/>
              </w:rPr>
            </w:pPr>
            <w:r>
              <w:rPr>
                <w:rFonts w:hint="eastAsia" w:ascii="宋体" w:hAnsi="宋体" w:cs="宋体"/>
                <w:color w:val="auto"/>
                <w:sz w:val="24"/>
              </w:rPr>
              <w:t>7</w:t>
            </w:r>
          </w:p>
        </w:tc>
        <w:tc>
          <w:tcPr>
            <w:tcW w:w="3146" w:type="dxa"/>
            <w:tcBorders>
              <w:tl2br w:val="nil"/>
              <w:tr2bl w:val="nil"/>
            </w:tcBorders>
            <w:noWrap/>
            <w:vAlign w:val="center"/>
          </w:tcPr>
          <w:p w14:paraId="415601C5">
            <w:pPr>
              <w:widowControl/>
              <w:spacing w:line="360" w:lineRule="auto"/>
              <w:jc w:val="center"/>
              <w:rPr>
                <w:rFonts w:ascii="宋体" w:hAnsi="宋体" w:cs="宋体"/>
                <w:color w:val="auto"/>
                <w:sz w:val="24"/>
              </w:rPr>
            </w:pPr>
            <w:r>
              <w:rPr>
                <w:rFonts w:hint="eastAsia" w:ascii="宋体" w:hAnsi="宋体" w:cs="宋体"/>
                <w:color w:val="auto"/>
                <w:sz w:val="24"/>
              </w:rPr>
              <w:t xml:space="preserve">采购内容  </w:t>
            </w:r>
          </w:p>
        </w:tc>
        <w:tc>
          <w:tcPr>
            <w:tcW w:w="5535" w:type="dxa"/>
            <w:tcBorders>
              <w:tl2br w:val="nil"/>
              <w:tr2bl w:val="nil"/>
            </w:tcBorders>
            <w:noWrap/>
            <w:vAlign w:val="center"/>
          </w:tcPr>
          <w:p w14:paraId="725537A8">
            <w:pPr>
              <w:widowControl/>
              <w:spacing w:line="360" w:lineRule="auto"/>
              <w:jc w:val="left"/>
              <w:rPr>
                <w:rFonts w:ascii="宋体" w:hAnsi="宋体" w:cs="宋体"/>
                <w:color w:val="auto"/>
                <w:sz w:val="24"/>
              </w:rPr>
            </w:pPr>
            <w:r>
              <w:rPr>
                <w:rFonts w:hint="eastAsia" w:ascii="宋体" w:hAnsi="宋体" w:cs="宋体"/>
                <w:color w:val="auto"/>
                <w:sz w:val="24"/>
              </w:rPr>
              <w:t>符合第二章“投标人须知前附表”第1.3.1项规定</w:t>
            </w:r>
          </w:p>
        </w:tc>
      </w:tr>
      <w:tr w14:paraId="6624878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423D6E7C">
            <w:pPr>
              <w:adjustRightInd w:val="0"/>
              <w:snapToGrid w:val="0"/>
              <w:spacing w:line="360" w:lineRule="auto"/>
              <w:jc w:val="center"/>
              <w:rPr>
                <w:rFonts w:ascii="宋体" w:hAnsi="宋体" w:cs="宋体"/>
                <w:color w:val="auto"/>
                <w:sz w:val="24"/>
              </w:rPr>
            </w:pPr>
            <w:r>
              <w:rPr>
                <w:rFonts w:hint="eastAsia" w:ascii="宋体" w:hAnsi="宋体" w:cs="宋体"/>
                <w:color w:val="auto"/>
                <w:sz w:val="24"/>
              </w:rPr>
              <w:t>8</w:t>
            </w:r>
          </w:p>
        </w:tc>
        <w:tc>
          <w:tcPr>
            <w:tcW w:w="3146" w:type="dxa"/>
            <w:tcBorders>
              <w:tl2br w:val="nil"/>
              <w:tr2bl w:val="nil"/>
            </w:tcBorders>
            <w:noWrap/>
            <w:vAlign w:val="center"/>
          </w:tcPr>
          <w:p w14:paraId="0E0E3838">
            <w:pPr>
              <w:spacing w:line="360" w:lineRule="auto"/>
              <w:jc w:val="center"/>
              <w:rPr>
                <w:rFonts w:ascii="宋体" w:hAnsi="宋体" w:cs="宋体"/>
                <w:color w:val="auto"/>
                <w:sz w:val="24"/>
              </w:rPr>
            </w:pPr>
            <w:r>
              <w:rPr>
                <w:rFonts w:hint="eastAsia" w:ascii="宋体" w:hAnsi="宋体" w:cs="宋体"/>
                <w:color w:val="auto"/>
                <w:sz w:val="24"/>
              </w:rPr>
              <w:t>合同履行期限</w:t>
            </w:r>
          </w:p>
        </w:tc>
        <w:tc>
          <w:tcPr>
            <w:tcW w:w="5535" w:type="dxa"/>
            <w:tcBorders>
              <w:tl2br w:val="nil"/>
              <w:tr2bl w:val="nil"/>
            </w:tcBorders>
            <w:noWrap/>
            <w:vAlign w:val="center"/>
          </w:tcPr>
          <w:p w14:paraId="45ECBE11">
            <w:pPr>
              <w:widowControl/>
              <w:spacing w:line="360" w:lineRule="auto"/>
              <w:jc w:val="left"/>
              <w:rPr>
                <w:rFonts w:ascii="宋体" w:hAnsi="宋体" w:cs="宋体"/>
                <w:color w:val="auto"/>
                <w:sz w:val="24"/>
              </w:rPr>
            </w:pPr>
            <w:r>
              <w:rPr>
                <w:rFonts w:hint="eastAsia" w:ascii="宋体" w:hAnsi="宋体" w:cs="宋体"/>
                <w:color w:val="auto"/>
                <w:sz w:val="24"/>
              </w:rPr>
              <w:t>符合第二章“投标人须知前附表”第1.3.2项规定</w:t>
            </w:r>
          </w:p>
        </w:tc>
      </w:tr>
      <w:tr w14:paraId="48A2D35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77680BF6">
            <w:pPr>
              <w:adjustRightInd w:val="0"/>
              <w:snapToGrid w:val="0"/>
              <w:spacing w:line="360" w:lineRule="auto"/>
              <w:jc w:val="center"/>
              <w:rPr>
                <w:rFonts w:ascii="宋体" w:hAnsi="宋体" w:cs="宋体"/>
                <w:color w:val="auto"/>
                <w:sz w:val="24"/>
              </w:rPr>
            </w:pPr>
            <w:r>
              <w:rPr>
                <w:rFonts w:hint="eastAsia" w:ascii="宋体" w:hAnsi="宋体" w:cs="宋体"/>
                <w:color w:val="auto"/>
                <w:sz w:val="24"/>
              </w:rPr>
              <w:t>9</w:t>
            </w:r>
          </w:p>
        </w:tc>
        <w:tc>
          <w:tcPr>
            <w:tcW w:w="3146" w:type="dxa"/>
            <w:tcBorders>
              <w:tl2br w:val="nil"/>
              <w:tr2bl w:val="nil"/>
            </w:tcBorders>
            <w:noWrap/>
            <w:vAlign w:val="center"/>
          </w:tcPr>
          <w:p w14:paraId="27EA6478">
            <w:pPr>
              <w:widowControl/>
              <w:spacing w:line="360" w:lineRule="auto"/>
              <w:jc w:val="center"/>
              <w:rPr>
                <w:rFonts w:ascii="宋体" w:hAnsi="宋体" w:cs="宋体"/>
                <w:color w:val="auto"/>
                <w:sz w:val="24"/>
              </w:rPr>
            </w:pPr>
            <w:r>
              <w:rPr>
                <w:rFonts w:hint="eastAsia" w:ascii="宋体" w:hAnsi="宋体" w:cs="宋体"/>
                <w:color w:val="auto"/>
                <w:sz w:val="24"/>
              </w:rPr>
              <w:t>质量要求</w:t>
            </w:r>
          </w:p>
        </w:tc>
        <w:tc>
          <w:tcPr>
            <w:tcW w:w="5535" w:type="dxa"/>
            <w:tcBorders>
              <w:tl2br w:val="nil"/>
              <w:tr2bl w:val="nil"/>
            </w:tcBorders>
            <w:noWrap/>
            <w:vAlign w:val="center"/>
          </w:tcPr>
          <w:p w14:paraId="79DA8FBE">
            <w:pPr>
              <w:widowControl/>
              <w:spacing w:line="360" w:lineRule="auto"/>
              <w:jc w:val="left"/>
              <w:rPr>
                <w:rFonts w:ascii="宋体" w:hAnsi="宋体" w:cs="宋体"/>
                <w:color w:val="auto"/>
                <w:sz w:val="24"/>
              </w:rPr>
            </w:pPr>
            <w:r>
              <w:rPr>
                <w:rFonts w:hint="eastAsia" w:ascii="宋体" w:hAnsi="宋体" w:cs="宋体"/>
                <w:color w:val="auto"/>
                <w:sz w:val="24"/>
              </w:rPr>
              <w:t>符合第二章“投标人须知前附表”第1.3.3项规定</w:t>
            </w:r>
          </w:p>
        </w:tc>
      </w:tr>
      <w:tr w14:paraId="31D8B25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42F7D749">
            <w:pPr>
              <w:adjustRightInd w:val="0"/>
              <w:snapToGrid w:val="0"/>
              <w:spacing w:line="360" w:lineRule="auto"/>
              <w:jc w:val="center"/>
              <w:rPr>
                <w:rFonts w:ascii="宋体" w:hAnsi="宋体" w:cs="宋体"/>
                <w:color w:val="auto"/>
                <w:sz w:val="24"/>
              </w:rPr>
            </w:pPr>
            <w:r>
              <w:rPr>
                <w:rFonts w:hint="eastAsia" w:ascii="宋体" w:hAnsi="宋体" w:cs="宋体"/>
                <w:color w:val="auto"/>
                <w:sz w:val="24"/>
              </w:rPr>
              <w:t>10</w:t>
            </w:r>
          </w:p>
        </w:tc>
        <w:tc>
          <w:tcPr>
            <w:tcW w:w="3146" w:type="dxa"/>
            <w:tcBorders>
              <w:tl2br w:val="nil"/>
              <w:tr2bl w:val="nil"/>
            </w:tcBorders>
            <w:noWrap/>
            <w:vAlign w:val="center"/>
          </w:tcPr>
          <w:p w14:paraId="7E9450CF">
            <w:pPr>
              <w:widowControl/>
              <w:spacing w:line="360" w:lineRule="auto"/>
              <w:jc w:val="center"/>
              <w:rPr>
                <w:rFonts w:ascii="宋体" w:hAnsi="宋体" w:cs="宋体"/>
                <w:color w:val="auto"/>
                <w:sz w:val="24"/>
              </w:rPr>
            </w:pPr>
            <w:r>
              <w:rPr>
                <w:rFonts w:hint="eastAsia" w:ascii="宋体" w:hAnsi="宋体" w:cs="宋体"/>
                <w:color w:val="auto"/>
                <w:sz w:val="24"/>
              </w:rPr>
              <w:t>项目地点</w:t>
            </w:r>
          </w:p>
        </w:tc>
        <w:tc>
          <w:tcPr>
            <w:tcW w:w="5535" w:type="dxa"/>
            <w:tcBorders>
              <w:tl2br w:val="nil"/>
              <w:tr2bl w:val="nil"/>
            </w:tcBorders>
            <w:noWrap/>
            <w:vAlign w:val="center"/>
          </w:tcPr>
          <w:p w14:paraId="1C140AC3">
            <w:pPr>
              <w:widowControl/>
              <w:spacing w:line="360" w:lineRule="auto"/>
              <w:jc w:val="left"/>
              <w:rPr>
                <w:rFonts w:ascii="宋体" w:hAnsi="宋体" w:cs="宋体"/>
                <w:color w:val="auto"/>
                <w:sz w:val="24"/>
              </w:rPr>
            </w:pPr>
            <w:r>
              <w:rPr>
                <w:rFonts w:hint="eastAsia" w:ascii="宋体" w:hAnsi="宋体" w:cs="宋体"/>
                <w:color w:val="auto"/>
                <w:sz w:val="24"/>
              </w:rPr>
              <w:t>符合第二章“投标人须知前附表”第1.3.4项规定</w:t>
            </w:r>
          </w:p>
        </w:tc>
      </w:tr>
      <w:tr w14:paraId="0BAC5E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2D24BFB6">
            <w:pPr>
              <w:adjustRightInd w:val="0"/>
              <w:snapToGrid w:val="0"/>
              <w:spacing w:line="360" w:lineRule="auto"/>
              <w:jc w:val="center"/>
              <w:rPr>
                <w:rFonts w:ascii="宋体" w:hAnsi="宋体" w:cs="宋体"/>
                <w:color w:val="auto"/>
                <w:sz w:val="24"/>
              </w:rPr>
            </w:pPr>
            <w:r>
              <w:rPr>
                <w:rFonts w:hint="eastAsia" w:ascii="宋体" w:hAnsi="宋体" w:cs="宋体"/>
                <w:color w:val="auto"/>
                <w:sz w:val="24"/>
              </w:rPr>
              <w:t>11</w:t>
            </w:r>
          </w:p>
        </w:tc>
        <w:tc>
          <w:tcPr>
            <w:tcW w:w="3146" w:type="dxa"/>
            <w:tcBorders>
              <w:tl2br w:val="nil"/>
              <w:tr2bl w:val="nil"/>
            </w:tcBorders>
            <w:noWrap/>
            <w:vAlign w:val="center"/>
          </w:tcPr>
          <w:p w14:paraId="64989E54">
            <w:pPr>
              <w:widowControl/>
              <w:spacing w:line="360" w:lineRule="auto"/>
              <w:jc w:val="center"/>
              <w:rPr>
                <w:rFonts w:ascii="宋体" w:hAnsi="宋体" w:cs="宋体"/>
                <w:color w:val="auto"/>
                <w:sz w:val="24"/>
              </w:rPr>
            </w:pPr>
            <w:r>
              <w:rPr>
                <w:rFonts w:hint="eastAsia" w:ascii="宋体" w:hAnsi="宋体" w:cs="宋体"/>
                <w:color w:val="auto"/>
                <w:sz w:val="24"/>
              </w:rPr>
              <w:t>投标有效期</w:t>
            </w:r>
          </w:p>
        </w:tc>
        <w:tc>
          <w:tcPr>
            <w:tcW w:w="5535" w:type="dxa"/>
            <w:tcBorders>
              <w:tl2br w:val="nil"/>
              <w:tr2bl w:val="nil"/>
            </w:tcBorders>
            <w:noWrap/>
            <w:vAlign w:val="center"/>
          </w:tcPr>
          <w:p w14:paraId="16F3BD42">
            <w:pPr>
              <w:widowControl/>
              <w:spacing w:line="360" w:lineRule="auto"/>
              <w:jc w:val="left"/>
              <w:rPr>
                <w:rFonts w:ascii="宋体" w:hAnsi="宋体" w:cs="宋体"/>
                <w:color w:val="auto"/>
                <w:sz w:val="24"/>
              </w:rPr>
            </w:pPr>
            <w:r>
              <w:rPr>
                <w:rFonts w:hint="eastAsia" w:ascii="宋体" w:hAnsi="宋体" w:cs="宋体"/>
                <w:color w:val="auto"/>
                <w:sz w:val="24"/>
              </w:rPr>
              <w:t xml:space="preserve">投标有效期应当不少于招标文件中载明的投标有效期                        </w:t>
            </w:r>
          </w:p>
        </w:tc>
      </w:tr>
      <w:tr w14:paraId="38EE292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7CEDAB28">
            <w:pPr>
              <w:adjustRightInd w:val="0"/>
              <w:snapToGrid w:val="0"/>
              <w:spacing w:line="360" w:lineRule="auto"/>
              <w:jc w:val="center"/>
              <w:rPr>
                <w:rFonts w:ascii="宋体" w:hAnsi="宋体" w:cs="宋体"/>
                <w:color w:val="auto"/>
                <w:sz w:val="24"/>
              </w:rPr>
            </w:pPr>
            <w:r>
              <w:rPr>
                <w:rFonts w:hint="eastAsia" w:ascii="宋体" w:hAnsi="宋体" w:cs="宋体"/>
                <w:color w:val="auto"/>
                <w:sz w:val="24"/>
              </w:rPr>
              <w:t>12</w:t>
            </w:r>
          </w:p>
        </w:tc>
        <w:tc>
          <w:tcPr>
            <w:tcW w:w="3146" w:type="dxa"/>
            <w:tcBorders>
              <w:tl2br w:val="nil"/>
              <w:tr2bl w:val="nil"/>
            </w:tcBorders>
            <w:noWrap/>
            <w:vAlign w:val="center"/>
          </w:tcPr>
          <w:p w14:paraId="6F7EA3C0">
            <w:pPr>
              <w:adjustRightInd w:val="0"/>
              <w:snapToGrid w:val="0"/>
              <w:spacing w:line="360" w:lineRule="auto"/>
              <w:jc w:val="center"/>
              <w:rPr>
                <w:rFonts w:ascii="宋体" w:hAnsi="宋体" w:cs="宋体"/>
                <w:color w:val="auto"/>
                <w:sz w:val="24"/>
              </w:rPr>
            </w:pPr>
            <w:r>
              <w:rPr>
                <w:rFonts w:hint="eastAsia" w:ascii="宋体" w:hAnsi="宋体" w:cs="宋体"/>
                <w:color w:val="auto"/>
                <w:sz w:val="24"/>
              </w:rPr>
              <w:t>实质性条件</w:t>
            </w:r>
          </w:p>
        </w:tc>
        <w:tc>
          <w:tcPr>
            <w:tcW w:w="5535" w:type="dxa"/>
            <w:tcBorders>
              <w:tl2br w:val="nil"/>
              <w:tr2bl w:val="nil"/>
            </w:tcBorders>
            <w:noWrap/>
            <w:vAlign w:val="center"/>
          </w:tcPr>
          <w:p w14:paraId="5317FF92">
            <w:pPr>
              <w:widowControl/>
              <w:spacing w:line="360" w:lineRule="auto"/>
              <w:jc w:val="left"/>
              <w:rPr>
                <w:rFonts w:ascii="宋体" w:hAnsi="宋体" w:cs="宋体"/>
                <w:color w:val="auto"/>
                <w:sz w:val="24"/>
              </w:rPr>
            </w:pPr>
            <w:r>
              <w:rPr>
                <w:rFonts w:hint="eastAsia" w:ascii="宋体" w:hAnsi="宋体" w:cs="宋体"/>
                <w:color w:val="auto"/>
                <w:sz w:val="24"/>
              </w:rPr>
              <w:t>投标文件均实质性响应招标文件要求。</w:t>
            </w:r>
          </w:p>
        </w:tc>
      </w:tr>
      <w:tr w14:paraId="607983C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79D16B76">
            <w:pPr>
              <w:adjustRightInd w:val="0"/>
              <w:snapToGrid w:val="0"/>
              <w:spacing w:line="360" w:lineRule="auto"/>
              <w:jc w:val="center"/>
              <w:rPr>
                <w:rFonts w:ascii="宋体" w:hAnsi="宋体" w:cs="宋体"/>
                <w:color w:val="auto"/>
                <w:sz w:val="24"/>
              </w:rPr>
            </w:pPr>
            <w:r>
              <w:rPr>
                <w:rFonts w:hint="eastAsia" w:ascii="宋体" w:hAnsi="宋体" w:cs="宋体"/>
                <w:color w:val="auto"/>
                <w:sz w:val="24"/>
              </w:rPr>
              <w:t>13</w:t>
            </w:r>
          </w:p>
        </w:tc>
        <w:tc>
          <w:tcPr>
            <w:tcW w:w="3146" w:type="dxa"/>
            <w:tcBorders>
              <w:tl2br w:val="nil"/>
              <w:tr2bl w:val="nil"/>
            </w:tcBorders>
            <w:noWrap/>
            <w:vAlign w:val="center"/>
          </w:tcPr>
          <w:p w14:paraId="325754AF">
            <w:pPr>
              <w:spacing w:line="360" w:lineRule="auto"/>
              <w:jc w:val="center"/>
              <w:rPr>
                <w:rFonts w:ascii="宋体" w:hAnsi="宋体" w:cs="宋体"/>
                <w:color w:val="auto"/>
                <w:sz w:val="24"/>
              </w:rPr>
            </w:pPr>
            <w:r>
              <w:rPr>
                <w:rFonts w:hint="eastAsia" w:ascii="宋体" w:hAnsi="宋体" w:cs="宋体"/>
                <w:color w:val="auto"/>
                <w:sz w:val="24"/>
              </w:rPr>
              <w:t>其他要求</w:t>
            </w:r>
          </w:p>
        </w:tc>
        <w:tc>
          <w:tcPr>
            <w:tcW w:w="5535" w:type="dxa"/>
            <w:tcBorders>
              <w:tl2br w:val="nil"/>
              <w:tr2bl w:val="nil"/>
            </w:tcBorders>
            <w:noWrap/>
            <w:vAlign w:val="center"/>
          </w:tcPr>
          <w:p w14:paraId="42FA41F0">
            <w:pPr>
              <w:spacing w:line="360" w:lineRule="auto"/>
              <w:jc w:val="left"/>
              <w:rPr>
                <w:rFonts w:ascii="宋体" w:hAnsi="宋体" w:cs="宋体"/>
                <w:color w:val="auto"/>
                <w:sz w:val="24"/>
              </w:rPr>
            </w:pPr>
            <w:r>
              <w:rPr>
                <w:rFonts w:hint="eastAsia" w:ascii="宋体" w:hAnsi="宋体" w:cs="宋体"/>
                <w:color w:val="auto"/>
                <w:sz w:val="24"/>
              </w:rPr>
              <w:t>（1）投标文件未含有采购人不能接受的附加条件；</w:t>
            </w:r>
          </w:p>
          <w:p w14:paraId="3A150DF1">
            <w:pPr>
              <w:spacing w:line="360" w:lineRule="auto"/>
              <w:jc w:val="left"/>
              <w:rPr>
                <w:rFonts w:ascii="宋体" w:hAnsi="宋体" w:cs="宋体"/>
                <w:color w:val="auto"/>
                <w:sz w:val="24"/>
              </w:rPr>
            </w:pPr>
            <w:r>
              <w:rPr>
                <w:rFonts w:hint="eastAsia" w:ascii="宋体" w:hAnsi="宋体" w:cs="宋体"/>
                <w:color w:val="auto"/>
                <w:sz w:val="24"/>
              </w:rPr>
              <w:t>（2）无串通投标或弄虚作假或其他违法行为；</w:t>
            </w:r>
          </w:p>
          <w:p w14:paraId="4470DA96">
            <w:pPr>
              <w:spacing w:line="360" w:lineRule="auto"/>
              <w:jc w:val="left"/>
              <w:rPr>
                <w:rFonts w:ascii="宋体" w:hAnsi="宋体" w:cs="宋体"/>
                <w:color w:val="auto"/>
                <w:sz w:val="24"/>
              </w:rPr>
            </w:pPr>
            <w:r>
              <w:rPr>
                <w:rFonts w:hint="eastAsia" w:ascii="宋体" w:hAnsi="宋体" w:cs="宋体"/>
                <w:color w:val="auto"/>
                <w:sz w:val="24"/>
              </w:rPr>
              <w:t>（3）按评标委员会要求澄清、说明或补正的。</w:t>
            </w:r>
          </w:p>
        </w:tc>
      </w:tr>
    </w:tbl>
    <w:p w14:paraId="0431D5D0">
      <w:pPr>
        <w:pStyle w:val="23"/>
        <w:spacing w:beforeLines="100" w:afterLines="50"/>
        <w:ind w:left="0" w:leftChars="0" w:firstLine="0" w:firstLineChars="0"/>
        <w:jc w:val="left"/>
        <w:rPr>
          <w:rFonts w:asciiTheme="minorEastAsia" w:hAnsiTheme="minorEastAsia" w:cstheme="minorEastAsia"/>
          <w:b/>
          <w:bCs/>
          <w:color w:val="auto"/>
          <w:sz w:val="28"/>
          <w:szCs w:val="28"/>
        </w:rPr>
      </w:pPr>
      <w:r>
        <w:rPr>
          <w:rFonts w:hint="eastAsia" w:asciiTheme="minorEastAsia" w:hAnsiTheme="minorEastAsia" w:cstheme="minorEastAsia"/>
          <w:b/>
          <w:bCs/>
          <w:color w:val="auto"/>
          <w:sz w:val="28"/>
          <w:szCs w:val="28"/>
        </w:rPr>
        <w:t>（三）投标文件的澄清说明</w:t>
      </w:r>
    </w:p>
    <w:p w14:paraId="700DC60F">
      <w:pPr>
        <w:pStyle w:val="23"/>
        <w:spacing w:after="0" w:line="520" w:lineRule="exact"/>
        <w:ind w:left="0" w:leftChars="0" w:firstLine="0" w:firstLineChars="0"/>
        <w:jc w:val="left"/>
        <w:rPr>
          <w:rFonts w:ascii="宋体" w:hAnsi="宋体" w:cs="宋体"/>
          <w:b/>
          <w:bCs/>
          <w:color w:val="auto"/>
          <w:sz w:val="24"/>
          <w:szCs w:val="28"/>
        </w:rPr>
      </w:pPr>
      <w:r>
        <w:rPr>
          <w:rFonts w:ascii="宋体" w:hAnsi="宋体" w:cs="宋体"/>
          <w:b/>
          <w:bCs/>
          <w:color w:val="auto"/>
          <w:sz w:val="24"/>
          <w:szCs w:val="28"/>
        </w:rPr>
        <w:t>1.投标文件内容澄清</w:t>
      </w:r>
      <w:r>
        <w:rPr>
          <w:rFonts w:hint="eastAsia" w:ascii="宋体" w:hAnsi="宋体" w:cs="宋体"/>
          <w:b/>
          <w:bCs/>
          <w:color w:val="auto"/>
          <w:sz w:val="24"/>
          <w:szCs w:val="28"/>
        </w:rPr>
        <w:t>和补正</w:t>
      </w:r>
    </w:p>
    <w:p w14:paraId="3B322732">
      <w:pPr>
        <w:pStyle w:val="23"/>
        <w:spacing w:after="0" w:line="520" w:lineRule="exact"/>
        <w:ind w:left="0" w:leftChars="0" w:firstLine="480"/>
        <w:jc w:val="left"/>
        <w:rPr>
          <w:rFonts w:ascii="宋体" w:hAnsi="宋体" w:cs="宋体"/>
          <w:color w:val="auto"/>
          <w:sz w:val="24"/>
          <w:szCs w:val="28"/>
        </w:rPr>
      </w:pPr>
      <w:r>
        <w:rPr>
          <w:rFonts w:ascii="宋体" w:hAnsi="宋体" w:cs="宋体"/>
          <w:color w:val="auto"/>
          <w:sz w:val="24"/>
          <w:szCs w:val="28"/>
        </w:rPr>
        <w:t>对于投标文件中含义不明确、同类问题表述不一致或者有明显文字和计算错误的内容，评标委员会应当以</w:t>
      </w:r>
      <w:r>
        <w:rPr>
          <w:rFonts w:hint="eastAsia" w:ascii="宋体" w:hAnsi="宋体" w:cs="宋体"/>
          <w:color w:val="auto"/>
          <w:sz w:val="24"/>
          <w:szCs w:val="28"/>
        </w:rPr>
        <w:t>通过“政府采购云平台（https://www.zcygov.cn/）”</w:t>
      </w:r>
      <w:r>
        <w:rPr>
          <w:rFonts w:ascii="宋体" w:hAnsi="宋体" w:cs="宋体"/>
          <w:color w:val="auto"/>
          <w:sz w:val="24"/>
          <w:szCs w:val="28"/>
        </w:rPr>
        <w:t>要求投标人作出必要的澄清、说明或者补正。投标人的澄清、说明或者补正应当</w:t>
      </w:r>
      <w:r>
        <w:rPr>
          <w:rFonts w:hint="eastAsia" w:ascii="宋体" w:hAnsi="宋体" w:cs="宋体"/>
          <w:color w:val="auto"/>
          <w:sz w:val="24"/>
          <w:szCs w:val="28"/>
        </w:rPr>
        <w:t>提交至</w:t>
      </w:r>
      <w:r>
        <w:rPr>
          <w:rFonts w:ascii="宋体" w:hAnsi="宋体" w:cs="宋体"/>
          <w:color w:val="auto"/>
          <w:sz w:val="24"/>
          <w:szCs w:val="28"/>
        </w:rPr>
        <w:t xml:space="preserve">“政府采购云平台（https://www.zcygov.cn/）”。投标人的澄清、说明或者补正不得超出投标文件的范围或者改变投标文件的实质性内容。 </w:t>
      </w:r>
    </w:p>
    <w:p w14:paraId="0BC700C9">
      <w:pPr>
        <w:pStyle w:val="23"/>
        <w:spacing w:after="0" w:line="520" w:lineRule="exact"/>
        <w:ind w:left="0" w:leftChars="0" w:firstLine="0" w:firstLineChars="0"/>
        <w:jc w:val="left"/>
        <w:rPr>
          <w:rFonts w:ascii="宋体" w:hAnsi="宋体" w:cs="宋体"/>
          <w:b/>
          <w:bCs/>
          <w:color w:val="auto"/>
          <w:sz w:val="24"/>
          <w:szCs w:val="28"/>
        </w:rPr>
      </w:pPr>
      <w:r>
        <w:rPr>
          <w:rFonts w:ascii="宋体" w:hAnsi="宋体" w:cs="宋体"/>
          <w:b/>
          <w:bCs/>
          <w:color w:val="auto"/>
          <w:sz w:val="24"/>
          <w:szCs w:val="28"/>
        </w:rPr>
        <w:t xml:space="preserve">2.报价不一致情形澄清 </w:t>
      </w:r>
    </w:p>
    <w:p w14:paraId="1D7FCDA6">
      <w:pPr>
        <w:pStyle w:val="23"/>
        <w:spacing w:after="0" w:line="520" w:lineRule="exact"/>
        <w:ind w:left="0" w:leftChars="0" w:firstLine="480"/>
        <w:jc w:val="left"/>
        <w:rPr>
          <w:rFonts w:ascii="宋体" w:hAnsi="宋体" w:cs="宋体"/>
          <w:color w:val="auto"/>
          <w:sz w:val="24"/>
          <w:szCs w:val="28"/>
        </w:rPr>
      </w:pPr>
      <w:r>
        <w:rPr>
          <w:rFonts w:ascii="宋体" w:hAnsi="宋体" w:cs="宋体"/>
          <w:color w:val="auto"/>
          <w:sz w:val="24"/>
          <w:szCs w:val="28"/>
        </w:rPr>
        <w:t xml:space="preserve">投标文件报价出现前后不一致的，除招标文件另有规定外，按照下列规定修正： </w:t>
      </w:r>
    </w:p>
    <w:p w14:paraId="02BBBF8E">
      <w:pPr>
        <w:pStyle w:val="23"/>
        <w:spacing w:after="0" w:line="520" w:lineRule="exact"/>
        <w:ind w:left="0" w:leftChars="0" w:firstLine="480"/>
        <w:jc w:val="left"/>
        <w:rPr>
          <w:rFonts w:ascii="宋体" w:hAnsi="宋体" w:cs="宋体"/>
          <w:color w:val="auto"/>
          <w:sz w:val="24"/>
          <w:szCs w:val="28"/>
        </w:rPr>
      </w:pPr>
      <w:r>
        <w:rPr>
          <w:rFonts w:ascii="宋体" w:hAnsi="宋体" w:cs="宋体"/>
          <w:color w:val="auto"/>
          <w:sz w:val="24"/>
          <w:szCs w:val="28"/>
        </w:rPr>
        <w:t>(1)投标文件中《开标一览表》内容与投标文件中相应内容不一致的，以《开标一览表》为准；</w:t>
      </w:r>
    </w:p>
    <w:p w14:paraId="1DC0A83F">
      <w:pPr>
        <w:pStyle w:val="23"/>
        <w:spacing w:after="0" w:line="520" w:lineRule="exact"/>
        <w:ind w:left="0" w:leftChars="0" w:firstLine="480"/>
        <w:jc w:val="left"/>
        <w:rPr>
          <w:rFonts w:ascii="宋体" w:hAnsi="宋体" w:cs="宋体"/>
          <w:color w:val="auto"/>
          <w:sz w:val="24"/>
          <w:szCs w:val="28"/>
        </w:rPr>
      </w:pPr>
      <w:r>
        <w:rPr>
          <w:rFonts w:ascii="宋体" w:hAnsi="宋体" w:cs="宋体"/>
          <w:color w:val="auto"/>
          <w:sz w:val="24"/>
          <w:szCs w:val="28"/>
        </w:rPr>
        <w:t xml:space="preserve">(2)大写金额和小写金额不一致的，以大写金额为准； </w:t>
      </w:r>
    </w:p>
    <w:p w14:paraId="3A94DD38">
      <w:pPr>
        <w:pStyle w:val="23"/>
        <w:spacing w:after="0" w:line="520" w:lineRule="exact"/>
        <w:ind w:left="0" w:leftChars="0" w:firstLine="480"/>
        <w:jc w:val="left"/>
        <w:rPr>
          <w:rFonts w:ascii="宋体" w:hAnsi="宋体" w:cs="宋体"/>
          <w:color w:val="auto"/>
          <w:sz w:val="24"/>
          <w:szCs w:val="28"/>
        </w:rPr>
      </w:pPr>
      <w:r>
        <w:rPr>
          <w:rFonts w:ascii="宋体" w:hAnsi="宋体" w:cs="宋体"/>
          <w:color w:val="auto"/>
          <w:sz w:val="24"/>
          <w:szCs w:val="28"/>
        </w:rPr>
        <w:t xml:space="preserve">(3)单价金额小数点或者百分比有明显错位的，以开标一览表的总价为准，并修改单价； </w:t>
      </w:r>
    </w:p>
    <w:p w14:paraId="6DF30634">
      <w:pPr>
        <w:pStyle w:val="23"/>
        <w:spacing w:after="0" w:line="520" w:lineRule="exact"/>
        <w:ind w:left="0" w:leftChars="0" w:firstLine="480"/>
        <w:jc w:val="left"/>
        <w:rPr>
          <w:rFonts w:ascii="宋体" w:hAnsi="宋体" w:cs="宋体"/>
          <w:color w:val="auto"/>
          <w:sz w:val="24"/>
          <w:szCs w:val="28"/>
        </w:rPr>
      </w:pPr>
      <w:r>
        <w:rPr>
          <w:rFonts w:ascii="宋体" w:hAnsi="宋体" w:cs="宋体"/>
          <w:color w:val="auto"/>
          <w:sz w:val="24"/>
          <w:szCs w:val="28"/>
        </w:rPr>
        <w:t xml:space="preserve">(4)总价金额与按单价汇总金额不一致的，以单价金额计算结果为准。 </w:t>
      </w:r>
    </w:p>
    <w:p w14:paraId="210A6069">
      <w:pPr>
        <w:pStyle w:val="23"/>
        <w:spacing w:after="0" w:line="520" w:lineRule="exact"/>
        <w:ind w:left="0" w:leftChars="0" w:firstLine="480"/>
        <w:jc w:val="left"/>
        <w:rPr>
          <w:rFonts w:ascii="宋体" w:hAnsi="宋体" w:cs="宋体"/>
          <w:color w:val="auto"/>
          <w:sz w:val="24"/>
          <w:szCs w:val="28"/>
        </w:rPr>
      </w:pPr>
      <w:r>
        <w:rPr>
          <w:rFonts w:ascii="宋体" w:hAnsi="宋体" w:cs="宋体"/>
          <w:color w:val="auto"/>
          <w:sz w:val="24"/>
          <w:szCs w:val="28"/>
        </w:rPr>
        <w:t>同时出现两种以上不一致的，按照前款规定的顺序修正。修正后的报价按照</w:t>
      </w:r>
      <w:r>
        <w:rPr>
          <w:rFonts w:hint="eastAsia" w:ascii="宋体" w:hAnsi="宋体" w:cs="宋体"/>
          <w:color w:val="auto"/>
          <w:sz w:val="24"/>
          <w:szCs w:val="28"/>
        </w:rPr>
        <w:t>“投标人的澄清、说明或者补正应当提交至“政府采购云平台（https://www.zcygov.cn/）”。投标人的澄清、说明或者补正不得超出投标文件的范围或者改变投标文件的实质性内容。”</w:t>
      </w:r>
      <w:r>
        <w:rPr>
          <w:rFonts w:ascii="宋体" w:hAnsi="宋体" w:cs="宋体"/>
          <w:color w:val="auto"/>
          <w:sz w:val="24"/>
          <w:szCs w:val="28"/>
        </w:rPr>
        <w:t>的规定经投标人确认后产生约束力，投标人不确认的，其投标无效。</w:t>
      </w:r>
    </w:p>
    <w:p w14:paraId="0665719D">
      <w:pPr>
        <w:pStyle w:val="23"/>
        <w:spacing w:after="0" w:line="520" w:lineRule="exact"/>
        <w:ind w:left="0" w:leftChars="0" w:firstLine="0" w:firstLineChars="0"/>
        <w:jc w:val="left"/>
        <w:rPr>
          <w:rFonts w:ascii="宋体" w:hAnsi="宋体" w:cs="宋体"/>
          <w:b/>
          <w:bCs/>
          <w:color w:val="auto"/>
          <w:sz w:val="24"/>
          <w:szCs w:val="28"/>
        </w:rPr>
      </w:pPr>
      <w:r>
        <w:rPr>
          <w:rFonts w:ascii="宋体" w:hAnsi="宋体" w:cs="宋体"/>
          <w:b/>
          <w:bCs/>
          <w:color w:val="auto"/>
          <w:sz w:val="24"/>
          <w:szCs w:val="28"/>
        </w:rPr>
        <w:t xml:space="preserve">3.报价过低情形澄清 </w:t>
      </w:r>
    </w:p>
    <w:p w14:paraId="564780B0">
      <w:pPr>
        <w:pStyle w:val="23"/>
        <w:spacing w:after="0" w:line="520" w:lineRule="exact"/>
        <w:ind w:left="0" w:leftChars="0" w:firstLine="480"/>
        <w:jc w:val="left"/>
        <w:rPr>
          <w:rFonts w:ascii="宋体" w:hAnsi="宋体" w:cs="宋体"/>
          <w:color w:val="auto"/>
          <w:sz w:val="24"/>
          <w:szCs w:val="28"/>
        </w:rPr>
      </w:pPr>
      <w:r>
        <w:rPr>
          <w:rFonts w:ascii="宋体" w:hAnsi="宋体" w:cs="宋体"/>
          <w:color w:val="auto"/>
          <w:sz w:val="24"/>
          <w:szCs w:val="28"/>
        </w:rPr>
        <w:t>评标委员会认为投标人的报价(总价或单价)明显低于其他通过符合性审查投标人的报价(总价或单价)，有可能影响产品质量或者不能诚信履约的，应当要求其在合理的时间内</w:t>
      </w:r>
      <w:r>
        <w:rPr>
          <w:rFonts w:hint="eastAsia" w:ascii="宋体" w:hAnsi="宋体" w:cs="宋体"/>
          <w:color w:val="auto"/>
          <w:sz w:val="24"/>
          <w:szCs w:val="28"/>
        </w:rPr>
        <w:t>通过</w:t>
      </w:r>
      <w:r>
        <w:rPr>
          <w:rFonts w:ascii="宋体" w:hAnsi="宋体" w:cs="宋体"/>
          <w:color w:val="auto"/>
          <w:sz w:val="24"/>
          <w:szCs w:val="28"/>
        </w:rPr>
        <w:t>“政府采购云平台（https://www.zcygov.cn/）”提供书面说明，必要时提交相关证明材料；投标人不能证明其报价合理性的，评标委员会应当将其作为无效投标处理。</w:t>
      </w:r>
    </w:p>
    <w:p w14:paraId="68D52D78">
      <w:pPr>
        <w:pStyle w:val="23"/>
        <w:spacing w:beforeLines="100" w:afterLines="50"/>
        <w:ind w:left="0" w:leftChars="0" w:firstLine="0" w:firstLineChars="0"/>
        <w:jc w:val="left"/>
        <w:rPr>
          <w:rFonts w:asciiTheme="minorEastAsia" w:hAnsiTheme="minorEastAsia" w:cstheme="minorEastAsia"/>
          <w:b/>
          <w:bCs/>
          <w:color w:val="auto"/>
          <w:sz w:val="28"/>
          <w:szCs w:val="28"/>
        </w:rPr>
      </w:pPr>
      <w:r>
        <w:rPr>
          <w:rFonts w:hint="eastAsia" w:asciiTheme="minorEastAsia" w:hAnsiTheme="minorEastAsia" w:cstheme="minorEastAsia"/>
          <w:b/>
          <w:bCs/>
          <w:color w:val="auto"/>
          <w:sz w:val="28"/>
          <w:szCs w:val="28"/>
        </w:rPr>
        <w:t xml:space="preserve">（四）技术评估、综合比较与评价 </w:t>
      </w:r>
    </w:p>
    <w:p w14:paraId="0C9A3D17">
      <w:pPr>
        <w:pStyle w:val="23"/>
        <w:spacing w:after="0" w:line="520" w:lineRule="exact"/>
        <w:ind w:left="0" w:leftChars="0" w:firstLine="0" w:firstLineChars="0"/>
        <w:jc w:val="left"/>
        <w:rPr>
          <w:rFonts w:ascii="宋体" w:hAnsi="宋体" w:cs="宋体"/>
          <w:b/>
          <w:bCs/>
          <w:color w:val="auto"/>
          <w:sz w:val="24"/>
          <w:szCs w:val="28"/>
        </w:rPr>
      </w:pPr>
      <w:r>
        <w:rPr>
          <w:rFonts w:hint="eastAsia" w:ascii="宋体" w:hAnsi="宋体" w:cs="宋体"/>
          <w:b/>
          <w:bCs/>
          <w:color w:val="auto"/>
          <w:sz w:val="24"/>
          <w:szCs w:val="28"/>
        </w:rPr>
        <w:t xml:space="preserve">1.同品牌产品不同投标人的处理方式 </w:t>
      </w:r>
    </w:p>
    <w:p w14:paraId="33E91D97">
      <w:pPr>
        <w:pStyle w:val="23"/>
        <w:spacing w:after="0" w:line="520" w:lineRule="exact"/>
        <w:ind w:left="0" w:leftChars="0" w:firstLine="480"/>
        <w:jc w:val="left"/>
        <w:rPr>
          <w:rFonts w:ascii="宋体" w:hAnsi="宋体" w:cs="宋体"/>
          <w:color w:val="auto"/>
          <w:sz w:val="24"/>
          <w:szCs w:val="28"/>
        </w:rPr>
      </w:pPr>
      <w:r>
        <w:rPr>
          <w:rFonts w:hint="eastAsia" w:ascii="宋体" w:hAnsi="宋体" w:cs="宋体"/>
          <w:color w:val="auto"/>
          <w:sz w:val="24"/>
          <w:szCs w:val="28"/>
        </w:rPr>
        <w:t>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53948CBA">
      <w:pPr>
        <w:pStyle w:val="23"/>
        <w:spacing w:after="0" w:line="520" w:lineRule="exact"/>
        <w:ind w:left="0" w:leftChars="0" w:firstLine="0" w:firstLineChars="0"/>
        <w:jc w:val="left"/>
        <w:rPr>
          <w:rFonts w:hint="eastAsia" w:ascii="宋体" w:hAnsi="宋体" w:cs="宋体"/>
          <w:color w:val="auto"/>
          <w:sz w:val="24"/>
          <w:szCs w:val="28"/>
        </w:rPr>
      </w:pPr>
      <w:r>
        <w:rPr>
          <w:rFonts w:hint="eastAsia" w:ascii="宋体" w:hAnsi="宋体" w:cs="宋体"/>
          <w:color w:val="auto"/>
          <w:sz w:val="24"/>
          <w:szCs w:val="28"/>
        </w:rPr>
        <w:t>非单一产品采购项目，采购人应当根据采购项目技术构成、产品价格比重等合理确定核心产品，并在招标文件中载明。多家投标人提供的核心产品品牌相同的，按前两款规定处理。</w:t>
      </w:r>
    </w:p>
    <w:p w14:paraId="443B8586">
      <w:pPr>
        <w:pStyle w:val="23"/>
        <w:spacing w:after="0" w:line="520" w:lineRule="exact"/>
        <w:ind w:left="0" w:leftChars="0" w:firstLine="0" w:firstLineChars="0"/>
        <w:jc w:val="left"/>
        <w:rPr>
          <w:rFonts w:hint="eastAsia" w:ascii="宋体" w:hAnsi="宋体" w:cs="宋体"/>
          <w:b/>
          <w:bCs/>
          <w:color w:val="auto"/>
          <w:sz w:val="24"/>
          <w:szCs w:val="28"/>
        </w:rPr>
      </w:pPr>
      <w:r>
        <w:rPr>
          <w:rFonts w:hint="eastAsia" w:ascii="宋体" w:hAnsi="宋体" w:cs="宋体"/>
          <w:b/>
          <w:bCs/>
          <w:color w:val="auto"/>
          <w:sz w:val="24"/>
          <w:szCs w:val="28"/>
        </w:rPr>
        <w:t>本采购项目核心产品为：1200万像素电警设备、1200万像素卡口设备、终端服务器、平台支撑服务器、数据级联服务器、视频图像云存储服务器、超高清解码器。</w:t>
      </w:r>
    </w:p>
    <w:p w14:paraId="5D5BB43E">
      <w:pPr>
        <w:pStyle w:val="23"/>
        <w:spacing w:after="0" w:line="520" w:lineRule="exact"/>
        <w:ind w:left="0" w:leftChars="0" w:firstLine="0" w:firstLineChars="0"/>
        <w:jc w:val="left"/>
        <w:rPr>
          <w:rFonts w:ascii="宋体" w:hAnsi="宋体" w:cs="宋体"/>
          <w:b/>
          <w:bCs/>
          <w:color w:val="auto"/>
          <w:sz w:val="24"/>
          <w:szCs w:val="28"/>
        </w:rPr>
      </w:pPr>
      <w:r>
        <w:rPr>
          <w:rFonts w:hint="eastAsia" w:ascii="宋体" w:hAnsi="宋体" w:cs="宋体"/>
          <w:b/>
          <w:bCs/>
          <w:color w:val="auto"/>
          <w:sz w:val="24"/>
          <w:szCs w:val="28"/>
        </w:rPr>
        <w:t>2.小型和微型企业价格评分优惠政策</w:t>
      </w:r>
    </w:p>
    <w:p w14:paraId="1BD19CBC">
      <w:pPr>
        <w:pStyle w:val="23"/>
        <w:spacing w:after="0" w:line="520" w:lineRule="exact"/>
        <w:ind w:left="0" w:leftChars="0" w:firstLine="480"/>
        <w:jc w:val="left"/>
        <w:rPr>
          <w:rFonts w:ascii="宋体" w:hAnsi="宋体" w:cs="宋体"/>
          <w:color w:val="auto"/>
          <w:sz w:val="24"/>
          <w:szCs w:val="28"/>
        </w:rPr>
      </w:pPr>
      <w:r>
        <w:rPr>
          <w:rFonts w:ascii="宋体" w:hAnsi="宋体" w:cs="宋体"/>
          <w:color w:val="auto"/>
          <w:sz w:val="24"/>
          <w:szCs w:val="28"/>
        </w:rPr>
        <w:t>根据《政府采购促进中小企业发展管理办法》（财库〔2020〕46 号)、关于进一步加大政府采购支持中小企业力度的通知（财库〔2022〕19 号）的规定，对符合国家统计局《统计上大中小微型企业划分办法（2017）》规定条件</w:t>
      </w:r>
      <w:r>
        <w:rPr>
          <w:rFonts w:ascii="宋体" w:hAnsi="宋体" w:cs="宋体"/>
          <w:b/>
          <w:bCs/>
          <w:color w:val="auto"/>
          <w:sz w:val="24"/>
          <w:szCs w:val="28"/>
        </w:rPr>
        <w:t>工业</w:t>
      </w:r>
      <w:r>
        <w:rPr>
          <w:rFonts w:ascii="宋体" w:hAnsi="宋体" w:cs="宋体"/>
          <w:color w:val="auto"/>
          <w:sz w:val="24"/>
          <w:szCs w:val="28"/>
        </w:rPr>
        <w:t>行业的小微企业报价给予</w:t>
      </w:r>
      <w:r>
        <w:rPr>
          <w:rFonts w:ascii="宋体" w:hAnsi="宋体" w:cs="宋体"/>
          <w:b/>
          <w:bCs/>
          <w:color w:val="auto"/>
          <w:sz w:val="24"/>
          <w:szCs w:val="28"/>
        </w:rPr>
        <w:t>10%</w:t>
      </w:r>
      <w:r>
        <w:rPr>
          <w:rFonts w:ascii="宋体" w:hAnsi="宋体" w:cs="宋体"/>
          <w:color w:val="auto"/>
          <w:sz w:val="24"/>
          <w:szCs w:val="28"/>
        </w:rPr>
        <w:t>的扣除，用扣除后的价格参加评审。 请投标人根据《政府采购促进中小企业发展管理办法》（财库〔2020〕46 号)的规定，提供《中小企业声明函》，未提供的小微企业不享受价格评审优惠政策。投标人对《中小企业声明函》的真实性负责，如有虚假，采购人将向监管部门反映，投标人依法承担相应责任。 其他未尽事宜，按照《政府采购促进中小企业发展管理办法》（财库〔2020〕46 号)规定执行。</w:t>
      </w:r>
    </w:p>
    <w:p w14:paraId="0B759AEC">
      <w:pPr>
        <w:pStyle w:val="23"/>
        <w:spacing w:after="0" w:line="520" w:lineRule="exact"/>
        <w:ind w:left="0" w:leftChars="0" w:firstLine="0" w:firstLineChars="0"/>
        <w:jc w:val="left"/>
        <w:rPr>
          <w:rFonts w:ascii="宋体" w:hAnsi="宋体" w:cs="宋体"/>
          <w:b/>
          <w:bCs/>
          <w:color w:val="auto"/>
          <w:sz w:val="24"/>
          <w:szCs w:val="28"/>
        </w:rPr>
      </w:pPr>
      <w:r>
        <w:rPr>
          <w:rFonts w:ascii="宋体" w:hAnsi="宋体" w:cs="宋体"/>
          <w:b/>
          <w:bCs/>
          <w:color w:val="auto"/>
          <w:sz w:val="24"/>
          <w:szCs w:val="28"/>
        </w:rPr>
        <w:t xml:space="preserve">3.监狱企业评分优惠政策 </w:t>
      </w:r>
    </w:p>
    <w:p w14:paraId="20643906">
      <w:pPr>
        <w:pStyle w:val="23"/>
        <w:spacing w:after="0" w:line="520" w:lineRule="exact"/>
        <w:ind w:left="0" w:leftChars="0" w:firstLine="480"/>
        <w:jc w:val="left"/>
        <w:rPr>
          <w:rFonts w:ascii="宋体" w:hAnsi="宋体" w:cs="宋体"/>
          <w:color w:val="auto"/>
          <w:sz w:val="24"/>
          <w:szCs w:val="28"/>
        </w:rPr>
      </w:pPr>
      <w:r>
        <w:rPr>
          <w:rFonts w:ascii="宋体" w:hAnsi="宋体" w:cs="宋体"/>
          <w:color w:val="auto"/>
          <w:sz w:val="24"/>
          <w:szCs w:val="28"/>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享受价格扣除等优惠政策。</w:t>
      </w:r>
    </w:p>
    <w:p w14:paraId="5D6A06CD">
      <w:pPr>
        <w:pStyle w:val="23"/>
        <w:spacing w:after="0" w:line="520" w:lineRule="exact"/>
        <w:ind w:left="0" w:leftChars="0" w:firstLine="0" w:firstLineChars="0"/>
        <w:jc w:val="left"/>
        <w:rPr>
          <w:rFonts w:ascii="宋体" w:hAnsi="宋体" w:cs="宋体"/>
          <w:b/>
          <w:bCs/>
          <w:color w:val="auto"/>
          <w:sz w:val="24"/>
          <w:szCs w:val="28"/>
        </w:rPr>
      </w:pPr>
      <w:r>
        <w:rPr>
          <w:rFonts w:ascii="宋体" w:hAnsi="宋体" w:cs="宋体"/>
          <w:b/>
          <w:bCs/>
          <w:color w:val="auto"/>
          <w:sz w:val="24"/>
          <w:szCs w:val="28"/>
        </w:rPr>
        <w:t xml:space="preserve">4.残疾人福利性单位优惠政策 </w:t>
      </w:r>
    </w:p>
    <w:p w14:paraId="150ED980">
      <w:pPr>
        <w:pStyle w:val="23"/>
        <w:spacing w:after="0" w:line="520" w:lineRule="exact"/>
        <w:ind w:left="0" w:leftChars="0" w:firstLine="480"/>
        <w:jc w:val="left"/>
        <w:rPr>
          <w:rFonts w:ascii="宋体" w:hAnsi="宋体" w:cs="宋体"/>
          <w:color w:val="auto"/>
          <w:sz w:val="24"/>
          <w:szCs w:val="28"/>
        </w:rPr>
      </w:pPr>
      <w:r>
        <w:rPr>
          <w:rFonts w:ascii="宋体" w:hAnsi="宋体" w:cs="宋体"/>
          <w:color w:val="auto"/>
          <w:sz w:val="24"/>
          <w:szCs w:val="28"/>
        </w:rPr>
        <w:t xml:space="preserve">根据《关于促进残疾人就业政府采购政策的通知》(财库[2017]141 号)的规定，残疾人福利性单位优惠政策，残疾人福利性单位参与本项目投标时，提供《残疾人福利性单位声明函》并对声明的真实性负责，视同小型、微型企业享受价格扣除等优惠政策。投标人对《残疾人福利性单位声明函》的真实性负责，如有虚假，自行承担相应责任。 </w:t>
      </w:r>
    </w:p>
    <w:p w14:paraId="4FDFAC6F">
      <w:pPr>
        <w:pStyle w:val="23"/>
        <w:spacing w:after="0" w:line="520" w:lineRule="exact"/>
        <w:ind w:left="0" w:leftChars="0" w:firstLine="0" w:firstLineChars="0"/>
        <w:jc w:val="left"/>
        <w:rPr>
          <w:rFonts w:ascii="宋体" w:hAnsi="宋体" w:cs="宋体"/>
          <w:b/>
          <w:bCs/>
          <w:color w:val="auto"/>
          <w:sz w:val="24"/>
          <w:szCs w:val="28"/>
        </w:rPr>
      </w:pPr>
      <w:r>
        <w:rPr>
          <w:rFonts w:ascii="宋体" w:hAnsi="宋体" w:cs="宋体"/>
          <w:b/>
          <w:bCs/>
          <w:color w:val="auto"/>
          <w:sz w:val="24"/>
          <w:szCs w:val="28"/>
        </w:rPr>
        <w:t xml:space="preserve">5.节能产品及环境标志产品的优惠政策 </w:t>
      </w:r>
    </w:p>
    <w:p w14:paraId="4FCD88CC">
      <w:pPr>
        <w:pStyle w:val="23"/>
        <w:spacing w:after="0" w:line="520" w:lineRule="exact"/>
        <w:ind w:left="0" w:leftChars="0" w:firstLine="480"/>
        <w:jc w:val="left"/>
        <w:rPr>
          <w:rFonts w:ascii="宋体" w:hAnsi="宋体" w:cs="宋体"/>
          <w:color w:val="auto"/>
          <w:sz w:val="24"/>
          <w:szCs w:val="28"/>
        </w:rPr>
      </w:pPr>
      <w:r>
        <w:rPr>
          <w:rFonts w:ascii="宋体" w:hAnsi="宋体" w:cs="宋体"/>
          <w:color w:val="auto"/>
          <w:sz w:val="24"/>
          <w:szCs w:val="28"/>
        </w:rPr>
        <w:t>按照“财政部 发展改革委 生态环境部 市场监管总局 关于调整优化节能产品、环境标志产品政府采购执行机制的通知”财库〔2019〕9 号的规定执行。</w:t>
      </w:r>
    </w:p>
    <w:p w14:paraId="7407DAC3">
      <w:pPr>
        <w:pStyle w:val="23"/>
        <w:spacing w:after="0" w:line="520" w:lineRule="exact"/>
        <w:ind w:left="0" w:leftChars="0" w:firstLine="0" w:firstLineChars="0"/>
        <w:jc w:val="left"/>
        <w:rPr>
          <w:rFonts w:ascii="宋体" w:hAnsi="宋体" w:cs="宋体"/>
          <w:b/>
          <w:bCs/>
          <w:color w:val="auto"/>
          <w:sz w:val="24"/>
          <w:szCs w:val="28"/>
        </w:rPr>
      </w:pPr>
      <w:r>
        <w:rPr>
          <w:rFonts w:hint="eastAsia" w:ascii="宋体" w:hAnsi="宋体" w:cs="宋体"/>
          <w:b/>
          <w:bCs/>
          <w:color w:val="auto"/>
          <w:sz w:val="24"/>
          <w:szCs w:val="28"/>
        </w:rPr>
        <w:t>6.综合评分法</w:t>
      </w:r>
    </w:p>
    <w:p w14:paraId="29F405EB">
      <w:pPr>
        <w:autoSpaceDE w:val="0"/>
        <w:autoSpaceDN w:val="0"/>
        <w:adjustRightInd w:val="0"/>
        <w:spacing w:line="520" w:lineRule="exact"/>
        <w:ind w:firstLine="480" w:firstLineChars="200"/>
        <w:jc w:val="left"/>
        <w:rPr>
          <w:rFonts w:ascii="宋体" w:hAnsi="宋体" w:cs="宋体"/>
          <w:color w:val="auto"/>
          <w:kern w:val="0"/>
          <w:sz w:val="24"/>
          <w:szCs w:val="32"/>
        </w:rPr>
      </w:pPr>
      <w:r>
        <w:rPr>
          <w:rFonts w:hint="eastAsia" w:ascii="宋体" w:hAnsi="宋体" w:cs="宋体"/>
          <w:color w:val="auto"/>
          <w:kern w:val="0"/>
          <w:sz w:val="24"/>
          <w:szCs w:val="32"/>
        </w:rPr>
        <w:t>①评标委员会对通过符合性评审的投标文件进行评审和比较。</w:t>
      </w:r>
    </w:p>
    <w:p w14:paraId="3BEB7789">
      <w:pPr>
        <w:autoSpaceDE w:val="0"/>
        <w:autoSpaceDN w:val="0"/>
        <w:adjustRightInd w:val="0"/>
        <w:spacing w:line="520" w:lineRule="exact"/>
        <w:ind w:firstLine="480" w:firstLineChars="200"/>
        <w:jc w:val="left"/>
        <w:rPr>
          <w:rFonts w:ascii="宋体" w:hAnsi="宋体" w:cs="宋体"/>
          <w:color w:val="auto"/>
          <w:kern w:val="0"/>
          <w:sz w:val="24"/>
          <w:szCs w:val="32"/>
        </w:rPr>
      </w:pPr>
      <w:r>
        <w:rPr>
          <w:rFonts w:hint="eastAsia" w:ascii="宋体" w:hAnsi="宋体" w:cs="宋体"/>
          <w:color w:val="auto"/>
          <w:kern w:val="0"/>
          <w:sz w:val="24"/>
          <w:szCs w:val="32"/>
        </w:rPr>
        <w:t>②在评审期间，投标人不得干扰和阻碍评标工作，投标方不得向评委询问评审情况，任何影响和干扰评标工作的行为都可能导致被取消本次评标的资格，并承担相应的法律责任。</w:t>
      </w:r>
    </w:p>
    <w:p w14:paraId="22A023BF">
      <w:pPr>
        <w:autoSpaceDE w:val="0"/>
        <w:autoSpaceDN w:val="0"/>
        <w:adjustRightInd w:val="0"/>
        <w:spacing w:line="520" w:lineRule="exact"/>
        <w:ind w:firstLine="480" w:firstLineChars="200"/>
        <w:jc w:val="left"/>
        <w:rPr>
          <w:rFonts w:ascii="宋体" w:hAnsi="宋体" w:cs="宋体"/>
          <w:color w:val="auto"/>
          <w:sz w:val="24"/>
          <w:szCs w:val="32"/>
        </w:rPr>
      </w:pPr>
      <w:r>
        <w:rPr>
          <w:rFonts w:hint="eastAsia" w:ascii="宋体" w:hAnsi="宋体" w:cs="宋体"/>
          <w:color w:val="auto"/>
          <w:kern w:val="0"/>
          <w:sz w:val="24"/>
          <w:szCs w:val="32"/>
        </w:rPr>
        <w:t>③在评审过程中</w:t>
      </w:r>
      <w:r>
        <w:rPr>
          <w:rFonts w:hint="eastAsia" w:ascii="宋体" w:hAnsi="宋体" w:cs="宋体"/>
          <w:color w:val="auto"/>
          <w:sz w:val="24"/>
          <w:szCs w:val="32"/>
        </w:rPr>
        <w:t>，评委不得与投标方私下交换意见，从招标工作开始，直到授予投标方合同止，评委不得向投标方或其他无关的人员透露任何内容。否则，评委应承担法律、法规责任。</w:t>
      </w:r>
    </w:p>
    <w:p w14:paraId="74ADD997">
      <w:pPr>
        <w:autoSpaceDE w:val="0"/>
        <w:autoSpaceDN w:val="0"/>
        <w:adjustRightInd w:val="0"/>
        <w:spacing w:afterLines="50" w:line="520" w:lineRule="exact"/>
        <w:ind w:firstLine="480" w:firstLineChars="200"/>
        <w:jc w:val="left"/>
        <w:rPr>
          <w:rFonts w:ascii="宋体" w:hAnsi="宋体" w:cs="宋体"/>
          <w:color w:val="auto"/>
          <w:kern w:val="0"/>
          <w:sz w:val="24"/>
          <w:szCs w:val="32"/>
        </w:rPr>
      </w:pPr>
      <w:r>
        <w:rPr>
          <w:rFonts w:hint="eastAsia" w:ascii="宋体" w:hAnsi="宋体" w:cs="宋体"/>
          <w:color w:val="auto"/>
          <w:sz w:val="24"/>
          <w:szCs w:val="32"/>
        </w:rPr>
        <w:t>④评标方法及评分标准：</w:t>
      </w:r>
      <w:r>
        <w:rPr>
          <w:rFonts w:hint="eastAsia" w:ascii="宋体" w:hAnsi="宋体" w:cs="宋体"/>
          <w:color w:val="auto"/>
          <w:kern w:val="0"/>
          <w:sz w:val="24"/>
          <w:szCs w:val="32"/>
        </w:rPr>
        <w:t>评标采取综合评分方法进行（百分制）。</w:t>
      </w:r>
    </w:p>
    <w:tbl>
      <w:tblPr>
        <w:tblStyle w:val="25"/>
        <w:tblW w:w="9752" w:type="dxa"/>
        <w:tblInd w:w="10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3214"/>
        <w:gridCol w:w="2456"/>
        <w:gridCol w:w="3075"/>
      </w:tblGrid>
      <w:tr w14:paraId="78E117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dxa"/>
            <w:tcBorders>
              <w:tl2br w:val="nil"/>
              <w:tr2bl w:val="nil"/>
            </w:tcBorders>
            <w:noWrap/>
            <w:vAlign w:val="center"/>
          </w:tcPr>
          <w:p w14:paraId="3766F639">
            <w:pPr>
              <w:autoSpaceDE w:val="0"/>
              <w:autoSpaceDN w:val="0"/>
              <w:adjustRightInd w:val="0"/>
              <w:spacing w:line="360" w:lineRule="auto"/>
              <w:jc w:val="center"/>
              <w:rPr>
                <w:rFonts w:ascii="宋体" w:hAnsi="宋体" w:cs="宋体"/>
                <w:b/>
                <w:bCs/>
                <w:color w:val="auto"/>
                <w:sz w:val="24"/>
              </w:rPr>
            </w:pPr>
            <w:r>
              <w:rPr>
                <w:rFonts w:hint="eastAsia" w:ascii="宋体" w:hAnsi="宋体" w:cs="宋体"/>
                <w:b/>
                <w:bCs/>
                <w:color w:val="auto"/>
                <w:sz w:val="24"/>
              </w:rPr>
              <w:t>序号</w:t>
            </w:r>
          </w:p>
        </w:tc>
        <w:tc>
          <w:tcPr>
            <w:tcW w:w="3214" w:type="dxa"/>
            <w:tcBorders>
              <w:tl2br w:val="nil"/>
              <w:tr2bl w:val="nil"/>
            </w:tcBorders>
            <w:noWrap/>
            <w:vAlign w:val="center"/>
          </w:tcPr>
          <w:p w14:paraId="5317FF2D">
            <w:pPr>
              <w:autoSpaceDE w:val="0"/>
              <w:autoSpaceDN w:val="0"/>
              <w:adjustRightInd w:val="0"/>
              <w:spacing w:line="360" w:lineRule="auto"/>
              <w:jc w:val="center"/>
              <w:rPr>
                <w:rFonts w:ascii="宋体" w:hAnsi="宋体" w:cs="宋体"/>
                <w:b/>
                <w:bCs/>
                <w:color w:val="auto"/>
                <w:sz w:val="24"/>
              </w:rPr>
            </w:pPr>
            <w:r>
              <w:rPr>
                <w:rFonts w:hint="eastAsia" w:ascii="宋体" w:hAnsi="宋体" w:cs="宋体"/>
                <w:b/>
                <w:bCs/>
                <w:color w:val="auto"/>
                <w:sz w:val="24"/>
              </w:rPr>
              <w:t>评分因素</w:t>
            </w:r>
          </w:p>
        </w:tc>
        <w:tc>
          <w:tcPr>
            <w:tcW w:w="2456" w:type="dxa"/>
            <w:tcBorders>
              <w:tl2br w:val="nil"/>
              <w:tr2bl w:val="nil"/>
            </w:tcBorders>
            <w:noWrap/>
            <w:vAlign w:val="center"/>
          </w:tcPr>
          <w:p w14:paraId="2726182A">
            <w:pPr>
              <w:autoSpaceDE w:val="0"/>
              <w:autoSpaceDN w:val="0"/>
              <w:adjustRightInd w:val="0"/>
              <w:spacing w:line="360" w:lineRule="auto"/>
              <w:jc w:val="center"/>
              <w:rPr>
                <w:rFonts w:ascii="宋体" w:hAnsi="宋体" w:cs="宋体"/>
                <w:b/>
                <w:bCs/>
                <w:color w:val="auto"/>
                <w:sz w:val="24"/>
              </w:rPr>
            </w:pPr>
            <w:r>
              <w:rPr>
                <w:rFonts w:hint="eastAsia" w:ascii="宋体" w:hAnsi="宋体" w:cs="宋体"/>
                <w:b/>
                <w:bCs/>
                <w:color w:val="auto"/>
                <w:sz w:val="24"/>
              </w:rPr>
              <w:t>权重</w:t>
            </w:r>
          </w:p>
        </w:tc>
        <w:tc>
          <w:tcPr>
            <w:tcW w:w="3075" w:type="dxa"/>
            <w:tcBorders>
              <w:tl2br w:val="nil"/>
              <w:tr2bl w:val="nil"/>
            </w:tcBorders>
            <w:noWrap/>
            <w:vAlign w:val="center"/>
          </w:tcPr>
          <w:p w14:paraId="25384D57">
            <w:pPr>
              <w:autoSpaceDE w:val="0"/>
              <w:autoSpaceDN w:val="0"/>
              <w:adjustRightInd w:val="0"/>
              <w:spacing w:line="360" w:lineRule="auto"/>
              <w:jc w:val="center"/>
              <w:rPr>
                <w:rFonts w:ascii="宋体" w:hAnsi="宋体" w:cs="宋体"/>
                <w:b/>
                <w:bCs/>
                <w:color w:val="auto"/>
                <w:sz w:val="24"/>
              </w:rPr>
            </w:pPr>
            <w:r>
              <w:rPr>
                <w:rFonts w:hint="eastAsia" w:ascii="宋体" w:hAnsi="宋体" w:cs="宋体"/>
                <w:b/>
                <w:bCs/>
                <w:color w:val="auto"/>
                <w:sz w:val="24"/>
              </w:rPr>
              <w:t>分值分配</w:t>
            </w:r>
          </w:p>
        </w:tc>
      </w:tr>
      <w:tr w14:paraId="6276D27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dxa"/>
            <w:tcBorders>
              <w:tl2br w:val="nil"/>
              <w:tr2bl w:val="nil"/>
            </w:tcBorders>
            <w:noWrap/>
            <w:vAlign w:val="center"/>
          </w:tcPr>
          <w:p w14:paraId="13FF3077">
            <w:pPr>
              <w:autoSpaceDE w:val="0"/>
              <w:autoSpaceDN w:val="0"/>
              <w:adjustRightInd w:val="0"/>
              <w:spacing w:line="360" w:lineRule="auto"/>
              <w:jc w:val="center"/>
              <w:rPr>
                <w:rFonts w:ascii="宋体" w:hAnsi="宋体" w:cs="宋体"/>
                <w:color w:val="auto"/>
                <w:sz w:val="24"/>
              </w:rPr>
            </w:pPr>
            <w:r>
              <w:rPr>
                <w:rFonts w:hint="eastAsia" w:ascii="宋体" w:hAnsi="宋体" w:cs="宋体"/>
                <w:color w:val="auto"/>
                <w:sz w:val="24"/>
              </w:rPr>
              <w:t>F1</w:t>
            </w:r>
          </w:p>
        </w:tc>
        <w:tc>
          <w:tcPr>
            <w:tcW w:w="3214" w:type="dxa"/>
            <w:tcBorders>
              <w:tl2br w:val="nil"/>
              <w:tr2bl w:val="nil"/>
            </w:tcBorders>
            <w:noWrap/>
            <w:vAlign w:val="center"/>
          </w:tcPr>
          <w:p w14:paraId="7C396614">
            <w:pPr>
              <w:autoSpaceDE w:val="0"/>
              <w:autoSpaceDN w:val="0"/>
              <w:adjustRightInd w:val="0"/>
              <w:spacing w:line="360" w:lineRule="auto"/>
              <w:jc w:val="center"/>
              <w:rPr>
                <w:rFonts w:ascii="宋体" w:hAnsi="宋体" w:cs="宋体"/>
                <w:color w:val="auto"/>
                <w:sz w:val="24"/>
              </w:rPr>
            </w:pPr>
            <w:r>
              <w:rPr>
                <w:rFonts w:hint="eastAsia" w:ascii="宋体" w:hAnsi="宋体" w:cs="宋体"/>
                <w:color w:val="auto"/>
                <w:sz w:val="24"/>
              </w:rPr>
              <w:t>投标报价部分</w:t>
            </w:r>
          </w:p>
        </w:tc>
        <w:tc>
          <w:tcPr>
            <w:tcW w:w="2456" w:type="dxa"/>
            <w:tcBorders>
              <w:tl2br w:val="nil"/>
              <w:tr2bl w:val="nil"/>
            </w:tcBorders>
            <w:noWrap/>
            <w:vAlign w:val="center"/>
          </w:tcPr>
          <w:p w14:paraId="0F7E1FF2">
            <w:pPr>
              <w:autoSpaceDE w:val="0"/>
              <w:autoSpaceDN w:val="0"/>
              <w:adjustRightInd w:val="0"/>
              <w:spacing w:line="360" w:lineRule="auto"/>
              <w:jc w:val="center"/>
              <w:rPr>
                <w:rFonts w:ascii="宋体" w:hAnsi="宋体" w:cs="宋体"/>
                <w:color w:val="auto"/>
                <w:sz w:val="24"/>
              </w:rPr>
            </w:pPr>
            <w:r>
              <w:rPr>
                <w:rFonts w:hint="eastAsia" w:ascii="宋体" w:hAnsi="宋体" w:cs="宋体"/>
                <w:color w:val="auto"/>
                <w:sz w:val="24"/>
              </w:rPr>
              <w:t>0.30</w:t>
            </w:r>
          </w:p>
        </w:tc>
        <w:tc>
          <w:tcPr>
            <w:tcW w:w="3075" w:type="dxa"/>
            <w:tcBorders>
              <w:tl2br w:val="nil"/>
              <w:tr2bl w:val="nil"/>
            </w:tcBorders>
            <w:noWrap/>
            <w:vAlign w:val="center"/>
          </w:tcPr>
          <w:p w14:paraId="47045D50">
            <w:pPr>
              <w:autoSpaceDE w:val="0"/>
              <w:autoSpaceDN w:val="0"/>
              <w:adjustRightInd w:val="0"/>
              <w:spacing w:line="360" w:lineRule="auto"/>
              <w:jc w:val="center"/>
              <w:rPr>
                <w:rFonts w:ascii="宋体" w:hAnsi="宋体" w:cs="宋体"/>
                <w:color w:val="auto"/>
                <w:sz w:val="24"/>
              </w:rPr>
            </w:pPr>
            <w:r>
              <w:rPr>
                <w:rFonts w:hint="eastAsia" w:ascii="宋体" w:hAnsi="宋体" w:cs="宋体"/>
                <w:color w:val="auto"/>
                <w:sz w:val="24"/>
              </w:rPr>
              <w:t>30分</w:t>
            </w:r>
          </w:p>
        </w:tc>
      </w:tr>
      <w:tr w14:paraId="6BCFB82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dxa"/>
            <w:tcBorders>
              <w:tl2br w:val="nil"/>
              <w:tr2bl w:val="nil"/>
            </w:tcBorders>
            <w:noWrap/>
            <w:vAlign w:val="center"/>
          </w:tcPr>
          <w:p w14:paraId="6B75093F">
            <w:pPr>
              <w:autoSpaceDE w:val="0"/>
              <w:autoSpaceDN w:val="0"/>
              <w:adjustRightInd w:val="0"/>
              <w:spacing w:line="360" w:lineRule="auto"/>
              <w:jc w:val="center"/>
              <w:rPr>
                <w:rFonts w:ascii="宋体" w:hAnsi="宋体" w:cs="宋体"/>
                <w:color w:val="auto"/>
                <w:sz w:val="24"/>
              </w:rPr>
            </w:pPr>
            <w:r>
              <w:rPr>
                <w:rFonts w:hint="eastAsia" w:ascii="宋体" w:hAnsi="宋体" w:cs="宋体"/>
                <w:color w:val="auto"/>
                <w:sz w:val="24"/>
              </w:rPr>
              <w:t>F2</w:t>
            </w:r>
          </w:p>
        </w:tc>
        <w:tc>
          <w:tcPr>
            <w:tcW w:w="3214" w:type="dxa"/>
            <w:tcBorders>
              <w:tl2br w:val="nil"/>
              <w:tr2bl w:val="nil"/>
            </w:tcBorders>
            <w:noWrap/>
            <w:vAlign w:val="center"/>
          </w:tcPr>
          <w:p w14:paraId="53C84697">
            <w:pPr>
              <w:autoSpaceDE w:val="0"/>
              <w:autoSpaceDN w:val="0"/>
              <w:adjustRightInd w:val="0"/>
              <w:spacing w:line="360" w:lineRule="auto"/>
              <w:jc w:val="center"/>
              <w:rPr>
                <w:rFonts w:ascii="宋体" w:hAnsi="宋体" w:cs="宋体"/>
                <w:color w:val="auto"/>
                <w:sz w:val="24"/>
              </w:rPr>
            </w:pPr>
            <w:r>
              <w:rPr>
                <w:rFonts w:hint="eastAsia" w:ascii="宋体" w:hAnsi="宋体" w:cs="宋体"/>
                <w:color w:val="auto"/>
                <w:sz w:val="24"/>
              </w:rPr>
              <w:t>商务技术部分</w:t>
            </w:r>
          </w:p>
        </w:tc>
        <w:tc>
          <w:tcPr>
            <w:tcW w:w="2456" w:type="dxa"/>
            <w:tcBorders>
              <w:tl2br w:val="nil"/>
              <w:tr2bl w:val="nil"/>
            </w:tcBorders>
            <w:noWrap/>
            <w:vAlign w:val="center"/>
          </w:tcPr>
          <w:p w14:paraId="69A39C43">
            <w:pPr>
              <w:autoSpaceDE w:val="0"/>
              <w:autoSpaceDN w:val="0"/>
              <w:adjustRightInd w:val="0"/>
              <w:spacing w:line="360" w:lineRule="auto"/>
              <w:jc w:val="center"/>
              <w:rPr>
                <w:rFonts w:ascii="宋体" w:hAnsi="宋体" w:cs="宋体"/>
                <w:color w:val="auto"/>
                <w:sz w:val="24"/>
              </w:rPr>
            </w:pPr>
            <w:r>
              <w:rPr>
                <w:rFonts w:hint="eastAsia" w:ascii="宋体" w:hAnsi="宋体" w:cs="宋体"/>
                <w:color w:val="auto"/>
                <w:sz w:val="24"/>
              </w:rPr>
              <w:t>0.70</w:t>
            </w:r>
          </w:p>
        </w:tc>
        <w:tc>
          <w:tcPr>
            <w:tcW w:w="3075" w:type="dxa"/>
            <w:tcBorders>
              <w:tl2br w:val="nil"/>
              <w:tr2bl w:val="nil"/>
            </w:tcBorders>
            <w:noWrap/>
            <w:vAlign w:val="center"/>
          </w:tcPr>
          <w:p w14:paraId="5E05C091">
            <w:pPr>
              <w:autoSpaceDE w:val="0"/>
              <w:autoSpaceDN w:val="0"/>
              <w:adjustRightInd w:val="0"/>
              <w:spacing w:line="360" w:lineRule="auto"/>
              <w:jc w:val="center"/>
              <w:rPr>
                <w:rFonts w:ascii="宋体" w:hAnsi="宋体" w:cs="宋体"/>
                <w:color w:val="auto"/>
                <w:sz w:val="24"/>
              </w:rPr>
            </w:pPr>
            <w:r>
              <w:rPr>
                <w:rFonts w:hint="eastAsia" w:ascii="宋体" w:hAnsi="宋体" w:cs="宋体"/>
                <w:color w:val="auto"/>
                <w:sz w:val="24"/>
              </w:rPr>
              <w:t>70分</w:t>
            </w:r>
          </w:p>
        </w:tc>
      </w:tr>
      <w:tr w14:paraId="16F0F85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21" w:type="dxa"/>
            <w:gridSpan w:val="2"/>
            <w:tcBorders>
              <w:tl2br w:val="nil"/>
              <w:tr2bl w:val="nil"/>
            </w:tcBorders>
            <w:noWrap/>
            <w:vAlign w:val="center"/>
          </w:tcPr>
          <w:p w14:paraId="5F577D8F">
            <w:pPr>
              <w:autoSpaceDE w:val="0"/>
              <w:autoSpaceDN w:val="0"/>
              <w:adjustRightInd w:val="0"/>
              <w:spacing w:line="360" w:lineRule="auto"/>
              <w:jc w:val="center"/>
              <w:rPr>
                <w:rFonts w:ascii="宋体" w:hAnsi="宋体" w:cs="宋体"/>
                <w:b/>
                <w:bCs/>
                <w:color w:val="auto"/>
                <w:sz w:val="24"/>
              </w:rPr>
            </w:pPr>
            <w:r>
              <w:rPr>
                <w:rFonts w:hint="eastAsia" w:ascii="宋体" w:hAnsi="宋体" w:cs="宋体"/>
                <w:b/>
                <w:bCs/>
                <w:color w:val="auto"/>
                <w:sz w:val="24"/>
              </w:rPr>
              <w:t>合计</w:t>
            </w:r>
          </w:p>
        </w:tc>
        <w:tc>
          <w:tcPr>
            <w:tcW w:w="2456" w:type="dxa"/>
            <w:tcBorders>
              <w:tl2br w:val="nil"/>
              <w:tr2bl w:val="nil"/>
            </w:tcBorders>
            <w:noWrap/>
            <w:vAlign w:val="center"/>
          </w:tcPr>
          <w:p w14:paraId="05B71099">
            <w:pPr>
              <w:autoSpaceDE w:val="0"/>
              <w:autoSpaceDN w:val="0"/>
              <w:adjustRightInd w:val="0"/>
              <w:spacing w:line="360" w:lineRule="auto"/>
              <w:jc w:val="center"/>
              <w:rPr>
                <w:rFonts w:ascii="宋体" w:hAnsi="宋体" w:cs="宋体"/>
                <w:b/>
                <w:bCs/>
                <w:color w:val="auto"/>
                <w:sz w:val="24"/>
              </w:rPr>
            </w:pPr>
            <w:r>
              <w:rPr>
                <w:rFonts w:hint="eastAsia" w:ascii="宋体" w:hAnsi="宋体" w:cs="宋体"/>
                <w:b/>
                <w:bCs/>
                <w:color w:val="auto"/>
                <w:sz w:val="24"/>
              </w:rPr>
              <w:t>1</w:t>
            </w:r>
          </w:p>
        </w:tc>
        <w:tc>
          <w:tcPr>
            <w:tcW w:w="3075" w:type="dxa"/>
            <w:tcBorders>
              <w:tl2br w:val="nil"/>
              <w:tr2bl w:val="nil"/>
            </w:tcBorders>
            <w:noWrap/>
            <w:vAlign w:val="center"/>
          </w:tcPr>
          <w:p w14:paraId="60838515">
            <w:pPr>
              <w:autoSpaceDE w:val="0"/>
              <w:autoSpaceDN w:val="0"/>
              <w:adjustRightInd w:val="0"/>
              <w:spacing w:line="360" w:lineRule="auto"/>
              <w:jc w:val="center"/>
              <w:rPr>
                <w:rFonts w:ascii="宋体" w:hAnsi="宋体" w:cs="宋体"/>
                <w:b/>
                <w:bCs/>
                <w:color w:val="auto"/>
                <w:sz w:val="24"/>
              </w:rPr>
            </w:pPr>
            <w:r>
              <w:rPr>
                <w:rFonts w:hint="eastAsia" w:ascii="宋体" w:hAnsi="宋体" w:cs="宋体"/>
                <w:b/>
                <w:bCs/>
                <w:color w:val="auto"/>
                <w:sz w:val="24"/>
              </w:rPr>
              <w:t>100分</w:t>
            </w:r>
          </w:p>
        </w:tc>
      </w:tr>
    </w:tbl>
    <w:tbl>
      <w:tblPr>
        <w:tblStyle w:val="25"/>
        <w:tblpPr w:leftFromText="180" w:rightFromText="180" w:vertAnchor="text" w:horzAnchor="page" w:tblpX="1187" w:tblpY="617"/>
        <w:tblOverlap w:val="never"/>
        <w:tblW w:w="9716"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180"/>
        <w:gridCol w:w="948"/>
        <w:gridCol w:w="818"/>
        <w:gridCol w:w="5904"/>
      </w:tblGrid>
      <w:tr w14:paraId="27545ED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866" w:type="dxa"/>
            <w:tcBorders>
              <w:tl2br w:val="nil"/>
              <w:tr2bl w:val="nil"/>
            </w:tcBorders>
            <w:noWrap/>
            <w:vAlign w:val="center"/>
          </w:tcPr>
          <w:p w14:paraId="14E3EE03">
            <w:pPr>
              <w:autoSpaceDE w:val="0"/>
              <w:autoSpaceDN w:val="0"/>
              <w:adjustRightInd w:val="0"/>
              <w:spacing w:line="360" w:lineRule="auto"/>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序号</w:t>
            </w:r>
          </w:p>
        </w:tc>
        <w:tc>
          <w:tcPr>
            <w:tcW w:w="1180" w:type="dxa"/>
            <w:tcBorders>
              <w:tl2br w:val="nil"/>
              <w:tr2bl w:val="nil"/>
            </w:tcBorders>
            <w:noWrap/>
            <w:vAlign w:val="center"/>
          </w:tcPr>
          <w:p w14:paraId="561A1C79">
            <w:pPr>
              <w:autoSpaceDE w:val="0"/>
              <w:autoSpaceDN w:val="0"/>
              <w:adjustRightInd w:val="0"/>
              <w:spacing w:line="360" w:lineRule="auto"/>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评分因素</w:t>
            </w:r>
          </w:p>
        </w:tc>
        <w:tc>
          <w:tcPr>
            <w:tcW w:w="1766" w:type="dxa"/>
            <w:gridSpan w:val="2"/>
            <w:tcBorders>
              <w:tl2br w:val="nil"/>
              <w:tr2bl w:val="nil"/>
            </w:tcBorders>
            <w:noWrap/>
            <w:vAlign w:val="center"/>
          </w:tcPr>
          <w:p w14:paraId="2076B48C">
            <w:pPr>
              <w:autoSpaceDE w:val="0"/>
              <w:autoSpaceDN w:val="0"/>
              <w:adjustRightInd w:val="0"/>
              <w:spacing w:line="360" w:lineRule="auto"/>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分值</w:t>
            </w:r>
          </w:p>
        </w:tc>
        <w:tc>
          <w:tcPr>
            <w:tcW w:w="5904" w:type="dxa"/>
            <w:tcBorders>
              <w:tl2br w:val="nil"/>
              <w:tr2bl w:val="nil"/>
            </w:tcBorders>
            <w:noWrap/>
            <w:vAlign w:val="center"/>
          </w:tcPr>
          <w:p w14:paraId="614CA657">
            <w:pPr>
              <w:autoSpaceDE w:val="0"/>
              <w:autoSpaceDN w:val="0"/>
              <w:adjustRightInd w:val="0"/>
              <w:spacing w:line="360" w:lineRule="auto"/>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评审标准</w:t>
            </w:r>
          </w:p>
        </w:tc>
      </w:tr>
      <w:tr w14:paraId="1CBC595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66" w:type="dxa"/>
            <w:tcBorders>
              <w:tl2br w:val="nil"/>
              <w:tr2bl w:val="nil"/>
            </w:tcBorders>
            <w:noWrap/>
            <w:vAlign w:val="center"/>
          </w:tcPr>
          <w:p w14:paraId="1167AD76">
            <w:pPr>
              <w:autoSpaceDE w:val="0"/>
              <w:autoSpaceDN w:val="0"/>
              <w:adjustRightInd w:val="0"/>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F1</w:t>
            </w:r>
          </w:p>
        </w:tc>
        <w:tc>
          <w:tcPr>
            <w:tcW w:w="1180" w:type="dxa"/>
            <w:tcBorders>
              <w:tl2br w:val="nil"/>
              <w:tr2bl w:val="nil"/>
            </w:tcBorders>
            <w:noWrap/>
            <w:vAlign w:val="center"/>
          </w:tcPr>
          <w:p w14:paraId="2AD95917">
            <w:pPr>
              <w:autoSpaceDE w:val="0"/>
              <w:autoSpaceDN w:val="0"/>
              <w:adjustRightInd w:val="0"/>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投标报价部分</w:t>
            </w:r>
          </w:p>
        </w:tc>
        <w:tc>
          <w:tcPr>
            <w:tcW w:w="1766" w:type="dxa"/>
            <w:gridSpan w:val="2"/>
            <w:tcBorders>
              <w:tl2br w:val="nil"/>
              <w:tr2bl w:val="nil"/>
            </w:tcBorders>
            <w:noWrap/>
            <w:vAlign w:val="center"/>
          </w:tcPr>
          <w:p w14:paraId="1D634B10">
            <w:pPr>
              <w:autoSpaceDE w:val="0"/>
              <w:autoSpaceDN w:val="0"/>
              <w:adjustRightInd w:val="0"/>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30分</w:t>
            </w:r>
          </w:p>
        </w:tc>
        <w:tc>
          <w:tcPr>
            <w:tcW w:w="5904" w:type="dxa"/>
            <w:tcBorders>
              <w:tl2br w:val="nil"/>
              <w:tr2bl w:val="nil"/>
            </w:tcBorders>
            <w:noWrap/>
            <w:vAlign w:val="center"/>
          </w:tcPr>
          <w:p w14:paraId="63A66E04">
            <w:pPr>
              <w:autoSpaceDE w:val="0"/>
              <w:autoSpaceDN w:val="0"/>
              <w:adjustRightInd w:val="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①投标报价得分＝（评标基准价/投标报价）×投标报价分值；</w:t>
            </w:r>
          </w:p>
          <w:p w14:paraId="2A4BD935">
            <w:pPr>
              <w:autoSpaceDE w:val="0"/>
              <w:autoSpaceDN w:val="0"/>
              <w:adjustRightIn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②评标基准价</w:t>
            </w:r>
            <w:r>
              <w:rPr>
                <w:rFonts w:hint="eastAsia" w:asciiTheme="minorEastAsia" w:hAnsiTheme="minorEastAsia" w:eastAsiaTheme="minorEastAsia" w:cstheme="minorEastAsia"/>
                <w:color w:val="auto"/>
                <w:sz w:val="24"/>
                <w:szCs w:val="24"/>
              </w:rPr>
              <w:t>＝满足招标文件要求且投标价格最低的投标报价为评标基准价。</w:t>
            </w:r>
          </w:p>
          <w:p w14:paraId="130A504C">
            <w:pPr>
              <w:autoSpaceDE w:val="0"/>
              <w:autoSpaceDN w:val="0"/>
              <w:adjustRightInd w:val="0"/>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注：根据国家统计局关于印发《统计上大中小微型企业划分办法（2017）》的通知（国统字〔2017〕213号）、政府采购促进中小企业发展管理办法（财库﹝2020﹞46 号）及《财政部关于进一步加大政府采购支持中小企业力度的通知》（财库﹝2022﹞19 号）的规定，对符合条件的小型和微型企业，在投标报价评分时给予10%的价格扣除，须提供中小企业声明函，用扣除后的价格参与投标报价评分。监狱企业、残疾人福利性单位视同小型、微型企业，若监狱企业、残疾人福利性单位属于小型、微型企业的，不重复享受政策。</w:t>
            </w:r>
          </w:p>
          <w:p w14:paraId="41EB3F54">
            <w:pPr>
              <w:autoSpaceDE w:val="0"/>
              <w:autoSpaceDN w:val="0"/>
              <w:adjustRightIn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根据《政府采购促进中小企业发展管理办法》财库〔2020〕46号第四条第一款规定，在政府采购活动中，投标人提供的货物、工程或者服务符合下列情形的，享受本办法规定的中小企业扶持政策： </w:t>
            </w:r>
          </w:p>
          <w:p w14:paraId="1C8DC040">
            <w:pPr>
              <w:autoSpaceDE w:val="0"/>
              <w:autoSpaceDN w:val="0"/>
              <w:adjustRightIn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③在货物采购项目中，货物由中小企业制造</w:t>
            </w:r>
            <w:r>
              <w:rPr>
                <w:rFonts w:hint="eastAsia" w:asciiTheme="minorEastAsia" w:hAnsiTheme="minorEastAsia" w:eastAsiaTheme="minorEastAsia" w:cstheme="minorEastAsia"/>
                <w:color w:val="auto"/>
                <w:sz w:val="24"/>
                <w:szCs w:val="24"/>
              </w:rPr>
              <w:t>，即货物由中小企业生产且使用该中小企业商号或者注册商标。</w:t>
            </w:r>
          </w:p>
          <w:p w14:paraId="0CAD872E">
            <w:pPr>
              <w:autoSpaceDE w:val="0"/>
              <w:autoSpaceDN w:val="0"/>
              <w:adjustRightIn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在货物采购项目中，投标人提供的货物既有中小企业制造货物，也有大型企业制造货物的，不享受本办法规定的中小企业扶持政策。</w:t>
            </w:r>
          </w:p>
        </w:tc>
      </w:tr>
      <w:tr w14:paraId="0FEEACA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66" w:type="dxa"/>
            <w:vMerge w:val="restart"/>
            <w:tcBorders>
              <w:tl2br w:val="nil"/>
              <w:tr2bl w:val="nil"/>
            </w:tcBorders>
            <w:noWrap/>
            <w:vAlign w:val="center"/>
          </w:tcPr>
          <w:p w14:paraId="72100491">
            <w:pPr>
              <w:autoSpaceDE w:val="0"/>
              <w:autoSpaceDN w:val="0"/>
              <w:adjustRightInd w:val="0"/>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F2</w:t>
            </w:r>
          </w:p>
        </w:tc>
        <w:tc>
          <w:tcPr>
            <w:tcW w:w="1180" w:type="dxa"/>
            <w:vMerge w:val="restart"/>
            <w:tcBorders>
              <w:tl2br w:val="nil"/>
              <w:tr2bl w:val="nil"/>
            </w:tcBorders>
            <w:noWrap/>
            <w:vAlign w:val="center"/>
          </w:tcPr>
          <w:p w14:paraId="38DF62AD">
            <w:pPr>
              <w:autoSpaceDE w:val="0"/>
              <w:autoSpaceDN w:val="0"/>
              <w:adjustRightInd w:val="0"/>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商务技术部分</w:t>
            </w:r>
          </w:p>
        </w:tc>
        <w:tc>
          <w:tcPr>
            <w:tcW w:w="948" w:type="dxa"/>
            <w:tcBorders>
              <w:tl2br w:val="nil"/>
              <w:tr2bl w:val="nil"/>
            </w:tcBorders>
            <w:noWrap/>
            <w:vAlign w:val="center"/>
          </w:tcPr>
          <w:p w14:paraId="2DB1D0F6">
            <w:pPr>
              <w:autoSpaceDE w:val="0"/>
              <w:autoSpaceDN w:val="0"/>
              <w:adjustRightInd w:val="0"/>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技术参数评审</w:t>
            </w:r>
          </w:p>
        </w:tc>
        <w:tc>
          <w:tcPr>
            <w:tcW w:w="818" w:type="dxa"/>
            <w:tcBorders>
              <w:tl2br w:val="nil"/>
              <w:tr2bl w:val="nil"/>
            </w:tcBorders>
            <w:noWrap/>
            <w:vAlign w:val="center"/>
          </w:tcPr>
          <w:p w14:paraId="755888F5">
            <w:pPr>
              <w:autoSpaceDE w:val="0"/>
              <w:autoSpaceDN w:val="0"/>
              <w:adjustRightIn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分</w:t>
            </w:r>
          </w:p>
        </w:tc>
        <w:tc>
          <w:tcPr>
            <w:tcW w:w="5904" w:type="dxa"/>
            <w:tcBorders>
              <w:tl2br w:val="nil"/>
              <w:tr2bl w:val="nil"/>
            </w:tcBorders>
            <w:noWrap/>
            <w:vAlign w:val="center"/>
          </w:tcPr>
          <w:p w14:paraId="771BC730">
            <w:pPr>
              <w:autoSpaceDE w:val="0"/>
              <w:autoSpaceDN w:val="0"/>
              <w:adjustRightIn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对投标人所提供的全部货物技术参数、规格对招标文件要求性能参数指标响应的程度评审：（满分3</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分）</w:t>
            </w:r>
          </w:p>
          <w:p w14:paraId="7D64B878">
            <w:pPr>
              <w:autoSpaceDE w:val="0"/>
              <w:autoSpaceDN w:val="0"/>
              <w:adjustRightIn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根据招标文件第五章采购需求中的技术参数：</w:t>
            </w:r>
          </w:p>
          <w:p w14:paraId="7A1221F6">
            <w:pPr>
              <w:autoSpaceDE w:val="0"/>
              <w:autoSpaceDN w:val="0"/>
              <w:adjustRightInd w:val="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一、重要技术条款（满分</w:t>
            </w:r>
            <w:r>
              <w:rPr>
                <w:rFonts w:hint="eastAsia" w:asciiTheme="minorEastAsia" w:hAnsiTheme="minorEastAsia" w:eastAsiaTheme="minorEastAsia" w:cstheme="minorEastAsia"/>
                <w:b/>
                <w:bCs/>
                <w:color w:val="auto"/>
                <w:sz w:val="24"/>
                <w:szCs w:val="24"/>
                <w:highlight w:val="none"/>
                <w:lang w:val="en-US" w:eastAsia="zh-CN"/>
              </w:rPr>
              <w:t>30</w:t>
            </w:r>
            <w:r>
              <w:rPr>
                <w:rFonts w:hint="eastAsia" w:asciiTheme="minorEastAsia" w:hAnsiTheme="minorEastAsia" w:eastAsiaTheme="minorEastAsia" w:cstheme="minorEastAsia"/>
                <w:b/>
                <w:bCs/>
                <w:color w:val="auto"/>
                <w:sz w:val="24"/>
                <w:szCs w:val="24"/>
                <w:highlight w:val="none"/>
              </w:rPr>
              <w:t>分）</w:t>
            </w:r>
          </w:p>
          <w:p w14:paraId="62530EAE">
            <w:pPr>
              <w:autoSpaceDE w:val="0"/>
              <w:autoSpaceDN w:val="0"/>
              <w:adjustRightInd w:val="0"/>
              <w:spacing w:line="360" w:lineRule="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标注星号（“★”）的条款为重要技术条款，负偏离一条</w:t>
            </w:r>
            <w:r>
              <w:rPr>
                <w:rFonts w:hint="eastAsia" w:asciiTheme="minorEastAsia" w:hAnsiTheme="minorEastAsia" w:eastAsiaTheme="minorEastAsia" w:cstheme="minorEastAsia"/>
                <w:b/>
                <w:bCs/>
                <w:color w:val="auto"/>
                <w:sz w:val="24"/>
                <w:szCs w:val="24"/>
                <w:highlight w:val="none"/>
              </w:rPr>
              <w:t>扣</w:t>
            </w:r>
            <w:r>
              <w:rPr>
                <w:rFonts w:hint="eastAsia" w:asciiTheme="minorEastAsia" w:hAnsiTheme="minorEastAsia" w:eastAsiaTheme="minorEastAsia" w:cstheme="minorEastAsia"/>
                <w:b/>
                <w:bCs/>
                <w:color w:val="auto"/>
                <w:sz w:val="24"/>
                <w:szCs w:val="24"/>
                <w:highlight w:val="none"/>
                <w:lang w:val="en-US" w:eastAsia="zh-CN"/>
              </w:rPr>
              <w:t>1.25</w:t>
            </w:r>
            <w:r>
              <w:rPr>
                <w:rFonts w:hint="eastAsia" w:asciiTheme="minorEastAsia" w:hAnsiTheme="minorEastAsia" w:eastAsiaTheme="minorEastAsia" w:cstheme="minorEastAsia"/>
                <w:b/>
                <w:bCs/>
                <w:color w:val="auto"/>
                <w:sz w:val="24"/>
                <w:szCs w:val="24"/>
                <w:highlight w:val="none"/>
              </w:rPr>
              <w:t>分</w:t>
            </w:r>
            <w:r>
              <w:rPr>
                <w:rFonts w:hint="eastAsia" w:asciiTheme="minorEastAsia" w:hAnsiTheme="minorEastAsia" w:eastAsiaTheme="minorEastAsia" w:cstheme="minorEastAsia"/>
                <w:color w:val="auto"/>
                <w:sz w:val="24"/>
                <w:szCs w:val="24"/>
                <w:highlight w:val="none"/>
              </w:rPr>
              <w:t>，分数扣完为止；</w:t>
            </w:r>
            <w:r>
              <w:rPr>
                <w:rFonts w:hint="eastAsia" w:asciiTheme="minorEastAsia" w:hAnsiTheme="minorEastAsia" w:eastAsiaTheme="minorEastAsia" w:cstheme="minorEastAsia"/>
                <w:b/>
                <w:bCs/>
                <w:color w:val="auto"/>
                <w:sz w:val="24"/>
                <w:szCs w:val="24"/>
                <w:highlight w:val="none"/>
              </w:rPr>
              <w:t>（★号条款共</w:t>
            </w:r>
            <w:r>
              <w:rPr>
                <w:rFonts w:hint="eastAsia" w:asciiTheme="minorEastAsia" w:hAnsiTheme="minorEastAsia" w:eastAsiaTheme="minorEastAsia" w:cstheme="minorEastAsia"/>
                <w:b/>
                <w:bCs/>
                <w:color w:val="auto"/>
                <w:sz w:val="24"/>
                <w:szCs w:val="24"/>
                <w:highlight w:val="none"/>
                <w:lang w:val="en-US" w:eastAsia="zh-CN"/>
              </w:rPr>
              <w:t>24</w:t>
            </w:r>
            <w:r>
              <w:rPr>
                <w:rFonts w:hint="eastAsia" w:asciiTheme="minorEastAsia" w:hAnsiTheme="minorEastAsia" w:eastAsiaTheme="minorEastAsia" w:cstheme="minorEastAsia"/>
                <w:b/>
                <w:bCs/>
                <w:color w:val="auto"/>
                <w:sz w:val="24"/>
                <w:szCs w:val="24"/>
                <w:highlight w:val="none"/>
              </w:rPr>
              <w:t>条）</w:t>
            </w:r>
            <w:r>
              <w:rPr>
                <w:rFonts w:hint="eastAsia" w:asciiTheme="minorEastAsia" w:hAnsiTheme="minorEastAsia" w:eastAsiaTheme="minorEastAsia" w:cstheme="minorEastAsia"/>
                <w:b/>
                <w:bCs/>
                <w:color w:val="auto"/>
                <w:sz w:val="24"/>
                <w:szCs w:val="24"/>
                <w:highlight w:val="none"/>
                <w:lang w:eastAsia="zh-CN"/>
              </w:rPr>
              <w:t>；</w:t>
            </w:r>
          </w:p>
          <w:p w14:paraId="281A8D10">
            <w:pPr>
              <w:autoSpaceDE w:val="0"/>
              <w:autoSpaceDN w:val="0"/>
              <w:adjustRightInd w:val="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二、一般技术条款（满分5分）</w:t>
            </w:r>
          </w:p>
          <w:p w14:paraId="1E8E469C">
            <w:pPr>
              <w:autoSpaceDE w:val="0"/>
              <w:autoSpaceDN w:val="0"/>
              <w:adjustRightInd w:val="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未标注星号（“★”）的条款为一般技术条款，负偏离一条</w:t>
            </w:r>
            <w:r>
              <w:rPr>
                <w:rFonts w:hint="eastAsia" w:asciiTheme="minorEastAsia" w:hAnsiTheme="minorEastAsia" w:eastAsiaTheme="minorEastAsia" w:cstheme="minorEastAsia"/>
                <w:b/>
                <w:bCs/>
                <w:color w:val="auto"/>
                <w:sz w:val="24"/>
                <w:szCs w:val="24"/>
                <w:highlight w:val="none"/>
              </w:rPr>
              <w:t>扣0.</w:t>
            </w:r>
            <w:r>
              <w:rPr>
                <w:rFonts w:hint="eastAsia" w:asciiTheme="minorEastAsia" w:hAnsiTheme="minorEastAsia" w:eastAsiaTheme="minorEastAsia" w:cstheme="minorEastAsia"/>
                <w:b/>
                <w:bCs/>
                <w:color w:val="auto"/>
                <w:sz w:val="24"/>
                <w:szCs w:val="24"/>
                <w:highlight w:val="none"/>
                <w:lang w:val="en-US" w:eastAsia="zh-CN"/>
              </w:rPr>
              <w:t>2</w:t>
            </w:r>
            <w:r>
              <w:rPr>
                <w:rFonts w:hint="eastAsia" w:asciiTheme="minorEastAsia" w:hAnsiTheme="minorEastAsia" w:eastAsiaTheme="minorEastAsia" w:cstheme="minorEastAsia"/>
                <w:b/>
                <w:bCs/>
                <w:color w:val="auto"/>
                <w:sz w:val="24"/>
                <w:szCs w:val="24"/>
                <w:highlight w:val="none"/>
              </w:rPr>
              <w:t>分</w:t>
            </w:r>
            <w:r>
              <w:rPr>
                <w:rFonts w:hint="eastAsia" w:asciiTheme="minorEastAsia" w:hAnsiTheme="minorEastAsia" w:eastAsiaTheme="minorEastAsia" w:cstheme="minorEastAsia"/>
                <w:color w:val="auto"/>
                <w:sz w:val="24"/>
                <w:szCs w:val="24"/>
                <w:highlight w:val="none"/>
              </w:rPr>
              <w:t>，分数扣完为止；</w:t>
            </w:r>
          </w:p>
          <w:p w14:paraId="238DAF1D">
            <w:pPr>
              <w:autoSpaceDE w:val="0"/>
              <w:autoSpaceDN w:val="0"/>
              <w:adjustRightIn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注：投标人除如实填写技术规格偏离表外，第五章采购需求中所示标注“★”的重要技术参数，投标文件中必须按要求提供</w:t>
            </w:r>
            <w:r>
              <w:rPr>
                <w:rFonts w:hint="eastAsia" w:asciiTheme="minorEastAsia" w:hAnsiTheme="minorEastAsia" w:eastAsiaTheme="minorEastAsia" w:cstheme="minorEastAsia"/>
                <w:color w:val="auto"/>
                <w:sz w:val="24"/>
                <w:szCs w:val="24"/>
                <w:highlight w:val="none"/>
                <w:lang w:val="en-US" w:eastAsia="zh-CN"/>
              </w:rPr>
              <w:t>公安部</w:t>
            </w:r>
            <w:r>
              <w:rPr>
                <w:rFonts w:hint="eastAsia" w:asciiTheme="minorEastAsia" w:hAnsiTheme="minorEastAsia" w:eastAsiaTheme="minorEastAsia" w:cstheme="minorEastAsia"/>
                <w:color w:val="auto"/>
                <w:sz w:val="24"/>
                <w:szCs w:val="24"/>
                <w:highlight w:val="none"/>
              </w:rPr>
              <w:t>相关检测机构出具的检测报告证明，若投标人未按招标文件要求提供证明文件或提供的证明文件不满足，该项技术指标要求视为不满足。</w:t>
            </w:r>
          </w:p>
        </w:tc>
      </w:tr>
      <w:tr w14:paraId="143FC12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66" w:type="dxa"/>
            <w:vMerge w:val="continue"/>
            <w:tcBorders>
              <w:tl2br w:val="nil"/>
              <w:tr2bl w:val="nil"/>
            </w:tcBorders>
            <w:noWrap/>
            <w:vAlign w:val="center"/>
          </w:tcPr>
          <w:p w14:paraId="37A5D6AC">
            <w:pPr>
              <w:autoSpaceDE w:val="0"/>
              <w:autoSpaceDN w:val="0"/>
              <w:adjustRightInd w:val="0"/>
              <w:spacing w:line="360" w:lineRule="auto"/>
              <w:jc w:val="center"/>
              <w:rPr>
                <w:rFonts w:hint="eastAsia" w:asciiTheme="minorEastAsia" w:hAnsiTheme="minorEastAsia" w:eastAsiaTheme="minorEastAsia" w:cstheme="minorEastAsia"/>
                <w:color w:val="auto"/>
                <w:sz w:val="24"/>
                <w:szCs w:val="24"/>
              </w:rPr>
            </w:pPr>
          </w:p>
        </w:tc>
        <w:tc>
          <w:tcPr>
            <w:tcW w:w="1180" w:type="dxa"/>
            <w:vMerge w:val="continue"/>
            <w:tcBorders>
              <w:tl2br w:val="nil"/>
              <w:tr2bl w:val="nil"/>
            </w:tcBorders>
            <w:noWrap/>
            <w:vAlign w:val="center"/>
          </w:tcPr>
          <w:p w14:paraId="43043DE1">
            <w:pPr>
              <w:autoSpaceDE w:val="0"/>
              <w:autoSpaceDN w:val="0"/>
              <w:adjustRightInd w:val="0"/>
              <w:spacing w:line="360" w:lineRule="auto"/>
              <w:jc w:val="center"/>
              <w:rPr>
                <w:rFonts w:hint="eastAsia" w:asciiTheme="minorEastAsia" w:hAnsiTheme="minorEastAsia" w:eastAsiaTheme="minorEastAsia" w:cstheme="minorEastAsia"/>
                <w:color w:val="auto"/>
                <w:sz w:val="24"/>
                <w:szCs w:val="24"/>
              </w:rPr>
            </w:pPr>
          </w:p>
        </w:tc>
        <w:tc>
          <w:tcPr>
            <w:tcW w:w="948" w:type="dxa"/>
            <w:tcBorders>
              <w:tl2br w:val="nil"/>
              <w:tr2bl w:val="nil"/>
            </w:tcBorders>
            <w:noWrap/>
            <w:vAlign w:val="center"/>
          </w:tcPr>
          <w:p w14:paraId="26C3087C">
            <w:pPr>
              <w:autoSpaceDE w:val="0"/>
              <w:autoSpaceDN w:val="0"/>
              <w:adjustRightIn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整体技术方案</w:t>
            </w:r>
          </w:p>
        </w:tc>
        <w:tc>
          <w:tcPr>
            <w:tcW w:w="818" w:type="dxa"/>
            <w:tcBorders>
              <w:tl2br w:val="nil"/>
              <w:tr2bl w:val="nil"/>
            </w:tcBorders>
            <w:noWrap/>
            <w:vAlign w:val="center"/>
          </w:tcPr>
          <w:p w14:paraId="07432C32">
            <w:pPr>
              <w:autoSpaceDE w:val="0"/>
              <w:autoSpaceDN w:val="0"/>
              <w:adjustRightIn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10分</w:t>
            </w:r>
          </w:p>
        </w:tc>
        <w:tc>
          <w:tcPr>
            <w:tcW w:w="5904" w:type="dxa"/>
            <w:tcBorders>
              <w:tl2br w:val="nil"/>
              <w:tr2bl w:val="nil"/>
            </w:tcBorders>
            <w:noWrap/>
            <w:vAlign w:val="center"/>
          </w:tcPr>
          <w:p w14:paraId="02E8AAE6">
            <w:pPr>
              <w:autoSpaceDE w:val="0"/>
              <w:autoSpaceDN w:val="0"/>
              <w:adjustRightInd w:val="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提供针对本项目的整体技术方案，包括但不限于：用户建设现状、存在的问题、用户需求、系统架构图、网络拓扑图、数据流转图、各子系统方案：</w:t>
            </w:r>
          </w:p>
          <w:p w14:paraId="7FD77BE7">
            <w:pPr>
              <w:autoSpaceDE w:val="0"/>
              <w:autoSpaceDN w:val="0"/>
              <w:adjustRightInd w:val="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对用户的建设现状、存在的问题、用户需求理解到位，系统架构图、网络拓扑图、数据流转图完全符合用户现状，各子系统方案描述清晰详细，整体技术方案实际贴切满足采购需求的得10分；</w:t>
            </w:r>
          </w:p>
          <w:p w14:paraId="4E75A438">
            <w:pPr>
              <w:autoSpaceDE w:val="0"/>
              <w:autoSpaceDN w:val="0"/>
              <w:adjustRightIn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对用户的建设现状、存在的问题、用户需求理解到位，系统架构图、网络拓扑图、数据流转图不完全符合用户现状，各子系统方案描述主要内容完整，整体技术方案能满足用户基本需求的得7分；</w:t>
            </w:r>
          </w:p>
          <w:p w14:paraId="018D9DAD">
            <w:pPr>
              <w:autoSpaceDE w:val="0"/>
              <w:autoSpaceDN w:val="0"/>
              <w:adjustRightIn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对用户的建设现状、存在的问题、用户需求理解有偏差，系统架构图、网络拓扑图、数据流转图不完全符合用户现状，各子系统方案描述较为简单，但关键内容完整，整体技术方案勉强满足用户需求的得4分；</w:t>
            </w:r>
          </w:p>
          <w:p w14:paraId="1620537D">
            <w:pPr>
              <w:autoSpaceDE w:val="0"/>
              <w:autoSpaceDN w:val="0"/>
              <w:adjustRightIn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方案内完全无法体现用户的建设现状、存在的问题、用户需求，系统架构图、网络拓扑图、数据流转图不符合用户现状，各子系统方案、整体技术方案不满足用户需求的得1分。</w:t>
            </w:r>
          </w:p>
          <w:p w14:paraId="70F25CED">
            <w:pPr>
              <w:autoSpaceDE w:val="0"/>
              <w:autoSpaceDN w:val="0"/>
              <w:adjustRightIn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未提供本项的不得分。</w:t>
            </w:r>
          </w:p>
        </w:tc>
      </w:tr>
      <w:tr w14:paraId="546868A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66" w:type="dxa"/>
            <w:vMerge w:val="continue"/>
            <w:tcBorders>
              <w:tl2br w:val="nil"/>
              <w:tr2bl w:val="nil"/>
            </w:tcBorders>
            <w:noWrap/>
            <w:vAlign w:val="center"/>
          </w:tcPr>
          <w:p w14:paraId="663AA6F6">
            <w:pPr>
              <w:autoSpaceDE w:val="0"/>
              <w:autoSpaceDN w:val="0"/>
              <w:adjustRightInd w:val="0"/>
              <w:spacing w:line="360" w:lineRule="auto"/>
              <w:jc w:val="center"/>
              <w:rPr>
                <w:rFonts w:hint="eastAsia" w:asciiTheme="minorEastAsia" w:hAnsiTheme="minorEastAsia" w:eastAsiaTheme="minorEastAsia" w:cstheme="minorEastAsia"/>
                <w:color w:val="auto"/>
                <w:sz w:val="24"/>
                <w:szCs w:val="24"/>
              </w:rPr>
            </w:pPr>
          </w:p>
        </w:tc>
        <w:tc>
          <w:tcPr>
            <w:tcW w:w="1180" w:type="dxa"/>
            <w:vMerge w:val="continue"/>
            <w:tcBorders>
              <w:tl2br w:val="nil"/>
              <w:tr2bl w:val="nil"/>
            </w:tcBorders>
            <w:noWrap/>
            <w:vAlign w:val="center"/>
          </w:tcPr>
          <w:p w14:paraId="0FB7D6F6">
            <w:pPr>
              <w:autoSpaceDE w:val="0"/>
              <w:autoSpaceDN w:val="0"/>
              <w:adjustRightInd w:val="0"/>
              <w:spacing w:line="360" w:lineRule="auto"/>
              <w:jc w:val="center"/>
              <w:rPr>
                <w:rFonts w:hint="eastAsia" w:asciiTheme="minorEastAsia" w:hAnsiTheme="minorEastAsia" w:eastAsiaTheme="minorEastAsia" w:cstheme="minorEastAsia"/>
                <w:color w:val="auto"/>
                <w:sz w:val="24"/>
                <w:szCs w:val="24"/>
              </w:rPr>
            </w:pPr>
          </w:p>
        </w:tc>
        <w:tc>
          <w:tcPr>
            <w:tcW w:w="948" w:type="dxa"/>
            <w:tcBorders>
              <w:tl2br w:val="nil"/>
              <w:tr2bl w:val="nil"/>
            </w:tcBorders>
            <w:noWrap/>
            <w:vAlign w:val="center"/>
          </w:tcPr>
          <w:p w14:paraId="4F2067EB">
            <w:pPr>
              <w:autoSpaceDE w:val="0"/>
              <w:autoSpaceDN w:val="0"/>
              <w:adjustRightIn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项目实施方案</w:t>
            </w:r>
          </w:p>
        </w:tc>
        <w:tc>
          <w:tcPr>
            <w:tcW w:w="818" w:type="dxa"/>
            <w:tcBorders>
              <w:tl2br w:val="nil"/>
              <w:tr2bl w:val="nil"/>
            </w:tcBorders>
            <w:noWrap/>
            <w:vAlign w:val="center"/>
          </w:tcPr>
          <w:p w14:paraId="15383455">
            <w:pPr>
              <w:autoSpaceDE w:val="0"/>
              <w:autoSpaceDN w:val="0"/>
              <w:adjustRightIn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分</w:t>
            </w:r>
          </w:p>
        </w:tc>
        <w:tc>
          <w:tcPr>
            <w:tcW w:w="5904" w:type="dxa"/>
            <w:tcBorders>
              <w:tl2br w:val="nil"/>
              <w:tr2bl w:val="nil"/>
            </w:tcBorders>
            <w:noWrap/>
            <w:vAlign w:val="center"/>
          </w:tcPr>
          <w:p w14:paraId="2D74EA7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2" w:firstLineChars="200"/>
              <w:jc w:val="left"/>
              <w:textAlignment w:val="auto"/>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投标人了解本项目需求后，提供项目实施方案及保障措施,项目实施方案及保障措施包括但不限于:</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项目总体实施方案(交货时间明确且完全满足招标文件要求，提供详细时间节点规划、项目进度计划采用甘特图或网络图等可视化工具，阶段划分合理，关键节点清晰、保障措施具体、管理方案涵盖项目全流程、风险管理措施、运输方案运输方案充分考虑货物特性、运输方式选择及运输安全保障，如防震、防潮等措施等）；</w:t>
            </w:r>
          </w:p>
          <w:p w14:paraId="41B24088">
            <w:pPr>
              <w:keepNext w:val="0"/>
              <w:keepLines w:val="0"/>
              <w:pageBreakBefore w:val="0"/>
              <w:widowControl w:val="0"/>
              <w:numPr>
                <w:ilvl w:val="0"/>
                <w:numId w:val="2"/>
              </w:numPr>
              <w:kinsoku/>
              <w:wordWrap/>
              <w:overflowPunct/>
              <w:topLinePunct w:val="0"/>
              <w:autoSpaceDE/>
              <w:autoSpaceDN/>
              <w:bidi w:val="0"/>
              <w:adjustRightInd/>
              <w:snapToGrid/>
              <w:spacing w:line="460" w:lineRule="exact"/>
              <w:jc w:val="left"/>
              <w:textAlignment w:val="auto"/>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项目实施保障措施（对项目实施过程中的重点、安全承诺等问题分析准确、全面等）；</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3.设施设备安装调试方案（调试流程清晰、详细，包括调试前准备、明确调试流程、调试标准、设计建议等）；</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4.验收与交付方案（明确验收标准和流程，明确验收依、列出交付物清单等）；</w:t>
            </w:r>
          </w:p>
          <w:p w14:paraId="75E4927C">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left"/>
              <w:textAlignment w:val="auto"/>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5.项目管理计划及人员配备情况（组织计划架构清晰合理、责任明确、分工合理等）。</w:t>
            </w:r>
          </w:p>
          <w:p w14:paraId="67F1EFDC">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项目负责人</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拟担任本项目项目负责人或技术总监具有人力资源和社会保障部门颁发信息系统项目管理师（高级）证书</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不具备扣2</w:t>
            </w:r>
            <w:r>
              <w:rPr>
                <w:rFonts w:hint="eastAsia" w:asciiTheme="minorEastAsia" w:hAnsiTheme="minorEastAsia" w:eastAsiaTheme="minorEastAsia" w:cstheme="minorEastAsia"/>
                <w:sz w:val="24"/>
                <w:szCs w:val="24"/>
                <w:highlight w:val="none"/>
              </w:rPr>
              <w:t>分；</w:t>
            </w:r>
          </w:p>
          <w:p w14:paraId="5F81D801">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left"/>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说明：上述人员必须均为供应商在职员工，根据响应文件中提供以上人员任意</w:t>
            </w:r>
            <w:r>
              <w:rPr>
                <w:rFonts w:hint="eastAsia" w:asciiTheme="minorEastAsia" w:hAnsiTheme="minorEastAsia" w:eastAsiaTheme="minorEastAsia" w:cstheme="minorEastAsia"/>
                <w:b/>
                <w:bCs/>
                <w:sz w:val="24"/>
                <w:szCs w:val="24"/>
                <w:highlight w:val="none"/>
                <w:lang w:val="en-US" w:eastAsia="zh-CN"/>
              </w:rPr>
              <w:t>2025年任意</w:t>
            </w:r>
            <w:r>
              <w:rPr>
                <w:rFonts w:hint="eastAsia" w:asciiTheme="minorEastAsia" w:hAnsiTheme="minorEastAsia" w:eastAsiaTheme="minorEastAsia" w:cstheme="minorEastAsia"/>
                <w:b/>
                <w:bCs/>
                <w:sz w:val="24"/>
                <w:szCs w:val="24"/>
                <w:highlight w:val="none"/>
              </w:rPr>
              <w:t>三个月的社保缴纳证明、相关有效证书进行评分，未提供或不符合以上条件不得分。社保缴纳证明以社保机构出具的社保证明为准。</w:t>
            </w:r>
          </w:p>
          <w:p w14:paraId="09FCA5B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以上五项，每项3分。</w:t>
            </w:r>
          </w:p>
          <w:p w14:paraId="2AEC8CD4">
            <w:pPr>
              <w:ind w:left="0" w:leftChars="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评标委员会根据投标人投标文件情况对招标文件响应程度赋分，内容表述完整、合理及可行、针对本项目的背景、现状完全贴合项目，满足或优于采购人要求的得15分，每有一项缺项漏项的扣3分，每有一项缺乏完整性、合理性或不足的扣1分，分数扣完为止。未提供的不得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注：不足是指：相关内容生搬硬造，阐述存在逻辑错误，前后矛盾；涉及内容无重点，未能体现出本项目的特点或与实际需求不完全相符；语言错误或存在歧义；对相关方案内容不具体或不明确；内容过于简略针对性和可行性欠缺；项目总体实施方案不完整缺乏操作性和针对性；项目管理计划及人员配备情况混乱职责划分模糊；项目实施保障措施不够全面或不明确；设施设备安装调试方案不明确或不合理；验收与交付方案不明确或不科学等任意1项缺陷或瑕疵。</w:t>
            </w:r>
          </w:p>
        </w:tc>
      </w:tr>
      <w:tr w14:paraId="047AE28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66" w:type="dxa"/>
            <w:vMerge w:val="continue"/>
            <w:tcBorders>
              <w:tl2br w:val="nil"/>
              <w:tr2bl w:val="nil"/>
            </w:tcBorders>
            <w:noWrap/>
            <w:vAlign w:val="center"/>
          </w:tcPr>
          <w:p w14:paraId="42CCB7E4">
            <w:pPr>
              <w:autoSpaceDE w:val="0"/>
              <w:autoSpaceDN w:val="0"/>
              <w:adjustRightInd w:val="0"/>
              <w:spacing w:line="360" w:lineRule="auto"/>
              <w:jc w:val="center"/>
              <w:rPr>
                <w:rFonts w:hint="eastAsia" w:asciiTheme="minorEastAsia" w:hAnsiTheme="minorEastAsia" w:eastAsiaTheme="minorEastAsia" w:cstheme="minorEastAsia"/>
                <w:color w:val="auto"/>
                <w:sz w:val="24"/>
                <w:szCs w:val="24"/>
              </w:rPr>
            </w:pPr>
          </w:p>
        </w:tc>
        <w:tc>
          <w:tcPr>
            <w:tcW w:w="1180" w:type="dxa"/>
            <w:vMerge w:val="continue"/>
            <w:tcBorders>
              <w:tl2br w:val="nil"/>
              <w:tr2bl w:val="nil"/>
            </w:tcBorders>
            <w:noWrap/>
            <w:vAlign w:val="center"/>
          </w:tcPr>
          <w:p w14:paraId="411C3B4B">
            <w:pPr>
              <w:autoSpaceDE w:val="0"/>
              <w:autoSpaceDN w:val="0"/>
              <w:adjustRightInd w:val="0"/>
              <w:spacing w:line="360" w:lineRule="auto"/>
              <w:jc w:val="center"/>
              <w:rPr>
                <w:rFonts w:hint="eastAsia" w:asciiTheme="minorEastAsia" w:hAnsiTheme="minorEastAsia" w:eastAsiaTheme="minorEastAsia" w:cstheme="minorEastAsia"/>
                <w:color w:val="auto"/>
                <w:sz w:val="24"/>
                <w:szCs w:val="24"/>
              </w:rPr>
            </w:pPr>
          </w:p>
        </w:tc>
        <w:tc>
          <w:tcPr>
            <w:tcW w:w="948" w:type="dxa"/>
            <w:tcBorders>
              <w:tl2br w:val="nil"/>
              <w:tr2bl w:val="nil"/>
            </w:tcBorders>
            <w:noWrap/>
            <w:vAlign w:val="center"/>
          </w:tcPr>
          <w:p w14:paraId="48FACCA0">
            <w:pPr>
              <w:autoSpaceDE w:val="0"/>
              <w:autoSpaceDN w:val="0"/>
              <w:adjustRightIn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供货方案及项目实施进度计划安排</w:t>
            </w:r>
          </w:p>
        </w:tc>
        <w:tc>
          <w:tcPr>
            <w:tcW w:w="818" w:type="dxa"/>
            <w:tcBorders>
              <w:tl2br w:val="nil"/>
              <w:tr2bl w:val="nil"/>
            </w:tcBorders>
            <w:noWrap/>
            <w:vAlign w:val="center"/>
          </w:tcPr>
          <w:p w14:paraId="6715DB4C">
            <w:pPr>
              <w:autoSpaceDE w:val="0"/>
              <w:autoSpaceDN w:val="0"/>
              <w:adjustRightInd w:val="0"/>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5分</w:t>
            </w:r>
          </w:p>
        </w:tc>
        <w:tc>
          <w:tcPr>
            <w:tcW w:w="5904" w:type="dxa"/>
            <w:tcBorders>
              <w:tl2br w:val="nil"/>
              <w:tr2bl w:val="nil"/>
            </w:tcBorders>
            <w:noWrap/>
            <w:vAlign w:val="center"/>
          </w:tcPr>
          <w:p w14:paraId="3C048ACE">
            <w:pPr>
              <w:autoSpaceDE w:val="0"/>
              <w:autoSpaceDN w:val="0"/>
              <w:adjustRightInd w:val="0"/>
              <w:spacing w:line="360" w:lineRule="auto"/>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rPr>
              <w:t>提供针对本项目的供货方案及项目实施进度计划安排，包括但不限于：供货计划时间表、项目实施进度计划表、应急处置措施等方面：</w:t>
            </w:r>
          </w:p>
          <w:p w14:paraId="3E49B05E">
            <w:pPr>
              <w:autoSpaceDE w:val="0"/>
              <w:autoSpaceDN w:val="0"/>
              <w:adjustRightInd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①供货方案及项目实施进度计划安排满足或优于招标文件要求，方案及计划清晰、具体、切实可行、科学规范、根据采购人及采购需求实际情况有针对性，供货管理及项目管理的进度计划完整、详细、实际贴切的得5分；</w:t>
            </w:r>
          </w:p>
          <w:p w14:paraId="59AF3C1C">
            <w:pPr>
              <w:autoSpaceDE w:val="0"/>
              <w:autoSpaceDN w:val="0"/>
              <w:adjustRightInd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②供货方案及项目实施进度计划安排满足招标文件要求，主要内容完整、方案及计划实可行、有一定的针对性；供货管理及项目管理的进度计划流程清晰可操作的得4分；</w:t>
            </w:r>
          </w:p>
          <w:p w14:paraId="4CF0731F">
            <w:pPr>
              <w:autoSpaceDE w:val="0"/>
              <w:autoSpaceDN w:val="0"/>
              <w:adjustRightInd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③供货方案及项目实施进度计划安排满足招标文件要求，但方案及计划不清晰或与本项目采购需求不够针对性，供货管理及项目管理的进度计划内容模糊简单的得3分；</w:t>
            </w:r>
          </w:p>
          <w:p w14:paraId="5DEF00FD">
            <w:pPr>
              <w:autoSpaceDE w:val="0"/>
              <w:autoSpaceDN w:val="0"/>
              <w:adjustRightInd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④供货方案及项目实施进度计划安排满足招标文件要求，但与本项目实际情况不够贴切、无针对性，无供货管理及项目管理的进度计划的得2分；</w:t>
            </w:r>
          </w:p>
          <w:p w14:paraId="76FFC9DE">
            <w:pPr>
              <w:autoSpaceDE w:val="0"/>
              <w:autoSpaceDN w:val="0"/>
              <w:adjustRightInd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⑤供货方案及项目实施进度计划安排难以满足采购需求，内容模糊、不确切的得1分；</w:t>
            </w:r>
          </w:p>
          <w:p w14:paraId="4948BD9F">
            <w:pPr>
              <w:autoSpaceDE w:val="0"/>
              <w:autoSpaceDN w:val="0"/>
              <w:adjustRightIn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⑥未提供本项的不得分。</w:t>
            </w:r>
          </w:p>
        </w:tc>
      </w:tr>
      <w:tr w14:paraId="08DCFA9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2348" w:hRule="atLeast"/>
        </w:trPr>
        <w:tc>
          <w:tcPr>
            <w:tcW w:w="866" w:type="dxa"/>
            <w:vMerge w:val="continue"/>
            <w:tcBorders>
              <w:tl2br w:val="nil"/>
              <w:tr2bl w:val="nil"/>
            </w:tcBorders>
            <w:noWrap/>
            <w:vAlign w:val="center"/>
          </w:tcPr>
          <w:p w14:paraId="182F07CE">
            <w:pPr>
              <w:autoSpaceDE w:val="0"/>
              <w:autoSpaceDN w:val="0"/>
              <w:adjustRightInd w:val="0"/>
              <w:spacing w:line="360" w:lineRule="auto"/>
              <w:jc w:val="center"/>
              <w:rPr>
                <w:rFonts w:hint="eastAsia" w:asciiTheme="minorEastAsia" w:hAnsiTheme="minorEastAsia" w:eastAsiaTheme="minorEastAsia" w:cstheme="minorEastAsia"/>
                <w:color w:val="auto"/>
                <w:sz w:val="24"/>
                <w:szCs w:val="24"/>
              </w:rPr>
            </w:pPr>
          </w:p>
        </w:tc>
        <w:tc>
          <w:tcPr>
            <w:tcW w:w="1180" w:type="dxa"/>
            <w:vMerge w:val="continue"/>
            <w:tcBorders>
              <w:tl2br w:val="nil"/>
              <w:tr2bl w:val="nil"/>
            </w:tcBorders>
            <w:noWrap/>
            <w:vAlign w:val="center"/>
          </w:tcPr>
          <w:p w14:paraId="6ED54AE6">
            <w:pPr>
              <w:autoSpaceDE w:val="0"/>
              <w:autoSpaceDN w:val="0"/>
              <w:adjustRightInd w:val="0"/>
              <w:spacing w:line="360" w:lineRule="auto"/>
              <w:jc w:val="center"/>
              <w:rPr>
                <w:rFonts w:hint="eastAsia" w:asciiTheme="minorEastAsia" w:hAnsiTheme="minorEastAsia" w:eastAsiaTheme="minorEastAsia" w:cstheme="minorEastAsia"/>
                <w:color w:val="auto"/>
                <w:sz w:val="24"/>
                <w:szCs w:val="24"/>
              </w:rPr>
            </w:pPr>
          </w:p>
        </w:tc>
        <w:tc>
          <w:tcPr>
            <w:tcW w:w="948" w:type="dxa"/>
            <w:tcBorders>
              <w:tl2br w:val="nil"/>
              <w:tr2bl w:val="nil"/>
            </w:tcBorders>
            <w:noWrap/>
            <w:vAlign w:val="center"/>
          </w:tcPr>
          <w:p w14:paraId="3F1C29CF">
            <w:pPr>
              <w:autoSpaceDE w:val="0"/>
              <w:autoSpaceDN w:val="0"/>
              <w:adjustRightIn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售后服务方案</w:t>
            </w:r>
          </w:p>
        </w:tc>
        <w:tc>
          <w:tcPr>
            <w:tcW w:w="818" w:type="dxa"/>
            <w:tcBorders>
              <w:tl2br w:val="nil"/>
              <w:tr2bl w:val="nil"/>
            </w:tcBorders>
            <w:noWrap/>
            <w:vAlign w:val="center"/>
          </w:tcPr>
          <w:p w14:paraId="3E1B1E9D">
            <w:pPr>
              <w:autoSpaceDE w:val="0"/>
              <w:autoSpaceDN w:val="0"/>
              <w:adjustRightInd w:val="0"/>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5分</w:t>
            </w:r>
          </w:p>
        </w:tc>
        <w:tc>
          <w:tcPr>
            <w:tcW w:w="5904" w:type="dxa"/>
            <w:tcBorders>
              <w:tl2br w:val="nil"/>
              <w:tr2bl w:val="nil"/>
            </w:tcBorders>
            <w:noWrap/>
            <w:vAlign w:val="center"/>
          </w:tcPr>
          <w:p w14:paraId="18A5D038">
            <w:pPr>
              <w:autoSpaceDE w:val="0"/>
              <w:autoSpaceDN w:val="0"/>
              <w:adjustRightInd w:val="0"/>
              <w:spacing w:line="360" w:lineRule="auto"/>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rPr>
              <w:t>根据投标人提供的售后服务响应时间、售后服务方案、培训进行评审，评审规则如下：</w:t>
            </w:r>
          </w:p>
          <w:p w14:paraId="4CD249EF">
            <w:pPr>
              <w:autoSpaceDE w:val="0"/>
              <w:autoSpaceDN w:val="0"/>
              <w:adjustRightInd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一、售后服务响应时间（满分2分）</w:t>
            </w:r>
          </w:p>
          <w:p w14:paraId="22515744">
            <w:pPr>
              <w:autoSpaceDE w:val="0"/>
              <w:autoSpaceDN w:val="0"/>
              <w:adjustRightInd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①投标人能够承诺365天7*24快速响应并到场完成维修或更换，且有违约处罚措施的得2分；</w:t>
            </w:r>
          </w:p>
          <w:p w14:paraId="5C81E86E">
            <w:pPr>
              <w:autoSpaceDE w:val="0"/>
              <w:autoSpaceDN w:val="0"/>
              <w:adjustRightInd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②投标人能够承诺快速响应，完成维修或更换，无违约处罚措施的得1分；</w:t>
            </w:r>
          </w:p>
          <w:p w14:paraId="09A04A8E">
            <w:pPr>
              <w:autoSpaceDE w:val="0"/>
              <w:autoSpaceDN w:val="0"/>
              <w:adjustRightInd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③其余承诺或未提供的不得分。</w:t>
            </w:r>
          </w:p>
          <w:p w14:paraId="6854B2D5">
            <w:pPr>
              <w:autoSpaceDE w:val="0"/>
              <w:autoSpaceDN w:val="0"/>
              <w:adjustRightInd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二、售后服务方案（满分2分）</w:t>
            </w:r>
          </w:p>
          <w:p w14:paraId="3EBA3CC3">
            <w:pPr>
              <w:autoSpaceDE w:val="0"/>
              <w:autoSpaceDN w:val="0"/>
              <w:adjustRightInd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①售后服务方案标准规范、完善、具体，服务机构、服务人员详细，巡检计划及应急措施完善能切实解决使用过程中可能发生的问题，服务承诺详细具体、合理可行、保障措施具体完善，有相应的处罚措施的得2分；</w:t>
            </w:r>
          </w:p>
          <w:p w14:paraId="574E4F9D">
            <w:pPr>
              <w:autoSpaceDE w:val="0"/>
              <w:autoSpaceDN w:val="0"/>
              <w:adjustRightInd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②售后服务方案存在缺项不完善，巡检计划及应急措施虽能勉强解决使用过程中可能发生的问题，但服务承诺不符合采购需求或难以履行，保障措施存在不对应或不满足采购需求，有处罚措施的得1分；</w:t>
            </w:r>
          </w:p>
          <w:p w14:paraId="0AD92ABD">
            <w:pPr>
              <w:autoSpaceDE w:val="0"/>
              <w:autoSpaceDN w:val="0"/>
              <w:adjustRightInd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③无售后服务方案的不得分。</w:t>
            </w:r>
          </w:p>
          <w:p w14:paraId="708387AC">
            <w:pPr>
              <w:autoSpaceDE w:val="0"/>
              <w:autoSpaceDN w:val="0"/>
              <w:adjustRightInd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三、培训（满分1分）</w:t>
            </w:r>
          </w:p>
          <w:p w14:paraId="552C141D">
            <w:pPr>
              <w:autoSpaceDE w:val="0"/>
              <w:autoSpaceDN w:val="0"/>
              <w:adjustRightInd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①培训方案完整，有明确具体的培训计划，培训内容覆盖本次所有投标产品，有详细专业的培训人员安排（含人员数量、人员专业背景），有明确具体的培训效果保障措施的得1分；</w:t>
            </w:r>
          </w:p>
          <w:p w14:paraId="43F8A4CA">
            <w:pPr>
              <w:autoSpaceDE w:val="0"/>
              <w:autoSpaceDN w:val="0"/>
              <w:adjustRightInd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②培训方案不符合本项目采购需求或未提供培训方案的不得分；</w:t>
            </w:r>
          </w:p>
          <w:p w14:paraId="13AD4C34">
            <w:pPr>
              <w:autoSpaceDE w:val="0"/>
              <w:autoSpaceDN w:val="0"/>
              <w:adjustRightIn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注：以上三项累计计分。</w:t>
            </w:r>
          </w:p>
        </w:tc>
      </w:tr>
      <w:tr w14:paraId="43E53EC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66" w:type="dxa"/>
            <w:vMerge w:val="continue"/>
            <w:tcBorders>
              <w:tl2br w:val="nil"/>
              <w:tr2bl w:val="nil"/>
            </w:tcBorders>
            <w:noWrap/>
            <w:vAlign w:val="center"/>
          </w:tcPr>
          <w:p w14:paraId="2E582346">
            <w:pPr>
              <w:autoSpaceDE w:val="0"/>
              <w:autoSpaceDN w:val="0"/>
              <w:adjustRightInd w:val="0"/>
              <w:spacing w:line="360" w:lineRule="auto"/>
              <w:jc w:val="center"/>
              <w:rPr>
                <w:rFonts w:hint="eastAsia" w:asciiTheme="minorEastAsia" w:hAnsiTheme="minorEastAsia" w:eastAsiaTheme="minorEastAsia" w:cstheme="minorEastAsia"/>
                <w:color w:val="auto"/>
                <w:sz w:val="24"/>
                <w:szCs w:val="24"/>
              </w:rPr>
            </w:pPr>
          </w:p>
        </w:tc>
        <w:tc>
          <w:tcPr>
            <w:tcW w:w="1180" w:type="dxa"/>
            <w:vMerge w:val="continue"/>
            <w:tcBorders>
              <w:tl2br w:val="nil"/>
              <w:tr2bl w:val="nil"/>
            </w:tcBorders>
            <w:noWrap/>
            <w:vAlign w:val="center"/>
          </w:tcPr>
          <w:p w14:paraId="710DEA16">
            <w:pPr>
              <w:autoSpaceDE w:val="0"/>
              <w:autoSpaceDN w:val="0"/>
              <w:adjustRightInd w:val="0"/>
              <w:spacing w:line="360" w:lineRule="auto"/>
              <w:jc w:val="center"/>
              <w:rPr>
                <w:rFonts w:hint="eastAsia" w:asciiTheme="minorEastAsia" w:hAnsiTheme="minorEastAsia" w:eastAsiaTheme="minorEastAsia" w:cstheme="minorEastAsia"/>
                <w:color w:val="auto"/>
                <w:sz w:val="24"/>
                <w:szCs w:val="24"/>
              </w:rPr>
            </w:pPr>
          </w:p>
        </w:tc>
        <w:tc>
          <w:tcPr>
            <w:tcW w:w="948" w:type="dxa"/>
            <w:tcBorders>
              <w:tl2br w:val="nil"/>
              <w:tr2bl w:val="nil"/>
            </w:tcBorders>
            <w:noWrap/>
            <w:vAlign w:val="center"/>
          </w:tcPr>
          <w:p w14:paraId="6338B872">
            <w:pPr>
              <w:autoSpaceDE w:val="0"/>
              <w:autoSpaceDN w:val="0"/>
              <w:adjustRightIn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项目整体质保期及质量保障措施</w:t>
            </w:r>
          </w:p>
        </w:tc>
        <w:tc>
          <w:tcPr>
            <w:tcW w:w="818" w:type="dxa"/>
            <w:tcBorders>
              <w:tl2br w:val="nil"/>
              <w:tr2bl w:val="nil"/>
            </w:tcBorders>
            <w:noWrap/>
            <w:vAlign w:val="center"/>
          </w:tcPr>
          <w:p w14:paraId="453FE399">
            <w:pPr>
              <w:autoSpaceDE w:val="0"/>
              <w:autoSpaceDN w:val="0"/>
              <w:adjustRightInd w:val="0"/>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5分</w:t>
            </w:r>
          </w:p>
        </w:tc>
        <w:tc>
          <w:tcPr>
            <w:tcW w:w="5904" w:type="dxa"/>
            <w:tcBorders>
              <w:tl2br w:val="nil"/>
              <w:tr2bl w:val="nil"/>
            </w:tcBorders>
            <w:noWrap/>
            <w:vAlign w:val="center"/>
          </w:tcPr>
          <w:p w14:paraId="2CC380E6">
            <w:pPr>
              <w:autoSpaceDE w:val="0"/>
              <w:autoSpaceDN w:val="0"/>
              <w:adjustRightInd w:val="0"/>
              <w:spacing w:line="360" w:lineRule="auto"/>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rPr>
              <w:t>根据投标人拟投项目整体质保期及质量保障措施进行评审，评审规则如下：</w:t>
            </w:r>
          </w:p>
          <w:p w14:paraId="310FAC97">
            <w:pPr>
              <w:autoSpaceDE w:val="0"/>
              <w:autoSpaceDN w:val="0"/>
              <w:adjustRightInd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一、项目整体质保期（满分2分）</w:t>
            </w:r>
          </w:p>
          <w:p w14:paraId="0129530F">
            <w:pPr>
              <w:autoSpaceDE w:val="0"/>
              <w:autoSpaceDN w:val="0"/>
              <w:adjustRightInd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投标人承诺</w:t>
            </w:r>
            <w:r>
              <w:rPr>
                <w:rFonts w:hint="eastAsia" w:asciiTheme="minorEastAsia" w:hAnsiTheme="minorEastAsia" w:eastAsiaTheme="minorEastAsia" w:cstheme="minorEastAsia"/>
                <w:color w:val="auto"/>
                <w:sz w:val="24"/>
                <w:szCs w:val="24"/>
                <w:highlight w:val="none"/>
              </w:rPr>
              <w:t>本项目整体质保期为</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年，提供项目质</w:t>
            </w:r>
            <w:r>
              <w:rPr>
                <w:rFonts w:hint="eastAsia" w:asciiTheme="minorEastAsia" w:hAnsiTheme="minorEastAsia" w:eastAsiaTheme="minorEastAsia" w:cstheme="minorEastAsia"/>
                <w:color w:val="auto"/>
                <w:sz w:val="24"/>
                <w:szCs w:val="24"/>
              </w:rPr>
              <w:t>保期承诺函得2分，不承诺不得分。</w:t>
            </w:r>
          </w:p>
          <w:p w14:paraId="5FBB4B2A">
            <w:pPr>
              <w:autoSpaceDE w:val="0"/>
              <w:autoSpaceDN w:val="0"/>
              <w:adjustRightInd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二、质量保障措施（满分3分）</w:t>
            </w:r>
          </w:p>
          <w:p w14:paraId="79840872">
            <w:pPr>
              <w:autoSpaceDE w:val="0"/>
              <w:autoSpaceDN w:val="0"/>
              <w:adjustRightInd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①制定了质量保障措施，保障措施具有针对可能因产品问题引起的相关问题考虑全面，处理方案合理可行，并有违约惩罚措施的得3分；</w:t>
            </w:r>
          </w:p>
          <w:p w14:paraId="1D3AA092">
            <w:pPr>
              <w:autoSpaceDE w:val="0"/>
              <w:autoSpaceDN w:val="0"/>
              <w:adjustRightInd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②制定了质量保障措施，保障措施具有针对可能因产品问题引起的相关问题考虑不够全面，处理方案存在不合理的内容的得2分，没有违约惩罚措施的的得1分；</w:t>
            </w:r>
          </w:p>
          <w:p w14:paraId="660CE867">
            <w:pPr>
              <w:autoSpaceDE w:val="0"/>
              <w:autoSpaceDN w:val="0"/>
              <w:adjustRightInd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③未制定质量保障措施的不得分；</w:t>
            </w:r>
          </w:p>
          <w:p w14:paraId="5096678B">
            <w:pPr>
              <w:autoSpaceDE w:val="0"/>
              <w:autoSpaceDN w:val="0"/>
              <w:adjustRightIn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注：以上二项累计计分。</w:t>
            </w:r>
          </w:p>
        </w:tc>
      </w:tr>
      <w:tr w14:paraId="547C480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046" w:type="dxa"/>
            <w:gridSpan w:val="2"/>
            <w:tcBorders>
              <w:tl2br w:val="nil"/>
              <w:tr2bl w:val="nil"/>
            </w:tcBorders>
            <w:noWrap/>
            <w:vAlign w:val="center"/>
          </w:tcPr>
          <w:p w14:paraId="72A70BD6">
            <w:pPr>
              <w:autoSpaceDE w:val="0"/>
              <w:autoSpaceDN w:val="0"/>
              <w:adjustRightInd w:val="0"/>
              <w:spacing w:line="360" w:lineRule="auto"/>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备注</w:t>
            </w:r>
          </w:p>
        </w:tc>
        <w:tc>
          <w:tcPr>
            <w:tcW w:w="7670" w:type="dxa"/>
            <w:gridSpan w:val="3"/>
            <w:tcBorders>
              <w:tl2br w:val="nil"/>
              <w:tr2bl w:val="nil"/>
            </w:tcBorders>
            <w:noWrap/>
            <w:vAlign w:val="center"/>
          </w:tcPr>
          <w:p w14:paraId="7EB8AB91">
            <w:pPr>
              <w:autoSpaceDE w:val="0"/>
              <w:autoSpaceDN w:val="0"/>
              <w:adjustRightInd w:val="0"/>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以上评审标准中：        </w:t>
            </w:r>
          </w:p>
          <w:p w14:paraId="2A91558D">
            <w:pPr>
              <w:autoSpaceDE w:val="0"/>
              <w:autoSpaceDN w:val="0"/>
              <w:adjustRightInd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完整</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全面</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方案</w:t>
            </w:r>
            <w:r>
              <w:rPr>
                <w:rFonts w:hint="eastAsia" w:asciiTheme="minorEastAsia" w:hAnsiTheme="minorEastAsia" w:eastAsiaTheme="minorEastAsia" w:cstheme="minorEastAsia"/>
                <w:color w:val="auto"/>
                <w:sz w:val="24"/>
                <w:szCs w:val="24"/>
                <w:lang w:val="en-US" w:eastAsia="zh-CN"/>
              </w:rPr>
              <w:t>内容</w:t>
            </w:r>
            <w:r>
              <w:rPr>
                <w:rFonts w:hint="eastAsia" w:asciiTheme="minorEastAsia" w:hAnsiTheme="minorEastAsia" w:eastAsiaTheme="minorEastAsia" w:cstheme="minorEastAsia"/>
                <w:color w:val="auto"/>
                <w:sz w:val="24"/>
                <w:szCs w:val="24"/>
              </w:rPr>
              <w:t>对招标文件中的各项要求有详细</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准确的</w:t>
            </w:r>
            <w:r>
              <w:rPr>
                <w:rFonts w:hint="eastAsia" w:asciiTheme="minorEastAsia" w:hAnsiTheme="minorEastAsia" w:eastAsiaTheme="minorEastAsia" w:cstheme="minorEastAsia"/>
                <w:color w:val="auto"/>
                <w:sz w:val="24"/>
                <w:szCs w:val="24"/>
              </w:rPr>
              <w:t>描述</w:t>
            </w:r>
            <w:r>
              <w:rPr>
                <w:rFonts w:hint="eastAsia" w:asciiTheme="minorEastAsia" w:hAnsiTheme="minorEastAsia" w:eastAsiaTheme="minorEastAsia" w:cstheme="minorEastAsia"/>
                <w:color w:val="auto"/>
                <w:sz w:val="24"/>
                <w:szCs w:val="24"/>
                <w:lang w:eastAsia="zh-CN"/>
              </w:rPr>
              <w:t>；</w:t>
            </w:r>
          </w:p>
          <w:p w14:paraId="31692901">
            <w:pPr>
              <w:autoSpaceDE w:val="0"/>
              <w:autoSpaceDN w:val="0"/>
              <w:adjustRightIn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合理：方案提出的方法和标准应该符合本项目特点；</w:t>
            </w:r>
          </w:p>
          <w:p w14:paraId="3C716594">
            <w:pPr>
              <w:autoSpaceDE w:val="0"/>
              <w:autoSpaceDN w:val="0"/>
              <w:adjustRightIn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可行：方案提出的目标</w:t>
            </w:r>
            <w:r>
              <w:rPr>
                <w:rFonts w:hint="eastAsia" w:asciiTheme="minorEastAsia" w:hAnsiTheme="minorEastAsia" w:eastAsiaTheme="minorEastAsia" w:cstheme="minorEastAsia"/>
                <w:color w:val="auto"/>
                <w:sz w:val="24"/>
                <w:szCs w:val="24"/>
                <w:lang w:val="en-US" w:eastAsia="zh-CN"/>
              </w:rPr>
              <w:t>及内容</w:t>
            </w:r>
            <w:r>
              <w:rPr>
                <w:rFonts w:hint="eastAsia" w:asciiTheme="minorEastAsia" w:hAnsiTheme="minorEastAsia" w:eastAsiaTheme="minorEastAsia" w:cstheme="minorEastAsia"/>
                <w:color w:val="auto"/>
                <w:sz w:val="24"/>
                <w:szCs w:val="24"/>
              </w:rPr>
              <w:t>在所要求的范围</w:t>
            </w:r>
            <w:r>
              <w:rPr>
                <w:rFonts w:hint="eastAsia" w:asciiTheme="minorEastAsia" w:hAnsiTheme="minorEastAsia" w:eastAsiaTheme="minorEastAsia" w:cstheme="minorEastAsia"/>
                <w:color w:val="auto"/>
                <w:sz w:val="24"/>
                <w:szCs w:val="24"/>
                <w:lang w:val="en-US" w:eastAsia="zh-CN"/>
              </w:rPr>
              <w:t>内实际可操作</w:t>
            </w:r>
            <w:r>
              <w:rPr>
                <w:rFonts w:hint="eastAsia" w:asciiTheme="minorEastAsia" w:hAnsiTheme="minorEastAsia" w:eastAsiaTheme="minorEastAsia" w:cstheme="minorEastAsia"/>
                <w:color w:val="auto"/>
                <w:sz w:val="24"/>
                <w:szCs w:val="24"/>
              </w:rPr>
              <w:t>；</w:t>
            </w:r>
          </w:p>
          <w:p w14:paraId="501718B3">
            <w:pPr>
              <w:autoSpaceDE w:val="0"/>
              <w:autoSpaceDN w:val="0"/>
              <w:adjustRightIn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操作性：是指针对本项目具备可实施的特性；</w:t>
            </w:r>
          </w:p>
          <w:p w14:paraId="6931EC0E">
            <w:pPr>
              <w:autoSpaceDE w:val="0"/>
              <w:autoSpaceDN w:val="0"/>
              <w:adjustRightIn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针对性：提指方案提出的方法完全适用于本项目。</w:t>
            </w:r>
          </w:p>
        </w:tc>
      </w:tr>
    </w:tbl>
    <w:p w14:paraId="127CED30">
      <w:pPr>
        <w:autoSpaceDE w:val="0"/>
        <w:autoSpaceDN w:val="0"/>
        <w:adjustRightInd w:val="0"/>
        <w:spacing w:beforeLines="50" w:afterLines="50" w:line="520" w:lineRule="exact"/>
        <w:jc w:val="left"/>
        <w:rPr>
          <w:rFonts w:ascii="宋体" w:hAnsi="宋体" w:cs="宋体"/>
          <w:b/>
          <w:bCs/>
          <w:color w:val="auto"/>
          <w:kern w:val="0"/>
          <w:sz w:val="24"/>
          <w:szCs w:val="32"/>
        </w:rPr>
      </w:pPr>
      <w:r>
        <w:rPr>
          <w:rFonts w:hint="eastAsia" w:ascii="宋体" w:hAnsi="宋体" w:cs="宋体"/>
          <w:b/>
          <w:bCs/>
          <w:color w:val="auto"/>
          <w:kern w:val="0"/>
          <w:sz w:val="24"/>
          <w:szCs w:val="32"/>
        </w:rPr>
        <w:t>⑤评分标准如下：</w:t>
      </w:r>
    </w:p>
    <w:p w14:paraId="6487EEAF">
      <w:pPr>
        <w:pStyle w:val="23"/>
        <w:spacing w:beforeLines="100" w:afterLines="50"/>
        <w:ind w:left="0" w:leftChars="0" w:firstLine="0" w:firstLineChars="0"/>
        <w:jc w:val="left"/>
        <w:rPr>
          <w:rFonts w:asciiTheme="minorEastAsia" w:hAnsiTheme="minorEastAsia" w:cstheme="minorEastAsia"/>
          <w:b/>
          <w:bCs/>
          <w:color w:val="auto"/>
          <w:sz w:val="28"/>
          <w:szCs w:val="28"/>
        </w:rPr>
      </w:pPr>
      <w:r>
        <w:rPr>
          <w:rFonts w:hint="eastAsia" w:asciiTheme="minorEastAsia" w:hAnsiTheme="minorEastAsia" w:cstheme="minorEastAsia"/>
          <w:b/>
          <w:bCs/>
          <w:color w:val="auto"/>
          <w:sz w:val="28"/>
          <w:szCs w:val="28"/>
        </w:rPr>
        <w:t>（五）统计评标结果</w:t>
      </w:r>
    </w:p>
    <w:p w14:paraId="3D573444">
      <w:pPr>
        <w:pStyle w:val="23"/>
        <w:spacing w:after="0" w:line="520" w:lineRule="exact"/>
        <w:ind w:left="0" w:leftChars="0" w:firstLine="480"/>
        <w:jc w:val="left"/>
        <w:rPr>
          <w:rFonts w:ascii="宋体" w:hAnsi="宋体" w:cs="宋体"/>
          <w:color w:val="auto"/>
          <w:sz w:val="24"/>
          <w:szCs w:val="28"/>
        </w:rPr>
      </w:pPr>
      <w:r>
        <w:rPr>
          <w:rFonts w:hint="eastAsia" w:ascii="宋体" w:hAnsi="宋体" w:cs="宋体"/>
          <w:color w:val="auto"/>
          <w:sz w:val="24"/>
          <w:szCs w:val="28"/>
        </w:rPr>
        <w:t xml:space="preserve">1.评委应首先对各投标人投标文件进行评审，写出书面意见并按招标文件规定分值评分，各分档评分中间不得用插入法评分。 </w:t>
      </w:r>
    </w:p>
    <w:p w14:paraId="0BD22607">
      <w:pPr>
        <w:pStyle w:val="23"/>
        <w:spacing w:after="0" w:line="520" w:lineRule="exact"/>
        <w:ind w:left="0" w:leftChars="0" w:firstLine="480"/>
        <w:jc w:val="left"/>
        <w:rPr>
          <w:rFonts w:ascii="宋体" w:hAnsi="宋体" w:cs="宋体"/>
          <w:color w:val="auto"/>
          <w:sz w:val="24"/>
          <w:szCs w:val="28"/>
        </w:rPr>
      </w:pPr>
      <w:r>
        <w:rPr>
          <w:rFonts w:hint="eastAsia" w:ascii="宋体" w:hAnsi="宋体" w:cs="宋体"/>
          <w:color w:val="auto"/>
          <w:sz w:val="24"/>
          <w:szCs w:val="28"/>
        </w:rPr>
        <w:t xml:space="preserve">2.除投标价格得分外，其余部分由各评委自主评分并签字确认。 </w:t>
      </w:r>
    </w:p>
    <w:p w14:paraId="2A4DC05A">
      <w:pPr>
        <w:pStyle w:val="23"/>
        <w:spacing w:after="0" w:line="520" w:lineRule="exact"/>
        <w:ind w:left="0" w:leftChars="0" w:firstLine="480"/>
        <w:jc w:val="left"/>
        <w:rPr>
          <w:rFonts w:ascii="宋体" w:hAnsi="宋体" w:cs="宋体"/>
          <w:color w:val="auto"/>
          <w:sz w:val="24"/>
          <w:szCs w:val="28"/>
        </w:rPr>
      </w:pPr>
      <w:r>
        <w:rPr>
          <w:rFonts w:hint="eastAsia" w:ascii="宋体" w:hAnsi="宋体" w:cs="宋体"/>
          <w:color w:val="auto"/>
          <w:sz w:val="24"/>
          <w:szCs w:val="28"/>
        </w:rPr>
        <w:t xml:space="preserve">3.统分原则：计算评委打分的算术平均值为投标人的该项评分因素的得分，投标报价得分除外(保留小数点后两位)。 </w:t>
      </w:r>
    </w:p>
    <w:p w14:paraId="1CFDFCF1">
      <w:pPr>
        <w:pStyle w:val="23"/>
        <w:spacing w:after="0" w:line="520" w:lineRule="exact"/>
        <w:ind w:left="0" w:leftChars="0" w:firstLine="480"/>
        <w:jc w:val="left"/>
        <w:rPr>
          <w:rFonts w:ascii="宋体" w:hAnsi="宋体" w:cs="宋体"/>
          <w:color w:val="auto"/>
          <w:sz w:val="24"/>
          <w:szCs w:val="28"/>
        </w:rPr>
      </w:pPr>
      <w:r>
        <w:rPr>
          <w:rFonts w:hint="eastAsia" w:ascii="宋体" w:hAnsi="宋体" w:cs="宋体"/>
          <w:color w:val="auto"/>
          <w:sz w:val="24"/>
          <w:szCs w:val="28"/>
        </w:rPr>
        <w:t xml:space="preserve">4.得分汇总：各项评分因素得分的总和即为投标人最后得分。 </w:t>
      </w:r>
    </w:p>
    <w:p w14:paraId="42C9BEBB">
      <w:pPr>
        <w:pStyle w:val="23"/>
        <w:spacing w:after="0" w:line="520" w:lineRule="exact"/>
        <w:ind w:left="0" w:leftChars="0" w:firstLine="480"/>
        <w:jc w:val="left"/>
        <w:rPr>
          <w:rFonts w:ascii="宋体" w:hAnsi="宋体" w:cs="宋体"/>
          <w:color w:val="auto"/>
          <w:sz w:val="24"/>
          <w:szCs w:val="28"/>
        </w:rPr>
      </w:pPr>
      <w:r>
        <w:rPr>
          <w:rFonts w:hint="eastAsia" w:ascii="宋体" w:hAnsi="宋体" w:cs="宋体"/>
          <w:color w:val="auto"/>
          <w:sz w:val="24"/>
          <w:szCs w:val="28"/>
        </w:rPr>
        <w:t>5.经评标委员会认定评分畸高、畸低的，评标委员会应当当场修改评标结果，并在评标报告中记载。</w:t>
      </w:r>
    </w:p>
    <w:p w14:paraId="47DC0C95">
      <w:pPr>
        <w:pStyle w:val="23"/>
        <w:spacing w:beforeLines="100" w:afterLines="50"/>
        <w:ind w:left="0" w:leftChars="0" w:firstLine="0" w:firstLineChars="0"/>
        <w:jc w:val="left"/>
        <w:rPr>
          <w:rFonts w:asciiTheme="minorEastAsia" w:hAnsiTheme="minorEastAsia" w:cstheme="minorEastAsia"/>
          <w:b/>
          <w:bCs/>
          <w:color w:val="auto"/>
          <w:sz w:val="28"/>
          <w:szCs w:val="28"/>
        </w:rPr>
      </w:pPr>
      <w:r>
        <w:rPr>
          <w:rFonts w:hint="eastAsia" w:asciiTheme="minorEastAsia" w:hAnsiTheme="minorEastAsia" w:cstheme="minorEastAsia"/>
          <w:b/>
          <w:bCs/>
          <w:color w:val="auto"/>
          <w:sz w:val="28"/>
          <w:szCs w:val="28"/>
        </w:rPr>
        <w:t>（六）编写评标报告</w:t>
      </w:r>
    </w:p>
    <w:p w14:paraId="6851E066">
      <w:pPr>
        <w:pStyle w:val="23"/>
        <w:spacing w:after="0" w:line="520" w:lineRule="exact"/>
        <w:ind w:left="0" w:leftChars="0" w:firstLine="480"/>
        <w:jc w:val="left"/>
        <w:rPr>
          <w:rFonts w:ascii="宋体" w:hAnsi="宋体" w:cs="宋体"/>
          <w:color w:val="auto"/>
          <w:sz w:val="24"/>
          <w:szCs w:val="28"/>
        </w:rPr>
      </w:pPr>
      <w:r>
        <w:rPr>
          <w:rFonts w:hint="eastAsia" w:ascii="宋体" w:hAnsi="宋体" w:cs="宋体"/>
          <w:color w:val="auto"/>
          <w:sz w:val="24"/>
          <w:szCs w:val="28"/>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17995B4">
      <w:pPr>
        <w:pStyle w:val="23"/>
        <w:spacing w:after="0" w:line="520" w:lineRule="exact"/>
        <w:ind w:left="0" w:leftChars="0" w:firstLine="480"/>
        <w:jc w:val="left"/>
        <w:rPr>
          <w:rFonts w:ascii="宋体" w:hAnsi="宋体" w:cs="宋体"/>
          <w:color w:val="auto"/>
          <w:sz w:val="24"/>
          <w:szCs w:val="28"/>
        </w:rPr>
      </w:pPr>
      <w:r>
        <w:rPr>
          <w:rFonts w:hint="eastAsia" w:ascii="宋体" w:hAnsi="宋体" w:cs="宋体"/>
          <w:color w:val="auto"/>
          <w:sz w:val="24"/>
          <w:szCs w:val="28"/>
        </w:rPr>
        <w:t>评标委员会根据全体评标成员签字的原始评标记录和评标结果编写评标报告。评标报告应当包括以下内容：</w:t>
      </w:r>
    </w:p>
    <w:p w14:paraId="26D0DD88">
      <w:pPr>
        <w:pStyle w:val="23"/>
        <w:spacing w:after="0" w:line="520" w:lineRule="exact"/>
        <w:ind w:left="0" w:leftChars="0" w:firstLine="480"/>
        <w:jc w:val="left"/>
        <w:rPr>
          <w:rFonts w:ascii="宋体" w:hAnsi="宋体" w:cs="宋体"/>
          <w:color w:val="auto"/>
          <w:sz w:val="24"/>
          <w:szCs w:val="28"/>
        </w:rPr>
      </w:pPr>
      <w:r>
        <w:rPr>
          <w:rFonts w:hint="eastAsia" w:ascii="宋体" w:hAnsi="宋体" w:cs="宋体"/>
          <w:color w:val="auto"/>
          <w:sz w:val="24"/>
          <w:szCs w:val="28"/>
        </w:rPr>
        <w:t>(一)招标公告刊登的媒体名称、开标日期和地点；</w:t>
      </w:r>
    </w:p>
    <w:p w14:paraId="0D90C621">
      <w:pPr>
        <w:pStyle w:val="23"/>
        <w:spacing w:after="0" w:line="520" w:lineRule="exact"/>
        <w:ind w:left="0" w:leftChars="0" w:firstLine="480"/>
        <w:jc w:val="left"/>
        <w:rPr>
          <w:rFonts w:ascii="宋体" w:hAnsi="宋体" w:cs="宋体"/>
          <w:color w:val="auto"/>
          <w:sz w:val="24"/>
          <w:szCs w:val="28"/>
        </w:rPr>
      </w:pPr>
      <w:r>
        <w:rPr>
          <w:rFonts w:hint="eastAsia" w:ascii="宋体" w:hAnsi="宋体" w:cs="宋体"/>
          <w:color w:val="auto"/>
          <w:sz w:val="24"/>
          <w:szCs w:val="28"/>
        </w:rPr>
        <w:t>(二)投标人名单和评标委员会成员名单；</w:t>
      </w:r>
    </w:p>
    <w:p w14:paraId="25CFFE2E">
      <w:pPr>
        <w:pStyle w:val="23"/>
        <w:spacing w:after="0" w:line="520" w:lineRule="exact"/>
        <w:ind w:left="0" w:leftChars="0" w:firstLine="480"/>
        <w:jc w:val="left"/>
        <w:rPr>
          <w:rFonts w:ascii="宋体" w:hAnsi="宋体" w:cs="宋体"/>
          <w:color w:val="auto"/>
          <w:sz w:val="24"/>
          <w:szCs w:val="28"/>
        </w:rPr>
      </w:pPr>
      <w:r>
        <w:rPr>
          <w:rFonts w:hint="eastAsia" w:ascii="宋体" w:hAnsi="宋体" w:cs="宋体"/>
          <w:color w:val="auto"/>
          <w:sz w:val="24"/>
          <w:szCs w:val="28"/>
        </w:rPr>
        <w:t>(三)评标方法和标准；</w:t>
      </w:r>
    </w:p>
    <w:p w14:paraId="38E4AE44">
      <w:pPr>
        <w:pStyle w:val="23"/>
        <w:spacing w:after="0" w:line="520" w:lineRule="exact"/>
        <w:ind w:left="0" w:leftChars="0" w:firstLine="480"/>
        <w:jc w:val="left"/>
        <w:rPr>
          <w:rFonts w:ascii="宋体" w:hAnsi="宋体" w:cs="宋体"/>
          <w:color w:val="auto"/>
          <w:sz w:val="24"/>
          <w:szCs w:val="28"/>
        </w:rPr>
      </w:pPr>
      <w:r>
        <w:rPr>
          <w:rFonts w:hint="eastAsia" w:ascii="宋体" w:hAnsi="宋体" w:cs="宋体"/>
          <w:color w:val="auto"/>
          <w:sz w:val="24"/>
          <w:szCs w:val="28"/>
        </w:rPr>
        <w:t>(四)开标记录和评标情况及说明，包括无效投标人名单及原因；</w:t>
      </w:r>
    </w:p>
    <w:p w14:paraId="1DCAC68D">
      <w:pPr>
        <w:pStyle w:val="23"/>
        <w:spacing w:after="0" w:line="520" w:lineRule="exact"/>
        <w:ind w:left="0" w:leftChars="0" w:firstLine="480"/>
        <w:jc w:val="left"/>
        <w:rPr>
          <w:rFonts w:ascii="宋体" w:hAnsi="宋体" w:cs="宋体"/>
          <w:color w:val="auto"/>
          <w:sz w:val="24"/>
          <w:szCs w:val="28"/>
        </w:rPr>
      </w:pPr>
      <w:r>
        <w:rPr>
          <w:rFonts w:hint="eastAsia" w:ascii="宋体" w:hAnsi="宋体" w:cs="宋体"/>
          <w:color w:val="auto"/>
          <w:sz w:val="24"/>
          <w:szCs w:val="28"/>
        </w:rPr>
        <w:t>(五)评标结果，确定的中标候选人名单或者经采购人委托直接确定的中标人；</w:t>
      </w:r>
    </w:p>
    <w:p w14:paraId="5BA43718">
      <w:pPr>
        <w:pStyle w:val="23"/>
        <w:spacing w:after="0" w:line="520" w:lineRule="exact"/>
        <w:ind w:left="0" w:leftChars="0" w:firstLine="480"/>
        <w:jc w:val="left"/>
        <w:rPr>
          <w:rFonts w:ascii="宋体" w:hAnsi="宋体" w:cs="宋体"/>
          <w:color w:val="auto"/>
          <w:sz w:val="24"/>
          <w:szCs w:val="28"/>
        </w:rPr>
      </w:pPr>
      <w:r>
        <w:rPr>
          <w:rFonts w:hint="eastAsia" w:ascii="宋体" w:hAnsi="宋体" w:cs="宋体"/>
          <w:color w:val="auto"/>
          <w:sz w:val="24"/>
          <w:szCs w:val="28"/>
        </w:rPr>
        <w:t>(六)其他需要说明的情况，包括评标过程中投标人根据评标委员会要求进行的澄清、说明或者补正，评标委员会成员的更换等。</w:t>
      </w:r>
    </w:p>
    <w:p w14:paraId="499B2846">
      <w:pPr>
        <w:pStyle w:val="23"/>
        <w:spacing w:after="0" w:line="520" w:lineRule="exact"/>
        <w:ind w:left="0" w:leftChars="0" w:firstLine="480"/>
        <w:jc w:val="left"/>
        <w:rPr>
          <w:rFonts w:ascii="宋体" w:hAnsi="宋体" w:cs="宋体"/>
          <w:color w:val="auto"/>
          <w:sz w:val="24"/>
          <w:szCs w:val="28"/>
        </w:rPr>
      </w:pPr>
      <w:r>
        <w:rPr>
          <w:rFonts w:hint="eastAsia" w:ascii="宋体" w:hAnsi="宋体" w:cs="宋体"/>
          <w:color w:val="auto"/>
          <w:sz w:val="24"/>
          <w:szCs w:val="28"/>
        </w:rPr>
        <w:t>　评标委员会成员对需要共同认定的事项存在争议的，应当按照少数服从多数的原则作出结论。持不同意见的评标委员会成员应当在评标报告上签署不同意见及理由，否则视为同意评标报告。</w:t>
      </w:r>
    </w:p>
    <w:p w14:paraId="5E5E47EA">
      <w:pPr>
        <w:pStyle w:val="23"/>
        <w:spacing w:beforeLines="100" w:afterLines="50"/>
        <w:ind w:left="0" w:leftChars="0" w:firstLine="0" w:firstLineChars="0"/>
        <w:jc w:val="left"/>
        <w:rPr>
          <w:rFonts w:asciiTheme="minorEastAsia" w:hAnsiTheme="minorEastAsia" w:cstheme="minorEastAsia"/>
          <w:b/>
          <w:bCs/>
          <w:color w:val="auto"/>
          <w:sz w:val="28"/>
          <w:szCs w:val="28"/>
        </w:rPr>
      </w:pPr>
      <w:r>
        <w:rPr>
          <w:rFonts w:hint="eastAsia" w:asciiTheme="minorEastAsia" w:hAnsiTheme="minorEastAsia" w:cstheme="minorEastAsia"/>
          <w:b/>
          <w:bCs/>
          <w:color w:val="auto"/>
          <w:sz w:val="28"/>
          <w:szCs w:val="28"/>
        </w:rPr>
        <w:t>六、下列情形之一的，视为投标人串通投标，其投标无效：</w:t>
      </w:r>
    </w:p>
    <w:p w14:paraId="0FB19BCD">
      <w:pPr>
        <w:pStyle w:val="23"/>
        <w:spacing w:after="0" w:line="520" w:lineRule="exact"/>
        <w:ind w:left="0" w:leftChars="0" w:firstLine="480"/>
        <w:jc w:val="left"/>
        <w:rPr>
          <w:rFonts w:ascii="宋体" w:hAnsi="宋体" w:cs="宋体"/>
          <w:color w:val="auto"/>
          <w:sz w:val="24"/>
          <w:szCs w:val="28"/>
        </w:rPr>
      </w:pPr>
      <w:r>
        <w:rPr>
          <w:rFonts w:hint="eastAsia" w:ascii="宋体" w:hAnsi="宋体" w:cs="宋体"/>
          <w:color w:val="auto"/>
          <w:sz w:val="24"/>
          <w:szCs w:val="28"/>
        </w:rPr>
        <w:t>1.不同投标人的投标文件由同一单位或者个人编制；</w:t>
      </w:r>
    </w:p>
    <w:p w14:paraId="40DC3685">
      <w:pPr>
        <w:pStyle w:val="23"/>
        <w:spacing w:after="0" w:line="520" w:lineRule="exact"/>
        <w:ind w:left="0" w:leftChars="0" w:firstLine="480"/>
        <w:jc w:val="left"/>
        <w:rPr>
          <w:rFonts w:ascii="宋体" w:hAnsi="宋体" w:cs="宋体"/>
          <w:color w:val="auto"/>
          <w:sz w:val="24"/>
          <w:szCs w:val="28"/>
        </w:rPr>
      </w:pPr>
      <w:r>
        <w:rPr>
          <w:rFonts w:hint="eastAsia" w:ascii="宋体" w:hAnsi="宋体" w:cs="宋体"/>
          <w:color w:val="auto"/>
          <w:sz w:val="24"/>
          <w:szCs w:val="28"/>
        </w:rPr>
        <w:t>2.不同投标人委托同一单位或者个人办理投标事宜；</w:t>
      </w:r>
    </w:p>
    <w:p w14:paraId="21FABDB8">
      <w:pPr>
        <w:pStyle w:val="23"/>
        <w:spacing w:after="0" w:line="520" w:lineRule="exact"/>
        <w:ind w:left="0" w:leftChars="0" w:firstLine="480"/>
        <w:jc w:val="left"/>
        <w:rPr>
          <w:rFonts w:ascii="宋体" w:hAnsi="宋体" w:cs="宋体"/>
          <w:color w:val="auto"/>
          <w:sz w:val="24"/>
          <w:szCs w:val="28"/>
        </w:rPr>
      </w:pPr>
      <w:r>
        <w:rPr>
          <w:rFonts w:hint="eastAsia" w:ascii="宋体" w:hAnsi="宋体" w:cs="宋体"/>
          <w:color w:val="auto"/>
          <w:sz w:val="24"/>
          <w:szCs w:val="28"/>
        </w:rPr>
        <w:t>3.不同投标人的投标文件载明的项目管理成员或者联系人员为同一人；</w:t>
      </w:r>
    </w:p>
    <w:p w14:paraId="4DF28318">
      <w:pPr>
        <w:pStyle w:val="23"/>
        <w:spacing w:after="0" w:line="520" w:lineRule="exact"/>
        <w:ind w:left="0" w:leftChars="0" w:firstLine="480"/>
        <w:jc w:val="left"/>
        <w:rPr>
          <w:rFonts w:ascii="宋体" w:hAnsi="宋体" w:cs="宋体"/>
          <w:color w:val="auto"/>
          <w:sz w:val="24"/>
          <w:szCs w:val="28"/>
        </w:rPr>
      </w:pPr>
      <w:r>
        <w:rPr>
          <w:rFonts w:hint="eastAsia" w:ascii="宋体" w:hAnsi="宋体" w:cs="宋体"/>
          <w:color w:val="auto"/>
          <w:sz w:val="24"/>
          <w:szCs w:val="28"/>
        </w:rPr>
        <w:t>4.不同投标人的投标文件异常一致或者投标报价呈规律性差异；</w:t>
      </w:r>
    </w:p>
    <w:p w14:paraId="29386CB9">
      <w:pPr>
        <w:pStyle w:val="23"/>
        <w:spacing w:after="0" w:line="520" w:lineRule="exact"/>
        <w:ind w:left="0" w:leftChars="0" w:firstLine="480"/>
        <w:jc w:val="left"/>
        <w:rPr>
          <w:rFonts w:ascii="宋体" w:hAnsi="宋体" w:cs="宋体"/>
          <w:color w:val="auto"/>
          <w:sz w:val="24"/>
          <w:szCs w:val="28"/>
        </w:rPr>
      </w:pPr>
      <w:r>
        <w:rPr>
          <w:rFonts w:hint="eastAsia" w:ascii="宋体" w:hAnsi="宋体" w:cs="宋体"/>
          <w:color w:val="auto"/>
          <w:sz w:val="24"/>
          <w:szCs w:val="28"/>
        </w:rPr>
        <w:t>5.不同投标人的投标文件相互混装；</w:t>
      </w:r>
    </w:p>
    <w:p w14:paraId="31C24110">
      <w:pPr>
        <w:pStyle w:val="23"/>
        <w:spacing w:after="0" w:line="520" w:lineRule="exact"/>
        <w:ind w:left="0" w:leftChars="0" w:firstLine="480"/>
        <w:jc w:val="left"/>
        <w:rPr>
          <w:rFonts w:ascii="宋体" w:hAnsi="宋体" w:cs="宋体"/>
          <w:color w:val="auto"/>
          <w:sz w:val="24"/>
          <w:szCs w:val="28"/>
        </w:rPr>
        <w:sectPr>
          <w:footerReference r:id="rId8" w:type="first"/>
          <w:headerReference r:id="rId6" w:type="default"/>
          <w:footerReference r:id="rId7" w:type="default"/>
          <w:pgSz w:w="11905" w:h="16840"/>
          <w:pgMar w:top="1440" w:right="1083" w:bottom="1440" w:left="1083" w:header="851" w:footer="1191" w:gutter="0"/>
          <w:pgNumType w:fmt="decimal"/>
          <w:cols w:space="0" w:num="1"/>
          <w:titlePg/>
          <w:docGrid w:linePitch="312" w:charSpace="0"/>
        </w:sectPr>
      </w:pPr>
      <w:r>
        <w:rPr>
          <w:rFonts w:hint="eastAsia" w:ascii="宋体" w:hAnsi="宋体" w:cs="宋体"/>
          <w:color w:val="auto"/>
          <w:sz w:val="24"/>
          <w:szCs w:val="28"/>
        </w:rPr>
        <w:t>6.不同投标人的投标保证金从同一单位或者个人的账户转出。</w:t>
      </w:r>
    </w:p>
    <w:p w14:paraId="43FC1AA8">
      <w:pPr>
        <w:spacing w:afterLines="100"/>
        <w:jc w:val="center"/>
        <w:rPr>
          <w:rFonts w:ascii="宋体" w:cs="宋体"/>
          <w:b/>
          <w:color w:val="auto"/>
          <w:sz w:val="44"/>
          <w:szCs w:val="44"/>
        </w:rPr>
      </w:pPr>
      <w:r>
        <w:rPr>
          <w:rFonts w:hint="eastAsia" w:ascii="宋体" w:cs="宋体"/>
          <w:b/>
          <w:color w:val="auto"/>
          <w:sz w:val="44"/>
          <w:szCs w:val="44"/>
        </w:rPr>
        <w:t>第四章 合同条款及合同书样式</w:t>
      </w:r>
    </w:p>
    <w:p w14:paraId="28A20CAF">
      <w:pPr>
        <w:jc w:val="center"/>
        <w:rPr>
          <w:rStyle w:val="28"/>
          <w:rFonts w:ascii="宋体" w:hAnsi="宋体" w:cs="宋体"/>
          <w:b/>
          <w:bCs/>
          <w:color w:val="auto"/>
          <w:sz w:val="36"/>
          <w:szCs w:val="36"/>
        </w:rPr>
      </w:pPr>
      <w:r>
        <w:rPr>
          <w:rFonts w:hint="eastAsia" w:ascii="仿宋" w:hAnsi="仿宋" w:eastAsia="仿宋" w:cs="仿宋"/>
          <w:b/>
          <w:bCs/>
          <w:color w:val="auto"/>
          <w:sz w:val="24"/>
        </w:rPr>
        <w:t>（注：此合同格式仅供参考，最终以合同洽谈时签订为准）</w:t>
      </w:r>
    </w:p>
    <w:p w14:paraId="40701BDB">
      <w:pPr>
        <w:autoSpaceDE w:val="0"/>
        <w:autoSpaceDN w:val="0"/>
        <w:adjustRightInd w:val="0"/>
        <w:spacing w:line="300" w:lineRule="auto"/>
        <w:ind w:right="-72"/>
        <w:rPr>
          <w:rFonts w:ascii="宋体" w:hAnsi="宋体" w:cs="宋体"/>
          <w:color w:val="auto"/>
          <w:kern w:val="0"/>
          <w:sz w:val="24"/>
        </w:rPr>
      </w:pPr>
    </w:p>
    <w:p w14:paraId="68D9E55C">
      <w:pPr>
        <w:pStyle w:val="23"/>
        <w:rPr>
          <w:color w:val="auto"/>
        </w:rPr>
      </w:pPr>
    </w:p>
    <w:p w14:paraId="47B0B7F4">
      <w:pPr>
        <w:autoSpaceDE w:val="0"/>
        <w:autoSpaceDN w:val="0"/>
        <w:adjustRightInd w:val="0"/>
        <w:spacing w:line="300" w:lineRule="auto"/>
        <w:ind w:right="-72"/>
        <w:rPr>
          <w:rFonts w:ascii="宋体" w:hAnsi="宋体" w:cs="宋体"/>
          <w:color w:val="auto"/>
          <w:kern w:val="0"/>
          <w:sz w:val="24"/>
        </w:rPr>
      </w:pPr>
    </w:p>
    <w:p w14:paraId="15B1CB57">
      <w:pPr>
        <w:autoSpaceDE w:val="0"/>
        <w:autoSpaceDN w:val="0"/>
        <w:adjustRightInd w:val="0"/>
        <w:spacing w:line="300" w:lineRule="auto"/>
        <w:ind w:right="-72"/>
        <w:rPr>
          <w:rFonts w:ascii="宋体" w:hAnsi="宋体" w:cs="宋体"/>
          <w:color w:val="auto"/>
          <w:kern w:val="0"/>
          <w:sz w:val="24"/>
        </w:rPr>
      </w:pPr>
      <w:r>
        <w:rPr>
          <w:rFonts w:hint="eastAsia" w:ascii="宋体" w:hAnsi="宋体" w:cs="宋体"/>
          <w:color w:val="auto"/>
          <w:kern w:val="0"/>
          <w:sz w:val="24"/>
        </w:rPr>
        <w:t>合同编号：               合同自编号：           招标编号：</w:t>
      </w:r>
    </w:p>
    <w:p w14:paraId="12D9E361">
      <w:pPr>
        <w:widowControl/>
        <w:tabs>
          <w:tab w:val="left" w:pos="1155"/>
          <w:tab w:val="left" w:pos="2865"/>
          <w:tab w:val="left" w:pos="5307"/>
          <w:tab w:val="left" w:pos="5595"/>
          <w:tab w:val="left" w:pos="6620"/>
          <w:tab w:val="left" w:pos="7940"/>
        </w:tabs>
        <w:jc w:val="left"/>
        <w:rPr>
          <w:rFonts w:ascii="宋体" w:hAnsi="宋体" w:cs="Arial"/>
          <w:b/>
          <w:color w:val="auto"/>
          <w:kern w:val="0"/>
          <w:szCs w:val="21"/>
        </w:rPr>
      </w:pPr>
    </w:p>
    <w:p w14:paraId="4599E89C">
      <w:pPr>
        <w:pStyle w:val="33"/>
        <w:rPr>
          <w:color w:val="auto"/>
        </w:rPr>
      </w:pPr>
      <w:r>
        <w:rPr>
          <w:rFonts w:hint="eastAsia" w:hAnsi="宋体" w:cs="Arial"/>
          <w:b/>
          <w:color w:val="auto"/>
          <w:sz w:val="21"/>
          <w:szCs w:val="21"/>
        </w:rPr>
        <w:t>本合同须加盖甲乙双方骑缝章有效</w:t>
      </w:r>
    </w:p>
    <w:p w14:paraId="5443A4AF">
      <w:pPr>
        <w:widowControl/>
        <w:tabs>
          <w:tab w:val="left" w:pos="1155"/>
          <w:tab w:val="left" w:pos="2865"/>
          <w:tab w:val="left" w:pos="5307"/>
          <w:tab w:val="left" w:pos="5595"/>
          <w:tab w:val="left" w:pos="6620"/>
          <w:tab w:val="left" w:pos="7940"/>
        </w:tabs>
        <w:jc w:val="center"/>
        <w:rPr>
          <w:rFonts w:ascii="宋体" w:hAnsi="宋体" w:cs="Arial"/>
          <w:b/>
          <w:color w:val="auto"/>
          <w:kern w:val="0"/>
          <w:sz w:val="52"/>
          <w:szCs w:val="52"/>
        </w:rPr>
      </w:pPr>
      <w:r>
        <w:rPr>
          <w:rFonts w:hint="eastAsia" w:ascii="宋体" w:hAnsi="宋体" w:cs="Arial"/>
          <w:b/>
          <w:color w:val="auto"/>
          <w:kern w:val="0"/>
          <w:sz w:val="52"/>
          <w:szCs w:val="52"/>
        </w:rPr>
        <w:t>云南省政府采购</w:t>
      </w:r>
    </w:p>
    <w:p w14:paraId="01C61A3C">
      <w:pPr>
        <w:widowControl/>
        <w:spacing w:line="600" w:lineRule="exact"/>
        <w:jc w:val="center"/>
        <w:rPr>
          <w:rFonts w:ascii="宋体" w:hAnsi="宋体" w:cs="Arial"/>
          <w:b/>
          <w:color w:val="auto"/>
          <w:kern w:val="0"/>
          <w:sz w:val="32"/>
          <w:szCs w:val="32"/>
        </w:rPr>
      </w:pPr>
      <w:r>
        <w:rPr>
          <w:rFonts w:hint="eastAsia" w:ascii="宋体" w:hAnsi="宋体" w:cs="Arial"/>
          <w:b/>
          <w:color w:val="auto"/>
          <w:kern w:val="0"/>
          <w:sz w:val="32"/>
          <w:szCs w:val="32"/>
        </w:rPr>
        <w:t>(委托采购)</w:t>
      </w:r>
    </w:p>
    <w:p w14:paraId="765E12C4">
      <w:pPr>
        <w:widowControl/>
        <w:spacing w:after="240"/>
        <w:jc w:val="center"/>
        <w:rPr>
          <w:rFonts w:ascii="宋体" w:hAnsi="宋体" w:cs="Arial"/>
          <w:color w:val="auto"/>
          <w:kern w:val="0"/>
          <w:sz w:val="24"/>
        </w:rPr>
      </w:pPr>
    </w:p>
    <w:p w14:paraId="4666283D">
      <w:pPr>
        <w:widowControl/>
        <w:spacing w:after="240"/>
        <w:jc w:val="center"/>
        <w:rPr>
          <w:rFonts w:ascii="宋体" w:hAnsi="宋体" w:cs="Arial"/>
          <w:color w:val="auto"/>
          <w:kern w:val="0"/>
          <w:sz w:val="84"/>
          <w:szCs w:val="84"/>
        </w:rPr>
      </w:pPr>
      <w:r>
        <w:rPr>
          <w:rFonts w:hint="eastAsia" w:ascii="宋体" w:hAnsi="宋体" w:cs="Arial"/>
          <w:color w:val="auto"/>
          <w:kern w:val="0"/>
          <w:sz w:val="24"/>
        </w:rPr>
        <w:t>（此合同模板仅供参考，具体内容与实际签订合同为准）</w:t>
      </w:r>
    </w:p>
    <w:p w14:paraId="50032963">
      <w:pPr>
        <w:widowControl/>
        <w:jc w:val="center"/>
        <w:rPr>
          <w:rFonts w:ascii="宋体" w:hAnsi="宋体" w:cs="Arial"/>
          <w:b/>
          <w:color w:val="auto"/>
          <w:kern w:val="0"/>
          <w:sz w:val="84"/>
          <w:szCs w:val="84"/>
        </w:rPr>
      </w:pPr>
    </w:p>
    <w:p w14:paraId="75ADC3EE">
      <w:pPr>
        <w:widowControl/>
        <w:jc w:val="center"/>
        <w:rPr>
          <w:rFonts w:ascii="宋体" w:hAnsi="宋体" w:cs="Arial"/>
          <w:b/>
          <w:color w:val="auto"/>
          <w:kern w:val="0"/>
          <w:sz w:val="84"/>
          <w:szCs w:val="84"/>
        </w:rPr>
      </w:pPr>
      <w:r>
        <w:rPr>
          <w:rFonts w:hint="eastAsia" w:ascii="宋体" w:hAnsi="宋体" w:cs="Arial"/>
          <w:b/>
          <w:color w:val="auto"/>
          <w:kern w:val="0"/>
          <w:sz w:val="84"/>
          <w:szCs w:val="84"/>
        </w:rPr>
        <w:t>合</w:t>
      </w:r>
    </w:p>
    <w:p w14:paraId="1B9BDD48">
      <w:pPr>
        <w:widowControl/>
        <w:jc w:val="center"/>
        <w:rPr>
          <w:rFonts w:ascii="宋体" w:hAnsi="宋体" w:cs="Arial"/>
          <w:b/>
          <w:color w:val="auto"/>
          <w:kern w:val="0"/>
          <w:sz w:val="84"/>
          <w:szCs w:val="84"/>
        </w:rPr>
      </w:pPr>
      <w:r>
        <w:rPr>
          <w:rFonts w:hint="eastAsia" w:ascii="宋体" w:hAnsi="宋体" w:cs="Arial"/>
          <w:b/>
          <w:color w:val="auto"/>
          <w:kern w:val="0"/>
          <w:sz w:val="84"/>
          <w:szCs w:val="84"/>
        </w:rPr>
        <w:t>同</w:t>
      </w:r>
    </w:p>
    <w:p w14:paraId="203A71F8">
      <w:pPr>
        <w:widowControl/>
        <w:jc w:val="center"/>
        <w:rPr>
          <w:rFonts w:ascii="宋体" w:hAnsi="宋体" w:cs="Arial"/>
          <w:b/>
          <w:bCs/>
          <w:color w:val="auto"/>
          <w:kern w:val="0"/>
          <w:sz w:val="28"/>
          <w:szCs w:val="28"/>
        </w:rPr>
      </w:pPr>
      <w:r>
        <w:rPr>
          <w:rFonts w:hint="eastAsia" w:ascii="宋体" w:hAnsi="宋体" w:cs="Arial"/>
          <w:b/>
          <w:color w:val="auto"/>
          <w:kern w:val="0"/>
          <w:sz w:val="84"/>
          <w:szCs w:val="84"/>
        </w:rPr>
        <w:t>书</w:t>
      </w:r>
    </w:p>
    <w:p w14:paraId="7391A249">
      <w:pPr>
        <w:widowControl/>
        <w:spacing w:line="900" w:lineRule="exact"/>
        <w:ind w:firstLine="2530" w:firstLineChars="900"/>
        <w:rPr>
          <w:rFonts w:ascii="宋体" w:hAnsi="宋体" w:cs="Arial"/>
          <w:b/>
          <w:bCs/>
          <w:color w:val="auto"/>
          <w:kern w:val="0"/>
          <w:sz w:val="28"/>
          <w:szCs w:val="28"/>
        </w:rPr>
      </w:pPr>
    </w:p>
    <w:p w14:paraId="2401AEDD">
      <w:pPr>
        <w:widowControl/>
        <w:spacing w:line="900" w:lineRule="exact"/>
        <w:ind w:firstLine="2530" w:firstLineChars="900"/>
        <w:rPr>
          <w:rFonts w:ascii="宋体" w:hAnsi="宋体" w:cs="Arial"/>
          <w:color w:val="auto"/>
          <w:kern w:val="0"/>
          <w:sz w:val="28"/>
          <w:szCs w:val="28"/>
        </w:rPr>
      </w:pPr>
      <w:r>
        <w:rPr>
          <w:rFonts w:hint="eastAsia" w:ascii="宋体" w:hAnsi="宋体" w:cs="Arial"/>
          <w:b/>
          <w:bCs/>
          <w:color w:val="auto"/>
          <w:kern w:val="0"/>
          <w:sz w:val="28"/>
          <w:szCs w:val="28"/>
        </w:rPr>
        <w:t xml:space="preserve">签订地点:          </w:t>
      </w:r>
    </w:p>
    <w:p w14:paraId="09EACD7E">
      <w:pPr>
        <w:widowControl/>
        <w:spacing w:line="900" w:lineRule="exact"/>
        <w:ind w:firstLine="2249" w:firstLineChars="800"/>
        <w:rPr>
          <w:rFonts w:ascii="宋体" w:hAnsi="宋体" w:cs="Arial"/>
          <w:b/>
          <w:bCs/>
          <w:color w:val="auto"/>
          <w:kern w:val="0"/>
          <w:sz w:val="28"/>
          <w:szCs w:val="28"/>
        </w:rPr>
      </w:pPr>
      <w:r>
        <w:rPr>
          <w:rFonts w:hint="eastAsia" w:ascii="宋体" w:hAnsi="宋体" w:cs="Arial"/>
          <w:b/>
          <w:bCs/>
          <w:color w:val="auto"/>
          <w:kern w:val="0"/>
          <w:sz w:val="28"/>
          <w:szCs w:val="28"/>
        </w:rPr>
        <w:t>云南省财政厅　制</w:t>
      </w:r>
    </w:p>
    <w:p w14:paraId="26D807CA">
      <w:pPr>
        <w:spacing w:line="500" w:lineRule="exact"/>
        <w:ind w:firstLine="480" w:firstLineChars="200"/>
        <w:rPr>
          <w:rFonts w:ascii="宋体" w:hAnsi="宋体" w:cs="宋体"/>
          <w:color w:val="auto"/>
          <w:sz w:val="24"/>
        </w:rPr>
      </w:pPr>
    </w:p>
    <w:p w14:paraId="2E15F39A">
      <w:pPr>
        <w:spacing w:line="500" w:lineRule="exact"/>
        <w:ind w:firstLine="241" w:firstLineChars="100"/>
        <w:rPr>
          <w:rFonts w:ascii="宋体" w:hAnsi="宋体" w:cs="宋体"/>
          <w:b/>
          <w:color w:val="auto"/>
          <w:sz w:val="24"/>
        </w:rPr>
        <w:sectPr>
          <w:pgSz w:w="11905" w:h="16840"/>
          <w:pgMar w:top="1701" w:right="1440" w:bottom="1701" w:left="1440" w:header="851" w:footer="1191" w:gutter="0"/>
          <w:pgNumType w:fmt="decimal"/>
          <w:cols w:space="0" w:num="1"/>
          <w:titlePg/>
          <w:docGrid w:linePitch="312" w:charSpace="0"/>
        </w:sectPr>
      </w:pPr>
    </w:p>
    <w:p w14:paraId="3A0568F8">
      <w:pPr>
        <w:spacing w:line="360" w:lineRule="auto"/>
        <w:ind w:firstLine="241" w:firstLineChars="100"/>
        <w:rPr>
          <w:rFonts w:ascii="宋体" w:hAnsi="宋体" w:cs="宋体"/>
          <w:b/>
          <w:color w:val="auto"/>
          <w:sz w:val="24"/>
          <w:u w:val="single"/>
        </w:rPr>
      </w:pPr>
      <w:r>
        <w:rPr>
          <w:rFonts w:hint="eastAsia" w:ascii="宋体" w:hAnsi="宋体" w:cs="宋体"/>
          <w:b/>
          <w:color w:val="auto"/>
          <w:sz w:val="24"/>
        </w:rPr>
        <w:t>甲方：</w:t>
      </w:r>
    </w:p>
    <w:p w14:paraId="0FA9D9BB">
      <w:pPr>
        <w:spacing w:line="360" w:lineRule="auto"/>
        <w:ind w:firstLine="482" w:firstLineChars="200"/>
        <w:rPr>
          <w:rFonts w:ascii="宋体" w:hAnsi="宋体" w:cs="宋体"/>
          <w:b/>
          <w:color w:val="auto"/>
          <w:sz w:val="24"/>
        </w:rPr>
      </w:pPr>
    </w:p>
    <w:p w14:paraId="3372F645">
      <w:pPr>
        <w:spacing w:line="360" w:lineRule="auto"/>
        <w:ind w:firstLine="241" w:firstLineChars="100"/>
        <w:rPr>
          <w:rFonts w:ascii="宋体" w:hAnsi="宋体" w:cs="宋体"/>
          <w:color w:val="auto"/>
          <w:sz w:val="24"/>
        </w:rPr>
      </w:pPr>
      <w:bookmarkStart w:id="179" w:name="_Toc19301"/>
      <w:bookmarkStart w:id="180" w:name="_Toc30665"/>
      <w:bookmarkStart w:id="181" w:name="_Toc27007"/>
      <w:r>
        <w:rPr>
          <w:rFonts w:hint="eastAsia" w:ascii="宋体" w:hAnsi="宋体" w:cs="宋体"/>
          <w:b/>
          <w:color w:val="auto"/>
          <w:sz w:val="24"/>
        </w:rPr>
        <w:t>乙方：</w:t>
      </w:r>
      <w:bookmarkEnd w:id="179"/>
      <w:bookmarkEnd w:id="180"/>
      <w:bookmarkEnd w:id="181"/>
    </w:p>
    <w:p w14:paraId="6F8D7586">
      <w:pPr>
        <w:pStyle w:val="33"/>
        <w:spacing w:line="360" w:lineRule="auto"/>
        <w:ind w:firstLine="480" w:firstLineChars="200"/>
        <w:rPr>
          <w:rFonts w:hAnsi="宋体"/>
          <w:color w:val="auto"/>
        </w:rPr>
      </w:pPr>
    </w:p>
    <w:p w14:paraId="0304D8B4">
      <w:pPr>
        <w:pStyle w:val="33"/>
        <w:spacing w:line="500" w:lineRule="exact"/>
        <w:ind w:firstLine="480" w:firstLineChars="200"/>
        <w:rPr>
          <w:rFonts w:hAnsi="宋体"/>
          <w:color w:val="auto"/>
        </w:rPr>
      </w:pPr>
      <w:r>
        <w:rPr>
          <w:rFonts w:hint="eastAsia" w:hAnsi="宋体"/>
          <w:color w:val="auto"/>
        </w:rPr>
        <w:t>根据招标编号：公开招标结果，甲、乙双方在平等、互利、友好的基础上，经过共同协商,甲方和乙方签订合同如下：</w:t>
      </w:r>
    </w:p>
    <w:p w14:paraId="0F8DBFAD">
      <w:pPr>
        <w:pStyle w:val="33"/>
        <w:spacing w:beforeLines="50" w:line="500" w:lineRule="exact"/>
        <w:ind w:firstLine="482" w:firstLineChars="200"/>
        <w:rPr>
          <w:rFonts w:hint="eastAsia" w:hAnsi="宋体" w:eastAsia="宋体"/>
          <w:b/>
          <w:color w:val="auto"/>
          <w:lang w:eastAsia="zh-CN"/>
        </w:rPr>
      </w:pPr>
      <w:r>
        <w:rPr>
          <w:rFonts w:hint="eastAsia" w:hAnsi="宋体"/>
          <w:b/>
          <w:color w:val="auto"/>
        </w:rPr>
        <w:t>1.合同文件</w:t>
      </w:r>
    </w:p>
    <w:p w14:paraId="011D948A">
      <w:pPr>
        <w:pStyle w:val="33"/>
        <w:spacing w:beforeLines="50" w:line="500" w:lineRule="exact"/>
        <w:ind w:firstLine="480" w:firstLineChars="200"/>
        <w:rPr>
          <w:rFonts w:hAnsi="宋体"/>
          <w:color w:val="auto"/>
        </w:rPr>
      </w:pPr>
      <w:r>
        <w:rPr>
          <w:rFonts w:hint="eastAsia" w:hAnsi="宋体"/>
          <w:color w:val="auto"/>
        </w:rPr>
        <w:t>本合同包含下列文件</w:t>
      </w:r>
    </w:p>
    <w:p w14:paraId="2DE97E25">
      <w:pPr>
        <w:pStyle w:val="33"/>
        <w:spacing w:line="500" w:lineRule="exact"/>
        <w:ind w:firstLine="480" w:firstLineChars="200"/>
        <w:rPr>
          <w:rFonts w:hAnsi="宋体"/>
          <w:color w:val="auto"/>
        </w:rPr>
      </w:pPr>
      <w:r>
        <w:rPr>
          <w:rFonts w:hint="eastAsia" w:hAnsi="宋体"/>
          <w:color w:val="auto"/>
        </w:rPr>
        <w:t>1.1 本合同</w:t>
      </w:r>
    </w:p>
    <w:p w14:paraId="33B6E75D">
      <w:pPr>
        <w:pStyle w:val="33"/>
        <w:spacing w:line="500" w:lineRule="exact"/>
        <w:ind w:firstLine="480" w:firstLineChars="200"/>
        <w:rPr>
          <w:rFonts w:hAnsi="宋体"/>
          <w:color w:val="auto"/>
        </w:rPr>
      </w:pPr>
      <w:r>
        <w:rPr>
          <w:rFonts w:hint="eastAsia" w:hAnsi="宋体"/>
          <w:color w:val="auto"/>
        </w:rPr>
        <w:t>1.2 投标文件</w:t>
      </w:r>
    </w:p>
    <w:p w14:paraId="633F5A1E">
      <w:pPr>
        <w:pStyle w:val="33"/>
        <w:spacing w:beforeLines="50" w:line="500" w:lineRule="exact"/>
        <w:ind w:firstLine="482" w:firstLineChars="200"/>
        <w:rPr>
          <w:rFonts w:hAnsi="宋体"/>
          <w:b/>
          <w:color w:val="auto"/>
        </w:rPr>
      </w:pPr>
      <w:r>
        <w:rPr>
          <w:rFonts w:hint="eastAsia" w:hAnsi="宋体"/>
          <w:b/>
          <w:color w:val="auto"/>
        </w:rPr>
        <w:t>2.合同标的及价格</w:t>
      </w:r>
    </w:p>
    <w:p w14:paraId="3E181E61">
      <w:pPr>
        <w:spacing w:line="500" w:lineRule="exact"/>
        <w:ind w:firstLine="480" w:firstLineChars="200"/>
        <w:rPr>
          <w:rFonts w:ascii="宋体" w:hAnsi="宋体" w:cs="宋体"/>
          <w:bCs/>
          <w:color w:val="auto"/>
          <w:sz w:val="24"/>
        </w:rPr>
      </w:pPr>
      <w:r>
        <w:rPr>
          <w:rFonts w:hint="eastAsia" w:ascii="宋体" w:hAnsi="宋体" w:cs="宋体"/>
          <w:color w:val="auto"/>
          <w:sz w:val="24"/>
        </w:rPr>
        <w:t>2.1采购清单</w:t>
      </w:r>
    </w:p>
    <w:tbl>
      <w:tblPr>
        <w:tblStyle w:val="24"/>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0"/>
        <w:gridCol w:w="1410"/>
        <w:gridCol w:w="3195"/>
        <w:gridCol w:w="765"/>
        <w:gridCol w:w="810"/>
        <w:gridCol w:w="780"/>
        <w:gridCol w:w="787"/>
      </w:tblGrid>
      <w:tr w14:paraId="68971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1320" w:type="dxa"/>
            <w:vAlign w:val="center"/>
          </w:tcPr>
          <w:p w14:paraId="2499DBE4">
            <w:pPr>
              <w:spacing w:line="500" w:lineRule="exact"/>
              <w:jc w:val="center"/>
              <w:rPr>
                <w:rFonts w:ascii="宋体" w:hAnsi="宋体" w:cs="宋体"/>
                <w:color w:val="auto"/>
                <w:sz w:val="24"/>
              </w:rPr>
            </w:pPr>
            <w:r>
              <w:rPr>
                <w:rFonts w:hint="eastAsia" w:ascii="宋体" w:hAnsi="宋体" w:cs="宋体"/>
                <w:color w:val="auto"/>
                <w:sz w:val="24"/>
              </w:rPr>
              <w:t>名称</w:t>
            </w:r>
          </w:p>
        </w:tc>
        <w:tc>
          <w:tcPr>
            <w:tcW w:w="1410" w:type="dxa"/>
            <w:vAlign w:val="center"/>
          </w:tcPr>
          <w:p w14:paraId="03E31974">
            <w:pPr>
              <w:spacing w:line="500" w:lineRule="exact"/>
              <w:jc w:val="center"/>
              <w:rPr>
                <w:rFonts w:ascii="宋体" w:hAnsi="宋体" w:cs="宋体"/>
                <w:color w:val="auto"/>
                <w:sz w:val="24"/>
              </w:rPr>
            </w:pPr>
            <w:r>
              <w:rPr>
                <w:rFonts w:hint="eastAsia" w:ascii="宋体" w:hAnsi="宋体" w:cs="宋体"/>
                <w:color w:val="auto"/>
                <w:sz w:val="24"/>
              </w:rPr>
              <w:t>品牌/厂家</w:t>
            </w:r>
          </w:p>
        </w:tc>
        <w:tc>
          <w:tcPr>
            <w:tcW w:w="3195" w:type="dxa"/>
            <w:vAlign w:val="center"/>
          </w:tcPr>
          <w:p w14:paraId="55DDF054">
            <w:pPr>
              <w:spacing w:line="500" w:lineRule="exact"/>
              <w:jc w:val="center"/>
              <w:rPr>
                <w:rFonts w:ascii="宋体" w:hAnsi="宋体" w:cs="宋体"/>
                <w:color w:val="auto"/>
                <w:sz w:val="24"/>
              </w:rPr>
            </w:pPr>
            <w:r>
              <w:rPr>
                <w:rFonts w:hint="eastAsia" w:ascii="宋体" w:hAnsi="宋体" w:cs="宋体"/>
                <w:color w:val="auto"/>
                <w:sz w:val="24"/>
              </w:rPr>
              <w:t>项目特征规格、技术参数、性能要求</w:t>
            </w:r>
          </w:p>
        </w:tc>
        <w:tc>
          <w:tcPr>
            <w:tcW w:w="765" w:type="dxa"/>
            <w:vAlign w:val="center"/>
          </w:tcPr>
          <w:p w14:paraId="030F2D9D">
            <w:pPr>
              <w:spacing w:line="500" w:lineRule="exact"/>
              <w:jc w:val="center"/>
              <w:rPr>
                <w:rFonts w:ascii="宋体" w:hAnsi="宋体" w:cs="宋体"/>
                <w:color w:val="auto"/>
                <w:sz w:val="24"/>
              </w:rPr>
            </w:pPr>
            <w:r>
              <w:rPr>
                <w:rFonts w:hint="eastAsia" w:ascii="宋体" w:hAnsi="宋体" w:cs="宋体"/>
                <w:color w:val="auto"/>
                <w:sz w:val="24"/>
              </w:rPr>
              <w:t>数量</w:t>
            </w:r>
          </w:p>
        </w:tc>
        <w:tc>
          <w:tcPr>
            <w:tcW w:w="810" w:type="dxa"/>
            <w:vAlign w:val="center"/>
          </w:tcPr>
          <w:p w14:paraId="35F94A16">
            <w:pPr>
              <w:spacing w:line="500" w:lineRule="exact"/>
              <w:jc w:val="center"/>
              <w:rPr>
                <w:rFonts w:ascii="宋体" w:hAnsi="宋体" w:cs="宋体"/>
                <w:color w:val="auto"/>
                <w:sz w:val="24"/>
              </w:rPr>
            </w:pPr>
            <w:r>
              <w:rPr>
                <w:rFonts w:hint="eastAsia" w:ascii="宋体" w:hAnsi="宋体" w:cs="宋体"/>
                <w:color w:val="auto"/>
                <w:sz w:val="24"/>
              </w:rPr>
              <w:t>单位</w:t>
            </w:r>
          </w:p>
        </w:tc>
        <w:tc>
          <w:tcPr>
            <w:tcW w:w="780" w:type="dxa"/>
            <w:vAlign w:val="center"/>
          </w:tcPr>
          <w:p w14:paraId="2AF9D217">
            <w:pPr>
              <w:spacing w:line="500" w:lineRule="exact"/>
              <w:jc w:val="center"/>
              <w:rPr>
                <w:rFonts w:ascii="宋体" w:hAnsi="宋体" w:cs="宋体"/>
                <w:color w:val="auto"/>
                <w:sz w:val="24"/>
              </w:rPr>
            </w:pPr>
            <w:r>
              <w:rPr>
                <w:rFonts w:hint="eastAsia" w:ascii="宋体" w:hAnsi="宋体" w:cs="宋体"/>
                <w:color w:val="auto"/>
                <w:sz w:val="24"/>
              </w:rPr>
              <w:t>单价</w:t>
            </w:r>
          </w:p>
        </w:tc>
        <w:tc>
          <w:tcPr>
            <w:tcW w:w="787" w:type="dxa"/>
            <w:vAlign w:val="center"/>
          </w:tcPr>
          <w:p w14:paraId="53CB3DD1">
            <w:pPr>
              <w:spacing w:line="500" w:lineRule="exact"/>
              <w:jc w:val="center"/>
              <w:rPr>
                <w:rFonts w:ascii="宋体" w:hAnsi="宋体" w:cs="宋体"/>
                <w:color w:val="auto"/>
                <w:sz w:val="24"/>
              </w:rPr>
            </w:pPr>
            <w:r>
              <w:rPr>
                <w:rFonts w:hint="eastAsia" w:ascii="宋体" w:hAnsi="宋体" w:cs="宋体"/>
                <w:color w:val="auto"/>
                <w:sz w:val="24"/>
              </w:rPr>
              <w:t>合价</w:t>
            </w:r>
          </w:p>
        </w:tc>
      </w:tr>
      <w:tr w14:paraId="64EF1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320" w:type="dxa"/>
            <w:vAlign w:val="center"/>
          </w:tcPr>
          <w:p w14:paraId="0E41BCA4">
            <w:pPr>
              <w:spacing w:line="500" w:lineRule="exact"/>
              <w:jc w:val="center"/>
              <w:rPr>
                <w:rFonts w:ascii="宋体" w:hAnsi="宋体" w:cs="宋体"/>
                <w:color w:val="auto"/>
                <w:sz w:val="24"/>
              </w:rPr>
            </w:pPr>
          </w:p>
        </w:tc>
        <w:tc>
          <w:tcPr>
            <w:tcW w:w="1410" w:type="dxa"/>
            <w:vAlign w:val="center"/>
          </w:tcPr>
          <w:p w14:paraId="3664BFC5">
            <w:pPr>
              <w:spacing w:line="500" w:lineRule="exact"/>
              <w:jc w:val="center"/>
              <w:rPr>
                <w:rFonts w:ascii="宋体" w:hAnsi="宋体" w:cs="宋体"/>
                <w:color w:val="auto"/>
                <w:sz w:val="24"/>
              </w:rPr>
            </w:pPr>
          </w:p>
        </w:tc>
        <w:tc>
          <w:tcPr>
            <w:tcW w:w="3195" w:type="dxa"/>
            <w:vAlign w:val="center"/>
          </w:tcPr>
          <w:p w14:paraId="12AB19EF">
            <w:pPr>
              <w:spacing w:line="500" w:lineRule="exact"/>
              <w:jc w:val="center"/>
              <w:rPr>
                <w:rFonts w:ascii="宋体" w:hAnsi="宋体" w:cs="宋体"/>
                <w:color w:val="auto"/>
                <w:sz w:val="24"/>
              </w:rPr>
            </w:pPr>
          </w:p>
        </w:tc>
        <w:tc>
          <w:tcPr>
            <w:tcW w:w="765" w:type="dxa"/>
            <w:vAlign w:val="center"/>
          </w:tcPr>
          <w:p w14:paraId="260DF9C2">
            <w:pPr>
              <w:spacing w:line="500" w:lineRule="exact"/>
              <w:jc w:val="center"/>
              <w:rPr>
                <w:rFonts w:ascii="宋体" w:hAnsi="宋体" w:cs="宋体"/>
                <w:color w:val="auto"/>
                <w:sz w:val="24"/>
              </w:rPr>
            </w:pPr>
          </w:p>
        </w:tc>
        <w:tc>
          <w:tcPr>
            <w:tcW w:w="810" w:type="dxa"/>
            <w:vAlign w:val="center"/>
          </w:tcPr>
          <w:p w14:paraId="227BDCA7">
            <w:pPr>
              <w:spacing w:line="500" w:lineRule="exact"/>
              <w:jc w:val="center"/>
              <w:rPr>
                <w:rFonts w:ascii="宋体" w:hAnsi="宋体" w:cs="宋体"/>
                <w:color w:val="auto"/>
                <w:sz w:val="24"/>
              </w:rPr>
            </w:pPr>
          </w:p>
        </w:tc>
        <w:tc>
          <w:tcPr>
            <w:tcW w:w="780" w:type="dxa"/>
          </w:tcPr>
          <w:p w14:paraId="070468AD">
            <w:pPr>
              <w:spacing w:line="500" w:lineRule="exact"/>
              <w:rPr>
                <w:rFonts w:ascii="宋体" w:hAnsi="宋体" w:cs="宋体"/>
                <w:color w:val="auto"/>
                <w:sz w:val="24"/>
              </w:rPr>
            </w:pPr>
          </w:p>
        </w:tc>
        <w:tc>
          <w:tcPr>
            <w:tcW w:w="787" w:type="dxa"/>
          </w:tcPr>
          <w:p w14:paraId="7760A029">
            <w:pPr>
              <w:spacing w:line="500" w:lineRule="exact"/>
              <w:rPr>
                <w:rFonts w:ascii="宋体" w:hAnsi="宋体" w:cs="宋体"/>
                <w:color w:val="auto"/>
                <w:sz w:val="24"/>
              </w:rPr>
            </w:pPr>
          </w:p>
        </w:tc>
      </w:tr>
      <w:tr w14:paraId="2EE74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0" w:type="dxa"/>
            <w:vAlign w:val="center"/>
          </w:tcPr>
          <w:p w14:paraId="5D5388CD">
            <w:pPr>
              <w:spacing w:line="500" w:lineRule="exact"/>
              <w:jc w:val="center"/>
              <w:rPr>
                <w:rFonts w:ascii="宋体" w:hAnsi="宋体" w:cs="宋体"/>
                <w:color w:val="auto"/>
                <w:sz w:val="24"/>
              </w:rPr>
            </w:pPr>
          </w:p>
        </w:tc>
        <w:tc>
          <w:tcPr>
            <w:tcW w:w="1410" w:type="dxa"/>
            <w:vAlign w:val="center"/>
          </w:tcPr>
          <w:p w14:paraId="7DD8767D">
            <w:pPr>
              <w:spacing w:line="500" w:lineRule="exact"/>
              <w:jc w:val="center"/>
              <w:rPr>
                <w:rFonts w:ascii="宋体" w:hAnsi="宋体" w:cs="宋体"/>
                <w:color w:val="auto"/>
                <w:sz w:val="24"/>
              </w:rPr>
            </w:pPr>
          </w:p>
        </w:tc>
        <w:tc>
          <w:tcPr>
            <w:tcW w:w="3195" w:type="dxa"/>
            <w:vAlign w:val="center"/>
          </w:tcPr>
          <w:p w14:paraId="343EC316">
            <w:pPr>
              <w:spacing w:line="500" w:lineRule="exact"/>
              <w:jc w:val="center"/>
              <w:rPr>
                <w:rFonts w:ascii="宋体" w:hAnsi="宋体" w:cs="宋体"/>
                <w:color w:val="auto"/>
                <w:sz w:val="24"/>
              </w:rPr>
            </w:pPr>
          </w:p>
        </w:tc>
        <w:tc>
          <w:tcPr>
            <w:tcW w:w="765" w:type="dxa"/>
            <w:vAlign w:val="center"/>
          </w:tcPr>
          <w:p w14:paraId="45A2A215">
            <w:pPr>
              <w:spacing w:line="500" w:lineRule="exact"/>
              <w:jc w:val="center"/>
              <w:rPr>
                <w:rFonts w:ascii="宋体" w:hAnsi="宋体" w:cs="宋体"/>
                <w:color w:val="auto"/>
                <w:sz w:val="24"/>
              </w:rPr>
            </w:pPr>
          </w:p>
        </w:tc>
        <w:tc>
          <w:tcPr>
            <w:tcW w:w="810" w:type="dxa"/>
            <w:vAlign w:val="center"/>
          </w:tcPr>
          <w:p w14:paraId="5F813767">
            <w:pPr>
              <w:spacing w:line="500" w:lineRule="exact"/>
              <w:jc w:val="center"/>
              <w:rPr>
                <w:rFonts w:ascii="宋体" w:hAnsi="宋体" w:cs="宋体"/>
                <w:color w:val="auto"/>
                <w:sz w:val="24"/>
              </w:rPr>
            </w:pPr>
          </w:p>
        </w:tc>
        <w:tc>
          <w:tcPr>
            <w:tcW w:w="780" w:type="dxa"/>
          </w:tcPr>
          <w:p w14:paraId="3582C1CF">
            <w:pPr>
              <w:spacing w:line="500" w:lineRule="exact"/>
              <w:rPr>
                <w:rFonts w:ascii="宋体" w:hAnsi="宋体" w:cs="宋体"/>
                <w:color w:val="auto"/>
                <w:sz w:val="24"/>
              </w:rPr>
            </w:pPr>
          </w:p>
        </w:tc>
        <w:tc>
          <w:tcPr>
            <w:tcW w:w="787" w:type="dxa"/>
          </w:tcPr>
          <w:p w14:paraId="1F25E791">
            <w:pPr>
              <w:spacing w:line="500" w:lineRule="exact"/>
              <w:rPr>
                <w:rFonts w:ascii="宋体" w:hAnsi="宋体" w:cs="宋体"/>
                <w:color w:val="auto"/>
                <w:sz w:val="24"/>
              </w:rPr>
            </w:pPr>
          </w:p>
        </w:tc>
      </w:tr>
      <w:tr w14:paraId="4C397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0" w:type="dxa"/>
            <w:vAlign w:val="center"/>
          </w:tcPr>
          <w:p w14:paraId="2E9C165C">
            <w:pPr>
              <w:spacing w:line="500" w:lineRule="exact"/>
              <w:jc w:val="center"/>
              <w:rPr>
                <w:rFonts w:ascii="宋体" w:hAnsi="宋体" w:cs="宋体"/>
                <w:color w:val="auto"/>
                <w:sz w:val="24"/>
              </w:rPr>
            </w:pPr>
          </w:p>
        </w:tc>
        <w:tc>
          <w:tcPr>
            <w:tcW w:w="1410" w:type="dxa"/>
            <w:vAlign w:val="center"/>
          </w:tcPr>
          <w:p w14:paraId="4BBAA7A9">
            <w:pPr>
              <w:spacing w:line="500" w:lineRule="exact"/>
              <w:jc w:val="center"/>
              <w:rPr>
                <w:rFonts w:ascii="宋体" w:hAnsi="宋体" w:cs="宋体"/>
                <w:color w:val="auto"/>
                <w:sz w:val="24"/>
              </w:rPr>
            </w:pPr>
          </w:p>
        </w:tc>
        <w:tc>
          <w:tcPr>
            <w:tcW w:w="3195" w:type="dxa"/>
            <w:vAlign w:val="center"/>
          </w:tcPr>
          <w:p w14:paraId="14BC26A4">
            <w:pPr>
              <w:spacing w:line="500" w:lineRule="exact"/>
              <w:jc w:val="center"/>
              <w:rPr>
                <w:rFonts w:ascii="宋体" w:hAnsi="宋体" w:cs="宋体"/>
                <w:color w:val="auto"/>
                <w:sz w:val="24"/>
              </w:rPr>
            </w:pPr>
          </w:p>
        </w:tc>
        <w:tc>
          <w:tcPr>
            <w:tcW w:w="765" w:type="dxa"/>
            <w:vAlign w:val="center"/>
          </w:tcPr>
          <w:p w14:paraId="71FE122F">
            <w:pPr>
              <w:spacing w:line="500" w:lineRule="exact"/>
              <w:jc w:val="center"/>
              <w:rPr>
                <w:rFonts w:ascii="宋体" w:hAnsi="宋体" w:cs="宋体"/>
                <w:color w:val="auto"/>
                <w:sz w:val="24"/>
              </w:rPr>
            </w:pPr>
          </w:p>
        </w:tc>
        <w:tc>
          <w:tcPr>
            <w:tcW w:w="810" w:type="dxa"/>
            <w:vAlign w:val="center"/>
          </w:tcPr>
          <w:p w14:paraId="3F932F55">
            <w:pPr>
              <w:spacing w:line="500" w:lineRule="exact"/>
              <w:jc w:val="center"/>
              <w:rPr>
                <w:rFonts w:ascii="宋体" w:hAnsi="宋体" w:cs="宋体"/>
                <w:color w:val="auto"/>
                <w:sz w:val="24"/>
              </w:rPr>
            </w:pPr>
          </w:p>
        </w:tc>
        <w:tc>
          <w:tcPr>
            <w:tcW w:w="780" w:type="dxa"/>
          </w:tcPr>
          <w:p w14:paraId="47650F8B">
            <w:pPr>
              <w:spacing w:line="500" w:lineRule="exact"/>
              <w:rPr>
                <w:rFonts w:ascii="宋体" w:hAnsi="宋体" w:cs="宋体"/>
                <w:color w:val="auto"/>
                <w:sz w:val="24"/>
              </w:rPr>
            </w:pPr>
          </w:p>
        </w:tc>
        <w:tc>
          <w:tcPr>
            <w:tcW w:w="787" w:type="dxa"/>
          </w:tcPr>
          <w:p w14:paraId="4C7D0322">
            <w:pPr>
              <w:spacing w:line="500" w:lineRule="exact"/>
              <w:rPr>
                <w:rFonts w:ascii="宋体" w:hAnsi="宋体" w:cs="宋体"/>
                <w:color w:val="auto"/>
                <w:sz w:val="24"/>
              </w:rPr>
            </w:pPr>
          </w:p>
        </w:tc>
      </w:tr>
    </w:tbl>
    <w:p w14:paraId="634FA694">
      <w:pPr>
        <w:spacing w:line="500" w:lineRule="exact"/>
        <w:ind w:firstLine="480" w:firstLineChars="200"/>
        <w:rPr>
          <w:rFonts w:ascii="宋体" w:hAnsi="宋体" w:cs="宋体"/>
          <w:color w:val="auto"/>
          <w:sz w:val="24"/>
        </w:rPr>
      </w:pPr>
      <w:r>
        <w:rPr>
          <w:rFonts w:hint="eastAsia" w:ascii="宋体" w:hAnsi="宋体" w:cs="宋体"/>
          <w:color w:val="auto"/>
          <w:sz w:val="24"/>
        </w:rPr>
        <w:t>2.2</w:t>
      </w:r>
      <w:r>
        <w:rPr>
          <w:rFonts w:hint="eastAsia" w:ascii="宋体" w:hAnsi="宋体" w:cs="宋体"/>
          <w:bCs/>
          <w:color w:val="auto"/>
          <w:sz w:val="24"/>
        </w:rPr>
        <w:t xml:space="preserve"> 本合同设备总价为人民币</w:t>
      </w:r>
      <w:r>
        <w:rPr>
          <w:rFonts w:hint="eastAsia" w:ascii="宋体" w:hAnsi="宋体" w:cs="宋体"/>
          <w:color w:val="auto"/>
          <w:sz w:val="24"/>
        </w:rPr>
        <w:t>¥（大写人民币）</w:t>
      </w:r>
    </w:p>
    <w:p w14:paraId="3A3D84CC">
      <w:pPr>
        <w:spacing w:line="500" w:lineRule="exact"/>
        <w:ind w:firstLine="480" w:firstLineChars="200"/>
        <w:rPr>
          <w:rFonts w:ascii="宋体" w:hAnsi="宋体" w:cs="宋体"/>
          <w:color w:val="auto"/>
          <w:sz w:val="24"/>
        </w:rPr>
      </w:pPr>
      <w:r>
        <w:rPr>
          <w:rFonts w:hint="eastAsia" w:ascii="宋体" w:hAnsi="宋体" w:cs="宋体"/>
          <w:color w:val="auto"/>
          <w:sz w:val="24"/>
        </w:rPr>
        <w:t>上述合同总价包括：</w:t>
      </w:r>
      <w:r>
        <w:rPr>
          <w:rFonts w:hint="eastAsia" w:ascii="宋体" w:hAnsi="宋体" w:cs="宋体"/>
          <w:color w:val="auto"/>
          <w:sz w:val="24"/>
          <w:lang w:val="zh-CN"/>
        </w:rPr>
        <w:t>包括：本项目所投产品、产品的运输装卸、</w:t>
      </w:r>
      <w:r>
        <w:rPr>
          <w:rFonts w:hint="eastAsia" w:ascii="宋体" w:hAnsi="宋体" w:cs="宋体"/>
          <w:color w:val="auto"/>
          <w:sz w:val="24"/>
        </w:rPr>
        <w:t>安装</w:t>
      </w:r>
      <w:r>
        <w:rPr>
          <w:rFonts w:hint="eastAsia" w:ascii="宋体" w:hAnsi="宋体" w:cs="宋体"/>
          <w:color w:val="auto"/>
          <w:sz w:val="24"/>
          <w:lang w:val="zh-CN"/>
        </w:rPr>
        <w:t>、验收、维护费、质保等伴随的服务及各种税费等全部费用</w:t>
      </w:r>
      <w:r>
        <w:rPr>
          <w:rFonts w:hint="eastAsia" w:ascii="宋体" w:hAnsi="宋体" w:cs="宋体"/>
          <w:color w:val="auto"/>
          <w:sz w:val="24"/>
        </w:rPr>
        <w:t>。</w:t>
      </w:r>
    </w:p>
    <w:p w14:paraId="3EDF61A7">
      <w:pPr>
        <w:spacing w:line="500" w:lineRule="exact"/>
        <w:ind w:firstLine="482" w:firstLineChars="200"/>
        <w:rPr>
          <w:rFonts w:ascii="宋体" w:hAnsi="宋体" w:cs="宋体"/>
          <w:color w:val="auto"/>
          <w:sz w:val="24"/>
        </w:rPr>
      </w:pPr>
      <w:r>
        <w:rPr>
          <w:rFonts w:hint="eastAsia" w:ascii="宋体" w:hAnsi="宋体" w:cs="宋体"/>
          <w:b/>
          <w:color w:val="auto"/>
          <w:kern w:val="0"/>
          <w:sz w:val="24"/>
        </w:rPr>
        <w:t xml:space="preserve">3.付款方式   </w:t>
      </w:r>
    </w:p>
    <w:p w14:paraId="3E784D6A">
      <w:pPr>
        <w:spacing w:line="500" w:lineRule="exact"/>
        <w:ind w:firstLine="480" w:firstLineChars="200"/>
        <w:jc w:val="left"/>
        <w:rPr>
          <w:rFonts w:hint="eastAsia" w:ascii="宋体" w:hAnsi="宋体" w:eastAsia="宋体" w:cs="宋体"/>
          <w:color w:val="auto"/>
          <w:sz w:val="24"/>
          <w:lang w:eastAsia="zh-CN"/>
        </w:rPr>
      </w:pPr>
      <w:r>
        <w:rPr>
          <w:rFonts w:hint="eastAsia" w:ascii="宋体" w:hAnsi="宋体" w:cs="宋体"/>
          <w:color w:val="auto"/>
          <w:sz w:val="24"/>
        </w:rPr>
        <w:t>3.1预付款</w:t>
      </w:r>
    </w:p>
    <w:p w14:paraId="77746E65">
      <w:pPr>
        <w:spacing w:line="500" w:lineRule="exact"/>
        <w:ind w:firstLine="480" w:firstLineChars="200"/>
        <w:jc w:val="left"/>
        <w:rPr>
          <w:rFonts w:ascii="宋体" w:hAnsi="宋体" w:cs="宋体"/>
          <w:color w:val="auto"/>
          <w:sz w:val="24"/>
        </w:rPr>
      </w:pPr>
      <w:r>
        <w:rPr>
          <w:rFonts w:hint="eastAsia" w:ascii="宋体" w:hAnsi="宋体" w:cs="宋体"/>
          <w:color w:val="auto"/>
          <w:sz w:val="24"/>
        </w:rPr>
        <w:t xml:space="preserve">   本合同签订生效后个工作日内，甲方以方式支付合同总价的%(百分之)，即人民币元（大写人民币）。</w:t>
      </w:r>
    </w:p>
    <w:p w14:paraId="35A6F2DA">
      <w:pPr>
        <w:spacing w:line="500" w:lineRule="exact"/>
        <w:ind w:left="1" w:firstLine="480" w:firstLineChars="200"/>
        <w:rPr>
          <w:rFonts w:ascii="宋体" w:hAnsi="宋体" w:cs="宋体"/>
          <w:color w:val="auto"/>
          <w:sz w:val="24"/>
        </w:rPr>
      </w:pPr>
      <w:r>
        <w:rPr>
          <w:rFonts w:hint="eastAsia" w:ascii="宋体" w:hAnsi="宋体" w:cs="宋体"/>
          <w:color w:val="auto"/>
          <w:sz w:val="24"/>
        </w:rPr>
        <w:t>3.2当全部设备按照本合同第5条的规定验收合格后，甲方在签发验收合格证明后个工作日内，向乙方支付至合同总价的%(百分之)，即人民币元（大写人民币）。</w:t>
      </w:r>
    </w:p>
    <w:p w14:paraId="2A10A3FB">
      <w:pPr>
        <w:spacing w:line="500" w:lineRule="exact"/>
        <w:ind w:firstLine="480" w:firstLineChars="200"/>
        <w:rPr>
          <w:rFonts w:ascii="宋体" w:hAnsi="宋体" w:cs="宋体"/>
          <w:color w:val="auto"/>
          <w:sz w:val="24"/>
        </w:rPr>
      </w:pPr>
      <w:r>
        <w:rPr>
          <w:rFonts w:hint="eastAsia" w:ascii="宋体" w:hAnsi="宋体" w:cs="宋体"/>
          <w:color w:val="auto"/>
          <w:sz w:val="24"/>
        </w:rPr>
        <w:t>3.3该项目设备保修期为，保修期满后双方无异议，在个工作日内，甲方向乙方支付合同总价的%(百分之)，即人民币元（大写人民币）。</w:t>
      </w:r>
    </w:p>
    <w:p w14:paraId="78729BC8">
      <w:pPr>
        <w:spacing w:line="500" w:lineRule="exact"/>
        <w:ind w:firstLine="482" w:firstLineChars="200"/>
        <w:rPr>
          <w:rFonts w:ascii="宋体" w:hAnsi="宋体" w:cs="宋体"/>
          <w:b/>
          <w:color w:val="auto"/>
          <w:kern w:val="0"/>
          <w:sz w:val="24"/>
        </w:rPr>
      </w:pPr>
      <w:r>
        <w:rPr>
          <w:rFonts w:hint="eastAsia" w:ascii="宋体" w:hAnsi="宋体" w:cs="宋体"/>
          <w:b/>
          <w:color w:val="auto"/>
          <w:kern w:val="0"/>
          <w:sz w:val="24"/>
        </w:rPr>
        <w:t>4. 交货、运输</w:t>
      </w:r>
    </w:p>
    <w:p w14:paraId="5C745A7F">
      <w:pPr>
        <w:spacing w:line="500" w:lineRule="exact"/>
        <w:ind w:firstLine="480" w:firstLineChars="200"/>
        <w:rPr>
          <w:rFonts w:ascii="宋体" w:hAnsi="宋体" w:cs="宋体"/>
          <w:color w:val="auto"/>
          <w:sz w:val="24"/>
        </w:rPr>
      </w:pPr>
      <w:r>
        <w:rPr>
          <w:rFonts w:hint="eastAsia" w:ascii="宋体" w:hAnsi="宋体" w:cs="宋体"/>
          <w:color w:val="auto"/>
          <w:sz w:val="24"/>
        </w:rPr>
        <w:t>4.1交货日期：本合同“设备”的制造、运输由乙方负责，上述工作须在合同生效后天完成。</w:t>
      </w:r>
    </w:p>
    <w:p w14:paraId="555A2807">
      <w:pPr>
        <w:spacing w:line="500" w:lineRule="exact"/>
        <w:ind w:firstLine="480" w:firstLineChars="200"/>
        <w:rPr>
          <w:rFonts w:ascii="宋体" w:hAnsi="宋体" w:cs="宋体"/>
          <w:color w:val="auto"/>
          <w:sz w:val="24"/>
          <w:u w:val="single"/>
        </w:rPr>
      </w:pPr>
      <w:r>
        <w:rPr>
          <w:rFonts w:hint="eastAsia" w:ascii="宋体" w:hAnsi="宋体" w:cs="宋体"/>
          <w:color w:val="auto"/>
          <w:sz w:val="24"/>
        </w:rPr>
        <w:t>4.2交货地点：</w:t>
      </w:r>
    </w:p>
    <w:p w14:paraId="337920B5">
      <w:pPr>
        <w:spacing w:line="500" w:lineRule="exact"/>
        <w:ind w:firstLine="482" w:firstLineChars="200"/>
        <w:rPr>
          <w:rFonts w:ascii="宋体" w:hAnsi="宋体" w:cs="宋体"/>
          <w:b/>
          <w:color w:val="auto"/>
          <w:sz w:val="24"/>
        </w:rPr>
      </w:pPr>
      <w:r>
        <w:rPr>
          <w:rFonts w:hint="eastAsia" w:ascii="宋体" w:hAnsi="宋体" w:cs="宋体"/>
          <w:b/>
          <w:color w:val="auto"/>
          <w:sz w:val="24"/>
        </w:rPr>
        <w:t>4.3乙方根据装卸及搬运不同货物特点及不同要求，每一包装上应标明惯用的标志及图示，显著标明“小心轻放”、“此端向上”、“防潮”等字样或图案。每箱货应当有一份详细的装箱单，装箱单中同时标明净重和毛重。乙方应对不充分或不适当包装造成的货物损坏或灭失承担责任。对于箱内和捆内的散装部件，乙方均应系加标签并注明部件名称以及该部件在装配图上的位号和零件号。对于备件和工具，除注明上述内容外，尚需注明“备件”或“工具”字样。</w:t>
      </w:r>
    </w:p>
    <w:p w14:paraId="2CA7AA6B">
      <w:pPr>
        <w:autoSpaceDE w:val="0"/>
        <w:autoSpaceDN w:val="0"/>
        <w:adjustRightInd w:val="0"/>
        <w:spacing w:line="500" w:lineRule="exact"/>
        <w:ind w:firstLine="480" w:firstLineChars="200"/>
        <w:jc w:val="left"/>
        <w:rPr>
          <w:rFonts w:ascii="宋体" w:hAnsi="宋体" w:cs="宋体"/>
          <w:color w:val="auto"/>
          <w:kern w:val="0"/>
          <w:sz w:val="24"/>
        </w:rPr>
      </w:pPr>
      <w:r>
        <w:rPr>
          <w:rFonts w:hint="eastAsia" w:ascii="宋体" w:hAnsi="宋体" w:cs="宋体"/>
          <w:color w:val="auto"/>
          <w:sz w:val="24"/>
        </w:rPr>
        <w:t>4.4</w:t>
      </w:r>
      <w:r>
        <w:rPr>
          <w:rFonts w:hint="eastAsia" w:ascii="宋体" w:hAnsi="宋体" w:cs="宋体"/>
          <w:color w:val="auto"/>
          <w:kern w:val="0"/>
          <w:sz w:val="24"/>
        </w:rPr>
        <w:t xml:space="preserve"> 乙方应在不迟于每批货物备妥待运前日通知甲方如下内容：</w:t>
      </w:r>
    </w:p>
    <w:p w14:paraId="00F9765C">
      <w:pPr>
        <w:autoSpaceDE w:val="0"/>
        <w:autoSpaceDN w:val="0"/>
        <w:adjustRightInd w:val="0"/>
        <w:spacing w:line="500" w:lineRule="exact"/>
        <w:ind w:firstLine="480" w:firstLineChars="200"/>
        <w:jc w:val="left"/>
        <w:rPr>
          <w:rFonts w:ascii="宋体" w:hAnsi="宋体" w:cs="宋体"/>
          <w:color w:val="auto"/>
          <w:kern w:val="0"/>
          <w:sz w:val="24"/>
        </w:rPr>
      </w:pPr>
      <w:r>
        <w:rPr>
          <w:rFonts w:hint="eastAsia" w:ascii="宋体" w:hAnsi="宋体" w:cs="宋体"/>
          <w:color w:val="auto"/>
          <w:kern w:val="0"/>
          <w:sz w:val="24"/>
        </w:rPr>
        <w:t>4.4.1 合同号；</w:t>
      </w:r>
    </w:p>
    <w:p w14:paraId="6ABF048B">
      <w:pPr>
        <w:autoSpaceDE w:val="0"/>
        <w:autoSpaceDN w:val="0"/>
        <w:adjustRightInd w:val="0"/>
        <w:spacing w:line="500" w:lineRule="exact"/>
        <w:ind w:firstLine="480" w:firstLineChars="200"/>
        <w:jc w:val="left"/>
        <w:rPr>
          <w:rFonts w:ascii="宋体" w:hAnsi="宋体" w:cs="宋体"/>
          <w:color w:val="auto"/>
          <w:kern w:val="0"/>
          <w:sz w:val="24"/>
        </w:rPr>
      </w:pPr>
      <w:r>
        <w:rPr>
          <w:rFonts w:hint="eastAsia" w:ascii="宋体" w:hAnsi="宋体" w:cs="宋体"/>
          <w:color w:val="auto"/>
          <w:kern w:val="0"/>
          <w:sz w:val="24"/>
        </w:rPr>
        <w:t>4.4.2 货物备妥待运日；</w:t>
      </w:r>
    </w:p>
    <w:p w14:paraId="2D33314F">
      <w:pPr>
        <w:autoSpaceDE w:val="0"/>
        <w:autoSpaceDN w:val="0"/>
        <w:adjustRightInd w:val="0"/>
        <w:spacing w:line="500" w:lineRule="exact"/>
        <w:ind w:firstLine="480" w:firstLineChars="200"/>
        <w:jc w:val="left"/>
        <w:rPr>
          <w:rFonts w:ascii="宋体" w:hAnsi="宋体" w:cs="宋体"/>
          <w:color w:val="auto"/>
          <w:kern w:val="0"/>
          <w:sz w:val="24"/>
        </w:rPr>
      </w:pPr>
      <w:r>
        <w:rPr>
          <w:rFonts w:hint="eastAsia" w:ascii="宋体" w:hAnsi="宋体" w:cs="宋体"/>
          <w:color w:val="auto"/>
          <w:kern w:val="0"/>
          <w:sz w:val="24"/>
        </w:rPr>
        <w:t>4.4.3 货物总体积；</w:t>
      </w:r>
    </w:p>
    <w:p w14:paraId="46CA4A7A">
      <w:pPr>
        <w:autoSpaceDE w:val="0"/>
        <w:autoSpaceDN w:val="0"/>
        <w:adjustRightInd w:val="0"/>
        <w:spacing w:line="500" w:lineRule="exact"/>
        <w:ind w:firstLine="480" w:firstLineChars="200"/>
        <w:jc w:val="left"/>
        <w:rPr>
          <w:rFonts w:ascii="宋体" w:hAnsi="宋体" w:cs="宋体"/>
          <w:color w:val="auto"/>
          <w:kern w:val="0"/>
          <w:sz w:val="24"/>
        </w:rPr>
      </w:pPr>
      <w:r>
        <w:rPr>
          <w:rFonts w:hint="eastAsia" w:ascii="宋体" w:hAnsi="宋体" w:cs="宋体"/>
          <w:color w:val="auto"/>
          <w:kern w:val="0"/>
          <w:sz w:val="24"/>
        </w:rPr>
        <w:t>4.4.4 货物总毛重/总包数；</w:t>
      </w:r>
    </w:p>
    <w:p w14:paraId="6464EA97">
      <w:pPr>
        <w:autoSpaceDE w:val="0"/>
        <w:autoSpaceDN w:val="0"/>
        <w:adjustRightInd w:val="0"/>
        <w:spacing w:line="500" w:lineRule="exact"/>
        <w:ind w:firstLine="480" w:firstLineChars="200"/>
        <w:jc w:val="left"/>
        <w:rPr>
          <w:rFonts w:ascii="宋体" w:hAnsi="宋体" w:cs="宋体"/>
          <w:color w:val="auto"/>
          <w:kern w:val="0"/>
          <w:sz w:val="24"/>
        </w:rPr>
      </w:pPr>
      <w:r>
        <w:rPr>
          <w:rFonts w:hint="eastAsia" w:ascii="宋体" w:hAnsi="宋体" w:cs="宋体"/>
          <w:color w:val="auto"/>
          <w:kern w:val="0"/>
          <w:sz w:val="24"/>
        </w:rPr>
        <w:t>4.4.5 发运站名称；</w:t>
      </w:r>
    </w:p>
    <w:p w14:paraId="438BFFA2">
      <w:pPr>
        <w:autoSpaceDE w:val="0"/>
        <w:autoSpaceDN w:val="0"/>
        <w:adjustRightInd w:val="0"/>
        <w:spacing w:line="500" w:lineRule="exact"/>
        <w:ind w:firstLine="480" w:firstLineChars="200"/>
        <w:jc w:val="left"/>
        <w:rPr>
          <w:rFonts w:ascii="宋体" w:hAnsi="宋体" w:cs="宋体"/>
          <w:color w:val="auto"/>
          <w:kern w:val="0"/>
          <w:sz w:val="24"/>
        </w:rPr>
      </w:pPr>
      <w:r>
        <w:rPr>
          <w:rFonts w:hint="eastAsia" w:ascii="宋体" w:hAnsi="宋体" w:cs="宋体"/>
          <w:color w:val="auto"/>
          <w:kern w:val="0"/>
          <w:sz w:val="24"/>
        </w:rPr>
        <w:t>4.4. 6 发运货物的详细清单，包括合同号、分项号、合同设备的名称、规格、型号、数量、单价/总价、单位重量、单件体积/总体积，每件货物的外包装尺寸（长×宽×高）、总件数和发运站；</w:t>
      </w:r>
    </w:p>
    <w:p w14:paraId="5E775217">
      <w:pPr>
        <w:spacing w:line="500" w:lineRule="exact"/>
        <w:ind w:firstLine="480" w:firstLineChars="200"/>
        <w:rPr>
          <w:rFonts w:ascii="宋体" w:hAnsi="宋体" w:cs="宋体"/>
          <w:color w:val="auto"/>
          <w:kern w:val="0"/>
          <w:sz w:val="24"/>
        </w:rPr>
      </w:pPr>
      <w:r>
        <w:rPr>
          <w:rFonts w:hint="eastAsia" w:ascii="宋体" w:hAnsi="宋体" w:cs="宋体"/>
          <w:color w:val="auto"/>
          <w:kern w:val="0"/>
          <w:sz w:val="24"/>
        </w:rPr>
        <w:t>4.4.7 有关合同设备在储存和运输中特殊注意事项的说明。</w:t>
      </w:r>
    </w:p>
    <w:p w14:paraId="53465B95">
      <w:pPr>
        <w:autoSpaceDE w:val="0"/>
        <w:autoSpaceDN w:val="0"/>
        <w:adjustRightInd w:val="0"/>
        <w:spacing w:line="500" w:lineRule="exact"/>
        <w:ind w:firstLine="480" w:firstLineChars="200"/>
        <w:jc w:val="left"/>
        <w:rPr>
          <w:rFonts w:ascii="宋体" w:hAnsi="宋体" w:cs="宋体"/>
          <w:color w:val="auto"/>
          <w:kern w:val="0"/>
          <w:sz w:val="24"/>
        </w:rPr>
      </w:pPr>
      <w:r>
        <w:rPr>
          <w:rFonts w:hint="eastAsia" w:ascii="宋体" w:hAnsi="宋体" w:cs="宋体"/>
          <w:color w:val="auto"/>
          <w:sz w:val="24"/>
        </w:rPr>
        <w:t>4.5</w:t>
      </w:r>
      <w:r>
        <w:rPr>
          <w:rFonts w:hint="eastAsia" w:ascii="宋体" w:hAnsi="宋体" w:cs="宋体"/>
          <w:color w:val="auto"/>
          <w:kern w:val="0"/>
          <w:sz w:val="24"/>
        </w:rPr>
        <w:t xml:space="preserve">   在每批货物的交货清单中都应附有下列单据：</w:t>
      </w:r>
    </w:p>
    <w:p w14:paraId="0E037811">
      <w:pPr>
        <w:autoSpaceDE w:val="0"/>
        <w:autoSpaceDN w:val="0"/>
        <w:adjustRightInd w:val="0"/>
        <w:spacing w:line="500" w:lineRule="exact"/>
        <w:ind w:firstLine="480" w:firstLineChars="200"/>
        <w:jc w:val="left"/>
        <w:rPr>
          <w:rFonts w:ascii="宋体" w:hAnsi="宋体" w:cs="宋体"/>
          <w:color w:val="auto"/>
          <w:kern w:val="0"/>
          <w:sz w:val="24"/>
        </w:rPr>
      </w:pPr>
      <w:r>
        <w:rPr>
          <w:rFonts w:hint="eastAsia" w:ascii="宋体" w:hAnsi="宋体" w:cs="宋体"/>
          <w:color w:val="auto"/>
          <w:kern w:val="0"/>
          <w:sz w:val="24"/>
        </w:rPr>
        <w:t>4.5.1 装箱明细单一式壹份；</w:t>
      </w:r>
    </w:p>
    <w:p w14:paraId="3F821F1F">
      <w:pPr>
        <w:autoSpaceDE w:val="0"/>
        <w:autoSpaceDN w:val="0"/>
        <w:adjustRightInd w:val="0"/>
        <w:spacing w:line="500" w:lineRule="exact"/>
        <w:ind w:firstLine="480" w:firstLineChars="200"/>
        <w:jc w:val="left"/>
        <w:rPr>
          <w:rFonts w:ascii="宋体" w:hAnsi="宋体" w:cs="宋体"/>
          <w:color w:val="auto"/>
          <w:kern w:val="0"/>
          <w:sz w:val="24"/>
        </w:rPr>
      </w:pPr>
      <w:r>
        <w:rPr>
          <w:rFonts w:hint="eastAsia" w:ascii="宋体" w:hAnsi="宋体" w:cs="宋体"/>
          <w:color w:val="auto"/>
          <w:kern w:val="0"/>
          <w:sz w:val="24"/>
        </w:rPr>
        <w:t>4.5.2 质量合格证一式壹份；</w:t>
      </w:r>
    </w:p>
    <w:p w14:paraId="14D2E8EF">
      <w:pPr>
        <w:autoSpaceDE w:val="0"/>
        <w:autoSpaceDN w:val="0"/>
        <w:adjustRightInd w:val="0"/>
        <w:spacing w:line="500" w:lineRule="exact"/>
        <w:ind w:firstLine="480" w:firstLineChars="200"/>
        <w:jc w:val="left"/>
        <w:rPr>
          <w:rFonts w:ascii="宋体" w:hAnsi="宋体" w:cs="宋体"/>
          <w:color w:val="auto"/>
          <w:kern w:val="0"/>
          <w:sz w:val="24"/>
        </w:rPr>
      </w:pPr>
      <w:r>
        <w:rPr>
          <w:rFonts w:hint="eastAsia" w:ascii="宋体" w:hAnsi="宋体" w:cs="宋体"/>
          <w:color w:val="auto"/>
          <w:kern w:val="0"/>
          <w:sz w:val="24"/>
        </w:rPr>
        <w:t>4.5.3 相关设备的技术资料壹份；</w:t>
      </w:r>
    </w:p>
    <w:p w14:paraId="7327E6AA">
      <w:pPr>
        <w:autoSpaceDE w:val="0"/>
        <w:autoSpaceDN w:val="0"/>
        <w:adjustRightInd w:val="0"/>
        <w:spacing w:line="500" w:lineRule="exact"/>
        <w:ind w:firstLine="480" w:firstLineChars="200"/>
        <w:jc w:val="left"/>
        <w:rPr>
          <w:rFonts w:ascii="宋体" w:hAnsi="宋体" w:cs="宋体"/>
          <w:color w:val="auto"/>
          <w:kern w:val="0"/>
          <w:sz w:val="24"/>
        </w:rPr>
      </w:pPr>
      <w:r>
        <w:rPr>
          <w:rFonts w:hint="eastAsia" w:ascii="宋体" w:hAnsi="宋体" w:cs="宋体"/>
          <w:color w:val="auto"/>
          <w:kern w:val="0"/>
          <w:sz w:val="24"/>
        </w:rPr>
        <w:t>4.5.4 需要组装的部件及机器的系统装配图一式壹份</w:t>
      </w:r>
    </w:p>
    <w:p w14:paraId="41B95F01">
      <w:pPr>
        <w:autoSpaceDE w:val="0"/>
        <w:autoSpaceDN w:val="0"/>
        <w:adjustRightInd w:val="0"/>
        <w:spacing w:line="500" w:lineRule="exact"/>
        <w:ind w:firstLine="480" w:firstLineChars="200"/>
        <w:jc w:val="left"/>
        <w:rPr>
          <w:rFonts w:ascii="宋体" w:hAnsi="宋体" w:cs="宋体"/>
          <w:color w:val="auto"/>
          <w:sz w:val="24"/>
        </w:rPr>
      </w:pPr>
      <w:r>
        <w:rPr>
          <w:rFonts w:hint="eastAsia" w:ascii="宋体" w:hAnsi="宋体" w:cs="宋体"/>
          <w:color w:val="auto"/>
          <w:sz w:val="24"/>
        </w:rPr>
        <w:t xml:space="preserve">4.6 </w:t>
      </w:r>
      <w:r>
        <w:rPr>
          <w:rFonts w:hint="eastAsia" w:ascii="宋体" w:hAnsi="宋体" w:cs="宋体"/>
          <w:color w:val="auto"/>
          <w:kern w:val="0"/>
          <w:sz w:val="24"/>
        </w:rPr>
        <w:t>凡由于对货物包装不当或采取防护措施不充分致使货物损坏或丢失时，乙方均应按合同的规定负责修理、更换或赔偿。如果因乙方在包装和唛头标记方面发生的错误造成货物的误运，乙方应承担由此发生的额外费用。</w:t>
      </w:r>
    </w:p>
    <w:p w14:paraId="52944B37">
      <w:pPr>
        <w:spacing w:line="500" w:lineRule="exact"/>
        <w:ind w:firstLine="482" w:firstLineChars="200"/>
        <w:rPr>
          <w:rFonts w:ascii="宋体" w:hAnsi="宋体" w:cs="宋体"/>
          <w:b/>
          <w:color w:val="auto"/>
          <w:sz w:val="24"/>
        </w:rPr>
      </w:pPr>
      <w:r>
        <w:rPr>
          <w:rFonts w:hint="eastAsia" w:ascii="宋体" w:hAnsi="宋体" w:cs="宋体"/>
          <w:b/>
          <w:color w:val="auto"/>
          <w:sz w:val="24"/>
        </w:rPr>
        <w:t>5.验收</w:t>
      </w:r>
    </w:p>
    <w:p w14:paraId="6EE9BDE3">
      <w:pPr>
        <w:spacing w:line="500" w:lineRule="exact"/>
        <w:ind w:firstLine="480" w:firstLineChars="200"/>
        <w:rPr>
          <w:rFonts w:ascii="宋体" w:hAnsi="宋体" w:cs="宋体"/>
          <w:color w:val="auto"/>
          <w:sz w:val="24"/>
        </w:rPr>
      </w:pPr>
      <w:r>
        <w:rPr>
          <w:rFonts w:hint="eastAsia" w:ascii="宋体" w:hAnsi="宋体" w:cs="宋体"/>
          <w:color w:val="auto"/>
          <w:sz w:val="24"/>
        </w:rPr>
        <w:t>5.1甲方按照本合同约定的产品质量、规格、材料、数量及国家、行业的相关标准对乙方提供的设备进行验收。乙方应将所有资料、备件备品备齐，并保证</w:t>
      </w:r>
      <w:r>
        <w:rPr>
          <w:rFonts w:hint="eastAsia" w:ascii="宋体" w:hAnsi="宋体" w:cs="宋体"/>
          <w:bCs/>
          <w:color w:val="auto"/>
          <w:sz w:val="24"/>
        </w:rPr>
        <w:t>设备性能和技术参数达到合同要求。</w:t>
      </w:r>
    </w:p>
    <w:p w14:paraId="40A8CB4F">
      <w:pPr>
        <w:spacing w:line="500" w:lineRule="exact"/>
        <w:ind w:firstLine="480" w:firstLineChars="200"/>
        <w:rPr>
          <w:rFonts w:ascii="宋体" w:hAnsi="宋体" w:cs="宋体"/>
          <w:color w:val="auto"/>
          <w:sz w:val="24"/>
        </w:rPr>
      </w:pPr>
      <w:r>
        <w:rPr>
          <w:rFonts w:hint="eastAsia" w:ascii="宋体" w:hAnsi="宋体" w:cs="宋体"/>
          <w:color w:val="auto"/>
          <w:sz w:val="24"/>
        </w:rPr>
        <w:t>5.2乙方保证上述所有验收项目一次性通过验收。反之，每增加一次验收程序，乙方向甲方支付元的违约金，如果经过</w:t>
      </w:r>
      <w:r>
        <w:rPr>
          <w:rFonts w:hint="eastAsia" w:ascii="宋体" w:hAnsi="宋体" w:cs="宋体"/>
          <w:color w:val="auto"/>
          <w:sz w:val="24"/>
          <w:u w:val="single"/>
        </w:rPr>
        <w:t>3</w:t>
      </w:r>
      <w:r>
        <w:rPr>
          <w:rFonts w:hint="eastAsia" w:ascii="宋体" w:hAnsi="宋体" w:cs="宋体"/>
          <w:color w:val="auto"/>
          <w:sz w:val="24"/>
        </w:rPr>
        <w:t>次验收程序，合同设备仍不能通过验收，甲方有权拒绝接收设备并解除合同，乙方应在解除合同之日起</w:t>
      </w:r>
      <w:r>
        <w:rPr>
          <w:rFonts w:hint="eastAsia" w:ascii="宋体" w:hAnsi="宋体" w:cs="宋体"/>
          <w:color w:val="auto"/>
          <w:sz w:val="24"/>
          <w:u w:val="single"/>
        </w:rPr>
        <w:t>3</w:t>
      </w:r>
      <w:r>
        <w:rPr>
          <w:rFonts w:hint="eastAsia" w:ascii="宋体" w:hAnsi="宋体" w:cs="宋体"/>
          <w:color w:val="auto"/>
          <w:sz w:val="24"/>
        </w:rPr>
        <w:t>日内，返还甲方已付货款，并承担甲方由此造成的损失。</w:t>
      </w:r>
    </w:p>
    <w:p w14:paraId="6FAE1256">
      <w:pPr>
        <w:spacing w:line="500" w:lineRule="exact"/>
        <w:ind w:firstLine="480" w:firstLineChars="200"/>
        <w:rPr>
          <w:rFonts w:ascii="宋体" w:hAnsi="宋体" w:cs="宋体"/>
          <w:color w:val="auto"/>
          <w:sz w:val="24"/>
        </w:rPr>
      </w:pPr>
      <w:r>
        <w:rPr>
          <w:rFonts w:hint="eastAsia" w:ascii="宋体" w:hAnsi="宋体" w:cs="宋体"/>
          <w:color w:val="auto"/>
          <w:sz w:val="24"/>
        </w:rPr>
        <w:t>5.3 双方以样品验收的，乙方应提前日将甲方订购的设备样品封存，并将样品交甲方保管。</w:t>
      </w:r>
    </w:p>
    <w:p w14:paraId="4A39668B">
      <w:pPr>
        <w:spacing w:line="500" w:lineRule="exact"/>
        <w:ind w:firstLine="482" w:firstLineChars="200"/>
        <w:rPr>
          <w:rFonts w:ascii="宋体" w:hAnsi="宋体" w:cs="宋体"/>
          <w:b/>
          <w:color w:val="auto"/>
          <w:sz w:val="24"/>
        </w:rPr>
      </w:pPr>
      <w:r>
        <w:rPr>
          <w:rFonts w:hint="eastAsia" w:ascii="宋体" w:hAnsi="宋体" w:cs="宋体"/>
          <w:b/>
          <w:color w:val="auto"/>
          <w:sz w:val="24"/>
        </w:rPr>
        <w:t>5.4由乙方设备验收不合格所产生的费用由乙方承担，且交货期不顺延。</w:t>
      </w:r>
    </w:p>
    <w:p w14:paraId="5DCC6BD4">
      <w:pPr>
        <w:spacing w:line="500" w:lineRule="exact"/>
        <w:ind w:firstLine="482" w:firstLineChars="200"/>
        <w:jc w:val="left"/>
        <w:rPr>
          <w:rFonts w:hint="eastAsia" w:ascii="宋体" w:hAnsi="宋体" w:eastAsia="宋体" w:cs="宋体"/>
          <w:b/>
          <w:bCs/>
          <w:color w:val="auto"/>
          <w:sz w:val="24"/>
          <w:lang w:eastAsia="zh-CN"/>
        </w:rPr>
      </w:pPr>
      <w:r>
        <w:rPr>
          <w:rFonts w:hint="eastAsia" w:ascii="宋体" w:hAnsi="宋体" w:cs="宋体"/>
          <w:b/>
          <w:bCs/>
          <w:color w:val="auto"/>
          <w:sz w:val="24"/>
        </w:rPr>
        <w:t>6.所有权和风险的转移</w:t>
      </w:r>
    </w:p>
    <w:p w14:paraId="409C00DF">
      <w:pPr>
        <w:spacing w:line="500" w:lineRule="exact"/>
        <w:ind w:firstLine="480" w:firstLineChars="200"/>
        <w:jc w:val="left"/>
        <w:rPr>
          <w:rFonts w:ascii="宋体" w:hAnsi="宋体" w:cs="宋体"/>
          <w:color w:val="auto"/>
          <w:sz w:val="24"/>
        </w:rPr>
      </w:pPr>
      <w:r>
        <w:rPr>
          <w:rFonts w:hint="eastAsia" w:ascii="宋体" w:hAnsi="宋体" w:cs="宋体"/>
          <w:color w:val="auto"/>
          <w:sz w:val="24"/>
        </w:rPr>
        <w:t xml:space="preserve">    在验收合格后，设备交付给甲方时，该设备硬件的所有权、风险从乙方转移到甲方，甲方获得该设备的所有权。</w:t>
      </w:r>
    </w:p>
    <w:p w14:paraId="3339E8C4">
      <w:pPr>
        <w:spacing w:line="500" w:lineRule="exact"/>
        <w:ind w:firstLine="482" w:firstLineChars="200"/>
        <w:rPr>
          <w:rFonts w:ascii="宋体" w:hAnsi="宋体" w:cs="宋体"/>
          <w:b/>
          <w:bCs/>
          <w:color w:val="auto"/>
          <w:sz w:val="24"/>
        </w:rPr>
      </w:pPr>
      <w:r>
        <w:rPr>
          <w:rFonts w:hint="eastAsia" w:ascii="宋体" w:hAnsi="宋体" w:cs="宋体"/>
          <w:b/>
          <w:bCs/>
          <w:color w:val="auto"/>
          <w:sz w:val="24"/>
        </w:rPr>
        <w:t>7.设备保证、保修及售后服务</w:t>
      </w:r>
    </w:p>
    <w:p w14:paraId="680FAC55">
      <w:pPr>
        <w:spacing w:line="500" w:lineRule="exact"/>
        <w:ind w:firstLine="480" w:firstLineChars="200"/>
        <w:rPr>
          <w:rFonts w:ascii="宋体" w:hAnsi="宋体" w:cs="宋体"/>
          <w:color w:val="auto"/>
          <w:sz w:val="24"/>
        </w:rPr>
      </w:pPr>
      <w:r>
        <w:rPr>
          <w:rFonts w:hint="eastAsia" w:ascii="宋体" w:hAnsi="宋体" w:cs="宋体"/>
          <w:color w:val="auto"/>
          <w:sz w:val="24"/>
        </w:rPr>
        <w:t>7.1设备保证</w:t>
      </w:r>
    </w:p>
    <w:p w14:paraId="19067E2B">
      <w:pPr>
        <w:spacing w:line="500" w:lineRule="exact"/>
        <w:ind w:firstLine="480" w:firstLineChars="200"/>
        <w:rPr>
          <w:rFonts w:ascii="宋体" w:hAnsi="宋体" w:cs="宋体"/>
          <w:color w:val="auto"/>
          <w:sz w:val="24"/>
        </w:rPr>
      </w:pPr>
      <w:r>
        <w:rPr>
          <w:rFonts w:hint="eastAsia" w:ascii="宋体" w:hAnsi="宋体" w:cs="宋体"/>
          <w:color w:val="auto"/>
          <w:sz w:val="24"/>
        </w:rPr>
        <w:t xml:space="preserve">7.1.1 乙方对其出售的产品享有完整的所有权，保证不被第三人追索和占有。若因乙方权利瑕疵所产生的一切后果及给甲方造成的损失，由乙方承担。乙方须自付费用为甲方取得继续使用该产品的权利。    </w:t>
      </w:r>
    </w:p>
    <w:p w14:paraId="390913FF">
      <w:pPr>
        <w:spacing w:line="500" w:lineRule="exact"/>
        <w:ind w:firstLine="480" w:firstLineChars="200"/>
        <w:rPr>
          <w:rFonts w:ascii="宋体" w:hAnsi="宋体" w:cs="宋体"/>
          <w:color w:val="auto"/>
          <w:sz w:val="24"/>
        </w:rPr>
      </w:pPr>
      <w:r>
        <w:rPr>
          <w:rFonts w:hint="eastAsia" w:ascii="宋体" w:hAnsi="宋体" w:cs="宋体"/>
          <w:color w:val="auto"/>
          <w:sz w:val="24"/>
        </w:rPr>
        <w:t xml:space="preserve">7.1.2 乙方保证其供应的本合同的“设备”的技术水平达到国家同类设备的技术指标，提供的所有设备及元器件是全新的并按最佳方案设计和制造。设备和材料的选型均符合工艺、安全运行操作以及长期使用的要求，并符合本合同附件的规定的各项运行指标及国家、行业有关的技术标准。     </w:t>
      </w:r>
    </w:p>
    <w:p w14:paraId="075C9D6A">
      <w:pPr>
        <w:spacing w:line="500" w:lineRule="exact"/>
        <w:ind w:firstLine="480" w:firstLineChars="200"/>
        <w:rPr>
          <w:rFonts w:ascii="宋体" w:hAnsi="宋体" w:cs="宋体"/>
          <w:color w:val="auto"/>
          <w:sz w:val="24"/>
        </w:rPr>
      </w:pPr>
      <w:r>
        <w:rPr>
          <w:rFonts w:hint="eastAsia" w:ascii="宋体" w:hAnsi="宋体" w:cs="宋体"/>
          <w:color w:val="auto"/>
          <w:sz w:val="24"/>
        </w:rPr>
        <w:t>7.1.3 设备在验收和保修期内运行性能和质量达不到设备技术规范要求，乙方无条件满足甲方要求。更换设备的一切费用由乙方负责，且交货期不顺延。</w:t>
      </w:r>
    </w:p>
    <w:p w14:paraId="2D70A030">
      <w:pPr>
        <w:spacing w:line="500" w:lineRule="exact"/>
        <w:ind w:firstLine="480" w:firstLineChars="200"/>
        <w:rPr>
          <w:rFonts w:ascii="宋体" w:hAnsi="宋体" w:cs="宋体"/>
          <w:color w:val="auto"/>
          <w:sz w:val="24"/>
        </w:rPr>
      </w:pPr>
      <w:r>
        <w:rPr>
          <w:rFonts w:hint="eastAsia" w:ascii="宋体" w:hAnsi="宋体" w:cs="宋体"/>
          <w:color w:val="auto"/>
          <w:sz w:val="24"/>
        </w:rPr>
        <w:t>7.1.4 乙方对本合同“设备”的保修期为月，自“设备”验收合格之日起计算。</w:t>
      </w:r>
    </w:p>
    <w:p w14:paraId="6760E5CB">
      <w:pPr>
        <w:spacing w:line="500" w:lineRule="exact"/>
        <w:ind w:firstLine="480" w:firstLineChars="200"/>
        <w:rPr>
          <w:rFonts w:ascii="宋体" w:hAnsi="宋体" w:cs="宋体"/>
          <w:color w:val="auto"/>
          <w:sz w:val="24"/>
        </w:rPr>
      </w:pPr>
      <w:r>
        <w:rPr>
          <w:rFonts w:hint="eastAsia" w:ascii="宋体" w:hAnsi="宋体" w:cs="宋体"/>
          <w:color w:val="auto"/>
          <w:sz w:val="24"/>
        </w:rPr>
        <w:t>7.1.5  在设备保修期内如设备出现故障、乙方应立即对甲方的故障器件进行修理、更换，并应自收到甲方报修通知的天内完成更换、修理及返件工作。新更换和补充修复部件保修期经甲方验收后重新开始计算。若由于乙方的迟延造成甲方不能正常工作或致使返修的故障设备超过保修期，则由此产生的修理费用及甲方损失由乙方负责。</w:t>
      </w:r>
    </w:p>
    <w:p w14:paraId="32A3DFEB">
      <w:pPr>
        <w:spacing w:line="500" w:lineRule="exact"/>
        <w:ind w:firstLine="480" w:firstLineChars="200"/>
        <w:rPr>
          <w:rFonts w:ascii="宋体" w:hAnsi="宋体" w:cs="宋体"/>
          <w:color w:val="auto"/>
          <w:sz w:val="24"/>
        </w:rPr>
      </w:pPr>
      <w:r>
        <w:rPr>
          <w:rFonts w:hint="eastAsia" w:ascii="宋体" w:hAnsi="宋体" w:cs="宋体"/>
          <w:color w:val="auto"/>
          <w:sz w:val="24"/>
        </w:rPr>
        <w:t>7.1.6 本合同“设备”使用期间内，乙方应向甲方持续提供维护支持、技术支持和备件支持。乙方向甲方提供的备件价格不得高于当时同种型号的市场价格。</w:t>
      </w:r>
    </w:p>
    <w:p w14:paraId="4347E3CE">
      <w:pPr>
        <w:spacing w:line="500" w:lineRule="exact"/>
        <w:ind w:firstLine="482" w:firstLineChars="200"/>
        <w:rPr>
          <w:rFonts w:ascii="宋体" w:hAnsi="宋体" w:cs="宋体"/>
          <w:color w:val="auto"/>
          <w:sz w:val="24"/>
        </w:rPr>
      </w:pPr>
      <w:r>
        <w:rPr>
          <w:rFonts w:hint="eastAsia" w:ascii="宋体" w:hAnsi="宋体" w:cs="宋体"/>
          <w:b/>
          <w:color w:val="auto"/>
          <w:sz w:val="24"/>
        </w:rPr>
        <w:t>8.</w:t>
      </w:r>
      <w:r>
        <w:rPr>
          <w:rFonts w:hint="eastAsia" w:ascii="宋体" w:hAnsi="宋体" w:cs="宋体"/>
          <w:color w:val="auto"/>
          <w:sz w:val="24"/>
        </w:rPr>
        <w:t>索赔</w:t>
      </w:r>
    </w:p>
    <w:p w14:paraId="03EA05E4">
      <w:pPr>
        <w:spacing w:line="500" w:lineRule="exact"/>
        <w:ind w:firstLine="480" w:firstLineChars="200"/>
        <w:rPr>
          <w:rFonts w:ascii="宋体" w:hAnsi="宋体" w:cs="宋体"/>
          <w:color w:val="auto"/>
          <w:sz w:val="24"/>
        </w:rPr>
      </w:pPr>
      <w:r>
        <w:rPr>
          <w:rFonts w:hint="eastAsia" w:ascii="宋体" w:hAnsi="宋体" w:cs="宋体"/>
          <w:color w:val="auto"/>
          <w:sz w:val="24"/>
        </w:rPr>
        <w:t>8.1</w:t>
      </w:r>
      <w:r>
        <w:rPr>
          <w:rFonts w:hint="eastAsia" w:ascii="宋体" w:hAnsi="宋体" w:cs="宋体"/>
          <w:color w:val="auto"/>
          <w:kern w:val="0"/>
          <w:sz w:val="24"/>
        </w:rPr>
        <w:t>如果设备在制造、验收和保证期内乙方未能履行其在本合同项下所承担的义务，甲方有权寻求本条款规定的任意或全部救济方式。</w:t>
      </w:r>
    </w:p>
    <w:p w14:paraId="3DDC5CA6">
      <w:pPr>
        <w:spacing w:line="500" w:lineRule="exact"/>
        <w:ind w:firstLine="480" w:firstLineChars="200"/>
        <w:rPr>
          <w:rFonts w:ascii="宋体" w:hAnsi="宋体" w:cs="宋体"/>
          <w:color w:val="auto"/>
          <w:sz w:val="24"/>
        </w:rPr>
      </w:pPr>
      <w:r>
        <w:rPr>
          <w:rFonts w:hint="eastAsia" w:ascii="宋体" w:hAnsi="宋体" w:cs="宋体"/>
          <w:color w:val="auto"/>
          <w:sz w:val="24"/>
        </w:rPr>
        <w:t>8.2在本合同“设备”使用期内，如发现乙方提供的“设备”有缺陷或不符合合同规定时，甲方有权凭有关管理部门的检验证书或验收文件向乙方提出索赔。乙方应立即无偿换货或退货，并负担由此产生的费用和损失。乙方对整体设备及配件的更换期限或退款期限不迟于收到甲方通知后日。如乙方</w:t>
      </w:r>
      <w:r>
        <w:rPr>
          <w:rFonts w:hint="eastAsia" w:ascii="宋体" w:hAnsi="宋体" w:cs="宋体"/>
          <w:color w:val="auto"/>
          <w:kern w:val="0"/>
          <w:sz w:val="24"/>
        </w:rPr>
        <w:t>不能按期派遣人员到工作现场，甲方有权自行消除缺陷或不符合合同之处，由此产生的一切费用均由乙方承担。</w:t>
      </w:r>
    </w:p>
    <w:p w14:paraId="23A14478">
      <w:pPr>
        <w:autoSpaceDE w:val="0"/>
        <w:autoSpaceDN w:val="0"/>
        <w:adjustRightInd w:val="0"/>
        <w:spacing w:line="500" w:lineRule="exact"/>
        <w:ind w:firstLine="480" w:firstLineChars="200"/>
        <w:jc w:val="left"/>
        <w:rPr>
          <w:rFonts w:ascii="宋体" w:hAnsi="宋体" w:cs="宋体"/>
          <w:color w:val="auto"/>
          <w:kern w:val="0"/>
          <w:sz w:val="24"/>
        </w:rPr>
      </w:pPr>
      <w:r>
        <w:rPr>
          <w:rFonts w:hint="eastAsia" w:ascii="宋体" w:hAnsi="宋体" w:cs="宋体"/>
          <w:color w:val="auto"/>
          <w:sz w:val="24"/>
        </w:rPr>
        <w:t xml:space="preserve">8.3 </w:t>
      </w:r>
      <w:r>
        <w:rPr>
          <w:rFonts w:hint="eastAsia" w:ascii="宋体" w:hAnsi="宋体" w:cs="宋体"/>
          <w:color w:val="auto"/>
          <w:kern w:val="0"/>
          <w:sz w:val="24"/>
        </w:rPr>
        <w:t>由乙方自付费用以新设备替换有缺陷的合同设备，同时乙方应在重新起算的保证期内对替换后的设备作出质量保证。乙方应自负风险和费用将替换后的设备或补供的设备运抵工作现场。</w:t>
      </w:r>
    </w:p>
    <w:p w14:paraId="36D503AC">
      <w:pPr>
        <w:autoSpaceDE w:val="0"/>
        <w:autoSpaceDN w:val="0"/>
        <w:adjustRightInd w:val="0"/>
        <w:spacing w:line="500" w:lineRule="exact"/>
        <w:ind w:firstLine="480" w:firstLineChars="200"/>
        <w:jc w:val="left"/>
        <w:rPr>
          <w:rFonts w:ascii="宋体" w:hAnsi="宋体" w:cs="宋体"/>
          <w:color w:val="auto"/>
          <w:kern w:val="0"/>
          <w:sz w:val="24"/>
        </w:rPr>
      </w:pPr>
      <w:r>
        <w:rPr>
          <w:rFonts w:hint="eastAsia" w:ascii="宋体" w:hAnsi="宋体" w:cs="宋体"/>
          <w:color w:val="auto"/>
          <w:kern w:val="0"/>
          <w:sz w:val="24"/>
        </w:rPr>
        <w:t>8.4 乙方按质量低劣的程度、甲方受损害的程度及损失的数额对合同设备进行降价。</w:t>
      </w:r>
    </w:p>
    <w:p w14:paraId="6020513E">
      <w:pPr>
        <w:autoSpaceDE w:val="0"/>
        <w:autoSpaceDN w:val="0"/>
        <w:adjustRightInd w:val="0"/>
        <w:spacing w:line="500" w:lineRule="exact"/>
        <w:ind w:firstLine="480" w:firstLineChars="200"/>
        <w:jc w:val="left"/>
        <w:rPr>
          <w:rFonts w:ascii="宋体" w:hAnsi="宋体" w:cs="宋体"/>
          <w:color w:val="auto"/>
          <w:kern w:val="0"/>
          <w:sz w:val="24"/>
        </w:rPr>
      </w:pPr>
      <w:r>
        <w:rPr>
          <w:rFonts w:hint="eastAsia" w:ascii="宋体" w:hAnsi="宋体" w:cs="宋体"/>
          <w:color w:val="auto"/>
          <w:kern w:val="0"/>
          <w:sz w:val="24"/>
        </w:rPr>
        <w:t>8.5 乙方赔偿由乙方违约引起的甲方所受损失。</w:t>
      </w:r>
    </w:p>
    <w:p w14:paraId="5FF4EB1D">
      <w:pPr>
        <w:autoSpaceDE w:val="0"/>
        <w:autoSpaceDN w:val="0"/>
        <w:adjustRightInd w:val="0"/>
        <w:spacing w:line="500" w:lineRule="exact"/>
        <w:ind w:firstLine="480" w:firstLineChars="200"/>
        <w:jc w:val="left"/>
        <w:rPr>
          <w:rFonts w:ascii="宋体" w:hAnsi="宋体" w:cs="宋体"/>
          <w:color w:val="auto"/>
          <w:kern w:val="0"/>
          <w:sz w:val="24"/>
        </w:rPr>
      </w:pPr>
      <w:r>
        <w:rPr>
          <w:rFonts w:hint="eastAsia" w:ascii="宋体" w:hAnsi="宋体" w:cs="宋体"/>
          <w:color w:val="auto"/>
          <w:kern w:val="0"/>
          <w:sz w:val="24"/>
        </w:rPr>
        <w:t>8.6 乙方应在收到甲方索赔要求后日内作出回复。乙方应在甲方发出索赔通知后日内，按照甲方同意的方法解决索赔事宜。</w:t>
      </w:r>
    </w:p>
    <w:p w14:paraId="7C4F399D">
      <w:pPr>
        <w:autoSpaceDE w:val="0"/>
        <w:autoSpaceDN w:val="0"/>
        <w:adjustRightInd w:val="0"/>
        <w:spacing w:line="500" w:lineRule="exact"/>
        <w:ind w:firstLine="480" w:firstLineChars="200"/>
        <w:jc w:val="left"/>
        <w:rPr>
          <w:rFonts w:ascii="宋体" w:hAnsi="宋体" w:cs="宋体"/>
          <w:b/>
          <w:color w:val="auto"/>
          <w:sz w:val="24"/>
        </w:rPr>
      </w:pPr>
      <w:r>
        <w:rPr>
          <w:rFonts w:hint="eastAsia" w:ascii="宋体" w:hAnsi="宋体" w:cs="宋体"/>
          <w:color w:val="auto"/>
          <w:kern w:val="0"/>
          <w:sz w:val="24"/>
        </w:rPr>
        <w:t>8.7 如果乙方在收到甲方索赔要求后日内未能作出回复，该索赔要求将被视为已被乙方接受。如乙方未能在甲方发出索赔通知后日内或甲方同意的延长期限内，按照甲方同意的上述规定的方法解决索赔事宜，甲方有权从乙方开具的履约保证金及设备保修金中扣回或要求乙方支付索赔金额。</w:t>
      </w:r>
      <w:bookmarkStart w:id="182" w:name="_Toc181673968"/>
    </w:p>
    <w:bookmarkEnd w:id="182"/>
    <w:p w14:paraId="5EF82614">
      <w:pPr>
        <w:spacing w:line="500" w:lineRule="exact"/>
        <w:ind w:firstLine="482" w:firstLineChars="200"/>
        <w:jc w:val="left"/>
        <w:rPr>
          <w:rFonts w:hint="eastAsia" w:ascii="宋体" w:hAnsi="宋体" w:eastAsia="宋体" w:cs="宋体"/>
          <w:b/>
          <w:color w:val="auto"/>
          <w:sz w:val="24"/>
          <w:lang w:eastAsia="zh-CN"/>
        </w:rPr>
      </w:pPr>
      <w:r>
        <w:rPr>
          <w:rFonts w:hint="eastAsia" w:ascii="宋体" w:hAnsi="宋体" w:cs="宋体"/>
          <w:b/>
          <w:color w:val="auto"/>
          <w:sz w:val="24"/>
        </w:rPr>
        <w:t>9.不可抗力</w:t>
      </w:r>
    </w:p>
    <w:p w14:paraId="422D84DA">
      <w:pPr>
        <w:spacing w:line="500" w:lineRule="exact"/>
        <w:ind w:firstLine="480" w:firstLineChars="200"/>
        <w:jc w:val="left"/>
        <w:rPr>
          <w:rFonts w:ascii="宋体" w:hAnsi="宋体" w:cs="宋体"/>
          <w:color w:val="auto"/>
          <w:sz w:val="24"/>
        </w:rPr>
      </w:pPr>
      <w:r>
        <w:rPr>
          <w:rFonts w:hint="eastAsia" w:ascii="宋体" w:hAnsi="宋体" w:cs="宋体"/>
          <w:color w:val="auto"/>
          <w:sz w:val="24"/>
        </w:rPr>
        <w:t>如部分或者全部因下列人力不可控制的原因而致使合同义务没有或延迟履行,合同各方均不承担任何违约责任，包括且限于：战争、叛乱暴动、地震、洪水。在上述情况下，受不可抗力影响的一方应当及时将不可抗力的情况以书面方式通知本合同的另一方，并将预计的或者实际延迟期限以及有关细节通知另一方。如果不可抗力导致的延迟期限达到了天，而且合同双方未能就本合同的进一步执行和修改达成合同的话，任何一方在向另一方提前天发出书面通知之后，可以解除本合同。</w:t>
      </w:r>
    </w:p>
    <w:p w14:paraId="36539E0B">
      <w:pPr>
        <w:spacing w:line="500" w:lineRule="exact"/>
        <w:ind w:firstLine="482" w:firstLineChars="200"/>
        <w:rPr>
          <w:rFonts w:ascii="宋体" w:hAnsi="宋体" w:cs="宋体"/>
          <w:b/>
          <w:bCs/>
          <w:color w:val="auto"/>
          <w:sz w:val="24"/>
        </w:rPr>
      </w:pPr>
      <w:r>
        <w:rPr>
          <w:rFonts w:hint="eastAsia" w:ascii="宋体" w:hAnsi="宋体" w:cs="宋体"/>
          <w:b/>
          <w:bCs/>
          <w:color w:val="auto"/>
          <w:sz w:val="24"/>
        </w:rPr>
        <w:t>10.违约责任</w:t>
      </w:r>
    </w:p>
    <w:p w14:paraId="6F3E77AD">
      <w:pPr>
        <w:autoSpaceDE w:val="0"/>
        <w:autoSpaceDN w:val="0"/>
        <w:adjustRightInd w:val="0"/>
        <w:spacing w:line="500" w:lineRule="exact"/>
        <w:ind w:firstLine="480" w:firstLineChars="200"/>
        <w:jc w:val="left"/>
        <w:rPr>
          <w:rFonts w:ascii="宋体" w:hAnsi="宋体" w:cs="宋体"/>
          <w:color w:val="auto"/>
          <w:kern w:val="0"/>
          <w:sz w:val="24"/>
        </w:rPr>
      </w:pPr>
      <w:r>
        <w:rPr>
          <w:rFonts w:hint="eastAsia" w:ascii="宋体" w:hAnsi="宋体" w:cs="宋体"/>
          <w:color w:val="auto"/>
          <w:sz w:val="24"/>
        </w:rPr>
        <w:t xml:space="preserve">10.1 </w:t>
      </w:r>
      <w:r>
        <w:rPr>
          <w:rFonts w:hint="eastAsia" w:ascii="宋体" w:hAnsi="宋体" w:cs="宋体"/>
          <w:color w:val="auto"/>
          <w:kern w:val="0"/>
          <w:sz w:val="24"/>
        </w:rPr>
        <w:t>如果乙方有下述违约行为，在不妨碍甲方其它救济手段的情况下，甲方可以向乙方发出书面违约通知，全部或部分地终止合同，并要求乙方</w:t>
      </w:r>
      <w:r>
        <w:rPr>
          <w:rFonts w:hint="eastAsia" w:ascii="宋体" w:hAnsi="宋体" w:cs="宋体"/>
          <w:color w:val="auto"/>
          <w:sz w:val="24"/>
        </w:rPr>
        <w:t>承担合同总金额的</w:t>
      </w:r>
      <w:r>
        <w:rPr>
          <w:rFonts w:hint="eastAsia" w:ascii="宋体" w:hAnsi="宋体" w:cs="宋体"/>
          <w:color w:val="auto"/>
          <w:sz w:val="24"/>
          <w:u w:val="single"/>
        </w:rPr>
        <w:t xml:space="preserve">      %</w:t>
      </w:r>
      <w:r>
        <w:rPr>
          <w:rFonts w:hint="eastAsia" w:ascii="宋体" w:hAnsi="宋体" w:cs="宋体"/>
          <w:color w:val="auto"/>
          <w:sz w:val="24"/>
        </w:rPr>
        <w:t>的违约金</w:t>
      </w:r>
      <w:r>
        <w:rPr>
          <w:rFonts w:hint="eastAsia" w:ascii="宋体" w:hAnsi="宋体" w:cs="宋体"/>
          <w:color w:val="auto"/>
          <w:kern w:val="0"/>
          <w:sz w:val="24"/>
        </w:rPr>
        <w:t>。</w:t>
      </w:r>
    </w:p>
    <w:p w14:paraId="2E70FA76">
      <w:pPr>
        <w:autoSpaceDE w:val="0"/>
        <w:autoSpaceDN w:val="0"/>
        <w:adjustRightInd w:val="0"/>
        <w:spacing w:line="500" w:lineRule="exact"/>
        <w:ind w:firstLine="480" w:firstLineChars="200"/>
        <w:jc w:val="left"/>
        <w:rPr>
          <w:rFonts w:ascii="宋体" w:hAnsi="宋体" w:cs="宋体"/>
          <w:color w:val="auto"/>
          <w:kern w:val="0"/>
          <w:sz w:val="24"/>
        </w:rPr>
      </w:pPr>
      <w:r>
        <w:rPr>
          <w:rFonts w:hint="eastAsia" w:ascii="宋体" w:hAnsi="宋体" w:cs="宋体"/>
          <w:color w:val="auto"/>
          <w:kern w:val="0"/>
          <w:sz w:val="24"/>
        </w:rPr>
        <w:t xml:space="preserve">10.1.1 乙方在合同规定的交货期后日内仍未能交付合同设备； </w:t>
      </w:r>
    </w:p>
    <w:p w14:paraId="55CE6BD6">
      <w:pPr>
        <w:autoSpaceDE w:val="0"/>
        <w:autoSpaceDN w:val="0"/>
        <w:adjustRightInd w:val="0"/>
        <w:spacing w:line="500" w:lineRule="exact"/>
        <w:ind w:firstLine="480" w:firstLineChars="200"/>
        <w:jc w:val="left"/>
        <w:rPr>
          <w:rFonts w:ascii="宋体" w:hAnsi="宋体" w:cs="宋体"/>
          <w:color w:val="auto"/>
          <w:kern w:val="0"/>
          <w:sz w:val="24"/>
        </w:rPr>
      </w:pPr>
      <w:r>
        <w:rPr>
          <w:rFonts w:hint="eastAsia" w:ascii="宋体" w:hAnsi="宋体" w:cs="宋体"/>
          <w:color w:val="auto"/>
          <w:kern w:val="0"/>
          <w:sz w:val="24"/>
        </w:rPr>
        <w:t>10.1.2 乙方未能使设备达到规定的最低技术性能和保证指标；</w:t>
      </w:r>
    </w:p>
    <w:p w14:paraId="616EDCF0">
      <w:pPr>
        <w:autoSpaceDE w:val="0"/>
        <w:autoSpaceDN w:val="0"/>
        <w:adjustRightInd w:val="0"/>
        <w:spacing w:line="500" w:lineRule="exact"/>
        <w:ind w:firstLine="480" w:firstLineChars="200"/>
        <w:jc w:val="left"/>
        <w:rPr>
          <w:rFonts w:ascii="宋体" w:hAnsi="宋体" w:cs="宋体"/>
          <w:color w:val="auto"/>
          <w:kern w:val="0"/>
          <w:sz w:val="24"/>
        </w:rPr>
      </w:pPr>
      <w:r>
        <w:rPr>
          <w:rFonts w:hint="eastAsia" w:ascii="宋体" w:hAnsi="宋体" w:cs="宋体"/>
          <w:color w:val="auto"/>
          <w:kern w:val="0"/>
          <w:sz w:val="24"/>
        </w:rPr>
        <w:t>10.1.3 乙方未能履行合同项下任何其它义务，并且在收到甲方违约通知后日内仍未能对其违约行为作出补救。</w:t>
      </w:r>
    </w:p>
    <w:p w14:paraId="5531E378">
      <w:pPr>
        <w:spacing w:line="500" w:lineRule="exact"/>
        <w:ind w:firstLine="480" w:firstLineChars="200"/>
        <w:rPr>
          <w:rFonts w:ascii="宋体" w:hAnsi="宋体" w:cs="宋体"/>
          <w:color w:val="auto"/>
          <w:sz w:val="24"/>
        </w:rPr>
      </w:pPr>
      <w:r>
        <w:rPr>
          <w:rFonts w:hint="eastAsia" w:ascii="宋体" w:hAnsi="宋体" w:cs="宋体"/>
          <w:color w:val="auto"/>
          <w:kern w:val="0"/>
          <w:sz w:val="24"/>
        </w:rPr>
        <w:t xml:space="preserve">10.2  </w:t>
      </w:r>
      <w:r>
        <w:rPr>
          <w:rFonts w:hint="eastAsia" w:ascii="宋体" w:hAnsi="宋体" w:cs="宋体"/>
          <w:color w:val="auto"/>
          <w:sz w:val="24"/>
        </w:rPr>
        <w:t>由于乙方原因未能按期向甲方交付验收合格的“设备”时，每逾1天，乙方向甲方支付合同金额</w:t>
      </w:r>
      <w:r>
        <w:rPr>
          <w:rFonts w:hint="eastAsia" w:ascii="宋体" w:hAnsi="宋体" w:cs="宋体"/>
          <w:color w:val="auto"/>
          <w:sz w:val="24"/>
          <w:u w:val="single"/>
        </w:rPr>
        <w:t xml:space="preserve">      %</w:t>
      </w:r>
      <w:r>
        <w:rPr>
          <w:rFonts w:hint="eastAsia" w:ascii="宋体" w:hAnsi="宋体" w:cs="宋体"/>
          <w:color w:val="auto"/>
          <w:sz w:val="24"/>
        </w:rPr>
        <w:t>的违约金。</w:t>
      </w:r>
      <w:r>
        <w:rPr>
          <w:rFonts w:hint="eastAsia" w:ascii="宋体" w:hAnsi="宋体" w:cs="宋体"/>
          <w:color w:val="auto"/>
          <w:kern w:val="0"/>
          <w:sz w:val="24"/>
        </w:rPr>
        <w:t>如果逾期天，乙方仍不能交付设备的，甲方有权解除合同，并要求乙方承担相应的违约责任</w:t>
      </w:r>
      <w:r>
        <w:rPr>
          <w:rFonts w:hint="eastAsia" w:ascii="宋体" w:hAnsi="宋体" w:cs="宋体"/>
          <w:color w:val="auto"/>
          <w:sz w:val="24"/>
        </w:rPr>
        <w:t>。</w:t>
      </w:r>
    </w:p>
    <w:p w14:paraId="0D5ACFC4">
      <w:pPr>
        <w:autoSpaceDE w:val="0"/>
        <w:autoSpaceDN w:val="0"/>
        <w:adjustRightInd w:val="0"/>
        <w:spacing w:line="500" w:lineRule="exact"/>
        <w:ind w:firstLine="480" w:firstLineChars="200"/>
        <w:jc w:val="left"/>
        <w:rPr>
          <w:rFonts w:ascii="宋体" w:hAnsi="宋体" w:cs="宋体"/>
          <w:color w:val="auto"/>
          <w:kern w:val="0"/>
          <w:sz w:val="24"/>
        </w:rPr>
      </w:pPr>
      <w:r>
        <w:rPr>
          <w:rFonts w:hint="eastAsia" w:ascii="宋体" w:hAnsi="宋体" w:cs="宋体"/>
          <w:color w:val="auto"/>
          <w:kern w:val="0"/>
          <w:sz w:val="24"/>
        </w:rPr>
        <w:t>10.3  在甲方全部或部分终止合同的情况下，甲方可以以适当的条件取得与未按合同规定交付的设备和/或服务，乙方应承担甲方由此发生的额外费用。</w:t>
      </w:r>
    </w:p>
    <w:p w14:paraId="1F04B99C">
      <w:pPr>
        <w:spacing w:line="500" w:lineRule="exact"/>
        <w:ind w:firstLine="480" w:firstLineChars="200"/>
        <w:rPr>
          <w:rFonts w:ascii="宋体" w:hAnsi="宋体" w:cs="宋体"/>
          <w:color w:val="auto"/>
          <w:sz w:val="24"/>
        </w:rPr>
      </w:pPr>
      <w:r>
        <w:rPr>
          <w:rFonts w:hint="eastAsia" w:ascii="宋体" w:hAnsi="宋体" w:cs="宋体"/>
          <w:color w:val="auto"/>
          <w:kern w:val="0"/>
          <w:sz w:val="24"/>
        </w:rPr>
        <w:t>10.4</w:t>
      </w:r>
      <w:r>
        <w:rPr>
          <w:rFonts w:hint="eastAsia" w:ascii="宋体" w:hAnsi="宋体" w:cs="宋体"/>
          <w:color w:val="auto"/>
          <w:sz w:val="24"/>
        </w:rPr>
        <w:t>合同签订后，双方均不得无故更改或终止合同。若因一方原因而导致合同无法继续履行，违约方应赔偿因此而给守约方带来的损失，并承担合同金额的</w:t>
      </w:r>
      <w:r>
        <w:rPr>
          <w:rFonts w:hint="eastAsia" w:ascii="宋体" w:hAnsi="宋体" w:cs="宋体"/>
          <w:color w:val="auto"/>
          <w:sz w:val="24"/>
          <w:u w:val="single"/>
        </w:rPr>
        <w:t xml:space="preserve">      %</w:t>
      </w:r>
      <w:r>
        <w:rPr>
          <w:rFonts w:hint="eastAsia" w:ascii="宋体" w:hAnsi="宋体" w:cs="宋体"/>
          <w:color w:val="auto"/>
          <w:sz w:val="24"/>
        </w:rPr>
        <w:t>的违约金。</w:t>
      </w:r>
    </w:p>
    <w:p w14:paraId="38EE9A72">
      <w:pPr>
        <w:spacing w:line="500" w:lineRule="exact"/>
        <w:ind w:firstLine="482" w:firstLineChars="200"/>
        <w:rPr>
          <w:rFonts w:ascii="宋体" w:hAnsi="宋体" w:cs="宋体"/>
          <w:color w:val="auto"/>
          <w:sz w:val="24"/>
        </w:rPr>
      </w:pPr>
      <w:r>
        <w:rPr>
          <w:rFonts w:hint="eastAsia" w:ascii="宋体" w:hAnsi="宋体" w:cs="宋体"/>
          <w:b/>
          <w:color w:val="auto"/>
          <w:sz w:val="24"/>
        </w:rPr>
        <w:t>11.</w:t>
      </w:r>
      <w:r>
        <w:rPr>
          <w:rFonts w:hint="eastAsia" w:ascii="宋体" w:hAnsi="宋体" w:cs="宋体"/>
          <w:color w:val="auto"/>
          <w:sz w:val="24"/>
        </w:rPr>
        <w:t>公开</w:t>
      </w:r>
    </w:p>
    <w:p w14:paraId="2331F5AA">
      <w:pPr>
        <w:spacing w:line="500" w:lineRule="exact"/>
        <w:ind w:left="1" w:firstLine="480" w:firstLineChars="200"/>
        <w:rPr>
          <w:rFonts w:ascii="宋体" w:hAnsi="宋体" w:cs="宋体"/>
          <w:color w:val="auto"/>
          <w:sz w:val="24"/>
        </w:rPr>
      </w:pPr>
      <w:r>
        <w:rPr>
          <w:rFonts w:hint="eastAsia" w:ascii="宋体" w:hAnsi="宋体" w:cs="宋体"/>
          <w:color w:val="auto"/>
          <w:sz w:val="24"/>
        </w:rPr>
        <w:t>任何一方，如果没有得到另一方的书面同意，不得对外公布任何与本合同有关的消息。</w:t>
      </w:r>
    </w:p>
    <w:p w14:paraId="73860DDB">
      <w:pPr>
        <w:spacing w:line="500" w:lineRule="exact"/>
        <w:ind w:firstLine="482" w:firstLineChars="200"/>
        <w:rPr>
          <w:rFonts w:ascii="宋体" w:hAnsi="宋体" w:cs="宋体"/>
          <w:color w:val="auto"/>
          <w:sz w:val="24"/>
        </w:rPr>
      </w:pPr>
      <w:r>
        <w:rPr>
          <w:rFonts w:hint="eastAsia" w:ascii="宋体" w:hAnsi="宋体" w:cs="宋体"/>
          <w:b/>
          <w:color w:val="auto"/>
          <w:sz w:val="24"/>
        </w:rPr>
        <w:t>12.</w:t>
      </w:r>
      <w:r>
        <w:rPr>
          <w:rFonts w:hint="eastAsia" w:ascii="宋体" w:hAnsi="宋体" w:cs="宋体"/>
          <w:color w:val="auto"/>
          <w:sz w:val="24"/>
        </w:rPr>
        <w:t>适用法律</w:t>
      </w:r>
    </w:p>
    <w:p w14:paraId="054904A4">
      <w:pPr>
        <w:spacing w:line="500" w:lineRule="exact"/>
        <w:ind w:firstLine="480" w:firstLineChars="200"/>
        <w:rPr>
          <w:rFonts w:ascii="宋体" w:hAnsi="宋体" w:cs="宋体"/>
          <w:color w:val="auto"/>
          <w:sz w:val="24"/>
        </w:rPr>
      </w:pPr>
      <w:r>
        <w:rPr>
          <w:rFonts w:hint="eastAsia" w:ascii="宋体" w:hAnsi="宋体" w:cs="宋体"/>
          <w:color w:val="auto"/>
          <w:sz w:val="24"/>
        </w:rPr>
        <w:t>本合同的解释和执行适用中华人民共和国法律。</w:t>
      </w:r>
    </w:p>
    <w:p w14:paraId="1E1A656E">
      <w:pPr>
        <w:spacing w:line="500" w:lineRule="exact"/>
        <w:ind w:firstLine="482" w:firstLineChars="200"/>
        <w:rPr>
          <w:rFonts w:ascii="宋体" w:hAnsi="宋体" w:cs="宋体"/>
          <w:color w:val="auto"/>
          <w:sz w:val="24"/>
        </w:rPr>
      </w:pPr>
      <w:r>
        <w:rPr>
          <w:rFonts w:hint="eastAsia" w:ascii="宋体" w:hAnsi="宋体" w:cs="宋体"/>
          <w:b/>
          <w:color w:val="auto"/>
          <w:sz w:val="24"/>
        </w:rPr>
        <w:t>13.</w:t>
      </w:r>
      <w:r>
        <w:rPr>
          <w:rFonts w:hint="eastAsia" w:ascii="宋体" w:hAnsi="宋体" w:cs="宋体"/>
          <w:color w:val="auto"/>
          <w:sz w:val="24"/>
        </w:rPr>
        <w:t>转让</w:t>
      </w:r>
    </w:p>
    <w:p w14:paraId="262DE511">
      <w:pPr>
        <w:spacing w:line="500" w:lineRule="exact"/>
        <w:ind w:firstLine="480" w:firstLineChars="200"/>
        <w:rPr>
          <w:rFonts w:ascii="宋体" w:hAnsi="宋体" w:cs="宋体"/>
          <w:color w:val="auto"/>
          <w:sz w:val="24"/>
        </w:rPr>
      </w:pPr>
      <w:r>
        <w:rPr>
          <w:rFonts w:hint="eastAsia" w:ascii="宋体" w:hAnsi="宋体" w:cs="宋体"/>
          <w:color w:val="auto"/>
          <w:sz w:val="24"/>
        </w:rPr>
        <w:t>除非合同双方另有约定，任何一方都不得将本合同以及本合同项下的任何权利义务，直接或者间接地转让给任何第三方。</w:t>
      </w:r>
    </w:p>
    <w:p w14:paraId="5F46CF7D">
      <w:pPr>
        <w:spacing w:line="500" w:lineRule="exact"/>
        <w:ind w:firstLine="482" w:firstLineChars="200"/>
        <w:rPr>
          <w:rFonts w:ascii="宋体" w:hAnsi="宋体" w:cs="宋体"/>
          <w:b/>
          <w:bCs/>
          <w:color w:val="auto"/>
          <w:sz w:val="24"/>
        </w:rPr>
      </w:pPr>
      <w:r>
        <w:rPr>
          <w:rFonts w:hint="eastAsia" w:ascii="宋体" w:hAnsi="宋体" w:cs="宋体"/>
          <w:b/>
          <w:bCs/>
          <w:color w:val="auto"/>
          <w:sz w:val="24"/>
        </w:rPr>
        <w:t>14.其他约定事项</w:t>
      </w:r>
    </w:p>
    <w:p w14:paraId="0D0BA7EA">
      <w:pPr>
        <w:spacing w:line="500" w:lineRule="exact"/>
        <w:ind w:left="2" w:firstLine="480" w:firstLineChars="200"/>
        <w:rPr>
          <w:rFonts w:ascii="宋体" w:hAnsi="宋体" w:cs="宋体"/>
          <w:color w:val="auto"/>
          <w:sz w:val="24"/>
        </w:rPr>
      </w:pPr>
      <w:r>
        <w:rPr>
          <w:rFonts w:hint="eastAsia" w:ascii="宋体" w:hAnsi="宋体" w:cs="宋体"/>
          <w:color w:val="auto"/>
          <w:sz w:val="24"/>
        </w:rPr>
        <w:t>14.1本合同在履行过程中如发生纠纷，双方应协商解决，协商不成，均可向人民法院起诉。</w:t>
      </w:r>
    </w:p>
    <w:p w14:paraId="7E5BF6A4">
      <w:pPr>
        <w:spacing w:line="500" w:lineRule="exact"/>
        <w:ind w:firstLine="480" w:firstLineChars="200"/>
        <w:rPr>
          <w:rFonts w:ascii="宋体" w:hAnsi="宋体" w:cs="宋体"/>
          <w:color w:val="auto"/>
          <w:sz w:val="24"/>
        </w:rPr>
      </w:pPr>
      <w:r>
        <w:rPr>
          <w:rFonts w:hint="eastAsia" w:ascii="宋体" w:hAnsi="宋体" w:cs="宋体"/>
          <w:color w:val="auto"/>
          <w:sz w:val="24"/>
        </w:rPr>
        <w:t>14.2本合同双方签字盖章后正式生效。</w:t>
      </w:r>
    </w:p>
    <w:p w14:paraId="406685B6">
      <w:pPr>
        <w:spacing w:line="500" w:lineRule="exact"/>
        <w:ind w:firstLine="480" w:firstLineChars="200"/>
        <w:rPr>
          <w:rFonts w:ascii="宋体" w:hAnsi="宋体" w:cs="宋体"/>
          <w:color w:val="auto"/>
          <w:sz w:val="24"/>
        </w:rPr>
      </w:pPr>
      <w:r>
        <w:rPr>
          <w:rFonts w:hint="eastAsia" w:ascii="宋体" w:hAnsi="宋体" w:cs="宋体"/>
          <w:color w:val="auto"/>
          <w:sz w:val="24"/>
        </w:rPr>
        <w:t>14.3本合同一式份，甲方执份，乙方执份，均具有同等法律效力。</w:t>
      </w:r>
    </w:p>
    <w:p w14:paraId="6D7DEA49">
      <w:pPr>
        <w:spacing w:line="500" w:lineRule="exact"/>
        <w:ind w:firstLine="480" w:firstLineChars="200"/>
        <w:rPr>
          <w:rFonts w:ascii="宋体" w:hAnsi="宋体" w:cs="宋体"/>
          <w:color w:val="auto"/>
          <w:sz w:val="24"/>
        </w:rPr>
      </w:pPr>
      <w:r>
        <w:rPr>
          <w:rFonts w:hint="eastAsia" w:ascii="宋体" w:hAnsi="宋体" w:cs="宋体"/>
          <w:color w:val="auto"/>
          <w:sz w:val="24"/>
        </w:rPr>
        <w:t>14.4本合同未尽事宜，双方协商解决或另立合同，但不得与本合同抵触。</w:t>
      </w:r>
    </w:p>
    <w:p w14:paraId="40B82D65">
      <w:pPr>
        <w:spacing w:line="500" w:lineRule="exact"/>
        <w:ind w:firstLine="480" w:firstLineChars="200"/>
        <w:rPr>
          <w:rFonts w:ascii="宋体" w:hAnsi="宋体" w:cs="宋体"/>
          <w:color w:val="auto"/>
          <w:sz w:val="24"/>
        </w:rPr>
      </w:pPr>
      <w:r>
        <w:rPr>
          <w:rFonts w:hint="eastAsia" w:ascii="宋体" w:hAnsi="宋体" w:cs="宋体"/>
          <w:color w:val="auto"/>
          <w:sz w:val="24"/>
        </w:rPr>
        <w:t>14.5本合同履行完后自动终止。</w:t>
      </w:r>
    </w:p>
    <w:p w14:paraId="3C67DA9C">
      <w:pPr>
        <w:spacing w:line="480" w:lineRule="exact"/>
        <w:ind w:firstLine="480" w:firstLineChars="200"/>
        <w:rPr>
          <w:rFonts w:ascii="宋体" w:hAnsi="宋体" w:cs="宋体"/>
          <w:color w:val="auto"/>
          <w:sz w:val="24"/>
        </w:rPr>
      </w:pPr>
      <w:r>
        <w:rPr>
          <w:rFonts w:hint="eastAsia" w:ascii="宋体" w:hAnsi="宋体" w:cs="宋体"/>
          <w:color w:val="auto"/>
          <w:sz w:val="24"/>
        </w:rPr>
        <w:t>合同各方授权代表签字如下：</w:t>
      </w:r>
    </w:p>
    <w:p w14:paraId="47020E3F">
      <w:pPr>
        <w:spacing w:line="480" w:lineRule="exact"/>
        <w:ind w:firstLine="240" w:firstLineChars="100"/>
        <w:rPr>
          <w:rFonts w:ascii="宋体" w:hAnsi="宋体" w:cs="宋体"/>
          <w:color w:val="auto"/>
          <w:sz w:val="24"/>
        </w:rPr>
      </w:pPr>
    </w:p>
    <w:p w14:paraId="7A512F00">
      <w:pPr>
        <w:spacing w:line="480" w:lineRule="exact"/>
        <w:ind w:firstLine="240" w:firstLineChars="100"/>
        <w:rPr>
          <w:rFonts w:ascii="宋体" w:hAnsi="宋体" w:cs="宋体"/>
          <w:color w:val="auto"/>
          <w:sz w:val="24"/>
        </w:rPr>
      </w:pPr>
    </w:p>
    <w:p w14:paraId="058D575F">
      <w:pPr>
        <w:spacing w:line="480" w:lineRule="exact"/>
        <w:ind w:firstLine="240" w:firstLineChars="100"/>
        <w:rPr>
          <w:rFonts w:ascii="宋体" w:hAnsi="宋体" w:cs="宋体"/>
          <w:color w:val="auto"/>
          <w:sz w:val="24"/>
        </w:rPr>
      </w:pPr>
      <w:r>
        <w:rPr>
          <w:rFonts w:hint="eastAsia" w:ascii="宋体" w:hAnsi="宋体" w:cs="宋体"/>
          <w:color w:val="auto"/>
          <w:sz w:val="24"/>
        </w:rPr>
        <w:t xml:space="preserve">甲方：                                     乙方： </w:t>
      </w:r>
    </w:p>
    <w:p w14:paraId="6FFAE595">
      <w:pPr>
        <w:spacing w:line="480" w:lineRule="exact"/>
        <w:ind w:firstLine="240" w:firstLineChars="100"/>
        <w:rPr>
          <w:rFonts w:ascii="宋体" w:hAnsi="宋体" w:cs="宋体"/>
          <w:color w:val="auto"/>
          <w:sz w:val="24"/>
        </w:rPr>
      </w:pPr>
    </w:p>
    <w:p w14:paraId="00E1429E">
      <w:pPr>
        <w:spacing w:line="480" w:lineRule="exact"/>
        <w:ind w:firstLine="240" w:firstLineChars="100"/>
        <w:rPr>
          <w:rFonts w:ascii="宋体" w:hAnsi="宋体" w:cs="宋体"/>
          <w:color w:val="auto"/>
          <w:sz w:val="24"/>
        </w:rPr>
      </w:pPr>
      <w:r>
        <w:rPr>
          <w:rFonts w:hint="eastAsia" w:ascii="宋体" w:hAnsi="宋体" w:cs="宋体"/>
          <w:color w:val="auto"/>
          <w:sz w:val="24"/>
        </w:rPr>
        <w:t>法定代表人签字：                           法定代表人签字：</w:t>
      </w:r>
    </w:p>
    <w:p w14:paraId="4FDBF0BA">
      <w:pPr>
        <w:spacing w:line="480" w:lineRule="exact"/>
        <w:ind w:firstLine="240" w:firstLineChars="100"/>
        <w:rPr>
          <w:rFonts w:ascii="宋体" w:hAnsi="宋体" w:cs="宋体"/>
          <w:color w:val="auto"/>
          <w:sz w:val="24"/>
        </w:rPr>
      </w:pPr>
    </w:p>
    <w:p w14:paraId="6E8EF495">
      <w:pPr>
        <w:spacing w:line="480" w:lineRule="exact"/>
        <w:ind w:firstLine="240" w:firstLineChars="100"/>
        <w:rPr>
          <w:rFonts w:ascii="宋体" w:hAnsi="宋体" w:cs="宋体"/>
          <w:color w:val="auto"/>
          <w:sz w:val="24"/>
        </w:rPr>
      </w:pPr>
      <w:r>
        <w:rPr>
          <w:rFonts w:hint="eastAsia" w:ascii="宋体" w:hAnsi="宋体" w:cs="宋体"/>
          <w:color w:val="auto"/>
          <w:sz w:val="24"/>
        </w:rPr>
        <w:t>地址：                                     地址：</w:t>
      </w:r>
    </w:p>
    <w:p w14:paraId="44F5923D">
      <w:pPr>
        <w:spacing w:line="480" w:lineRule="exact"/>
        <w:ind w:firstLine="240" w:firstLineChars="100"/>
        <w:rPr>
          <w:rFonts w:ascii="宋体" w:hAnsi="宋体" w:cs="宋体"/>
          <w:color w:val="auto"/>
          <w:sz w:val="24"/>
        </w:rPr>
      </w:pPr>
    </w:p>
    <w:p w14:paraId="7951ADFE">
      <w:pPr>
        <w:spacing w:line="480" w:lineRule="exact"/>
        <w:ind w:firstLine="240" w:firstLineChars="100"/>
        <w:rPr>
          <w:rFonts w:ascii="宋体" w:hAnsi="宋体" w:cs="宋体"/>
          <w:color w:val="auto"/>
          <w:sz w:val="24"/>
        </w:rPr>
      </w:pPr>
      <w:r>
        <w:rPr>
          <w:rFonts w:hint="eastAsia" w:ascii="宋体" w:hAnsi="宋体" w:cs="宋体"/>
          <w:color w:val="auto"/>
          <w:sz w:val="24"/>
        </w:rPr>
        <w:t xml:space="preserve">电话：                                     电话： </w:t>
      </w:r>
    </w:p>
    <w:p w14:paraId="49B62E85">
      <w:pPr>
        <w:spacing w:line="480" w:lineRule="exact"/>
        <w:ind w:firstLine="240" w:firstLineChars="100"/>
        <w:rPr>
          <w:rFonts w:ascii="宋体" w:hAnsi="宋体" w:cs="宋体"/>
          <w:color w:val="auto"/>
          <w:sz w:val="24"/>
        </w:rPr>
      </w:pPr>
    </w:p>
    <w:p w14:paraId="177B49EC">
      <w:pPr>
        <w:spacing w:line="480" w:lineRule="exact"/>
        <w:ind w:firstLine="240" w:firstLineChars="100"/>
        <w:rPr>
          <w:rFonts w:ascii="宋体" w:hAnsi="宋体" w:cs="宋体"/>
          <w:color w:val="auto"/>
          <w:sz w:val="24"/>
        </w:rPr>
      </w:pPr>
      <w:r>
        <w:rPr>
          <w:rFonts w:hint="eastAsia" w:ascii="宋体" w:hAnsi="宋体" w:cs="宋体"/>
          <w:color w:val="auto"/>
          <w:sz w:val="24"/>
        </w:rPr>
        <w:t>开户行：                                   开户行：</w:t>
      </w:r>
    </w:p>
    <w:p w14:paraId="4B8786C7">
      <w:pPr>
        <w:spacing w:line="480" w:lineRule="exact"/>
        <w:ind w:firstLine="240" w:firstLineChars="100"/>
        <w:rPr>
          <w:rFonts w:ascii="宋体" w:hAnsi="宋体" w:cs="宋体"/>
          <w:color w:val="auto"/>
          <w:sz w:val="24"/>
        </w:rPr>
      </w:pPr>
    </w:p>
    <w:p w14:paraId="141BAEBF">
      <w:pPr>
        <w:spacing w:line="480" w:lineRule="exact"/>
        <w:ind w:firstLine="240" w:firstLineChars="100"/>
        <w:rPr>
          <w:rFonts w:ascii="宋体" w:hAnsi="宋体" w:cs="宋体"/>
          <w:color w:val="auto"/>
          <w:sz w:val="24"/>
        </w:rPr>
      </w:pPr>
      <w:r>
        <w:rPr>
          <w:rFonts w:hint="eastAsia" w:ascii="宋体" w:hAnsi="宋体" w:cs="宋体"/>
          <w:color w:val="auto"/>
          <w:sz w:val="24"/>
        </w:rPr>
        <w:t>账号：                                     账号：</w:t>
      </w:r>
    </w:p>
    <w:p w14:paraId="41505993">
      <w:pPr>
        <w:spacing w:line="480" w:lineRule="exact"/>
        <w:ind w:firstLine="240" w:firstLineChars="100"/>
        <w:rPr>
          <w:rFonts w:ascii="宋体" w:hAnsi="宋体" w:cs="宋体"/>
          <w:color w:val="auto"/>
          <w:sz w:val="24"/>
        </w:rPr>
      </w:pPr>
    </w:p>
    <w:p w14:paraId="6902146F">
      <w:pPr>
        <w:spacing w:line="480" w:lineRule="exact"/>
        <w:ind w:firstLine="240" w:firstLineChars="100"/>
        <w:rPr>
          <w:rFonts w:ascii="宋体" w:hAnsi="宋体" w:cs="宋体"/>
          <w:color w:val="auto"/>
          <w:sz w:val="24"/>
        </w:rPr>
      </w:pPr>
      <w:r>
        <w:rPr>
          <w:rFonts w:hint="eastAsia" w:ascii="宋体" w:hAnsi="宋体" w:cs="宋体"/>
          <w:color w:val="auto"/>
          <w:sz w:val="24"/>
        </w:rPr>
        <w:t>邮政编码：                                 邮政编码：</w:t>
      </w:r>
    </w:p>
    <w:p w14:paraId="4A5BB11B">
      <w:pPr>
        <w:spacing w:line="480" w:lineRule="exact"/>
        <w:ind w:firstLine="240" w:firstLineChars="100"/>
        <w:jc w:val="left"/>
        <w:outlineLvl w:val="0"/>
        <w:rPr>
          <w:rFonts w:ascii="宋体" w:hAnsi="宋体" w:cs="宋体"/>
          <w:color w:val="auto"/>
          <w:sz w:val="24"/>
        </w:rPr>
      </w:pPr>
      <w:bookmarkStart w:id="183" w:name="_Toc9996"/>
      <w:bookmarkStart w:id="184" w:name="_Toc30039"/>
    </w:p>
    <w:p w14:paraId="1B3AD040">
      <w:pPr>
        <w:spacing w:line="480" w:lineRule="exact"/>
        <w:ind w:firstLine="240" w:firstLineChars="100"/>
        <w:jc w:val="left"/>
        <w:outlineLvl w:val="0"/>
        <w:rPr>
          <w:rFonts w:ascii="宋体" w:hAnsi="宋体" w:cs="宋体"/>
          <w:color w:val="auto"/>
          <w:szCs w:val="21"/>
        </w:rPr>
      </w:pPr>
      <w:r>
        <w:rPr>
          <w:rFonts w:hint="eastAsia" w:ascii="宋体" w:hAnsi="宋体" w:cs="宋体"/>
          <w:color w:val="auto"/>
          <w:sz w:val="24"/>
        </w:rPr>
        <w:t>签订时间：                                 签订时间</w:t>
      </w:r>
      <w:bookmarkEnd w:id="183"/>
      <w:bookmarkEnd w:id="184"/>
      <w:r>
        <w:rPr>
          <w:rFonts w:hint="eastAsia" w:ascii="宋体" w:hAnsi="宋体" w:cs="宋体"/>
          <w:color w:val="auto"/>
          <w:sz w:val="24"/>
        </w:rPr>
        <w:t>：</w:t>
      </w:r>
    </w:p>
    <w:p w14:paraId="61F941A3">
      <w:pPr>
        <w:spacing w:line="900" w:lineRule="exact"/>
        <w:jc w:val="center"/>
        <w:rPr>
          <w:rFonts w:ascii="宋体" w:cs="宋体"/>
          <w:b/>
          <w:color w:val="auto"/>
          <w:sz w:val="44"/>
          <w:szCs w:val="44"/>
        </w:rPr>
        <w:sectPr>
          <w:headerReference r:id="rId9" w:type="default"/>
          <w:footerReference r:id="rId10" w:type="default"/>
          <w:pgSz w:w="11906" w:h="16838"/>
          <w:pgMar w:top="1440" w:right="1080" w:bottom="1440" w:left="1080" w:header="851" w:footer="992" w:gutter="0"/>
          <w:pgNumType w:fmt="decimal"/>
          <w:cols w:space="425" w:num="1"/>
          <w:docGrid w:type="lines" w:linePitch="312" w:charSpace="0"/>
        </w:sectPr>
      </w:pPr>
    </w:p>
    <w:p w14:paraId="5236A41E">
      <w:pPr>
        <w:spacing w:afterLines="100" w:line="900" w:lineRule="exact"/>
        <w:jc w:val="center"/>
        <w:rPr>
          <w:rFonts w:ascii="宋体" w:cs="宋体"/>
          <w:b/>
          <w:color w:val="auto"/>
          <w:sz w:val="44"/>
          <w:szCs w:val="44"/>
        </w:rPr>
      </w:pPr>
      <w:r>
        <w:rPr>
          <w:rFonts w:hint="eastAsia" w:ascii="宋体" w:cs="宋体"/>
          <w:b/>
          <w:color w:val="auto"/>
          <w:sz w:val="44"/>
          <w:szCs w:val="44"/>
        </w:rPr>
        <w:t>第五章</w:t>
      </w:r>
      <w:r>
        <w:rPr>
          <w:rFonts w:hint="eastAsia" w:ascii="宋体" w:cs="宋体"/>
          <w:b/>
          <w:color w:val="auto"/>
          <w:sz w:val="44"/>
          <w:szCs w:val="44"/>
          <w:lang w:val="en-US" w:eastAsia="zh-CN"/>
        </w:rPr>
        <w:t xml:space="preserve"> </w:t>
      </w:r>
      <w:r>
        <w:rPr>
          <w:rFonts w:hint="eastAsia" w:ascii="宋体" w:cs="宋体"/>
          <w:b/>
          <w:color w:val="auto"/>
          <w:sz w:val="44"/>
          <w:szCs w:val="44"/>
        </w:rPr>
        <w:t>采购需求</w:t>
      </w:r>
    </w:p>
    <w:p w14:paraId="50F12063">
      <w:pPr>
        <w:spacing w:line="500" w:lineRule="exact"/>
        <w:ind w:firstLine="482" w:firstLineChars="200"/>
        <w:rPr>
          <w:rFonts w:ascii="宋体" w:hAnsi="宋体" w:cs="宋体"/>
          <w:b/>
          <w:color w:val="auto"/>
          <w:sz w:val="24"/>
        </w:rPr>
      </w:pPr>
      <w:r>
        <w:rPr>
          <w:rFonts w:hint="eastAsia" w:ascii="宋体" w:hAnsi="宋体" w:cs="宋体"/>
          <w:b/>
          <w:color w:val="auto"/>
          <w:sz w:val="24"/>
        </w:rPr>
        <w:t>一、采购标的需实现的功能或者目标，以及为落实政府采购政策需满足的要求；</w:t>
      </w:r>
    </w:p>
    <w:p w14:paraId="59305888">
      <w:pPr>
        <w:spacing w:line="500" w:lineRule="exact"/>
        <w:ind w:firstLine="480" w:firstLineChars="200"/>
        <w:rPr>
          <w:rFonts w:ascii="宋体" w:hAnsi="宋体" w:cs="宋体"/>
          <w:bCs/>
          <w:color w:val="auto"/>
          <w:sz w:val="24"/>
        </w:rPr>
      </w:pPr>
      <w:r>
        <w:rPr>
          <w:rFonts w:hint="eastAsia" w:ascii="宋体" w:hAnsi="宋体" w:cs="宋体"/>
          <w:bCs/>
          <w:color w:val="auto"/>
          <w:sz w:val="24"/>
        </w:rPr>
        <w:t>1.采购标的需实现的功能或者目标：</w:t>
      </w:r>
    </w:p>
    <w:p w14:paraId="5E9210E2">
      <w:pPr>
        <w:spacing w:line="500" w:lineRule="exact"/>
        <w:ind w:firstLine="480" w:firstLineChars="200"/>
        <w:rPr>
          <w:rFonts w:hint="eastAsia" w:ascii="宋体" w:hAnsi="宋体" w:eastAsia="宋体" w:cs="宋体"/>
          <w:color w:val="auto"/>
          <w:sz w:val="24"/>
          <w:lang w:eastAsia="zh-CN"/>
        </w:rPr>
      </w:pPr>
      <w:r>
        <w:rPr>
          <w:rFonts w:hint="eastAsia" w:ascii="宋体" w:hAnsi="宋体" w:cs="宋体"/>
          <w:color w:val="auto"/>
          <w:sz w:val="24"/>
        </w:rPr>
        <w:t>交通安全防控体系设备一批及负责</w:t>
      </w:r>
      <w:r>
        <w:rPr>
          <w:rFonts w:hint="eastAsia" w:ascii="宋体" w:hAnsi="宋体" w:cs="宋体"/>
          <w:color w:val="auto"/>
          <w:sz w:val="24"/>
          <w:lang w:eastAsia="zh-CN"/>
        </w:rPr>
        <w:t>五年</w:t>
      </w:r>
      <w:r>
        <w:rPr>
          <w:rFonts w:hint="eastAsia" w:ascii="宋体" w:hAnsi="宋体" w:cs="宋体"/>
          <w:color w:val="auto"/>
          <w:sz w:val="24"/>
        </w:rPr>
        <w:t>运维服务</w:t>
      </w:r>
      <w:r>
        <w:rPr>
          <w:rFonts w:hint="eastAsia" w:ascii="宋体" w:hAnsi="宋体" w:cs="宋体"/>
          <w:color w:val="auto"/>
          <w:sz w:val="24"/>
          <w:lang w:eastAsia="zh-CN"/>
        </w:rPr>
        <w:t>。</w:t>
      </w:r>
    </w:p>
    <w:p w14:paraId="237E48C3">
      <w:pPr>
        <w:spacing w:line="500" w:lineRule="exact"/>
        <w:ind w:firstLine="480" w:firstLineChars="200"/>
        <w:rPr>
          <w:rFonts w:ascii="宋体" w:hAnsi="宋体" w:cs="宋体"/>
          <w:bCs/>
          <w:color w:val="auto"/>
          <w:sz w:val="24"/>
        </w:rPr>
      </w:pPr>
      <w:r>
        <w:rPr>
          <w:rFonts w:hint="eastAsia" w:ascii="宋体" w:hAnsi="宋体" w:cs="宋体"/>
          <w:bCs/>
          <w:color w:val="auto"/>
          <w:sz w:val="24"/>
        </w:rPr>
        <w:t>2.为落实政府采购政策需满足的要求</w:t>
      </w:r>
    </w:p>
    <w:p w14:paraId="6BDF9648">
      <w:pPr>
        <w:pStyle w:val="23"/>
        <w:spacing w:after="0" w:line="500" w:lineRule="exact"/>
        <w:ind w:left="0" w:leftChars="0" w:firstLine="480"/>
        <w:rPr>
          <w:rFonts w:ascii="宋体" w:hAnsi="宋体" w:eastAsia="宋体" w:cs="宋体"/>
          <w:color w:val="auto"/>
          <w:sz w:val="24"/>
          <w:szCs w:val="24"/>
        </w:rPr>
      </w:pPr>
      <w:r>
        <w:rPr>
          <w:rFonts w:hint="eastAsia" w:ascii="宋体" w:hAnsi="宋体" w:eastAsia="宋体" w:cs="宋体"/>
          <w:color w:val="auto"/>
          <w:sz w:val="24"/>
          <w:szCs w:val="24"/>
        </w:rPr>
        <w:t>（1）本项目不属于专门面向中小企业采购的项目；</w:t>
      </w:r>
    </w:p>
    <w:p w14:paraId="2AD75ED4">
      <w:pPr>
        <w:spacing w:line="500" w:lineRule="exact"/>
        <w:ind w:firstLine="480" w:firstLineChars="200"/>
        <w:rPr>
          <w:rFonts w:ascii="宋体" w:hAnsi="宋体" w:cs="宋体"/>
          <w:bCs/>
          <w:color w:val="auto"/>
          <w:sz w:val="24"/>
        </w:rPr>
      </w:pPr>
      <w:r>
        <w:rPr>
          <w:rFonts w:hint="eastAsia" w:ascii="宋体" w:hAnsi="宋体" w:cs="宋体"/>
          <w:color w:val="auto"/>
          <w:sz w:val="24"/>
        </w:rPr>
        <w:t>（2）本项目需要落实的政府采购政策：《政府采购促进中小企业发展管理办法》（财库〔2020〕46号）、《关于进一步加大政府采购支持中小企业力度的通知》（财库〔2022〕19号）、《财政部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财库〔2014〕68号)、《关于印发环境标志产品政府采购品目清单的通知》（财库〔2019〕18号）、《关于印发节能产品政府采购品目清单的通知》（财库〔2019〕19号）、《财政部 发展改革委 生态环境部 市场监管总局 关于调整优化节能产品、环境标志产品政府采购执行机制的通知》（财库〔2019〕9号）等</w:t>
      </w:r>
      <w:r>
        <w:rPr>
          <w:rFonts w:hint="eastAsia" w:ascii="宋体" w:hAnsi="宋体" w:cs="宋体"/>
          <w:bCs/>
          <w:color w:val="auto"/>
          <w:sz w:val="24"/>
        </w:rPr>
        <w:t>。</w:t>
      </w:r>
    </w:p>
    <w:p w14:paraId="60E2F752">
      <w:pPr>
        <w:spacing w:line="500" w:lineRule="exact"/>
        <w:ind w:firstLine="482" w:firstLineChars="200"/>
        <w:rPr>
          <w:rFonts w:ascii="宋体" w:hAnsi="宋体" w:cs="宋体"/>
          <w:b/>
          <w:color w:val="auto"/>
          <w:sz w:val="24"/>
        </w:rPr>
      </w:pPr>
      <w:r>
        <w:rPr>
          <w:rFonts w:hint="eastAsia" w:ascii="宋体" w:hAnsi="宋体" w:cs="宋体"/>
          <w:b/>
          <w:color w:val="auto"/>
          <w:sz w:val="24"/>
        </w:rPr>
        <w:t>二、采购标的需执行的国家相关标准、行业标准、地方标准或者其他标准、规范；</w:t>
      </w:r>
    </w:p>
    <w:p w14:paraId="5B8B7AEE">
      <w:pPr>
        <w:widowControl/>
        <w:spacing w:line="500" w:lineRule="exact"/>
        <w:ind w:firstLine="480" w:firstLineChars="200"/>
        <w:rPr>
          <w:rFonts w:hint="eastAsia" w:ascii="宋体" w:hAnsi="宋体" w:cs="宋体"/>
          <w:color w:val="auto"/>
          <w:sz w:val="24"/>
        </w:rPr>
      </w:pPr>
      <w:r>
        <w:rPr>
          <w:rFonts w:hint="eastAsia" w:ascii="宋体" w:hAnsi="宋体" w:cs="宋体"/>
          <w:color w:val="auto"/>
          <w:sz w:val="24"/>
        </w:rPr>
        <w:t>依据《中华人民共和国政府采购法》、中华人民共和国财政部令第87号《政府采购货物和服务招标投标管理办法》、财库〔2019〕38号《财政部关于促进政府采购公平竞争优化营商环境的通知》等相关法律法规，根据</w:t>
      </w:r>
      <w:r>
        <w:rPr>
          <w:rFonts w:hint="eastAsia" w:ascii="宋体" w:hAnsi="宋体" w:cs="宋体"/>
          <w:color w:val="auto"/>
          <w:sz w:val="24"/>
          <w:lang w:eastAsia="zh-CN"/>
        </w:rPr>
        <w:t>瑞丽市公安局交通管理大队</w:t>
      </w:r>
      <w:r>
        <w:rPr>
          <w:rFonts w:hint="eastAsia" w:ascii="宋体" w:hAnsi="宋体" w:cs="宋体"/>
          <w:color w:val="auto"/>
          <w:sz w:val="24"/>
        </w:rPr>
        <w:t>实际需求，编制采购标准，满足采购人使用需求。</w:t>
      </w:r>
    </w:p>
    <w:p w14:paraId="41E698AF">
      <w:pPr>
        <w:widowControl/>
        <w:spacing w:line="500" w:lineRule="exact"/>
        <w:ind w:firstLine="480" w:firstLineChars="200"/>
        <w:rPr>
          <w:rFonts w:hint="eastAsia" w:ascii="宋体" w:hAnsi="宋体" w:cs="宋体"/>
          <w:color w:val="auto"/>
          <w:sz w:val="24"/>
        </w:rPr>
      </w:pPr>
    </w:p>
    <w:p w14:paraId="24D60B3C">
      <w:pPr>
        <w:widowControl/>
        <w:spacing w:line="500" w:lineRule="exact"/>
        <w:ind w:firstLine="480" w:firstLineChars="200"/>
        <w:rPr>
          <w:rFonts w:hint="eastAsia" w:ascii="宋体" w:hAnsi="宋体" w:cs="宋体"/>
          <w:color w:val="auto"/>
          <w:sz w:val="24"/>
        </w:rPr>
      </w:pPr>
    </w:p>
    <w:p w14:paraId="044915C7">
      <w:pPr>
        <w:widowControl/>
        <w:spacing w:line="500" w:lineRule="exact"/>
        <w:ind w:firstLine="480" w:firstLineChars="200"/>
        <w:rPr>
          <w:rFonts w:hint="eastAsia" w:ascii="宋体" w:hAnsi="宋体" w:cs="宋体"/>
          <w:color w:val="auto"/>
          <w:sz w:val="24"/>
        </w:rPr>
      </w:pPr>
    </w:p>
    <w:p w14:paraId="5414CC7B">
      <w:pPr>
        <w:widowControl/>
        <w:spacing w:line="500" w:lineRule="exact"/>
        <w:ind w:firstLine="480" w:firstLineChars="200"/>
        <w:rPr>
          <w:rFonts w:hint="eastAsia" w:ascii="宋体" w:hAnsi="宋体" w:cs="宋体"/>
          <w:color w:val="auto"/>
          <w:sz w:val="24"/>
        </w:rPr>
      </w:pPr>
    </w:p>
    <w:p w14:paraId="6422B88D">
      <w:pPr>
        <w:widowControl/>
        <w:spacing w:line="500" w:lineRule="exact"/>
        <w:ind w:firstLine="480" w:firstLineChars="200"/>
        <w:rPr>
          <w:rFonts w:hint="eastAsia" w:ascii="宋体" w:hAnsi="宋体" w:cs="宋体"/>
          <w:color w:val="auto"/>
          <w:sz w:val="24"/>
        </w:rPr>
      </w:pPr>
    </w:p>
    <w:p w14:paraId="64EB7402">
      <w:pPr>
        <w:widowControl/>
        <w:spacing w:line="500" w:lineRule="exact"/>
        <w:ind w:firstLine="480" w:firstLineChars="200"/>
        <w:rPr>
          <w:rFonts w:hint="eastAsia" w:ascii="宋体" w:hAnsi="宋体" w:cs="宋体"/>
          <w:color w:val="auto"/>
          <w:sz w:val="24"/>
        </w:rPr>
      </w:pPr>
    </w:p>
    <w:p w14:paraId="1D30C5E6">
      <w:pPr>
        <w:widowControl/>
        <w:spacing w:line="500" w:lineRule="exact"/>
        <w:ind w:firstLine="480" w:firstLineChars="200"/>
        <w:rPr>
          <w:rFonts w:hint="eastAsia" w:ascii="宋体" w:hAnsi="宋体" w:cs="宋体"/>
          <w:color w:val="auto"/>
          <w:sz w:val="24"/>
        </w:rPr>
      </w:pPr>
      <w:bookmarkStart w:id="187" w:name="_GoBack"/>
      <w:bookmarkEnd w:id="187"/>
    </w:p>
    <w:p w14:paraId="241FFF7F">
      <w:pPr>
        <w:numPr>
          <w:ilvl w:val="0"/>
          <w:numId w:val="3"/>
        </w:numPr>
        <w:spacing w:line="500" w:lineRule="exact"/>
        <w:ind w:firstLine="482" w:firstLineChars="200"/>
        <w:rPr>
          <w:rFonts w:hint="eastAsia" w:ascii="宋体" w:hAnsi="宋体" w:cs="宋体"/>
          <w:b/>
          <w:color w:val="auto"/>
          <w:sz w:val="24"/>
        </w:rPr>
      </w:pPr>
      <w:r>
        <w:rPr>
          <w:rFonts w:hint="eastAsia" w:ascii="宋体" w:hAnsi="宋体" w:cs="宋体"/>
          <w:b/>
          <w:color w:val="auto"/>
          <w:sz w:val="24"/>
        </w:rPr>
        <w:t>采购标的需满足的质量、安全、技术规格、物理特性等要求；</w:t>
      </w:r>
    </w:p>
    <w:tbl>
      <w:tblPr>
        <w:tblStyle w:val="24"/>
        <w:tblW w:w="870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6"/>
        <w:gridCol w:w="576"/>
        <w:gridCol w:w="661"/>
        <w:gridCol w:w="2411"/>
        <w:gridCol w:w="576"/>
        <w:gridCol w:w="788"/>
        <w:gridCol w:w="1116"/>
        <w:gridCol w:w="1210"/>
        <w:gridCol w:w="396"/>
        <w:gridCol w:w="396"/>
      </w:tblGrid>
      <w:tr w14:paraId="00CC5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0" w:type="auto"/>
            <w:tcBorders>
              <w:top w:val="single" w:color="000000" w:sz="4" w:space="0"/>
              <w:left w:val="single" w:color="000000" w:sz="4" w:space="0"/>
              <w:bottom w:val="nil"/>
              <w:right w:val="single" w:color="000000" w:sz="4" w:space="0"/>
            </w:tcBorders>
            <w:shd w:val="clear" w:color="auto" w:fill="BFBFBF"/>
            <w:noWrap/>
            <w:vAlign w:val="center"/>
          </w:tcPr>
          <w:p w14:paraId="68187878">
            <w:pPr>
              <w:keepNext w:val="0"/>
              <w:keepLines w:val="0"/>
              <w:widowControl/>
              <w:suppressLineNumbers w:val="0"/>
              <w:jc w:val="center"/>
              <w:textAlignment w:val="center"/>
              <w:rPr>
                <w:rFonts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序号</w:t>
            </w:r>
          </w:p>
        </w:tc>
        <w:tc>
          <w:tcPr>
            <w:tcW w:w="0" w:type="auto"/>
            <w:tcBorders>
              <w:top w:val="single" w:color="000000" w:sz="4" w:space="0"/>
              <w:left w:val="single" w:color="000000" w:sz="4" w:space="0"/>
              <w:bottom w:val="nil"/>
              <w:right w:val="single" w:color="000000" w:sz="4" w:space="0"/>
            </w:tcBorders>
            <w:shd w:val="clear" w:color="auto" w:fill="BFBFBF"/>
            <w:noWrap/>
            <w:vAlign w:val="center"/>
          </w:tcPr>
          <w:p w14:paraId="5F0E0111">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名称</w:t>
            </w:r>
          </w:p>
        </w:tc>
        <w:tc>
          <w:tcPr>
            <w:tcW w:w="0" w:type="auto"/>
            <w:tcBorders>
              <w:top w:val="single" w:color="000000" w:sz="4" w:space="0"/>
              <w:left w:val="single" w:color="000000" w:sz="4" w:space="0"/>
              <w:bottom w:val="nil"/>
              <w:right w:val="single" w:color="000000" w:sz="4" w:space="0"/>
            </w:tcBorders>
            <w:shd w:val="clear" w:color="auto" w:fill="BFBFBF"/>
            <w:noWrap/>
            <w:vAlign w:val="center"/>
          </w:tcPr>
          <w:p w14:paraId="4A7BB97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类别</w:t>
            </w:r>
          </w:p>
        </w:tc>
        <w:tc>
          <w:tcPr>
            <w:tcW w:w="0" w:type="auto"/>
            <w:tcBorders>
              <w:top w:val="single" w:color="000000" w:sz="4" w:space="0"/>
              <w:left w:val="single" w:color="000000" w:sz="4" w:space="0"/>
              <w:bottom w:val="nil"/>
              <w:right w:val="single" w:color="000000" w:sz="4" w:space="0"/>
            </w:tcBorders>
            <w:shd w:val="clear" w:color="auto" w:fill="BFBFBF"/>
            <w:noWrap/>
            <w:vAlign w:val="center"/>
          </w:tcPr>
          <w:p w14:paraId="70DA2A0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内容</w:t>
            </w:r>
          </w:p>
        </w:tc>
        <w:tc>
          <w:tcPr>
            <w:tcW w:w="0" w:type="auto"/>
            <w:tcBorders>
              <w:top w:val="single" w:color="000000" w:sz="4" w:space="0"/>
              <w:left w:val="single" w:color="000000" w:sz="4" w:space="0"/>
              <w:bottom w:val="nil"/>
              <w:right w:val="single" w:color="000000" w:sz="4" w:space="0"/>
            </w:tcBorders>
            <w:shd w:val="clear" w:color="auto" w:fill="BFBFBF"/>
            <w:noWrap/>
            <w:vAlign w:val="center"/>
          </w:tcPr>
          <w:p w14:paraId="3FD9520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单位</w:t>
            </w:r>
          </w:p>
        </w:tc>
        <w:tc>
          <w:tcPr>
            <w:tcW w:w="0" w:type="auto"/>
            <w:tcBorders>
              <w:top w:val="single" w:color="000000" w:sz="4" w:space="0"/>
              <w:left w:val="single" w:color="000000" w:sz="4" w:space="0"/>
              <w:bottom w:val="nil"/>
              <w:right w:val="single" w:color="000000" w:sz="4" w:space="0"/>
            </w:tcBorders>
            <w:shd w:val="clear" w:color="auto" w:fill="BFBFBF"/>
            <w:noWrap/>
            <w:vAlign w:val="center"/>
          </w:tcPr>
          <w:p w14:paraId="5E1D8C65">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数量</w:t>
            </w:r>
          </w:p>
        </w:tc>
        <w:tc>
          <w:tcPr>
            <w:tcW w:w="0" w:type="auto"/>
            <w:tcBorders>
              <w:top w:val="single" w:color="000000" w:sz="4" w:space="0"/>
              <w:left w:val="single" w:color="000000" w:sz="4" w:space="0"/>
              <w:bottom w:val="nil"/>
              <w:right w:val="single" w:color="000000" w:sz="4" w:space="0"/>
            </w:tcBorders>
            <w:shd w:val="clear" w:color="auto" w:fill="BFBFBF"/>
            <w:noWrap/>
            <w:vAlign w:val="center"/>
          </w:tcPr>
          <w:p w14:paraId="1F74A78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单价（元）</w:t>
            </w:r>
          </w:p>
        </w:tc>
        <w:tc>
          <w:tcPr>
            <w:tcW w:w="0" w:type="auto"/>
            <w:tcBorders>
              <w:top w:val="single" w:color="000000" w:sz="4" w:space="0"/>
              <w:left w:val="single" w:color="000000" w:sz="4" w:space="0"/>
              <w:bottom w:val="nil"/>
              <w:right w:val="single" w:color="000000" w:sz="4" w:space="0"/>
            </w:tcBorders>
            <w:shd w:val="clear" w:color="auto" w:fill="BFBFBF"/>
            <w:noWrap/>
            <w:vAlign w:val="center"/>
          </w:tcPr>
          <w:p w14:paraId="786C8A7C">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总价（元）</w:t>
            </w:r>
          </w:p>
        </w:tc>
        <w:tc>
          <w:tcPr>
            <w:tcW w:w="396" w:type="dxa"/>
            <w:tcBorders>
              <w:top w:val="single" w:color="000000" w:sz="4" w:space="0"/>
              <w:left w:val="single" w:color="000000" w:sz="4" w:space="0"/>
              <w:bottom w:val="nil"/>
              <w:right w:val="single" w:color="000000" w:sz="4" w:space="0"/>
            </w:tcBorders>
            <w:shd w:val="clear" w:color="auto" w:fill="BFBFBF"/>
            <w:vAlign w:val="center"/>
          </w:tcPr>
          <w:p w14:paraId="2C7F7374">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周期单位</w:t>
            </w:r>
          </w:p>
        </w:tc>
        <w:tc>
          <w:tcPr>
            <w:tcW w:w="396" w:type="dxa"/>
            <w:tcBorders>
              <w:top w:val="single" w:color="000000" w:sz="4" w:space="0"/>
              <w:left w:val="single" w:color="000000" w:sz="4" w:space="0"/>
              <w:bottom w:val="nil"/>
              <w:right w:val="single" w:color="000000" w:sz="4" w:space="0"/>
            </w:tcBorders>
            <w:shd w:val="clear" w:color="auto" w:fill="BFBFBF"/>
            <w:vAlign w:val="center"/>
          </w:tcPr>
          <w:p w14:paraId="6371C5CD">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服务周期</w:t>
            </w:r>
          </w:p>
        </w:tc>
      </w:tr>
      <w:tr w14:paraId="17247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0" w:type="auto"/>
            <w:gridSpan w:val="10"/>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A0A91">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一、前端感知类设备</w:t>
            </w:r>
          </w:p>
        </w:tc>
      </w:tr>
      <w:tr w14:paraId="308A0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60EB8">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9F2142">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电警抓拍单元</w:t>
            </w:r>
          </w:p>
        </w:tc>
        <w:tc>
          <w:tcPr>
            <w:tcW w:w="6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769D3D">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1200万生态电警</w:t>
            </w:r>
          </w:p>
        </w:tc>
        <w:tc>
          <w:tcPr>
            <w:tcW w:w="24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49759B">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电警抓拍单元</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1.设备组成：高清抓拍单元由摄像机、高清镜头、室外防护罩、风扇、补光灯、电源适配器、安装万向节等组成</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2.摄像机采用1.1英寸高帧率全局曝光CMOS传感器，分辨率可达4112 × 3072，帧率可达25帧。</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3.支持远程数据上传，GB/T 28181视频联网标准、GA/T 1400视图库标准、FTP协议，可将抓拍的图片上传给终端服务器、FTP服务器或者后端平台。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4.设备接口：具有不少于2个RJ45 10M/100M/1000M自适应以太网接口(具备双网口双网卡,支持双网隔离)、3个RS485接口、1个RS232串行接口、1个TF卡接口、1个USB接口、1个触发/报警输入口、7路F+/F-输出接口(可作为补光灯同步输出控制)、1个 SYNC 信号灯电源同步输入口。</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5.信号灯故障检测功能：支持通过视频检测信号灯故障状态功能，故障状态包括灯组内三个颜色都不亮，灯组内红灯和绿灯同时亮，灯组内红灯或绿灯一直亮或一直不亮，倒计数数字灯不亮，输出故障信息同步上传。</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6.★车型识别功能：支持车型识别，可识别车型种类≥49种。 支持识别以下15种普通车型：大货车、中货车、小货车、大客车、中客车、轿车、面包车、suv、mpv、公交车、皮卡车、微型车、摩托车、二轮车、三轮车； 支持识别以下20种特殊车型：普通罐车、油罐车、渣土车、集装箱卡车、微卡/栏板车、混凝土搅拌车、出租车、警车、校车、救护车、洒水车、危险品运输车、消防车、拖拉机、吊车/工程车、平板拖车、粉粒物料运输车、吸污车、农用车、环卫车。 支持识别以下44种车型：轻型普通货车、轻型厢式货车、轻型平板货车、两厢轿车、三厢轿车、轿跑、小型客车、小型越野客车、小型面包车、中型罐式货车、中型仓栅式货车、中型普通货车、中型普通半挂车、中型普通客车、中型平板货车、中型牵引车、中型厢式货车、中型厢式半挂车、中型特殊结构货车、中型平板半挂车、重型特殊结构货车、重型罐式挂车、重型普通货车、重型牵引力车、重型多结构货车、重型厢式挂车、重型车辆运输车，重型集装箱车，重型集装箱车挂车、重型普通全挂车、重型厢式货车、大型无轨电车、大型普通客车、大型双层客车、大型专用校车、专用客车、大型专项作业车、轮式平地机械，轮式挖掘机械，轮式装载机械，普通二轮摩托车，轻便侧三轮摩托车，轻便正三轮载货摩托车，轻便正三轮载客摩托车。</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7.★车身颜色识别功能检查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支持识别车身副颜色。</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8.违法行为检测：具有超速、压线、禁止大货车、逆向行驶、闯红灯、不按车道行驶、违法变道、违法掉头、不礼让行人、闯禁令、占用非机动车道、接打电话、不系安全带、货车禁行的违法行为检测及抓拍功能； 在白天视频光照正常、夜间视频补光正常情况下，白天违法行为捕获率&gt;99%；夜间违法行为捕获率&gt;99%；白天违法行为记录有效率&gt;99%；夜间违法行为记录有效率&gt;99%。</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9. 车辆识别性能 ：在天气晴朗无雾，车辆无遮挡，号牌无污损白天环境光照度不低于 200lx，夜晚辅助光照度不高于30lx的情况下进行测试；白天车牌号识别准确率≥99%，晚上车牌号识别准确率≥99%； 白天车身颜色识别准确率≥98%，晚上车身颜色识别准确率≥98%； 白天车辆类型识别准确率≥99%，晚上车辆类型识别准确率≥99%。</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10.★车牌识别功能 ：支持对25×10 像素～1100×3000 像素的机动车车牌进行抓拍并识别号码； 支持抓拍并识别垂直倾斜角度≤45°、水平倾斜角度≤35°、俯仰角度≤40°的机动车车牌号码。</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11.抓拍的车牌图片支持配置放大倍数，支持对改装的牛眼灯进行检测。</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12.★闯禁令支持根据车牌类型区分抓拍计划，包括蓝牌、新能源和货车三种，支持设置蓝牌和新能源车牌在22点～7点进行抓拍，黄牌货车24小时全天进行抓拍。</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13.支持车辆右转弯压实线检测并抓拍。</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14.支持视频测速功能，视频测速误差不大于5%（车速30km/h～65km/h范围内）； 支持外接雷达实现测速。</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15.目标跟踪功能 ：支持检测并跟踪指定区域内不少于 245 个目标，目标包括机动车、非机动车以及行人。</w:t>
            </w: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4003C3">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台</w:t>
            </w:r>
          </w:p>
        </w:tc>
        <w:tc>
          <w:tcPr>
            <w:tcW w:w="7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8AD28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 xml:space="preserve">32.00 </w:t>
            </w:r>
          </w:p>
        </w:tc>
        <w:tc>
          <w:tcPr>
            <w:tcW w:w="11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C611AE">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12300.00 </w:t>
            </w:r>
          </w:p>
        </w:tc>
        <w:tc>
          <w:tcPr>
            <w:tcW w:w="12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BD5FF2">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393600.00 </w:t>
            </w:r>
          </w:p>
        </w:tc>
        <w:tc>
          <w:tcPr>
            <w:tcW w:w="3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9908F0">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年</w:t>
            </w:r>
          </w:p>
        </w:tc>
        <w:tc>
          <w:tcPr>
            <w:tcW w:w="3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E88C7F">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w:t>
            </w:r>
          </w:p>
        </w:tc>
      </w:tr>
      <w:tr w14:paraId="02137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71A6B">
            <w:pPr>
              <w:jc w:val="center"/>
              <w:rPr>
                <w:rFonts w:hint="eastAsia" w:ascii="微软雅黑" w:hAnsi="微软雅黑" w:eastAsia="微软雅黑" w:cs="微软雅黑"/>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244F4">
            <w:pPr>
              <w:jc w:val="center"/>
              <w:rPr>
                <w:rFonts w:hint="eastAsia" w:ascii="微软雅黑" w:hAnsi="微软雅黑" w:eastAsia="微软雅黑" w:cs="微软雅黑"/>
                <w:b/>
                <w:bCs/>
                <w:i w:val="0"/>
                <w:iCs w:val="0"/>
                <w:color w:val="000000"/>
                <w:sz w:val="18"/>
                <w:szCs w:val="18"/>
                <w:u w:val="none"/>
              </w:rPr>
            </w:pPr>
          </w:p>
        </w:tc>
        <w:tc>
          <w:tcPr>
            <w:tcW w:w="6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C3E60B">
            <w:pPr>
              <w:jc w:val="center"/>
              <w:rPr>
                <w:rFonts w:hint="eastAsia" w:ascii="微软雅黑" w:hAnsi="微软雅黑" w:eastAsia="微软雅黑" w:cs="微软雅黑"/>
                <w:b/>
                <w:bCs/>
                <w:i w:val="0"/>
                <w:iCs w:val="0"/>
                <w:color w:val="000000"/>
                <w:sz w:val="18"/>
                <w:szCs w:val="18"/>
                <w:u w:val="none"/>
              </w:rPr>
            </w:pPr>
          </w:p>
        </w:tc>
        <w:tc>
          <w:tcPr>
            <w:tcW w:w="2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163CB4">
            <w:pPr>
              <w:jc w:val="left"/>
              <w:rPr>
                <w:rFonts w:hint="eastAsia" w:ascii="微软雅黑" w:hAnsi="微软雅黑" w:eastAsia="微软雅黑" w:cs="微软雅黑"/>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855EC">
            <w:pPr>
              <w:jc w:val="center"/>
              <w:rPr>
                <w:rFonts w:hint="eastAsia" w:ascii="微软雅黑" w:hAnsi="微软雅黑" w:eastAsia="微软雅黑" w:cs="微软雅黑"/>
                <w:i w:val="0"/>
                <w:iCs w:val="0"/>
                <w:color w:val="000000"/>
                <w:sz w:val="18"/>
                <w:szCs w:val="18"/>
                <w:u w:val="none"/>
              </w:rPr>
            </w:pPr>
          </w:p>
        </w:tc>
        <w:tc>
          <w:tcPr>
            <w:tcW w:w="7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43144A">
            <w:pPr>
              <w:jc w:val="center"/>
              <w:rPr>
                <w:rFonts w:hint="eastAsia" w:ascii="微软雅黑" w:hAnsi="微软雅黑" w:eastAsia="微软雅黑" w:cs="微软雅黑"/>
                <w:b/>
                <w:bCs/>
                <w:i w:val="0"/>
                <w:iCs w:val="0"/>
                <w:color w:val="000000"/>
                <w:sz w:val="18"/>
                <w:szCs w:val="18"/>
                <w:u w:val="none"/>
              </w:rPr>
            </w:pPr>
          </w:p>
        </w:tc>
        <w:tc>
          <w:tcPr>
            <w:tcW w:w="11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B02BDE">
            <w:pPr>
              <w:jc w:val="center"/>
              <w:rPr>
                <w:rFonts w:hint="eastAsia" w:ascii="微软雅黑" w:hAnsi="微软雅黑" w:eastAsia="微软雅黑" w:cs="微软雅黑"/>
                <w:i w:val="0"/>
                <w:iCs w:val="0"/>
                <w:color w:val="000000"/>
                <w:sz w:val="18"/>
                <w:szCs w:val="18"/>
                <w:u w:val="none"/>
              </w:rPr>
            </w:pPr>
          </w:p>
        </w:tc>
        <w:tc>
          <w:tcPr>
            <w:tcW w:w="12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8E0CDD">
            <w:pPr>
              <w:jc w:val="center"/>
              <w:rPr>
                <w:rFonts w:hint="eastAsia" w:ascii="微软雅黑" w:hAnsi="微软雅黑" w:eastAsia="微软雅黑" w:cs="微软雅黑"/>
                <w:i w:val="0"/>
                <w:iCs w:val="0"/>
                <w:color w:val="000000"/>
                <w:sz w:val="18"/>
                <w:szCs w:val="18"/>
                <w:u w:val="none"/>
              </w:rPr>
            </w:pPr>
          </w:p>
        </w:tc>
        <w:tc>
          <w:tcPr>
            <w:tcW w:w="3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F3263F">
            <w:pPr>
              <w:jc w:val="center"/>
              <w:rPr>
                <w:rFonts w:hint="eastAsia" w:ascii="微软雅黑" w:hAnsi="微软雅黑" w:eastAsia="微软雅黑" w:cs="微软雅黑"/>
                <w:i w:val="0"/>
                <w:iCs w:val="0"/>
                <w:color w:val="000000"/>
                <w:sz w:val="18"/>
                <w:szCs w:val="18"/>
                <w:u w:val="none"/>
              </w:rPr>
            </w:pPr>
          </w:p>
        </w:tc>
        <w:tc>
          <w:tcPr>
            <w:tcW w:w="3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44CE11">
            <w:pPr>
              <w:jc w:val="center"/>
              <w:rPr>
                <w:rFonts w:hint="eastAsia" w:ascii="微软雅黑" w:hAnsi="微软雅黑" w:eastAsia="微软雅黑" w:cs="微软雅黑"/>
                <w:i w:val="0"/>
                <w:iCs w:val="0"/>
                <w:color w:val="000000"/>
                <w:sz w:val="18"/>
                <w:szCs w:val="18"/>
                <w:u w:val="none"/>
              </w:rPr>
            </w:pPr>
          </w:p>
        </w:tc>
      </w:tr>
      <w:tr w14:paraId="780AD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C382B">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250E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电警频闪灯</w:t>
            </w:r>
          </w:p>
        </w:tc>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BE6E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LED频闪灯</w:t>
            </w:r>
          </w:p>
        </w:tc>
        <w:tc>
          <w:tcPr>
            <w:tcW w:w="2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B95C">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光源类型：16颗优质大功率LED</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发光角度10°</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覆盖范围：单车道环境补光灯</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最佳补光范围16米～25米</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触发方式： 4V~6V电平量触发（高电平有效）、</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触发信号：频率15~250HZ，占空比1%~39%，响应时间小于20US</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工作温度：温度-30℃~70℃</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电源：220VAC±10%</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工作湿度：湿度5%~95%@40℃，无凝结</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防护等级：IP66</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7E329">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台</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92523">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64.00 </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88E3E">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950.00 </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BEDF1">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60800.00 </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DCF7C">
            <w:pPr>
              <w:rPr>
                <w:rFonts w:hint="eastAsia" w:ascii="微软雅黑" w:hAnsi="微软雅黑" w:eastAsia="微软雅黑" w:cs="微软雅黑"/>
                <w:i w:val="0"/>
                <w:iCs w:val="0"/>
                <w:color w:val="000000"/>
                <w:sz w:val="18"/>
                <w:szCs w:val="18"/>
                <w:u w:val="none"/>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377D9">
            <w:pPr>
              <w:rPr>
                <w:rFonts w:hint="eastAsia" w:ascii="微软雅黑" w:hAnsi="微软雅黑" w:eastAsia="微软雅黑" w:cs="微软雅黑"/>
                <w:i w:val="0"/>
                <w:iCs w:val="0"/>
                <w:color w:val="000000"/>
                <w:sz w:val="18"/>
                <w:szCs w:val="18"/>
                <w:u w:val="none"/>
              </w:rPr>
            </w:pPr>
          </w:p>
        </w:tc>
      </w:tr>
      <w:tr w14:paraId="6C020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DFE29">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w:t>
            </w: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6911E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卡口抓拍单元</w:t>
            </w:r>
          </w:p>
        </w:tc>
        <w:tc>
          <w:tcPr>
            <w:tcW w:w="6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464BA0">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1200万生态卡口</w:t>
            </w:r>
          </w:p>
        </w:tc>
        <w:tc>
          <w:tcPr>
            <w:tcW w:w="24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DA442A">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车辆人脸卡口抓拍单元</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1.车辆人脸卡口抓拍单元由防护罩组件及高清智能摄像机组成，抓拍单元防护罩前面板具有防尘、防水功能，单元内置LED暖光灯，单元支持网络防雷、防浪涌，宽温宽压等。</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2.内置摄像机采用1.1英寸高帧率全局曝光CMOS传感器，分辨率可达4112 × 3072，帧率可达25帧。</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3.具有不少于2个RJ45 10M/100M/1000M自适应以太网接口(具备双网口双网卡,支持双网隔离)、3个RS485接口、1个RS232串行接口、1个TF卡接口、1个USB接口、1个触发/报警输入口、7路F+/F-输出接口(可作为补光灯同步输出控制)、1个 SYNC 信号灯电源同步输入口。</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 ★人脸增强功能：具有AI人脸增强设置选项，开启后可去除白天车窗反光和彩条纹。 支持人脸区域自动曝光，可根据人脸区域光照变化自动调节人脸区域曝光参数。 支持前排主副驾驶人员的人脸检测功能，白天和夜晚图片中人脸信息清晰可辨，白天前排人脸抓拍率≥99%；夜晚前排人脸抓拍率≥99%。</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5.目标捕获率：在混合抓拍模式下，人体、非机动 车和机动车目标捕获率不低于99%。</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6. 目标跟踪功能：支持检测并跟踪指定区域内不少于210个目标,目标包括机动车、非机动车 以及行人等。</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7. ★车型识别功能：支持识别43种车型,包括轻型普通货 车、轻型厢式货车、轻型平板货车、微型 轿车、小型轿车、小型客车、小型越野客 车、小型面包车、中型罐式货车、中型仓 栅式货车、中型普通货车、中型普通半挂 车、中型普通客车、中型平板货车、中型 牵引车、中型厢式货车、中型厢式半挂车、 中型特殊结构货车、中型平板半挂车、重 型特殊结构货车、重型罐式挂车、重型普 通货车、重型牵引力车、重型多结构货车、 重型厢式挂车、重型车辆运输车、重型集 装箱车、重型集装箱车挂车、重型普通全 挂车、重型厢式货车、大型无轨电车、大 型普通客车、大型双层客车、大型专用校 车、专用客车、大型专项作业车、轮式平 地机械、轮式挖掘机械、轮式装载机械、 普通二轮摩托车、轻便侧三轮摩托车、轻 便正三轮载货摩托车、轻便正三轮载客摩托车。</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8.违法行为检测功能：具有超速、压线、禁止大货车、逆向行驶、闯红灯、不按车道行驶、违法变道、违法掉头、不礼让行人、闯禁令、占用非机动车道、接打电话、不系安全带、货车禁行、外地车未办理进京证的违法行为检测及抓拍功能； 在白天视频光照正常、夜间视频补光正常情况下，白天违法行为捕获率&gt;99%；夜间违法行为捕获率&gt;98%；白天违法行为记录有效率&gt;99%；夜间违法行为记录有效率&gt;98%。</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9.监控摄像机图像画面信息不应有明显的缺损，图像画面应连贯，物体移动时图像不应有前冲现象、图像边缘不应有明显的锯齿状、拉毛、断裂、拖尾等现象。</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10.抓拍的车牌图片支持配置放大倍数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11.★闯禁令支持根据车牌类型区分抓拍计划，包括蓝牌、新能源和货车三种，支持设置蓝牌和新能源车牌在22点～7点进行抓拍，黄牌货车24小时全天进行抓拍。</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12.支持远程数据上传，GB/T 28181视频联网标准、GA/T 1400视图库标准、FTP协议，可将抓拍的图片上传给终端服务器、FTP服务器或者后端平台。</w:t>
            </w: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B1D1FC">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台</w:t>
            </w:r>
          </w:p>
        </w:tc>
        <w:tc>
          <w:tcPr>
            <w:tcW w:w="7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9CF187">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32.00 </w:t>
            </w:r>
          </w:p>
        </w:tc>
        <w:tc>
          <w:tcPr>
            <w:tcW w:w="11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FD16E6">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12600.00 </w:t>
            </w:r>
          </w:p>
        </w:tc>
        <w:tc>
          <w:tcPr>
            <w:tcW w:w="12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B8A6CA">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403200.00 </w:t>
            </w:r>
          </w:p>
        </w:tc>
        <w:tc>
          <w:tcPr>
            <w:tcW w:w="3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E081C3">
            <w:pPr>
              <w:jc w:val="center"/>
              <w:rPr>
                <w:rFonts w:hint="eastAsia" w:ascii="微软雅黑" w:hAnsi="微软雅黑" w:eastAsia="微软雅黑" w:cs="微软雅黑"/>
                <w:i w:val="0"/>
                <w:iCs w:val="0"/>
                <w:color w:val="000000"/>
                <w:sz w:val="18"/>
                <w:szCs w:val="18"/>
                <w:u w:val="none"/>
              </w:rPr>
            </w:pPr>
          </w:p>
        </w:tc>
        <w:tc>
          <w:tcPr>
            <w:tcW w:w="3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BD8F54">
            <w:pPr>
              <w:jc w:val="center"/>
              <w:rPr>
                <w:rFonts w:hint="eastAsia" w:ascii="微软雅黑" w:hAnsi="微软雅黑" w:eastAsia="微软雅黑" w:cs="微软雅黑"/>
                <w:i w:val="0"/>
                <w:iCs w:val="0"/>
                <w:color w:val="000000"/>
                <w:sz w:val="18"/>
                <w:szCs w:val="18"/>
                <w:u w:val="none"/>
              </w:rPr>
            </w:pPr>
          </w:p>
        </w:tc>
      </w:tr>
      <w:tr w14:paraId="488CB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4031E">
            <w:pPr>
              <w:jc w:val="center"/>
              <w:rPr>
                <w:rFonts w:hint="eastAsia" w:ascii="微软雅黑" w:hAnsi="微软雅黑" w:eastAsia="微软雅黑" w:cs="微软雅黑"/>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C8712">
            <w:pPr>
              <w:jc w:val="center"/>
              <w:rPr>
                <w:rFonts w:hint="eastAsia" w:ascii="微软雅黑" w:hAnsi="微软雅黑" w:eastAsia="微软雅黑" w:cs="微软雅黑"/>
                <w:b/>
                <w:bCs/>
                <w:i w:val="0"/>
                <w:iCs w:val="0"/>
                <w:color w:val="000000"/>
                <w:sz w:val="18"/>
                <w:szCs w:val="18"/>
                <w:u w:val="none"/>
              </w:rPr>
            </w:pPr>
          </w:p>
        </w:tc>
        <w:tc>
          <w:tcPr>
            <w:tcW w:w="6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FFA0A">
            <w:pPr>
              <w:jc w:val="center"/>
              <w:rPr>
                <w:rFonts w:hint="eastAsia" w:ascii="微软雅黑" w:hAnsi="微软雅黑" w:eastAsia="微软雅黑" w:cs="微软雅黑"/>
                <w:b/>
                <w:bCs/>
                <w:i w:val="0"/>
                <w:iCs w:val="0"/>
                <w:color w:val="000000"/>
                <w:sz w:val="18"/>
                <w:szCs w:val="18"/>
                <w:u w:val="none"/>
              </w:rPr>
            </w:pPr>
          </w:p>
        </w:tc>
        <w:tc>
          <w:tcPr>
            <w:tcW w:w="2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296A0A">
            <w:pPr>
              <w:jc w:val="left"/>
              <w:rPr>
                <w:rFonts w:hint="eastAsia" w:ascii="微软雅黑" w:hAnsi="微软雅黑" w:eastAsia="微软雅黑" w:cs="微软雅黑"/>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9F2C1F">
            <w:pPr>
              <w:jc w:val="center"/>
              <w:rPr>
                <w:rFonts w:hint="eastAsia" w:ascii="微软雅黑" w:hAnsi="微软雅黑" w:eastAsia="微软雅黑" w:cs="微软雅黑"/>
                <w:i w:val="0"/>
                <w:iCs w:val="0"/>
                <w:color w:val="000000"/>
                <w:sz w:val="18"/>
                <w:szCs w:val="18"/>
                <w:u w:val="none"/>
              </w:rPr>
            </w:pPr>
          </w:p>
        </w:tc>
        <w:tc>
          <w:tcPr>
            <w:tcW w:w="7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AA031F">
            <w:pPr>
              <w:jc w:val="center"/>
              <w:rPr>
                <w:rFonts w:hint="eastAsia" w:ascii="微软雅黑" w:hAnsi="微软雅黑" w:eastAsia="微软雅黑" w:cs="微软雅黑"/>
                <w:i w:val="0"/>
                <w:iCs w:val="0"/>
                <w:color w:val="000000"/>
                <w:sz w:val="18"/>
                <w:szCs w:val="18"/>
                <w:u w:val="none"/>
              </w:rPr>
            </w:pPr>
          </w:p>
        </w:tc>
        <w:tc>
          <w:tcPr>
            <w:tcW w:w="11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D9C8C6">
            <w:pPr>
              <w:jc w:val="center"/>
              <w:rPr>
                <w:rFonts w:hint="eastAsia" w:ascii="微软雅黑" w:hAnsi="微软雅黑" w:eastAsia="微软雅黑" w:cs="微软雅黑"/>
                <w:i w:val="0"/>
                <w:iCs w:val="0"/>
                <w:color w:val="000000"/>
                <w:sz w:val="18"/>
                <w:szCs w:val="18"/>
                <w:u w:val="none"/>
              </w:rPr>
            </w:pPr>
          </w:p>
        </w:tc>
        <w:tc>
          <w:tcPr>
            <w:tcW w:w="12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D86FE">
            <w:pPr>
              <w:jc w:val="center"/>
              <w:rPr>
                <w:rFonts w:hint="eastAsia" w:ascii="微软雅黑" w:hAnsi="微软雅黑" w:eastAsia="微软雅黑" w:cs="微软雅黑"/>
                <w:i w:val="0"/>
                <w:iCs w:val="0"/>
                <w:color w:val="000000"/>
                <w:sz w:val="18"/>
                <w:szCs w:val="18"/>
                <w:u w:val="none"/>
              </w:rPr>
            </w:pPr>
          </w:p>
        </w:tc>
        <w:tc>
          <w:tcPr>
            <w:tcW w:w="3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4242E">
            <w:pPr>
              <w:jc w:val="center"/>
              <w:rPr>
                <w:rFonts w:hint="eastAsia" w:ascii="微软雅黑" w:hAnsi="微软雅黑" w:eastAsia="微软雅黑" w:cs="微软雅黑"/>
                <w:i w:val="0"/>
                <w:iCs w:val="0"/>
                <w:color w:val="000000"/>
                <w:sz w:val="18"/>
                <w:szCs w:val="18"/>
                <w:u w:val="none"/>
              </w:rPr>
            </w:pPr>
          </w:p>
        </w:tc>
        <w:tc>
          <w:tcPr>
            <w:tcW w:w="3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A9067">
            <w:pPr>
              <w:jc w:val="center"/>
              <w:rPr>
                <w:rFonts w:hint="eastAsia" w:ascii="微软雅黑" w:hAnsi="微软雅黑" w:eastAsia="微软雅黑" w:cs="微软雅黑"/>
                <w:i w:val="0"/>
                <w:iCs w:val="0"/>
                <w:color w:val="000000"/>
                <w:sz w:val="18"/>
                <w:szCs w:val="18"/>
                <w:u w:val="none"/>
              </w:rPr>
            </w:pPr>
          </w:p>
        </w:tc>
      </w:tr>
      <w:tr w14:paraId="79665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AE8D6">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4</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62725">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卡口频爆灯</w:t>
            </w:r>
          </w:p>
        </w:tc>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3A105">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三合一补光灯</w:t>
            </w:r>
          </w:p>
        </w:tc>
        <w:tc>
          <w:tcPr>
            <w:tcW w:w="2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07199">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光源类型 原装大功率暖光LED、大尺寸高功率氙气灯管两种光源</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LED灯珠数量 24颗</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色温 暖光</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发光角度 10°</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气体单次闪光能量 200J</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气体闪光次数 ＞2000万次@间隔2秒1次</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覆盖范围 单车道</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最佳补光距离 16米～30米</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触发信号电平 4V~6V（高电平有效）</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触发频率 0Hz~250 Hz</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响应时间 ≤20us</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触发接口 1路频闪触发输入，2路爆闪输入</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设计寿命 ≥50000小时</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外壳材质 压铸铝</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电源 AC220V±10%，47Hz~63Hz1</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工作环境 工作温度-40℃～+70℃，工作湿度10%～90%</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防护等级 IP66</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17942">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台</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5450C">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64.00 </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884D6">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2900.00 </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1FF7A">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185600.00 </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C9F7A">
            <w:pPr>
              <w:rPr>
                <w:rFonts w:hint="eastAsia" w:ascii="微软雅黑" w:hAnsi="微软雅黑" w:eastAsia="微软雅黑" w:cs="微软雅黑"/>
                <w:i w:val="0"/>
                <w:iCs w:val="0"/>
                <w:color w:val="000000"/>
                <w:sz w:val="18"/>
                <w:szCs w:val="18"/>
                <w:u w:val="none"/>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C169F">
            <w:pPr>
              <w:rPr>
                <w:rFonts w:hint="eastAsia" w:ascii="微软雅黑" w:hAnsi="微软雅黑" w:eastAsia="微软雅黑" w:cs="微软雅黑"/>
                <w:i w:val="0"/>
                <w:iCs w:val="0"/>
                <w:color w:val="000000"/>
                <w:sz w:val="18"/>
                <w:szCs w:val="18"/>
                <w:u w:val="none"/>
              </w:rPr>
            </w:pPr>
          </w:p>
        </w:tc>
      </w:tr>
      <w:tr w14:paraId="4480F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39EFB">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FEEB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终端服务器</w:t>
            </w:r>
          </w:p>
        </w:tc>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B3524">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行业终端</w:t>
            </w:r>
          </w:p>
        </w:tc>
        <w:tc>
          <w:tcPr>
            <w:tcW w:w="2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518CF">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大货车管理终端</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1.可添加不少于24路IP摄像机，总码率不小于350Mbps；支持对接入摄像机进行实时预览与录像存储，支持对图片进行实时预览和存储，并可将IP摄像机的视频图像通过网络传输至客户端。</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2.★具有18个10M/100M/1000M自适应RJ45接口，其中P1～P16与G1处于同一网段、G2处于另一网段；2个1000M SFP光端接口，分别与G1、G2处于同一网段。</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3.具有不少于2个RS-232接口、2个RS-485接口、1个USB 3.0接口、2路报警输入接口、2路报警输出接口、1个音频输入接口、1个音频输出接口、4个SATA接口、4个状态指示灯、1个接地端子。</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4.★支持内置4G/5G通信模块，实现无线通信功能，通信模块可插拔更换。</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5.★支持内置北斗模块，实现北斗校时、定位功能，同时支持将经纬度信息叠加在图片或者视频上，定位校时模块可插拔更换。</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6.支持双网卡，可配置双IP进行双网隔离，支持IPv4、IPv6组网设置，支持TCP/IP、HTTP、HTTPS、SFTP、FTP、DNS、RTP、RTSP、UDP、NTP、DHCP、802.1X等网络协议设置选项。</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7.支持远程访问IP地址黑/白名单设置功能。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8.可接入G.711a、G.711Mu、G.722.1、G.726、G.729、PCM、AAC、MPEG2-layer2音频编码格式的IPC；可将音频采样率设置为8kHz、16kHz、32kHz、48kHz、64kHz。</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9. 具有记录、回放、报警联动、图像检索、权限管理、视频水印、日志功能、支持叠加图像标识信息和时间，支持图像多画面显示。</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10.支持图像化展示设备所连通道的在线、离线、未启用状态，支持展示各通道上线、离线时间；支持查看通道状态统计信息。</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11.支持将前、后抓拍通道关联，并将无车牌或者车牌未识别的同一辆进行匹配合成。</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12.★支持将原始图片、特写图片、合成图片、车牌抠图、关联录像、主驾驶人脸图片、副驾驶人脸图片、行人人脸图片、非机动车人脸图片上传至FTP服务器。</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13.★支持配置路段名称、路段编号、路段距离，能够对驶入驶出该路段的车辆抓拍数据匹配并计算车辆的区间速度值；支持设置过滤阈值，对异常测速结果进行过滤；支持超速检测和欠速检测，可分别设定高限速和低限速值；</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14.支持相同车牌号去重功能，多相机抓拍同一车牌号仅上传一条该车牌条记录到平台。</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4AEA9">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台</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FB6A2">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32.00 </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C95BF">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10600.00 </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851C2">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339200.00 </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8ADB4">
            <w:pPr>
              <w:jc w:val="center"/>
              <w:rPr>
                <w:rFonts w:hint="eastAsia" w:ascii="微软雅黑" w:hAnsi="微软雅黑" w:eastAsia="微软雅黑" w:cs="微软雅黑"/>
                <w:i w:val="0"/>
                <w:iCs w:val="0"/>
                <w:color w:val="000000"/>
                <w:sz w:val="18"/>
                <w:szCs w:val="18"/>
                <w:u w:val="none"/>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2DF88">
            <w:pPr>
              <w:jc w:val="center"/>
              <w:rPr>
                <w:rFonts w:hint="eastAsia" w:ascii="微软雅黑" w:hAnsi="微软雅黑" w:eastAsia="微软雅黑" w:cs="微软雅黑"/>
                <w:i w:val="0"/>
                <w:iCs w:val="0"/>
                <w:color w:val="000000"/>
                <w:sz w:val="18"/>
                <w:szCs w:val="18"/>
                <w:u w:val="none"/>
              </w:rPr>
            </w:pPr>
          </w:p>
        </w:tc>
      </w:tr>
      <w:tr w14:paraId="1D1FA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6"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EFA674D">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二、其他配件和安装</w:t>
            </w:r>
          </w:p>
        </w:tc>
      </w:tr>
      <w:tr w14:paraId="5F2D0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175AE">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DBE914">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网络产品</w:t>
            </w:r>
          </w:p>
        </w:tc>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7231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百兆工业交换机</w:t>
            </w:r>
          </w:p>
        </w:tc>
        <w:tc>
          <w:tcPr>
            <w:tcW w:w="2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9CE1C">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8口百兆工业以太网交换机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电口：8个百兆电口；安装方式：工业导轨式；</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B11FD">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台</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CD596">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32.00 </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15EEB">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350.00 </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C645C">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11200.00 </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2A49F">
            <w:pPr>
              <w:rPr>
                <w:rFonts w:hint="eastAsia" w:ascii="微软雅黑" w:hAnsi="微软雅黑" w:eastAsia="微软雅黑" w:cs="微软雅黑"/>
                <w:i w:val="0"/>
                <w:iCs w:val="0"/>
                <w:color w:val="000000"/>
                <w:sz w:val="18"/>
                <w:szCs w:val="18"/>
                <w:u w:val="none"/>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F9479">
            <w:pPr>
              <w:rPr>
                <w:rFonts w:hint="eastAsia" w:ascii="微软雅黑" w:hAnsi="微软雅黑" w:eastAsia="微软雅黑" w:cs="微软雅黑"/>
                <w:i w:val="0"/>
                <w:iCs w:val="0"/>
                <w:color w:val="000000"/>
                <w:sz w:val="18"/>
                <w:szCs w:val="18"/>
                <w:u w:val="none"/>
              </w:rPr>
            </w:pPr>
          </w:p>
        </w:tc>
      </w:tr>
      <w:tr w14:paraId="26A9A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FDA93">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w:t>
            </w: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821D59">
            <w:pPr>
              <w:jc w:val="center"/>
              <w:rPr>
                <w:rFonts w:hint="eastAsia" w:ascii="微软雅黑" w:hAnsi="微软雅黑" w:eastAsia="微软雅黑" w:cs="微软雅黑"/>
                <w:b/>
                <w:bCs/>
                <w:i w:val="0"/>
                <w:iCs w:val="0"/>
                <w:color w:val="000000"/>
                <w:sz w:val="18"/>
                <w:szCs w:val="18"/>
                <w:u w:val="none"/>
              </w:rPr>
            </w:pPr>
          </w:p>
        </w:tc>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6FD99">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千兆光纤收发器</w:t>
            </w:r>
          </w:p>
        </w:tc>
        <w:tc>
          <w:tcPr>
            <w:tcW w:w="2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867D4">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1口千兆光纤收发器工业导轨式发送机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光口：1个千兆光口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距离20公里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FC口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单模单纤；电口：1个千兆网口；安装方式：工业导轨式；</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24D16">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台</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863AC">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32.00 </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D3C17">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420.00 </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6139A">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13440.00 </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6611C">
            <w:pPr>
              <w:rPr>
                <w:rFonts w:hint="eastAsia" w:ascii="微软雅黑" w:hAnsi="微软雅黑" w:eastAsia="微软雅黑" w:cs="微软雅黑"/>
                <w:i w:val="0"/>
                <w:iCs w:val="0"/>
                <w:color w:val="000000"/>
                <w:sz w:val="18"/>
                <w:szCs w:val="18"/>
                <w:u w:val="none"/>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F55FB">
            <w:pPr>
              <w:rPr>
                <w:rFonts w:hint="eastAsia" w:ascii="微软雅黑" w:hAnsi="微软雅黑" w:eastAsia="微软雅黑" w:cs="微软雅黑"/>
                <w:i w:val="0"/>
                <w:iCs w:val="0"/>
                <w:color w:val="000000"/>
                <w:sz w:val="18"/>
                <w:szCs w:val="18"/>
                <w:u w:val="none"/>
              </w:rPr>
            </w:pPr>
          </w:p>
        </w:tc>
      </w:tr>
      <w:tr w14:paraId="48CE5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7DDCC">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w:t>
            </w: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986DF">
            <w:pPr>
              <w:jc w:val="center"/>
              <w:rPr>
                <w:rFonts w:hint="eastAsia" w:ascii="微软雅黑" w:hAnsi="微软雅黑" w:eastAsia="微软雅黑" w:cs="微软雅黑"/>
                <w:b/>
                <w:bCs/>
                <w:i w:val="0"/>
                <w:iCs w:val="0"/>
                <w:color w:val="000000"/>
                <w:sz w:val="18"/>
                <w:szCs w:val="18"/>
                <w:u w:val="none"/>
              </w:rPr>
            </w:pPr>
          </w:p>
        </w:tc>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80C55">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千兆光纤收发器</w:t>
            </w:r>
          </w:p>
        </w:tc>
        <w:tc>
          <w:tcPr>
            <w:tcW w:w="2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D5A92">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1口千兆光纤收发器工业导轨式接收机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光口：1个千兆光口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距离20公里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FC口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单模单纤；电口：1个千兆网口；安装方式：工业导轨式；</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ADB1E">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台</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9D70E">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32.00 </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12C0A">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420.00 </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835D3">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13440.00 </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2CA63">
            <w:pPr>
              <w:rPr>
                <w:rFonts w:hint="eastAsia" w:ascii="微软雅黑" w:hAnsi="微软雅黑" w:eastAsia="微软雅黑" w:cs="微软雅黑"/>
                <w:i w:val="0"/>
                <w:iCs w:val="0"/>
                <w:color w:val="000000"/>
                <w:sz w:val="18"/>
                <w:szCs w:val="18"/>
                <w:u w:val="none"/>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466E7">
            <w:pPr>
              <w:rPr>
                <w:rFonts w:hint="eastAsia" w:ascii="微软雅黑" w:hAnsi="微软雅黑" w:eastAsia="微软雅黑" w:cs="微软雅黑"/>
                <w:i w:val="0"/>
                <w:iCs w:val="0"/>
                <w:color w:val="000000"/>
                <w:sz w:val="18"/>
                <w:szCs w:val="18"/>
                <w:u w:val="none"/>
              </w:rPr>
            </w:pPr>
          </w:p>
        </w:tc>
      </w:tr>
      <w:tr w14:paraId="1674E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42355">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4</w:t>
            </w:r>
          </w:p>
        </w:tc>
        <w:tc>
          <w:tcPr>
            <w:tcW w:w="576" w:type="dxa"/>
            <w:tcBorders>
              <w:top w:val="single" w:color="000000" w:sz="4" w:space="0"/>
              <w:left w:val="single" w:color="000000" w:sz="4" w:space="0"/>
              <w:bottom w:val="nil"/>
              <w:right w:val="single" w:color="000000" w:sz="4" w:space="0"/>
            </w:tcBorders>
            <w:shd w:val="clear" w:color="auto" w:fill="auto"/>
            <w:vAlign w:val="center"/>
          </w:tcPr>
          <w:p w14:paraId="5030A2F9">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杆件（抓拍单元杆件）</w:t>
            </w:r>
          </w:p>
        </w:tc>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AC1D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新建点位杆件</w:t>
            </w:r>
          </w:p>
        </w:tc>
        <w:tc>
          <w:tcPr>
            <w:tcW w:w="2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D1FCC">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6.5米*6.5米电警监控杆</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1.立柱；a85/a110*6*6500</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2.悬臂：a40/a75*4*6500</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3.法兰盘φ480*18</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4.悬臂法兰盘350*350*16</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5.预埋件：φ480*4 钢筋6条M24 下料长度1500</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6.钢构件所采用的钢材应符合 GB/T 700-2006《碳素结构钢》国家标准的要求；</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7.所有构件的焊接必须满足国家行业标准 GB50661-2011《钢结构焊接规范》的技术要求；</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8.所有对接焊缝和贴角焊缝，其强度应与被焊构件相等，焊缝应打磨光滑；</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9.连接螺栓，螺母，垫圈均采用高强度部件，并进行热镀锌防腐及对螺纹进行离心处理，镀锌量 350g/m.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10.柱杆件结构均采用热镀锌防腐处理，其边面各喷涂二遍环氧富锌底漆和银色调和漆，镀锌量 600g/m.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11.箱子（300*400*550）和枪机球机安装抱箍</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5FD10">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组</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D1DEE">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21.00 </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BAF42">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13500.00 </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0238B">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283500.00 </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5190E">
            <w:pPr>
              <w:rPr>
                <w:rFonts w:hint="eastAsia" w:ascii="微软雅黑" w:hAnsi="微软雅黑" w:eastAsia="微软雅黑" w:cs="微软雅黑"/>
                <w:i w:val="0"/>
                <w:iCs w:val="0"/>
                <w:color w:val="000000"/>
                <w:sz w:val="18"/>
                <w:szCs w:val="18"/>
                <w:u w:val="none"/>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0A1D4">
            <w:pPr>
              <w:rPr>
                <w:rFonts w:hint="eastAsia" w:ascii="微软雅黑" w:hAnsi="微软雅黑" w:eastAsia="微软雅黑" w:cs="微软雅黑"/>
                <w:i w:val="0"/>
                <w:iCs w:val="0"/>
                <w:color w:val="000000"/>
                <w:sz w:val="18"/>
                <w:szCs w:val="18"/>
                <w:u w:val="none"/>
              </w:rPr>
            </w:pPr>
          </w:p>
        </w:tc>
      </w:tr>
      <w:tr w14:paraId="36E10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5DCF0">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w:t>
            </w:r>
          </w:p>
        </w:tc>
        <w:tc>
          <w:tcPr>
            <w:tcW w:w="576" w:type="dxa"/>
            <w:tcBorders>
              <w:top w:val="single" w:color="000000" w:sz="4" w:space="0"/>
              <w:left w:val="single" w:color="000000" w:sz="4" w:space="0"/>
              <w:bottom w:val="nil"/>
              <w:right w:val="single" w:color="000000" w:sz="4" w:space="0"/>
            </w:tcBorders>
            <w:shd w:val="clear" w:color="auto" w:fill="auto"/>
            <w:vAlign w:val="center"/>
          </w:tcPr>
          <w:p w14:paraId="7B9F330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入城提醒标志提示牌（含杆件及施工实施费用）</w:t>
            </w:r>
          </w:p>
        </w:tc>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FF34E">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新建点位杆件</w:t>
            </w:r>
          </w:p>
        </w:tc>
        <w:tc>
          <w:tcPr>
            <w:tcW w:w="2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9A721">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φ76单立柱，立柱高3.5m，包含提示牌2块，预埋件1套，路口提示牌，反光铝板标示牌，提示牌规格：符合使用要求</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2179C">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组</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93290">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112.00 </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2BFF7">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2300.00 </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D3957">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257600.00 </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EEA73">
            <w:pPr>
              <w:rPr>
                <w:rFonts w:hint="eastAsia" w:ascii="微软雅黑" w:hAnsi="微软雅黑" w:eastAsia="微软雅黑" w:cs="微软雅黑"/>
                <w:i w:val="0"/>
                <w:iCs w:val="0"/>
                <w:color w:val="000000"/>
                <w:sz w:val="18"/>
                <w:szCs w:val="18"/>
                <w:u w:val="none"/>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77A7F">
            <w:pPr>
              <w:rPr>
                <w:rFonts w:hint="eastAsia" w:ascii="微软雅黑" w:hAnsi="微软雅黑" w:eastAsia="微软雅黑" w:cs="微软雅黑"/>
                <w:i w:val="0"/>
                <w:iCs w:val="0"/>
                <w:color w:val="000000"/>
                <w:sz w:val="18"/>
                <w:szCs w:val="18"/>
                <w:u w:val="none"/>
              </w:rPr>
            </w:pPr>
          </w:p>
        </w:tc>
      </w:tr>
      <w:tr w14:paraId="25BCB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29A12">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6</w:t>
            </w:r>
          </w:p>
        </w:tc>
        <w:tc>
          <w:tcPr>
            <w:tcW w:w="576" w:type="dxa"/>
            <w:tcBorders>
              <w:top w:val="single" w:color="000000" w:sz="4" w:space="0"/>
              <w:left w:val="single" w:color="000000" w:sz="4" w:space="0"/>
              <w:bottom w:val="nil"/>
              <w:right w:val="single" w:color="000000" w:sz="4" w:space="0"/>
            </w:tcBorders>
            <w:shd w:val="clear" w:color="auto" w:fill="auto"/>
            <w:vAlign w:val="center"/>
          </w:tcPr>
          <w:p w14:paraId="710F5DC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机柜</w:t>
            </w:r>
          </w:p>
        </w:tc>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706F1">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抱杆机柜</w:t>
            </w:r>
          </w:p>
        </w:tc>
        <w:tc>
          <w:tcPr>
            <w:tcW w:w="2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F8CCF">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【抱杆机柜】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尺寸：400mmX300mmX500mm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内含双路220V电源防雷，双路10A空气开关一个， 3芯插座一个，抱杆安装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结构：整体结构采用拼焊结构，牢固、钢性好、牢固可靠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防护等级IP55，保护内部设备不受外界恶劣环境的干扰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机柜采用主体焊接、部分拼装的结构，保证了防护性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采用的是专用户外柜锁，具有良好的防水、防盗性能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环境适应性好，能最大限度地降低设备对环境的要求接地系统安全可靠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机柜底部进出线缆，有效实现防水、防尘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机柜采用抱杆安装方式，具有防虫、防鼠功效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一般规范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工作湿度：湿度5%~95%@40℃，无凝结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工作温度：温度-40℃~70℃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C2F4E">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台</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CAA62">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32.00 </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F1B10">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750.00 </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4A710">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24000.00 </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DAEB4">
            <w:pPr>
              <w:rPr>
                <w:rFonts w:hint="eastAsia" w:ascii="微软雅黑" w:hAnsi="微软雅黑" w:eastAsia="微软雅黑" w:cs="微软雅黑"/>
                <w:i w:val="0"/>
                <w:iCs w:val="0"/>
                <w:color w:val="000000"/>
                <w:sz w:val="18"/>
                <w:szCs w:val="18"/>
                <w:u w:val="none"/>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B404B">
            <w:pPr>
              <w:rPr>
                <w:rFonts w:hint="eastAsia" w:ascii="微软雅黑" w:hAnsi="微软雅黑" w:eastAsia="微软雅黑" w:cs="微软雅黑"/>
                <w:i w:val="0"/>
                <w:iCs w:val="0"/>
                <w:color w:val="000000"/>
                <w:sz w:val="18"/>
                <w:szCs w:val="18"/>
                <w:u w:val="none"/>
              </w:rPr>
            </w:pPr>
          </w:p>
        </w:tc>
      </w:tr>
      <w:tr w14:paraId="48DD5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B7CA1">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7</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4AC7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辅材</w:t>
            </w:r>
          </w:p>
        </w:tc>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97F28">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辅材</w:t>
            </w:r>
          </w:p>
        </w:tc>
        <w:tc>
          <w:tcPr>
            <w:tcW w:w="2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E51F2">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所需杆件垫片、保护钢管、抱箍、扎   带、水晶头、绝缘胶带、防水套管、压帽线、接线端子、 热缩管、缠绕管、钢钉线卡、焊锡丝、标签色带等。</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7CF5F">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项</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0C19B">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32.00 </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9DB05">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1200.00 </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A3CED">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38400.00 </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468C7">
            <w:pPr>
              <w:rPr>
                <w:rFonts w:hint="eastAsia" w:ascii="微软雅黑" w:hAnsi="微软雅黑" w:eastAsia="微软雅黑" w:cs="微软雅黑"/>
                <w:i w:val="0"/>
                <w:iCs w:val="0"/>
                <w:color w:val="000000"/>
                <w:sz w:val="18"/>
                <w:szCs w:val="18"/>
                <w:u w:val="none"/>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224D9">
            <w:pPr>
              <w:rPr>
                <w:rFonts w:hint="eastAsia" w:ascii="微软雅黑" w:hAnsi="微软雅黑" w:eastAsia="微软雅黑" w:cs="微软雅黑"/>
                <w:i w:val="0"/>
                <w:iCs w:val="0"/>
                <w:color w:val="000000"/>
                <w:sz w:val="18"/>
                <w:szCs w:val="18"/>
                <w:u w:val="none"/>
              </w:rPr>
            </w:pPr>
          </w:p>
        </w:tc>
      </w:tr>
      <w:tr w14:paraId="2F32B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7AD40">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8</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C162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电力费用</w:t>
            </w:r>
          </w:p>
        </w:tc>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5BA75">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电力报建</w:t>
            </w:r>
          </w:p>
        </w:tc>
        <w:tc>
          <w:tcPr>
            <w:tcW w:w="2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B2507">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1.电力相关技术人员进行现场查勘电表安装位置，根据 现场情况做出供电方案并通过审查；</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2.资料提供：协助甲方提供申请上户资料，包括整体电力引入方 案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3.电表安装：电表箱、电表计量设备的安装，以及安装 所需线材等材料。</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5E7CC">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92603">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32.00 </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D99BF">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2750.00 </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49D1B">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88000.00 </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1FB9A">
            <w:pPr>
              <w:rPr>
                <w:rFonts w:hint="eastAsia" w:ascii="微软雅黑" w:hAnsi="微软雅黑" w:eastAsia="微软雅黑" w:cs="微软雅黑"/>
                <w:i w:val="0"/>
                <w:iCs w:val="0"/>
                <w:color w:val="000000"/>
                <w:sz w:val="18"/>
                <w:szCs w:val="18"/>
                <w:u w:val="none"/>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BCF7A">
            <w:pPr>
              <w:rPr>
                <w:rFonts w:hint="eastAsia" w:ascii="微软雅黑" w:hAnsi="微软雅黑" w:eastAsia="微软雅黑" w:cs="微软雅黑"/>
                <w:i w:val="0"/>
                <w:iCs w:val="0"/>
                <w:color w:val="000000"/>
                <w:sz w:val="18"/>
                <w:szCs w:val="18"/>
                <w:u w:val="none"/>
              </w:rPr>
            </w:pPr>
          </w:p>
        </w:tc>
      </w:tr>
      <w:tr w14:paraId="21EBE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26967">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9</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FA4EB">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电力费用</w:t>
            </w:r>
          </w:p>
        </w:tc>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1C557">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前端设备电费</w:t>
            </w:r>
          </w:p>
        </w:tc>
        <w:tc>
          <w:tcPr>
            <w:tcW w:w="2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16EB3">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各点位每年电费，按60月/点核算</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61145">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年</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EBFB5">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5.00 </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48766">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24430.00 </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B37E5">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122150.00 </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173FC">
            <w:pPr>
              <w:jc w:val="center"/>
              <w:rPr>
                <w:rFonts w:hint="eastAsia" w:ascii="微软雅黑" w:hAnsi="微软雅黑" w:eastAsia="微软雅黑" w:cs="微软雅黑"/>
                <w:i w:val="0"/>
                <w:iCs w:val="0"/>
                <w:color w:val="000000"/>
                <w:sz w:val="18"/>
                <w:szCs w:val="18"/>
                <w:u w:val="none"/>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13C88">
            <w:pPr>
              <w:jc w:val="center"/>
              <w:rPr>
                <w:rFonts w:hint="eastAsia" w:ascii="微软雅黑" w:hAnsi="微软雅黑" w:eastAsia="微软雅黑" w:cs="微软雅黑"/>
                <w:i w:val="0"/>
                <w:iCs w:val="0"/>
                <w:color w:val="000000"/>
                <w:sz w:val="18"/>
                <w:szCs w:val="18"/>
                <w:u w:val="none"/>
              </w:rPr>
            </w:pPr>
          </w:p>
        </w:tc>
      </w:tr>
      <w:tr w14:paraId="626A6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CEBF5">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5E2BA">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更换及新建点位集成服务费</w:t>
            </w:r>
          </w:p>
        </w:tc>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86925">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本地化服务</w:t>
            </w:r>
          </w:p>
        </w:tc>
        <w:tc>
          <w:tcPr>
            <w:tcW w:w="2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5EF05">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质保5年</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63083">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套</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B9B8A">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33.00 </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1C215">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5940.00 </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EDB34">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196020.00 </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F90F8">
            <w:pPr>
              <w:jc w:val="center"/>
              <w:rPr>
                <w:rFonts w:hint="eastAsia" w:ascii="微软雅黑" w:hAnsi="微软雅黑" w:eastAsia="微软雅黑" w:cs="微软雅黑"/>
                <w:i w:val="0"/>
                <w:iCs w:val="0"/>
                <w:color w:val="000000"/>
                <w:sz w:val="18"/>
                <w:szCs w:val="18"/>
                <w:u w:val="none"/>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B34DF">
            <w:pPr>
              <w:jc w:val="center"/>
              <w:rPr>
                <w:rFonts w:hint="eastAsia" w:ascii="微软雅黑" w:hAnsi="微软雅黑" w:eastAsia="微软雅黑" w:cs="微软雅黑"/>
                <w:i w:val="0"/>
                <w:iCs w:val="0"/>
                <w:color w:val="000000"/>
                <w:sz w:val="18"/>
                <w:szCs w:val="18"/>
                <w:u w:val="none"/>
              </w:rPr>
            </w:pPr>
          </w:p>
        </w:tc>
      </w:tr>
      <w:tr w14:paraId="2901D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0" w:type="auto"/>
            <w:gridSpan w:val="10"/>
            <w:tcBorders>
              <w:top w:val="nil"/>
              <w:left w:val="nil"/>
              <w:bottom w:val="nil"/>
              <w:right w:val="nil"/>
            </w:tcBorders>
            <w:shd w:val="clear" w:color="auto" w:fill="auto"/>
            <w:noWrap/>
            <w:vAlign w:val="center"/>
          </w:tcPr>
          <w:p w14:paraId="5617E252">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三、其他配件和安装</w:t>
            </w:r>
          </w:p>
        </w:tc>
      </w:tr>
      <w:tr w14:paraId="182AC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6C6DB">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11</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D62CA">
            <w:pPr>
              <w:keepNext w:val="0"/>
              <w:keepLines w:val="0"/>
              <w:widowControl/>
              <w:suppressLineNumbers w:val="0"/>
              <w:jc w:val="center"/>
              <w:textAlignment w:val="center"/>
              <w:rPr>
                <w:rFonts w:hint="eastAsia" w:ascii="微软雅黑" w:hAnsi="微软雅黑" w:eastAsia="微软雅黑" w:cs="微软雅黑"/>
                <w:b/>
                <w:bCs/>
                <w:i w:val="0"/>
                <w:iCs w:val="0"/>
                <w:color w:val="FF0000"/>
                <w:sz w:val="18"/>
                <w:szCs w:val="18"/>
                <w:u w:val="none"/>
              </w:rPr>
            </w:pPr>
            <w:r>
              <w:rPr>
                <w:rFonts w:hint="eastAsia" w:ascii="微软雅黑" w:hAnsi="微软雅黑" w:eastAsia="微软雅黑" w:cs="微软雅黑"/>
                <w:b/>
                <w:bCs/>
                <w:i w:val="0"/>
                <w:iCs w:val="0"/>
                <w:color w:val="auto"/>
                <w:kern w:val="0"/>
                <w:sz w:val="18"/>
                <w:szCs w:val="18"/>
                <w:u w:val="none"/>
                <w:lang w:val="en-US" w:eastAsia="zh-CN" w:bidi="ar"/>
              </w:rPr>
              <w:t>网络服务费</w:t>
            </w:r>
          </w:p>
        </w:tc>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BD761">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数据专线</w:t>
            </w:r>
          </w:p>
        </w:tc>
        <w:tc>
          <w:tcPr>
            <w:tcW w:w="2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18883">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100M数据专线</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B2F3F">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8F11A">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32.00 </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EC17E">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170.00 </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E280A">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326400.00 </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7F449">
            <w:pPr>
              <w:jc w:val="center"/>
              <w:rPr>
                <w:rFonts w:hint="eastAsia" w:ascii="微软雅黑" w:hAnsi="微软雅黑" w:eastAsia="微软雅黑" w:cs="微软雅黑"/>
                <w:i w:val="0"/>
                <w:iCs w:val="0"/>
                <w:color w:val="000000"/>
                <w:sz w:val="18"/>
                <w:szCs w:val="18"/>
                <w:u w:val="none"/>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286D8">
            <w:pPr>
              <w:jc w:val="center"/>
              <w:rPr>
                <w:rFonts w:hint="eastAsia" w:ascii="微软雅黑" w:hAnsi="微软雅黑" w:eastAsia="微软雅黑" w:cs="微软雅黑"/>
                <w:i w:val="0"/>
                <w:iCs w:val="0"/>
                <w:color w:val="000000"/>
                <w:sz w:val="18"/>
                <w:szCs w:val="18"/>
                <w:u w:val="none"/>
              </w:rPr>
            </w:pPr>
          </w:p>
        </w:tc>
      </w:tr>
      <w:tr w14:paraId="7D1F9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704"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3D232">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8"/>
                <w:szCs w:val="18"/>
                <w:u w:val="none"/>
                <w:lang w:val="en-US" w:eastAsia="zh-CN" w:bidi="ar"/>
              </w:rPr>
            </w:pPr>
          </w:p>
          <w:p w14:paraId="1ABD0E9D">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合计</w:t>
            </w:r>
          </w:p>
          <w:p w14:paraId="7566F0F6">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12E20">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2756550.00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DE9E4">
            <w:pPr>
              <w:jc w:val="center"/>
              <w:rPr>
                <w:rFonts w:hint="eastAsia" w:ascii="微软雅黑" w:hAnsi="微软雅黑" w:eastAsia="微软雅黑" w:cs="微软雅黑"/>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99513">
            <w:pPr>
              <w:rPr>
                <w:rFonts w:hint="eastAsia" w:ascii="微软雅黑" w:hAnsi="微软雅黑" w:eastAsia="微软雅黑" w:cs="微软雅黑"/>
                <w:i w:val="0"/>
                <w:iCs w:val="0"/>
                <w:color w:val="000000"/>
                <w:sz w:val="18"/>
                <w:szCs w:val="18"/>
                <w:u w:val="none"/>
              </w:rPr>
            </w:pPr>
          </w:p>
        </w:tc>
      </w:tr>
    </w:tbl>
    <w:p w14:paraId="4AB6650B">
      <w:pPr>
        <w:numPr>
          <w:ilvl w:val="0"/>
          <w:numId w:val="0"/>
        </w:numPr>
        <w:spacing w:line="500" w:lineRule="exact"/>
        <w:rPr>
          <w:rFonts w:hint="eastAsia" w:ascii="宋体" w:hAnsi="宋体" w:cs="宋体"/>
          <w:b/>
          <w:color w:val="auto"/>
          <w:sz w:val="24"/>
        </w:rPr>
      </w:pPr>
    </w:p>
    <w:tbl>
      <w:tblPr>
        <w:tblStyle w:val="24"/>
        <w:tblW w:w="1070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1"/>
        <w:gridCol w:w="810"/>
        <w:gridCol w:w="3664"/>
        <w:gridCol w:w="915"/>
        <w:gridCol w:w="1080"/>
        <w:gridCol w:w="1156"/>
        <w:gridCol w:w="1385"/>
        <w:gridCol w:w="495"/>
        <w:gridCol w:w="495"/>
      </w:tblGrid>
      <w:tr w14:paraId="43595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0701" w:type="dxa"/>
            <w:gridSpan w:val="9"/>
            <w:tcBorders>
              <w:top w:val="nil"/>
              <w:left w:val="nil"/>
              <w:bottom w:val="nil"/>
              <w:right w:val="nil"/>
            </w:tcBorders>
            <w:shd w:val="clear" w:color="auto" w:fill="auto"/>
            <w:noWrap/>
            <w:vAlign w:val="center"/>
          </w:tcPr>
          <w:p w14:paraId="54A4EA27">
            <w:pPr>
              <w:keepNext w:val="0"/>
              <w:keepLines w:val="0"/>
              <w:widowControl/>
              <w:suppressLineNumbers w:val="0"/>
              <w:jc w:val="center"/>
              <w:textAlignment w:val="center"/>
              <w:rPr>
                <w:rFonts w:ascii="等线" w:hAnsi="等线" w:eastAsia="等线" w:cs="等线"/>
                <w:b/>
                <w:bCs/>
                <w:i w:val="0"/>
                <w:iCs w:val="0"/>
                <w:color w:val="000000"/>
                <w:sz w:val="36"/>
                <w:szCs w:val="36"/>
                <w:u w:val="none"/>
              </w:rPr>
            </w:pPr>
            <w:r>
              <w:rPr>
                <w:rFonts w:hint="eastAsia" w:ascii="等线" w:hAnsi="等线" w:eastAsia="等线" w:cs="等线"/>
                <w:b/>
                <w:bCs/>
                <w:i w:val="0"/>
                <w:iCs w:val="0"/>
                <w:color w:val="000000"/>
                <w:kern w:val="0"/>
                <w:sz w:val="36"/>
                <w:szCs w:val="36"/>
                <w:u w:val="none"/>
                <w:lang w:val="en-US" w:eastAsia="zh-CN" w:bidi="ar"/>
              </w:rPr>
              <w:t>后端平台清单</w:t>
            </w:r>
          </w:p>
        </w:tc>
      </w:tr>
      <w:tr w14:paraId="3EB95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09CCFEED">
            <w:pPr>
              <w:keepNext w:val="0"/>
              <w:keepLines w:val="0"/>
              <w:widowControl/>
              <w:suppressLineNumbers w:val="0"/>
              <w:jc w:val="center"/>
              <w:textAlignment w:val="center"/>
              <w:rPr>
                <w:rFonts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名称</w:t>
            </w:r>
          </w:p>
        </w:tc>
        <w:tc>
          <w:tcPr>
            <w:tcW w:w="810"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21AAF0D2">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服务类别类别</w:t>
            </w:r>
          </w:p>
        </w:tc>
        <w:tc>
          <w:tcPr>
            <w:tcW w:w="3664"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1B6E97ED">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服务内容</w:t>
            </w:r>
          </w:p>
        </w:tc>
        <w:tc>
          <w:tcPr>
            <w:tcW w:w="915" w:type="dxa"/>
            <w:tcBorders>
              <w:top w:val="single" w:color="000000" w:sz="4" w:space="0"/>
              <w:left w:val="single" w:color="000000" w:sz="4" w:space="0"/>
              <w:bottom w:val="nil"/>
              <w:right w:val="single" w:color="000000" w:sz="4" w:space="0"/>
            </w:tcBorders>
            <w:shd w:val="clear" w:color="auto" w:fill="BFBFBF"/>
            <w:vAlign w:val="center"/>
          </w:tcPr>
          <w:p w14:paraId="70D2D033">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单位</w:t>
            </w:r>
          </w:p>
        </w:tc>
        <w:tc>
          <w:tcPr>
            <w:tcW w:w="1080" w:type="dxa"/>
            <w:tcBorders>
              <w:top w:val="single" w:color="000000" w:sz="4" w:space="0"/>
              <w:left w:val="single" w:color="000000" w:sz="4" w:space="0"/>
              <w:bottom w:val="nil"/>
              <w:right w:val="single" w:color="000000" w:sz="4" w:space="0"/>
            </w:tcBorders>
            <w:shd w:val="clear" w:color="auto" w:fill="BFBFBF"/>
            <w:vAlign w:val="center"/>
          </w:tcPr>
          <w:p w14:paraId="43279825">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数量</w:t>
            </w:r>
          </w:p>
        </w:tc>
        <w:tc>
          <w:tcPr>
            <w:tcW w:w="1156" w:type="dxa"/>
            <w:tcBorders>
              <w:top w:val="single" w:color="000000" w:sz="4" w:space="0"/>
              <w:left w:val="single" w:color="000000" w:sz="4" w:space="0"/>
              <w:bottom w:val="nil"/>
              <w:right w:val="single" w:color="000000" w:sz="4" w:space="0"/>
            </w:tcBorders>
            <w:shd w:val="clear" w:color="auto" w:fill="BFBFBF"/>
            <w:vAlign w:val="center"/>
          </w:tcPr>
          <w:p w14:paraId="6222BB40">
            <w:pPr>
              <w:keepNext w:val="0"/>
              <w:keepLines w:val="0"/>
              <w:widowControl/>
              <w:suppressLineNumbers w:val="0"/>
              <w:jc w:val="center"/>
              <w:textAlignment w:val="center"/>
              <w:rPr>
                <w:rFonts w:hint="default" w:ascii="微软雅黑" w:hAnsi="微软雅黑" w:eastAsia="微软雅黑" w:cs="微软雅黑"/>
                <w:b/>
                <w:bCs/>
                <w:i w:val="0"/>
                <w:iCs w:val="0"/>
                <w:color w:val="000000"/>
                <w:sz w:val="18"/>
                <w:szCs w:val="18"/>
                <w:u w:val="none"/>
                <w:lang w:val="en-US"/>
              </w:rPr>
            </w:pPr>
            <w:r>
              <w:rPr>
                <w:rFonts w:hint="eastAsia" w:ascii="微软雅黑" w:hAnsi="微软雅黑" w:eastAsia="微软雅黑" w:cs="微软雅黑"/>
                <w:b/>
                <w:bCs/>
                <w:i w:val="0"/>
                <w:iCs w:val="0"/>
                <w:color w:val="000000"/>
                <w:kern w:val="0"/>
                <w:sz w:val="18"/>
                <w:szCs w:val="18"/>
                <w:u w:val="none"/>
                <w:lang w:val="en-US" w:eastAsia="zh-CN" w:bidi="ar"/>
              </w:rPr>
              <w:t>单价（元）</w:t>
            </w:r>
          </w:p>
        </w:tc>
        <w:tc>
          <w:tcPr>
            <w:tcW w:w="1385" w:type="dxa"/>
            <w:tcBorders>
              <w:top w:val="single" w:color="000000" w:sz="4" w:space="0"/>
              <w:left w:val="single" w:color="000000" w:sz="4" w:space="0"/>
              <w:bottom w:val="nil"/>
              <w:right w:val="single" w:color="000000" w:sz="4" w:space="0"/>
            </w:tcBorders>
            <w:shd w:val="clear" w:color="auto" w:fill="BFBFBF"/>
            <w:vAlign w:val="center"/>
          </w:tcPr>
          <w:p w14:paraId="76D0CA01">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总价（元）</w:t>
            </w:r>
          </w:p>
        </w:tc>
        <w:tc>
          <w:tcPr>
            <w:tcW w:w="495"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2D7D02C4">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周期单位</w:t>
            </w:r>
          </w:p>
        </w:tc>
        <w:tc>
          <w:tcPr>
            <w:tcW w:w="495"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4F833F89">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服务周期</w:t>
            </w:r>
          </w:p>
        </w:tc>
      </w:tr>
      <w:tr w14:paraId="68E7B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701" w:type="dxa"/>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52E2C">
            <w:pPr>
              <w:keepNext w:val="0"/>
              <w:keepLines w:val="0"/>
              <w:widowControl/>
              <w:suppressLineNumbers w:val="0"/>
              <w:jc w:val="left"/>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一、智能交通数据接入及管控平台</w:t>
            </w:r>
          </w:p>
        </w:tc>
      </w:tr>
      <w:tr w14:paraId="73235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79E28">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E31F5">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交通综合管控基础模块</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8877C">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1、支持查看平台当前CPU/内存消耗占比，当前网络传输情况、各应用当前CPU/内存消耗情况；</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2、支持将视频点位加入收藏夹并可选择分组；支持在收藏夹分组或预案分组中通过资源数添加、批量添加、删除、批量删除点位；</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3、支持根据关键字及拼音字母进行点位模糊搜索，支持对检索点位进行定位到资源树；</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4、支持在预览界面对单个画面抓图或对全部画面分别抓图并保存至本地，支持对所抓图片利用自带图片编辑工具标注名称、类型、备注等信息；</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5、支持设置预览画面水印内容，包括用户名、IP地址、MAC地址、视频设备点位名称、设备名称、分辨率、码率、帧率、地区名称、编码格式以及玛流类型，同时支持修改水印颜色；</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6、支持设置预览时开启/关闭自动连续抓图，支持设置自动连续抓图时间间隔和张数、自动连续抓图文件保存格式和位置；支持查看视频设备点位的智能分析（快速移动、人员聚集、剧烈运动、人员倒地）规则；</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7、支持对录像回放视频进行抓图并保存至本地，支持对多抓图片利用自带图片工具标注名称、类型、备注等信息；支持回放画面电子放大；具有开启/关闭音频播放设置选项；</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8、录像时间轴可缩放，在时间轴上以4种不同颜色分别显示计划录像、移动录像、手动录像、报警录像；</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9、支持对回放视频进行录像，可设置录像文件是否分包保存，可设置录像大小、录像保存位置；</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10、支持预览上墙、回放上墙、轮巡上墙；支持设置窗口分辨率，支持上墙画面声音控制</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11、支持针对某电视墙场景添加轮巡，可设置轮巡名称、轮巡时间间隔、轮巡视频设备点位；支持编辑、删除轮巡；</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12、支持对地图上的点位、卡口、录入平台的第三方视频设备点位、报警输入等资源进行收藏，支持视频设备资源在各平台之间同步；</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13、支持在地图上查看选中点位的详情，如点位名称、像素、类型等来支持点位视频预览、回放、周边信息检索及录像解析；</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14、支持编辑网格形状、名称、所属分组、颜色、透明度，支持网格内点位画面预览；</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C7E16">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B50ED">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1.00 </w:t>
            </w:r>
          </w:p>
        </w:tc>
        <w:tc>
          <w:tcPr>
            <w:tcW w:w="11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C1E786">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160000.00 </w:t>
            </w:r>
          </w:p>
        </w:tc>
        <w:tc>
          <w:tcPr>
            <w:tcW w:w="13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FD4F87">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160000.00 </w:t>
            </w:r>
          </w:p>
        </w:tc>
        <w:tc>
          <w:tcPr>
            <w:tcW w:w="4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9DFE0F">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年</w:t>
            </w:r>
          </w:p>
        </w:tc>
        <w:tc>
          <w:tcPr>
            <w:tcW w:w="4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96C686">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5</w:t>
            </w:r>
          </w:p>
        </w:tc>
      </w:tr>
      <w:tr w14:paraId="7514B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49904">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71EB9">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本级监控通道数</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9EFC1">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视频监控通道数≥200路</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25E8A">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路</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604BA">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200.00 </w:t>
            </w:r>
          </w:p>
        </w:tc>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65D6A">
            <w:pPr>
              <w:jc w:val="center"/>
              <w:rPr>
                <w:rFonts w:hint="eastAsia" w:ascii="微软雅黑" w:hAnsi="微软雅黑" w:eastAsia="微软雅黑" w:cs="微软雅黑"/>
                <w:i w:val="0"/>
                <w:iCs w:val="0"/>
                <w:color w:val="000000"/>
                <w:sz w:val="16"/>
                <w:szCs w:val="16"/>
                <w:u w:val="none"/>
              </w:rPr>
            </w:pPr>
          </w:p>
        </w:tc>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BC0DD">
            <w:pPr>
              <w:jc w:val="center"/>
              <w:rPr>
                <w:rFonts w:hint="eastAsia" w:ascii="微软雅黑" w:hAnsi="微软雅黑" w:eastAsia="微软雅黑" w:cs="微软雅黑"/>
                <w:i w:val="0"/>
                <w:iCs w:val="0"/>
                <w:color w:val="000000"/>
                <w:sz w:val="16"/>
                <w:szCs w:val="16"/>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228E2B">
            <w:pPr>
              <w:jc w:val="center"/>
              <w:rPr>
                <w:rFonts w:hint="eastAsia" w:ascii="微软雅黑" w:hAnsi="微软雅黑" w:eastAsia="微软雅黑" w:cs="微软雅黑"/>
                <w:i w:val="0"/>
                <w:iCs w:val="0"/>
                <w:color w:val="000000"/>
                <w:sz w:val="18"/>
                <w:szCs w:val="18"/>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1E9B6">
            <w:pPr>
              <w:jc w:val="center"/>
              <w:rPr>
                <w:rFonts w:hint="eastAsia" w:ascii="微软雅黑" w:hAnsi="微软雅黑" w:eastAsia="微软雅黑" w:cs="微软雅黑"/>
                <w:i w:val="0"/>
                <w:iCs w:val="0"/>
                <w:color w:val="000000"/>
                <w:sz w:val="16"/>
                <w:szCs w:val="16"/>
                <w:u w:val="none"/>
              </w:rPr>
            </w:pPr>
          </w:p>
        </w:tc>
      </w:tr>
      <w:tr w14:paraId="7DBE1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FE132">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3</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23564">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本级车道接入数</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EA047">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本级车道接入数≥200路</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54F87">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路</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910BC">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200.00 </w:t>
            </w:r>
          </w:p>
        </w:tc>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BBED13">
            <w:pPr>
              <w:jc w:val="center"/>
              <w:rPr>
                <w:rFonts w:hint="eastAsia" w:ascii="微软雅黑" w:hAnsi="微软雅黑" w:eastAsia="微软雅黑" w:cs="微软雅黑"/>
                <w:i w:val="0"/>
                <w:iCs w:val="0"/>
                <w:color w:val="000000"/>
                <w:sz w:val="16"/>
                <w:szCs w:val="16"/>
                <w:u w:val="none"/>
              </w:rPr>
            </w:pPr>
          </w:p>
        </w:tc>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7DB312">
            <w:pPr>
              <w:jc w:val="center"/>
              <w:rPr>
                <w:rFonts w:hint="eastAsia" w:ascii="微软雅黑" w:hAnsi="微软雅黑" w:eastAsia="微软雅黑" w:cs="微软雅黑"/>
                <w:i w:val="0"/>
                <w:iCs w:val="0"/>
                <w:color w:val="000000"/>
                <w:sz w:val="16"/>
                <w:szCs w:val="16"/>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8FD2E4">
            <w:pPr>
              <w:jc w:val="center"/>
              <w:rPr>
                <w:rFonts w:hint="eastAsia" w:ascii="微软雅黑" w:hAnsi="微软雅黑" w:eastAsia="微软雅黑" w:cs="微软雅黑"/>
                <w:i w:val="0"/>
                <w:iCs w:val="0"/>
                <w:color w:val="000000"/>
                <w:sz w:val="18"/>
                <w:szCs w:val="18"/>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319FB3">
            <w:pPr>
              <w:jc w:val="center"/>
              <w:rPr>
                <w:rFonts w:hint="eastAsia" w:ascii="微软雅黑" w:hAnsi="微软雅黑" w:eastAsia="微软雅黑" w:cs="微软雅黑"/>
                <w:i w:val="0"/>
                <w:iCs w:val="0"/>
                <w:color w:val="000000"/>
                <w:sz w:val="16"/>
                <w:szCs w:val="16"/>
                <w:u w:val="none"/>
              </w:rPr>
            </w:pPr>
          </w:p>
        </w:tc>
      </w:tr>
      <w:tr w14:paraId="7A023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1924F">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4</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9C335">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视频监控应用</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8160B">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1、支持对录像回放视频进行抓图并保存至本地，支持对多抓图片利用自带图片工具标注名称、类型、备注等信息；支持回放画面电子放大；具有开启/关闭音频播放设置选项；</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7AE2D">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50D65">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1.00 </w:t>
            </w:r>
          </w:p>
        </w:tc>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E53175">
            <w:pPr>
              <w:jc w:val="center"/>
              <w:rPr>
                <w:rFonts w:hint="eastAsia" w:ascii="微软雅黑" w:hAnsi="微软雅黑" w:eastAsia="微软雅黑" w:cs="微软雅黑"/>
                <w:i w:val="0"/>
                <w:iCs w:val="0"/>
                <w:color w:val="000000"/>
                <w:sz w:val="16"/>
                <w:szCs w:val="16"/>
                <w:u w:val="none"/>
              </w:rPr>
            </w:pPr>
          </w:p>
        </w:tc>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C07E8">
            <w:pPr>
              <w:jc w:val="center"/>
              <w:rPr>
                <w:rFonts w:hint="eastAsia" w:ascii="微软雅黑" w:hAnsi="微软雅黑" w:eastAsia="微软雅黑" w:cs="微软雅黑"/>
                <w:i w:val="0"/>
                <w:iCs w:val="0"/>
                <w:color w:val="000000"/>
                <w:sz w:val="16"/>
                <w:szCs w:val="16"/>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0AE599">
            <w:pPr>
              <w:jc w:val="center"/>
              <w:rPr>
                <w:rFonts w:hint="eastAsia" w:ascii="微软雅黑" w:hAnsi="微软雅黑" w:eastAsia="微软雅黑" w:cs="微软雅黑"/>
                <w:i w:val="0"/>
                <w:iCs w:val="0"/>
                <w:color w:val="000000"/>
                <w:sz w:val="18"/>
                <w:szCs w:val="18"/>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ADB624">
            <w:pPr>
              <w:jc w:val="center"/>
              <w:rPr>
                <w:rFonts w:hint="eastAsia" w:ascii="微软雅黑" w:hAnsi="微软雅黑" w:eastAsia="微软雅黑" w:cs="微软雅黑"/>
                <w:i w:val="0"/>
                <w:iCs w:val="0"/>
                <w:color w:val="000000"/>
                <w:sz w:val="16"/>
                <w:szCs w:val="16"/>
                <w:u w:val="none"/>
              </w:rPr>
            </w:pPr>
          </w:p>
        </w:tc>
      </w:tr>
      <w:tr w14:paraId="55EF2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85AD4">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5</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A3D98">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车辆缉查布控</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72EF7">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1、支持数据总量统计，支持接收过车数据统计、上传成功数及占比统计、上传失败数及占比统计；</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2、支持卡口状态（正常卡口、数据上传异常卡口、数据接收异常卡口）统计数据；</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3、支持统计卡口数据延时情况，包括延时时间8秒以内、3分钟以内、三分钟以上；</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4、支持排行统计，包括按无牌车卡口排行、上传失败卡口排行、支持上传失败原因排行。</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5、支持在布控车辆报警界面自动播放布控报警产生设备的实时预览画面；支持在准驾实时报警界面自动更新实时报警数据；支持在失驾实时报警界面自动更新实时报警数据；</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6、支持查询人脸、车辆布控的布控报警信息，支持查看布控报警详情；</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7、支持高、中、低三种布控等级；</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8、支持按目标类型、布控类型、布控名称、布控目标、布控原因、报警时间查询报警数据；</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9、支持全部导出或部分导出布控信息；</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7005A">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0DC19">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1.00 </w:t>
            </w:r>
          </w:p>
        </w:tc>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F7543">
            <w:pPr>
              <w:jc w:val="center"/>
              <w:rPr>
                <w:rFonts w:hint="eastAsia" w:ascii="微软雅黑" w:hAnsi="微软雅黑" w:eastAsia="微软雅黑" w:cs="微软雅黑"/>
                <w:i w:val="0"/>
                <w:iCs w:val="0"/>
                <w:color w:val="000000"/>
                <w:sz w:val="16"/>
                <w:szCs w:val="16"/>
                <w:u w:val="none"/>
              </w:rPr>
            </w:pPr>
          </w:p>
        </w:tc>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205F47">
            <w:pPr>
              <w:jc w:val="center"/>
              <w:rPr>
                <w:rFonts w:hint="eastAsia" w:ascii="微软雅黑" w:hAnsi="微软雅黑" w:eastAsia="微软雅黑" w:cs="微软雅黑"/>
                <w:i w:val="0"/>
                <w:iCs w:val="0"/>
                <w:color w:val="000000"/>
                <w:sz w:val="16"/>
                <w:szCs w:val="16"/>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5BAECE">
            <w:pPr>
              <w:jc w:val="center"/>
              <w:rPr>
                <w:rFonts w:hint="eastAsia" w:ascii="微软雅黑" w:hAnsi="微软雅黑" w:eastAsia="微软雅黑" w:cs="微软雅黑"/>
                <w:i w:val="0"/>
                <w:iCs w:val="0"/>
                <w:color w:val="000000"/>
                <w:sz w:val="18"/>
                <w:szCs w:val="18"/>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4A00E">
            <w:pPr>
              <w:jc w:val="center"/>
              <w:rPr>
                <w:rFonts w:hint="eastAsia" w:ascii="微软雅黑" w:hAnsi="微软雅黑" w:eastAsia="微软雅黑" w:cs="微软雅黑"/>
                <w:i w:val="0"/>
                <w:iCs w:val="0"/>
                <w:color w:val="000000"/>
                <w:sz w:val="16"/>
                <w:szCs w:val="16"/>
                <w:u w:val="none"/>
              </w:rPr>
            </w:pPr>
          </w:p>
        </w:tc>
      </w:tr>
      <w:tr w14:paraId="33000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C8FA3">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E36DE">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级联视频通道数</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CF9B5">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本次项目视频级联通道路数≥500路</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9EC87">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路</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7FA96">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500.00 </w:t>
            </w:r>
          </w:p>
        </w:tc>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78C21">
            <w:pPr>
              <w:jc w:val="center"/>
              <w:rPr>
                <w:rFonts w:hint="eastAsia" w:ascii="微软雅黑" w:hAnsi="微软雅黑" w:eastAsia="微软雅黑" w:cs="微软雅黑"/>
                <w:i w:val="0"/>
                <w:iCs w:val="0"/>
                <w:color w:val="000000"/>
                <w:sz w:val="16"/>
                <w:szCs w:val="16"/>
                <w:u w:val="none"/>
              </w:rPr>
            </w:pPr>
          </w:p>
        </w:tc>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720A4A">
            <w:pPr>
              <w:jc w:val="center"/>
              <w:rPr>
                <w:rFonts w:hint="eastAsia" w:ascii="微软雅黑" w:hAnsi="微软雅黑" w:eastAsia="微软雅黑" w:cs="微软雅黑"/>
                <w:i w:val="0"/>
                <w:iCs w:val="0"/>
                <w:color w:val="000000"/>
                <w:sz w:val="16"/>
                <w:szCs w:val="16"/>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B3910F">
            <w:pPr>
              <w:jc w:val="center"/>
              <w:rPr>
                <w:rFonts w:hint="eastAsia" w:ascii="微软雅黑" w:hAnsi="微软雅黑" w:eastAsia="微软雅黑" w:cs="微软雅黑"/>
                <w:i w:val="0"/>
                <w:iCs w:val="0"/>
                <w:color w:val="000000"/>
                <w:sz w:val="18"/>
                <w:szCs w:val="18"/>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1DDBA3">
            <w:pPr>
              <w:jc w:val="center"/>
              <w:rPr>
                <w:rFonts w:hint="eastAsia" w:ascii="微软雅黑" w:hAnsi="微软雅黑" w:eastAsia="微软雅黑" w:cs="微软雅黑"/>
                <w:i w:val="0"/>
                <w:iCs w:val="0"/>
                <w:color w:val="000000"/>
                <w:sz w:val="16"/>
                <w:szCs w:val="16"/>
                <w:u w:val="none"/>
              </w:rPr>
            </w:pPr>
          </w:p>
        </w:tc>
      </w:tr>
      <w:tr w14:paraId="16D9F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EA318">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7</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ABA74">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视频运维应用</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8B494">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1、设备运行状态采集：支持对设备在线情况进行检测。</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2、视频质量检测：支持对视频的图像质量进行检测。</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3、录像质量检测：支持对录像的完整性进行检测。</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4、运维告警查询与处理：支持运维告警的查询和处理。</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5、运维结果报表展示：支持按月、时间区间对各区域监控点在线率、图像正常率、录像完整率进行统计考核。</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94C0F">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4179A">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1.00 </w:t>
            </w:r>
          </w:p>
        </w:tc>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AAFABD">
            <w:pPr>
              <w:jc w:val="center"/>
              <w:rPr>
                <w:rFonts w:hint="eastAsia" w:ascii="微软雅黑" w:hAnsi="微软雅黑" w:eastAsia="微软雅黑" w:cs="微软雅黑"/>
                <w:i w:val="0"/>
                <w:iCs w:val="0"/>
                <w:color w:val="000000"/>
                <w:sz w:val="16"/>
                <w:szCs w:val="16"/>
                <w:u w:val="none"/>
              </w:rPr>
            </w:pPr>
          </w:p>
        </w:tc>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1689BA">
            <w:pPr>
              <w:jc w:val="center"/>
              <w:rPr>
                <w:rFonts w:hint="eastAsia" w:ascii="微软雅黑" w:hAnsi="微软雅黑" w:eastAsia="微软雅黑" w:cs="微软雅黑"/>
                <w:i w:val="0"/>
                <w:iCs w:val="0"/>
                <w:color w:val="000000"/>
                <w:sz w:val="16"/>
                <w:szCs w:val="16"/>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B7E47">
            <w:pPr>
              <w:jc w:val="center"/>
              <w:rPr>
                <w:rFonts w:hint="eastAsia" w:ascii="微软雅黑" w:hAnsi="微软雅黑" w:eastAsia="微软雅黑" w:cs="微软雅黑"/>
                <w:i w:val="0"/>
                <w:iCs w:val="0"/>
                <w:color w:val="000000"/>
                <w:sz w:val="18"/>
                <w:szCs w:val="18"/>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EC620">
            <w:pPr>
              <w:jc w:val="center"/>
              <w:rPr>
                <w:rFonts w:hint="eastAsia" w:ascii="微软雅黑" w:hAnsi="微软雅黑" w:eastAsia="微软雅黑" w:cs="微软雅黑"/>
                <w:i w:val="0"/>
                <w:iCs w:val="0"/>
                <w:color w:val="000000"/>
                <w:sz w:val="16"/>
                <w:szCs w:val="16"/>
                <w:u w:val="none"/>
              </w:rPr>
            </w:pPr>
          </w:p>
        </w:tc>
      </w:tr>
      <w:tr w14:paraId="65D4E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036EE">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8</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9580F">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视频级联网关</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EDFFC">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1、支持上下级域注册管理能力，实现平台数据级联；</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2、支持资源同步能力；</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3、支持级联视频点位实时预览、录像回放、录像下载能力；</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4、支持级联视频点位设备操作控制能力；</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5、支持下级平台推送到本级平台视频点位路数控制能力，通过级联点位授权路数控制；</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8C344">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277CC">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1.00 </w:t>
            </w:r>
          </w:p>
        </w:tc>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881896">
            <w:pPr>
              <w:jc w:val="center"/>
              <w:rPr>
                <w:rFonts w:hint="eastAsia" w:ascii="微软雅黑" w:hAnsi="微软雅黑" w:eastAsia="微软雅黑" w:cs="微软雅黑"/>
                <w:i w:val="0"/>
                <w:iCs w:val="0"/>
                <w:color w:val="000000"/>
                <w:sz w:val="16"/>
                <w:szCs w:val="16"/>
                <w:u w:val="none"/>
              </w:rPr>
            </w:pPr>
          </w:p>
        </w:tc>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A6FA2">
            <w:pPr>
              <w:jc w:val="center"/>
              <w:rPr>
                <w:rFonts w:hint="eastAsia" w:ascii="微软雅黑" w:hAnsi="微软雅黑" w:eastAsia="微软雅黑" w:cs="微软雅黑"/>
                <w:i w:val="0"/>
                <w:iCs w:val="0"/>
                <w:color w:val="000000"/>
                <w:sz w:val="16"/>
                <w:szCs w:val="16"/>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C1954D">
            <w:pPr>
              <w:jc w:val="center"/>
              <w:rPr>
                <w:rFonts w:hint="eastAsia" w:ascii="微软雅黑" w:hAnsi="微软雅黑" w:eastAsia="微软雅黑" w:cs="微软雅黑"/>
                <w:i w:val="0"/>
                <w:iCs w:val="0"/>
                <w:color w:val="000000"/>
                <w:sz w:val="18"/>
                <w:szCs w:val="18"/>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2EB6E">
            <w:pPr>
              <w:jc w:val="center"/>
              <w:rPr>
                <w:rFonts w:hint="eastAsia" w:ascii="微软雅黑" w:hAnsi="微软雅黑" w:eastAsia="微软雅黑" w:cs="微软雅黑"/>
                <w:i w:val="0"/>
                <w:iCs w:val="0"/>
                <w:color w:val="000000"/>
                <w:sz w:val="16"/>
                <w:szCs w:val="16"/>
                <w:u w:val="none"/>
              </w:rPr>
            </w:pPr>
          </w:p>
        </w:tc>
      </w:tr>
      <w:tr w14:paraId="3766A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DCC0A">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9</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F85BC">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地图应用</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63253">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1、支持对地图进行拖动、放缩、截屏；支持恢复地图的初始化中心点和地图层级，并可清除除初始图层以外的所有操作内容；支持矢量地图、影像地图切换；</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2、支持在地图上测量距离和面积；支持获取地图上已录入数据库点位是地址信息</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3、支持添加点位；支持查看点位属性详情；支持预览点位视频；</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4、地图模式：可将所选分组内的点位及其名称标注在地图上；</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5、收藏夹和预案支持多略图和地图两种浏览模式；</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D0E88">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FB37E">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1.00 </w:t>
            </w:r>
          </w:p>
        </w:tc>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1371B">
            <w:pPr>
              <w:jc w:val="center"/>
              <w:rPr>
                <w:rFonts w:hint="eastAsia" w:ascii="微软雅黑" w:hAnsi="微软雅黑" w:eastAsia="微软雅黑" w:cs="微软雅黑"/>
                <w:i w:val="0"/>
                <w:iCs w:val="0"/>
                <w:color w:val="000000"/>
                <w:sz w:val="16"/>
                <w:szCs w:val="16"/>
                <w:u w:val="none"/>
              </w:rPr>
            </w:pPr>
          </w:p>
        </w:tc>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FCC42">
            <w:pPr>
              <w:jc w:val="center"/>
              <w:rPr>
                <w:rFonts w:hint="eastAsia" w:ascii="微软雅黑" w:hAnsi="微软雅黑" w:eastAsia="微软雅黑" w:cs="微软雅黑"/>
                <w:i w:val="0"/>
                <w:iCs w:val="0"/>
                <w:color w:val="000000"/>
                <w:sz w:val="16"/>
                <w:szCs w:val="16"/>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E12354">
            <w:pPr>
              <w:jc w:val="center"/>
              <w:rPr>
                <w:rFonts w:hint="eastAsia" w:ascii="微软雅黑" w:hAnsi="微软雅黑" w:eastAsia="微软雅黑" w:cs="微软雅黑"/>
                <w:i w:val="0"/>
                <w:iCs w:val="0"/>
                <w:color w:val="000000"/>
                <w:sz w:val="18"/>
                <w:szCs w:val="18"/>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872FB7">
            <w:pPr>
              <w:jc w:val="center"/>
              <w:rPr>
                <w:rFonts w:hint="eastAsia" w:ascii="微软雅黑" w:hAnsi="微软雅黑" w:eastAsia="微软雅黑" w:cs="微软雅黑"/>
                <w:i w:val="0"/>
                <w:iCs w:val="0"/>
                <w:color w:val="000000"/>
                <w:sz w:val="16"/>
                <w:szCs w:val="16"/>
                <w:u w:val="none"/>
              </w:rPr>
            </w:pPr>
          </w:p>
        </w:tc>
      </w:tr>
      <w:tr w14:paraId="6B1F9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56456">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10</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94561">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地图引擎</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DB76E">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1、提供浏览器端二次开发接口，支持矢量切片地图，三维实景地图、BIM模型的快速渲染，支持三维模型拾取、标绘，兼容echarts和three.js，并提供简单的空间运算功能。</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2、支持符合TMS、WMTS、WMS标准的地图服务，其中TMS地图包含在线（高德、天地图、arcgis、pgis）、离线GIS地图（高德、天地图、arcgis）</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3、支持基础地理资源的全图搜索、路径分析，矢量切片的切图和配图。</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05A6B">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34C06">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1.00 </w:t>
            </w:r>
          </w:p>
        </w:tc>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353D76">
            <w:pPr>
              <w:jc w:val="center"/>
              <w:rPr>
                <w:rFonts w:hint="eastAsia" w:ascii="微软雅黑" w:hAnsi="微软雅黑" w:eastAsia="微软雅黑" w:cs="微软雅黑"/>
                <w:i w:val="0"/>
                <w:iCs w:val="0"/>
                <w:color w:val="000000"/>
                <w:sz w:val="16"/>
                <w:szCs w:val="16"/>
                <w:u w:val="none"/>
              </w:rPr>
            </w:pPr>
          </w:p>
        </w:tc>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7FAD8">
            <w:pPr>
              <w:jc w:val="center"/>
              <w:rPr>
                <w:rFonts w:hint="eastAsia" w:ascii="微软雅黑" w:hAnsi="微软雅黑" w:eastAsia="微软雅黑" w:cs="微软雅黑"/>
                <w:i w:val="0"/>
                <w:iCs w:val="0"/>
                <w:color w:val="000000"/>
                <w:sz w:val="16"/>
                <w:szCs w:val="16"/>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5E4196">
            <w:pPr>
              <w:jc w:val="center"/>
              <w:rPr>
                <w:rFonts w:hint="eastAsia" w:ascii="微软雅黑" w:hAnsi="微软雅黑" w:eastAsia="微软雅黑" w:cs="微软雅黑"/>
                <w:i w:val="0"/>
                <w:iCs w:val="0"/>
                <w:color w:val="000000"/>
                <w:sz w:val="18"/>
                <w:szCs w:val="18"/>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69FE7A">
            <w:pPr>
              <w:jc w:val="center"/>
              <w:rPr>
                <w:rFonts w:hint="eastAsia" w:ascii="微软雅黑" w:hAnsi="微软雅黑" w:eastAsia="微软雅黑" w:cs="微软雅黑"/>
                <w:i w:val="0"/>
                <w:iCs w:val="0"/>
                <w:color w:val="000000"/>
                <w:sz w:val="16"/>
                <w:szCs w:val="16"/>
                <w:u w:val="none"/>
              </w:rPr>
            </w:pPr>
          </w:p>
        </w:tc>
      </w:tr>
      <w:tr w14:paraId="365FE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B3F4E">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11</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19ED6">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平台接口开放</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23E38">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1、提供人脸应用、车辆应用服务供第三方使用；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2、提供图像识别及图像比对服务供第三方使用；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3、提供取流解码、视频预览、录像回放的能力供第三方使用；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4、提供区域信息、视频监控点信息、车辆卡口信息的获取服务供第三方使用；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5、提供用户服务、事件订阅、数据字典服务供第三方使用。</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A3442">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AFC73">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1.00 </w:t>
            </w:r>
          </w:p>
        </w:tc>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3311A1">
            <w:pPr>
              <w:jc w:val="center"/>
              <w:rPr>
                <w:rFonts w:hint="eastAsia" w:ascii="微软雅黑" w:hAnsi="微软雅黑" w:eastAsia="微软雅黑" w:cs="微软雅黑"/>
                <w:i w:val="0"/>
                <w:iCs w:val="0"/>
                <w:color w:val="000000"/>
                <w:sz w:val="16"/>
                <w:szCs w:val="16"/>
                <w:u w:val="none"/>
              </w:rPr>
            </w:pPr>
          </w:p>
        </w:tc>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7F4163">
            <w:pPr>
              <w:jc w:val="center"/>
              <w:rPr>
                <w:rFonts w:hint="eastAsia" w:ascii="微软雅黑" w:hAnsi="微软雅黑" w:eastAsia="微软雅黑" w:cs="微软雅黑"/>
                <w:i w:val="0"/>
                <w:iCs w:val="0"/>
                <w:color w:val="000000"/>
                <w:sz w:val="16"/>
                <w:szCs w:val="16"/>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B93B7F">
            <w:pPr>
              <w:jc w:val="center"/>
              <w:rPr>
                <w:rFonts w:hint="eastAsia" w:ascii="微软雅黑" w:hAnsi="微软雅黑" w:eastAsia="微软雅黑" w:cs="微软雅黑"/>
                <w:i w:val="0"/>
                <w:iCs w:val="0"/>
                <w:color w:val="000000"/>
                <w:sz w:val="18"/>
                <w:szCs w:val="18"/>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349788">
            <w:pPr>
              <w:jc w:val="center"/>
              <w:rPr>
                <w:rFonts w:hint="eastAsia" w:ascii="微软雅黑" w:hAnsi="微软雅黑" w:eastAsia="微软雅黑" w:cs="微软雅黑"/>
                <w:i w:val="0"/>
                <w:iCs w:val="0"/>
                <w:color w:val="000000"/>
                <w:sz w:val="16"/>
                <w:szCs w:val="16"/>
                <w:u w:val="none"/>
              </w:rPr>
            </w:pPr>
          </w:p>
        </w:tc>
      </w:tr>
      <w:tr w14:paraId="0B2D3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72D3F">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12</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507A3">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智能车辆应用</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80ABC">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1、支持正常过车查询功能；支持按选择时段、点位范围、方向及车道，根据车牌号码 、结果关联、车辆颜色、车辆品牌、车辆类型、车牌类型、车牌颜色进行过车记录检索；</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2、支持查看配置中的号牌归属；支持按车辆特征信息（包括拍照角度、车辆特征、前车窗特征、主副驾驶人员特征、是否渣土车、速度区间）进行过车记录检索；</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3、支持将检索结果的车辆图像及相关结构化信息全部或部分导出成csv格式文件；</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4、支持按照车牌或卡口分组展示；支持以图片或列表形式展现，列表模式支持表头过滤；</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5、支持查看检索结果详情；</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6、支持过车详情显示当前车辆车牌信息、抓拍卡口信息以及抓拍时间；</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7、支持查询结果快捷操作，链接到查看详情，地图定位，视频回放等功能；</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8、支持在地图上标注搜索结果图片的抓拍设备；</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D0E6D">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90458">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1.00 </w:t>
            </w:r>
          </w:p>
        </w:tc>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0C415A">
            <w:pPr>
              <w:jc w:val="center"/>
              <w:rPr>
                <w:rFonts w:hint="eastAsia" w:ascii="微软雅黑" w:hAnsi="微软雅黑" w:eastAsia="微软雅黑" w:cs="微软雅黑"/>
                <w:i w:val="0"/>
                <w:iCs w:val="0"/>
                <w:color w:val="000000"/>
                <w:sz w:val="16"/>
                <w:szCs w:val="16"/>
                <w:u w:val="none"/>
              </w:rPr>
            </w:pPr>
          </w:p>
        </w:tc>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870664">
            <w:pPr>
              <w:jc w:val="center"/>
              <w:rPr>
                <w:rFonts w:hint="eastAsia" w:ascii="微软雅黑" w:hAnsi="微软雅黑" w:eastAsia="微软雅黑" w:cs="微软雅黑"/>
                <w:i w:val="0"/>
                <w:iCs w:val="0"/>
                <w:color w:val="000000"/>
                <w:sz w:val="16"/>
                <w:szCs w:val="16"/>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1AB72A">
            <w:pPr>
              <w:jc w:val="center"/>
              <w:rPr>
                <w:rFonts w:hint="eastAsia" w:ascii="微软雅黑" w:hAnsi="微软雅黑" w:eastAsia="微软雅黑" w:cs="微软雅黑"/>
                <w:i w:val="0"/>
                <w:iCs w:val="0"/>
                <w:color w:val="000000"/>
                <w:sz w:val="18"/>
                <w:szCs w:val="18"/>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0B73CB">
            <w:pPr>
              <w:jc w:val="center"/>
              <w:rPr>
                <w:rFonts w:hint="eastAsia" w:ascii="微软雅黑" w:hAnsi="微软雅黑" w:eastAsia="微软雅黑" w:cs="微软雅黑"/>
                <w:i w:val="0"/>
                <w:iCs w:val="0"/>
                <w:color w:val="000000"/>
                <w:sz w:val="16"/>
                <w:szCs w:val="16"/>
                <w:u w:val="none"/>
              </w:rPr>
            </w:pPr>
          </w:p>
        </w:tc>
      </w:tr>
      <w:tr w14:paraId="2E295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BD0AB">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13</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43F06">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车辆非现场执法</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739C7">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1、支持违法数据查询功能</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2、查询结果支持以图片或列表形式展示；</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3、支持查询结果快捷操作，链接到查看详情，地图定位，视频回放等功能；</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4、支持将检索结果的车辆图像及相关结构化信息全部或部分导出成csv格式文件；</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5、查询结果支持进行过车详情查看、机动车信息查看、过车录像回放、违法地点联动查看；</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6、支持在地图上标注搜索结果图片的抓拍设备；</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F2FAF">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C9787">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1.00 </w:t>
            </w:r>
          </w:p>
        </w:tc>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3D1CB7">
            <w:pPr>
              <w:jc w:val="center"/>
              <w:rPr>
                <w:rFonts w:hint="eastAsia" w:ascii="微软雅黑" w:hAnsi="微软雅黑" w:eastAsia="微软雅黑" w:cs="微软雅黑"/>
                <w:i w:val="0"/>
                <w:iCs w:val="0"/>
                <w:color w:val="000000"/>
                <w:sz w:val="16"/>
                <w:szCs w:val="16"/>
                <w:u w:val="none"/>
              </w:rPr>
            </w:pPr>
          </w:p>
        </w:tc>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18D03">
            <w:pPr>
              <w:jc w:val="center"/>
              <w:rPr>
                <w:rFonts w:hint="eastAsia" w:ascii="微软雅黑" w:hAnsi="微软雅黑" w:eastAsia="微软雅黑" w:cs="微软雅黑"/>
                <w:i w:val="0"/>
                <w:iCs w:val="0"/>
                <w:color w:val="000000"/>
                <w:sz w:val="16"/>
                <w:szCs w:val="16"/>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D3B780">
            <w:pPr>
              <w:jc w:val="center"/>
              <w:rPr>
                <w:rFonts w:hint="eastAsia" w:ascii="微软雅黑" w:hAnsi="微软雅黑" w:eastAsia="微软雅黑" w:cs="微软雅黑"/>
                <w:i w:val="0"/>
                <w:iCs w:val="0"/>
                <w:color w:val="000000"/>
                <w:sz w:val="18"/>
                <w:szCs w:val="18"/>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6132B8">
            <w:pPr>
              <w:jc w:val="center"/>
              <w:rPr>
                <w:rFonts w:hint="eastAsia" w:ascii="微软雅黑" w:hAnsi="微软雅黑" w:eastAsia="微软雅黑" w:cs="微软雅黑"/>
                <w:i w:val="0"/>
                <w:iCs w:val="0"/>
                <w:color w:val="000000"/>
                <w:sz w:val="16"/>
                <w:szCs w:val="16"/>
                <w:u w:val="none"/>
              </w:rPr>
            </w:pPr>
          </w:p>
        </w:tc>
      </w:tr>
      <w:tr w14:paraId="12662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E9B48">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14</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414DB">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非机动车管控</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7D1ED">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1、支持按卡口、最小相似度、违法时间、违法人姓名、违法人证件号码、所属企业单位、违法审核状态查询非机动车违法数据；</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2、支持全部导出或导出非机动车违法数据。</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3、支持对非机动车违法数据进行监测与展示，包括本月、今日违法次数、今日/近7天/近30天违法次数排行TOP5的违法地点、今日各时段违法次数排行TOP5是违法地点、本月/本年个人非机动车违法次数排行TOP5、本月/本年非机动车违法次数排行TOP5的企业单位、本月/本年个人非机动车违法次数排行TOP5的组织区域、本月/本年违法次数变化趋势；</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4、支持按人员、地点、违法类型、企业单位统计非机动车违法次数，并支持导出统计结果</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31AF3">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A95C2">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1.00 </w:t>
            </w:r>
          </w:p>
        </w:tc>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A1EC9">
            <w:pPr>
              <w:jc w:val="center"/>
              <w:rPr>
                <w:rFonts w:hint="eastAsia" w:ascii="微软雅黑" w:hAnsi="微软雅黑" w:eastAsia="微软雅黑" w:cs="微软雅黑"/>
                <w:i w:val="0"/>
                <w:iCs w:val="0"/>
                <w:color w:val="000000"/>
                <w:sz w:val="16"/>
                <w:szCs w:val="16"/>
                <w:u w:val="none"/>
              </w:rPr>
            </w:pPr>
          </w:p>
        </w:tc>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FC8459">
            <w:pPr>
              <w:jc w:val="center"/>
              <w:rPr>
                <w:rFonts w:hint="eastAsia" w:ascii="微软雅黑" w:hAnsi="微软雅黑" w:eastAsia="微软雅黑" w:cs="微软雅黑"/>
                <w:i w:val="0"/>
                <w:iCs w:val="0"/>
                <w:color w:val="000000"/>
                <w:sz w:val="16"/>
                <w:szCs w:val="16"/>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F3EB4">
            <w:pPr>
              <w:jc w:val="center"/>
              <w:rPr>
                <w:rFonts w:hint="eastAsia" w:ascii="微软雅黑" w:hAnsi="微软雅黑" w:eastAsia="微软雅黑" w:cs="微软雅黑"/>
                <w:i w:val="0"/>
                <w:iCs w:val="0"/>
                <w:color w:val="000000"/>
                <w:sz w:val="18"/>
                <w:szCs w:val="18"/>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037925">
            <w:pPr>
              <w:jc w:val="center"/>
              <w:rPr>
                <w:rFonts w:hint="eastAsia" w:ascii="微软雅黑" w:hAnsi="微软雅黑" w:eastAsia="微软雅黑" w:cs="微软雅黑"/>
                <w:i w:val="0"/>
                <w:iCs w:val="0"/>
                <w:color w:val="000000"/>
                <w:sz w:val="16"/>
                <w:szCs w:val="16"/>
                <w:u w:val="none"/>
              </w:rPr>
            </w:pPr>
          </w:p>
        </w:tc>
      </w:tr>
      <w:tr w14:paraId="71818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54DE7">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15</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5D964">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道路限行管控</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4F605">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1、放行规则配置：支持模糊车牌、车辆名单库、放行节假日配置。</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2、禁行规则配置：支持车辆类型、车牌颜色、车牌尾号、模糊车牌、区域条件（号牌归属地）、车辆名单库、卡口、车道、方向、时间(按月、日、星期、单双日、时间段)配置。</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3、违法数据对接：支持将闯限行违法数据对接到非现场执法应用能力。</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DA699">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5ACCA">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1.00 </w:t>
            </w:r>
          </w:p>
        </w:tc>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9B878">
            <w:pPr>
              <w:jc w:val="center"/>
              <w:rPr>
                <w:rFonts w:hint="eastAsia" w:ascii="微软雅黑" w:hAnsi="微软雅黑" w:eastAsia="微软雅黑" w:cs="微软雅黑"/>
                <w:i w:val="0"/>
                <w:iCs w:val="0"/>
                <w:color w:val="000000"/>
                <w:sz w:val="16"/>
                <w:szCs w:val="16"/>
                <w:u w:val="none"/>
              </w:rPr>
            </w:pPr>
          </w:p>
        </w:tc>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5D9373">
            <w:pPr>
              <w:jc w:val="center"/>
              <w:rPr>
                <w:rFonts w:hint="eastAsia" w:ascii="微软雅黑" w:hAnsi="微软雅黑" w:eastAsia="微软雅黑" w:cs="微软雅黑"/>
                <w:i w:val="0"/>
                <w:iCs w:val="0"/>
                <w:color w:val="000000"/>
                <w:sz w:val="16"/>
                <w:szCs w:val="16"/>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02C2D0">
            <w:pPr>
              <w:jc w:val="center"/>
              <w:rPr>
                <w:rFonts w:hint="eastAsia" w:ascii="微软雅黑" w:hAnsi="微软雅黑" w:eastAsia="微软雅黑" w:cs="微软雅黑"/>
                <w:i w:val="0"/>
                <w:iCs w:val="0"/>
                <w:color w:val="000000"/>
                <w:sz w:val="18"/>
                <w:szCs w:val="18"/>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AFF1C">
            <w:pPr>
              <w:jc w:val="center"/>
              <w:rPr>
                <w:rFonts w:hint="eastAsia" w:ascii="微软雅黑" w:hAnsi="微软雅黑" w:eastAsia="微软雅黑" w:cs="微软雅黑"/>
                <w:i w:val="0"/>
                <w:iCs w:val="0"/>
                <w:color w:val="000000"/>
                <w:sz w:val="16"/>
                <w:szCs w:val="16"/>
                <w:u w:val="none"/>
              </w:rPr>
            </w:pPr>
          </w:p>
        </w:tc>
      </w:tr>
      <w:tr w14:paraId="26FF3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8BCBB">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16</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6A933">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数据集成基础模块</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24023">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支持数据集成任务管理，包括查询、新建、修改等操作。支持按照关键字搜索和多条件组合查询任务列表，浏览任务信息，包括任务名称、运行状态、增量激活状态、策略激活时间、节点数、创建人和创建时间等信息。</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2、支持按用户名、操作类型、操作状态、开始时间、结束时间等条件筛选查看操作日志。</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3、支持定义告警策略，包括数据集成任务运行异常、增量异常、数据断流、数据加载异常、插件运行异常、运行环境（CPU、内存、磁盘、网络IO）异常等，同时支持设置告警级别。</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A389D">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55226">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1.00 </w:t>
            </w:r>
          </w:p>
        </w:tc>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D9E36D">
            <w:pPr>
              <w:jc w:val="center"/>
              <w:rPr>
                <w:rFonts w:hint="eastAsia" w:ascii="微软雅黑" w:hAnsi="微软雅黑" w:eastAsia="微软雅黑" w:cs="微软雅黑"/>
                <w:i w:val="0"/>
                <w:iCs w:val="0"/>
                <w:color w:val="000000"/>
                <w:sz w:val="16"/>
                <w:szCs w:val="16"/>
                <w:u w:val="none"/>
              </w:rPr>
            </w:pPr>
          </w:p>
        </w:tc>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390B4D">
            <w:pPr>
              <w:jc w:val="center"/>
              <w:rPr>
                <w:rFonts w:hint="eastAsia" w:ascii="微软雅黑" w:hAnsi="微软雅黑" w:eastAsia="微软雅黑" w:cs="微软雅黑"/>
                <w:i w:val="0"/>
                <w:iCs w:val="0"/>
                <w:color w:val="000000"/>
                <w:sz w:val="16"/>
                <w:szCs w:val="16"/>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882DC0">
            <w:pPr>
              <w:jc w:val="center"/>
              <w:rPr>
                <w:rFonts w:hint="eastAsia" w:ascii="微软雅黑" w:hAnsi="微软雅黑" w:eastAsia="微软雅黑" w:cs="微软雅黑"/>
                <w:i w:val="0"/>
                <w:iCs w:val="0"/>
                <w:color w:val="000000"/>
                <w:sz w:val="18"/>
                <w:szCs w:val="18"/>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4D37C5">
            <w:pPr>
              <w:jc w:val="center"/>
              <w:rPr>
                <w:rFonts w:hint="eastAsia" w:ascii="微软雅黑" w:hAnsi="微软雅黑" w:eastAsia="微软雅黑" w:cs="微软雅黑"/>
                <w:i w:val="0"/>
                <w:iCs w:val="0"/>
                <w:color w:val="000000"/>
                <w:sz w:val="16"/>
                <w:szCs w:val="16"/>
                <w:u w:val="none"/>
              </w:rPr>
            </w:pPr>
          </w:p>
        </w:tc>
      </w:tr>
      <w:tr w14:paraId="0D8FD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D305D">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17</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1F546">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数据源适配扩展模块</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2A822">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1、支持在画布中拖拉拽输入插件、处理插件、输出插件形成数据流，输入插件和输出插件选择对应的数据源以及属性配置完成数据集成任务的开发。</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2、支持通过导入已有任务模板的方式快速生成数据集成任务。</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3、支持将数据集成任务根据不同的文件夹实现分组管理，支持修改数据集成任务的文件夹。</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4、支持查看所有数据集成任务，包括任务名称、运行状态、增量激活状态、节点数、创建者、创建时间、最近修改人、修改时间等信息。</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5、支持导出数据集成任务文件到本地和从本地导入数据集成任务到系统中。</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6、支持数据集成任务的调度策略配置，支持“全量”和“全量+增量”两种调度策略，若有增量任务，可选择批处理和实时处理两种执行类型，提供周期配置能力，可进行周期定时调度配置。</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7、支持查看任务的所有执行记录，包含各时间点执行的情况。支持查看输入、处理、输出每一个节点的数据量报表、执行日志、性能日志、执行记录等信息。</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809F0">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F6B85">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1.00 </w:t>
            </w:r>
          </w:p>
        </w:tc>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582C4">
            <w:pPr>
              <w:jc w:val="center"/>
              <w:rPr>
                <w:rFonts w:hint="eastAsia" w:ascii="微软雅黑" w:hAnsi="微软雅黑" w:eastAsia="微软雅黑" w:cs="微软雅黑"/>
                <w:i w:val="0"/>
                <w:iCs w:val="0"/>
                <w:color w:val="000000"/>
                <w:sz w:val="16"/>
                <w:szCs w:val="16"/>
                <w:u w:val="none"/>
              </w:rPr>
            </w:pPr>
          </w:p>
        </w:tc>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9FA61">
            <w:pPr>
              <w:jc w:val="center"/>
              <w:rPr>
                <w:rFonts w:hint="eastAsia" w:ascii="微软雅黑" w:hAnsi="微软雅黑" w:eastAsia="微软雅黑" w:cs="微软雅黑"/>
                <w:i w:val="0"/>
                <w:iCs w:val="0"/>
                <w:color w:val="000000"/>
                <w:sz w:val="16"/>
                <w:szCs w:val="16"/>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2C025">
            <w:pPr>
              <w:jc w:val="center"/>
              <w:rPr>
                <w:rFonts w:hint="eastAsia" w:ascii="微软雅黑" w:hAnsi="微软雅黑" w:eastAsia="微软雅黑" w:cs="微软雅黑"/>
                <w:i w:val="0"/>
                <w:iCs w:val="0"/>
                <w:color w:val="000000"/>
                <w:sz w:val="18"/>
                <w:szCs w:val="18"/>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1600A">
            <w:pPr>
              <w:jc w:val="center"/>
              <w:rPr>
                <w:rFonts w:hint="eastAsia" w:ascii="微软雅黑" w:hAnsi="微软雅黑" w:eastAsia="微软雅黑" w:cs="微软雅黑"/>
                <w:i w:val="0"/>
                <w:iCs w:val="0"/>
                <w:color w:val="000000"/>
                <w:sz w:val="16"/>
                <w:szCs w:val="16"/>
                <w:u w:val="none"/>
              </w:rPr>
            </w:pPr>
          </w:p>
        </w:tc>
      </w:tr>
      <w:tr w14:paraId="47905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8A0BC">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18</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867C7">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视图数据级联</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3E806">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1、根据云南省公安厅视图库标准要求，完成瑞丽市公安局交警大队视频平台按照视图库标准与瑞丽市公安局视频专网视图库对接；</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2、对接上级视图库时，视图库启动时主动向上级视图库注册，视图库停止运行时主动向上级视图库注销；</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3、采集设备与采集系统启动时，主动向视图库注册，采集设备与采集系统停止运行时，主动向视图库注销；</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4、注册成功后，注册发起方周期性地向被注册方发送心跳保活信息；</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5、支持采集设备与采集系统对象的创建、更新、删除操作；</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6、支持订阅、取消订阅和修改订阅事件；</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7、支持订阅卡口目录、车道目录、采集设备和采集系统的目录及状态、自动采集的视频图像信息对象，并能自动实现同步；</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8、支持多个下级视图库、上级视图库的联网接入；</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9、具备独立的认证鉴权功能，对接入视图库的用户身份进行合法性认证；</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10、单条数据550KB，服务器数据处理性能，千兆网络环境下120张/秒；</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0EC3A">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F33C4">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1.00 </w:t>
            </w:r>
          </w:p>
        </w:tc>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E978AF">
            <w:pPr>
              <w:jc w:val="center"/>
              <w:rPr>
                <w:rFonts w:hint="eastAsia" w:ascii="微软雅黑" w:hAnsi="微软雅黑" w:eastAsia="微软雅黑" w:cs="微软雅黑"/>
                <w:i w:val="0"/>
                <w:iCs w:val="0"/>
                <w:color w:val="000000"/>
                <w:sz w:val="16"/>
                <w:szCs w:val="16"/>
                <w:u w:val="none"/>
              </w:rPr>
            </w:pPr>
          </w:p>
        </w:tc>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0E076F">
            <w:pPr>
              <w:jc w:val="center"/>
              <w:rPr>
                <w:rFonts w:hint="eastAsia" w:ascii="微软雅黑" w:hAnsi="微软雅黑" w:eastAsia="微软雅黑" w:cs="微软雅黑"/>
                <w:i w:val="0"/>
                <w:iCs w:val="0"/>
                <w:color w:val="000000"/>
                <w:sz w:val="16"/>
                <w:szCs w:val="16"/>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8B4BAB">
            <w:pPr>
              <w:jc w:val="center"/>
              <w:rPr>
                <w:rFonts w:hint="eastAsia" w:ascii="微软雅黑" w:hAnsi="微软雅黑" w:eastAsia="微软雅黑" w:cs="微软雅黑"/>
                <w:i w:val="0"/>
                <w:iCs w:val="0"/>
                <w:color w:val="000000"/>
                <w:sz w:val="18"/>
                <w:szCs w:val="18"/>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B12BF">
            <w:pPr>
              <w:jc w:val="center"/>
              <w:rPr>
                <w:rFonts w:hint="eastAsia" w:ascii="微软雅黑" w:hAnsi="微软雅黑" w:eastAsia="微软雅黑" w:cs="微软雅黑"/>
                <w:i w:val="0"/>
                <w:iCs w:val="0"/>
                <w:color w:val="000000"/>
                <w:sz w:val="16"/>
                <w:szCs w:val="16"/>
                <w:u w:val="none"/>
              </w:rPr>
            </w:pPr>
          </w:p>
        </w:tc>
      </w:tr>
      <w:tr w14:paraId="4BD5D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070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C194F76">
            <w:pPr>
              <w:keepNext w:val="0"/>
              <w:keepLines w:val="0"/>
              <w:widowControl/>
              <w:suppressLineNumbers w:val="0"/>
              <w:jc w:val="left"/>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二、平台后端硬件</w:t>
            </w:r>
          </w:p>
        </w:tc>
      </w:tr>
      <w:tr w14:paraId="08655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54A9C">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105B5">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平台支撑服务器</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70A8A">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1、处理器≥2颗 C86架构处理，每颗处理器(物理核心数≥16核，主频≥2.5 GHz）；</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2、内存≥128G DDR4；</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3、数据盘≥4×4TB SATA；</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4、阵列卡：Raid 1G卡（支持RAID 0/1/5/10）</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5、网络接口：≥2个千兆电口和2个万兆网口</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6、其它接口 ：≥1个IPMI RJ-45管理接口；≥7个USB 3.0接口</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7、2U机架式标准机箱</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EF298">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25F91">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1.00 </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726DD">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50000.00 </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AD236">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50000.00 </w:t>
            </w:r>
          </w:p>
        </w:tc>
        <w:tc>
          <w:tcPr>
            <w:tcW w:w="4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2B5D9A">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年</w:t>
            </w:r>
          </w:p>
        </w:tc>
        <w:tc>
          <w:tcPr>
            <w:tcW w:w="4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43D4EE">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5</w:t>
            </w:r>
          </w:p>
        </w:tc>
      </w:tr>
      <w:tr w14:paraId="6397B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A16F4">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106CF">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数据级联服务器</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E4D35">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1、处理器≥2颗 C86架构处理，每颗处理器(物理核心数≥16核，主频≥2.5 GHz）；</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2、内存≥64G DDR4；</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3、数据盘≥2×600G SAS；</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4、阵列卡：Raid 1G卡（支持RAID 0/1/5/10）</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5、网络接口：≥2个千兆电口，和2个PCIE万兆网口</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6、其它接口 ：≥1个IPMI RJ-45管理接口；≥7个USB 3.0接口</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7、2U机架式标准机箱</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5DE7B">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F2E5A">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1.00 </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280A5">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35000.00 </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35465">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35000.00 </w:t>
            </w: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8639D">
            <w:pPr>
              <w:jc w:val="center"/>
              <w:rPr>
                <w:rFonts w:hint="eastAsia" w:ascii="微软雅黑" w:hAnsi="微软雅黑" w:eastAsia="微软雅黑" w:cs="微软雅黑"/>
                <w:i w:val="0"/>
                <w:iCs w:val="0"/>
                <w:color w:val="000000"/>
                <w:sz w:val="18"/>
                <w:szCs w:val="18"/>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D3441">
            <w:pPr>
              <w:jc w:val="center"/>
              <w:rPr>
                <w:rFonts w:hint="eastAsia" w:ascii="微软雅黑" w:hAnsi="微软雅黑" w:eastAsia="微软雅黑" w:cs="微软雅黑"/>
                <w:i w:val="0"/>
                <w:iCs w:val="0"/>
                <w:color w:val="000000"/>
                <w:sz w:val="16"/>
                <w:szCs w:val="16"/>
                <w:u w:val="none"/>
              </w:rPr>
            </w:pPr>
          </w:p>
        </w:tc>
      </w:tr>
      <w:tr w14:paraId="25188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1CDA83">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3</w:t>
            </w:r>
          </w:p>
        </w:tc>
        <w:tc>
          <w:tcPr>
            <w:tcW w:w="8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E3C455">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视频图像云存储</w:t>
            </w:r>
          </w:p>
        </w:tc>
        <w:tc>
          <w:tcPr>
            <w:tcW w:w="36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13201E">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1、≥1颗64位多核处理器，≥8G内存， ≥4个千兆网口、 ≥1个千兆管理网口、48块硬盘热插拔插槽；支持风扇热插拔并可冗余温控调速；（以公安部检测报告为准）</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2、可接入2T/3T/4T/6T/8T/10T/12T/14T/16T/18T/20T，支持 SATA/SAS硬盘；★支持NL-SAS 硬盘、HDD硬盘、SSD硬盘、氦气硬盘、空气硬盘；★支持硬盘交错/分时启动；（以公安部检测报告为准）</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3、可自动识别并显示接入的硬盘容量和状态,可显示硬盘组的容量。可在IE浏览器中查看硬盘的SMART信息,查看的硬盘指示灯应闪烁。对RAID阵列中S.M.A.R.T信息有异常的硬盘可自动进行数据拷贝及替换。支持在线获取磁盘日志,在线分析磁盘故障;</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4、★样机可生成.gz格式的健康报告,下载时间及存储数量可设;支持查看硬盘体检报告、硬盘深度体检和磁盘档案;支持下载单个硬盘或批量硬盘的报告,支持按时间显示硬盘的坏扇区、温度、振动变化趋势的曲线图;可对系统中的磁盘进行周期性体检、对有风险的磁盘做深度体检,并给出处理意见,对有损坏风险的磁盘,可使用RAID技术进行数据处理;可通过硬盘深度体检查看硬盘原始数据读取错误率、上电时间、上电时长计数、意外断电计数、重映射扇区数、磁盘振动等多种硬盘相关健康值;支持硬盘体检报告打印输出;支持查看硬盘体检的历史记录、硬盘健康状态,并对硬盘健康状态进行分级分类,包括健康(良好、正常)、亚健康(警告、即将损坏)、故障(错误、损坏)等;（以公安部检测报告为准）</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5、支持运维客户端监管存储设备状态，包括系统、硬盘、环控、报警、保养灯等模块，并同步实时展示；运维客户端可展示设备的在线和离线状态，并同步统设计在线、离线设备的数量；针对在线设备，同步显示连接异常、警告等状态信息，并统计相关数量；运维客户端支持设备报告的管理和下载功能。支持手动下载及策略下载；可设置下载时间，下载数量，及周期性管理；可灵活配置下载周期，支持每天、每三天、每周、每月等模式的配置;</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6、支持集群管理功能，包括集群单元弹性扩容、负载均衡、故障迁移等；支持集群节点生命周期管理，支持集群节点服务启动/停止，集群节点服务组建、扩展、删除;</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7、★云存储系统支持与视频监控平台、虚拟化平台对接；一套云存储系统支持同时给多个视频监控平台系统提供服务，可提供视频监控业务，具备容错处理能力;（以公安部检测报告为准）</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8、★支持全对称部署模式，集群所有节点服务角色对等，无需独立元数据服务器，128台存储节点；系统支持单机（1台）、HA（2台）、集群（3台及以上）部署模式。支持在线扩容、升级，且扩容、升级过程中实时读写业务不中断、数据不丢失，扩容后历史数据无需迁移；支持分布式对称架构与非对称架构相互自由切换；全对称分布式架构，无独立元数据节点，性能、容量随节点数增加而线性增加;（以公安部检测报告为准）</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9、云存储系统支持集群部署，集群内节点不需要独立的集群管理服务器，当任意一个节点故障，业务负载分担到其他节点的时间不超过15秒；全部存储节点的元数据信息丢失以及部分硬盘损坏的情况下，支持从剩余硬盘恢复元数据信息，数据可正常读取;</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10、产品应用支持一键部署；产品安装部署过程中可以选择安装的服务集群，支持选择多个域的服务集群进行产品的部署;</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11、具备一键快速部署能力，存储节点并行部署，互不影响，单台部署时间150秒内完成。快速部署过程中，自动检测节点是否符合配置要求。当检测到当前节点的配置与预期有差距时给予报警提示;</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12、支持按照接入任务数实现自动负载均衡,支持前端设备自动分配到存储节点。各节点间读写任务数差距±1;节点间的自动业务负载均衡,各节点上的存储数据量在稳定情况下,存储容量使用率差距小于万分之一;支持双层负载均衡,支持存储节点级和硬盘级均按照负载和容量进行均衡;</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13、云存储系统可对接入的摄像机自动分配，可在管理平台展示每个存储节点的设备接入情况；支持根据存储节点接入码流带宽、存储空间等信息，实现前端通道自动负载均衡到不同节点，保障存储节点稳定运行；支持单网卡，容错，负载均衡、链路聚合网口模式;</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14、支持智能读取，数据冗余N+M模式下，当损坏的数据块超过M时，存留的视频数据仍可进行回放。当故障硬盘上线后，损坏数据可自动恢复完整，最大程度保障视频数据可用性；在冗余比损坏（多盘或者多机损坏，导致纠删码保护策略失效）的情况下，录像可用数据的查询仍可精确到毫秒级;</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15、支持自动调整N+M冗余容错机制，对锁定的数据，提升容错级别，确保可靠性，包括4+1升级到8+2、8+2升级到12+3等，增强锁定录像的磁盘、节点故障容错能力;</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16、管理平台支持对关键程序、关键数据采取备份、冗余措施，具备容错和系统恢复能力，支持对管理平台整体性能有影响的关键设备进行负载均衡；支持管理服务数据备份故障恢复，每隔15分钟备份一次，支持历史数据自动清理，数据清理不影响业务运行;</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17、支持将多台存储设备的存储资源虚拟化成一个存储资源池,支持在资源池中对多台设备进行负载均衡;</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18、★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以公安部检测报告为准）</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19、支持灵活修改资源池的属性；支持在线修改资源池的N+M冗余级别，N值和M值能动态调整。数据不丢失，业务不中断；系统根据当前节点状态使用相应的容错算法以提高节点容错能力;</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20、★云存储系统以资源池为单位对外提供服务，资源池支持多种数据生命周期管理策略，包含容量循环覆盖、周期覆盖、不覆盖；资源池内重要数据支持锁定，锁定数据可自动解锁和手动解锁;（以公安部检测报告为准）</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21、系统以流直存模式进行录像、图片数据存储。系统中的实时视频流、抓拍图片无需经过任何转发服务器/虚拟机即可实现数据流直存，视频与图片数据直存后可即存即取;（以公安部检测报告为准）</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支持通过运维软件显示管理节点IP，CPU使用率，内存使用率，在线设备数，录像设备数，在线未录像数，剩余容量/总容量；支持在线未录像数ID监控点，监控点名称详细显示;</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22、支持查看单台存储节点上的磁盘信息；支持系统内设置存储节点的接入数；支持根据存储卷状态（如格式化状态、维护状态、重构状态、在线状态等），快速检索存储卷;（以公安部检测报告为准</w:t>
            </w:r>
          </w:p>
        </w:tc>
        <w:tc>
          <w:tcPr>
            <w:tcW w:w="9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640B46">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台</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8714D0">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1.00 </w:t>
            </w:r>
          </w:p>
        </w:tc>
        <w:tc>
          <w:tcPr>
            <w:tcW w:w="11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883C49">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130000.00 </w:t>
            </w:r>
          </w:p>
        </w:tc>
        <w:tc>
          <w:tcPr>
            <w:tcW w:w="13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8E06CB">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130000.00 </w:t>
            </w: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1F85B4">
            <w:pPr>
              <w:jc w:val="center"/>
              <w:rPr>
                <w:rFonts w:hint="eastAsia" w:ascii="微软雅黑" w:hAnsi="微软雅黑" w:eastAsia="微软雅黑" w:cs="微软雅黑"/>
                <w:i w:val="0"/>
                <w:iCs w:val="0"/>
                <w:color w:val="000000"/>
                <w:sz w:val="18"/>
                <w:szCs w:val="18"/>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12460">
            <w:pPr>
              <w:jc w:val="center"/>
              <w:rPr>
                <w:rFonts w:hint="eastAsia" w:ascii="微软雅黑" w:hAnsi="微软雅黑" w:eastAsia="微软雅黑" w:cs="微软雅黑"/>
                <w:i w:val="0"/>
                <w:iCs w:val="0"/>
                <w:color w:val="000000"/>
                <w:sz w:val="16"/>
                <w:szCs w:val="16"/>
                <w:u w:val="none"/>
              </w:rPr>
            </w:pPr>
          </w:p>
        </w:tc>
      </w:tr>
      <w:tr w14:paraId="1129D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130FA">
            <w:pPr>
              <w:jc w:val="center"/>
              <w:rPr>
                <w:rFonts w:hint="eastAsia" w:ascii="微软雅黑" w:hAnsi="微软雅黑" w:eastAsia="微软雅黑" w:cs="微软雅黑"/>
                <w:i w:val="0"/>
                <w:iCs w:val="0"/>
                <w:color w:val="000000"/>
                <w:sz w:val="16"/>
                <w:szCs w:val="16"/>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2DBD3">
            <w:pPr>
              <w:jc w:val="left"/>
              <w:rPr>
                <w:rFonts w:hint="eastAsia" w:ascii="微软雅黑" w:hAnsi="微软雅黑" w:eastAsia="微软雅黑" w:cs="微软雅黑"/>
                <w:i w:val="0"/>
                <w:iCs w:val="0"/>
                <w:color w:val="000000"/>
                <w:sz w:val="16"/>
                <w:szCs w:val="16"/>
                <w:u w:val="none"/>
              </w:rPr>
            </w:pPr>
          </w:p>
        </w:tc>
        <w:tc>
          <w:tcPr>
            <w:tcW w:w="36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7AFB95">
            <w:pPr>
              <w:jc w:val="left"/>
              <w:rPr>
                <w:rFonts w:hint="eastAsia" w:ascii="微软雅黑" w:hAnsi="微软雅黑" w:eastAsia="微软雅黑" w:cs="微软雅黑"/>
                <w:i w:val="0"/>
                <w:iCs w:val="0"/>
                <w:color w:val="000000"/>
                <w:sz w:val="16"/>
                <w:szCs w:val="16"/>
                <w:u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A08CC">
            <w:pPr>
              <w:jc w:val="center"/>
              <w:rPr>
                <w:rFonts w:hint="eastAsia" w:ascii="微软雅黑" w:hAnsi="微软雅黑" w:eastAsia="微软雅黑" w:cs="微软雅黑"/>
                <w:i w:val="0"/>
                <w:iCs w:val="0"/>
                <w:color w:val="000000"/>
                <w:sz w:val="16"/>
                <w:szCs w:val="16"/>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0D32D9">
            <w:pPr>
              <w:jc w:val="center"/>
              <w:rPr>
                <w:rFonts w:hint="eastAsia" w:ascii="微软雅黑" w:hAnsi="微软雅黑" w:eastAsia="微软雅黑" w:cs="微软雅黑"/>
                <w:i w:val="0"/>
                <w:iCs w:val="0"/>
                <w:color w:val="000000"/>
                <w:sz w:val="16"/>
                <w:szCs w:val="16"/>
                <w:u w:val="none"/>
              </w:rPr>
            </w:pPr>
          </w:p>
        </w:tc>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40357">
            <w:pPr>
              <w:jc w:val="center"/>
              <w:rPr>
                <w:rFonts w:hint="eastAsia" w:ascii="微软雅黑" w:hAnsi="微软雅黑" w:eastAsia="微软雅黑" w:cs="微软雅黑"/>
                <w:i w:val="0"/>
                <w:iCs w:val="0"/>
                <w:color w:val="000000"/>
                <w:sz w:val="16"/>
                <w:szCs w:val="16"/>
                <w:u w:val="none"/>
              </w:rPr>
            </w:pPr>
          </w:p>
        </w:tc>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EBC91">
            <w:pPr>
              <w:jc w:val="center"/>
              <w:rPr>
                <w:rFonts w:hint="eastAsia" w:ascii="微软雅黑" w:hAnsi="微软雅黑" w:eastAsia="微软雅黑" w:cs="微软雅黑"/>
                <w:i w:val="0"/>
                <w:iCs w:val="0"/>
                <w:color w:val="000000"/>
                <w:sz w:val="16"/>
                <w:szCs w:val="16"/>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193D04">
            <w:pPr>
              <w:jc w:val="center"/>
              <w:rPr>
                <w:rFonts w:hint="eastAsia" w:ascii="微软雅黑" w:hAnsi="微软雅黑" w:eastAsia="微软雅黑" w:cs="微软雅黑"/>
                <w:i w:val="0"/>
                <w:iCs w:val="0"/>
                <w:color w:val="000000"/>
                <w:sz w:val="18"/>
                <w:szCs w:val="18"/>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839330">
            <w:pPr>
              <w:jc w:val="center"/>
              <w:rPr>
                <w:rFonts w:hint="eastAsia" w:ascii="微软雅黑" w:hAnsi="微软雅黑" w:eastAsia="微软雅黑" w:cs="微软雅黑"/>
                <w:i w:val="0"/>
                <w:iCs w:val="0"/>
                <w:color w:val="000000"/>
                <w:sz w:val="16"/>
                <w:szCs w:val="16"/>
                <w:u w:val="none"/>
              </w:rPr>
            </w:pPr>
          </w:p>
        </w:tc>
      </w:tr>
      <w:tr w14:paraId="2F83D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349FF9">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4</w:t>
            </w:r>
          </w:p>
        </w:tc>
        <w:tc>
          <w:tcPr>
            <w:tcW w:w="8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BCF525">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超高清解码器</w:t>
            </w:r>
          </w:p>
        </w:tc>
        <w:tc>
          <w:tcPr>
            <w:tcW w:w="36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05A4DE">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1、采用嵌入式架构，专用Linux系统，使用DSP解码。为了设备稳定可靠运行，不得采用工控机或者PC机的X86架构。</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2、支持6路3200W、或6路2400W、或12路1200W、或24路800W、或30路600W、或48路400W、或96路200W、或192路100W 像素的视频图像同时解码上墙，支持对主/子码流区分取流和解码显示。</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3、支持接入MPEG4、MPEG2、H.264、MJPEG、H.265、SVAC等编码格式视频，并解码输出。</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4、★支持客户端软件将电脑投屏后，通过设备对电脑进行远程操作。（提供封面具有CNAS认证标识的公安部报告证明）</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5、为保证产品兼容性，需提供设备支持GB/T 28181-2022的证明。</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6、支持全部输出口同时输出3840×2160分辨率的图像。</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7、每个输出口支持任意开窗、漫游；任意1路信号显示画面可进行任意漫游、缩放；可在单屏或多屏的任意位置上叠加显示，图层最大不少于64层。</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8、支持1、2、4、6、8、9、10、12、16、25、36、64画面分割显示，支持M×N≤64的任意分割。</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9、★支持不通过IP网络，通过红外遥控器实现解码图像切换、场景切换、屏幕亮度调节。（提供封面具有CNAS认证标识的公安部报告证明）</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10、显控系统设备间支持信息交互功能，通过平台/客户端界面能够查看屏幕运维信息，包括使用时长、序列号、温度、亮度、显示模式，支持下发配置屏幕参数。（提供封面具有CMA、ilac-MRA、CNAS标志的国家级检测机构的检测报告）</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11、显控系统支持通过自动识别屏幕的行列号信息，并能根据行列号信息，自动生成对应的电视墙规模和绑定输出口关系，避免手动一对一设置输出口和LCD屏幕的对应关系。</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12、显控系统支持自动检测输入源的信号类型，根据信号源类型和显示位置，自动配置信号源所在屏幕的显示场景模式</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13、显控系统支持远程开关机控制，实现拼接墙整墙的开关机，定时开关机操作</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14、支持跨屏同步显示功能，所有跨屏信号源可同时发送至各个屏幕显示，时差小于1ms。</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单个HDMI输出接口可实现40个画面分割显示，每个视频流的分辨率为1920×1080、帧率为30fps。</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支持文件投屏，支持word、excel、ppt、pdf文件投屏上墙。</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15、支持预布局和发送布局，用户可在软件上，预布局电视墙的显示内容，完成后一键发送，在电视墙上同步显示。</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16、支持黑白名单功能，最多可设置256个黑白名单；当设置黑白名单时，只允许白名单IP访问样机；当设置黑名单时，黑名单内IP无法访问样机。</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17、支持通过客户端软件设置底色或底图，当无画面上墙显示时，输出显示该底色或底图；底色支持任意颜色设置；底图支持设置7680×4320及以下分辨率，最多保存8张底图。</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18、支持解码音频格式为G711A、G711U、 G722.1、G726-16/U/A、MPEG2-L2、MP3、 AAC-LC、PCM的文件。</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19、★支持接入具有烟雾检测功能的前端摄像机，检测指定区域内是否有烟雾；当检测到烟雾时，可在显示画面中实时指示烟雾位置，可对前端码流里面的智能信息进行解码并显示，并触发报警弹窗、联动报警输出。（提供封面具有CNAS认证标识的公安部报告证明）</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20、★支持接入具有值岗检测功能的前端摄像机，支持人员是否在岗、是否玩手机、是否睡觉的检测，可对前端码流里面的智能信息进行解码并显示，并触发报警弹窗、联动报警输出。（提供封面具有CNAS认证标识的公安部报告证明）</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21、★持接入具有智能抓拍功能的前端摄像机，支持同时对行人、非机动车、机动车进行检测、跟踪，可对前端码流里面的智能信息进行解码并显示，并触发报警弹窗、联动报警输出。（提供封面具有CNAS认证标识的公安部报告证明）</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22、可通过控制面板进行监控场景切换，最大可支持切换场景数为4个，场景切换时间≤2s，过程中无黑屏、闪屏现象。</w:t>
            </w:r>
          </w:p>
        </w:tc>
        <w:tc>
          <w:tcPr>
            <w:tcW w:w="9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7828C0">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项</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22326F">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1.00 </w:t>
            </w:r>
          </w:p>
        </w:tc>
        <w:tc>
          <w:tcPr>
            <w:tcW w:w="11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A53DDB">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18450.00 </w:t>
            </w:r>
          </w:p>
        </w:tc>
        <w:tc>
          <w:tcPr>
            <w:tcW w:w="13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02AB57">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18450.00 </w:t>
            </w: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CE81F">
            <w:pPr>
              <w:jc w:val="center"/>
              <w:rPr>
                <w:rFonts w:hint="eastAsia" w:ascii="微软雅黑" w:hAnsi="微软雅黑" w:eastAsia="微软雅黑" w:cs="微软雅黑"/>
                <w:i w:val="0"/>
                <w:iCs w:val="0"/>
                <w:color w:val="000000"/>
                <w:sz w:val="18"/>
                <w:szCs w:val="18"/>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10B343">
            <w:pPr>
              <w:jc w:val="center"/>
              <w:rPr>
                <w:rFonts w:hint="eastAsia" w:ascii="微软雅黑" w:hAnsi="微软雅黑" w:eastAsia="微软雅黑" w:cs="微软雅黑"/>
                <w:i w:val="0"/>
                <w:iCs w:val="0"/>
                <w:color w:val="000000"/>
                <w:sz w:val="16"/>
                <w:szCs w:val="16"/>
                <w:u w:val="none"/>
              </w:rPr>
            </w:pPr>
          </w:p>
        </w:tc>
      </w:tr>
      <w:tr w14:paraId="7568B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6417E">
            <w:pPr>
              <w:jc w:val="center"/>
              <w:rPr>
                <w:rFonts w:hint="eastAsia" w:ascii="微软雅黑" w:hAnsi="微软雅黑" w:eastAsia="微软雅黑" w:cs="微软雅黑"/>
                <w:i w:val="0"/>
                <w:iCs w:val="0"/>
                <w:color w:val="000000"/>
                <w:sz w:val="16"/>
                <w:szCs w:val="16"/>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7B8D44">
            <w:pPr>
              <w:jc w:val="left"/>
              <w:rPr>
                <w:rFonts w:hint="eastAsia" w:ascii="微软雅黑" w:hAnsi="微软雅黑" w:eastAsia="微软雅黑" w:cs="微软雅黑"/>
                <w:i w:val="0"/>
                <w:iCs w:val="0"/>
                <w:color w:val="000000"/>
                <w:sz w:val="16"/>
                <w:szCs w:val="16"/>
                <w:u w:val="none"/>
              </w:rPr>
            </w:pPr>
          </w:p>
        </w:tc>
        <w:tc>
          <w:tcPr>
            <w:tcW w:w="36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26EC8E">
            <w:pPr>
              <w:jc w:val="left"/>
              <w:rPr>
                <w:rFonts w:hint="eastAsia" w:ascii="微软雅黑" w:hAnsi="微软雅黑" w:eastAsia="微软雅黑" w:cs="微软雅黑"/>
                <w:i w:val="0"/>
                <w:iCs w:val="0"/>
                <w:color w:val="000000"/>
                <w:sz w:val="16"/>
                <w:szCs w:val="16"/>
                <w:u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FAE84E">
            <w:pPr>
              <w:jc w:val="center"/>
              <w:rPr>
                <w:rFonts w:hint="eastAsia" w:ascii="微软雅黑" w:hAnsi="微软雅黑" w:eastAsia="微软雅黑" w:cs="微软雅黑"/>
                <w:i w:val="0"/>
                <w:iCs w:val="0"/>
                <w:color w:val="000000"/>
                <w:sz w:val="16"/>
                <w:szCs w:val="16"/>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6D770A">
            <w:pPr>
              <w:jc w:val="center"/>
              <w:rPr>
                <w:rFonts w:hint="eastAsia" w:ascii="微软雅黑" w:hAnsi="微软雅黑" w:eastAsia="微软雅黑" w:cs="微软雅黑"/>
                <w:i w:val="0"/>
                <w:iCs w:val="0"/>
                <w:color w:val="000000"/>
                <w:sz w:val="16"/>
                <w:szCs w:val="16"/>
                <w:u w:val="none"/>
              </w:rPr>
            </w:pPr>
          </w:p>
        </w:tc>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5078D">
            <w:pPr>
              <w:jc w:val="center"/>
              <w:rPr>
                <w:rFonts w:hint="eastAsia" w:ascii="微软雅黑" w:hAnsi="微软雅黑" w:eastAsia="微软雅黑" w:cs="微软雅黑"/>
                <w:i w:val="0"/>
                <w:iCs w:val="0"/>
                <w:color w:val="000000"/>
                <w:sz w:val="16"/>
                <w:szCs w:val="16"/>
                <w:u w:val="none"/>
              </w:rPr>
            </w:pPr>
          </w:p>
        </w:tc>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10D5D0">
            <w:pPr>
              <w:jc w:val="center"/>
              <w:rPr>
                <w:rFonts w:hint="eastAsia" w:ascii="微软雅黑" w:hAnsi="微软雅黑" w:eastAsia="微软雅黑" w:cs="微软雅黑"/>
                <w:i w:val="0"/>
                <w:iCs w:val="0"/>
                <w:color w:val="000000"/>
                <w:sz w:val="16"/>
                <w:szCs w:val="16"/>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276B92">
            <w:pPr>
              <w:jc w:val="center"/>
              <w:rPr>
                <w:rFonts w:hint="eastAsia" w:ascii="微软雅黑" w:hAnsi="微软雅黑" w:eastAsia="微软雅黑" w:cs="微软雅黑"/>
                <w:i w:val="0"/>
                <w:iCs w:val="0"/>
                <w:color w:val="000000"/>
                <w:sz w:val="18"/>
                <w:szCs w:val="18"/>
                <w:u w:val="none"/>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01B8AD">
            <w:pPr>
              <w:jc w:val="center"/>
              <w:rPr>
                <w:rFonts w:hint="eastAsia" w:ascii="微软雅黑" w:hAnsi="微软雅黑" w:eastAsia="微软雅黑" w:cs="微软雅黑"/>
                <w:i w:val="0"/>
                <w:iCs w:val="0"/>
                <w:color w:val="000000"/>
                <w:sz w:val="16"/>
                <w:szCs w:val="16"/>
                <w:u w:val="none"/>
              </w:rPr>
            </w:pPr>
          </w:p>
        </w:tc>
      </w:tr>
      <w:tr w14:paraId="63DC1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86C9A">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5</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4AEA5">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后端集成服务费</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B6839">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本地化服务</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3D4A2">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项</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6FE27">
            <w:pPr>
              <w:jc w:val="center"/>
              <w:rPr>
                <w:rFonts w:hint="eastAsia" w:ascii="微软雅黑" w:hAnsi="微软雅黑" w:eastAsia="微软雅黑" w:cs="微软雅黑"/>
                <w:i w:val="0"/>
                <w:iCs w:val="0"/>
                <w:color w:val="000000"/>
                <w:sz w:val="16"/>
                <w:szCs w:val="16"/>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35AE8">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50000.00 </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6D095">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50000.00 </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8CB7E">
            <w:pPr>
              <w:jc w:val="center"/>
              <w:rPr>
                <w:rFonts w:hint="eastAsia" w:ascii="微软雅黑" w:hAnsi="微软雅黑" w:eastAsia="微软雅黑" w:cs="微软雅黑"/>
                <w:i w:val="0"/>
                <w:iCs w:val="0"/>
                <w:color w:val="000000"/>
                <w:sz w:val="18"/>
                <w:szCs w:val="18"/>
                <w:u w:val="none"/>
              </w:rPr>
            </w:pP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FA47C">
            <w:pPr>
              <w:jc w:val="center"/>
              <w:rPr>
                <w:rFonts w:hint="eastAsia" w:ascii="微软雅黑" w:hAnsi="微软雅黑" w:eastAsia="微软雅黑" w:cs="微软雅黑"/>
                <w:i w:val="0"/>
                <w:iCs w:val="0"/>
                <w:color w:val="000000"/>
                <w:sz w:val="16"/>
                <w:szCs w:val="16"/>
                <w:u w:val="none"/>
              </w:rPr>
            </w:pPr>
          </w:p>
        </w:tc>
      </w:tr>
      <w:tr w14:paraId="02546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0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1AAE343">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合计</w:t>
            </w:r>
          </w:p>
        </w:tc>
        <w:tc>
          <w:tcPr>
            <w:tcW w:w="36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4A2619">
            <w:pPr>
              <w:keepNext w:val="0"/>
              <w:keepLines w:val="0"/>
              <w:widowControl/>
              <w:suppressLineNumbers w:val="0"/>
              <w:jc w:val="both"/>
              <w:textAlignment w:val="center"/>
              <w:rPr>
                <w:rFonts w:hint="default" w:ascii="微软雅黑" w:hAnsi="微软雅黑" w:eastAsia="微软雅黑" w:cs="微软雅黑"/>
                <w:b/>
                <w:bCs/>
                <w:i w:val="0"/>
                <w:iCs w:val="0"/>
                <w:color w:val="000000"/>
                <w:sz w:val="18"/>
                <w:szCs w:val="18"/>
                <w:u w:val="none"/>
                <w:lang w:val="en-US"/>
              </w:rPr>
            </w:pPr>
            <w:r>
              <w:rPr>
                <w:rFonts w:hint="eastAsia" w:ascii="微软雅黑" w:hAnsi="微软雅黑" w:eastAsia="微软雅黑" w:cs="微软雅黑"/>
                <w:b/>
                <w:bCs/>
                <w:i w:val="0"/>
                <w:iCs w:val="0"/>
                <w:color w:val="000000"/>
                <w:kern w:val="0"/>
                <w:sz w:val="18"/>
                <w:szCs w:val="18"/>
                <w:u w:val="none"/>
                <w:lang w:val="en-US" w:eastAsia="zh-CN" w:bidi="ar"/>
              </w:rPr>
              <w:t xml:space="preserve">                        443450.00 </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E3163">
            <w:pPr>
              <w:rPr>
                <w:rFonts w:hint="eastAsia" w:ascii="微软雅黑" w:hAnsi="微软雅黑" w:eastAsia="微软雅黑" w:cs="微软雅黑"/>
                <w:b/>
                <w:bCs/>
                <w:i w:val="0"/>
                <w:iCs w:val="0"/>
                <w:color w:val="000000"/>
                <w:sz w:val="18"/>
                <w:szCs w:val="18"/>
                <w:u w:val="none"/>
              </w:rPr>
            </w:pP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9FACF">
            <w:pPr>
              <w:rPr>
                <w:rFonts w:hint="eastAsia" w:ascii="微软雅黑" w:hAnsi="微软雅黑" w:eastAsia="微软雅黑" w:cs="微软雅黑"/>
                <w:b/>
                <w:bCs/>
                <w:i w:val="0"/>
                <w:iCs w:val="0"/>
                <w:color w:val="000000"/>
                <w:sz w:val="18"/>
                <w:szCs w:val="18"/>
                <w:u w:val="none"/>
              </w:rPr>
            </w:pPr>
          </w:p>
        </w:tc>
      </w:tr>
      <w:tr w14:paraId="0830A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0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F993FA0">
            <w:pPr>
              <w:keepNext w:val="0"/>
              <w:keepLines w:val="0"/>
              <w:widowControl/>
              <w:suppressLineNumbers w:val="0"/>
              <w:jc w:val="center"/>
              <w:textAlignment w:val="center"/>
              <w:rPr>
                <w:rFonts w:hint="default" w:ascii="微软雅黑" w:hAnsi="微软雅黑" w:eastAsia="微软雅黑" w:cs="微软雅黑"/>
                <w:b/>
                <w:bCs/>
                <w:i w:val="0"/>
                <w:iCs w:val="0"/>
                <w:color w:val="000000"/>
                <w:kern w:val="0"/>
                <w:sz w:val="18"/>
                <w:szCs w:val="18"/>
                <w:u w:val="none"/>
                <w:lang w:val="en-US" w:eastAsia="zh-CN" w:bidi="ar"/>
              </w:rPr>
            </w:pPr>
            <w:r>
              <w:rPr>
                <w:rFonts w:hint="eastAsia" w:ascii="微软雅黑" w:hAnsi="微软雅黑" w:eastAsia="微软雅黑" w:cs="微软雅黑"/>
                <w:b/>
                <w:bCs/>
                <w:i w:val="0"/>
                <w:iCs w:val="0"/>
                <w:color w:val="000000"/>
                <w:kern w:val="0"/>
                <w:sz w:val="18"/>
                <w:szCs w:val="18"/>
                <w:u w:val="none"/>
                <w:lang w:val="en-US" w:eastAsia="zh-CN" w:bidi="ar"/>
              </w:rPr>
              <w:t>前端基础电警违法取证设备清单+后端平台清单总计</w:t>
            </w:r>
          </w:p>
        </w:tc>
        <w:tc>
          <w:tcPr>
            <w:tcW w:w="36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F3425B2">
            <w:pPr>
              <w:keepNext w:val="0"/>
              <w:keepLines w:val="0"/>
              <w:widowControl/>
              <w:suppressLineNumbers w:val="0"/>
              <w:jc w:val="right"/>
              <w:textAlignment w:val="center"/>
              <w:rPr>
                <w:rFonts w:hint="default" w:ascii="微软雅黑" w:hAnsi="微软雅黑" w:eastAsia="微软雅黑" w:cs="微软雅黑"/>
                <w:b/>
                <w:bCs/>
                <w:i w:val="0"/>
                <w:iCs w:val="0"/>
                <w:color w:val="000000"/>
                <w:kern w:val="0"/>
                <w:sz w:val="18"/>
                <w:szCs w:val="18"/>
                <w:u w:val="none"/>
                <w:lang w:val="en-US" w:eastAsia="zh-CN" w:bidi="ar"/>
              </w:rPr>
            </w:pPr>
            <w:r>
              <w:rPr>
                <w:rFonts w:hint="eastAsia" w:ascii="微软雅黑" w:hAnsi="微软雅黑" w:eastAsia="微软雅黑" w:cs="微软雅黑"/>
                <w:b/>
                <w:bCs/>
                <w:i w:val="0"/>
                <w:iCs w:val="0"/>
                <w:color w:val="000000"/>
                <w:kern w:val="0"/>
                <w:sz w:val="18"/>
                <w:szCs w:val="18"/>
                <w:u w:val="none"/>
                <w:lang w:val="en-US" w:eastAsia="zh-CN" w:bidi="ar"/>
              </w:rPr>
              <w:t>3200000.00</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9C515">
            <w:pPr>
              <w:rPr>
                <w:rFonts w:hint="eastAsia" w:ascii="微软雅黑" w:hAnsi="微软雅黑" w:eastAsia="微软雅黑" w:cs="微软雅黑"/>
                <w:b/>
                <w:bCs/>
                <w:i w:val="0"/>
                <w:iCs w:val="0"/>
                <w:color w:val="000000"/>
                <w:sz w:val="18"/>
                <w:szCs w:val="18"/>
                <w:u w:val="none"/>
              </w:rPr>
            </w:pP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8985A">
            <w:pPr>
              <w:rPr>
                <w:rFonts w:hint="eastAsia" w:ascii="微软雅黑" w:hAnsi="微软雅黑" w:eastAsia="微软雅黑" w:cs="微软雅黑"/>
                <w:b/>
                <w:bCs/>
                <w:i w:val="0"/>
                <w:iCs w:val="0"/>
                <w:color w:val="000000"/>
                <w:sz w:val="18"/>
                <w:szCs w:val="18"/>
                <w:u w:val="none"/>
              </w:rPr>
            </w:pPr>
          </w:p>
        </w:tc>
      </w:tr>
    </w:tbl>
    <w:p w14:paraId="5396554B">
      <w:pPr>
        <w:numPr>
          <w:ilvl w:val="0"/>
          <w:numId w:val="0"/>
        </w:numPr>
        <w:spacing w:line="500" w:lineRule="exact"/>
        <w:rPr>
          <w:rFonts w:hint="eastAsia" w:ascii="宋体" w:hAnsi="宋体" w:cs="宋体"/>
          <w:b/>
          <w:color w:val="auto"/>
          <w:sz w:val="24"/>
        </w:rPr>
      </w:pPr>
    </w:p>
    <w:p w14:paraId="7EA4BAAF">
      <w:pPr>
        <w:spacing w:line="500" w:lineRule="exact"/>
        <w:ind w:firstLine="482" w:firstLineChars="200"/>
        <w:rPr>
          <w:rFonts w:ascii="宋体" w:hAnsi="宋体" w:cs="宋体"/>
          <w:b/>
          <w:color w:val="auto"/>
          <w:sz w:val="24"/>
        </w:rPr>
      </w:pPr>
      <w:r>
        <w:rPr>
          <w:rFonts w:hint="eastAsia" w:ascii="宋体" w:hAnsi="宋体" w:cs="宋体"/>
          <w:b/>
          <w:color w:val="auto"/>
          <w:sz w:val="24"/>
        </w:rPr>
        <w:t>四、采购标的的数量、采购项目交付或者实施的时间和地点；</w:t>
      </w:r>
    </w:p>
    <w:p w14:paraId="2D9AF2FB">
      <w:pPr>
        <w:pStyle w:val="66"/>
        <w:spacing w:line="500" w:lineRule="exact"/>
        <w:ind w:firstLine="480" w:firstLineChars="200"/>
        <w:rPr>
          <w:color w:val="auto"/>
          <w:shd w:val="clear" w:color="auto" w:fill="FFFFFF"/>
          <w:lang w:val="zh-CN"/>
        </w:rPr>
      </w:pPr>
      <w:r>
        <w:rPr>
          <w:rFonts w:hint="eastAsia"/>
          <w:color w:val="auto"/>
          <w:shd w:val="clear" w:color="auto" w:fill="FFFFFF"/>
          <w:lang w:val="zh-CN"/>
        </w:rPr>
        <w:t>采购标的的数量：</w:t>
      </w:r>
      <w:r>
        <w:rPr>
          <w:rFonts w:hint="eastAsia"/>
          <w:color w:val="auto"/>
          <w:shd w:val="clear" w:color="auto" w:fill="FFFFFF"/>
        </w:rPr>
        <w:t>详见</w:t>
      </w:r>
      <w:r>
        <w:rPr>
          <w:rFonts w:hint="eastAsia"/>
          <w:color w:val="auto"/>
          <w:shd w:val="clear" w:color="auto" w:fill="FFFFFF"/>
          <w:lang w:val="zh-CN"/>
        </w:rPr>
        <w:t>技术规格。</w:t>
      </w:r>
    </w:p>
    <w:p w14:paraId="2C90D624">
      <w:pPr>
        <w:pStyle w:val="66"/>
        <w:spacing w:line="500" w:lineRule="exact"/>
        <w:ind w:firstLine="480" w:firstLineChars="200"/>
        <w:rPr>
          <w:color w:val="auto"/>
          <w:shd w:val="clear" w:color="auto" w:fill="FFFFFF"/>
        </w:rPr>
      </w:pPr>
      <w:r>
        <w:rPr>
          <w:rFonts w:hint="eastAsia"/>
          <w:color w:val="auto"/>
          <w:shd w:val="clear" w:color="auto" w:fill="FFFFFF"/>
          <w:lang w:val="zh-CN"/>
        </w:rPr>
        <w:t>合同履行期限：</w:t>
      </w:r>
      <w:r>
        <w:rPr>
          <w:rFonts w:hint="eastAsia" w:cs="宋体"/>
          <w:bCs w:val="0"/>
          <w:color w:val="auto"/>
          <w:szCs w:val="24"/>
        </w:rPr>
        <w:t>合同签订</w:t>
      </w:r>
      <w:r>
        <w:rPr>
          <w:rFonts w:hint="eastAsia" w:cs="宋体"/>
          <w:bCs w:val="0"/>
          <w:color w:val="auto"/>
          <w:szCs w:val="24"/>
          <w:highlight w:val="none"/>
        </w:rPr>
        <w:t>后</w:t>
      </w:r>
      <w:r>
        <w:rPr>
          <w:rFonts w:hint="eastAsia" w:cs="宋体"/>
          <w:bCs w:val="0"/>
          <w:color w:val="auto"/>
          <w:szCs w:val="24"/>
          <w:highlight w:val="none"/>
          <w:lang w:val="en-US" w:eastAsia="zh-CN"/>
        </w:rPr>
        <w:t>90</w:t>
      </w:r>
      <w:r>
        <w:rPr>
          <w:rFonts w:hint="eastAsia" w:cs="宋体"/>
          <w:bCs w:val="0"/>
          <w:color w:val="auto"/>
          <w:szCs w:val="24"/>
        </w:rPr>
        <w:t>日历天内完成安装调试，调试运行后运维服务期</w:t>
      </w:r>
      <w:r>
        <w:rPr>
          <w:rFonts w:hint="eastAsia" w:cs="宋体"/>
          <w:bCs w:val="0"/>
          <w:color w:val="auto"/>
          <w:szCs w:val="24"/>
          <w:lang w:eastAsia="zh-CN"/>
        </w:rPr>
        <w:t>五年</w:t>
      </w:r>
      <w:r>
        <w:rPr>
          <w:rFonts w:hint="eastAsia"/>
          <w:color w:val="auto"/>
          <w:shd w:val="clear" w:color="auto" w:fill="FFFFFF"/>
          <w:lang w:val="zh-CN"/>
        </w:rPr>
        <w:t>。</w:t>
      </w:r>
    </w:p>
    <w:p w14:paraId="1DCC48BF">
      <w:pPr>
        <w:pStyle w:val="66"/>
        <w:spacing w:line="500" w:lineRule="exact"/>
        <w:ind w:firstLine="480" w:firstLineChars="200"/>
        <w:rPr>
          <w:color w:val="auto"/>
        </w:rPr>
      </w:pPr>
      <w:r>
        <w:rPr>
          <w:rFonts w:hint="eastAsia"/>
          <w:color w:val="auto"/>
          <w:shd w:val="clear" w:color="auto" w:fill="FFFFFF"/>
        </w:rPr>
        <w:t>实施</w:t>
      </w:r>
      <w:r>
        <w:rPr>
          <w:rFonts w:hint="eastAsia"/>
          <w:color w:val="auto"/>
          <w:shd w:val="clear" w:color="auto" w:fill="FFFFFF"/>
          <w:lang w:val="zh-CN"/>
        </w:rPr>
        <w:t>地点：</w:t>
      </w:r>
      <w:r>
        <w:rPr>
          <w:rFonts w:hint="eastAsia"/>
          <w:color w:val="auto"/>
          <w:shd w:val="clear" w:color="auto" w:fill="FFFFFF"/>
        </w:rPr>
        <w:t>云南省</w:t>
      </w:r>
      <w:r>
        <w:rPr>
          <w:rFonts w:hint="eastAsia" w:cs="宋体"/>
          <w:color w:val="auto"/>
          <w:szCs w:val="24"/>
        </w:rPr>
        <w:t>德宏州</w:t>
      </w:r>
      <w:r>
        <w:rPr>
          <w:rFonts w:hint="eastAsia" w:cs="宋体"/>
          <w:color w:val="auto"/>
          <w:szCs w:val="24"/>
          <w:lang w:val="en-US" w:eastAsia="zh-CN"/>
        </w:rPr>
        <w:t>瑞丽市</w:t>
      </w:r>
      <w:r>
        <w:rPr>
          <w:rFonts w:hint="eastAsia"/>
          <w:color w:val="auto"/>
          <w:shd w:val="clear" w:color="auto" w:fill="FFFFFF"/>
          <w:lang w:val="zh-CN"/>
        </w:rPr>
        <w:t>。</w:t>
      </w:r>
    </w:p>
    <w:p w14:paraId="658171E4">
      <w:pPr>
        <w:spacing w:line="500" w:lineRule="exact"/>
        <w:ind w:firstLine="482" w:firstLineChars="200"/>
        <w:rPr>
          <w:rFonts w:ascii="宋体" w:hAnsi="宋体" w:cs="宋体"/>
          <w:b/>
          <w:color w:val="auto"/>
          <w:sz w:val="24"/>
        </w:rPr>
      </w:pPr>
      <w:r>
        <w:rPr>
          <w:rFonts w:hint="eastAsia" w:ascii="宋体" w:hAnsi="宋体" w:cs="宋体"/>
          <w:b/>
          <w:color w:val="auto"/>
          <w:sz w:val="24"/>
        </w:rPr>
        <w:t>五、采购标的需满足的服务标准、期限、效率等要求；</w:t>
      </w:r>
    </w:p>
    <w:p w14:paraId="790E3082">
      <w:pPr>
        <w:widowControl/>
        <w:spacing w:line="500" w:lineRule="exact"/>
        <w:ind w:firstLine="480" w:firstLineChars="200"/>
        <w:rPr>
          <w:color w:val="auto"/>
        </w:rPr>
      </w:pPr>
      <w:r>
        <w:rPr>
          <w:rFonts w:hint="eastAsia" w:ascii="宋体" w:hAnsi="宋体" w:cs="宋体"/>
          <w:color w:val="auto"/>
          <w:sz w:val="24"/>
        </w:rPr>
        <w:t>产品及安装质量合格，达到国家及行业相关要求，一次性验收合格。</w:t>
      </w:r>
    </w:p>
    <w:p w14:paraId="06DDBF59">
      <w:pPr>
        <w:spacing w:line="500" w:lineRule="exact"/>
        <w:ind w:firstLine="482" w:firstLineChars="200"/>
        <w:rPr>
          <w:rFonts w:ascii="宋体" w:hAnsi="宋体" w:cs="宋体"/>
          <w:b/>
          <w:color w:val="auto"/>
          <w:sz w:val="24"/>
        </w:rPr>
      </w:pPr>
      <w:r>
        <w:rPr>
          <w:rFonts w:hint="eastAsia" w:ascii="宋体" w:hAnsi="宋体" w:cs="宋体"/>
          <w:b/>
          <w:color w:val="auto"/>
          <w:sz w:val="24"/>
        </w:rPr>
        <w:t>六、采购标的的验收标准；</w:t>
      </w:r>
    </w:p>
    <w:p w14:paraId="088FAF69">
      <w:pPr>
        <w:pStyle w:val="7"/>
        <w:spacing w:line="500" w:lineRule="exact"/>
        <w:ind w:firstLine="480" w:firstLineChars="200"/>
        <w:jc w:val="left"/>
        <w:rPr>
          <w:rFonts w:ascii="宋体" w:hAnsi="宋体" w:cs="宋体"/>
          <w:color w:val="auto"/>
          <w:sz w:val="24"/>
        </w:rPr>
      </w:pPr>
      <w:r>
        <w:rPr>
          <w:rFonts w:hint="eastAsia" w:ascii="宋体" w:hAnsi="宋体" w:cs="宋体"/>
          <w:color w:val="auto"/>
          <w:sz w:val="24"/>
        </w:rPr>
        <w:t xml:space="preserve">1.中标人提出验收申请之日起10日内组织验收。 </w:t>
      </w:r>
    </w:p>
    <w:p w14:paraId="761B85EA">
      <w:pPr>
        <w:pStyle w:val="7"/>
        <w:spacing w:line="500" w:lineRule="exact"/>
        <w:ind w:firstLine="480" w:firstLineChars="200"/>
        <w:jc w:val="left"/>
        <w:rPr>
          <w:rFonts w:ascii="宋体" w:hAnsi="宋体" w:cs="宋体"/>
          <w:color w:val="auto"/>
          <w:sz w:val="24"/>
        </w:rPr>
      </w:pPr>
      <w:r>
        <w:rPr>
          <w:rFonts w:hint="eastAsia" w:ascii="宋体" w:hAnsi="宋体" w:cs="宋体"/>
          <w:color w:val="auto"/>
          <w:sz w:val="24"/>
        </w:rPr>
        <w:t xml:space="preserve">2.验收标准：按国家有关规定以及采购人招标文件的质量要求和技术指标、中标人的投标文件及承诺与本合同约定标准进行验收；双方如对质量要求和技术指标的约定标准有相互抵触或异议的事项，由采购人在招标文件与投标文件中按质量要求和技术指标比较优胜的原则确定该项的约定标准进行验收； </w:t>
      </w:r>
    </w:p>
    <w:p w14:paraId="14A1CF18">
      <w:pPr>
        <w:pStyle w:val="66"/>
        <w:spacing w:line="500" w:lineRule="exact"/>
        <w:ind w:firstLine="480" w:firstLineChars="200"/>
        <w:rPr>
          <w:color w:val="auto"/>
          <w:shd w:val="clear" w:color="auto" w:fill="FFFFFF"/>
          <w:lang w:val="zh-CN"/>
        </w:rPr>
      </w:pPr>
      <w:r>
        <w:rPr>
          <w:rFonts w:hint="eastAsia" w:cs="宋体"/>
          <w:bCs w:val="0"/>
          <w:color w:val="auto"/>
          <w:szCs w:val="24"/>
        </w:rPr>
        <w:t>3.验收时如发现所交付的货物有短装、次品、损坏或其它不符合标准及本合同规定之情形者，采购人将做出详尽的现场记录，或由双方签署备忘录，此现场记录或备忘录可用作补充、缺失和更换损坏部件的有效证据，由此产生的时间延误与有关费用由中标人承担</w:t>
      </w:r>
      <w:r>
        <w:rPr>
          <w:rFonts w:hint="eastAsia"/>
          <w:color w:val="auto"/>
          <w:shd w:val="clear" w:color="auto" w:fill="FFFFFF"/>
          <w:lang w:val="zh-CN"/>
        </w:rPr>
        <w:t>。</w:t>
      </w:r>
    </w:p>
    <w:p w14:paraId="5D3959A2">
      <w:pPr>
        <w:spacing w:line="500" w:lineRule="exact"/>
        <w:ind w:firstLine="482" w:firstLineChars="200"/>
        <w:rPr>
          <w:rFonts w:ascii="宋体" w:hAnsi="宋体" w:cs="宋体"/>
          <w:b/>
          <w:color w:val="auto"/>
          <w:sz w:val="24"/>
        </w:rPr>
      </w:pPr>
      <w:r>
        <w:rPr>
          <w:rFonts w:hint="eastAsia" w:ascii="宋体" w:hAnsi="宋体" w:cs="宋体"/>
          <w:b/>
          <w:color w:val="auto"/>
          <w:sz w:val="24"/>
        </w:rPr>
        <w:t>七、采购标的的其他技术、服务等要求。</w:t>
      </w:r>
    </w:p>
    <w:p w14:paraId="0816EB55">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1.项目整体质保期要求：</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 xml:space="preserve">年。 </w:t>
      </w:r>
    </w:p>
    <w:p w14:paraId="20A916AA">
      <w:pPr>
        <w:spacing w:line="500" w:lineRule="exact"/>
        <w:ind w:firstLine="480" w:firstLineChars="200"/>
        <w:rPr>
          <w:rFonts w:ascii="宋体" w:hAnsi="宋体" w:cs="宋体"/>
          <w:color w:val="auto"/>
          <w:sz w:val="24"/>
        </w:rPr>
      </w:pPr>
      <w:r>
        <w:rPr>
          <w:rFonts w:hint="eastAsia" w:ascii="宋体" w:hAnsi="宋体" w:cs="宋体"/>
          <w:color w:val="auto"/>
          <w:sz w:val="24"/>
        </w:rPr>
        <w:t>2.培训要求：设备安装调试完毕后，中标方应对采购人操作人员进行现场培训，直至采购人的技术人员能独立操作，同时能完成一般常见故障的维修工作。</w:t>
      </w:r>
    </w:p>
    <w:p w14:paraId="622D71F5">
      <w:pPr>
        <w:spacing w:line="500" w:lineRule="exact"/>
        <w:ind w:firstLine="480" w:firstLineChars="200"/>
        <w:rPr>
          <w:rFonts w:ascii="宋体" w:hAnsi="宋体" w:cs="宋体"/>
          <w:color w:val="auto"/>
          <w:sz w:val="24"/>
        </w:rPr>
      </w:pPr>
      <w:r>
        <w:rPr>
          <w:rFonts w:hint="eastAsia" w:ascii="宋体" w:hAnsi="宋体" w:cs="宋体"/>
          <w:color w:val="auto"/>
          <w:sz w:val="24"/>
        </w:rPr>
        <w:t>3.</w:t>
      </w:r>
      <w:r>
        <w:rPr>
          <w:rFonts w:ascii="宋体" w:hAnsi="宋体" w:cs="宋体"/>
          <w:color w:val="auto"/>
          <w:sz w:val="24"/>
        </w:rPr>
        <w:t>电话咨询</w:t>
      </w:r>
      <w:r>
        <w:rPr>
          <w:rFonts w:hint="eastAsia" w:ascii="宋体" w:hAnsi="宋体" w:cs="宋体"/>
          <w:color w:val="auto"/>
          <w:sz w:val="24"/>
        </w:rPr>
        <w:t>：供应商</w:t>
      </w:r>
      <w:r>
        <w:rPr>
          <w:rFonts w:ascii="宋体" w:hAnsi="宋体" w:cs="宋体"/>
          <w:color w:val="auto"/>
          <w:sz w:val="24"/>
        </w:rPr>
        <w:t>应当为用户提供技术援助电话，解答用户在使用中遇到的问题，及时为用户提出解决问题的建议。</w:t>
      </w:r>
    </w:p>
    <w:p w14:paraId="59173553">
      <w:pPr>
        <w:spacing w:line="500" w:lineRule="exact"/>
        <w:ind w:firstLine="480" w:firstLineChars="200"/>
        <w:rPr>
          <w:rFonts w:ascii="宋体" w:hAnsi="宋体" w:cs="宋体"/>
          <w:color w:val="auto"/>
          <w:sz w:val="24"/>
        </w:rPr>
      </w:pPr>
      <w:r>
        <w:rPr>
          <w:rFonts w:hint="eastAsia" w:ascii="宋体" w:hAnsi="宋体" w:cs="宋体"/>
          <w:color w:val="auto"/>
          <w:sz w:val="24"/>
        </w:rPr>
        <w:t>4.</w:t>
      </w:r>
      <w:r>
        <w:rPr>
          <w:rFonts w:ascii="宋体" w:hAnsi="宋体" w:cs="宋体"/>
          <w:color w:val="auto"/>
          <w:sz w:val="24"/>
        </w:rPr>
        <w:t>现场响应</w:t>
      </w:r>
      <w:r>
        <w:rPr>
          <w:rFonts w:hint="eastAsia" w:ascii="宋体" w:hAnsi="宋体" w:cs="宋体"/>
          <w:color w:val="auto"/>
          <w:sz w:val="24"/>
        </w:rPr>
        <w:t>：</w:t>
      </w:r>
      <w:r>
        <w:rPr>
          <w:rFonts w:ascii="宋体" w:hAnsi="宋体" w:cs="宋体"/>
          <w:color w:val="auto"/>
          <w:sz w:val="24"/>
        </w:rPr>
        <w:t>用户遇到使用及技术问题，电话咨询不能解决的，</w:t>
      </w:r>
      <w:r>
        <w:rPr>
          <w:rFonts w:hint="eastAsia" w:ascii="宋体" w:hAnsi="宋体" w:cs="宋体"/>
          <w:color w:val="auto"/>
          <w:sz w:val="24"/>
        </w:rPr>
        <w:t>供应商</w:t>
      </w:r>
      <w:r>
        <w:rPr>
          <w:rFonts w:ascii="宋体" w:hAnsi="宋体" w:cs="宋体"/>
          <w:color w:val="auto"/>
          <w:sz w:val="24"/>
        </w:rPr>
        <w:t>应采取相应措施，</w:t>
      </w:r>
      <w:r>
        <w:rPr>
          <w:rFonts w:hint="eastAsia" w:ascii="宋体" w:hAnsi="宋体" w:cs="宋体"/>
          <w:color w:val="auto"/>
          <w:sz w:val="24"/>
        </w:rPr>
        <w:t>尽快</w:t>
      </w:r>
      <w:r>
        <w:rPr>
          <w:rFonts w:ascii="宋体" w:hAnsi="宋体" w:cs="宋体"/>
          <w:color w:val="auto"/>
          <w:sz w:val="24"/>
        </w:rPr>
        <w:t>上门</w:t>
      </w:r>
      <w:r>
        <w:rPr>
          <w:rFonts w:hint="eastAsia" w:ascii="宋体" w:hAnsi="宋体" w:cs="宋体"/>
          <w:color w:val="auto"/>
          <w:sz w:val="24"/>
        </w:rPr>
        <w:t>为用户解决问题使设备恢复</w:t>
      </w:r>
      <w:r>
        <w:rPr>
          <w:rFonts w:ascii="宋体" w:hAnsi="宋体" w:cs="宋体"/>
          <w:color w:val="auto"/>
          <w:sz w:val="24"/>
        </w:rPr>
        <w:t>正常使用</w:t>
      </w:r>
      <w:r>
        <w:rPr>
          <w:rFonts w:hint="eastAsia" w:ascii="宋体" w:hAnsi="宋体" w:cs="宋体"/>
          <w:color w:val="auto"/>
          <w:sz w:val="24"/>
        </w:rPr>
        <w:t>。</w:t>
      </w:r>
    </w:p>
    <w:p w14:paraId="6ADFF94B">
      <w:pPr>
        <w:spacing w:line="500" w:lineRule="exact"/>
        <w:ind w:firstLine="480" w:firstLineChars="200"/>
        <w:rPr>
          <w:rFonts w:ascii="宋体" w:hAnsi="宋体" w:cs="宋体"/>
          <w:color w:val="auto"/>
          <w:sz w:val="24"/>
        </w:rPr>
      </w:pPr>
      <w:r>
        <w:rPr>
          <w:rFonts w:hint="eastAsia" w:ascii="宋体" w:hAnsi="宋体" w:cs="宋体"/>
          <w:color w:val="auto"/>
          <w:sz w:val="24"/>
        </w:rPr>
        <w:t>5.本项目对于前端设备及系统正常工作所需用到的电力搭接有如下要求：</w:t>
      </w:r>
    </w:p>
    <w:p w14:paraId="554D9250">
      <w:pPr>
        <w:spacing w:line="500" w:lineRule="exact"/>
        <w:ind w:firstLine="480" w:firstLineChars="200"/>
        <w:rPr>
          <w:rFonts w:ascii="宋体" w:hAnsi="宋体" w:cs="宋体"/>
          <w:color w:val="auto"/>
          <w:sz w:val="24"/>
        </w:rPr>
      </w:pPr>
      <w:r>
        <w:rPr>
          <w:rFonts w:hint="eastAsia" w:ascii="宋体" w:hAnsi="宋体" w:cs="宋体"/>
          <w:color w:val="auto"/>
          <w:sz w:val="24"/>
        </w:rPr>
        <w:t>①取电搭接的主干线路必须为南方电网建设的线路，不允许搭接非南方电网建设的私电线路；</w:t>
      </w:r>
    </w:p>
    <w:p w14:paraId="3C28B9FF">
      <w:pPr>
        <w:spacing w:line="500" w:lineRule="exact"/>
        <w:ind w:firstLine="480" w:firstLineChars="200"/>
        <w:rPr>
          <w:rFonts w:ascii="宋体" w:hAnsi="宋体" w:cs="宋体"/>
          <w:color w:val="auto"/>
          <w:sz w:val="24"/>
        </w:rPr>
      </w:pPr>
      <w:r>
        <w:rPr>
          <w:rFonts w:hint="eastAsia" w:ascii="宋体" w:hAnsi="宋体" w:cs="宋体"/>
          <w:color w:val="auto"/>
          <w:sz w:val="24"/>
        </w:rPr>
        <w:t>②不允许从商铺、居民住宅或其他民用设施处进行电力取电搭接；</w:t>
      </w:r>
    </w:p>
    <w:p w14:paraId="76DC59A7">
      <w:pPr>
        <w:spacing w:line="500" w:lineRule="exact"/>
        <w:ind w:firstLine="480" w:firstLineChars="200"/>
        <w:rPr>
          <w:rFonts w:ascii="宋体" w:hAnsi="宋体" w:cs="宋体"/>
          <w:color w:val="auto"/>
          <w:sz w:val="24"/>
        </w:rPr>
      </w:pPr>
      <w:r>
        <w:rPr>
          <w:rFonts w:hint="eastAsia" w:ascii="宋体" w:hAnsi="宋体" w:cs="宋体"/>
          <w:color w:val="auto"/>
          <w:sz w:val="24"/>
        </w:rPr>
        <w:t>③取电搭接工作必须由电力公司专业人员持证上岗进行操作；</w:t>
      </w:r>
    </w:p>
    <w:p w14:paraId="32CDFAD9">
      <w:pPr>
        <w:spacing w:line="500" w:lineRule="exact"/>
        <w:ind w:firstLine="480" w:firstLineChars="200"/>
        <w:rPr>
          <w:rFonts w:ascii="宋体" w:hAnsi="宋体" w:cs="宋体"/>
          <w:color w:val="auto"/>
          <w:sz w:val="24"/>
        </w:rPr>
      </w:pPr>
      <w:r>
        <w:rPr>
          <w:rFonts w:hint="eastAsia" w:ascii="宋体" w:hAnsi="宋体" w:cs="宋体"/>
          <w:color w:val="auto"/>
          <w:sz w:val="24"/>
        </w:rPr>
        <w:t>④所有取电搭接点位均应安装正规电表，对前端设备用电量进行计量。</w:t>
      </w:r>
    </w:p>
    <w:p w14:paraId="1655616A">
      <w:pPr>
        <w:numPr>
          <w:ilvl w:val="0"/>
          <w:numId w:val="0"/>
        </w:numPr>
        <w:spacing w:line="500" w:lineRule="exact"/>
        <w:ind w:firstLine="480" w:firstLineChars="200"/>
        <w:rPr>
          <w:rFonts w:ascii="宋体" w:hAnsi="宋体" w:cs="宋体"/>
          <w:b/>
          <w:bCs/>
          <w:color w:val="auto"/>
          <w:sz w:val="24"/>
        </w:rPr>
        <w:sectPr>
          <w:pgSz w:w="11906" w:h="16838"/>
          <w:pgMar w:top="1440" w:right="1083" w:bottom="1440" w:left="1083" w:header="851" w:footer="992" w:gutter="0"/>
          <w:pgNumType w:fmt="decimal"/>
          <w:cols w:space="425" w:num="1"/>
          <w:docGrid w:type="lines" w:linePitch="312" w:charSpace="0"/>
        </w:sectPr>
      </w:pPr>
      <w:r>
        <w:rPr>
          <w:rFonts w:hint="eastAsia" w:ascii="宋体" w:hAnsi="宋体" w:cs="宋体"/>
          <w:color w:val="auto"/>
          <w:sz w:val="24"/>
        </w:rPr>
        <w:t>6.付款方式：</w:t>
      </w:r>
      <w:r>
        <w:rPr>
          <w:rFonts w:hint="eastAsia" w:ascii="宋体" w:hAnsi="宋体" w:cs="宋体"/>
          <w:color w:val="auto"/>
          <w:sz w:val="24"/>
          <w:lang w:val="en-US" w:eastAsia="zh-CN"/>
        </w:rPr>
        <w:t>根据财政资金安排情况拨付项目款。</w:t>
      </w:r>
    </w:p>
    <w:p w14:paraId="7DEC6632">
      <w:pPr>
        <w:keepNext/>
        <w:keepLines/>
        <w:spacing w:afterLines="100" w:line="360" w:lineRule="auto"/>
        <w:jc w:val="center"/>
        <w:outlineLvl w:val="0"/>
        <w:rPr>
          <w:rFonts w:ascii="宋体" w:hAnsi="宋体" w:cs="宋体"/>
          <w:b/>
          <w:bCs/>
          <w:color w:val="auto"/>
          <w:kern w:val="44"/>
          <w:sz w:val="44"/>
          <w:szCs w:val="44"/>
        </w:rPr>
      </w:pPr>
      <w:r>
        <w:rPr>
          <w:rFonts w:hint="eastAsia" w:ascii="宋体" w:hAnsi="宋体" w:cs="宋体"/>
          <w:b/>
          <w:bCs/>
          <w:color w:val="auto"/>
          <w:kern w:val="44"/>
          <w:sz w:val="44"/>
          <w:szCs w:val="44"/>
        </w:rPr>
        <w:t>第六章</w:t>
      </w:r>
      <w:r>
        <w:rPr>
          <w:rFonts w:hint="eastAsia" w:ascii="宋体" w:hAnsi="宋体" w:cs="宋体"/>
          <w:b/>
          <w:bCs/>
          <w:color w:val="auto"/>
          <w:kern w:val="44"/>
          <w:sz w:val="44"/>
          <w:szCs w:val="44"/>
          <w:lang w:val="en-US" w:eastAsia="zh-CN"/>
        </w:rPr>
        <w:t xml:space="preserve"> </w:t>
      </w:r>
      <w:r>
        <w:rPr>
          <w:rFonts w:hint="eastAsia" w:ascii="宋体" w:hAnsi="宋体" w:cs="宋体"/>
          <w:b/>
          <w:bCs/>
          <w:color w:val="auto"/>
          <w:kern w:val="44"/>
          <w:sz w:val="44"/>
          <w:szCs w:val="44"/>
        </w:rPr>
        <w:t>投标文件格式</w:t>
      </w:r>
    </w:p>
    <w:p w14:paraId="38B5CAAC">
      <w:pPr>
        <w:rPr>
          <w:rFonts w:ascii="宋体" w:hAnsi="宋体"/>
          <w:color w:val="auto"/>
        </w:rPr>
      </w:pPr>
    </w:p>
    <w:p w14:paraId="2F1C41EC">
      <w:pPr>
        <w:spacing w:line="360" w:lineRule="auto"/>
        <w:jc w:val="center"/>
        <w:rPr>
          <w:b/>
          <w:bCs/>
          <w:color w:val="auto"/>
          <w:sz w:val="44"/>
          <w:szCs w:val="44"/>
          <w:u w:val="single"/>
        </w:rPr>
      </w:pPr>
    </w:p>
    <w:p w14:paraId="2FF3A463">
      <w:pPr>
        <w:spacing w:line="360" w:lineRule="auto"/>
        <w:jc w:val="center"/>
        <w:rPr>
          <w:rFonts w:ascii="宋体" w:hAnsi="宋体" w:cs="宋体"/>
          <w:b/>
          <w:bCs/>
          <w:color w:val="auto"/>
          <w:sz w:val="32"/>
          <w:szCs w:val="32"/>
          <w:u w:val="single"/>
        </w:rPr>
      </w:pPr>
      <w:r>
        <w:rPr>
          <w:rFonts w:hint="eastAsia"/>
          <w:b/>
          <w:bCs/>
          <w:color w:val="auto"/>
          <w:sz w:val="44"/>
          <w:szCs w:val="44"/>
          <w:u w:val="single"/>
        </w:rPr>
        <w:t>（项目名称）</w:t>
      </w:r>
    </w:p>
    <w:p w14:paraId="0D83EBB9">
      <w:pPr>
        <w:spacing w:line="480" w:lineRule="auto"/>
        <w:jc w:val="center"/>
        <w:rPr>
          <w:rFonts w:ascii="宋体" w:hAnsi="宋体"/>
          <w:b/>
          <w:bCs/>
          <w:color w:val="auto"/>
          <w:sz w:val="48"/>
          <w:szCs w:val="48"/>
        </w:rPr>
      </w:pPr>
    </w:p>
    <w:p w14:paraId="7E009ECA">
      <w:pPr>
        <w:spacing w:line="480" w:lineRule="auto"/>
        <w:rPr>
          <w:rFonts w:ascii="宋体" w:hAnsi="宋体"/>
          <w:b/>
          <w:bCs/>
          <w:color w:val="auto"/>
          <w:sz w:val="44"/>
          <w:szCs w:val="44"/>
        </w:rPr>
      </w:pPr>
    </w:p>
    <w:p w14:paraId="202305F0">
      <w:pPr>
        <w:spacing w:line="480" w:lineRule="auto"/>
        <w:rPr>
          <w:rFonts w:ascii="宋体" w:hAnsi="宋体"/>
          <w:b/>
          <w:bCs/>
          <w:color w:val="auto"/>
          <w:sz w:val="44"/>
          <w:szCs w:val="44"/>
        </w:rPr>
      </w:pPr>
    </w:p>
    <w:p w14:paraId="0FEB5EE8">
      <w:pPr>
        <w:spacing w:line="480" w:lineRule="auto"/>
        <w:rPr>
          <w:rFonts w:ascii="宋体" w:hAnsi="宋体"/>
          <w:b/>
          <w:bCs/>
          <w:color w:val="auto"/>
          <w:sz w:val="44"/>
          <w:szCs w:val="44"/>
        </w:rPr>
      </w:pPr>
    </w:p>
    <w:p w14:paraId="3CB04F10">
      <w:pPr>
        <w:spacing w:line="480" w:lineRule="auto"/>
        <w:jc w:val="center"/>
        <w:rPr>
          <w:rFonts w:ascii="宋体" w:hAnsi="宋体"/>
          <w:color w:val="auto"/>
          <w:sz w:val="28"/>
          <w:szCs w:val="28"/>
        </w:rPr>
      </w:pPr>
      <w:r>
        <w:rPr>
          <w:rFonts w:hint="eastAsia" w:ascii="宋体" w:hAnsi="宋体"/>
          <w:b/>
          <w:bCs/>
          <w:color w:val="auto"/>
          <w:sz w:val="52"/>
          <w:szCs w:val="52"/>
        </w:rPr>
        <w:t>投标文件</w:t>
      </w:r>
      <w:bookmarkStart w:id="185" w:name="_Toc3896297"/>
      <w:bookmarkEnd w:id="185"/>
    </w:p>
    <w:p w14:paraId="61D7DED7">
      <w:pPr>
        <w:pStyle w:val="23"/>
        <w:spacing w:beforeLines="50"/>
        <w:ind w:left="0" w:leftChars="0" w:firstLine="0" w:firstLineChars="0"/>
        <w:jc w:val="center"/>
        <w:rPr>
          <w:rFonts w:hint="eastAsia" w:ascii="宋体" w:hAnsi="宋体" w:eastAsia="宋体" w:cs="宋体"/>
          <w:color w:val="auto"/>
          <w:sz w:val="32"/>
          <w:lang w:eastAsia="zh-CN"/>
        </w:rPr>
      </w:pPr>
      <w:r>
        <w:rPr>
          <w:rFonts w:hint="eastAsia" w:ascii="宋体" w:hAnsi="宋体" w:eastAsia="宋体" w:cs="宋体"/>
          <w:color w:val="auto"/>
          <w:sz w:val="28"/>
          <w:szCs w:val="28"/>
        </w:rPr>
        <w:t>招标编号：</w:t>
      </w:r>
      <w:r>
        <w:rPr>
          <w:rFonts w:hint="eastAsia" w:ascii="宋体" w:hAnsi="宋体" w:eastAsia="宋体" w:cs="宋体"/>
          <w:color w:val="auto"/>
          <w:sz w:val="28"/>
          <w:szCs w:val="28"/>
          <w:lang w:eastAsia="zh-CN"/>
        </w:rPr>
        <w:t>DHAY-2025-001(公)</w:t>
      </w:r>
    </w:p>
    <w:p w14:paraId="45ABF6F3">
      <w:pPr>
        <w:pStyle w:val="29"/>
        <w:ind w:firstLine="528"/>
        <w:rPr>
          <w:color w:val="auto"/>
        </w:rPr>
      </w:pPr>
    </w:p>
    <w:p w14:paraId="1ED2C384">
      <w:pPr>
        <w:pStyle w:val="29"/>
        <w:ind w:firstLine="528"/>
        <w:rPr>
          <w:color w:val="auto"/>
        </w:rPr>
      </w:pPr>
    </w:p>
    <w:p w14:paraId="3BAC0B1F">
      <w:pPr>
        <w:pStyle w:val="29"/>
        <w:ind w:firstLine="528"/>
        <w:rPr>
          <w:color w:val="auto"/>
        </w:rPr>
      </w:pPr>
    </w:p>
    <w:p w14:paraId="272BEC18">
      <w:pPr>
        <w:pStyle w:val="29"/>
        <w:ind w:firstLine="528"/>
        <w:rPr>
          <w:color w:val="auto"/>
        </w:rPr>
      </w:pPr>
    </w:p>
    <w:p w14:paraId="3BDD0E16">
      <w:pPr>
        <w:spacing w:line="480" w:lineRule="auto"/>
        <w:ind w:firstLine="1205" w:firstLineChars="500"/>
        <w:rPr>
          <w:rFonts w:ascii="宋体" w:hAnsi="宋体"/>
          <w:b/>
          <w:bCs/>
          <w:color w:val="auto"/>
          <w:sz w:val="24"/>
        </w:rPr>
      </w:pPr>
    </w:p>
    <w:p w14:paraId="21F5DE15">
      <w:pPr>
        <w:pStyle w:val="10"/>
        <w:rPr>
          <w:rFonts w:hAnsi="宋体"/>
          <w:b/>
          <w:bCs/>
          <w:color w:val="auto"/>
          <w:sz w:val="24"/>
          <w:szCs w:val="24"/>
        </w:rPr>
      </w:pPr>
    </w:p>
    <w:p w14:paraId="4C5CB828">
      <w:pPr>
        <w:rPr>
          <w:color w:val="auto"/>
        </w:rPr>
      </w:pPr>
    </w:p>
    <w:p w14:paraId="24264D16">
      <w:pPr>
        <w:spacing w:line="360" w:lineRule="auto"/>
        <w:ind w:firstLine="482" w:firstLineChars="200"/>
        <w:rPr>
          <w:rFonts w:ascii="宋体" w:hAnsi="宋体" w:cs="宋体"/>
          <w:b/>
          <w:bCs/>
          <w:color w:val="auto"/>
          <w:sz w:val="24"/>
        </w:rPr>
      </w:pPr>
      <w:r>
        <w:rPr>
          <w:rFonts w:hint="eastAsia" w:ascii="宋体" w:hAnsi="宋体" w:cs="宋体"/>
          <w:b/>
          <w:bCs/>
          <w:color w:val="auto"/>
          <w:sz w:val="24"/>
        </w:rPr>
        <w:t>投标人：（加盖电子公章）</w:t>
      </w:r>
    </w:p>
    <w:p w14:paraId="23529F93">
      <w:pPr>
        <w:spacing w:line="360" w:lineRule="auto"/>
        <w:rPr>
          <w:rFonts w:ascii="宋体" w:hAnsi="宋体" w:cs="宋体"/>
          <w:b/>
          <w:bCs/>
          <w:color w:val="auto"/>
          <w:sz w:val="24"/>
        </w:rPr>
      </w:pPr>
    </w:p>
    <w:p w14:paraId="1C8138BD">
      <w:pPr>
        <w:spacing w:line="360" w:lineRule="auto"/>
        <w:ind w:firstLine="482" w:firstLineChars="200"/>
        <w:rPr>
          <w:rFonts w:ascii="宋体" w:hAnsi="宋体" w:cs="宋体"/>
          <w:b/>
          <w:bCs/>
          <w:color w:val="auto"/>
          <w:sz w:val="24"/>
        </w:rPr>
      </w:pPr>
      <w:r>
        <w:rPr>
          <w:rFonts w:hint="eastAsia" w:ascii="宋体" w:hAnsi="宋体" w:cs="宋体"/>
          <w:b/>
          <w:bCs/>
          <w:color w:val="auto"/>
          <w:sz w:val="24"/>
        </w:rPr>
        <w:t>法定代表人或其委托代理人：（电子签章或电子签名）</w:t>
      </w:r>
    </w:p>
    <w:p w14:paraId="345FEC21">
      <w:pPr>
        <w:spacing w:line="360" w:lineRule="auto"/>
        <w:rPr>
          <w:rFonts w:ascii="宋体" w:hAnsi="宋体" w:cs="宋体"/>
          <w:b/>
          <w:bCs/>
          <w:color w:val="auto"/>
          <w:sz w:val="24"/>
        </w:rPr>
      </w:pPr>
    </w:p>
    <w:p w14:paraId="465E9081">
      <w:pPr>
        <w:pStyle w:val="23"/>
        <w:ind w:left="0" w:leftChars="0" w:firstLine="0" w:firstLineChars="0"/>
        <w:jc w:val="center"/>
        <w:rPr>
          <w:color w:val="auto"/>
          <w:sz w:val="24"/>
          <w:szCs w:val="28"/>
        </w:rPr>
      </w:pPr>
      <w:r>
        <w:rPr>
          <w:rFonts w:hint="eastAsia" w:ascii="宋体" w:hAnsi="宋体" w:cs="宋体"/>
          <w:b/>
          <w:bCs/>
          <w:color w:val="auto"/>
          <w:sz w:val="24"/>
        </w:rPr>
        <w:t>日期：</w:t>
      </w:r>
      <w:r>
        <w:rPr>
          <w:rFonts w:hint="eastAsia" w:ascii="宋体" w:hAnsi="宋体" w:cs="宋体"/>
          <w:b/>
          <w:bCs/>
          <w:color w:val="auto"/>
          <w:sz w:val="24"/>
          <w:lang w:val="en-US" w:eastAsia="zh-CN"/>
        </w:rPr>
        <w:t xml:space="preserve">    </w:t>
      </w:r>
      <w:r>
        <w:rPr>
          <w:rFonts w:hint="eastAsia" w:ascii="宋体" w:hAnsi="宋体" w:cs="宋体"/>
          <w:b/>
          <w:bCs/>
          <w:color w:val="auto"/>
          <w:sz w:val="24"/>
        </w:rPr>
        <w:t>年</w:t>
      </w:r>
      <w:r>
        <w:rPr>
          <w:rFonts w:hint="eastAsia" w:ascii="宋体" w:hAnsi="宋体" w:cs="宋体"/>
          <w:b/>
          <w:bCs/>
          <w:color w:val="auto"/>
          <w:sz w:val="24"/>
          <w:lang w:val="en-US" w:eastAsia="zh-CN"/>
        </w:rPr>
        <w:t xml:space="preserve">   </w:t>
      </w:r>
      <w:r>
        <w:rPr>
          <w:rFonts w:hint="eastAsia" w:ascii="宋体" w:hAnsi="宋体" w:cs="宋体"/>
          <w:b/>
          <w:bCs/>
          <w:color w:val="auto"/>
          <w:sz w:val="24"/>
        </w:rPr>
        <w:t>月</w:t>
      </w:r>
      <w:r>
        <w:rPr>
          <w:rFonts w:hint="eastAsia" w:ascii="宋体" w:hAnsi="宋体" w:cs="宋体"/>
          <w:b/>
          <w:bCs/>
          <w:color w:val="auto"/>
          <w:sz w:val="24"/>
          <w:lang w:val="en-US" w:eastAsia="zh-CN"/>
        </w:rPr>
        <w:t xml:space="preserve">  </w:t>
      </w:r>
      <w:r>
        <w:rPr>
          <w:rFonts w:hint="eastAsia" w:ascii="宋体" w:hAnsi="宋体" w:cs="宋体"/>
          <w:b/>
          <w:bCs/>
          <w:color w:val="auto"/>
          <w:sz w:val="24"/>
        </w:rPr>
        <w:t xml:space="preserve"> 日</w:t>
      </w:r>
    </w:p>
    <w:p w14:paraId="5AFB07D1">
      <w:pPr>
        <w:spacing w:line="360" w:lineRule="auto"/>
        <w:rPr>
          <w:rFonts w:ascii="宋体" w:hAnsi="宋体" w:cs="宋体"/>
          <w:color w:val="auto"/>
        </w:rPr>
        <w:sectPr>
          <w:pgSz w:w="11906" w:h="16838"/>
          <w:pgMar w:top="1440" w:right="1080" w:bottom="1440" w:left="1080" w:header="851" w:footer="992" w:gutter="0"/>
          <w:pgNumType w:fmt="decimal"/>
          <w:cols w:space="425" w:num="1"/>
          <w:docGrid w:type="lines" w:linePitch="312" w:charSpace="0"/>
        </w:sectPr>
      </w:pPr>
    </w:p>
    <w:p w14:paraId="210412DC">
      <w:pPr>
        <w:jc w:val="center"/>
        <w:rPr>
          <w:rFonts w:ascii="宋体" w:hAnsi="宋体" w:cs="宋体"/>
          <w:b/>
          <w:color w:val="auto"/>
          <w:sz w:val="44"/>
          <w:szCs w:val="44"/>
        </w:rPr>
      </w:pPr>
    </w:p>
    <w:p w14:paraId="689CC4CE">
      <w:pPr>
        <w:jc w:val="center"/>
        <w:rPr>
          <w:rFonts w:ascii="宋体" w:hAnsi="宋体" w:cs="宋体"/>
          <w:b/>
          <w:color w:val="auto"/>
          <w:sz w:val="44"/>
          <w:szCs w:val="44"/>
        </w:rPr>
      </w:pPr>
    </w:p>
    <w:p w14:paraId="3805F8D1">
      <w:pPr>
        <w:jc w:val="center"/>
        <w:rPr>
          <w:rFonts w:ascii="宋体" w:hAnsi="宋体" w:cs="宋体"/>
          <w:b/>
          <w:color w:val="auto"/>
          <w:sz w:val="44"/>
          <w:szCs w:val="44"/>
        </w:rPr>
      </w:pPr>
    </w:p>
    <w:p w14:paraId="75B65AF0">
      <w:pPr>
        <w:jc w:val="center"/>
        <w:rPr>
          <w:rFonts w:ascii="宋体" w:hAnsi="宋体" w:cs="宋体"/>
          <w:b/>
          <w:color w:val="auto"/>
          <w:sz w:val="44"/>
          <w:szCs w:val="44"/>
        </w:rPr>
      </w:pPr>
    </w:p>
    <w:p w14:paraId="0068E9AA">
      <w:pPr>
        <w:jc w:val="center"/>
        <w:rPr>
          <w:rFonts w:ascii="宋体" w:hAnsi="宋体" w:cs="宋体"/>
          <w:b/>
          <w:color w:val="auto"/>
          <w:sz w:val="44"/>
          <w:szCs w:val="44"/>
        </w:rPr>
      </w:pPr>
    </w:p>
    <w:p w14:paraId="538F2C27">
      <w:pPr>
        <w:jc w:val="center"/>
        <w:rPr>
          <w:rFonts w:ascii="宋体" w:hAnsi="宋体" w:cs="宋体"/>
          <w:b/>
          <w:color w:val="auto"/>
          <w:sz w:val="44"/>
          <w:szCs w:val="44"/>
        </w:rPr>
      </w:pPr>
    </w:p>
    <w:p w14:paraId="4F3B87FD">
      <w:pPr>
        <w:pStyle w:val="29"/>
        <w:ind w:firstLine="528"/>
        <w:rPr>
          <w:color w:val="auto"/>
        </w:rPr>
      </w:pPr>
    </w:p>
    <w:p w14:paraId="506C82C5">
      <w:pPr>
        <w:keepNext/>
        <w:keepLines/>
        <w:autoSpaceDE w:val="0"/>
        <w:autoSpaceDN w:val="0"/>
        <w:adjustRightInd w:val="0"/>
        <w:snapToGrid w:val="0"/>
        <w:spacing w:line="360" w:lineRule="auto"/>
        <w:jc w:val="center"/>
        <w:outlineLvl w:val="3"/>
        <w:rPr>
          <w:rFonts w:ascii="宋体" w:hAnsi="宋体" w:cs="宋体"/>
          <w:b/>
          <w:color w:val="auto"/>
          <w:sz w:val="44"/>
          <w:szCs w:val="44"/>
        </w:rPr>
      </w:pPr>
    </w:p>
    <w:p w14:paraId="15FB55F7">
      <w:pPr>
        <w:keepNext/>
        <w:keepLines/>
        <w:autoSpaceDE w:val="0"/>
        <w:autoSpaceDN w:val="0"/>
        <w:adjustRightInd w:val="0"/>
        <w:snapToGrid w:val="0"/>
        <w:spacing w:line="360" w:lineRule="auto"/>
        <w:jc w:val="center"/>
        <w:outlineLvl w:val="3"/>
        <w:rPr>
          <w:rFonts w:ascii="宋体" w:hAnsi="宋体" w:cs="宋体"/>
          <w:b/>
          <w:color w:val="auto"/>
          <w:sz w:val="44"/>
          <w:szCs w:val="44"/>
        </w:rPr>
      </w:pPr>
      <w:r>
        <w:rPr>
          <w:rFonts w:hint="eastAsia" w:ascii="宋体" w:hAnsi="宋体" w:cs="宋体"/>
          <w:b/>
          <w:color w:val="auto"/>
          <w:sz w:val="44"/>
          <w:szCs w:val="44"/>
        </w:rPr>
        <w:t xml:space="preserve">第一部分  </w:t>
      </w:r>
      <w:bookmarkStart w:id="186" w:name="_Toc26907"/>
      <w:r>
        <w:rPr>
          <w:rFonts w:hint="eastAsia" w:ascii="宋体" w:hAnsi="宋体" w:cs="宋体"/>
          <w:b/>
          <w:color w:val="auto"/>
          <w:sz w:val="44"/>
          <w:szCs w:val="44"/>
        </w:rPr>
        <w:t>资格</w:t>
      </w:r>
      <w:bookmarkEnd w:id="186"/>
      <w:r>
        <w:rPr>
          <w:rFonts w:hint="eastAsia" w:ascii="宋体" w:hAnsi="宋体" w:cs="宋体"/>
          <w:b/>
          <w:color w:val="auto"/>
          <w:sz w:val="44"/>
          <w:szCs w:val="44"/>
        </w:rPr>
        <w:t>文件格式</w:t>
      </w:r>
    </w:p>
    <w:p w14:paraId="231CEA10">
      <w:pPr>
        <w:keepNext/>
        <w:keepLines/>
        <w:autoSpaceDE w:val="0"/>
        <w:autoSpaceDN w:val="0"/>
        <w:adjustRightInd w:val="0"/>
        <w:snapToGrid w:val="0"/>
        <w:spacing w:line="360" w:lineRule="auto"/>
        <w:jc w:val="center"/>
        <w:outlineLvl w:val="3"/>
        <w:rPr>
          <w:rFonts w:ascii="宋体" w:hAnsi="宋体" w:cs="宋体"/>
          <w:b/>
          <w:color w:val="auto"/>
          <w:sz w:val="36"/>
          <w:szCs w:val="36"/>
        </w:rPr>
        <w:sectPr>
          <w:pgSz w:w="11906" w:h="16838"/>
          <w:pgMar w:top="1440" w:right="1080" w:bottom="1440" w:left="1080" w:header="851" w:footer="992" w:gutter="0"/>
          <w:pgNumType w:fmt="decimal"/>
          <w:cols w:space="720" w:num="1"/>
          <w:docGrid w:type="lines" w:linePitch="312" w:charSpace="0"/>
        </w:sectPr>
      </w:pPr>
    </w:p>
    <w:p w14:paraId="4A6972FB">
      <w:pPr>
        <w:jc w:val="center"/>
        <w:rPr>
          <w:rFonts w:ascii="宋体" w:hAnsi="宋体"/>
          <w:b/>
          <w:bCs/>
          <w:color w:val="auto"/>
          <w:sz w:val="30"/>
          <w:szCs w:val="30"/>
        </w:rPr>
      </w:pPr>
      <w:r>
        <w:rPr>
          <w:rFonts w:hint="eastAsia" w:ascii="宋体" w:hAnsi="宋体"/>
          <w:b/>
          <w:bCs/>
          <w:color w:val="auto"/>
          <w:sz w:val="30"/>
          <w:szCs w:val="30"/>
        </w:rPr>
        <w:t>一、具有独立承担民事责任的能力</w:t>
      </w:r>
    </w:p>
    <w:p w14:paraId="69F657B5">
      <w:pPr>
        <w:jc w:val="center"/>
        <w:rPr>
          <w:rFonts w:ascii="宋体" w:hAnsi="宋体"/>
          <w:b/>
          <w:bCs/>
          <w:color w:val="auto"/>
          <w:sz w:val="28"/>
          <w:szCs w:val="28"/>
        </w:rPr>
      </w:pPr>
      <w:r>
        <w:rPr>
          <w:rFonts w:hint="eastAsia" w:ascii="宋体" w:hAnsi="宋体"/>
          <w:b/>
          <w:bCs/>
          <w:color w:val="auto"/>
          <w:sz w:val="28"/>
          <w:szCs w:val="28"/>
        </w:rPr>
        <w:t>投标人基本情况表</w:t>
      </w:r>
    </w:p>
    <w:tbl>
      <w:tblPr>
        <w:tblStyle w:val="24"/>
        <w:tblW w:w="9520"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462"/>
        <w:gridCol w:w="1164"/>
        <w:gridCol w:w="2182"/>
        <w:gridCol w:w="1507"/>
        <w:gridCol w:w="2205"/>
      </w:tblGrid>
      <w:tr w14:paraId="25E4F8F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2462" w:type="dxa"/>
            <w:tcBorders>
              <w:top w:val="single" w:color="auto" w:sz="18" w:space="0"/>
              <w:left w:val="single" w:color="auto" w:sz="18" w:space="0"/>
              <w:bottom w:val="single" w:color="auto" w:sz="6" w:space="0"/>
              <w:right w:val="single" w:color="auto" w:sz="6" w:space="0"/>
            </w:tcBorders>
            <w:noWrap/>
            <w:vAlign w:val="center"/>
          </w:tcPr>
          <w:p w14:paraId="4D3F62AC">
            <w:pPr>
              <w:spacing w:line="500" w:lineRule="exact"/>
              <w:jc w:val="center"/>
              <w:rPr>
                <w:rFonts w:ascii="宋体" w:hAnsi="宋体" w:cs="宋体"/>
                <w:color w:val="auto"/>
                <w:sz w:val="24"/>
              </w:rPr>
            </w:pPr>
            <w:r>
              <w:rPr>
                <w:rFonts w:hint="eastAsia" w:ascii="宋体" w:hAnsi="宋体" w:cs="宋体"/>
                <w:color w:val="auto"/>
                <w:sz w:val="24"/>
              </w:rPr>
              <w:t>投标人名称</w:t>
            </w:r>
          </w:p>
        </w:tc>
        <w:tc>
          <w:tcPr>
            <w:tcW w:w="7058" w:type="dxa"/>
            <w:gridSpan w:val="4"/>
            <w:tcBorders>
              <w:top w:val="single" w:color="auto" w:sz="18" w:space="0"/>
              <w:left w:val="single" w:color="auto" w:sz="6" w:space="0"/>
              <w:bottom w:val="single" w:color="auto" w:sz="6" w:space="0"/>
              <w:right w:val="single" w:color="auto" w:sz="18" w:space="0"/>
            </w:tcBorders>
            <w:noWrap/>
            <w:vAlign w:val="center"/>
          </w:tcPr>
          <w:p w14:paraId="00FDB808">
            <w:pPr>
              <w:spacing w:line="500" w:lineRule="exact"/>
              <w:jc w:val="center"/>
              <w:rPr>
                <w:rFonts w:ascii="宋体" w:hAnsi="宋体" w:cs="宋体"/>
                <w:color w:val="auto"/>
                <w:sz w:val="24"/>
              </w:rPr>
            </w:pPr>
          </w:p>
        </w:tc>
      </w:tr>
      <w:tr w14:paraId="02D5AB3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2462" w:type="dxa"/>
            <w:tcBorders>
              <w:top w:val="single" w:color="auto" w:sz="6" w:space="0"/>
              <w:left w:val="single" w:color="auto" w:sz="18" w:space="0"/>
              <w:bottom w:val="single" w:color="auto" w:sz="6" w:space="0"/>
              <w:right w:val="single" w:color="auto" w:sz="6" w:space="0"/>
            </w:tcBorders>
            <w:noWrap/>
            <w:vAlign w:val="center"/>
          </w:tcPr>
          <w:p w14:paraId="1F009CF3">
            <w:pPr>
              <w:spacing w:line="500" w:lineRule="exact"/>
              <w:jc w:val="center"/>
              <w:rPr>
                <w:rFonts w:ascii="宋体" w:hAnsi="宋体" w:cs="宋体"/>
                <w:color w:val="auto"/>
                <w:sz w:val="24"/>
              </w:rPr>
            </w:pPr>
            <w:r>
              <w:rPr>
                <w:rFonts w:hint="eastAsia" w:ascii="宋体" w:hAnsi="宋体" w:cs="宋体"/>
                <w:color w:val="auto"/>
                <w:sz w:val="24"/>
              </w:rPr>
              <w:t>注册地址</w:t>
            </w:r>
          </w:p>
        </w:tc>
        <w:tc>
          <w:tcPr>
            <w:tcW w:w="3346" w:type="dxa"/>
            <w:gridSpan w:val="2"/>
            <w:tcBorders>
              <w:top w:val="single" w:color="auto" w:sz="6" w:space="0"/>
              <w:left w:val="single" w:color="auto" w:sz="6" w:space="0"/>
              <w:bottom w:val="single" w:color="auto" w:sz="6" w:space="0"/>
              <w:right w:val="single" w:color="auto" w:sz="6" w:space="0"/>
            </w:tcBorders>
            <w:noWrap/>
            <w:vAlign w:val="center"/>
          </w:tcPr>
          <w:p w14:paraId="3864A685">
            <w:pPr>
              <w:spacing w:line="500" w:lineRule="exact"/>
              <w:jc w:val="center"/>
              <w:rPr>
                <w:rFonts w:ascii="宋体" w:hAnsi="宋体" w:cs="宋体"/>
                <w:color w:val="auto"/>
                <w:sz w:val="24"/>
              </w:rPr>
            </w:pPr>
          </w:p>
        </w:tc>
        <w:tc>
          <w:tcPr>
            <w:tcW w:w="1507" w:type="dxa"/>
            <w:tcBorders>
              <w:top w:val="single" w:color="auto" w:sz="6" w:space="0"/>
              <w:left w:val="single" w:color="auto" w:sz="6" w:space="0"/>
              <w:bottom w:val="single" w:color="auto" w:sz="6" w:space="0"/>
              <w:right w:val="single" w:color="auto" w:sz="6" w:space="0"/>
            </w:tcBorders>
            <w:noWrap/>
            <w:vAlign w:val="center"/>
          </w:tcPr>
          <w:p w14:paraId="709AC430">
            <w:pPr>
              <w:spacing w:line="500" w:lineRule="exact"/>
              <w:jc w:val="center"/>
              <w:rPr>
                <w:rFonts w:ascii="宋体" w:hAnsi="宋体" w:cs="宋体"/>
                <w:color w:val="auto"/>
                <w:sz w:val="24"/>
              </w:rPr>
            </w:pPr>
            <w:r>
              <w:rPr>
                <w:rFonts w:hint="eastAsia" w:ascii="宋体" w:hAnsi="宋体" w:cs="宋体"/>
                <w:color w:val="auto"/>
                <w:sz w:val="24"/>
              </w:rPr>
              <w:t>邮政编码</w:t>
            </w:r>
          </w:p>
        </w:tc>
        <w:tc>
          <w:tcPr>
            <w:tcW w:w="2205" w:type="dxa"/>
            <w:tcBorders>
              <w:top w:val="single" w:color="auto" w:sz="6" w:space="0"/>
              <w:left w:val="single" w:color="auto" w:sz="6" w:space="0"/>
              <w:bottom w:val="single" w:color="auto" w:sz="6" w:space="0"/>
              <w:right w:val="single" w:color="auto" w:sz="18" w:space="0"/>
            </w:tcBorders>
            <w:noWrap/>
            <w:vAlign w:val="center"/>
          </w:tcPr>
          <w:p w14:paraId="7B96383E">
            <w:pPr>
              <w:spacing w:line="500" w:lineRule="exact"/>
              <w:jc w:val="center"/>
              <w:rPr>
                <w:rFonts w:ascii="宋体" w:hAnsi="宋体" w:cs="宋体"/>
                <w:color w:val="auto"/>
                <w:sz w:val="24"/>
              </w:rPr>
            </w:pPr>
          </w:p>
        </w:tc>
      </w:tr>
      <w:tr w14:paraId="6D6684D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1" w:hRule="atLeast"/>
          <w:jc w:val="center"/>
        </w:trPr>
        <w:tc>
          <w:tcPr>
            <w:tcW w:w="2462" w:type="dxa"/>
            <w:vMerge w:val="restart"/>
            <w:tcBorders>
              <w:top w:val="single" w:color="auto" w:sz="6" w:space="0"/>
              <w:left w:val="single" w:color="auto" w:sz="18" w:space="0"/>
              <w:bottom w:val="single" w:color="auto" w:sz="6" w:space="0"/>
              <w:right w:val="single" w:color="auto" w:sz="6" w:space="0"/>
            </w:tcBorders>
            <w:noWrap/>
            <w:vAlign w:val="center"/>
          </w:tcPr>
          <w:p w14:paraId="7AB3E89F">
            <w:pPr>
              <w:spacing w:line="500" w:lineRule="exact"/>
              <w:jc w:val="center"/>
              <w:rPr>
                <w:rFonts w:ascii="宋体" w:hAnsi="宋体" w:cs="宋体"/>
                <w:color w:val="auto"/>
                <w:sz w:val="24"/>
              </w:rPr>
            </w:pPr>
            <w:r>
              <w:rPr>
                <w:rFonts w:hint="eastAsia" w:ascii="宋体" w:hAnsi="宋体" w:cs="宋体"/>
                <w:color w:val="auto"/>
                <w:sz w:val="24"/>
              </w:rPr>
              <w:t>联系方式</w:t>
            </w:r>
          </w:p>
        </w:tc>
        <w:tc>
          <w:tcPr>
            <w:tcW w:w="1164" w:type="dxa"/>
            <w:tcBorders>
              <w:top w:val="single" w:color="auto" w:sz="6" w:space="0"/>
              <w:left w:val="single" w:color="auto" w:sz="6" w:space="0"/>
              <w:bottom w:val="single" w:color="auto" w:sz="6" w:space="0"/>
              <w:right w:val="single" w:color="auto" w:sz="6" w:space="0"/>
            </w:tcBorders>
            <w:noWrap/>
            <w:vAlign w:val="center"/>
          </w:tcPr>
          <w:p w14:paraId="35AD2B1B">
            <w:pPr>
              <w:spacing w:line="500" w:lineRule="exact"/>
              <w:jc w:val="center"/>
              <w:rPr>
                <w:rFonts w:ascii="宋体" w:hAnsi="宋体" w:cs="宋体"/>
                <w:color w:val="auto"/>
                <w:sz w:val="24"/>
              </w:rPr>
            </w:pPr>
            <w:r>
              <w:rPr>
                <w:rFonts w:hint="eastAsia" w:ascii="宋体" w:hAnsi="宋体" w:cs="宋体"/>
                <w:color w:val="auto"/>
                <w:sz w:val="24"/>
              </w:rPr>
              <w:t>联系人</w:t>
            </w:r>
          </w:p>
        </w:tc>
        <w:tc>
          <w:tcPr>
            <w:tcW w:w="2182" w:type="dxa"/>
            <w:tcBorders>
              <w:top w:val="single" w:color="auto" w:sz="6" w:space="0"/>
              <w:left w:val="single" w:color="auto" w:sz="6" w:space="0"/>
              <w:bottom w:val="single" w:color="auto" w:sz="6" w:space="0"/>
              <w:right w:val="single" w:color="auto" w:sz="6" w:space="0"/>
            </w:tcBorders>
            <w:noWrap/>
            <w:vAlign w:val="center"/>
          </w:tcPr>
          <w:p w14:paraId="45E3940B">
            <w:pPr>
              <w:spacing w:line="500" w:lineRule="exact"/>
              <w:jc w:val="center"/>
              <w:rPr>
                <w:rFonts w:ascii="宋体" w:hAnsi="宋体" w:cs="宋体"/>
                <w:color w:val="auto"/>
                <w:sz w:val="24"/>
              </w:rPr>
            </w:pPr>
          </w:p>
        </w:tc>
        <w:tc>
          <w:tcPr>
            <w:tcW w:w="1507" w:type="dxa"/>
            <w:tcBorders>
              <w:top w:val="single" w:color="auto" w:sz="6" w:space="0"/>
              <w:left w:val="single" w:color="auto" w:sz="6" w:space="0"/>
              <w:bottom w:val="single" w:color="auto" w:sz="6" w:space="0"/>
              <w:right w:val="single" w:color="auto" w:sz="6" w:space="0"/>
            </w:tcBorders>
            <w:noWrap/>
            <w:vAlign w:val="center"/>
          </w:tcPr>
          <w:p w14:paraId="1E6CE6AF">
            <w:pPr>
              <w:spacing w:line="500" w:lineRule="exact"/>
              <w:jc w:val="center"/>
              <w:rPr>
                <w:rFonts w:ascii="宋体" w:hAnsi="宋体" w:cs="宋体"/>
                <w:color w:val="auto"/>
                <w:sz w:val="24"/>
              </w:rPr>
            </w:pPr>
            <w:r>
              <w:rPr>
                <w:rFonts w:hint="eastAsia" w:ascii="宋体" w:hAnsi="宋体" w:cs="宋体"/>
                <w:color w:val="auto"/>
                <w:sz w:val="24"/>
              </w:rPr>
              <w:t>电话</w:t>
            </w:r>
          </w:p>
        </w:tc>
        <w:tc>
          <w:tcPr>
            <w:tcW w:w="2205" w:type="dxa"/>
            <w:tcBorders>
              <w:top w:val="single" w:color="auto" w:sz="6" w:space="0"/>
              <w:left w:val="single" w:color="auto" w:sz="6" w:space="0"/>
              <w:bottom w:val="single" w:color="auto" w:sz="6" w:space="0"/>
              <w:right w:val="single" w:color="auto" w:sz="18" w:space="0"/>
            </w:tcBorders>
            <w:noWrap/>
            <w:vAlign w:val="center"/>
          </w:tcPr>
          <w:p w14:paraId="5AB13BE3">
            <w:pPr>
              <w:spacing w:line="500" w:lineRule="exact"/>
              <w:jc w:val="center"/>
              <w:rPr>
                <w:rFonts w:ascii="宋体" w:hAnsi="宋体" w:cs="宋体"/>
                <w:color w:val="auto"/>
                <w:sz w:val="24"/>
              </w:rPr>
            </w:pPr>
          </w:p>
        </w:tc>
      </w:tr>
      <w:tr w14:paraId="19B34ED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7" w:hRule="atLeast"/>
          <w:jc w:val="center"/>
        </w:trPr>
        <w:tc>
          <w:tcPr>
            <w:tcW w:w="2462" w:type="dxa"/>
            <w:vMerge w:val="continue"/>
            <w:tcBorders>
              <w:top w:val="single" w:color="auto" w:sz="6" w:space="0"/>
              <w:left w:val="single" w:color="auto" w:sz="18" w:space="0"/>
              <w:bottom w:val="single" w:color="auto" w:sz="6" w:space="0"/>
              <w:right w:val="single" w:color="auto" w:sz="6" w:space="0"/>
            </w:tcBorders>
            <w:noWrap/>
            <w:vAlign w:val="center"/>
          </w:tcPr>
          <w:p w14:paraId="00B24BCF">
            <w:pPr>
              <w:widowControl/>
              <w:jc w:val="center"/>
              <w:rPr>
                <w:rFonts w:ascii="宋体" w:hAnsi="宋体" w:cs="宋体"/>
                <w:color w:val="auto"/>
                <w:sz w:val="24"/>
              </w:rPr>
            </w:pPr>
          </w:p>
        </w:tc>
        <w:tc>
          <w:tcPr>
            <w:tcW w:w="1164" w:type="dxa"/>
            <w:tcBorders>
              <w:top w:val="single" w:color="auto" w:sz="6" w:space="0"/>
              <w:left w:val="single" w:color="auto" w:sz="6" w:space="0"/>
              <w:bottom w:val="single" w:color="auto" w:sz="6" w:space="0"/>
              <w:right w:val="single" w:color="auto" w:sz="6" w:space="0"/>
            </w:tcBorders>
            <w:noWrap/>
            <w:vAlign w:val="center"/>
          </w:tcPr>
          <w:p w14:paraId="71346196">
            <w:pPr>
              <w:spacing w:line="500" w:lineRule="exact"/>
              <w:jc w:val="center"/>
              <w:rPr>
                <w:rFonts w:ascii="宋体" w:hAnsi="宋体" w:cs="宋体"/>
                <w:color w:val="auto"/>
                <w:sz w:val="24"/>
              </w:rPr>
            </w:pPr>
            <w:r>
              <w:rPr>
                <w:rFonts w:hint="eastAsia" w:ascii="宋体" w:hAnsi="宋体" w:cs="宋体"/>
                <w:color w:val="auto"/>
                <w:sz w:val="24"/>
              </w:rPr>
              <w:t>传真</w:t>
            </w:r>
          </w:p>
        </w:tc>
        <w:tc>
          <w:tcPr>
            <w:tcW w:w="2182" w:type="dxa"/>
            <w:tcBorders>
              <w:top w:val="single" w:color="auto" w:sz="6" w:space="0"/>
              <w:left w:val="single" w:color="auto" w:sz="6" w:space="0"/>
              <w:bottom w:val="single" w:color="auto" w:sz="6" w:space="0"/>
              <w:right w:val="single" w:color="auto" w:sz="6" w:space="0"/>
            </w:tcBorders>
            <w:noWrap/>
            <w:vAlign w:val="center"/>
          </w:tcPr>
          <w:p w14:paraId="0CE5EB05">
            <w:pPr>
              <w:spacing w:line="500" w:lineRule="exact"/>
              <w:jc w:val="center"/>
              <w:rPr>
                <w:rFonts w:ascii="宋体" w:hAnsi="宋体" w:cs="宋体"/>
                <w:color w:val="auto"/>
                <w:sz w:val="24"/>
              </w:rPr>
            </w:pPr>
          </w:p>
        </w:tc>
        <w:tc>
          <w:tcPr>
            <w:tcW w:w="1507" w:type="dxa"/>
            <w:tcBorders>
              <w:top w:val="single" w:color="auto" w:sz="6" w:space="0"/>
              <w:left w:val="single" w:color="auto" w:sz="6" w:space="0"/>
              <w:bottom w:val="single" w:color="auto" w:sz="6" w:space="0"/>
              <w:right w:val="single" w:color="auto" w:sz="6" w:space="0"/>
            </w:tcBorders>
            <w:noWrap/>
            <w:vAlign w:val="center"/>
          </w:tcPr>
          <w:p w14:paraId="7FA00BF5">
            <w:pPr>
              <w:spacing w:line="500" w:lineRule="exact"/>
              <w:jc w:val="center"/>
              <w:rPr>
                <w:rFonts w:ascii="宋体" w:hAnsi="宋体" w:cs="宋体"/>
                <w:color w:val="auto"/>
                <w:sz w:val="24"/>
              </w:rPr>
            </w:pPr>
            <w:r>
              <w:rPr>
                <w:rFonts w:hint="eastAsia" w:ascii="宋体" w:hAnsi="宋体" w:cs="宋体"/>
                <w:color w:val="auto"/>
                <w:sz w:val="24"/>
              </w:rPr>
              <w:t>电子邮件</w:t>
            </w:r>
          </w:p>
        </w:tc>
        <w:tc>
          <w:tcPr>
            <w:tcW w:w="2205" w:type="dxa"/>
            <w:tcBorders>
              <w:top w:val="single" w:color="auto" w:sz="6" w:space="0"/>
              <w:left w:val="single" w:color="auto" w:sz="6" w:space="0"/>
              <w:bottom w:val="single" w:color="auto" w:sz="6" w:space="0"/>
              <w:right w:val="single" w:color="auto" w:sz="18" w:space="0"/>
            </w:tcBorders>
            <w:noWrap/>
            <w:vAlign w:val="center"/>
          </w:tcPr>
          <w:p w14:paraId="5C19BC44">
            <w:pPr>
              <w:spacing w:line="500" w:lineRule="exact"/>
              <w:jc w:val="center"/>
              <w:rPr>
                <w:rFonts w:ascii="宋体" w:hAnsi="宋体" w:cs="宋体"/>
                <w:color w:val="auto"/>
                <w:sz w:val="24"/>
              </w:rPr>
            </w:pPr>
          </w:p>
        </w:tc>
      </w:tr>
      <w:tr w14:paraId="2476F12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2462" w:type="dxa"/>
            <w:tcBorders>
              <w:top w:val="single" w:color="auto" w:sz="6" w:space="0"/>
              <w:left w:val="single" w:color="auto" w:sz="18" w:space="0"/>
              <w:bottom w:val="single" w:color="auto" w:sz="6" w:space="0"/>
              <w:right w:val="single" w:color="auto" w:sz="6" w:space="0"/>
            </w:tcBorders>
            <w:noWrap/>
            <w:vAlign w:val="center"/>
          </w:tcPr>
          <w:p w14:paraId="5F769ACE">
            <w:pPr>
              <w:spacing w:line="500" w:lineRule="exact"/>
              <w:jc w:val="center"/>
              <w:rPr>
                <w:rFonts w:ascii="宋体" w:hAnsi="宋体" w:cs="宋体"/>
                <w:color w:val="auto"/>
                <w:sz w:val="24"/>
              </w:rPr>
            </w:pPr>
            <w:r>
              <w:rPr>
                <w:rFonts w:hint="eastAsia" w:ascii="宋体" w:hAnsi="宋体" w:cs="宋体"/>
                <w:color w:val="auto"/>
                <w:sz w:val="24"/>
              </w:rPr>
              <w:t>法定代表人</w:t>
            </w:r>
          </w:p>
        </w:tc>
        <w:tc>
          <w:tcPr>
            <w:tcW w:w="1164" w:type="dxa"/>
            <w:tcBorders>
              <w:top w:val="single" w:color="auto" w:sz="6" w:space="0"/>
              <w:left w:val="single" w:color="auto" w:sz="6" w:space="0"/>
              <w:bottom w:val="single" w:color="auto" w:sz="6" w:space="0"/>
              <w:right w:val="single" w:color="auto" w:sz="6" w:space="0"/>
            </w:tcBorders>
            <w:noWrap/>
            <w:vAlign w:val="center"/>
          </w:tcPr>
          <w:p w14:paraId="7D95DA19">
            <w:pPr>
              <w:spacing w:line="500" w:lineRule="exact"/>
              <w:jc w:val="center"/>
              <w:rPr>
                <w:rFonts w:ascii="宋体" w:hAnsi="宋体" w:cs="宋体"/>
                <w:color w:val="auto"/>
                <w:sz w:val="24"/>
              </w:rPr>
            </w:pPr>
            <w:r>
              <w:rPr>
                <w:rFonts w:hint="eastAsia" w:ascii="宋体" w:hAnsi="宋体" w:cs="宋体"/>
                <w:color w:val="auto"/>
                <w:sz w:val="24"/>
              </w:rPr>
              <w:t>姓名</w:t>
            </w:r>
          </w:p>
        </w:tc>
        <w:tc>
          <w:tcPr>
            <w:tcW w:w="2182" w:type="dxa"/>
            <w:tcBorders>
              <w:top w:val="single" w:color="auto" w:sz="6" w:space="0"/>
              <w:left w:val="single" w:color="auto" w:sz="6" w:space="0"/>
              <w:bottom w:val="single" w:color="auto" w:sz="6" w:space="0"/>
              <w:right w:val="single" w:color="auto" w:sz="6" w:space="0"/>
            </w:tcBorders>
            <w:noWrap/>
            <w:vAlign w:val="center"/>
          </w:tcPr>
          <w:p w14:paraId="52A9D549">
            <w:pPr>
              <w:spacing w:line="500" w:lineRule="exact"/>
              <w:jc w:val="center"/>
              <w:rPr>
                <w:rFonts w:ascii="宋体" w:hAnsi="宋体" w:cs="宋体"/>
                <w:color w:val="auto"/>
                <w:sz w:val="24"/>
              </w:rPr>
            </w:pPr>
          </w:p>
        </w:tc>
        <w:tc>
          <w:tcPr>
            <w:tcW w:w="1507" w:type="dxa"/>
            <w:tcBorders>
              <w:top w:val="single" w:color="auto" w:sz="6" w:space="0"/>
              <w:left w:val="single" w:color="auto" w:sz="6" w:space="0"/>
              <w:bottom w:val="single" w:color="auto" w:sz="6" w:space="0"/>
              <w:right w:val="single" w:color="auto" w:sz="6" w:space="0"/>
            </w:tcBorders>
            <w:noWrap/>
            <w:vAlign w:val="center"/>
          </w:tcPr>
          <w:p w14:paraId="0BF843E0">
            <w:pPr>
              <w:spacing w:line="500" w:lineRule="exact"/>
              <w:jc w:val="center"/>
              <w:rPr>
                <w:rFonts w:ascii="宋体" w:hAnsi="宋体" w:cs="宋体"/>
                <w:color w:val="auto"/>
                <w:sz w:val="24"/>
              </w:rPr>
            </w:pPr>
            <w:r>
              <w:rPr>
                <w:rFonts w:hint="eastAsia" w:ascii="宋体" w:hAnsi="宋体" w:cs="宋体"/>
                <w:color w:val="auto"/>
                <w:sz w:val="24"/>
              </w:rPr>
              <w:t>电话</w:t>
            </w:r>
          </w:p>
        </w:tc>
        <w:tc>
          <w:tcPr>
            <w:tcW w:w="2205" w:type="dxa"/>
            <w:tcBorders>
              <w:top w:val="single" w:color="auto" w:sz="6" w:space="0"/>
              <w:left w:val="single" w:color="auto" w:sz="6" w:space="0"/>
              <w:bottom w:val="single" w:color="auto" w:sz="6" w:space="0"/>
              <w:right w:val="single" w:color="auto" w:sz="18" w:space="0"/>
            </w:tcBorders>
            <w:noWrap/>
            <w:vAlign w:val="center"/>
          </w:tcPr>
          <w:p w14:paraId="3A3ED506">
            <w:pPr>
              <w:spacing w:line="500" w:lineRule="exact"/>
              <w:jc w:val="center"/>
              <w:rPr>
                <w:rFonts w:ascii="宋体" w:hAnsi="宋体" w:cs="宋体"/>
                <w:color w:val="auto"/>
                <w:sz w:val="24"/>
              </w:rPr>
            </w:pPr>
          </w:p>
        </w:tc>
      </w:tr>
      <w:tr w14:paraId="5BD9855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2462" w:type="dxa"/>
            <w:tcBorders>
              <w:top w:val="single" w:color="auto" w:sz="6" w:space="0"/>
              <w:left w:val="single" w:color="auto" w:sz="18" w:space="0"/>
              <w:bottom w:val="single" w:color="auto" w:sz="6" w:space="0"/>
              <w:right w:val="single" w:color="auto" w:sz="6" w:space="0"/>
            </w:tcBorders>
            <w:noWrap/>
            <w:vAlign w:val="center"/>
          </w:tcPr>
          <w:p w14:paraId="6FFD2715">
            <w:pPr>
              <w:spacing w:line="500" w:lineRule="exact"/>
              <w:jc w:val="center"/>
              <w:rPr>
                <w:rFonts w:ascii="宋体" w:hAnsi="宋体" w:cs="宋体"/>
                <w:color w:val="auto"/>
                <w:sz w:val="24"/>
              </w:rPr>
            </w:pPr>
            <w:r>
              <w:rPr>
                <w:rFonts w:hint="eastAsia" w:ascii="宋体" w:hAnsi="宋体" w:cs="宋体"/>
                <w:color w:val="auto"/>
                <w:sz w:val="24"/>
              </w:rPr>
              <w:t>统一社会信用代码</w:t>
            </w:r>
          </w:p>
        </w:tc>
        <w:tc>
          <w:tcPr>
            <w:tcW w:w="3346" w:type="dxa"/>
            <w:gridSpan w:val="2"/>
            <w:tcBorders>
              <w:top w:val="single" w:color="auto" w:sz="6" w:space="0"/>
              <w:left w:val="single" w:color="auto" w:sz="6" w:space="0"/>
              <w:bottom w:val="single" w:color="auto" w:sz="6" w:space="0"/>
              <w:right w:val="single" w:color="auto" w:sz="6" w:space="0"/>
            </w:tcBorders>
            <w:noWrap/>
            <w:vAlign w:val="center"/>
          </w:tcPr>
          <w:p w14:paraId="69B8C9E4">
            <w:pPr>
              <w:spacing w:line="500" w:lineRule="exact"/>
              <w:jc w:val="center"/>
              <w:rPr>
                <w:rFonts w:ascii="宋体" w:hAnsi="宋体" w:cs="宋体"/>
                <w:color w:val="auto"/>
                <w:sz w:val="24"/>
              </w:rPr>
            </w:pPr>
          </w:p>
        </w:tc>
        <w:tc>
          <w:tcPr>
            <w:tcW w:w="1507" w:type="dxa"/>
            <w:tcBorders>
              <w:top w:val="single" w:color="auto" w:sz="6" w:space="0"/>
              <w:left w:val="single" w:color="auto" w:sz="6" w:space="0"/>
              <w:bottom w:val="single" w:color="auto" w:sz="6" w:space="0"/>
              <w:right w:val="single" w:color="auto" w:sz="6" w:space="0"/>
            </w:tcBorders>
            <w:noWrap/>
            <w:vAlign w:val="center"/>
          </w:tcPr>
          <w:p w14:paraId="27D19F04">
            <w:pPr>
              <w:spacing w:line="500" w:lineRule="exact"/>
              <w:jc w:val="center"/>
              <w:rPr>
                <w:rFonts w:ascii="宋体" w:hAnsi="宋体" w:cs="宋体"/>
                <w:color w:val="auto"/>
                <w:sz w:val="24"/>
              </w:rPr>
            </w:pPr>
            <w:r>
              <w:rPr>
                <w:rFonts w:hint="eastAsia" w:ascii="宋体" w:hAnsi="宋体" w:cs="宋体"/>
                <w:color w:val="auto"/>
                <w:sz w:val="24"/>
              </w:rPr>
              <w:t>成立时间</w:t>
            </w:r>
          </w:p>
        </w:tc>
        <w:tc>
          <w:tcPr>
            <w:tcW w:w="2205" w:type="dxa"/>
            <w:tcBorders>
              <w:top w:val="single" w:color="auto" w:sz="6" w:space="0"/>
              <w:left w:val="single" w:color="auto" w:sz="6" w:space="0"/>
              <w:bottom w:val="single" w:color="auto" w:sz="6" w:space="0"/>
              <w:right w:val="single" w:color="auto" w:sz="18" w:space="0"/>
            </w:tcBorders>
            <w:noWrap/>
            <w:vAlign w:val="center"/>
          </w:tcPr>
          <w:p w14:paraId="3687C2A3">
            <w:pPr>
              <w:spacing w:line="500" w:lineRule="exact"/>
              <w:jc w:val="center"/>
              <w:rPr>
                <w:rFonts w:ascii="宋体" w:hAnsi="宋体" w:cs="宋体"/>
                <w:color w:val="auto"/>
                <w:sz w:val="24"/>
              </w:rPr>
            </w:pPr>
          </w:p>
        </w:tc>
      </w:tr>
      <w:tr w14:paraId="2A21CF7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2462" w:type="dxa"/>
            <w:tcBorders>
              <w:top w:val="single" w:color="auto" w:sz="6" w:space="0"/>
              <w:left w:val="single" w:color="auto" w:sz="18" w:space="0"/>
              <w:bottom w:val="single" w:color="auto" w:sz="6" w:space="0"/>
              <w:right w:val="single" w:color="auto" w:sz="6" w:space="0"/>
            </w:tcBorders>
            <w:noWrap/>
            <w:vAlign w:val="center"/>
          </w:tcPr>
          <w:p w14:paraId="7636A37C">
            <w:pPr>
              <w:spacing w:line="500" w:lineRule="exact"/>
              <w:jc w:val="center"/>
              <w:rPr>
                <w:rFonts w:ascii="宋体" w:hAnsi="宋体" w:cs="宋体"/>
                <w:color w:val="auto"/>
                <w:sz w:val="24"/>
              </w:rPr>
            </w:pPr>
            <w:r>
              <w:rPr>
                <w:rFonts w:hint="eastAsia" w:ascii="宋体" w:hAnsi="宋体" w:cs="宋体"/>
                <w:color w:val="auto"/>
                <w:sz w:val="24"/>
              </w:rPr>
              <w:t>基本账户开户银行</w:t>
            </w:r>
          </w:p>
        </w:tc>
        <w:tc>
          <w:tcPr>
            <w:tcW w:w="3346" w:type="dxa"/>
            <w:gridSpan w:val="2"/>
            <w:tcBorders>
              <w:top w:val="single" w:color="auto" w:sz="6" w:space="0"/>
              <w:left w:val="single" w:color="auto" w:sz="6" w:space="0"/>
              <w:bottom w:val="single" w:color="auto" w:sz="6" w:space="0"/>
              <w:right w:val="single" w:color="auto" w:sz="6" w:space="0"/>
            </w:tcBorders>
            <w:noWrap/>
            <w:vAlign w:val="center"/>
          </w:tcPr>
          <w:p w14:paraId="26EF6351">
            <w:pPr>
              <w:spacing w:line="500" w:lineRule="exact"/>
              <w:jc w:val="center"/>
              <w:rPr>
                <w:rFonts w:ascii="宋体" w:hAnsi="宋体" w:cs="宋体"/>
                <w:color w:val="auto"/>
                <w:sz w:val="24"/>
              </w:rPr>
            </w:pPr>
          </w:p>
        </w:tc>
        <w:tc>
          <w:tcPr>
            <w:tcW w:w="1507" w:type="dxa"/>
            <w:tcBorders>
              <w:top w:val="single" w:color="auto" w:sz="6" w:space="0"/>
              <w:left w:val="single" w:color="auto" w:sz="6" w:space="0"/>
              <w:bottom w:val="single" w:color="auto" w:sz="6" w:space="0"/>
              <w:right w:val="single" w:color="auto" w:sz="6" w:space="0"/>
            </w:tcBorders>
            <w:noWrap/>
            <w:vAlign w:val="center"/>
          </w:tcPr>
          <w:p w14:paraId="6423A170">
            <w:pPr>
              <w:spacing w:line="500" w:lineRule="exact"/>
              <w:jc w:val="center"/>
              <w:rPr>
                <w:rFonts w:ascii="宋体" w:hAnsi="宋体" w:cs="宋体"/>
                <w:color w:val="auto"/>
                <w:sz w:val="24"/>
              </w:rPr>
            </w:pPr>
            <w:r>
              <w:rPr>
                <w:rFonts w:hint="eastAsia" w:ascii="宋体" w:hAnsi="宋体" w:cs="宋体"/>
                <w:color w:val="auto"/>
                <w:sz w:val="24"/>
              </w:rPr>
              <w:t>注册资金</w:t>
            </w:r>
          </w:p>
        </w:tc>
        <w:tc>
          <w:tcPr>
            <w:tcW w:w="2205" w:type="dxa"/>
            <w:tcBorders>
              <w:top w:val="single" w:color="auto" w:sz="6" w:space="0"/>
              <w:left w:val="single" w:color="auto" w:sz="6" w:space="0"/>
              <w:bottom w:val="single" w:color="auto" w:sz="6" w:space="0"/>
              <w:right w:val="single" w:color="auto" w:sz="18" w:space="0"/>
            </w:tcBorders>
            <w:noWrap/>
            <w:vAlign w:val="center"/>
          </w:tcPr>
          <w:p w14:paraId="562E54D8">
            <w:pPr>
              <w:spacing w:line="500" w:lineRule="exact"/>
              <w:jc w:val="center"/>
              <w:rPr>
                <w:rFonts w:ascii="宋体" w:hAnsi="宋体" w:cs="宋体"/>
                <w:color w:val="auto"/>
                <w:sz w:val="24"/>
              </w:rPr>
            </w:pPr>
          </w:p>
        </w:tc>
      </w:tr>
      <w:tr w14:paraId="6F9A752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2462" w:type="dxa"/>
            <w:tcBorders>
              <w:top w:val="single" w:color="auto" w:sz="6" w:space="0"/>
              <w:left w:val="single" w:color="auto" w:sz="18" w:space="0"/>
              <w:bottom w:val="single" w:color="auto" w:sz="6" w:space="0"/>
              <w:right w:val="single" w:color="auto" w:sz="6" w:space="0"/>
            </w:tcBorders>
            <w:noWrap/>
            <w:vAlign w:val="center"/>
          </w:tcPr>
          <w:p w14:paraId="56D24376">
            <w:pPr>
              <w:spacing w:line="500" w:lineRule="exact"/>
              <w:jc w:val="center"/>
              <w:rPr>
                <w:rFonts w:ascii="宋体" w:hAnsi="宋体" w:cs="宋体"/>
                <w:color w:val="auto"/>
                <w:sz w:val="24"/>
              </w:rPr>
            </w:pPr>
            <w:r>
              <w:rPr>
                <w:rFonts w:hint="eastAsia" w:ascii="宋体" w:hAnsi="宋体" w:cs="宋体"/>
                <w:color w:val="auto"/>
                <w:sz w:val="24"/>
              </w:rPr>
              <w:t>基本账户银行账号</w:t>
            </w:r>
          </w:p>
        </w:tc>
        <w:tc>
          <w:tcPr>
            <w:tcW w:w="3346" w:type="dxa"/>
            <w:gridSpan w:val="2"/>
            <w:tcBorders>
              <w:top w:val="single" w:color="auto" w:sz="6" w:space="0"/>
              <w:left w:val="single" w:color="auto" w:sz="6" w:space="0"/>
              <w:bottom w:val="single" w:color="auto" w:sz="6" w:space="0"/>
              <w:right w:val="single" w:color="auto" w:sz="6" w:space="0"/>
            </w:tcBorders>
            <w:noWrap/>
            <w:vAlign w:val="center"/>
          </w:tcPr>
          <w:p w14:paraId="2583591E">
            <w:pPr>
              <w:spacing w:line="500" w:lineRule="exact"/>
              <w:jc w:val="center"/>
              <w:rPr>
                <w:rFonts w:ascii="宋体" w:hAnsi="宋体" w:cs="宋体"/>
                <w:color w:val="auto"/>
                <w:sz w:val="24"/>
              </w:rPr>
            </w:pPr>
          </w:p>
        </w:tc>
        <w:tc>
          <w:tcPr>
            <w:tcW w:w="1507" w:type="dxa"/>
            <w:tcBorders>
              <w:top w:val="single" w:color="auto" w:sz="6" w:space="0"/>
              <w:left w:val="single" w:color="auto" w:sz="6" w:space="0"/>
              <w:bottom w:val="single" w:color="auto" w:sz="6" w:space="0"/>
              <w:right w:val="single" w:color="auto" w:sz="6" w:space="0"/>
            </w:tcBorders>
            <w:noWrap/>
            <w:vAlign w:val="center"/>
          </w:tcPr>
          <w:p w14:paraId="1D4CB423">
            <w:pPr>
              <w:spacing w:line="500" w:lineRule="exact"/>
              <w:jc w:val="center"/>
              <w:rPr>
                <w:rFonts w:ascii="宋体" w:hAnsi="宋体" w:cs="宋体"/>
                <w:color w:val="auto"/>
                <w:sz w:val="24"/>
              </w:rPr>
            </w:pPr>
            <w:r>
              <w:rPr>
                <w:rFonts w:hint="eastAsia" w:ascii="宋体" w:hAnsi="宋体" w:cs="宋体"/>
                <w:color w:val="auto"/>
                <w:sz w:val="24"/>
              </w:rPr>
              <w:t>员工总数</w:t>
            </w:r>
          </w:p>
        </w:tc>
        <w:tc>
          <w:tcPr>
            <w:tcW w:w="2205" w:type="dxa"/>
            <w:tcBorders>
              <w:top w:val="single" w:color="auto" w:sz="6" w:space="0"/>
              <w:left w:val="single" w:color="auto" w:sz="6" w:space="0"/>
              <w:bottom w:val="single" w:color="auto" w:sz="6" w:space="0"/>
              <w:right w:val="single" w:color="auto" w:sz="18" w:space="0"/>
            </w:tcBorders>
            <w:noWrap/>
            <w:vAlign w:val="center"/>
          </w:tcPr>
          <w:p w14:paraId="4C6C0118">
            <w:pPr>
              <w:spacing w:line="500" w:lineRule="exact"/>
              <w:jc w:val="center"/>
              <w:rPr>
                <w:rFonts w:ascii="宋体" w:hAnsi="宋体" w:cs="宋体"/>
                <w:color w:val="auto"/>
                <w:sz w:val="24"/>
              </w:rPr>
            </w:pPr>
          </w:p>
        </w:tc>
      </w:tr>
      <w:tr w14:paraId="3DDC8E2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2462" w:type="dxa"/>
            <w:tcBorders>
              <w:top w:val="single" w:color="auto" w:sz="6" w:space="0"/>
              <w:left w:val="single" w:color="auto" w:sz="18" w:space="0"/>
              <w:bottom w:val="single" w:color="auto" w:sz="6" w:space="0"/>
              <w:right w:val="single" w:color="auto" w:sz="6" w:space="0"/>
            </w:tcBorders>
            <w:noWrap/>
            <w:vAlign w:val="center"/>
          </w:tcPr>
          <w:p w14:paraId="7945216D">
            <w:pPr>
              <w:spacing w:line="500" w:lineRule="exact"/>
              <w:jc w:val="center"/>
              <w:rPr>
                <w:rFonts w:ascii="宋体" w:hAnsi="宋体" w:cs="宋体"/>
                <w:color w:val="auto"/>
                <w:sz w:val="24"/>
              </w:rPr>
            </w:pPr>
            <w:r>
              <w:rPr>
                <w:rFonts w:hint="eastAsia" w:ascii="宋体" w:hAnsi="宋体" w:cs="宋体"/>
                <w:color w:val="auto"/>
                <w:sz w:val="24"/>
              </w:rPr>
              <w:t>企业资质等级（如有）</w:t>
            </w:r>
          </w:p>
        </w:tc>
        <w:tc>
          <w:tcPr>
            <w:tcW w:w="7058" w:type="dxa"/>
            <w:gridSpan w:val="4"/>
            <w:tcBorders>
              <w:top w:val="single" w:color="auto" w:sz="6" w:space="0"/>
              <w:left w:val="single" w:color="auto" w:sz="6" w:space="0"/>
              <w:bottom w:val="single" w:color="auto" w:sz="6" w:space="0"/>
              <w:right w:val="single" w:color="auto" w:sz="18" w:space="0"/>
            </w:tcBorders>
            <w:noWrap/>
            <w:vAlign w:val="center"/>
          </w:tcPr>
          <w:p w14:paraId="4EAFBE71">
            <w:pPr>
              <w:spacing w:line="500" w:lineRule="exact"/>
              <w:jc w:val="center"/>
              <w:rPr>
                <w:rFonts w:ascii="宋体" w:hAnsi="宋体" w:cs="宋体"/>
                <w:color w:val="auto"/>
                <w:sz w:val="24"/>
              </w:rPr>
            </w:pPr>
          </w:p>
        </w:tc>
      </w:tr>
      <w:tr w14:paraId="12679CA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780" w:hRule="atLeast"/>
          <w:jc w:val="center"/>
        </w:trPr>
        <w:tc>
          <w:tcPr>
            <w:tcW w:w="2462" w:type="dxa"/>
            <w:tcBorders>
              <w:top w:val="single" w:color="auto" w:sz="6" w:space="0"/>
              <w:left w:val="single" w:color="auto" w:sz="18" w:space="0"/>
              <w:bottom w:val="single" w:color="auto" w:sz="6" w:space="0"/>
              <w:right w:val="single" w:color="auto" w:sz="6" w:space="0"/>
            </w:tcBorders>
            <w:noWrap/>
            <w:vAlign w:val="center"/>
          </w:tcPr>
          <w:p w14:paraId="504FBE53">
            <w:pPr>
              <w:spacing w:line="500" w:lineRule="exact"/>
              <w:jc w:val="center"/>
              <w:rPr>
                <w:rFonts w:ascii="宋体" w:hAnsi="宋体" w:cs="宋体"/>
                <w:color w:val="auto"/>
                <w:sz w:val="24"/>
              </w:rPr>
            </w:pPr>
            <w:r>
              <w:rPr>
                <w:rFonts w:hint="eastAsia" w:ascii="宋体" w:hAnsi="宋体" w:cs="宋体"/>
                <w:color w:val="auto"/>
                <w:sz w:val="24"/>
              </w:rPr>
              <w:t>经营范围</w:t>
            </w:r>
          </w:p>
        </w:tc>
        <w:tc>
          <w:tcPr>
            <w:tcW w:w="7058" w:type="dxa"/>
            <w:gridSpan w:val="4"/>
            <w:tcBorders>
              <w:top w:val="single" w:color="auto" w:sz="6" w:space="0"/>
              <w:left w:val="single" w:color="auto" w:sz="6" w:space="0"/>
              <w:bottom w:val="single" w:color="auto" w:sz="6" w:space="0"/>
              <w:right w:val="single" w:color="auto" w:sz="18" w:space="0"/>
            </w:tcBorders>
            <w:noWrap/>
            <w:vAlign w:val="center"/>
          </w:tcPr>
          <w:p w14:paraId="03DDEA0D">
            <w:pPr>
              <w:spacing w:line="500" w:lineRule="exact"/>
              <w:jc w:val="center"/>
              <w:rPr>
                <w:rFonts w:ascii="宋体" w:hAnsi="宋体" w:cs="宋体"/>
                <w:color w:val="auto"/>
                <w:sz w:val="24"/>
              </w:rPr>
            </w:pPr>
          </w:p>
        </w:tc>
      </w:tr>
      <w:tr w14:paraId="271941B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780" w:hRule="atLeast"/>
          <w:jc w:val="center"/>
        </w:trPr>
        <w:tc>
          <w:tcPr>
            <w:tcW w:w="2462" w:type="dxa"/>
            <w:tcBorders>
              <w:top w:val="single" w:color="auto" w:sz="6" w:space="0"/>
              <w:left w:val="single" w:color="auto" w:sz="18" w:space="0"/>
              <w:bottom w:val="single" w:color="auto" w:sz="6" w:space="0"/>
              <w:right w:val="single" w:color="auto" w:sz="6" w:space="0"/>
            </w:tcBorders>
            <w:noWrap/>
            <w:vAlign w:val="center"/>
          </w:tcPr>
          <w:p w14:paraId="09255CD4">
            <w:pPr>
              <w:spacing w:line="500" w:lineRule="exact"/>
              <w:jc w:val="left"/>
              <w:rPr>
                <w:rFonts w:ascii="宋体" w:hAnsi="宋体" w:cs="宋体"/>
                <w:color w:val="auto"/>
                <w:sz w:val="24"/>
              </w:rPr>
            </w:pPr>
            <w:r>
              <w:rPr>
                <w:rFonts w:hint="eastAsia" w:ascii="宋体" w:hAnsi="宋体" w:cs="宋体"/>
                <w:color w:val="auto"/>
                <w:sz w:val="24"/>
              </w:rPr>
              <w:t>资产构成情况及关联企业情况【包括但不限于与投标人法定代表人（单位负责人）为同一个人或存在控股、管理关系的不同单位】</w:t>
            </w:r>
          </w:p>
        </w:tc>
        <w:tc>
          <w:tcPr>
            <w:tcW w:w="7058" w:type="dxa"/>
            <w:gridSpan w:val="4"/>
            <w:tcBorders>
              <w:top w:val="single" w:color="auto" w:sz="6" w:space="0"/>
              <w:left w:val="single" w:color="auto" w:sz="6" w:space="0"/>
              <w:bottom w:val="single" w:color="auto" w:sz="6" w:space="0"/>
              <w:right w:val="single" w:color="auto" w:sz="18" w:space="0"/>
            </w:tcBorders>
            <w:noWrap/>
            <w:vAlign w:val="center"/>
          </w:tcPr>
          <w:p w14:paraId="26E686CD">
            <w:pPr>
              <w:spacing w:line="500" w:lineRule="exact"/>
              <w:jc w:val="center"/>
              <w:rPr>
                <w:rFonts w:ascii="宋体" w:hAnsi="宋体" w:cs="宋体"/>
                <w:color w:val="auto"/>
                <w:sz w:val="24"/>
              </w:rPr>
            </w:pPr>
          </w:p>
        </w:tc>
      </w:tr>
      <w:tr w14:paraId="350D368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070" w:hRule="atLeast"/>
          <w:jc w:val="center"/>
        </w:trPr>
        <w:tc>
          <w:tcPr>
            <w:tcW w:w="2462" w:type="dxa"/>
            <w:tcBorders>
              <w:top w:val="single" w:color="auto" w:sz="6" w:space="0"/>
              <w:left w:val="single" w:color="auto" w:sz="18" w:space="0"/>
              <w:bottom w:val="single" w:color="auto" w:sz="18" w:space="0"/>
              <w:right w:val="single" w:color="auto" w:sz="6" w:space="0"/>
            </w:tcBorders>
            <w:noWrap/>
          </w:tcPr>
          <w:p w14:paraId="3C01EEA8">
            <w:pPr>
              <w:spacing w:line="500" w:lineRule="exact"/>
              <w:jc w:val="center"/>
              <w:rPr>
                <w:rFonts w:ascii="宋体" w:hAnsi="宋体" w:cs="宋体"/>
                <w:color w:val="auto"/>
                <w:sz w:val="24"/>
              </w:rPr>
            </w:pPr>
            <w:r>
              <w:rPr>
                <w:rFonts w:hint="eastAsia" w:ascii="宋体" w:hAnsi="宋体" w:cs="宋体"/>
                <w:color w:val="auto"/>
                <w:sz w:val="24"/>
              </w:rPr>
              <w:t>备注</w:t>
            </w:r>
          </w:p>
        </w:tc>
        <w:tc>
          <w:tcPr>
            <w:tcW w:w="7058" w:type="dxa"/>
            <w:gridSpan w:val="4"/>
            <w:tcBorders>
              <w:top w:val="single" w:color="auto" w:sz="6" w:space="0"/>
              <w:left w:val="single" w:color="auto" w:sz="6" w:space="0"/>
              <w:bottom w:val="single" w:color="auto" w:sz="18" w:space="0"/>
              <w:right w:val="single" w:color="auto" w:sz="18" w:space="0"/>
            </w:tcBorders>
            <w:noWrap/>
          </w:tcPr>
          <w:p w14:paraId="6B7E968A">
            <w:pPr>
              <w:spacing w:line="500" w:lineRule="exact"/>
              <w:jc w:val="center"/>
              <w:rPr>
                <w:rFonts w:ascii="宋体" w:hAnsi="宋体" w:cs="宋体"/>
                <w:color w:val="auto"/>
                <w:sz w:val="24"/>
              </w:rPr>
            </w:pPr>
          </w:p>
        </w:tc>
      </w:tr>
    </w:tbl>
    <w:p w14:paraId="58AEE125">
      <w:pPr>
        <w:spacing w:line="200" w:lineRule="exact"/>
        <w:jc w:val="center"/>
        <w:rPr>
          <w:rFonts w:ascii="宋体" w:hAnsi="宋体" w:cs="宋体"/>
          <w:color w:val="auto"/>
          <w:szCs w:val="21"/>
        </w:rPr>
      </w:pPr>
    </w:p>
    <w:p w14:paraId="1C7230AB">
      <w:pPr>
        <w:pStyle w:val="23"/>
        <w:ind w:left="0" w:leftChars="0" w:firstLine="0" w:firstLineChars="0"/>
        <w:jc w:val="left"/>
        <w:rPr>
          <w:b/>
          <w:bCs/>
          <w:color w:val="auto"/>
          <w:sz w:val="24"/>
          <w:szCs w:val="24"/>
        </w:rPr>
      </w:pPr>
      <w:r>
        <w:rPr>
          <w:rFonts w:hint="eastAsia" w:ascii="宋体" w:hAnsi="宋体" w:cs="宋体"/>
          <w:b/>
          <w:bCs/>
          <w:color w:val="auto"/>
          <w:sz w:val="24"/>
          <w:szCs w:val="24"/>
        </w:rPr>
        <w:t>注：</w:t>
      </w:r>
      <w:r>
        <w:rPr>
          <w:rFonts w:hint="eastAsia" w:ascii="宋体" w:hAnsi="宋体" w:eastAsia="宋体" w:cs="宋体"/>
          <w:b/>
          <w:bCs/>
          <w:color w:val="auto"/>
          <w:sz w:val="24"/>
          <w:szCs w:val="24"/>
        </w:rPr>
        <w:t>附自然人有效身份证明或法人或者其他组织有效的营业执照等证明文件的彩色扫描件。</w:t>
      </w:r>
    </w:p>
    <w:p w14:paraId="071FEDC4">
      <w:pPr>
        <w:spacing w:line="360" w:lineRule="auto"/>
        <w:jc w:val="center"/>
        <w:rPr>
          <w:rFonts w:ascii="宋体" w:hAnsi="宋体" w:cs="宋体"/>
          <w:b/>
          <w:color w:val="auto"/>
          <w:kern w:val="0"/>
          <w:sz w:val="28"/>
          <w:szCs w:val="28"/>
          <w:lang w:val="zh-CN"/>
        </w:rPr>
        <w:sectPr>
          <w:pgSz w:w="11906" w:h="16838"/>
          <w:pgMar w:top="1440" w:right="1080" w:bottom="1440" w:left="1080" w:header="851" w:footer="992" w:gutter="0"/>
          <w:pgNumType w:fmt="decimal"/>
          <w:cols w:space="720" w:num="1"/>
          <w:docGrid w:type="lines" w:linePitch="312" w:charSpace="0"/>
        </w:sectPr>
      </w:pPr>
    </w:p>
    <w:p w14:paraId="10ADEA7F">
      <w:pPr>
        <w:spacing w:line="360" w:lineRule="auto"/>
        <w:jc w:val="center"/>
        <w:rPr>
          <w:rFonts w:ascii="宋体" w:hAnsi="宋体" w:cs="宋体"/>
          <w:b/>
          <w:color w:val="auto"/>
          <w:kern w:val="0"/>
          <w:sz w:val="30"/>
          <w:szCs w:val="30"/>
          <w:lang w:val="zh-CN"/>
        </w:rPr>
      </w:pPr>
      <w:r>
        <w:rPr>
          <w:rFonts w:hint="eastAsia" w:ascii="宋体" w:hAnsi="宋体" w:cs="宋体"/>
          <w:b/>
          <w:color w:val="auto"/>
          <w:kern w:val="0"/>
          <w:sz w:val="30"/>
          <w:szCs w:val="30"/>
        </w:rPr>
        <w:t>二、</w:t>
      </w:r>
      <w:r>
        <w:rPr>
          <w:rFonts w:hint="eastAsia" w:ascii="宋体" w:hAnsi="宋体" w:cs="宋体"/>
          <w:b/>
          <w:color w:val="auto"/>
          <w:kern w:val="0"/>
          <w:sz w:val="30"/>
          <w:szCs w:val="30"/>
          <w:lang w:val="zh-CN"/>
        </w:rPr>
        <w:t>具有良好的商业信誉和健全的财务会计制度</w:t>
      </w:r>
    </w:p>
    <w:p w14:paraId="24579EE6">
      <w:pPr>
        <w:pStyle w:val="20"/>
        <w:widowControl/>
        <w:wordWrap w:val="0"/>
        <w:spacing w:line="460" w:lineRule="exact"/>
        <w:ind w:right="-181" w:firstLine="480" w:firstLineChars="200"/>
        <w:rPr>
          <w:rFonts w:ascii="宋体" w:hAnsi="宋体" w:cs="宋体"/>
          <w:color w:val="auto"/>
          <w:kern w:val="2"/>
        </w:rPr>
      </w:pPr>
      <w:r>
        <w:rPr>
          <w:rFonts w:hint="eastAsia" w:ascii="宋体" w:hAnsi="宋体" w:cs="宋体"/>
          <w:color w:val="auto"/>
          <w:kern w:val="2"/>
        </w:rPr>
        <w:t>1.</w:t>
      </w:r>
      <w:r>
        <w:rPr>
          <w:rFonts w:hint="eastAsia" w:ascii="宋体" w:hAnsi="宋体" w:cs="宋体"/>
          <w:color w:val="auto"/>
        </w:rPr>
        <w:t>①供应商应在信用中国（www.creditchina.gov.cn）中未被列入失信被执行人；②供应商应在信用中国（www.creditchina.gov.cn）中未被列入重大税收违法失信主体；③供应商应在中国政府采购网(www.ccgp.gov.cn)中未被列入政府采购严重违法失信行为记录名单</w:t>
      </w:r>
      <w:r>
        <w:rPr>
          <w:rFonts w:hint="eastAsia" w:ascii="宋体" w:hAnsi="宋体" w:cs="宋体"/>
          <w:color w:val="auto"/>
          <w:kern w:val="2"/>
        </w:rPr>
        <w:t>。</w:t>
      </w:r>
    </w:p>
    <w:p w14:paraId="572D2B8A">
      <w:pPr>
        <w:pStyle w:val="20"/>
        <w:widowControl/>
        <w:wordWrap w:val="0"/>
        <w:spacing w:line="460" w:lineRule="exact"/>
        <w:ind w:right="-181" w:firstLine="480" w:firstLineChars="200"/>
        <w:rPr>
          <w:rFonts w:ascii="宋体" w:hAnsi="宋体" w:cs="宋体"/>
          <w:color w:val="auto"/>
        </w:rPr>
      </w:pPr>
      <w:r>
        <w:rPr>
          <w:rFonts w:hint="eastAsia" w:ascii="宋体" w:hAnsi="宋体" w:cs="宋体"/>
          <w:color w:val="auto"/>
        </w:rPr>
        <w:t>（备注：以上网站均由采购人或采购代理机构在开标后评标开始前查询，若供应商有失信行为，视为不满足资格要求，为无效投标）；</w:t>
      </w:r>
    </w:p>
    <w:p w14:paraId="55BF0135">
      <w:pPr>
        <w:pStyle w:val="20"/>
        <w:widowControl/>
        <w:wordWrap w:val="0"/>
        <w:spacing w:line="460" w:lineRule="exact"/>
        <w:ind w:right="-181" w:firstLine="480" w:firstLineChars="200"/>
        <w:rPr>
          <w:color w:val="auto"/>
          <w:lang w:val="zh-CN"/>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color w:val="auto"/>
          <w:kern w:val="2"/>
        </w:rPr>
        <w:t>2.</w:t>
      </w:r>
      <w:r>
        <w:rPr>
          <w:rFonts w:hint="eastAsia" w:ascii="宋体" w:hAnsi="宋体" w:cs="宋体"/>
          <w:color w:val="auto"/>
        </w:rPr>
        <w:t>健全的财务会计制度（内容可为以下</w:t>
      </w:r>
      <w:r>
        <w:rPr>
          <w:rFonts w:hint="eastAsia" w:ascii="宋体" w:hAnsi="宋体" w:cs="宋体"/>
          <w:color w:val="auto"/>
          <w:lang w:eastAsia="zh-CN"/>
        </w:rPr>
        <w:t>二者之一</w:t>
      </w:r>
      <w:r>
        <w:rPr>
          <w:rFonts w:hint="eastAsia" w:ascii="宋体" w:hAnsi="宋体" w:cs="宋体"/>
          <w:color w:val="auto"/>
        </w:rPr>
        <w:t>）：①提供202</w:t>
      </w:r>
      <w:r>
        <w:rPr>
          <w:rFonts w:hint="eastAsia" w:ascii="宋体" w:hAnsi="宋体" w:cs="宋体"/>
          <w:color w:val="auto"/>
          <w:lang w:val="en-US" w:eastAsia="zh-CN"/>
        </w:rPr>
        <w:t>4</w:t>
      </w:r>
      <w:r>
        <w:rPr>
          <w:rFonts w:hint="eastAsia" w:ascii="宋体" w:hAnsi="宋体" w:cs="宋体"/>
          <w:color w:val="auto"/>
        </w:rPr>
        <w:t>年度经第三方审计机构审计的财务状况报告（包括资产负债表、利润表、现金流量表），成立不满1年的供应商提供自成立至今的财务报表(包括资产负债表、利润表、现金流量表)；②提供基本开户银行出具的资信证明</w:t>
      </w:r>
      <w:r>
        <w:rPr>
          <w:rFonts w:hint="eastAsia" w:ascii="宋体" w:hAnsi="宋体" w:cs="宋体"/>
          <w:color w:val="auto"/>
          <w:kern w:val="2"/>
        </w:rPr>
        <w:t>。</w:t>
      </w:r>
    </w:p>
    <w:p w14:paraId="079794EC">
      <w:pPr>
        <w:pStyle w:val="23"/>
        <w:ind w:left="0" w:leftChars="0" w:firstLine="0" w:firstLineChars="0"/>
        <w:jc w:val="center"/>
        <w:rPr>
          <w:rFonts w:ascii="宋体" w:hAnsi="宋体" w:eastAsia="宋体" w:cs="宋体"/>
          <w:color w:val="auto"/>
          <w:sz w:val="30"/>
          <w:szCs w:val="30"/>
        </w:rPr>
      </w:pPr>
      <w:r>
        <w:rPr>
          <w:rFonts w:hint="eastAsia" w:ascii="宋体" w:hAnsi="宋体" w:eastAsia="宋体" w:cs="宋体"/>
          <w:b/>
          <w:color w:val="auto"/>
          <w:kern w:val="0"/>
          <w:sz w:val="30"/>
          <w:szCs w:val="30"/>
        </w:rPr>
        <w:t>三、</w:t>
      </w:r>
      <w:r>
        <w:rPr>
          <w:rFonts w:hint="eastAsia" w:ascii="宋体" w:hAnsi="宋体" w:eastAsia="宋体" w:cs="宋体"/>
          <w:b/>
          <w:bCs/>
          <w:color w:val="auto"/>
          <w:sz w:val="30"/>
          <w:szCs w:val="30"/>
        </w:rPr>
        <w:t>具有履行合同所必需的设备和专业技术能力</w:t>
      </w:r>
    </w:p>
    <w:p w14:paraId="279C3496">
      <w:pPr>
        <w:pStyle w:val="23"/>
        <w:ind w:left="0" w:leftChars="0" w:firstLine="0" w:firstLineChars="0"/>
        <w:jc w:val="left"/>
        <w:rPr>
          <w:rFonts w:cs="宋体"/>
          <w:color w:val="auto"/>
          <w:sz w:val="24"/>
          <w:szCs w:val="24"/>
        </w:rPr>
      </w:pPr>
      <w:r>
        <w:rPr>
          <w:rFonts w:hint="eastAsia" w:eastAsia="宋体" w:cs="宋体"/>
          <w:color w:val="auto"/>
          <w:sz w:val="24"/>
          <w:szCs w:val="24"/>
        </w:rPr>
        <w:t>1.提供具备履行合同所必需的</w:t>
      </w:r>
      <w:r>
        <w:rPr>
          <w:rFonts w:hint="eastAsia" w:eastAsia="宋体" w:cs="宋体"/>
          <w:b/>
          <w:bCs/>
          <w:color w:val="auto"/>
          <w:sz w:val="24"/>
          <w:szCs w:val="24"/>
        </w:rPr>
        <w:t>设备和专业技术能力</w:t>
      </w:r>
      <w:r>
        <w:rPr>
          <w:rFonts w:hint="eastAsia" w:eastAsia="宋体" w:cs="宋体"/>
          <w:color w:val="auto"/>
          <w:sz w:val="24"/>
          <w:szCs w:val="24"/>
        </w:rPr>
        <w:t>的</w:t>
      </w:r>
      <w:r>
        <w:rPr>
          <w:rFonts w:hint="eastAsia" w:cs="宋体"/>
          <w:color w:val="auto"/>
          <w:sz w:val="24"/>
          <w:szCs w:val="24"/>
        </w:rPr>
        <w:t>证明材料或书面声明；</w:t>
      </w:r>
    </w:p>
    <w:p w14:paraId="454B1C33">
      <w:pPr>
        <w:pStyle w:val="23"/>
        <w:ind w:left="0" w:leftChars="0" w:firstLine="0" w:firstLineChars="0"/>
        <w:rPr>
          <w:rFonts w:hint="eastAsia" w:eastAsia="宋体" w:cs="宋体"/>
          <w:color w:val="auto"/>
          <w:szCs w:val="21"/>
          <w:lang w:eastAsia="zh-CN"/>
        </w:rPr>
      </w:pPr>
    </w:p>
    <w:p w14:paraId="0D86530E">
      <w:pPr>
        <w:pStyle w:val="23"/>
        <w:ind w:left="0" w:leftChars="0" w:firstLine="0" w:firstLineChars="0"/>
        <w:rPr>
          <w:rFonts w:hint="eastAsia" w:eastAsia="宋体" w:cs="宋体"/>
          <w:color w:val="auto"/>
          <w:szCs w:val="21"/>
          <w:lang w:eastAsia="zh-CN"/>
        </w:rPr>
      </w:pPr>
    </w:p>
    <w:p w14:paraId="5320089D">
      <w:pPr>
        <w:pStyle w:val="23"/>
        <w:ind w:left="0" w:leftChars="0" w:firstLine="0" w:firstLineChars="0"/>
        <w:rPr>
          <w:rFonts w:hint="eastAsia" w:eastAsia="宋体" w:cs="宋体"/>
          <w:color w:val="auto"/>
          <w:szCs w:val="21"/>
          <w:lang w:eastAsia="zh-CN"/>
        </w:rPr>
      </w:pPr>
    </w:p>
    <w:p w14:paraId="036F47F8">
      <w:pPr>
        <w:pStyle w:val="23"/>
        <w:ind w:left="0" w:leftChars="0" w:firstLine="0" w:firstLineChars="0"/>
        <w:rPr>
          <w:rFonts w:hint="eastAsia" w:eastAsia="宋体" w:cs="宋体"/>
          <w:color w:val="auto"/>
          <w:szCs w:val="21"/>
          <w:lang w:eastAsia="zh-CN"/>
        </w:rPr>
      </w:pPr>
    </w:p>
    <w:p w14:paraId="5AB1232B">
      <w:pPr>
        <w:pStyle w:val="23"/>
        <w:ind w:left="0" w:leftChars="0" w:firstLine="0" w:firstLineChars="0"/>
        <w:rPr>
          <w:rFonts w:eastAsia="宋体" w:cs="宋体"/>
          <w:color w:val="auto"/>
          <w:szCs w:val="21"/>
        </w:rPr>
      </w:pPr>
    </w:p>
    <w:p w14:paraId="68565BA6">
      <w:pPr>
        <w:ind w:firstLine="466" w:firstLineChars="200"/>
        <w:rPr>
          <w:rFonts w:ascii="宋体" w:hAnsi="宋体"/>
          <w:b/>
          <w:bCs/>
          <w:color w:val="auto"/>
          <w:spacing w:val="-4"/>
          <w:kern w:val="0"/>
          <w:sz w:val="24"/>
        </w:rPr>
      </w:pPr>
      <w:r>
        <w:rPr>
          <w:rFonts w:hint="eastAsia" w:ascii="宋体" w:hAnsi="宋体"/>
          <w:b/>
          <w:bCs/>
          <w:color w:val="auto"/>
          <w:spacing w:val="-4"/>
          <w:kern w:val="0"/>
          <w:sz w:val="24"/>
        </w:rPr>
        <w:t>注：以上内容及证明材料格式自拟。</w:t>
      </w:r>
    </w:p>
    <w:p w14:paraId="21977BA6">
      <w:pPr>
        <w:pStyle w:val="23"/>
        <w:ind w:left="0" w:leftChars="0" w:firstLine="0" w:firstLineChars="0"/>
        <w:jc w:val="center"/>
        <w:rPr>
          <w:rFonts w:ascii="宋体" w:hAnsi="宋体" w:eastAsia="宋体" w:cs="宋体"/>
          <w:b/>
          <w:color w:val="auto"/>
          <w:kern w:val="0"/>
          <w:sz w:val="28"/>
          <w:szCs w:val="28"/>
          <w:lang w:val="zh-CN"/>
        </w:rPr>
        <w:sectPr>
          <w:pgSz w:w="11906" w:h="16838"/>
          <w:pgMar w:top="1440" w:right="1080" w:bottom="1440" w:left="1080" w:header="851" w:footer="992" w:gutter="0"/>
          <w:pgNumType w:fmt="decimal"/>
          <w:cols w:space="720" w:num="1"/>
          <w:docGrid w:type="lines" w:linePitch="312" w:charSpace="0"/>
        </w:sectPr>
      </w:pPr>
    </w:p>
    <w:p w14:paraId="6BE287D3">
      <w:pPr>
        <w:pStyle w:val="23"/>
        <w:ind w:left="0" w:leftChars="0" w:firstLine="0" w:firstLineChars="0"/>
        <w:jc w:val="center"/>
        <w:rPr>
          <w:rFonts w:ascii="宋体" w:hAnsi="宋体" w:eastAsia="宋体" w:cs="宋体"/>
          <w:b/>
          <w:bCs/>
          <w:color w:val="auto"/>
          <w:sz w:val="30"/>
          <w:szCs w:val="30"/>
        </w:rPr>
      </w:pPr>
      <w:r>
        <w:rPr>
          <w:rFonts w:hint="eastAsia" w:ascii="宋体" w:hAnsi="宋体" w:eastAsia="宋体" w:cs="宋体"/>
          <w:b/>
          <w:color w:val="auto"/>
          <w:kern w:val="0"/>
          <w:sz w:val="30"/>
          <w:szCs w:val="30"/>
        </w:rPr>
        <w:t>四、</w:t>
      </w:r>
      <w:r>
        <w:rPr>
          <w:rFonts w:hint="eastAsia" w:ascii="宋体" w:hAnsi="宋体" w:eastAsia="宋体" w:cs="宋体"/>
          <w:b/>
          <w:bCs/>
          <w:color w:val="auto"/>
          <w:sz w:val="30"/>
          <w:szCs w:val="30"/>
        </w:rPr>
        <w:t>具有依法缴纳税收和缴纳社会保障资金的良好记录</w:t>
      </w:r>
    </w:p>
    <w:p w14:paraId="533F87FC">
      <w:pPr>
        <w:pStyle w:val="23"/>
        <w:spacing w:line="460" w:lineRule="exact"/>
        <w:ind w:firstLine="480"/>
        <w:jc w:val="left"/>
        <w:rPr>
          <w:rFonts w:ascii="宋体" w:hAnsi="宋体" w:eastAsia="宋体" w:cs="宋体"/>
          <w:color w:val="auto"/>
          <w:sz w:val="24"/>
          <w:szCs w:val="24"/>
        </w:rPr>
      </w:pPr>
      <w:r>
        <w:rPr>
          <w:rFonts w:hint="eastAsia" w:ascii="宋体" w:hAnsi="宋体" w:eastAsia="宋体" w:cs="宋体"/>
          <w:color w:val="auto"/>
          <w:sz w:val="24"/>
          <w:szCs w:val="24"/>
        </w:rPr>
        <w:t>提供202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年1月至今任意1个月依法</w:t>
      </w:r>
      <w:r>
        <w:rPr>
          <w:rFonts w:hint="eastAsia" w:ascii="宋体" w:hAnsi="宋体" w:eastAsia="宋体" w:cs="宋体"/>
          <w:b/>
          <w:bCs/>
          <w:color w:val="auto"/>
          <w:sz w:val="24"/>
          <w:szCs w:val="24"/>
        </w:rPr>
        <w:t>缴纳税收</w:t>
      </w:r>
      <w:r>
        <w:rPr>
          <w:rFonts w:hint="eastAsia" w:ascii="宋体" w:hAnsi="宋体" w:eastAsia="宋体" w:cs="宋体"/>
          <w:color w:val="auto"/>
          <w:sz w:val="24"/>
          <w:szCs w:val="24"/>
        </w:rPr>
        <w:t>和</w:t>
      </w:r>
      <w:r>
        <w:rPr>
          <w:rFonts w:hint="eastAsia" w:ascii="宋体" w:hAnsi="宋体" w:eastAsia="宋体" w:cs="宋体"/>
          <w:b/>
          <w:bCs/>
          <w:color w:val="auto"/>
          <w:sz w:val="24"/>
          <w:szCs w:val="24"/>
        </w:rPr>
        <w:t>缴纳社会保障资金</w:t>
      </w:r>
      <w:r>
        <w:rPr>
          <w:rFonts w:hint="eastAsia" w:ascii="宋体" w:hAnsi="宋体" w:eastAsia="宋体" w:cs="宋体"/>
          <w:color w:val="auto"/>
          <w:sz w:val="24"/>
          <w:szCs w:val="24"/>
        </w:rPr>
        <w:t>的证明（成立未满1年的提供成立以来的税收和社会保障资金缴纳凭证或相关情况说明；依法免税或不需要缴纳社会保障资金的投标人，应提供相应文件证明其依法免税或不需要缴纳社会保障资金）</w:t>
      </w:r>
      <w:r>
        <w:rPr>
          <w:rFonts w:hint="eastAsia" w:ascii="宋体" w:hAnsi="宋体" w:cs="宋体"/>
          <w:color w:val="auto"/>
          <w:sz w:val="24"/>
          <w:szCs w:val="24"/>
        </w:rPr>
        <w:t>。</w:t>
      </w:r>
    </w:p>
    <w:p w14:paraId="147916B6">
      <w:pPr>
        <w:pStyle w:val="23"/>
        <w:ind w:left="0" w:leftChars="0" w:firstLine="0" w:firstLineChars="0"/>
        <w:jc w:val="center"/>
        <w:rPr>
          <w:rFonts w:ascii="宋体" w:hAnsi="宋体" w:eastAsia="宋体" w:cs="宋体"/>
          <w:b/>
          <w:color w:val="auto"/>
          <w:kern w:val="0"/>
          <w:sz w:val="28"/>
          <w:szCs w:val="28"/>
          <w:lang w:val="zh-CN"/>
        </w:rPr>
      </w:pPr>
    </w:p>
    <w:p w14:paraId="135EEC2A">
      <w:pPr>
        <w:pStyle w:val="23"/>
        <w:ind w:left="0" w:leftChars="0" w:firstLine="0" w:firstLineChars="0"/>
        <w:jc w:val="center"/>
        <w:rPr>
          <w:rFonts w:ascii="宋体" w:hAnsi="宋体" w:eastAsia="宋体" w:cs="宋体"/>
          <w:b/>
          <w:color w:val="auto"/>
          <w:kern w:val="0"/>
          <w:sz w:val="28"/>
          <w:szCs w:val="28"/>
          <w:lang w:val="zh-CN"/>
        </w:rPr>
      </w:pPr>
    </w:p>
    <w:p w14:paraId="29589BE7">
      <w:pPr>
        <w:pStyle w:val="23"/>
        <w:ind w:left="0" w:leftChars="0" w:firstLine="0" w:firstLineChars="0"/>
        <w:jc w:val="center"/>
        <w:rPr>
          <w:rFonts w:ascii="宋体" w:hAnsi="宋体" w:eastAsia="宋体" w:cs="宋体"/>
          <w:b/>
          <w:color w:val="auto"/>
          <w:kern w:val="0"/>
          <w:sz w:val="28"/>
          <w:szCs w:val="28"/>
          <w:lang w:val="zh-CN"/>
        </w:rPr>
      </w:pPr>
    </w:p>
    <w:p w14:paraId="7570DB40">
      <w:pPr>
        <w:pStyle w:val="23"/>
        <w:ind w:left="0" w:leftChars="0" w:firstLine="0" w:firstLineChars="0"/>
        <w:jc w:val="center"/>
        <w:rPr>
          <w:rFonts w:ascii="宋体" w:hAnsi="宋体" w:eastAsia="宋体" w:cs="宋体"/>
          <w:b/>
          <w:color w:val="auto"/>
          <w:kern w:val="0"/>
          <w:sz w:val="28"/>
          <w:szCs w:val="28"/>
          <w:lang w:val="zh-CN"/>
        </w:rPr>
      </w:pPr>
    </w:p>
    <w:p w14:paraId="379EDDC8">
      <w:pPr>
        <w:pStyle w:val="23"/>
        <w:ind w:left="0" w:leftChars="0" w:firstLine="0" w:firstLineChars="0"/>
        <w:jc w:val="center"/>
        <w:rPr>
          <w:rFonts w:ascii="宋体" w:hAnsi="宋体" w:eastAsia="宋体" w:cs="宋体"/>
          <w:b/>
          <w:color w:val="auto"/>
          <w:kern w:val="0"/>
          <w:sz w:val="28"/>
          <w:szCs w:val="28"/>
          <w:lang w:val="zh-CN"/>
        </w:rPr>
      </w:pPr>
    </w:p>
    <w:p w14:paraId="429FDA5F">
      <w:pPr>
        <w:pStyle w:val="23"/>
        <w:ind w:left="0" w:leftChars="0" w:firstLine="0" w:firstLineChars="0"/>
        <w:jc w:val="center"/>
        <w:rPr>
          <w:rFonts w:ascii="宋体" w:hAnsi="宋体" w:eastAsia="宋体" w:cs="宋体"/>
          <w:b/>
          <w:color w:val="auto"/>
          <w:kern w:val="0"/>
          <w:sz w:val="28"/>
          <w:szCs w:val="28"/>
          <w:lang w:val="zh-CN"/>
        </w:rPr>
      </w:pPr>
    </w:p>
    <w:p w14:paraId="76F410BF">
      <w:pPr>
        <w:pStyle w:val="23"/>
        <w:ind w:left="0" w:leftChars="0" w:firstLine="0" w:firstLineChars="0"/>
        <w:jc w:val="center"/>
        <w:rPr>
          <w:rFonts w:ascii="宋体" w:hAnsi="宋体" w:eastAsia="宋体" w:cs="宋体"/>
          <w:b/>
          <w:color w:val="auto"/>
          <w:kern w:val="0"/>
          <w:sz w:val="28"/>
          <w:szCs w:val="28"/>
          <w:lang w:val="zh-CN"/>
        </w:rPr>
      </w:pPr>
    </w:p>
    <w:p w14:paraId="58FD6689">
      <w:pPr>
        <w:pStyle w:val="23"/>
        <w:ind w:left="0" w:leftChars="0" w:firstLine="0" w:firstLineChars="0"/>
        <w:jc w:val="center"/>
        <w:rPr>
          <w:rFonts w:ascii="宋体" w:hAnsi="宋体" w:eastAsia="宋体" w:cs="宋体"/>
          <w:b/>
          <w:color w:val="auto"/>
          <w:kern w:val="0"/>
          <w:sz w:val="28"/>
          <w:szCs w:val="28"/>
          <w:lang w:val="zh-CN"/>
        </w:rPr>
      </w:pPr>
    </w:p>
    <w:p w14:paraId="53C57D0B">
      <w:pPr>
        <w:pStyle w:val="23"/>
        <w:ind w:left="0" w:leftChars="0" w:firstLine="0" w:firstLineChars="0"/>
        <w:jc w:val="center"/>
        <w:rPr>
          <w:rFonts w:ascii="宋体" w:hAnsi="宋体" w:eastAsia="宋体" w:cs="宋体"/>
          <w:b/>
          <w:color w:val="auto"/>
          <w:kern w:val="0"/>
          <w:sz w:val="28"/>
          <w:szCs w:val="28"/>
          <w:lang w:val="zh-CN"/>
        </w:rPr>
      </w:pPr>
    </w:p>
    <w:p w14:paraId="5DA85F7A">
      <w:pPr>
        <w:pStyle w:val="23"/>
        <w:ind w:left="0" w:leftChars="0" w:firstLine="0" w:firstLineChars="0"/>
        <w:jc w:val="center"/>
        <w:rPr>
          <w:rFonts w:ascii="宋体" w:hAnsi="宋体" w:eastAsia="宋体" w:cs="宋体"/>
          <w:b/>
          <w:color w:val="auto"/>
          <w:kern w:val="0"/>
          <w:sz w:val="28"/>
          <w:szCs w:val="28"/>
          <w:lang w:val="zh-CN"/>
        </w:rPr>
      </w:pPr>
    </w:p>
    <w:p w14:paraId="77C17511">
      <w:pPr>
        <w:pStyle w:val="23"/>
        <w:ind w:left="0" w:leftChars="0" w:firstLine="0" w:firstLineChars="0"/>
        <w:jc w:val="center"/>
        <w:rPr>
          <w:rFonts w:ascii="宋体" w:hAnsi="宋体" w:eastAsia="宋体" w:cs="宋体"/>
          <w:b/>
          <w:color w:val="auto"/>
          <w:kern w:val="0"/>
          <w:sz w:val="28"/>
          <w:szCs w:val="28"/>
          <w:lang w:val="zh-CN"/>
        </w:rPr>
      </w:pPr>
    </w:p>
    <w:p w14:paraId="46963133">
      <w:pPr>
        <w:pStyle w:val="23"/>
        <w:ind w:left="0" w:leftChars="0" w:firstLine="0" w:firstLineChars="0"/>
        <w:jc w:val="center"/>
        <w:rPr>
          <w:rFonts w:ascii="宋体" w:hAnsi="宋体" w:eastAsia="宋体" w:cs="宋体"/>
          <w:b/>
          <w:color w:val="auto"/>
          <w:kern w:val="0"/>
          <w:sz w:val="28"/>
          <w:szCs w:val="28"/>
          <w:lang w:val="zh-CN"/>
        </w:rPr>
      </w:pPr>
    </w:p>
    <w:p w14:paraId="6446F847">
      <w:pPr>
        <w:pStyle w:val="23"/>
        <w:ind w:left="0" w:leftChars="0" w:firstLine="0" w:firstLineChars="0"/>
        <w:jc w:val="center"/>
        <w:rPr>
          <w:rFonts w:ascii="宋体" w:hAnsi="宋体" w:eastAsia="宋体" w:cs="宋体"/>
          <w:b/>
          <w:color w:val="auto"/>
          <w:kern w:val="0"/>
          <w:sz w:val="28"/>
          <w:szCs w:val="28"/>
          <w:lang w:val="zh-CN"/>
        </w:rPr>
      </w:pPr>
    </w:p>
    <w:p w14:paraId="01741D5D">
      <w:pPr>
        <w:pStyle w:val="23"/>
        <w:ind w:left="0" w:leftChars="0" w:firstLine="0" w:firstLineChars="0"/>
        <w:jc w:val="center"/>
        <w:rPr>
          <w:rFonts w:ascii="宋体" w:hAnsi="宋体" w:eastAsia="宋体" w:cs="宋体"/>
          <w:b/>
          <w:color w:val="auto"/>
          <w:kern w:val="0"/>
          <w:sz w:val="28"/>
          <w:szCs w:val="28"/>
          <w:lang w:val="zh-CN"/>
        </w:rPr>
      </w:pPr>
    </w:p>
    <w:p w14:paraId="5A14B6D3">
      <w:pPr>
        <w:pStyle w:val="23"/>
        <w:ind w:left="0" w:leftChars="0" w:firstLine="0" w:firstLineChars="0"/>
        <w:jc w:val="center"/>
        <w:rPr>
          <w:rFonts w:ascii="宋体" w:hAnsi="宋体" w:eastAsia="宋体" w:cs="宋体"/>
          <w:b/>
          <w:color w:val="auto"/>
          <w:kern w:val="0"/>
          <w:sz w:val="28"/>
          <w:szCs w:val="28"/>
          <w:lang w:val="zh-CN"/>
        </w:rPr>
      </w:pPr>
    </w:p>
    <w:p w14:paraId="57D9D1D6">
      <w:pPr>
        <w:pStyle w:val="23"/>
        <w:ind w:left="0" w:leftChars="0" w:firstLine="0" w:firstLineChars="0"/>
        <w:jc w:val="center"/>
        <w:rPr>
          <w:rFonts w:ascii="宋体" w:hAnsi="宋体" w:eastAsia="宋体" w:cs="宋体"/>
          <w:b/>
          <w:bCs/>
          <w:color w:val="auto"/>
          <w:sz w:val="30"/>
          <w:szCs w:val="30"/>
        </w:rPr>
      </w:pPr>
      <w:r>
        <w:rPr>
          <w:rFonts w:hint="eastAsia" w:ascii="宋体" w:hAnsi="宋体" w:eastAsia="宋体" w:cs="宋体"/>
          <w:b/>
          <w:color w:val="auto"/>
          <w:kern w:val="0"/>
          <w:sz w:val="30"/>
          <w:szCs w:val="30"/>
        </w:rPr>
        <w:t>五、</w:t>
      </w:r>
      <w:r>
        <w:rPr>
          <w:rFonts w:hint="eastAsia" w:ascii="宋体" w:hAnsi="宋体" w:eastAsia="宋体" w:cs="宋体"/>
          <w:b/>
          <w:bCs/>
          <w:color w:val="auto"/>
          <w:sz w:val="30"/>
          <w:szCs w:val="30"/>
        </w:rPr>
        <w:t>无重大违法记录声明</w:t>
      </w:r>
    </w:p>
    <w:p w14:paraId="68927B47">
      <w:pPr>
        <w:tabs>
          <w:tab w:val="left" w:pos="5580"/>
        </w:tabs>
        <w:spacing w:before="120" w:line="360" w:lineRule="auto"/>
        <w:rPr>
          <w:rFonts w:ascii="宋体" w:hAnsi="宋体" w:cs="宋体"/>
          <w:color w:val="auto"/>
          <w:sz w:val="24"/>
        </w:rPr>
      </w:pPr>
      <w:r>
        <w:rPr>
          <w:rFonts w:hint="eastAsia" w:ascii="宋体" w:hAnsi="宋体" w:cs="宋体"/>
          <w:color w:val="auto"/>
          <w:sz w:val="24"/>
        </w:rPr>
        <w:t>致：</w:t>
      </w:r>
      <w:r>
        <w:rPr>
          <w:rFonts w:hint="eastAsia" w:ascii="宋体" w:hAnsi="宋体" w:cs="宋体"/>
          <w:color w:val="auto"/>
          <w:sz w:val="24"/>
          <w:u w:val="single"/>
        </w:rPr>
        <w:t xml:space="preserve">   （采购人名称）  </w:t>
      </w:r>
    </w:p>
    <w:p w14:paraId="28358455">
      <w:pPr>
        <w:tabs>
          <w:tab w:val="left" w:pos="5580"/>
        </w:tabs>
        <w:spacing w:before="120" w:line="360" w:lineRule="auto"/>
        <w:ind w:firstLine="480" w:firstLineChars="200"/>
        <w:rPr>
          <w:rFonts w:ascii="宋体" w:hAnsi="宋体" w:cs="宋体"/>
          <w:color w:val="auto"/>
          <w:sz w:val="24"/>
        </w:rPr>
      </w:pPr>
      <w:r>
        <w:rPr>
          <w:rFonts w:hint="eastAsia" w:ascii="宋体" w:hAnsi="宋体" w:cs="宋体"/>
          <w:color w:val="auto"/>
          <w:sz w:val="24"/>
        </w:rPr>
        <w:t>我公司郑重承诺在参加本项目政府采购活动前</w:t>
      </w:r>
      <w:r>
        <w:rPr>
          <w:rFonts w:hint="eastAsia" w:ascii="宋体" w:hAnsi="宋体" w:cs="宋体"/>
          <w:color w:val="auto"/>
          <w:sz w:val="24"/>
          <w:lang w:eastAsia="zh-CN"/>
        </w:rPr>
        <w:t>五年</w:t>
      </w:r>
      <w:r>
        <w:rPr>
          <w:rFonts w:hint="eastAsia" w:ascii="宋体" w:hAnsi="宋体" w:cs="宋体"/>
          <w:color w:val="auto"/>
          <w:sz w:val="24"/>
        </w:rPr>
        <w:t>内，在经营活动中无重大违法记录。公司未受到行政处罚或责令停业、吊销许可证（或执照）；未处于财产被接管、冻结、破产状况。</w:t>
      </w:r>
    </w:p>
    <w:p w14:paraId="31BEA929">
      <w:pPr>
        <w:tabs>
          <w:tab w:val="left" w:pos="5580"/>
        </w:tabs>
        <w:spacing w:before="120" w:line="360" w:lineRule="auto"/>
        <w:ind w:firstLine="480" w:firstLineChars="200"/>
        <w:rPr>
          <w:rFonts w:ascii="宋体" w:hAnsi="宋体" w:cs="宋体"/>
          <w:color w:val="auto"/>
          <w:sz w:val="24"/>
        </w:rPr>
      </w:pPr>
      <w:r>
        <w:rPr>
          <w:rFonts w:hint="eastAsia" w:ascii="宋体" w:hAnsi="宋体" w:cs="宋体"/>
          <w:color w:val="auto"/>
          <w:sz w:val="24"/>
        </w:rPr>
        <w:t>特此声明。</w:t>
      </w:r>
    </w:p>
    <w:p w14:paraId="3E1FEB00">
      <w:pPr>
        <w:spacing w:line="360" w:lineRule="auto"/>
        <w:ind w:firstLine="1050" w:firstLineChars="500"/>
        <w:rPr>
          <w:rFonts w:ascii="宋体" w:hAnsi="宋体" w:cs="宋体"/>
          <w:color w:val="auto"/>
          <w:szCs w:val="21"/>
        </w:rPr>
      </w:pPr>
    </w:p>
    <w:p w14:paraId="0654DBD4">
      <w:pPr>
        <w:spacing w:line="360" w:lineRule="auto"/>
        <w:ind w:firstLine="1054" w:firstLineChars="500"/>
        <w:rPr>
          <w:rFonts w:ascii="宋体" w:hAnsi="宋体" w:cs="宋体"/>
          <w:b/>
          <w:bCs/>
          <w:color w:val="auto"/>
          <w:szCs w:val="21"/>
        </w:rPr>
      </w:pPr>
    </w:p>
    <w:p w14:paraId="5AFDB4BA">
      <w:pPr>
        <w:spacing w:line="360" w:lineRule="auto"/>
        <w:rPr>
          <w:rFonts w:ascii="宋体" w:hAnsi="宋体" w:cs="宋体"/>
          <w:b/>
          <w:bCs/>
          <w:color w:val="auto"/>
          <w:szCs w:val="21"/>
        </w:rPr>
      </w:pPr>
    </w:p>
    <w:p w14:paraId="4B16EB9E">
      <w:pPr>
        <w:spacing w:line="360" w:lineRule="auto"/>
        <w:ind w:firstLine="1050" w:firstLineChars="500"/>
        <w:rPr>
          <w:rFonts w:ascii="宋体" w:hAnsi="宋体" w:cs="宋体"/>
          <w:color w:val="auto"/>
          <w:szCs w:val="21"/>
        </w:rPr>
      </w:pPr>
    </w:p>
    <w:p w14:paraId="0803F3F3">
      <w:pPr>
        <w:spacing w:line="360" w:lineRule="auto"/>
        <w:jc w:val="right"/>
        <w:rPr>
          <w:rFonts w:ascii="宋体" w:hAnsi="宋体" w:cs="宋体"/>
          <w:color w:val="auto"/>
          <w:sz w:val="24"/>
          <w:szCs w:val="24"/>
          <w:highlight w:val="none"/>
        </w:rPr>
      </w:pPr>
      <w:r>
        <w:rPr>
          <w:rFonts w:hint="eastAsia" w:ascii="宋体" w:hAnsi="宋体" w:cs="宋体"/>
          <w:color w:val="auto"/>
          <w:sz w:val="24"/>
          <w:szCs w:val="24"/>
          <w:highlight w:val="none"/>
        </w:rPr>
        <w:t>投标人：</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（加盖电子公章）</w:t>
      </w:r>
    </w:p>
    <w:p w14:paraId="7BB8B0BA">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307D2CDE">
      <w:pPr>
        <w:spacing w:line="360" w:lineRule="auto"/>
        <w:jc w:val="right"/>
        <w:rPr>
          <w:rFonts w:ascii="宋体" w:hAnsi="宋体" w:cs="宋体"/>
          <w:color w:val="auto"/>
          <w:sz w:val="24"/>
          <w:szCs w:val="24"/>
          <w:highlight w:val="none"/>
        </w:rPr>
      </w:pPr>
      <w:r>
        <w:rPr>
          <w:rFonts w:hint="eastAsia" w:ascii="宋体" w:hAnsi="宋体" w:cs="宋体"/>
          <w:color w:val="auto"/>
          <w:sz w:val="24"/>
          <w:szCs w:val="24"/>
          <w:highlight w:val="none"/>
        </w:rPr>
        <w:t>法定代表人：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（电子签章或电子签名）</w:t>
      </w:r>
    </w:p>
    <w:p w14:paraId="62B5DD2E">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0A2A68DF">
      <w:pPr>
        <w:spacing w:line="360" w:lineRule="auto"/>
        <w:ind w:firstLine="3840" w:firstLineChars="1600"/>
        <w:rPr>
          <w:rFonts w:hint="eastAsia" w:ascii="宋体" w:hAnsi="宋体" w:cs="宋体"/>
          <w:color w:val="auto"/>
          <w:sz w:val="24"/>
          <w:szCs w:val="24"/>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color w:val="auto"/>
          <w:sz w:val="24"/>
          <w:szCs w:val="24"/>
          <w:highlight w:val="none"/>
        </w:rPr>
        <w:t>日期：</w:t>
      </w:r>
      <w:r>
        <w:rPr>
          <w:rFonts w:ascii="宋体" w:hAnsi="宋体" w:eastAsia="宋体"/>
          <w:color w:val="auto"/>
          <w:sz w:val="24"/>
          <w:szCs w:val="32"/>
          <w:highlight w:val="none"/>
          <w:u w:val="single"/>
        </w:rPr>
        <w:t xml:space="preserve">  </w:t>
      </w:r>
      <w:r>
        <w:rPr>
          <w:rFonts w:hint="eastAsia" w:ascii="宋体" w:hAnsi="宋体"/>
          <w:color w:val="auto"/>
          <w:sz w:val="24"/>
          <w:szCs w:val="32"/>
          <w:highlight w:val="none"/>
          <w:u w:val="single"/>
          <w:lang w:val="en-US" w:eastAsia="zh-CN"/>
        </w:rPr>
        <w:t xml:space="preserve"> </w:t>
      </w:r>
      <w:r>
        <w:rPr>
          <w:rFonts w:ascii="宋体" w:hAnsi="宋体" w:eastAsia="宋体"/>
          <w:color w:val="auto"/>
          <w:sz w:val="24"/>
          <w:szCs w:val="32"/>
          <w:highlight w:val="none"/>
          <w:u w:val="single"/>
        </w:rPr>
        <w:t xml:space="preserve">     </w:t>
      </w:r>
      <w:r>
        <w:rPr>
          <w:rFonts w:hint="eastAsia" w:ascii="宋体" w:hAnsi="宋体" w:cs="宋体"/>
          <w:color w:val="auto"/>
          <w:sz w:val="24"/>
          <w:szCs w:val="24"/>
          <w:highlight w:val="none"/>
        </w:rPr>
        <w:t>年</w:t>
      </w:r>
      <w:r>
        <w:rPr>
          <w:rFonts w:ascii="宋体" w:hAnsi="宋体" w:eastAsia="宋体"/>
          <w:b/>
          <w:color w:val="auto"/>
          <w:sz w:val="24"/>
          <w:szCs w:val="32"/>
          <w:highlight w:val="none"/>
          <w:u w:val="single"/>
        </w:rPr>
        <w:t xml:space="preserve">     </w:t>
      </w:r>
      <w:r>
        <w:rPr>
          <w:rFonts w:hint="eastAsia" w:ascii="宋体" w:hAnsi="宋体" w:cs="宋体"/>
          <w:color w:val="auto"/>
          <w:sz w:val="24"/>
          <w:szCs w:val="24"/>
          <w:highlight w:val="none"/>
        </w:rPr>
        <w:t>月</w:t>
      </w:r>
      <w:r>
        <w:rPr>
          <w:rFonts w:ascii="宋体" w:hAnsi="宋体" w:eastAsia="宋体"/>
          <w:b/>
          <w:color w:val="auto"/>
          <w:sz w:val="24"/>
          <w:szCs w:val="32"/>
          <w:highlight w:val="none"/>
          <w:u w:val="single"/>
        </w:rPr>
        <w:t xml:space="preserve">     </w:t>
      </w:r>
      <w:r>
        <w:rPr>
          <w:rFonts w:hint="eastAsia" w:ascii="宋体" w:hAnsi="宋体" w:cs="宋体"/>
          <w:color w:val="auto"/>
          <w:sz w:val="24"/>
          <w:szCs w:val="24"/>
          <w:highlight w:val="none"/>
        </w:rPr>
        <w:t>日</w:t>
      </w:r>
    </w:p>
    <w:p w14:paraId="06942697">
      <w:pPr>
        <w:pStyle w:val="23"/>
        <w:ind w:left="0" w:leftChars="0" w:firstLine="0" w:firstLineChars="0"/>
        <w:jc w:val="center"/>
        <w:rPr>
          <w:rFonts w:ascii="宋体" w:hAnsi="宋体" w:eastAsia="宋体" w:cs="宋体"/>
          <w:b/>
          <w:bCs/>
          <w:color w:val="auto"/>
          <w:sz w:val="28"/>
          <w:szCs w:val="28"/>
        </w:rPr>
      </w:pPr>
      <w:r>
        <w:rPr>
          <w:rFonts w:hint="eastAsia" w:ascii="宋体" w:hAnsi="宋体" w:eastAsia="宋体" w:cs="宋体"/>
          <w:b/>
          <w:color w:val="auto"/>
          <w:kern w:val="0"/>
          <w:sz w:val="28"/>
          <w:szCs w:val="28"/>
        </w:rPr>
        <w:t>六、</w:t>
      </w:r>
      <w:r>
        <w:rPr>
          <w:rFonts w:hint="eastAsia" w:ascii="宋体" w:hAnsi="宋体" w:eastAsia="宋体" w:cs="宋体"/>
          <w:b/>
          <w:bCs/>
          <w:color w:val="auto"/>
          <w:sz w:val="28"/>
          <w:szCs w:val="28"/>
        </w:rPr>
        <w:t>法律、行政法规规定的其他条件</w:t>
      </w:r>
    </w:p>
    <w:p w14:paraId="62D01A4E">
      <w:pPr>
        <w:pStyle w:val="30"/>
        <w:rPr>
          <w:color w:val="auto"/>
        </w:rPr>
      </w:pPr>
    </w:p>
    <w:p w14:paraId="46F6DFC7">
      <w:pPr>
        <w:spacing w:line="360" w:lineRule="auto"/>
        <w:ind w:firstLine="480" w:firstLineChars="200"/>
        <w:jc w:val="left"/>
        <w:rPr>
          <w:rFonts w:ascii="宋体" w:hAnsi="宋体" w:cs="宋体"/>
          <w:b/>
          <w:bCs/>
          <w:color w:val="auto"/>
          <w:sz w:val="24"/>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color w:val="auto"/>
          <w:sz w:val="24"/>
        </w:rPr>
        <w:t>单位负责人为同一人或者存在直接控股、管理关系的不同供应商，不得参加同一合同项下的政府采购活动。</w:t>
      </w:r>
      <w:r>
        <w:rPr>
          <w:rFonts w:hint="eastAsia" w:ascii="宋体" w:hAnsi="宋体" w:cs="宋体"/>
          <w:b/>
          <w:bCs/>
          <w:color w:val="auto"/>
          <w:sz w:val="24"/>
        </w:rPr>
        <w:t>（自行承诺，内容自拟）</w:t>
      </w:r>
    </w:p>
    <w:p w14:paraId="07F23099">
      <w:pPr>
        <w:jc w:val="center"/>
        <w:rPr>
          <w:rFonts w:ascii="宋体" w:hAnsi="宋体" w:cs="宋体"/>
          <w:b/>
          <w:color w:val="auto"/>
          <w:sz w:val="44"/>
          <w:szCs w:val="44"/>
        </w:rPr>
      </w:pPr>
    </w:p>
    <w:p w14:paraId="262B90DA">
      <w:pPr>
        <w:jc w:val="center"/>
        <w:rPr>
          <w:rFonts w:ascii="宋体" w:hAnsi="宋体" w:cs="宋体"/>
          <w:b/>
          <w:color w:val="auto"/>
          <w:sz w:val="44"/>
          <w:szCs w:val="44"/>
        </w:rPr>
      </w:pPr>
    </w:p>
    <w:p w14:paraId="6A170621">
      <w:pPr>
        <w:jc w:val="center"/>
        <w:rPr>
          <w:rFonts w:ascii="宋体" w:hAnsi="宋体" w:cs="宋体"/>
          <w:b/>
          <w:color w:val="auto"/>
          <w:sz w:val="44"/>
          <w:szCs w:val="44"/>
        </w:rPr>
      </w:pPr>
    </w:p>
    <w:p w14:paraId="328E651D">
      <w:pPr>
        <w:jc w:val="center"/>
        <w:rPr>
          <w:rFonts w:ascii="宋体" w:hAnsi="宋体" w:cs="宋体"/>
          <w:b/>
          <w:color w:val="auto"/>
          <w:sz w:val="44"/>
          <w:szCs w:val="44"/>
        </w:rPr>
      </w:pPr>
    </w:p>
    <w:p w14:paraId="00B8859D">
      <w:pPr>
        <w:pStyle w:val="29"/>
        <w:ind w:firstLine="528"/>
        <w:rPr>
          <w:color w:val="auto"/>
        </w:rPr>
      </w:pPr>
    </w:p>
    <w:p w14:paraId="50A92F03">
      <w:pPr>
        <w:jc w:val="center"/>
        <w:rPr>
          <w:rFonts w:ascii="宋体" w:hAnsi="宋体" w:cs="宋体"/>
          <w:b/>
          <w:color w:val="auto"/>
          <w:sz w:val="44"/>
          <w:szCs w:val="44"/>
        </w:rPr>
      </w:pPr>
    </w:p>
    <w:p w14:paraId="2890C035">
      <w:pPr>
        <w:jc w:val="center"/>
        <w:rPr>
          <w:rFonts w:ascii="宋体" w:hAnsi="宋体" w:cs="宋体"/>
          <w:b/>
          <w:color w:val="auto"/>
          <w:sz w:val="44"/>
          <w:szCs w:val="44"/>
        </w:rPr>
      </w:pPr>
    </w:p>
    <w:p w14:paraId="61757D53">
      <w:pPr>
        <w:keepNext/>
        <w:keepLines/>
        <w:autoSpaceDE w:val="0"/>
        <w:autoSpaceDN w:val="0"/>
        <w:adjustRightInd w:val="0"/>
        <w:snapToGrid w:val="0"/>
        <w:spacing w:line="360" w:lineRule="auto"/>
        <w:jc w:val="center"/>
        <w:outlineLvl w:val="3"/>
        <w:rPr>
          <w:rFonts w:ascii="宋体" w:hAnsi="宋体" w:cs="宋体"/>
          <w:b/>
          <w:color w:val="auto"/>
          <w:sz w:val="44"/>
          <w:szCs w:val="44"/>
        </w:rPr>
      </w:pPr>
    </w:p>
    <w:p w14:paraId="31FF167F">
      <w:pPr>
        <w:jc w:val="center"/>
        <w:rPr>
          <w:rFonts w:ascii="宋体" w:hAnsi="宋体" w:cs="宋体"/>
          <w:b/>
          <w:bCs/>
          <w:color w:val="auto"/>
          <w:kern w:val="0"/>
          <w:sz w:val="28"/>
          <w:szCs w:val="28"/>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b/>
          <w:color w:val="auto"/>
          <w:sz w:val="44"/>
          <w:szCs w:val="44"/>
        </w:rPr>
        <w:t>第二部分  报价文件格式</w:t>
      </w:r>
    </w:p>
    <w:p w14:paraId="50E39CB8">
      <w:pPr>
        <w:pStyle w:val="47"/>
        <w:spacing w:before="0" w:afterLines="50" w:line="360" w:lineRule="auto"/>
        <w:ind w:left="0" w:right="23"/>
        <w:jc w:val="center"/>
        <w:rPr>
          <w:rFonts w:ascii="宋体" w:hAnsi="宋体" w:cs="宋体"/>
          <w:b/>
          <w:bCs/>
          <w:color w:val="auto"/>
          <w:sz w:val="30"/>
          <w:szCs w:val="30"/>
        </w:rPr>
      </w:pPr>
      <w:r>
        <w:rPr>
          <w:rFonts w:hint="eastAsia" w:ascii="宋体" w:hAnsi="宋体" w:cs="宋体"/>
          <w:b/>
          <w:bCs/>
          <w:color w:val="auto"/>
          <w:sz w:val="30"/>
          <w:szCs w:val="30"/>
        </w:rPr>
        <w:t>一、投标报价（唱标）一览表</w:t>
      </w:r>
    </w:p>
    <w:p w14:paraId="4F0CE11B">
      <w:pPr>
        <w:spacing w:after="78"/>
        <w:rPr>
          <w:rFonts w:ascii="宋体" w:hAnsi="宋体" w:cs="宋体"/>
          <w:color w:val="auto"/>
          <w:sz w:val="24"/>
          <w:u w:val="single"/>
        </w:rPr>
      </w:pPr>
      <w:r>
        <w:rPr>
          <w:rFonts w:hint="eastAsia" w:ascii="宋体" w:hAnsi="宋体" w:cs="宋体"/>
          <w:color w:val="auto"/>
          <w:sz w:val="24"/>
        </w:rPr>
        <w:t>项目名称：</w:t>
      </w:r>
    </w:p>
    <w:p w14:paraId="022440FD">
      <w:pPr>
        <w:spacing w:after="78"/>
        <w:rPr>
          <w:rFonts w:ascii="宋体" w:hAnsi="宋体" w:cs="宋体"/>
          <w:color w:val="auto"/>
          <w:sz w:val="24"/>
        </w:rPr>
      </w:pPr>
      <w:r>
        <w:rPr>
          <w:rFonts w:hint="eastAsia" w:ascii="宋体" w:hAnsi="宋体" w:cs="宋体"/>
          <w:color w:val="auto"/>
          <w:sz w:val="24"/>
        </w:rPr>
        <w:t xml:space="preserve">招标编号：                                   </w:t>
      </w:r>
    </w:p>
    <w:tbl>
      <w:tblPr>
        <w:tblStyle w:val="24"/>
        <w:tblW w:w="8916" w:type="dxa"/>
        <w:tblInd w:w="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2"/>
        <w:gridCol w:w="5604"/>
      </w:tblGrid>
      <w:tr w14:paraId="7E9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trPr>
        <w:tc>
          <w:tcPr>
            <w:tcW w:w="3312" w:type="dxa"/>
            <w:noWrap/>
            <w:vAlign w:val="center"/>
          </w:tcPr>
          <w:p w14:paraId="36631EAD">
            <w:pPr>
              <w:spacing w:after="78"/>
              <w:jc w:val="center"/>
              <w:rPr>
                <w:rFonts w:ascii="宋体" w:hAnsi="宋体" w:cs="宋体"/>
                <w:color w:val="auto"/>
                <w:sz w:val="24"/>
              </w:rPr>
            </w:pPr>
            <w:r>
              <w:rPr>
                <w:rFonts w:hint="eastAsia" w:ascii="宋体" w:hAnsi="宋体" w:cs="宋体"/>
                <w:color w:val="auto"/>
                <w:sz w:val="24"/>
              </w:rPr>
              <w:t>投标报价（总价）</w:t>
            </w:r>
          </w:p>
        </w:tc>
        <w:tc>
          <w:tcPr>
            <w:tcW w:w="5604" w:type="dxa"/>
            <w:noWrap/>
            <w:vAlign w:val="center"/>
          </w:tcPr>
          <w:p w14:paraId="01877681">
            <w:pPr>
              <w:spacing w:after="78"/>
              <w:rPr>
                <w:rFonts w:ascii="宋体" w:hAnsi="宋体" w:cs="宋体"/>
                <w:color w:val="auto"/>
                <w:sz w:val="24"/>
              </w:rPr>
            </w:pPr>
            <w:r>
              <w:rPr>
                <w:rFonts w:hint="eastAsia" w:ascii="宋体" w:hAnsi="宋体" w:cs="宋体"/>
                <w:color w:val="auto"/>
                <w:sz w:val="24"/>
              </w:rPr>
              <w:t>大写：            .</w:t>
            </w:r>
          </w:p>
          <w:p w14:paraId="5EC30E9F">
            <w:pPr>
              <w:spacing w:after="78"/>
              <w:rPr>
                <w:rFonts w:ascii="宋体" w:hAnsi="宋体" w:cs="宋体"/>
                <w:color w:val="auto"/>
                <w:sz w:val="24"/>
              </w:rPr>
            </w:pPr>
            <w:r>
              <w:rPr>
                <w:rFonts w:hint="eastAsia" w:ascii="宋体" w:hAnsi="宋体" w:cs="宋体"/>
                <w:color w:val="auto"/>
                <w:sz w:val="24"/>
              </w:rPr>
              <w:t>小写：            .</w:t>
            </w:r>
          </w:p>
        </w:tc>
      </w:tr>
      <w:tr w14:paraId="7E1DA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3312" w:type="dxa"/>
            <w:noWrap/>
            <w:vAlign w:val="center"/>
          </w:tcPr>
          <w:p w14:paraId="77AF060E">
            <w:pPr>
              <w:spacing w:after="78"/>
              <w:jc w:val="center"/>
              <w:rPr>
                <w:rFonts w:ascii="宋体" w:hAnsi="宋体" w:cs="宋体"/>
                <w:color w:val="auto"/>
                <w:sz w:val="24"/>
              </w:rPr>
            </w:pPr>
            <w:r>
              <w:rPr>
                <w:rFonts w:hint="eastAsia" w:ascii="宋体" w:hAnsi="宋体" w:cs="宋体"/>
                <w:color w:val="auto"/>
                <w:sz w:val="24"/>
              </w:rPr>
              <w:t>合同履行期限</w:t>
            </w:r>
          </w:p>
        </w:tc>
        <w:tc>
          <w:tcPr>
            <w:tcW w:w="5604" w:type="dxa"/>
            <w:noWrap/>
            <w:vAlign w:val="center"/>
          </w:tcPr>
          <w:p w14:paraId="7A555A35">
            <w:pPr>
              <w:spacing w:after="78"/>
              <w:rPr>
                <w:rFonts w:ascii="宋体" w:hAnsi="宋体" w:cs="宋体"/>
                <w:color w:val="auto"/>
                <w:sz w:val="24"/>
              </w:rPr>
            </w:pPr>
          </w:p>
        </w:tc>
      </w:tr>
      <w:tr w14:paraId="47366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3312" w:type="dxa"/>
            <w:noWrap/>
            <w:vAlign w:val="center"/>
          </w:tcPr>
          <w:p w14:paraId="36F03A1E">
            <w:pPr>
              <w:spacing w:after="78"/>
              <w:jc w:val="center"/>
              <w:rPr>
                <w:rFonts w:ascii="宋体" w:hAnsi="宋体" w:cs="宋体"/>
                <w:color w:val="auto"/>
                <w:sz w:val="24"/>
              </w:rPr>
            </w:pPr>
            <w:r>
              <w:rPr>
                <w:rFonts w:hint="eastAsia" w:cs="宋体"/>
                <w:color w:val="auto"/>
                <w:sz w:val="24"/>
              </w:rPr>
              <w:t>质量要求</w:t>
            </w:r>
          </w:p>
        </w:tc>
        <w:tc>
          <w:tcPr>
            <w:tcW w:w="5604" w:type="dxa"/>
            <w:noWrap/>
            <w:vAlign w:val="center"/>
          </w:tcPr>
          <w:p w14:paraId="266BB172">
            <w:pPr>
              <w:spacing w:after="78"/>
              <w:rPr>
                <w:rFonts w:ascii="宋体" w:hAnsi="宋体" w:cs="宋体"/>
                <w:color w:val="auto"/>
                <w:sz w:val="24"/>
              </w:rPr>
            </w:pPr>
          </w:p>
        </w:tc>
      </w:tr>
      <w:tr w14:paraId="7E28D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3312" w:type="dxa"/>
            <w:noWrap/>
            <w:vAlign w:val="center"/>
          </w:tcPr>
          <w:p w14:paraId="00A2562D">
            <w:pPr>
              <w:spacing w:after="78"/>
              <w:jc w:val="center"/>
              <w:rPr>
                <w:rFonts w:ascii="宋体" w:hAnsi="宋体" w:cs="宋体"/>
                <w:color w:val="auto"/>
                <w:sz w:val="24"/>
              </w:rPr>
            </w:pPr>
            <w:r>
              <w:rPr>
                <w:rFonts w:hint="eastAsia" w:ascii="宋体" w:hAnsi="宋体" w:cs="宋体"/>
                <w:color w:val="auto"/>
                <w:sz w:val="24"/>
              </w:rPr>
              <w:t>投标保证金</w:t>
            </w:r>
          </w:p>
        </w:tc>
        <w:tc>
          <w:tcPr>
            <w:tcW w:w="5604" w:type="dxa"/>
            <w:noWrap/>
            <w:vAlign w:val="center"/>
          </w:tcPr>
          <w:p w14:paraId="522CDAD7">
            <w:pPr>
              <w:spacing w:after="78"/>
              <w:rPr>
                <w:rFonts w:ascii="宋体" w:hAnsi="宋体" w:cs="宋体"/>
                <w:color w:val="auto"/>
                <w:sz w:val="24"/>
              </w:rPr>
            </w:pPr>
          </w:p>
        </w:tc>
      </w:tr>
      <w:tr w14:paraId="14DE1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3312" w:type="dxa"/>
            <w:noWrap/>
            <w:vAlign w:val="center"/>
          </w:tcPr>
          <w:p w14:paraId="64535E83">
            <w:pPr>
              <w:spacing w:after="78"/>
              <w:jc w:val="center"/>
              <w:rPr>
                <w:rFonts w:ascii="宋体" w:hAnsi="宋体" w:cs="宋体"/>
                <w:color w:val="auto"/>
                <w:sz w:val="24"/>
              </w:rPr>
            </w:pPr>
            <w:r>
              <w:rPr>
                <w:rFonts w:hint="eastAsia" w:ascii="宋体" w:hAnsi="宋体" w:cs="宋体"/>
                <w:color w:val="auto"/>
                <w:sz w:val="24"/>
              </w:rPr>
              <w:t>备注</w:t>
            </w:r>
          </w:p>
        </w:tc>
        <w:tc>
          <w:tcPr>
            <w:tcW w:w="5604" w:type="dxa"/>
            <w:noWrap/>
            <w:vAlign w:val="center"/>
          </w:tcPr>
          <w:p w14:paraId="3F760FC7">
            <w:pPr>
              <w:spacing w:after="78"/>
              <w:rPr>
                <w:rFonts w:ascii="宋体" w:hAnsi="宋体" w:cs="宋体"/>
                <w:color w:val="auto"/>
                <w:sz w:val="24"/>
              </w:rPr>
            </w:pPr>
          </w:p>
        </w:tc>
      </w:tr>
    </w:tbl>
    <w:p w14:paraId="2CA82BCA">
      <w:pPr>
        <w:spacing w:line="440" w:lineRule="exact"/>
        <w:ind w:firstLine="482" w:firstLineChars="200"/>
        <w:rPr>
          <w:rFonts w:ascii="宋体" w:hAnsi="宋体" w:cs="宋体"/>
          <w:color w:val="auto"/>
          <w:sz w:val="24"/>
        </w:rPr>
      </w:pPr>
      <w:r>
        <w:rPr>
          <w:rFonts w:hint="eastAsia" w:ascii="宋体" w:hAnsi="宋体" w:cs="宋体"/>
          <w:b/>
          <w:bCs/>
          <w:color w:val="auto"/>
          <w:sz w:val="24"/>
        </w:rPr>
        <w:t>注：</w:t>
      </w:r>
      <w:r>
        <w:rPr>
          <w:rFonts w:hint="eastAsia" w:ascii="宋体" w:hAnsi="宋体" w:cs="宋体"/>
          <w:color w:val="auto"/>
          <w:sz w:val="24"/>
        </w:rPr>
        <w:t>1.投标报价为全包价，以人民币为结算单位，包括本项目所有产品、货物成本价格（含利润）、</w:t>
      </w:r>
      <w:r>
        <w:rPr>
          <w:rFonts w:hint="eastAsia" w:ascii="宋体" w:hAnsi="宋体" w:cs="宋体"/>
          <w:color w:val="auto"/>
          <w:sz w:val="24"/>
          <w:lang w:val="zh-CN"/>
        </w:rPr>
        <w:t>运输装卸、</w:t>
      </w:r>
      <w:r>
        <w:rPr>
          <w:rFonts w:hint="eastAsia" w:ascii="宋体" w:hAnsi="宋体" w:cs="宋体"/>
          <w:color w:val="auto"/>
          <w:sz w:val="24"/>
        </w:rPr>
        <w:t>安装、</w:t>
      </w:r>
      <w:r>
        <w:rPr>
          <w:rFonts w:hint="eastAsia" w:ascii="宋体" w:hAnsi="宋体" w:cs="宋体"/>
          <w:color w:val="auto"/>
          <w:sz w:val="24"/>
          <w:lang w:val="zh-CN"/>
        </w:rPr>
        <w:t>验收、维护、质保、</w:t>
      </w:r>
      <w:r>
        <w:rPr>
          <w:rFonts w:hint="eastAsia" w:ascii="宋体" w:hAnsi="宋体" w:cs="宋体"/>
          <w:color w:val="auto"/>
          <w:sz w:val="24"/>
        </w:rPr>
        <w:t>保险、税收、后续服务、代理服务费等本项目所涉及的一切费用。（报价包含投标人须知前附表3.2.3和3.2.4条所含内容）</w:t>
      </w:r>
    </w:p>
    <w:p w14:paraId="017FD77F">
      <w:pPr>
        <w:spacing w:line="440" w:lineRule="exact"/>
        <w:ind w:firstLine="960" w:firstLineChars="400"/>
        <w:rPr>
          <w:rFonts w:ascii="宋体" w:hAnsi="宋体" w:cs="宋体"/>
          <w:color w:val="auto"/>
          <w:sz w:val="24"/>
        </w:rPr>
      </w:pPr>
      <w:r>
        <w:rPr>
          <w:rFonts w:hint="eastAsia" w:ascii="宋体" w:hAnsi="宋体" w:cs="宋体"/>
          <w:color w:val="auto"/>
          <w:sz w:val="24"/>
        </w:rPr>
        <w:t>2.投标报价超过最高限价作无效标书处理。</w:t>
      </w:r>
    </w:p>
    <w:p w14:paraId="2A2B43CF">
      <w:pPr>
        <w:pStyle w:val="47"/>
        <w:spacing w:before="0" w:after="0" w:line="460" w:lineRule="exact"/>
        <w:ind w:left="0" w:right="23"/>
        <w:jc w:val="both"/>
        <w:rPr>
          <w:rFonts w:ascii="宋体" w:hAnsi="宋体" w:cs="宋体"/>
          <w:color w:val="auto"/>
        </w:rPr>
      </w:pPr>
    </w:p>
    <w:p w14:paraId="7716F5C1">
      <w:pPr>
        <w:pStyle w:val="47"/>
        <w:spacing w:before="0" w:after="0" w:line="460" w:lineRule="exact"/>
        <w:ind w:left="0" w:right="23"/>
        <w:jc w:val="both"/>
        <w:rPr>
          <w:rFonts w:ascii="宋体" w:hAnsi="宋体" w:cs="宋体"/>
          <w:color w:val="auto"/>
        </w:rPr>
      </w:pPr>
    </w:p>
    <w:p w14:paraId="0FD5DB5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投标单位全称</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（加盖电子公章）</w:t>
      </w:r>
    </w:p>
    <w:p w14:paraId="039C88F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法定代表人或授权代理人</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（电子签章或电子签名）</w:t>
      </w:r>
    </w:p>
    <w:p w14:paraId="3887D78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日期：</w:t>
      </w:r>
      <w:r>
        <w:rPr>
          <w:rFonts w:ascii="宋体" w:hAnsi="宋体" w:eastAsia="宋体"/>
          <w:color w:val="auto"/>
          <w:sz w:val="24"/>
          <w:szCs w:val="32"/>
          <w:highlight w:val="none"/>
          <w:u w:val="single"/>
        </w:rPr>
        <w:t xml:space="preserve">  </w:t>
      </w:r>
      <w:r>
        <w:rPr>
          <w:rFonts w:hint="eastAsia" w:ascii="宋体" w:hAnsi="宋体"/>
          <w:color w:val="auto"/>
          <w:sz w:val="24"/>
          <w:szCs w:val="32"/>
          <w:highlight w:val="none"/>
          <w:u w:val="single"/>
          <w:lang w:val="en-US" w:eastAsia="zh-CN"/>
        </w:rPr>
        <w:t xml:space="preserve"> </w:t>
      </w:r>
      <w:r>
        <w:rPr>
          <w:rFonts w:ascii="宋体" w:hAnsi="宋体" w:eastAsia="宋体"/>
          <w:color w:val="auto"/>
          <w:sz w:val="24"/>
          <w:szCs w:val="32"/>
          <w:highlight w:val="none"/>
          <w:u w:val="single"/>
        </w:rPr>
        <w:t xml:space="preserve">     </w:t>
      </w:r>
      <w:r>
        <w:rPr>
          <w:rFonts w:hint="eastAsia" w:ascii="宋体" w:hAnsi="宋体" w:cs="宋体"/>
          <w:color w:val="auto"/>
          <w:sz w:val="24"/>
          <w:szCs w:val="24"/>
          <w:highlight w:val="none"/>
        </w:rPr>
        <w:t>年</w:t>
      </w:r>
      <w:r>
        <w:rPr>
          <w:rFonts w:ascii="宋体" w:hAnsi="宋体" w:eastAsia="宋体"/>
          <w:b/>
          <w:color w:val="auto"/>
          <w:sz w:val="24"/>
          <w:szCs w:val="32"/>
          <w:highlight w:val="none"/>
          <w:u w:val="single"/>
        </w:rPr>
        <w:t xml:space="preserve">     </w:t>
      </w:r>
      <w:r>
        <w:rPr>
          <w:rFonts w:hint="eastAsia" w:ascii="宋体" w:hAnsi="宋体" w:cs="宋体"/>
          <w:color w:val="auto"/>
          <w:sz w:val="24"/>
          <w:szCs w:val="24"/>
          <w:highlight w:val="none"/>
        </w:rPr>
        <w:t>月</w:t>
      </w:r>
      <w:r>
        <w:rPr>
          <w:rFonts w:ascii="宋体" w:hAnsi="宋体" w:eastAsia="宋体"/>
          <w:b/>
          <w:color w:val="auto"/>
          <w:sz w:val="24"/>
          <w:szCs w:val="32"/>
          <w:highlight w:val="none"/>
          <w:u w:val="single"/>
        </w:rPr>
        <w:t xml:space="preserve">     </w:t>
      </w:r>
      <w:r>
        <w:rPr>
          <w:rFonts w:hint="eastAsia" w:ascii="宋体" w:hAnsi="宋体" w:cs="宋体"/>
          <w:color w:val="auto"/>
          <w:sz w:val="24"/>
          <w:szCs w:val="24"/>
          <w:highlight w:val="none"/>
        </w:rPr>
        <w:t>日</w:t>
      </w:r>
    </w:p>
    <w:p w14:paraId="6EE7EE58">
      <w:pPr>
        <w:pStyle w:val="47"/>
        <w:spacing w:before="0" w:after="0" w:line="460" w:lineRule="exact"/>
        <w:ind w:left="0" w:right="23"/>
        <w:jc w:val="both"/>
        <w:rPr>
          <w:rFonts w:ascii="宋体" w:hAnsi="宋体" w:cs="宋体"/>
          <w:color w:val="auto"/>
        </w:rPr>
      </w:pPr>
    </w:p>
    <w:p w14:paraId="0575CD19">
      <w:pPr>
        <w:spacing w:line="500" w:lineRule="exact"/>
        <w:jc w:val="center"/>
        <w:rPr>
          <w:rFonts w:ascii="宋体" w:hAnsi="宋体" w:cs="宋体"/>
          <w:b/>
          <w:bCs/>
          <w:color w:val="auto"/>
          <w:kern w:val="0"/>
          <w:sz w:val="28"/>
          <w:szCs w:val="28"/>
        </w:rPr>
        <w:sectPr>
          <w:pgSz w:w="11906" w:h="16838"/>
          <w:pgMar w:top="1440" w:right="1080" w:bottom="1440" w:left="1080" w:header="851" w:footer="992" w:gutter="0"/>
          <w:pgNumType w:fmt="decimal"/>
          <w:cols w:space="720" w:num="1"/>
          <w:docGrid w:type="lines" w:linePitch="312" w:charSpace="0"/>
        </w:sectPr>
      </w:pPr>
    </w:p>
    <w:p w14:paraId="65F3E45E">
      <w:pPr>
        <w:spacing w:line="500" w:lineRule="exact"/>
        <w:jc w:val="center"/>
        <w:rPr>
          <w:b/>
          <w:bCs/>
          <w:color w:val="auto"/>
          <w:sz w:val="30"/>
          <w:szCs w:val="30"/>
        </w:rPr>
      </w:pPr>
      <w:r>
        <w:rPr>
          <w:rFonts w:hint="eastAsia" w:ascii="宋体" w:hAnsi="宋体" w:cs="宋体"/>
          <w:b/>
          <w:bCs/>
          <w:color w:val="auto"/>
          <w:kern w:val="0"/>
          <w:sz w:val="30"/>
          <w:szCs w:val="30"/>
        </w:rPr>
        <w:t>二、报价明细表</w:t>
      </w:r>
    </w:p>
    <w:tbl>
      <w:tblPr>
        <w:tblStyle w:val="24"/>
        <w:tblpPr w:leftFromText="180" w:rightFromText="180" w:vertAnchor="text" w:horzAnchor="margin" w:tblpXSpec="center" w:tblpY="154"/>
        <w:tblW w:w="9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2"/>
        <w:gridCol w:w="1264"/>
        <w:gridCol w:w="955"/>
        <w:gridCol w:w="815"/>
        <w:gridCol w:w="1369"/>
        <w:gridCol w:w="775"/>
        <w:gridCol w:w="959"/>
        <w:gridCol w:w="772"/>
        <w:gridCol w:w="799"/>
        <w:gridCol w:w="786"/>
      </w:tblGrid>
      <w:tr w14:paraId="3D10E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602" w:type="dxa"/>
            <w:noWrap/>
            <w:vAlign w:val="center"/>
          </w:tcPr>
          <w:p w14:paraId="258E1680">
            <w:pPr>
              <w:spacing w:line="380" w:lineRule="exact"/>
              <w:jc w:val="center"/>
              <w:rPr>
                <w:rFonts w:ascii="宋体" w:hAnsi="宋体"/>
                <w:b/>
                <w:bCs/>
                <w:color w:val="auto"/>
                <w:spacing w:val="-4"/>
                <w:kern w:val="24"/>
                <w:sz w:val="24"/>
              </w:rPr>
            </w:pPr>
            <w:r>
              <w:rPr>
                <w:rFonts w:hint="eastAsia" w:ascii="宋体" w:hAnsi="宋体"/>
                <w:b/>
                <w:bCs/>
                <w:color w:val="auto"/>
                <w:spacing w:val="-4"/>
                <w:kern w:val="24"/>
                <w:sz w:val="24"/>
              </w:rPr>
              <w:t>序号</w:t>
            </w:r>
          </w:p>
        </w:tc>
        <w:tc>
          <w:tcPr>
            <w:tcW w:w="1264" w:type="dxa"/>
            <w:noWrap/>
            <w:vAlign w:val="center"/>
          </w:tcPr>
          <w:p w14:paraId="73802256">
            <w:pPr>
              <w:spacing w:line="380" w:lineRule="exact"/>
              <w:jc w:val="center"/>
              <w:rPr>
                <w:rFonts w:ascii="宋体" w:hAnsi="宋体"/>
                <w:b/>
                <w:bCs/>
                <w:color w:val="auto"/>
                <w:spacing w:val="-4"/>
                <w:kern w:val="24"/>
                <w:sz w:val="24"/>
              </w:rPr>
            </w:pPr>
            <w:r>
              <w:rPr>
                <w:rFonts w:hint="eastAsia" w:ascii="宋体" w:hAnsi="宋体"/>
                <w:b/>
                <w:bCs/>
                <w:color w:val="auto"/>
                <w:spacing w:val="-4"/>
                <w:kern w:val="24"/>
                <w:sz w:val="24"/>
              </w:rPr>
              <w:t>设备名称</w:t>
            </w:r>
          </w:p>
        </w:tc>
        <w:tc>
          <w:tcPr>
            <w:tcW w:w="955" w:type="dxa"/>
            <w:noWrap/>
            <w:vAlign w:val="center"/>
          </w:tcPr>
          <w:p w14:paraId="3B31F545">
            <w:pPr>
              <w:spacing w:line="380" w:lineRule="exact"/>
              <w:jc w:val="center"/>
              <w:rPr>
                <w:rFonts w:ascii="宋体" w:hAnsi="宋体"/>
                <w:b/>
                <w:bCs/>
                <w:color w:val="auto"/>
                <w:spacing w:val="-4"/>
                <w:kern w:val="24"/>
                <w:sz w:val="24"/>
              </w:rPr>
            </w:pPr>
            <w:r>
              <w:rPr>
                <w:rFonts w:hint="eastAsia" w:ascii="宋体" w:hAnsi="宋体"/>
                <w:b/>
                <w:bCs/>
                <w:color w:val="auto"/>
                <w:spacing w:val="-4"/>
                <w:kern w:val="24"/>
                <w:sz w:val="24"/>
              </w:rPr>
              <w:t>厂家</w:t>
            </w:r>
          </w:p>
        </w:tc>
        <w:tc>
          <w:tcPr>
            <w:tcW w:w="815" w:type="dxa"/>
            <w:noWrap/>
            <w:vAlign w:val="center"/>
          </w:tcPr>
          <w:p w14:paraId="2EE16BAA">
            <w:pPr>
              <w:spacing w:line="380" w:lineRule="exact"/>
              <w:jc w:val="center"/>
              <w:rPr>
                <w:rFonts w:ascii="宋体" w:hAnsi="宋体" w:cs="宋体"/>
                <w:b/>
                <w:bCs/>
                <w:color w:val="auto"/>
                <w:kern w:val="0"/>
                <w:sz w:val="24"/>
              </w:rPr>
            </w:pPr>
            <w:r>
              <w:rPr>
                <w:rFonts w:hint="eastAsia" w:ascii="宋体" w:hAnsi="宋体" w:cs="宋体"/>
                <w:b/>
                <w:bCs/>
                <w:color w:val="auto"/>
                <w:kern w:val="0"/>
                <w:sz w:val="24"/>
              </w:rPr>
              <w:t>品牌</w:t>
            </w:r>
          </w:p>
        </w:tc>
        <w:tc>
          <w:tcPr>
            <w:tcW w:w="1369" w:type="dxa"/>
            <w:noWrap/>
            <w:vAlign w:val="center"/>
          </w:tcPr>
          <w:p w14:paraId="580EA49B">
            <w:pPr>
              <w:spacing w:line="380" w:lineRule="exact"/>
              <w:jc w:val="center"/>
              <w:rPr>
                <w:rFonts w:ascii="宋体" w:hAnsi="宋体" w:cs="宋体"/>
                <w:b/>
                <w:bCs/>
                <w:color w:val="auto"/>
                <w:kern w:val="0"/>
                <w:sz w:val="24"/>
              </w:rPr>
            </w:pPr>
            <w:r>
              <w:rPr>
                <w:rFonts w:hint="eastAsia" w:ascii="宋体" w:hAnsi="宋体" w:cs="宋体"/>
                <w:b/>
                <w:bCs/>
                <w:color w:val="auto"/>
                <w:kern w:val="0"/>
                <w:sz w:val="24"/>
              </w:rPr>
              <w:t>型号/规格</w:t>
            </w:r>
          </w:p>
        </w:tc>
        <w:tc>
          <w:tcPr>
            <w:tcW w:w="775" w:type="dxa"/>
            <w:noWrap/>
            <w:vAlign w:val="center"/>
          </w:tcPr>
          <w:p w14:paraId="100E8844">
            <w:pPr>
              <w:spacing w:line="380" w:lineRule="exact"/>
              <w:jc w:val="center"/>
              <w:rPr>
                <w:rFonts w:ascii="宋体" w:hAnsi="宋体"/>
                <w:b/>
                <w:bCs/>
                <w:color w:val="auto"/>
                <w:spacing w:val="-4"/>
                <w:kern w:val="24"/>
                <w:sz w:val="24"/>
              </w:rPr>
            </w:pPr>
            <w:r>
              <w:rPr>
                <w:rFonts w:hint="eastAsia" w:ascii="宋体" w:hAnsi="宋体"/>
                <w:b/>
                <w:bCs/>
                <w:color w:val="auto"/>
                <w:spacing w:val="-4"/>
                <w:kern w:val="24"/>
                <w:sz w:val="24"/>
              </w:rPr>
              <w:t>数量</w:t>
            </w:r>
          </w:p>
        </w:tc>
        <w:tc>
          <w:tcPr>
            <w:tcW w:w="959" w:type="dxa"/>
            <w:noWrap/>
            <w:vAlign w:val="center"/>
          </w:tcPr>
          <w:p w14:paraId="3C57DE00">
            <w:pPr>
              <w:spacing w:line="380" w:lineRule="exact"/>
              <w:jc w:val="center"/>
              <w:rPr>
                <w:rFonts w:ascii="宋体" w:hAnsi="宋体"/>
                <w:b/>
                <w:bCs/>
                <w:color w:val="auto"/>
                <w:spacing w:val="-4"/>
                <w:kern w:val="24"/>
                <w:sz w:val="24"/>
              </w:rPr>
            </w:pPr>
            <w:r>
              <w:rPr>
                <w:rFonts w:hint="eastAsia" w:ascii="宋体" w:hAnsi="宋体"/>
                <w:b/>
                <w:bCs/>
                <w:color w:val="auto"/>
                <w:spacing w:val="-4"/>
                <w:kern w:val="24"/>
                <w:sz w:val="24"/>
              </w:rPr>
              <w:t>单位</w:t>
            </w:r>
          </w:p>
        </w:tc>
        <w:tc>
          <w:tcPr>
            <w:tcW w:w="772" w:type="dxa"/>
            <w:noWrap/>
            <w:vAlign w:val="center"/>
          </w:tcPr>
          <w:p w14:paraId="3841CAE3">
            <w:pPr>
              <w:spacing w:line="380" w:lineRule="exact"/>
              <w:jc w:val="center"/>
              <w:rPr>
                <w:rFonts w:ascii="宋体" w:hAnsi="宋体"/>
                <w:b/>
                <w:bCs/>
                <w:color w:val="auto"/>
                <w:spacing w:val="-4"/>
                <w:kern w:val="24"/>
                <w:sz w:val="24"/>
              </w:rPr>
            </w:pPr>
            <w:r>
              <w:rPr>
                <w:rFonts w:hint="eastAsia" w:ascii="宋体" w:hAnsi="宋体"/>
                <w:b/>
                <w:bCs/>
                <w:color w:val="auto"/>
                <w:spacing w:val="-4"/>
                <w:kern w:val="24"/>
                <w:sz w:val="24"/>
              </w:rPr>
              <w:t>单价</w:t>
            </w:r>
          </w:p>
        </w:tc>
        <w:tc>
          <w:tcPr>
            <w:tcW w:w="799" w:type="dxa"/>
            <w:noWrap/>
            <w:vAlign w:val="center"/>
          </w:tcPr>
          <w:p w14:paraId="7A3A5CE4">
            <w:pPr>
              <w:spacing w:line="380" w:lineRule="exact"/>
              <w:jc w:val="center"/>
              <w:rPr>
                <w:rFonts w:ascii="宋体" w:hAnsi="宋体"/>
                <w:b/>
                <w:bCs/>
                <w:color w:val="auto"/>
                <w:spacing w:val="-4"/>
                <w:kern w:val="24"/>
                <w:sz w:val="24"/>
              </w:rPr>
            </w:pPr>
            <w:r>
              <w:rPr>
                <w:rFonts w:hint="eastAsia" w:ascii="宋体" w:hAnsi="宋体"/>
                <w:b/>
                <w:bCs/>
                <w:color w:val="auto"/>
                <w:spacing w:val="-4"/>
                <w:kern w:val="24"/>
                <w:sz w:val="24"/>
              </w:rPr>
              <w:t>合价</w:t>
            </w:r>
          </w:p>
        </w:tc>
        <w:tc>
          <w:tcPr>
            <w:tcW w:w="786" w:type="dxa"/>
            <w:noWrap/>
            <w:vAlign w:val="center"/>
          </w:tcPr>
          <w:p w14:paraId="0FD6239C">
            <w:pPr>
              <w:spacing w:line="380" w:lineRule="exact"/>
              <w:jc w:val="center"/>
              <w:rPr>
                <w:rFonts w:ascii="宋体" w:hAnsi="宋体"/>
                <w:b/>
                <w:bCs/>
                <w:color w:val="auto"/>
                <w:spacing w:val="-4"/>
                <w:kern w:val="24"/>
                <w:sz w:val="24"/>
              </w:rPr>
            </w:pPr>
            <w:r>
              <w:rPr>
                <w:rFonts w:hint="eastAsia" w:ascii="宋体" w:hAnsi="宋体"/>
                <w:b/>
                <w:bCs/>
                <w:color w:val="auto"/>
                <w:spacing w:val="-4"/>
                <w:kern w:val="24"/>
                <w:sz w:val="24"/>
              </w:rPr>
              <w:t>备注</w:t>
            </w:r>
          </w:p>
        </w:tc>
      </w:tr>
      <w:tr w14:paraId="50DA2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02" w:type="dxa"/>
            <w:noWrap/>
            <w:vAlign w:val="center"/>
          </w:tcPr>
          <w:p w14:paraId="360D72C2">
            <w:pPr>
              <w:spacing w:line="380" w:lineRule="exact"/>
              <w:jc w:val="center"/>
              <w:rPr>
                <w:rFonts w:ascii="宋体" w:hAnsi="宋体" w:cs="宋体"/>
                <w:color w:val="auto"/>
                <w:kern w:val="0"/>
                <w:sz w:val="24"/>
              </w:rPr>
            </w:pPr>
            <w:r>
              <w:rPr>
                <w:rFonts w:hint="eastAsia" w:ascii="宋体" w:hAnsi="宋体" w:cs="宋体"/>
                <w:color w:val="auto"/>
                <w:kern w:val="0"/>
                <w:sz w:val="24"/>
              </w:rPr>
              <w:t>1</w:t>
            </w:r>
          </w:p>
        </w:tc>
        <w:tc>
          <w:tcPr>
            <w:tcW w:w="1264" w:type="dxa"/>
            <w:noWrap/>
            <w:vAlign w:val="center"/>
          </w:tcPr>
          <w:p w14:paraId="357640BE">
            <w:pPr>
              <w:spacing w:line="380" w:lineRule="exact"/>
              <w:jc w:val="center"/>
              <w:rPr>
                <w:rFonts w:ascii="宋体" w:hAnsi="宋体" w:cs="宋体"/>
                <w:color w:val="auto"/>
                <w:kern w:val="0"/>
                <w:sz w:val="24"/>
              </w:rPr>
            </w:pPr>
          </w:p>
        </w:tc>
        <w:tc>
          <w:tcPr>
            <w:tcW w:w="955" w:type="dxa"/>
            <w:noWrap/>
            <w:vAlign w:val="center"/>
          </w:tcPr>
          <w:p w14:paraId="1ABDE4AD">
            <w:pPr>
              <w:spacing w:line="380" w:lineRule="exact"/>
              <w:jc w:val="center"/>
              <w:rPr>
                <w:rFonts w:ascii="宋体" w:hAnsi="宋体"/>
                <w:color w:val="auto"/>
                <w:spacing w:val="-4"/>
                <w:kern w:val="24"/>
                <w:sz w:val="24"/>
              </w:rPr>
            </w:pPr>
          </w:p>
        </w:tc>
        <w:tc>
          <w:tcPr>
            <w:tcW w:w="815" w:type="dxa"/>
            <w:noWrap/>
            <w:vAlign w:val="center"/>
          </w:tcPr>
          <w:p w14:paraId="5EE1557A">
            <w:pPr>
              <w:spacing w:line="380" w:lineRule="exact"/>
              <w:jc w:val="center"/>
              <w:rPr>
                <w:rFonts w:ascii="宋体" w:hAnsi="宋体"/>
                <w:color w:val="auto"/>
                <w:spacing w:val="-4"/>
                <w:kern w:val="24"/>
                <w:sz w:val="24"/>
              </w:rPr>
            </w:pPr>
          </w:p>
        </w:tc>
        <w:tc>
          <w:tcPr>
            <w:tcW w:w="1369" w:type="dxa"/>
            <w:noWrap/>
            <w:vAlign w:val="center"/>
          </w:tcPr>
          <w:p w14:paraId="4EF5AB30">
            <w:pPr>
              <w:spacing w:line="380" w:lineRule="exact"/>
              <w:jc w:val="center"/>
              <w:rPr>
                <w:rFonts w:ascii="宋体" w:hAnsi="宋体"/>
                <w:color w:val="auto"/>
                <w:spacing w:val="-4"/>
                <w:kern w:val="24"/>
                <w:sz w:val="24"/>
              </w:rPr>
            </w:pPr>
          </w:p>
        </w:tc>
        <w:tc>
          <w:tcPr>
            <w:tcW w:w="775" w:type="dxa"/>
            <w:noWrap/>
            <w:vAlign w:val="center"/>
          </w:tcPr>
          <w:p w14:paraId="5BACD4BE">
            <w:pPr>
              <w:spacing w:line="380" w:lineRule="exact"/>
              <w:jc w:val="center"/>
              <w:rPr>
                <w:rFonts w:ascii="宋体" w:hAnsi="宋体"/>
                <w:color w:val="auto"/>
                <w:spacing w:val="-4"/>
                <w:kern w:val="24"/>
                <w:sz w:val="24"/>
              </w:rPr>
            </w:pPr>
          </w:p>
        </w:tc>
        <w:tc>
          <w:tcPr>
            <w:tcW w:w="959" w:type="dxa"/>
            <w:noWrap/>
            <w:vAlign w:val="center"/>
          </w:tcPr>
          <w:p w14:paraId="4C45F947">
            <w:pPr>
              <w:spacing w:line="380" w:lineRule="exact"/>
              <w:jc w:val="center"/>
              <w:rPr>
                <w:rFonts w:ascii="宋体" w:hAnsi="宋体"/>
                <w:color w:val="auto"/>
                <w:spacing w:val="-4"/>
                <w:kern w:val="24"/>
                <w:sz w:val="24"/>
              </w:rPr>
            </w:pPr>
          </w:p>
        </w:tc>
        <w:tc>
          <w:tcPr>
            <w:tcW w:w="772" w:type="dxa"/>
            <w:noWrap/>
            <w:vAlign w:val="center"/>
          </w:tcPr>
          <w:p w14:paraId="5179446A">
            <w:pPr>
              <w:spacing w:line="380" w:lineRule="exact"/>
              <w:jc w:val="center"/>
              <w:rPr>
                <w:rFonts w:ascii="宋体" w:hAnsi="宋体"/>
                <w:color w:val="auto"/>
                <w:spacing w:val="-4"/>
                <w:kern w:val="24"/>
                <w:sz w:val="24"/>
              </w:rPr>
            </w:pPr>
          </w:p>
        </w:tc>
        <w:tc>
          <w:tcPr>
            <w:tcW w:w="799" w:type="dxa"/>
            <w:noWrap/>
            <w:vAlign w:val="center"/>
          </w:tcPr>
          <w:p w14:paraId="1F2C0478">
            <w:pPr>
              <w:spacing w:line="380" w:lineRule="exact"/>
              <w:jc w:val="center"/>
              <w:rPr>
                <w:rFonts w:ascii="宋体" w:hAnsi="宋体"/>
                <w:color w:val="auto"/>
                <w:spacing w:val="-4"/>
                <w:kern w:val="24"/>
                <w:sz w:val="24"/>
              </w:rPr>
            </w:pPr>
          </w:p>
        </w:tc>
        <w:tc>
          <w:tcPr>
            <w:tcW w:w="786" w:type="dxa"/>
            <w:noWrap/>
            <w:vAlign w:val="center"/>
          </w:tcPr>
          <w:p w14:paraId="50052593">
            <w:pPr>
              <w:spacing w:line="380" w:lineRule="exact"/>
              <w:jc w:val="center"/>
              <w:rPr>
                <w:rFonts w:ascii="宋体" w:hAnsi="宋体"/>
                <w:color w:val="auto"/>
                <w:spacing w:val="-4"/>
                <w:kern w:val="24"/>
                <w:sz w:val="24"/>
              </w:rPr>
            </w:pPr>
          </w:p>
        </w:tc>
      </w:tr>
      <w:tr w14:paraId="36D80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02" w:type="dxa"/>
            <w:noWrap/>
            <w:vAlign w:val="center"/>
          </w:tcPr>
          <w:p w14:paraId="5C5E351D">
            <w:pPr>
              <w:spacing w:line="380" w:lineRule="exact"/>
              <w:jc w:val="center"/>
              <w:rPr>
                <w:rFonts w:ascii="宋体" w:hAnsi="宋体" w:cs="宋体"/>
                <w:color w:val="auto"/>
                <w:kern w:val="0"/>
                <w:sz w:val="24"/>
              </w:rPr>
            </w:pPr>
            <w:r>
              <w:rPr>
                <w:rFonts w:hint="eastAsia" w:ascii="宋体" w:hAnsi="宋体" w:cs="宋体"/>
                <w:color w:val="auto"/>
                <w:kern w:val="0"/>
                <w:sz w:val="24"/>
              </w:rPr>
              <w:t>2</w:t>
            </w:r>
          </w:p>
        </w:tc>
        <w:tc>
          <w:tcPr>
            <w:tcW w:w="1264" w:type="dxa"/>
            <w:noWrap/>
            <w:vAlign w:val="center"/>
          </w:tcPr>
          <w:p w14:paraId="49A49E1C">
            <w:pPr>
              <w:spacing w:line="380" w:lineRule="exact"/>
              <w:jc w:val="center"/>
              <w:rPr>
                <w:rFonts w:ascii="宋体" w:hAnsi="宋体" w:cs="宋体"/>
                <w:color w:val="auto"/>
                <w:kern w:val="0"/>
                <w:sz w:val="24"/>
              </w:rPr>
            </w:pPr>
          </w:p>
        </w:tc>
        <w:tc>
          <w:tcPr>
            <w:tcW w:w="955" w:type="dxa"/>
            <w:noWrap/>
            <w:vAlign w:val="center"/>
          </w:tcPr>
          <w:p w14:paraId="42A7BF8D">
            <w:pPr>
              <w:spacing w:line="380" w:lineRule="exact"/>
              <w:jc w:val="center"/>
              <w:rPr>
                <w:rFonts w:ascii="宋体" w:hAnsi="宋体"/>
                <w:color w:val="auto"/>
                <w:spacing w:val="-4"/>
                <w:kern w:val="24"/>
                <w:sz w:val="24"/>
              </w:rPr>
            </w:pPr>
          </w:p>
        </w:tc>
        <w:tc>
          <w:tcPr>
            <w:tcW w:w="815" w:type="dxa"/>
            <w:noWrap/>
            <w:vAlign w:val="center"/>
          </w:tcPr>
          <w:p w14:paraId="14ACAD1D">
            <w:pPr>
              <w:spacing w:line="380" w:lineRule="exact"/>
              <w:jc w:val="center"/>
              <w:rPr>
                <w:rFonts w:ascii="宋体" w:hAnsi="宋体"/>
                <w:color w:val="auto"/>
                <w:spacing w:val="-4"/>
                <w:kern w:val="24"/>
                <w:sz w:val="24"/>
              </w:rPr>
            </w:pPr>
          </w:p>
        </w:tc>
        <w:tc>
          <w:tcPr>
            <w:tcW w:w="1369" w:type="dxa"/>
            <w:noWrap/>
            <w:vAlign w:val="center"/>
          </w:tcPr>
          <w:p w14:paraId="1E00B67F">
            <w:pPr>
              <w:spacing w:line="380" w:lineRule="exact"/>
              <w:jc w:val="center"/>
              <w:rPr>
                <w:rFonts w:ascii="宋体" w:hAnsi="宋体"/>
                <w:color w:val="auto"/>
                <w:spacing w:val="-4"/>
                <w:kern w:val="24"/>
                <w:sz w:val="24"/>
              </w:rPr>
            </w:pPr>
          </w:p>
        </w:tc>
        <w:tc>
          <w:tcPr>
            <w:tcW w:w="775" w:type="dxa"/>
            <w:noWrap/>
            <w:vAlign w:val="center"/>
          </w:tcPr>
          <w:p w14:paraId="6D636927">
            <w:pPr>
              <w:spacing w:line="380" w:lineRule="exact"/>
              <w:jc w:val="center"/>
              <w:rPr>
                <w:rFonts w:ascii="宋体" w:hAnsi="宋体"/>
                <w:color w:val="auto"/>
                <w:spacing w:val="-4"/>
                <w:kern w:val="24"/>
                <w:sz w:val="24"/>
              </w:rPr>
            </w:pPr>
          </w:p>
        </w:tc>
        <w:tc>
          <w:tcPr>
            <w:tcW w:w="959" w:type="dxa"/>
            <w:noWrap/>
            <w:vAlign w:val="center"/>
          </w:tcPr>
          <w:p w14:paraId="32E0528A">
            <w:pPr>
              <w:spacing w:line="380" w:lineRule="exact"/>
              <w:jc w:val="center"/>
              <w:rPr>
                <w:rFonts w:ascii="宋体" w:hAnsi="宋体"/>
                <w:color w:val="auto"/>
                <w:spacing w:val="-4"/>
                <w:kern w:val="24"/>
                <w:sz w:val="24"/>
              </w:rPr>
            </w:pPr>
          </w:p>
        </w:tc>
        <w:tc>
          <w:tcPr>
            <w:tcW w:w="772" w:type="dxa"/>
            <w:noWrap/>
            <w:vAlign w:val="center"/>
          </w:tcPr>
          <w:p w14:paraId="3987DC1B">
            <w:pPr>
              <w:spacing w:line="380" w:lineRule="exact"/>
              <w:jc w:val="center"/>
              <w:rPr>
                <w:rFonts w:ascii="宋体" w:hAnsi="宋体"/>
                <w:color w:val="auto"/>
                <w:spacing w:val="-4"/>
                <w:kern w:val="24"/>
                <w:sz w:val="24"/>
              </w:rPr>
            </w:pPr>
          </w:p>
        </w:tc>
        <w:tc>
          <w:tcPr>
            <w:tcW w:w="799" w:type="dxa"/>
            <w:noWrap/>
            <w:vAlign w:val="center"/>
          </w:tcPr>
          <w:p w14:paraId="416E8559">
            <w:pPr>
              <w:spacing w:line="380" w:lineRule="exact"/>
              <w:jc w:val="center"/>
              <w:rPr>
                <w:rFonts w:ascii="宋体" w:hAnsi="宋体"/>
                <w:color w:val="auto"/>
                <w:spacing w:val="-4"/>
                <w:kern w:val="24"/>
                <w:sz w:val="24"/>
              </w:rPr>
            </w:pPr>
          </w:p>
        </w:tc>
        <w:tc>
          <w:tcPr>
            <w:tcW w:w="786" w:type="dxa"/>
            <w:noWrap/>
            <w:vAlign w:val="center"/>
          </w:tcPr>
          <w:p w14:paraId="47E319F2">
            <w:pPr>
              <w:spacing w:line="380" w:lineRule="exact"/>
              <w:jc w:val="center"/>
              <w:rPr>
                <w:rFonts w:ascii="宋体" w:hAnsi="宋体"/>
                <w:color w:val="auto"/>
                <w:spacing w:val="-4"/>
                <w:kern w:val="24"/>
                <w:sz w:val="24"/>
              </w:rPr>
            </w:pPr>
          </w:p>
        </w:tc>
      </w:tr>
      <w:tr w14:paraId="7E668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02" w:type="dxa"/>
            <w:noWrap/>
            <w:vAlign w:val="center"/>
          </w:tcPr>
          <w:p w14:paraId="23ED8CE5">
            <w:pPr>
              <w:spacing w:line="380" w:lineRule="exact"/>
              <w:jc w:val="center"/>
              <w:rPr>
                <w:rFonts w:ascii="宋体" w:hAnsi="宋体" w:cs="宋体"/>
                <w:color w:val="auto"/>
                <w:kern w:val="0"/>
                <w:sz w:val="24"/>
              </w:rPr>
            </w:pPr>
            <w:r>
              <w:rPr>
                <w:rFonts w:hint="eastAsia" w:ascii="宋体" w:hAnsi="宋体" w:cs="宋体"/>
                <w:color w:val="auto"/>
                <w:kern w:val="0"/>
                <w:sz w:val="24"/>
              </w:rPr>
              <w:t>3</w:t>
            </w:r>
          </w:p>
        </w:tc>
        <w:tc>
          <w:tcPr>
            <w:tcW w:w="1264" w:type="dxa"/>
            <w:noWrap/>
            <w:vAlign w:val="center"/>
          </w:tcPr>
          <w:p w14:paraId="130696B5">
            <w:pPr>
              <w:spacing w:line="380" w:lineRule="exact"/>
              <w:jc w:val="center"/>
              <w:rPr>
                <w:rFonts w:ascii="宋体" w:hAnsi="宋体" w:cs="宋体"/>
                <w:color w:val="auto"/>
                <w:kern w:val="0"/>
                <w:sz w:val="24"/>
              </w:rPr>
            </w:pPr>
          </w:p>
        </w:tc>
        <w:tc>
          <w:tcPr>
            <w:tcW w:w="955" w:type="dxa"/>
            <w:noWrap/>
            <w:vAlign w:val="center"/>
          </w:tcPr>
          <w:p w14:paraId="18A29916">
            <w:pPr>
              <w:spacing w:line="380" w:lineRule="exact"/>
              <w:jc w:val="center"/>
              <w:rPr>
                <w:rFonts w:ascii="宋体" w:hAnsi="宋体"/>
                <w:color w:val="auto"/>
                <w:spacing w:val="-4"/>
                <w:kern w:val="24"/>
                <w:sz w:val="24"/>
              </w:rPr>
            </w:pPr>
          </w:p>
        </w:tc>
        <w:tc>
          <w:tcPr>
            <w:tcW w:w="815" w:type="dxa"/>
            <w:noWrap/>
            <w:vAlign w:val="center"/>
          </w:tcPr>
          <w:p w14:paraId="3D8D707D">
            <w:pPr>
              <w:spacing w:line="380" w:lineRule="exact"/>
              <w:jc w:val="center"/>
              <w:rPr>
                <w:rFonts w:ascii="宋体" w:hAnsi="宋体"/>
                <w:color w:val="auto"/>
                <w:spacing w:val="-4"/>
                <w:kern w:val="24"/>
                <w:sz w:val="24"/>
              </w:rPr>
            </w:pPr>
          </w:p>
        </w:tc>
        <w:tc>
          <w:tcPr>
            <w:tcW w:w="1369" w:type="dxa"/>
            <w:noWrap/>
            <w:vAlign w:val="center"/>
          </w:tcPr>
          <w:p w14:paraId="427CA484">
            <w:pPr>
              <w:spacing w:line="380" w:lineRule="exact"/>
              <w:jc w:val="center"/>
              <w:rPr>
                <w:rFonts w:ascii="宋体" w:hAnsi="宋体"/>
                <w:color w:val="auto"/>
                <w:spacing w:val="-4"/>
                <w:kern w:val="24"/>
                <w:sz w:val="24"/>
              </w:rPr>
            </w:pPr>
          </w:p>
        </w:tc>
        <w:tc>
          <w:tcPr>
            <w:tcW w:w="775" w:type="dxa"/>
            <w:noWrap/>
            <w:vAlign w:val="center"/>
          </w:tcPr>
          <w:p w14:paraId="37DF04A5">
            <w:pPr>
              <w:spacing w:line="380" w:lineRule="exact"/>
              <w:jc w:val="center"/>
              <w:rPr>
                <w:rFonts w:ascii="宋体" w:hAnsi="宋体"/>
                <w:color w:val="auto"/>
                <w:spacing w:val="-4"/>
                <w:kern w:val="24"/>
                <w:sz w:val="24"/>
              </w:rPr>
            </w:pPr>
          </w:p>
        </w:tc>
        <w:tc>
          <w:tcPr>
            <w:tcW w:w="959" w:type="dxa"/>
            <w:noWrap/>
            <w:vAlign w:val="center"/>
          </w:tcPr>
          <w:p w14:paraId="707505FE">
            <w:pPr>
              <w:spacing w:line="380" w:lineRule="exact"/>
              <w:jc w:val="center"/>
              <w:rPr>
                <w:rFonts w:ascii="宋体" w:hAnsi="宋体"/>
                <w:color w:val="auto"/>
                <w:spacing w:val="-4"/>
                <w:kern w:val="24"/>
                <w:sz w:val="24"/>
              </w:rPr>
            </w:pPr>
          </w:p>
        </w:tc>
        <w:tc>
          <w:tcPr>
            <w:tcW w:w="772" w:type="dxa"/>
            <w:noWrap/>
            <w:vAlign w:val="center"/>
          </w:tcPr>
          <w:p w14:paraId="2A97008F">
            <w:pPr>
              <w:spacing w:line="380" w:lineRule="exact"/>
              <w:jc w:val="center"/>
              <w:rPr>
                <w:rFonts w:ascii="宋体" w:hAnsi="宋体"/>
                <w:color w:val="auto"/>
                <w:spacing w:val="-4"/>
                <w:kern w:val="24"/>
                <w:sz w:val="24"/>
              </w:rPr>
            </w:pPr>
          </w:p>
        </w:tc>
        <w:tc>
          <w:tcPr>
            <w:tcW w:w="799" w:type="dxa"/>
            <w:noWrap/>
            <w:vAlign w:val="center"/>
          </w:tcPr>
          <w:p w14:paraId="7ED6AE24">
            <w:pPr>
              <w:spacing w:line="380" w:lineRule="exact"/>
              <w:jc w:val="center"/>
              <w:rPr>
                <w:rFonts w:ascii="宋体" w:hAnsi="宋体"/>
                <w:color w:val="auto"/>
                <w:spacing w:val="-4"/>
                <w:kern w:val="24"/>
                <w:sz w:val="24"/>
              </w:rPr>
            </w:pPr>
          </w:p>
        </w:tc>
        <w:tc>
          <w:tcPr>
            <w:tcW w:w="786" w:type="dxa"/>
            <w:noWrap/>
            <w:vAlign w:val="center"/>
          </w:tcPr>
          <w:p w14:paraId="6CCAECBD">
            <w:pPr>
              <w:spacing w:line="380" w:lineRule="exact"/>
              <w:jc w:val="center"/>
              <w:rPr>
                <w:rFonts w:ascii="宋体" w:hAnsi="宋体"/>
                <w:color w:val="auto"/>
                <w:spacing w:val="-4"/>
                <w:kern w:val="24"/>
                <w:sz w:val="24"/>
              </w:rPr>
            </w:pPr>
          </w:p>
        </w:tc>
      </w:tr>
      <w:tr w14:paraId="2EC40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02" w:type="dxa"/>
            <w:noWrap/>
            <w:vAlign w:val="center"/>
          </w:tcPr>
          <w:p w14:paraId="70996906">
            <w:pPr>
              <w:spacing w:line="380" w:lineRule="exact"/>
              <w:jc w:val="center"/>
              <w:rPr>
                <w:rFonts w:ascii="宋体" w:hAnsi="宋体" w:cs="宋体"/>
                <w:color w:val="auto"/>
                <w:kern w:val="0"/>
                <w:sz w:val="24"/>
              </w:rPr>
            </w:pPr>
            <w:r>
              <w:rPr>
                <w:rFonts w:hint="eastAsia" w:ascii="宋体" w:hAnsi="宋体" w:cs="宋体"/>
                <w:color w:val="auto"/>
                <w:kern w:val="0"/>
                <w:sz w:val="24"/>
              </w:rPr>
              <w:t>...</w:t>
            </w:r>
          </w:p>
        </w:tc>
        <w:tc>
          <w:tcPr>
            <w:tcW w:w="1264" w:type="dxa"/>
            <w:noWrap/>
            <w:vAlign w:val="center"/>
          </w:tcPr>
          <w:p w14:paraId="5B39DAAA">
            <w:pPr>
              <w:spacing w:line="380" w:lineRule="exact"/>
              <w:jc w:val="center"/>
              <w:rPr>
                <w:rFonts w:ascii="宋体" w:hAnsi="宋体" w:cs="宋体"/>
                <w:color w:val="auto"/>
                <w:kern w:val="0"/>
                <w:sz w:val="24"/>
              </w:rPr>
            </w:pPr>
            <w:r>
              <w:rPr>
                <w:rFonts w:hint="eastAsia" w:ascii="宋体" w:hAnsi="宋体" w:cs="宋体"/>
                <w:color w:val="auto"/>
                <w:kern w:val="0"/>
                <w:sz w:val="24"/>
              </w:rPr>
              <w:t>...</w:t>
            </w:r>
          </w:p>
        </w:tc>
        <w:tc>
          <w:tcPr>
            <w:tcW w:w="955" w:type="dxa"/>
            <w:noWrap/>
            <w:vAlign w:val="center"/>
          </w:tcPr>
          <w:p w14:paraId="6F03DCA4">
            <w:pPr>
              <w:spacing w:line="380" w:lineRule="exact"/>
              <w:jc w:val="center"/>
              <w:rPr>
                <w:rFonts w:ascii="宋体" w:hAnsi="宋体"/>
                <w:color w:val="auto"/>
                <w:spacing w:val="-4"/>
                <w:kern w:val="24"/>
                <w:sz w:val="24"/>
              </w:rPr>
            </w:pPr>
          </w:p>
        </w:tc>
        <w:tc>
          <w:tcPr>
            <w:tcW w:w="815" w:type="dxa"/>
            <w:noWrap/>
            <w:vAlign w:val="center"/>
          </w:tcPr>
          <w:p w14:paraId="5B9BC309">
            <w:pPr>
              <w:spacing w:line="380" w:lineRule="exact"/>
              <w:jc w:val="center"/>
              <w:rPr>
                <w:rFonts w:ascii="宋体" w:hAnsi="宋体"/>
                <w:color w:val="auto"/>
                <w:spacing w:val="-4"/>
                <w:kern w:val="24"/>
                <w:sz w:val="24"/>
              </w:rPr>
            </w:pPr>
          </w:p>
        </w:tc>
        <w:tc>
          <w:tcPr>
            <w:tcW w:w="1369" w:type="dxa"/>
            <w:noWrap/>
            <w:vAlign w:val="center"/>
          </w:tcPr>
          <w:p w14:paraId="33AA1C52">
            <w:pPr>
              <w:spacing w:line="380" w:lineRule="exact"/>
              <w:jc w:val="center"/>
              <w:rPr>
                <w:rFonts w:ascii="宋体" w:hAnsi="宋体"/>
                <w:color w:val="auto"/>
                <w:spacing w:val="-4"/>
                <w:kern w:val="24"/>
                <w:sz w:val="24"/>
              </w:rPr>
            </w:pPr>
          </w:p>
        </w:tc>
        <w:tc>
          <w:tcPr>
            <w:tcW w:w="775" w:type="dxa"/>
            <w:noWrap/>
            <w:vAlign w:val="center"/>
          </w:tcPr>
          <w:p w14:paraId="40FF1C53">
            <w:pPr>
              <w:spacing w:line="380" w:lineRule="exact"/>
              <w:jc w:val="center"/>
              <w:rPr>
                <w:rFonts w:ascii="宋体" w:hAnsi="宋体"/>
                <w:color w:val="auto"/>
                <w:spacing w:val="-4"/>
                <w:kern w:val="24"/>
                <w:sz w:val="24"/>
              </w:rPr>
            </w:pPr>
          </w:p>
        </w:tc>
        <w:tc>
          <w:tcPr>
            <w:tcW w:w="959" w:type="dxa"/>
            <w:noWrap/>
            <w:vAlign w:val="center"/>
          </w:tcPr>
          <w:p w14:paraId="4512DD30">
            <w:pPr>
              <w:spacing w:line="380" w:lineRule="exact"/>
              <w:jc w:val="center"/>
              <w:rPr>
                <w:rFonts w:ascii="宋体" w:hAnsi="宋体"/>
                <w:color w:val="auto"/>
                <w:spacing w:val="-4"/>
                <w:kern w:val="24"/>
                <w:sz w:val="24"/>
              </w:rPr>
            </w:pPr>
          </w:p>
        </w:tc>
        <w:tc>
          <w:tcPr>
            <w:tcW w:w="772" w:type="dxa"/>
            <w:noWrap/>
            <w:vAlign w:val="center"/>
          </w:tcPr>
          <w:p w14:paraId="6B540E05">
            <w:pPr>
              <w:spacing w:line="380" w:lineRule="exact"/>
              <w:jc w:val="center"/>
              <w:rPr>
                <w:rFonts w:ascii="宋体" w:hAnsi="宋体"/>
                <w:color w:val="auto"/>
                <w:spacing w:val="-4"/>
                <w:kern w:val="24"/>
                <w:sz w:val="24"/>
              </w:rPr>
            </w:pPr>
          </w:p>
        </w:tc>
        <w:tc>
          <w:tcPr>
            <w:tcW w:w="799" w:type="dxa"/>
            <w:noWrap/>
            <w:vAlign w:val="center"/>
          </w:tcPr>
          <w:p w14:paraId="4F797C53">
            <w:pPr>
              <w:spacing w:line="380" w:lineRule="exact"/>
              <w:jc w:val="center"/>
              <w:rPr>
                <w:rFonts w:ascii="宋体" w:hAnsi="宋体"/>
                <w:color w:val="auto"/>
                <w:spacing w:val="-4"/>
                <w:kern w:val="24"/>
                <w:sz w:val="24"/>
              </w:rPr>
            </w:pPr>
          </w:p>
        </w:tc>
        <w:tc>
          <w:tcPr>
            <w:tcW w:w="786" w:type="dxa"/>
            <w:noWrap/>
            <w:vAlign w:val="center"/>
          </w:tcPr>
          <w:p w14:paraId="77186AF7">
            <w:pPr>
              <w:spacing w:line="380" w:lineRule="exact"/>
              <w:jc w:val="center"/>
              <w:rPr>
                <w:rFonts w:ascii="宋体" w:hAnsi="宋体"/>
                <w:color w:val="auto"/>
                <w:spacing w:val="-4"/>
                <w:kern w:val="24"/>
                <w:sz w:val="24"/>
              </w:rPr>
            </w:pPr>
          </w:p>
        </w:tc>
      </w:tr>
      <w:tr w14:paraId="6F4B9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1866" w:type="dxa"/>
            <w:gridSpan w:val="2"/>
            <w:noWrap/>
            <w:vAlign w:val="center"/>
          </w:tcPr>
          <w:p w14:paraId="1E6DA75E">
            <w:pPr>
              <w:spacing w:line="380" w:lineRule="exact"/>
              <w:jc w:val="center"/>
              <w:rPr>
                <w:rFonts w:ascii="宋体" w:hAnsi="宋体" w:cs="宋体"/>
                <w:color w:val="auto"/>
                <w:kern w:val="0"/>
                <w:sz w:val="24"/>
              </w:rPr>
            </w:pPr>
            <w:r>
              <w:rPr>
                <w:rFonts w:hint="eastAsia" w:ascii="宋体" w:hAnsi="宋体" w:cs="宋体"/>
                <w:color w:val="auto"/>
                <w:kern w:val="0"/>
                <w:sz w:val="24"/>
              </w:rPr>
              <w:t>合计</w:t>
            </w:r>
          </w:p>
        </w:tc>
        <w:tc>
          <w:tcPr>
            <w:tcW w:w="7230" w:type="dxa"/>
            <w:gridSpan w:val="8"/>
            <w:noWrap/>
            <w:vAlign w:val="center"/>
          </w:tcPr>
          <w:p w14:paraId="65AFB84E">
            <w:pPr>
              <w:spacing w:line="380" w:lineRule="exact"/>
              <w:jc w:val="left"/>
              <w:rPr>
                <w:rFonts w:ascii="宋体" w:hAnsi="宋体"/>
                <w:color w:val="auto"/>
                <w:spacing w:val="-4"/>
                <w:kern w:val="24"/>
                <w:sz w:val="24"/>
              </w:rPr>
            </w:pPr>
            <w:r>
              <w:rPr>
                <w:rFonts w:hint="eastAsia" w:ascii="宋体" w:hAnsi="宋体"/>
                <w:color w:val="auto"/>
                <w:spacing w:val="-4"/>
                <w:kern w:val="24"/>
                <w:sz w:val="24"/>
              </w:rPr>
              <w:t>小写：                    大写：</w:t>
            </w:r>
          </w:p>
        </w:tc>
      </w:tr>
    </w:tbl>
    <w:p w14:paraId="7B788B09">
      <w:pPr>
        <w:spacing w:line="500" w:lineRule="exact"/>
        <w:rPr>
          <w:color w:val="auto"/>
          <w:sz w:val="24"/>
        </w:rPr>
      </w:pPr>
    </w:p>
    <w:p w14:paraId="32E35175">
      <w:pPr>
        <w:tabs>
          <w:tab w:val="left" w:pos="13000"/>
        </w:tabs>
        <w:autoSpaceDE w:val="0"/>
        <w:autoSpaceDN w:val="0"/>
        <w:adjustRightInd w:val="0"/>
        <w:spacing w:line="460" w:lineRule="exact"/>
        <w:rPr>
          <w:rFonts w:hint="eastAsia" w:ascii="宋体" w:hAnsi="宋体" w:eastAsia="宋体" w:cs="宋体"/>
          <w:color w:val="auto"/>
          <w:sz w:val="24"/>
          <w:lang w:val="zh-CN"/>
        </w:rPr>
      </w:pPr>
      <w:r>
        <w:rPr>
          <w:rFonts w:hint="eastAsia" w:ascii="宋体" w:hAnsi="宋体" w:cs="宋体"/>
          <w:color w:val="auto"/>
          <w:sz w:val="24"/>
          <w:lang w:val="zh-CN"/>
        </w:rPr>
        <w:t>注：</w:t>
      </w:r>
      <w:r>
        <w:rPr>
          <w:rFonts w:hint="eastAsia" w:ascii="宋体" w:hAnsi="宋体" w:eastAsia="宋体" w:cs="宋体"/>
          <w:color w:val="auto"/>
          <w:sz w:val="24"/>
          <w:lang w:val="zh-CN"/>
        </w:rPr>
        <w:t>1.本表可根据实际需要增加行栏；若有无需填写项，则在空格内填写“/”。</w:t>
      </w:r>
    </w:p>
    <w:p w14:paraId="579121B3">
      <w:pPr>
        <w:tabs>
          <w:tab w:val="left" w:pos="13000"/>
        </w:tabs>
        <w:autoSpaceDE w:val="0"/>
        <w:autoSpaceDN w:val="0"/>
        <w:adjustRightInd w:val="0"/>
        <w:spacing w:line="46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lang w:val="zh-CN"/>
        </w:rPr>
        <w:t>2.需包含</w:t>
      </w:r>
      <w:r>
        <w:rPr>
          <w:rFonts w:hint="eastAsia" w:ascii="宋体" w:hAnsi="宋体" w:cs="宋体"/>
          <w:color w:val="auto"/>
          <w:sz w:val="24"/>
          <w:lang w:val="en-US" w:eastAsia="zh-CN"/>
        </w:rPr>
        <w:t>附件材料</w:t>
      </w:r>
      <w:r>
        <w:rPr>
          <w:rFonts w:hint="eastAsia" w:ascii="宋体" w:hAnsi="宋体" w:eastAsia="宋体" w:cs="宋体"/>
          <w:color w:val="auto"/>
          <w:sz w:val="24"/>
          <w:lang w:val="zh-CN"/>
        </w:rPr>
        <w:t>采购</w:t>
      </w:r>
      <w:r>
        <w:rPr>
          <w:rFonts w:hint="eastAsia" w:ascii="宋体" w:hAnsi="宋体" w:cs="宋体"/>
          <w:color w:val="auto"/>
          <w:sz w:val="24"/>
          <w:lang w:val="en-US" w:eastAsia="zh-CN"/>
        </w:rPr>
        <w:t>清单</w:t>
      </w:r>
      <w:r>
        <w:rPr>
          <w:rFonts w:hint="eastAsia" w:ascii="宋体" w:hAnsi="宋体" w:eastAsia="宋体" w:cs="宋体"/>
          <w:color w:val="auto"/>
          <w:sz w:val="24"/>
          <w:lang w:val="zh-CN"/>
        </w:rPr>
        <w:t>中所有货物内容。</w:t>
      </w:r>
    </w:p>
    <w:p w14:paraId="1B98B35E">
      <w:pPr>
        <w:pStyle w:val="23"/>
        <w:rPr>
          <w:color w:val="auto"/>
        </w:rPr>
      </w:pPr>
    </w:p>
    <w:p w14:paraId="788AF8E7">
      <w:pPr>
        <w:pStyle w:val="23"/>
        <w:rPr>
          <w:color w:val="auto"/>
        </w:rPr>
      </w:pPr>
    </w:p>
    <w:p w14:paraId="5D6D966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投标单位全称</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（加盖电子公章）</w:t>
      </w:r>
    </w:p>
    <w:p w14:paraId="6954D38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法定代表人或授权代理人</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（电子签章或电子签名）</w:t>
      </w:r>
    </w:p>
    <w:p w14:paraId="6585E11D">
      <w:pPr>
        <w:pStyle w:val="47"/>
        <w:keepNext w:val="0"/>
        <w:keepLines w:val="0"/>
        <w:pageBreakBefore w:val="0"/>
        <w:widowControl w:val="0"/>
        <w:numPr>
          <w:ilvl w:val="0"/>
          <w:numId w:val="0"/>
        </w:numPr>
        <w:kinsoku/>
        <w:wordWrap/>
        <w:overflowPunct/>
        <w:topLinePunct w:val="0"/>
        <w:autoSpaceDE w:val="0"/>
        <w:autoSpaceDN w:val="0"/>
        <w:bidi w:val="0"/>
        <w:adjustRightInd w:val="0"/>
        <w:snapToGrid/>
        <w:spacing w:before="0" w:after="0" w:line="460" w:lineRule="exact"/>
        <w:ind w:right="23" w:rightChars="0" w:firstLine="480" w:firstLineChars="200"/>
        <w:jc w:val="both"/>
        <w:textAlignment w:val="auto"/>
        <w:outlineLvl w:val="9"/>
        <w:rPr>
          <w:rFonts w:hint="eastAsia" w:ascii="宋体" w:hAnsi="宋体" w:cs="宋体"/>
          <w:color w:val="auto"/>
          <w:sz w:val="24"/>
          <w:szCs w:val="24"/>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color w:val="auto"/>
          <w:sz w:val="24"/>
          <w:szCs w:val="24"/>
          <w:highlight w:val="none"/>
        </w:rPr>
        <w:t>日期：</w:t>
      </w:r>
      <w:r>
        <w:rPr>
          <w:rFonts w:ascii="宋体" w:hAnsi="宋体" w:eastAsia="宋体"/>
          <w:color w:val="auto"/>
          <w:sz w:val="24"/>
          <w:szCs w:val="32"/>
          <w:highlight w:val="none"/>
          <w:u w:val="single"/>
        </w:rPr>
        <w:t xml:space="preserve">  </w:t>
      </w:r>
      <w:r>
        <w:rPr>
          <w:rFonts w:hint="eastAsia" w:ascii="宋体" w:hAnsi="宋体"/>
          <w:color w:val="auto"/>
          <w:sz w:val="24"/>
          <w:szCs w:val="32"/>
          <w:highlight w:val="none"/>
          <w:u w:val="single"/>
          <w:lang w:val="en-US" w:eastAsia="zh-CN"/>
        </w:rPr>
        <w:t xml:space="preserve"> </w:t>
      </w:r>
      <w:r>
        <w:rPr>
          <w:rFonts w:ascii="宋体" w:hAnsi="宋体" w:eastAsia="宋体"/>
          <w:color w:val="auto"/>
          <w:sz w:val="24"/>
          <w:szCs w:val="32"/>
          <w:highlight w:val="none"/>
          <w:u w:val="single"/>
        </w:rPr>
        <w:t xml:space="preserve">     </w:t>
      </w:r>
      <w:r>
        <w:rPr>
          <w:rFonts w:hint="eastAsia" w:ascii="宋体" w:hAnsi="宋体" w:cs="宋体"/>
          <w:color w:val="auto"/>
          <w:sz w:val="24"/>
          <w:szCs w:val="24"/>
          <w:highlight w:val="none"/>
        </w:rPr>
        <w:t>年</w:t>
      </w:r>
      <w:r>
        <w:rPr>
          <w:rFonts w:ascii="宋体" w:hAnsi="宋体" w:eastAsia="宋体"/>
          <w:b/>
          <w:color w:val="auto"/>
          <w:sz w:val="24"/>
          <w:szCs w:val="32"/>
          <w:highlight w:val="none"/>
          <w:u w:val="single"/>
        </w:rPr>
        <w:t xml:space="preserve">     </w:t>
      </w:r>
      <w:r>
        <w:rPr>
          <w:rFonts w:hint="eastAsia" w:ascii="宋体" w:hAnsi="宋体" w:cs="宋体"/>
          <w:color w:val="auto"/>
          <w:sz w:val="24"/>
          <w:szCs w:val="24"/>
          <w:highlight w:val="none"/>
        </w:rPr>
        <w:t>月</w:t>
      </w:r>
      <w:r>
        <w:rPr>
          <w:rFonts w:ascii="宋体" w:hAnsi="宋体" w:eastAsia="宋体"/>
          <w:b/>
          <w:color w:val="auto"/>
          <w:sz w:val="24"/>
          <w:szCs w:val="32"/>
          <w:highlight w:val="none"/>
          <w:u w:val="single"/>
        </w:rPr>
        <w:t xml:space="preserve">     </w:t>
      </w:r>
      <w:r>
        <w:rPr>
          <w:rFonts w:hint="eastAsia" w:ascii="宋体" w:hAnsi="宋体" w:cs="宋体"/>
          <w:color w:val="auto"/>
          <w:sz w:val="24"/>
          <w:szCs w:val="24"/>
          <w:highlight w:val="none"/>
        </w:rPr>
        <w:t>日</w:t>
      </w:r>
    </w:p>
    <w:p w14:paraId="2617FFC4">
      <w:pPr>
        <w:spacing w:line="500" w:lineRule="exact"/>
        <w:jc w:val="center"/>
        <w:rPr>
          <w:rFonts w:ascii="宋体" w:hAnsi="宋体" w:cs="宋体"/>
          <w:b/>
          <w:bCs/>
          <w:color w:val="auto"/>
          <w:kern w:val="0"/>
          <w:sz w:val="30"/>
          <w:szCs w:val="30"/>
        </w:rPr>
      </w:pPr>
      <w:r>
        <w:rPr>
          <w:rFonts w:hint="eastAsia" w:ascii="宋体" w:hAnsi="宋体" w:cs="宋体"/>
          <w:b/>
          <w:bCs/>
          <w:color w:val="auto"/>
          <w:kern w:val="0"/>
          <w:sz w:val="30"/>
          <w:szCs w:val="30"/>
        </w:rPr>
        <w:t>三、投标函</w:t>
      </w:r>
    </w:p>
    <w:p w14:paraId="3BAB2F5E">
      <w:pPr>
        <w:spacing w:line="460" w:lineRule="exact"/>
        <w:ind w:firstLine="480" w:firstLineChars="200"/>
        <w:rPr>
          <w:rFonts w:ascii="宋体" w:hAnsi="宋体" w:cs="宋体"/>
          <w:color w:val="auto"/>
          <w:sz w:val="24"/>
        </w:rPr>
      </w:pPr>
    </w:p>
    <w:p w14:paraId="4A3AA29A">
      <w:pPr>
        <w:spacing w:line="460" w:lineRule="exact"/>
        <w:rPr>
          <w:rFonts w:ascii="宋体" w:hAnsi="宋体" w:cs="宋体"/>
          <w:color w:val="auto"/>
          <w:sz w:val="24"/>
          <w:u w:val="single"/>
        </w:rPr>
      </w:pPr>
      <w:r>
        <w:rPr>
          <w:rFonts w:hint="eastAsia" w:ascii="宋体" w:hAnsi="宋体" w:cs="宋体"/>
          <w:color w:val="auto"/>
          <w:sz w:val="24"/>
        </w:rPr>
        <w:t>致：</w:t>
      </w:r>
      <w:r>
        <w:rPr>
          <w:rFonts w:hint="eastAsia" w:ascii="宋体" w:hAnsi="宋体" w:cs="宋体"/>
          <w:color w:val="auto"/>
          <w:sz w:val="24"/>
          <w:u w:val="single"/>
        </w:rPr>
        <w:t>（采购人名称）</w:t>
      </w:r>
    </w:p>
    <w:p w14:paraId="0F5CBE1D">
      <w:pPr>
        <w:spacing w:line="460" w:lineRule="exact"/>
        <w:ind w:firstLine="480" w:firstLineChars="200"/>
        <w:rPr>
          <w:rFonts w:ascii="宋体" w:hAnsi="宋体" w:cs="宋体"/>
          <w:color w:val="auto"/>
          <w:sz w:val="24"/>
        </w:rPr>
      </w:pPr>
      <w:r>
        <w:rPr>
          <w:rFonts w:hint="eastAsia" w:ascii="宋体" w:hAnsi="宋体" w:cs="宋体"/>
          <w:color w:val="auto"/>
          <w:sz w:val="24"/>
        </w:rPr>
        <w:t>根据贵方的招标项目</w:t>
      </w:r>
      <w:r>
        <w:rPr>
          <w:rFonts w:hint="eastAsia" w:ascii="宋体" w:hAnsi="宋体" w:cs="宋体"/>
          <w:color w:val="auto"/>
          <w:sz w:val="24"/>
          <w:u w:val="single"/>
        </w:rPr>
        <w:t>（项目名称）</w:t>
      </w:r>
      <w:r>
        <w:rPr>
          <w:rFonts w:hint="eastAsia" w:ascii="宋体" w:hAnsi="宋体" w:cs="宋体"/>
          <w:color w:val="auto"/>
          <w:sz w:val="24"/>
        </w:rPr>
        <w:t>的招标文件（招标编号），经详细研究，决定参加该招标项目的投标，并提交相应投标文件。</w:t>
      </w:r>
    </w:p>
    <w:p w14:paraId="21A229F5">
      <w:pPr>
        <w:autoSpaceDE w:val="0"/>
        <w:autoSpaceDN w:val="0"/>
        <w:adjustRightInd w:val="0"/>
        <w:spacing w:line="460" w:lineRule="exact"/>
        <w:ind w:right="246" w:firstLine="480" w:firstLineChars="200"/>
        <w:rPr>
          <w:rFonts w:ascii="宋体" w:hAnsi="宋体" w:cs="宋体"/>
          <w:color w:val="auto"/>
          <w:kern w:val="0"/>
          <w:sz w:val="24"/>
        </w:rPr>
      </w:pPr>
      <w:r>
        <w:rPr>
          <w:rFonts w:hint="eastAsia" w:ascii="宋体" w:hAnsi="宋体" w:cs="宋体"/>
          <w:color w:val="auto"/>
          <w:sz w:val="24"/>
        </w:rPr>
        <w:t>据此函，我方愿意缴纳投标会议保证金人民币</w:t>
      </w:r>
      <w:r>
        <w:rPr>
          <w:rFonts w:hint="eastAsia" w:ascii="宋体" w:hAnsi="宋体" w:cs="宋体"/>
          <w:color w:val="auto"/>
          <w:sz w:val="24"/>
          <w:u w:val="single"/>
        </w:rPr>
        <w:t xml:space="preserve">  （小写）（大写）  </w:t>
      </w:r>
      <w:r>
        <w:rPr>
          <w:rFonts w:hint="eastAsia" w:ascii="宋体" w:hAnsi="宋体" w:cs="宋体"/>
          <w:color w:val="auto"/>
          <w:sz w:val="24"/>
        </w:rPr>
        <w:t>元，作为本次投标的保证，并承诺如下</w:t>
      </w:r>
      <w:r>
        <w:rPr>
          <w:rFonts w:hint="eastAsia" w:ascii="宋体" w:hAnsi="宋体" w:cs="宋体"/>
          <w:color w:val="auto"/>
          <w:kern w:val="0"/>
          <w:sz w:val="24"/>
        </w:rPr>
        <w:t>：</w:t>
      </w:r>
    </w:p>
    <w:p w14:paraId="05CF9BA5">
      <w:pPr>
        <w:spacing w:line="460" w:lineRule="exact"/>
        <w:ind w:firstLine="480" w:firstLineChars="200"/>
        <w:rPr>
          <w:rFonts w:ascii="宋体" w:hAnsi="宋体" w:cs="宋体"/>
          <w:color w:val="auto"/>
          <w:sz w:val="24"/>
        </w:rPr>
      </w:pPr>
      <w:r>
        <w:rPr>
          <w:rFonts w:hint="eastAsia" w:ascii="宋体" w:hAnsi="宋体" w:cs="宋体"/>
          <w:color w:val="auto"/>
          <w:sz w:val="24"/>
        </w:rPr>
        <w:t xml:space="preserve">1.按招标文件的要求，我方愿意按招标文件的要求提供报价，并以最优惠的价格参加本次招标项目的投标（详见投标报价（唱标）一览表）。   </w:t>
      </w:r>
    </w:p>
    <w:p w14:paraId="5E724EA0">
      <w:pPr>
        <w:spacing w:line="460" w:lineRule="exact"/>
        <w:ind w:firstLine="480" w:firstLineChars="200"/>
        <w:rPr>
          <w:rFonts w:ascii="宋体" w:hAnsi="宋体" w:cs="宋体"/>
          <w:color w:val="auto"/>
          <w:sz w:val="24"/>
        </w:rPr>
      </w:pPr>
      <w:r>
        <w:rPr>
          <w:rFonts w:hint="eastAsia" w:ascii="宋体" w:hAnsi="宋体" w:cs="宋体"/>
          <w:color w:val="auto"/>
          <w:sz w:val="24"/>
        </w:rPr>
        <w:t>2.投标有效期为递交投标文件之日起天，中标人投标有效期延至合同验收之日。</w:t>
      </w:r>
    </w:p>
    <w:p w14:paraId="604A8938">
      <w:pPr>
        <w:spacing w:line="460" w:lineRule="exact"/>
        <w:ind w:firstLine="480" w:firstLineChars="200"/>
        <w:rPr>
          <w:rFonts w:ascii="宋体" w:hAnsi="宋体" w:cs="宋体"/>
          <w:color w:val="auto"/>
          <w:sz w:val="24"/>
        </w:rPr>
      </w:pPr>
      <w:r>
        <w:rPr>
          <w:rFonts w:hint="eastAsia" w:ascii="宋体" w:hAnsi="宋体" w:cs="宋体"/>
          <w:color w:val="auto"/>
          <w:sz w:val="24"/>
        </w:rPr>
        <w:t>3.我方已经详细地阅读了全部招标文件及其附件，包括澄清及参考文件(如有)。我方已完全清晰理解招标文件的要求，不存在任何含糊不清和误解之处，同意放弃对这些文件所提出的异议和质疑的权利。</w:t>
      </w:r>
    </w:p>
    <w:p w14:paraId="15192BAB">
      <w:pPr>
        <w:spacing w:line="460" w:lineRule="exact"/>
        <w:ind w:firstLine="480" w:firstLineChars="200"/>
        <w:rPr>
          <w:rFonts w:ascii="宋体" w:hAnsi="宋体" w:cs="宋体"/>
          <w:color w:val="auto"/>
          <w:sz w:val="24"/>
        </w:rPr>
      </w:pPr>
      <w:r>
        <w:rPr>
          <w:rFonts w:hint="eastAsia" w:ascii="宋体" w:hAnsi="宋体" w:cs="宋体"/>
          <w:color w:val="auto"/>
          <w:sz w:val="24"/>
        </w:rPr>
        <w:t>4.如果在开标后规定的投标有效期内撤回投标，我们的投标保证金可不予退还。</w:t>
      </w:r>
    </w:p>
    <w:p w14:paraId="618652C3">
      <w:pPr>
        <w:spacing w:line="460" w:lineRule="exact"/>
        <w:ind w:firstLine="480" w:firstLineChars="200"/>
        <w:rPr>
          <w:rFonts w:ascii="宋体" w:hAnsi="宋体" w:cs="宋体"/>
          <w:color w:val="auto"/>
          <w:sz w:val="24"/>
        </w:rPr>
      </w:pPr>
      <w:r>
        <w:rPr>
          <w:rFonts w:hint="eastAsia" w:ascii="宋体" w:hAnsi="宋体" w:cs="宋体"/>
          <w:color w:val="auto"/>
          <w:sz w:val="24"/>
        </w:rPr>
        <w:t>5.我方已毫无保留地向贵方提供一切所需的证明材料。</w:t>
      </w:r>
    </w:p>
    <w:p w14:paraId="43EB8D23">
      <w:pPr>
        <w:spacing w:line="460" w:lineRule="exact"/>
        <w:ind w:firstLine="480" w:firstLineChars="200"/>
        <w:rPr>
          <w:rFonts w:ascii="宋体" w:hAnsi="宋体" w:cs="宋体"/>
          <w:color w:val="auto"/>
          <w:sz w:val="24"/>
        </w:rPr>
      </w:pPr>
      <w:r>
        <w:rPr>
          <w:rFonts w:hint="eastAsia" w:ascii="宋体" w:hAnsi="宋体" w:cs="宋体"/>
          <w:color w:val="auto"/>
          <w:sz w:val="24"/>
        </w:rPr>
        <w:t>6.我方承诺在本次投标文件中提供的一切文件，无论是复印件还是扫描件均为真实和准确的，绝无任何虚假、伪造和夸大的成分，否则，愿承担相应的后果和法律责任。</w:t>
      </w:r>
    </w:p>
    <w:p w14:paraId="73C55CD0">
      <w:pPr>
        <w:spacing w:line="460" w:lineRule="exact"/>
        <w:ind w:firstLine="480" w:firstLineChars="200"/>
        <w:rPr>
          <w:rFonts w:ascii="宋体" w:hAnsi="宋体" w:cs="宋体"/>
          <w:color w:val="auto"/>
          <w:sz w:val="24"/>
        </w:rPr>
      </w:pPr>
      <w:r>
        <w:rPr>
          <w:rFonts w:hint="eastAsia" w:ascii="宋体" w:hAnsi="宋体" w:cs="宋体"/>
          <w:color w:val="auto"/>
          <w:sz w:val="24"/>
        </w:rPr>
        <w:t>7.我方完全服从和尊重评委会所作的评定结果，同时清楚理解到报价最低并非意味着必定获得中标资格。</w:t>
      </w:r>
    </w:p>
    <w:p w14:paraId="3647ADB4">
      <w:pPr>
        <w:spacing w:line="460" w:lineRule="exact"/>
        <w:ind w:firstLine="480" w:firstLineChars="200"/>
        <w:rPr>
          <w:rFonts w:ascii="宋体" w:hAnsi="宋体" w:cs="宋体"/>
          <w:color w:val="auto"/>
          <w:sz w:val="24"/>
        </w:rPr>
      </w:pPr>
      <w:r>
        <w:rPr>
          <w:rFonts w:hint="eastAsia" w:ascii="宋体" w:hAnsi="宋体" w:cs="宋体"/>
          <w:color w:val="auto"/>
          <w:sz w:val="24"/>
        </w:rPr>
        <w:t xml:space="preserve">8.一旦我方中标，我们将根据招标文件及其有效补充文件的规定，严格按照相关法律法规履行自己的责任和义务。 </w:t>
      </w:r>
    </w:p>
    <w:p w14:paraId="1573F3E5">
      <w:pPr>
        <w:spacing w:line="460" w:lineRule="exact"/>
        <w:rPr>
          <w:rFonts w:ascii="宋体" w:hAnsi="宋体" w:cs="宋体"/>
          <w:color w:val="auto"/>
          <w:sz w:val="24"/>
        </w:rPr>
      </w:pPr>
    </w:p>
    <w:p w14:paraId="6535D9A2">
      <w:pPr>
        <w:keepNext w:val="0"/>
        <w:keepLines w:val="0"/>
        <w:pageBreakBefore w:val="0"/>
        <w:widowControl w:val="0"/>
        <w:kinsoku/>
        <w:wordWrap/>
        <w:overflowPunct/>
        <w:topLinePunct w:val="0"/>
        <w:bidi w:val="0"/>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投标人全称（加盖电子公章）：</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0E6D153F">
      <w:pPr>
        <w:pStyle w:val="7"/>
        <w:ind w:firstLine="480" w:firstLineChars="200"/>
        <w:rPr>
          <w:rFonts w:hint="eastAsia"/>
          <w:color w:val="auto"/>
        </w:rPr>
      </w:pPr>
      <w:r>
        <w:rPr>
          <w:rFonts w:hint="eastAsia" w:ascii="宋体" w:hAnsi="宋体" w:eastAsia="宋体" w:cs="宋体"/>
          <w:color w:val="auto"/>
          <w:sz w:val="24"/>
          <w:szCs w:val="24"/>
          <w:highlight w:val="none"/>
        </w:rPr>
        <w:t>法定代表人或授权代理人（电子签章或电子签名）：</w:t>
      </w:r>
      <w:r>
        <w:rPr>
          <w:rFonts w:hint="eastAsia" w:ascii="宋体" w:hAnsi="宋体" w:eastAsia="宋体" w:cs="宋体"/>
          <w:color w:val="auto"/>
          <w:sz w:val="24"/>
          <w:szCs w:val="24"/>
          <w:highlight w:val="none"/>
          <w:u w:val="single"/>
        </w:rPr>
        <w:t xml:space="preserve">                    </w:t>
      </w:r>
    </w:p>
    <w:p w14:paraId="1597C5F0">
      <w:pPr>
        <w:keepNext w:val="0"/>
        <w:keepLines w:val="0"/>
        <w:pageBreakBefore w:val="0"/>
        <w:widowControl w:val="0"/>
        <w:kinsoku/>
        <w:wordWrap/>
        <w:overflowPunct/>
        <w:topLinePunct w:val="0"/>
        <w:bidi w:val="0"/>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4ADCEA11">
      <w:pPr>
        <w:keepNext w:val="0"/>
        <w:keepLines w:val="0"/>
        <w:pageBreakBefore w:val="0"/>
        <w:widowControl w:val="0"/>
        <w:kinsoku/>
        <w:wordWrap/>
        <w:overflowPunct/>
        <w:topLinePunct w:val="0"/>
        <w:bidi w:val="0"/>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42F3D682">
      <w:pPr>
        <w:keepNext w:val="0"/>
        <w:keepLines w:val="0"/>
        <w:pageBreakBefore w:val="0"/>
        <w:widowControl w:val="0"/>
        <w:kinsoku/>
        <w:wordWrap/>
        <w:overflowPunct/>
        <w:topLinePunct w:val="0"/>
        <w:bidi w:val="0"/>
        <w:snapToGrid/>
        <w:spacing w:line="460" w:lineRule="exact"/>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rPr>
        <w:t xml:space="preserve">                    </w:t>
      </w:r>
    </w:p>
    <w:p w14:paraId="52CEFE31">
      <w:pPr>
        <w:spacing w:line="500" w:lineRule="exact"/>
        <w:ind w:firstLine="420" w:firstLineChars="200"/>
        <w:jc w:val="center"/>
        <w:rPr>
          <w:rFonts w:ascii="宋体" w:hAnsi="宋体" w:cs="宋体"/>
          <w:color w:val="auto"/>
          <w:szCs w:val="21"/>
          <w:u w:val="single"/>
        </w:rPr>
        <w:sectPr>
          <w:pgSz w:w="11906" w:h="16838"/>
          <w:pgMar w:top="1440" w:right="1080" w:bottom="1440" w:left="1080" w:header="851" w:footer="992" w:gutter="0"/>
          <w:pgNumType w:fmt="decimal"/>
          <w:cols w:space="720" w:num="1"/>
          <w:docGrid w:type="lines" w:linePitch="312" w:charSpace="0"/>
        </w:sectPr>
      </w:pPr>
    </w:p>
    <w:p w14:paraId="3B180C8F">
      <w:pPr>
        <w:spacing w:line="500" w:lineRule="exact"/>
        <w:jc w:val="center"/>
        <w:rPr>
          <w:rFonts w:ascii="宋体" w:hAnsi="宋体" w:cs="宋体"/>
          <w:b/>
          <w:bCs/>
          <w:color w:val="auto"/>
          <w:kern w:val="0"/>
          <w:sz w:val="30"/>
          <w:szCs w:val="30"/>
        </w:rPr>
      </w:pPr>
      <w:r>
        <w:rPr>
          <w:rFonts w:hint="eastAsia" w:ascii="宋体" w:hAnsi="宋体" w:cs="宋体"/>
          <w:b/>
          <w:bCs/>
          <w:color w:val="auto"/>
          <w:kern w:val="0"/>
          <w:sz w:val="30"/>
          <w:szCs w:val="30"/>
        </w:rPr>
        <w:t>四、法定代表人资格证明书及授权委托书</w:t>
      </w:r>
    </w:p>
    <w:p w14:paraId="0C586847">
      <w:pPr>
        <w:spacing w:line="460" w:lineRule="exact"/>
        <w:ind w:firstLine="482" w:firstLineChars="200"/>
        <w:jc w:val="center"/>
        <w:rPr>
          <w:rFonts w:ascii="宋体" w:hAnsi="宋体"/>
          <w:b/>
          <w:color w:val="auto"/>
          <w:sz w:val="24"/>
        </w:rPr>
      </w:pPr>
    </w:p>
    <w:p w14:paraId="474DBEB4">
      <w:pPr>
        <w:spacing w:line="460" w:lineRule="exact"/>
        <w:ind w:firstLine="562" w:firstLineChars="200"/>
        <w:jc w:val="center"/>
        <w:rPr>
          <w:rFonts w:ascii="宋体" w:hAnsi="宋体"/>
          <w:b/>
          <w:color w:val="auto"/>
          <w:sz w:val="28"/>
          <w:szCs w:val="28"/>
        </w:rPr>
      </w:pPr>
      <w:r>
        <w:rPr>
          <w:rFonts w:hint="eastAsia" w:ascii="宋体" w:hAnsi="宋体"/>
          <w:b/>
          <w:color w:val="auto"/>
          <w:sz w:val="28"/>
          <w:szCs w:val="28"/>
        </w:rPr>
        <w:t>（一）法定代表人资格证明书</w:t>
      </w:r>
    </w:p>
    <w:p w14:paraId="6A325107">
      <w:pPr>
        <w:spacing w:line="460" w:lineRule="exact"/>
        <w:rPr>
          <w:rFonts w:ascii="宋体" w:hAnsi="宋体"/>
          <w:color w:val="auto"/>
          <w:sz w:val="24"/>
        </w:rPr>
      </w:pPr>
    </w:p>
    <w:p w14:paraId="0DD7250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ascii="宋体" w:hAnsi="宋体"/>
          <w:color w:val="auto"/>
          <w:sz w:val="24"/>
          <w:szCs w:val="24"/>
          <w:highlight w:val="none"/>
        </w:rPr>
      </w:pPr>
      <w:r>
        <w:rPr>
          <w:rFonts w:hint="eastAsia" w:ascii="宋体" w:hAnsi="宋体"/>
          <w:color w:val="auto"/>
          <w:sz w:val="24"/>
          <w:szCs w:val="24"/>
          <w:highlight w:val="none"/>
        </w:rPr>
        <w:t>投标人名称：</w:t>
      </w:r>
      <w:r>
        <w:rPr>
          <w:rFonts w:hint="eastAsia" w:ascii="宋体" w:hAnsi="宋体"/>
          <w:color w:val="auto"/>
          <w:sz w:val="24"/>
          <w:szCs w:val="24"/>
          <w:highlight w:val="none"/>
          <w:u w:val="single"/>
        </w:rPr>
        <w:t xml:space="preserve">                                                        </w:t>
      </w:r>
    </w:p>
    <w:p w14:paraId="7EDDA17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ascii="宋体" w:hAnsi="宋体"/>
          <w:color w:val="auto"/>
          <w:sz w:val="24"/>
          <w:szCs w:val="24"/>
          <w:highlight w:val="none"/>
        </w:rPr>
      </w:pPr>
    </w:p>
    <w:p w14:paraId="5213A98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ascii="宋体" w:hAnsi="宋体"/>
          <w:color w:val="auto"/>
          <w:sz w:val="24"/>
          <w:szCs w:val="24"/>
          <w:highlight w:val="none"/>
        </w:rPr>
      </w:pPr>
      <w:r>
        <w:rPr>
          <w:rFonts w:hint="eastAsia" w:ascii="宋体" w:hAnsi="宋体"/>
          <w:color w:val="auto"/>
          <w:sz w:val="24"/>
          <w:szCs w:val="24"/>
          <w:highlight w:val="none"/>
        </w:rPr>
        <w:t>地址：</w:t>
      </w:r>
      <w:r>
        <w:rPr>
          <w:rFonts w:hint="eastAsia" w:ascii="宋体" w:hAnsi="宋体"/>
          <w:color w:val="auto"/>
          <w:sz w:val="24"/>
          <w:szCs w:val="24"/>
          <w:highlight w:val="none"/>
          <w:u w:val="single"/>
        </w:rPr>
        <w:softHyphen/>
      </w:r>
      <w:r>
        <w:rPr>
          <w:rFonts w:hint="eastAsia" w:ascii="宋体" w:hAnsi="宋体"/>
          <w:color w:val="auto"/>
          <w:sz w:val="24"/>
          <w:szCs w:val="24"/>
          <w:highlight w:val="none"/>
          <w:u w:val="single"/>
        </w:rPr>
        <w:softHyphen/>
      </w:r>
      <w:r>
        <w:rPr>
          <w:rFonts w:hint="eastAsia" w:ascii="宋体" w:hAnsi="宋体"/>
          <w:color w:val="auto"/>
          <w:sz w:val="24"/>
          <w:szCs w:val="24"/>
          <w:highlight w:val="none"/>
          <w:u w:val="single"/>
        </w:rPr>
        <w:t xml:space="preserve">                                                              </w:t>
      </w:r>
    </w:p>
    <w:p w14:paraId="7D9BE9A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ascii="宋体" w:hAnsi="宋体"/>
          <w:color w:val="auto"/>
          <w:sz w:val="24"/>
          <w:szCs w:val="24"/>
          <w:highlight w:val="none"/>
        </w:rPr>
      </w:pPr>
    </w:p>
    <w:p w14:paraId="010C3A7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ascii="宋体" w:hAnsi="宋体"/>
          <w:color w:val="auto"/>
          <w:sz w:val="24"/>
          <w:szCs w:val="24"/>
          <w:highlight w:val="none"/>
        </w:rPr>
      </w:pPr>
      <w:r>
        <w:rPr>
          <w:rFonts w:hint="eastAsia" w:ascii="宋体" w:hAnsi="宋体"/>
          <w:color w:val="auto"/>
          <w:sz w:val="24"/>
          <w:szCs w:val="24"/>
          <w:highlight w:val="none"/>
        </w:rPr>
        <w:t>姓名：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性别：</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职务：</w:t>
      </w:r>
      <w:r>
        <w:rPr>
          <w:rFonts w:hint="eastAsia" w:ascii="宋体" w:hAnsi="宋体"/>
          <w:color w:val="auto"/>
          <w:sz w:val="24"/>
          <w:szCs w:val="24"/>
          <w:highlight w:val="none"/>
          <w:u w:val="single"/>
        </w:rPr>
        <w:t xml:space="preserve">                </w:t>
      </w:r>
    </w:p>
    <w:p w14:paraId="1DC7F37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ascii="宋体" w:hAnsi="宋体"/>
          <w:color w:val="auto"/>
          <w:sz w:val="24"/>
          <w:szCs w:val="24"/>
          <w:highlight w:val="none"/>
        </w:rPr>
      </w:pPr>
    </w:p>
    <w:p w14:paraId="7E84763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ascii="宋体" w:hAnsi="宋体"/>
          <w:color w:val="auto"/>
          <w:sz w:val="24"/>
          <w:szCs w:val="24"/>
          <w:highlight w:val="none"/>
        </w:rPr>
      </w:pPr>
      <w:r>
        <w:rPr>
          <w:rFonts w:hint="eastAsia" w:ascii="宋体" w:hAnsi="宋体"/>
          <w:color w:val="auto"/>
          <w:sz w:val="24"/>
          <w:szCs w:val="24"/>
          <w:highlight w:val="none"/>
        </w:rPr>
        <w:t>系</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（投标人）的法定代表人。</w:t>
      </w:r>
    </w:p>
    <w:p w14:paraId="15EF2DF3">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ascii="宋体" w:hAnsi="宋体"/>
          <w:color w:val="auto"/>
          <w:sz w:val="24"/>
          <w:szCs w:val="24"/>
          <w:highlight w:val="none"/>
        </w:rPr>
      </w:pPr>
    </w:p>
    <w:p w14:paraId="40A2F3C2">
      <w:pPr>
        <w:keepNext w:val="0"/>
        <w:keepLines w:val="0"/>
        <w:pageBreakBefore w:val="0"/>
        <w:widowControl w:val="0"/>
        <w:kinsoku/>
        <w:wordWrap/>
        <w:overflowPunct/>
        <w:topLinePunct w:val="0"/>
        <w:autoSpaceDE/>
        <w:autoSpaceDN/>
        <w:bidi w:val="0"/>
        <w:adjustRightInd/>
        <w:snapToGrid/>
        <w:spacing w:line="460" w:lineRule="exact"/>
        <w:ind w:firstLine="1440" w:firstLineChars="600"/>
        <w:textAlignment w:val="auto"/>
        <w:outlineLvl w:val="9"/>
        <w:rPr>
          <w:rFonts w:ascii="宋体" w:hAnsi="宋体"/>
          <w:color w:val="auto"/>
          <w:sz w:val="24"/>
          <w:szCs w:val="24"/>
          <w:highlight w:val="none"/>
        </w:rPr>
      </w:pPr>
      <w:r>
        <w:rPr>
          <w:rFonts w:hint="eastAsia" w:ascii="宋体" w:hAnsi="宋体"/>
          <w:color w:val="auto"/>
          <w:sz w:val="24"/>
          <w:szCs w:val="24"/>
          <w:highlight w:val="none"/>
        </w:rPr>
        <w:t>特此证明</w:t>
      </w:r>
    </w:p>
    <w:p w14:paraId="22B1BD70">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ascii="宋体" w:hAnsi="宋体"/>
          <w:color w:val="auto"/>
          <w:sz w:val="24"/>
          <w:szCs w:val="24"/>
          <w:highlight w:val="none"/>
        </w:rPr>
      </w:pPr>
    </w:p>
    <w:p w14:paraId="6844C048">
      <w:pPr>
        <w:keepNext w:val="0"/>
        <w:keepLines w:val="0"/>
        <w:pageBreakBefore w:val="0"/>
        <w:widowControl w:val="0"/>
        <w:kinsoku/>
        <w:wordWrap/>
        <w:overflowPunct/>
        <w:topLinePunct w:val="0"/>
        <w:autoSpaceDE/>
        <w:autoSpaceDN/>
        <w:bidi w:val="0"/>
        <w:adjustRightInd/>
        <w:snapToGrid/>
        <w:spacing w:line="460" w:lineRule="exact"/>
        <w:ind w:firstLine="4320" w:firstLineChars="1800"/>
        <w:textAlignment w:val="auto"/>
        <w:outlineLvl w:val="9"/>
        <w:rPr>
          <w:rFonts w:ascii="宋体" w:hAnsi="宋体"/>
          <w:color w:val="auto"/>
          <w:sz w:val="24"/>
          <w:szCs w:val="24"/>
          <w:highlight w:val="none"/>
        </w:rPr>
      </w:pPr>
      <w:r>
        <w:rPr>
          <w:rFonts w:hint="eastAsia" w:ascii="宋体" w:hAnsi="宋体"/>
          <w:color w:val="auto"/>
          <w:sz w:val="24"/>
          <w:szCs w:val="24"/>
          <w:highlight w:val="none"/>
        </w:rPr>
        <w:t>投标人全称（加盖电子公章）：</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 </w:t>
      </w:r>
    </w:p>
    <w:p w14:paraId="7496788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ascii="宋体" w:hAnsi="宋体"/>
          <w:color w:val="auto"/>
          <w:sz w:val="24"/>
          <w:szCs w:val="24"/>
          <w:highlight w:val="none"/>
        </w:rPr>
      </w:pPr>
    </w:p>
    <w:p w14:paraId="04A9118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color w:val="auto"/>
          <w:sz w:val="24"/>
          <w:szCs w:val="24"/>
          <w:highlight w:val="none"/>
        </w:rPr>
        <w:t>年</w:t>
      </w:r>
      <w:r>
        <w:rPr>
          <w:rFonts w:ascii="宋体" w:hAnsi="宋体" w:eastAsia="宋体"/>
          <w:b/>
          <w:color w:val="auto"/>
          <w:sz w:val="24"/>
          <w:szCs w:val="24"/>
          <w:highlight w:val="none"/>
          <w:u w:val="single"/>
        </w:rPr>
        <w:t xml:space="preserve">     </w:t>
      </w:r>
      <w:r>
        <w:rPr>
          <w:rFonts w:hint="eastAsia" w:ascii="宋体" w:hAnsi="宋体"/>
          <w:color w:val="auto"/>
          <w:sz w:val="24"/>
          <w:szCs w:val="24"/>
          <w:highlight w:val="none"/>
        </w:rPr>
        <w:t>月</w:t>
      </w:r>
      <w:r>
        <w:rPr>
          <w:rFonts w:ascii="宋体" w:hAnsi="宋体" w:eastAsia="宋体"/>
          <w:b/>
          <w:color w:val="auto"/>
          <w:sz w:val="24"/>
          <w:szCs w:val="24"/>
          <w:highlight w:val="none"/>
          <w:u w:val="single"/>
        </w:rPr>
        <w:t xml:space="preserve">     </w:t>
      </w:r>
      <w:r>
        <w:rPr>
          <w:rFonts w:hint="eastAsia" w:ascii="宋体" w:hAnsi="宋体"/>
          <w:color w:val="auto"/>
          <w:sz w:val="24"/>
          <w:szCs w:val="24"/>
          <w:highlight w:val="none"/>
        </w:rPr>
        <w:t>日</w:t>
      </w:r>
    </w:p>
    <w:p w14:paraId="72B0E7E6">
      <w:pPr>
        <w:pStyle w:val="23"/>
        <w:ind w:firstLine="480"/>
        <w:rPr>
          <w:color w:val="auto"/>
          <w:sz w:val="24"/>
          <w:szCs w:val="24"/>
        </w:rPr>
      </w:pPr>
    </w:p>
    <w:p w14:paraId="7D003172">
      <w:pPr>
        <w:spacing w:line="480" w:lineRule="auto"/>
        <w:rPr>
          <w:rFonts w:ascii="宋体" w:hAnsi="宋体"/>
          <w:b/>
          <w:color w:val="auto"/>
          <w:sz w:val="24"/>
        </w:rPr>
      </w:pPr>
      <w:r>
        <w:rPr>
          <w:rFonts w:hint="eastAsia" w:ascii="宋体" w:hAnsi="宋体"/>
          <w:b/>
          <w:color w:val="auto"/>
          <w:sz w:val="24"/>
        </w:rPr>
        <w:t>附：法定代表人身份证扫描件或复印件</w:t>
      </w:r>
    </w:p>
    <w:tbl>
      <w:tblPr>
        <w:tblStyle w:val="24"/>
        <w:tblW w:w="9720" w:type="dxa"/>
        <w:tblInd w:w="-209"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9720"/>
      </w:tblGrid>
      <w:tr w14:paraId="31C30E73">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3701" w:hRule="atLeast"/>
        </w:trPr>
        <w:tc>
          <w:tcPr>
            <w:tcW w:w="9720" w:type="dxa"/>
            <w:noWrap/>
            <w:vAlign w:val="center"/>
          </w:tcPr>
          <w:p w14:paraId="749A6F53">
            <w:pPr>
              <w:pStyle w:val="20"/>
              <w:spacing w:line="480" w:lineRule="auto"/>
              <w:jc w:val="center"/>
              <w:rPr>
                <w:rFonts w:ascii="宋体" w:hAnsi="宋体"/>
                <w:color w:val="auto"/>
              </w:rPr>
            </w:pPr>
            <w:r>
              <w:rPr>
                <w:rFonts w:hint="eastAsia" w:ascii="宋体" w:hAnsi="宋体"/>
                <w:color w:val="auto"/>
              </w:rPr>
              <w:t>法定代表人身份证扫描件（正、反面）</w:t>
            </w:r>
          </w:p>
        </w:tc>
      </w:tr>
    </w:tbl>
    <w:p w14:paraId="169D6394">
      <w:pPr>
        <w:spacing w:line="500" w:lineRule="exact"/>
        <w:ind w:firstLine="422" w:firstLineChars="200"/>
        <w:jc w:val="center"/>
        <w:rPr>
          <w:rFonts w:ascii="宋体" w:hAnsi="宋体"/>
          <w:b/>
          <w:color w:val="auto"/>
          <w:szCs w:val="21"/>
        </w:rPr>
        <w:sectPr>
          <w:pgSz w:w="11906" w:h="16838"/>
          <w:pgMar w:top="1440" w:right="1080" w:bottom="1440" w:left="1080" w:header="851" w:footer="992" w:gutter="0"/>
          <w:pgNumType w:fmt="decimal"/>
          <w:cols w:space="720" w:num="1"/>
          <w:docGrid w:type="lines" w:linePitch="312" w:charSpace="0"/>
        </w:sectPr>
      </w:pPr>
    </w:p>
    <w:p w14:paraId="69A5A031">
      <w:pPr>
        <w:spacing w:afterLines="100" w:line="500" w:lineRule="exact"/>
        <w:jc w:val="center"/>
        <w:rPr>
          <w:rFonts w:ascii="宋体" w:hAnsi="宋体" w:cs="宋体"/>
          <w:b/>
          <w:color w:val="auto"/>
          <w:sz w:val="28"/>
          <w:szCs w:val="28"/>
        </w:rPr>
      </w:pPr>
      <w:r>
        <w:rPr>
          <w:rFonts w:hint="eastAsia" w:ascii="宋体" w:hAnsi="宋体" w:cs="宋体"/>
          <w:b/>
          <w:bCs/>
          <w:color w:val="auto"/>
          <w:kern w:val="0"/>
          <w:sz w:val="28"/>
          <w:szCs w:val="28"/>
        </w:rPr>
        <w:t>（二）授权委托书</w:t>
      </w:r>
    </w:p>
    <w:p w14:paraId="71770BA7">
      <w:pPr>
        <w:spacing w:line="460" w:lineRule="exact"/>
        <w:ind w:firstLine="480" w:firstLineChars="200"/>
        <w:rPr>
          <w:rFonts w:ascii="宋体" w:hAnsi="宋体" w:cs="宋体"/>
          <w:b/>
          <w:bCs/>
          <w:color w:val="auto"/>
          <w:sz w:val="24"/>
          <w:u w:val="single"/>
        </w:rPr>
      </w:pPr>
      <w:r>
        <w:rPr>
          <w:rFonts w:hint="eastAsia" w:ascii="宋体" w:hAnsi="宋体" w:cs="宋体"/>
          <w:color w:val="auto"/>
          <w:sz w:val="24"/>
        </w:rPr>
        <w:t>本授权委托书声明：我</w:t>
      </w:r>
      <w:r>
        <w:rPr>
          <w:rFonts w:hint="eastAsia" w:ascii="宋体" w:hAnsi="宋体" w:cs="宋体"/>
          <w:color w:val="auto"/>
          <w:sz w:val="24"/>
          <w:u w:val="single"/>
        </w:rPr>
        <w:t>(姓名)</w:t>
      </w:r>
      <w:r>
        <w:rPr>
          <w:rFonts w:hint="eastAsia" w:ascii="宋体" w:hAnsi="宋体" w:cs="宋体"/>
          <w:color w:val="auto"/>
          <w:sz w:val="24"/>
        </w:rPr>
        <w:t>系</w:t>
      </w:r>
      <w:r>
        <w:rPr>
          <w:rFonts w:hint="eastAsia" w:ascii="宋体" w:hAnsi="宋体" w:cs="宋体"/>
          <w:color w:val="auto"/>
          <w:sz w:val="24"/>
          <w:u w:val="single"/>
        </w:rPr>
        <w:t>(投标人名称)</w:t>
      </w:r>
      <w:r>
        <w:rPr>
          <w:rFonts w:hint="eastAsia" w:ascii="宋体" w:hAnsi="宋体" w:cs="宋体"/>
          <w:color w:val="auto"/>
          <w:sz w:val="24"/>
        </w:rPr>
        <w:t>的法定代表人，现授权委托我单位的</w:t>
      </w:r>
      <w:r>
        <w:rPr>
          <w:rFonts w:hint="eastAsia" w:ascii="宋体" w:hAnsi="宋体" w:cs="宋体"/>
          <w:color w:val="auto"/>
          <w:sz w:val="24"/>
          <w:u w:val="single"/>
        </w:rPr>
        <w:t xml:space="preserve"> (姓名)</w:t>
      </w:r>
      <w:r>
        <w:rPr>
          <w:rFonts w:hint="eastAsia" w:ascii="宋体" w:hAnsi="宋体" w:cs="宋体"/>
          <w:color w:val="auto"/>
          <w:sz w:val="24"/>
        </w:rPr>
        <w:t>为我公司代理人，以公司名义参加</w:t>
      </w:r>
      <w:r>
        <w:rPr>
          <w:rFonts w:hint="eastAsia" w:ascii="宋体" w:hAnsi="宋体" w:cs="宋体"/>
          <w:color w:val="auto"/>
          <w:kern w:val="0"/>
          <w:sz w:val="24"/>
          <w:u w:val="single"/>
        </w:rPr>
        <w:t>（项目名称）</w:t>
      </w:r>
      <w:r>
        <w:rPr>
          <w:rFonts w:hint="eastAsia" w:ascii="宋体" w:hAnsi="宋体" w:cs="宋体"/>
          <w:color w:val="auto"/>
          <w:sz w:val="24"/>
          <w:u w:val="single"/>
        </w:rPr>
        <w:t>（招标编号）</w:t>
      </w:r>
      <w:r>
        <w:rPr>
          <w:rFonts w:hint="eastAsia" w:ascii="宋体" w:hAnsi="宋体" w:cs="宋体"/>
          <w:color w:val="auto"/>
          <w:sz w:val="24"/>
        </w:rPr>
        <w:t>的投标活动。代理人在开标、评标过程中所签署的一切文件和处理与之有关的一切事务，我均予以承认。</w:t>
      </w:r>
    </w:p>
    <w:p w14:paraId="622FC56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年龄：</w:t>
      </w:r>
      <w:r>
        <w:rPr>
          <w:rFonts w:hint="eastAsia" w:ascii="宋体" w:hAnsi="宋体" w:eastAsia="宋体" w:cs="宋体"/>
          <w:color w:val="auto"/>
          <w:sz w:val="24"/>
          <w:szCs w:val="24"/>
          <w:highlight w:val="none"/>
          <w:u w:val="single"/>
        </w:rPr>
        <w:t xml:space="preserve">          </w:t>
      </w:r>
    </w:p>
    <w:p w14:paraId="2FA2E1D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部  门：</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职务：</w:t>
      </w:r>
      <w:r>
        <w:rPr>
          <w:rFonts w:hint="eastAsia" w:ascii="宋体" w:hAnsi="宋体" w:eastAsia="宋体" w:cs="宋体"/>
          <w:color w:val="auto"/>
          <w:sz w:val="24"/>
          <w:szCs w:val="24"/>
          <w:highlight w:val="none"/>
          <w:u w:val="single"/>
        </w:rPr>
        <w:t xml:space="preserve">           </w:t>
      </w:r>
    </w:p>
    <w:p w14:paraId="1F73F76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zh-CN"/>
        </w:rPr>
        <w:t>委托期限</w:t>
      </w:r>
      <w:r>
        <w:rPr>
          <w:rFonts w:hint="eastAsia" w:ascii="宋体" w:hAnsi="宋体" w:cs="宋体"/>
          <w:color w:val="auto"/>
          <w:sz w:val="24"/>
          <w:szCs w:val="24"/>
          <w:highlight w:val="none"/>
        </w:rPr>
        <w:t>：自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zh-CN"/>
        </w:rPr>
        <w:t>。</w:t>
      </w:r>
    </w:p>
    <w:p w14:paraId="5875984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代理人无转委权。特此委托。</w:t>
      </w:r>
    </w:p>
    <w:p w14:paraId="35299BD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rPr>
      </w:pPr>
    </w:p>
    <w:p w14:paraId="01CF969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投标人全称（加盖电子公章）：</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E08C0B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法定代表人（电子签章或电子签名）：</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p>
    <w:p w14:paraId="21E6D23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lang w:eastAsia="zh-CN"/>
        </w:rPr>
        <w:t>授权代理人（</w:t>
      </w:r>
      <w:r>
        <w:rPr>
          <w:rFonts w:hint="eastAsia" w:ascii="宋体" w:hAnsi="宋体" w:cs="宋体"/>
          <w:color w:val="auto"/>
          <w:sz w:val="24"/>
          <w:szCs w:val="24"/>
          <w:highlight w:val="none"/>
          <w:lang w:val="en-US" w:eastAsia="zh-CN"/>
        </w:rPr>
        <w:t>姓名</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single"/>
          <w:lang w:val="en-US" w:eastAsia="zh-CN"/>
        </w:rPr>
        <w:t xml:space="preserve">                                   </w:t>
      </w:r>
    </w:p>
    <w:p w14:paraId="7CA38B1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联系电话：</w:t>
      </w:r>
      <w:r>
        <w:rPr>
          <w:rFonts w:hint="eastAsia" w:ascii="宋体" w:hAnsi="宋体" w:cs="宋体"/>
          <w:color w:val="auto"/>
          <w:sz w:val="24"/>
          <w:szCs w:val="24"/>
          <w:highlight w:val="none"/>
          <w:u w:val="single"/>
          <w:lang w:val="en-US" w:eastAsia="zh-CN"/>
        </w:rPr>
        <w:t xml:space="preserve">                                             </w:t>
      </w:r>
    </w:p>
    <w:p w14:paraId="4CB8259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ascii="宋体" w:hAnsi="宋体" w:eastAsia="宋体"/>
          <w:b/>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ascii="宋体" w:hAnsi="宋体" w:eastAsia="宋体"/>
          <w:b/>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9EDA794">
      <w:pPr>
        <w:spacing w:line="460" w:lineRule="exact"/>
        <w:ind w:firstLine="3840" w:firstLineChars="1600"/>
        <w:rPr>
          <w:rFonts w:ascii="宋体" w:hAnsi="宋体" w:cs="宋体"/>
          <w:color w:val="auto"/>
          <w:sz w:val="24"/>
        </w:rPr>
      </w:pPr>
    </w:p>
    <w:p w14:paraId="3078FD34">
      <w:pPr>
        <w:pStyle w:val="23"/>
        <w:ind w:firstLine="480"/>
        <w:rPr>
          <w:color w:val="auto"/>
          <w:sz w:val="24"/>
          <w:szCs w:val="24"/>
        </w:rPr>
      </w:pPr>
    </w:p>
    <w:p w14:paraId="7D77F733">
      <w:pPr>
        <w:rPr>
          <w:rFonts w:ascii="宋体" w:hAnsi="宋体"/>
          <w:b/>
          <w:bCs/>
          <w:color w:val="auto"/>
          <w:sz w:val="24"/>
        </w:rPr>
      </w:pPr>
      <w:r>
        <w:rPr>
          <w:rFonts w:hint="eastAsia" w:ascii="宋体" w:hAnsi="宋体"/>
          <w:b/>
          <w:bCs/>
          <w:color w:val="auto"/>
          <w:sz w:val="24"/>
        </w:rPr>
        <w:t>附：授权代理人身份证扫描件或复印件</w:t>
      </w:r>
    </w:p>
    <w:tbl>
      <w:tblPr>
        <w:tblStyle w:val="24"/>
        <w:tblW w:w="9936"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9936"/>
      </w:tblGrid>
      <w:tr w14:paraId="13E1962A">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3805" w:hRule="atLeast"/>
          <w:jc w:val="center"/>
        </w:trPr>
        <w:tc>
          <w:tcPr>
            <w:tcW w:w="9936" w:type="dxa"/>
            <w:noWrap/>
            <w:vAlign w:val="center"/>
          </w:tcPr>
          <w:p w14:paraId="06B110B1">
            <w:pPr>
              <w:pStyle w:val="20"/>
              <w:spacing w:line="360" w:lineRule="exact"/>
              <w:jc w:val="center"/>
              <w:rPr>
                <w:rFonts w:ascii="宋体" w:hAnsi="宋体"/>
                <w:color w:val="auto"/>
              </w:rPr>
            </w:pPr>
            <w:r>
              <w:rPr>
                <w:rFonts w:hint="eastAsia" w:ascii="宋体" w:hAnsi="宋体"/>
                <w:color w:val="auto"/>
              </w:rPr>
              <w:t>授权代理人身份证扫描件（正、反面）</w:t>
            </w:r>
          </w:p>
        </w:tc>
      </w:tr>
    </w:tbl>
    <w:p w14:paraId="5925EC98">
      <w:pPr>
        <w:spacing w:line="460" w:lineRule="exact"/>
        <w:ind w:firstLine="540" w:firstLineChars="224"/>
        <w:jc w:val="left"/>
        <w:rPr>
          <w:rFonts w:ascii="宋体" w:hAnsi="宋体" w:cs="宋体"/>
          <w:b/>
          <w:color w:val="auto"/>
          <w:sz w:val="24"/>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b/>
          <w:color w:val="auto"/>
          <w:sz w:val="24"/>
        </w:rPr>
        <w:t>注：如投标人由法定代表人亲自签署投标文件并参与相关活动，则不需要办理授权。如由被授权的代理人签署上述文件，则必须按本格式规定填报并提交授权书，否则被授权的代理人将不被认可。</w:t>
      </w:r>
    </w:p>
    <w:p w14:paraId="0E26298B">
      <w:pPr>
        <w:spacing w:line="500" w:lineRule="exact"/>
        <w:jc w:val="center"/>
        <w:rPr>
          <w:rFonts w:ascii="宋体" w:hAnsi="宋体" w:cs="宋体"/>
          <w:b/>
          <w:bCs/>
          <w:color w:val="auto"/>
          <w:kern w:val="0"/>
          <w:sz w:val="30"/>
          <w:szCs w:val="30"/>
        </w:rPr>
      </w:pPr>
      <w:r>
        <w:rPr>
          <w:rFonts w:hint="eastAsia" w:ascii="宋体" w:hAnsi="宋体" w:cs="宋体"/>
          <w:b/>
          <w:bCs/>
          <w:color w:val="auto"/>
          <w:kern w:val="0"/>
          <w:sz w:val="30"/>
          <w:szCs w:val="30"/>
        </w:rPr>
        <w:t>五、投标保证金缴纳凭证</w:t>
      </w:r>
    </w:p>
    <w:p w14:paraId="7DAEBC1F">
      <w:pPr>
        <w:pStyle w:val="10"/>
        <w:rPr>
          <w:color w:val="auto"/>
        </w:rPr>
      </w:pPr>
    </w:p>
    <w:p w14:paraId="6A272A3E">
      <w:pPr>
        <w:spacing w:line="460" w:lineRule="exact"/>
        <w:ind w:firstLine="480" w:firstLineChars="200"/>
        <w:rPr>
          <w:rFonts w:ascii="宋体" w:hAnsi="宋体" w:cs="宋体"/>
          <w:color w:val="auto"/>
          <w:sz w:val="24"/>
          <w:u w:val="single"/>
        </w:rPr>
      </w:pPr>
      <w:r>
        <w:rPr>
          <w:rFonts w:hint="eastAsia" w:ascii="宋体" w:hAnsi="宋体" w:cs="宋体"/>
          <w:color w:val="auto"/>
          <w:sz w:val="24"/>
        </w:rPr>
        <w:t>致：</w:t>
      </w:r>
      <w:r>
        <w:rPr>
          <w:rFonts w:hint="eastAsia" w:ascii="宋体" w:hAnsi="宋体" w:cs="宋体"/>
          <w:color w:val="auto"/>
          <w:sz w:val="24"/>
          <w:u w:val="single"/>
        </w:rPr>
        <w:t>（采购人名称）</w:t>
      </w:r>
    </w:p>
    <w:p w14:paraId="7169BF9E">
      <w:pPr>
        <w:spacing w:line="460" w:lineRule="exact"/>
        <w:rPr>
          <w:rFonts w:ascii="宋体" w:hAnsi="宋体" w:cs="宋体"/>
          <w:color w:val="auto"/>
          <w:sz w:val="24"/>
        </w:rPr>
      </w:pPr>
      <w:r>
        <w:rPr>
          <w:rFonts w:hint="eastAsia" w:ascii="宋体" w:hAnsi="宋体" w:cs="宋体"/>
          <w:color w:val="auto"/>
          <w:sz w:val="24"/>
          <w:u w:val="single"/>
        </w:rPr>
        <w:t xml:space="preserve">（投标人全称) </w:t>
      </w:r>
      <w:r>
        <w:rPr>
          <w:rFonts w:hint="eastAsia" w:ascii="宋体" w:hAnsi="宋体" w:cs="宋体"/>
          <w:color w:val="auto"/>
          <w:sz w:val="24"/>
        </w:rPr>
        <w:t>参加贵方组织的</w:t>
      </w:r>
      <w:r>
        <w:rPr>
          <w:rFonts w:hint="eastAsia" w:ascii="宋体" w:hAnsi="宋体" w:cs="宋体"/>
          <w:color w:val="auto"/>
          <w:sz w:val="24"/>
          <w:u w:val="single"/>
        </w:rPr>
        <w:t xml:space="preserve"> （项目名称）（招标编号） </w:t>
      </w:r>
      <w:r>
        <w:rPr>
          <w:rFonts w:hint="eastAsia" w:ascii="宋体" w:hAnsi="宋体" w:cs="宋体"/>
          <w:color w:val="auto"/>
          <w:sz w:val="24"/>
        </w:rPr>
        <w:t>项目的采购活动。按招标文件的规定，已通过形式交纳人民币</w:t>
      </w:r>
      <w:r>
        <w:rPr>
          <w:rFonts w:hint="eastAsia" w:ascii="宋体" w:hAnsi="宋体" w:cs="宋体"/>
          <w:color w:val="auto"/>
          <w:sz w:val="24"/>
          <w:u w:val="single"/>
        </w:rPr>
        <w:t xml:space="preserve"> （小写）（大写） </w:t>
      </w:r>
      <w:r>
        <w:rPr>
          <w:rFonts w:hint="eastAsia" w:ascii="宋体" w:hAnsi="宋体" w:cs="宋体"/>
          <w:color w:val="auto"/>
          <w:sz w:val="24"/>
        </w:rPr>
        <w:t>元的投标保证金。</w:t>
      </w:r>
    </w:p>
    <w:p w14:paraId="25E22D32">
      <w:pPr>
        <w:keepNext w:val="0"/>
        <w:keepLines w:val="0"/>
        <w:pageBreakBefore w:val="0"/>
        <w:widowControl w:val="0"/>
        <w:kinsoku/>
        <w:wordWrap/>
        <w:overflowPunct/>
        <w:topLinePunct w:val="0"/>
        <w:bidi w:val="0"/>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r>
        <w:rPr>
          <w:rFonts w:hint="eastAsia" w:ascii="宋体" w:hAnsi="宋体" w:eastAsia="宋体" w:cs="宋体"/>
          <w:color w:val="auto"/>
          <w:sz w:val="24"/>
          <w:szCs w:val="24"/>
          <w:highlight w:val="none"/>
          <w:u w:val="single"/>
        </w:rPr>
        <w:t xml:space="preserve">                              </w:t>
      </w:r>
    </w:p>
    <w:p w14:paraId="55268B06">
      <w:pPr>
        <w:keepNext w:val="0"/>
        <w:keepLines w:val="0"/>
        <w:pageBreakBefore w:val="0"/>
        <w:widowControl w:val="0"/>
        <w:kinsoku/>
        <w:wordWrap/>
        <w:overflowPunct/>
        <w:topLinePunct w:val="0"/>
        <w:bidi w:val="0"/>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投标人开户银行：</w:t>
      </w:r>
      <w:r>
        <w:rPr>
          <w:rFonts w:hint="eastAsia" w:ascii="宋体" w:hAnsi="宋体" w:eastAsia="宋体" w:cs="宋体"/>
          <w:color w:val="auto"/>
          <w:sz w:val="24"/>
          <w:szCs w:val="24"/>
          <w:highlight w:val="none"/>
          <w:u w:val="single"/>
        </w:rPr>
        <w:t xml:space="preserve">                          </w:t>
      </w:r>
    </w:p>
    <w:p w14:paraId="734A215B">
      <w:pPr>
        <w:keepNext w:val="0"/>
        <w:keepLines w:val="0"/>
        <w:pageBreakBefore w:val="0"/>
        <w:widowControl w:val="0"/>
        <w:kinsoku/>
        <w:wordWrap/>
        <w:overflowPunct/>
        <w:topLinePunct w:val="0"/>
        <w:bidi w:val="0"/>
        <w:snapToGrid/>
        <w:spacing w:line="460" w:lineRule="exact"/>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投标人银行账号：</w:t>
      </w:r>
      <w:r>
        <w:rPr>
          <w:rFonts w:hint="eastAsia" w:ascii="宋体" w:hAnsi="宋体" w:eastAsia="宋体" w:cs="宋体"/>
          <w:color w:val="auto"/>
          <w:sz w:val="24"/>
          <w:szCs w:val="24"/>
          <w:highlight w:val="none"/>
          <w:u w:val="single"/>
        </w:rPr>
        <w:t xml:space="preserve">                          </w:t>
      </w:r>
    </w:p>
    <w:p w14:paraId="551FCF8D">
      <w:pPr>
        <w:keepNext w:val="0"/>
        <w:keepLines w:val="0"/>
        <w:pageBreakBefore w:val="0"/>
        <w:widowControl w:val="0"/>
        <w:kinsoku/>
        <w:wordWrap/>
        <w:overflowPunct/>
        <w:topLinePunct w:val="0"/>
        <w:bidi w:val="0"/>
        <w:snapToGrid/>
        <w:spacing w:line="460" w:lineRule="exact"/>
        <w:textAlignment w:val="auto"/>
        <w:outlineLvl w:val="9"/>
        <w:rPr>
          <w:rFonts w:hint="eastAsia" w:ascii="宋体" w:hAnsi="宋体" w:eastAsia="宋体" w:cs="宋体"/>
          <w:color w:val="auto"/>
          <w:sz w:val="24"/>
          <w:szCs w:val="24"/>
          <w:highlight w:val="none"/>
        </w:rPr>
      </w:pPr>
    </w:p>
    <w:p w14:paraId="7D894D9B">
      <w:pPr>
        <w:keepNext w:val="0"/>
        <w:keepLines w:val="0"/>
        <w:pageBreakBefore w:val="0"/>
        <w:widowControl w:val="0"/>
        <w:kinsoku/>
        <w:wordWrap/>
        <w:overflowPunct/>
        <w:topLinePunct w:val="0"/>
        <w:bidi w:val="0"/>
        <w:adjustRightInd w:val="0"/>
        <w:snapToGrid/>
        <w:spacing w:line="460" w:lineRule="exact"/>
        <w:ind w:firstLine="960" w:firstLineChars="4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投标人全称（加盖电子公章）：</w:t>
      </w:r>
      <w:r>
        <w:rPr>
          <w:rFonts w:hint="eastAsia" w:ascii="宋体" w:hAnsi="宋体" w:eastAsia="宋体" w:cs="宋体"/>
          <w:color w:val="auto"/>
          <w:sz w:val="24"/>
          <w:szCs w:val="24"/>
          <w:highlight w:val="none"/>
          <w:u w:val="single"/>
        </w:rPr>
        <w:t xml:space="preserve">                   </w:t>
      </w:r>
    </w:p>
    <w:p w14:paraId="51A7B6D2">
      <w:pPr>
        <w:keepNext w:val="0"/>
        <w:keepLines w:val="0"/>
        <w:pageBreakBefore w:val="0"/>
        <w:widowControl w:val="0"/>
        <w:kinsoku/>
        <w:wordWrap/>
        <w:overflowPunct/>
        <w:topLinePunct w:val="0"/>
        <w:bidi w:val="0"/>
        <w:adjustRightInd w:val="0"/>
        <w:snapToGrid/>
        <w:spacing w:line="460" w:lineRule="exact"/>
        <w:ind w:firstLine="960" w:firstLineChars="400"/>
        <w:textAlignment w:val="auto"/>
        <w:outlineLvl w:val="9"/>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法定代表人或授权代理人（电子签章或电子签名）：</w:t>
      </w:r>
      <w:r>
        <w:rPr>
          <w:rFonts w:hint="eastAsia" w:ascii="宋体" w:hAnsi="宋体" w:eastAsia="宋体" w:cs="宋体"/>
          <w:color w:val="auto"/>
          <w:sz w:val="24"/>
          <w:szCs w:val="24"/>
          <w:highlight w:val="none"/>
          <w:u w:val="single"/>
        </w:rPr>
        <w:t xml:space="preserve">                   </w:t>
      </w:r>
    </w:p>
    <w:p w14:paraId="6B9A390B">
      <w:pPr>
        <w:keepNext w:val="0"/>
        <w:keepLines w:val="0"/>
        <w:pageBreakBefore w:val="0"/>
        <w:widowControl w:val="0"/>
        <w:kinsoku/>
        <w:wordWrap/>
        <w:overflowPunct/>
        <w:topLinePunct w:val="0"/>
        <w:bidi w:val="0"/>
        <w:adjustRightInd w:val="0"/>
        <w:snapToGrid/>
        <w:spacing w:line="460" w:lineRule="exact"/>
        <w:ind w:firstLine="960" w:firstLineChars="4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ascii="宋体" w:hAnsi="宋体" w:eastAsia="宋体"/>
          <w:b/>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ascii="宋体" w:hAnsi="宋体" w:eastAsia="宋体"/>
          <w:b/>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521B267">
      <w:pPr>
        <w:spacing w:line="460" w:lineRule="exact"/>
        <w:rPr>
          <w:rFonts w:ascii="宋体" w:hAnsi="宋体" w:cs="宋体"/>
          <w:color w:val="auto"/>
          <w:sz w:val="24"/>
        </w:rPr>
      </w:pPr>
    </w:p>
    <w:p w14:paraId="552813F1">
      <w:pPr>
        <w:pStyle w:val="23"/>
        <w:spacing w:line="460" w:lineRule="exact"/>
        <w:ind w:firstLine="480"/>
        <w:rPr>
          <w:rFonts w:ascii="宋体" w:hAnsi="宋体" w:eastAsia="宋体" w:cs="宋体"/>
          <w:color w:val="auto"/>
          <w:sz w:val="24"/>
          <w:szCs w:val="24"/>
        </w:rPr>
      </w:pPr>
    </w:p>
    <w:p w14:paraId="102E2FED">
      <w:pPr>
        <w:pStyle w:val="5"/>
        <w:ind w:firstLine="0" w:firstLineChars="0"/>
        <w:jc w:val="center"/>
        <w:rPr>
          <w:rFonts w:ascii="宋体" w:hAnsi="宋体" w:cs="宋体"/>
          <w:b/>
          <w:bCs/>
          <w:color w:val="auto"/>
          <w:sz w:val="24"/>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b/>
          <w:bCs/>
          <w:color w:val="auto"/>
          <w:sz w:val="24"/>
        </w:rPr>
        <w:t>附：附投标保证金缴纳凭证的彩色扫描件或彩色复印件或彩色打印件。</w:t>
      </w:r>
    </w:p>
    <w:p w14:paraId="0E3EF56C">
      <w:pPr>
        <w:spacing w:line="500" w:lineRule="exact"/>
        <w:jc w:val="center"/>
        <w:rPr>
          <w:rFonts w:ascii="宋体" w:hAnsi="宋体" w:cs="宋体"/>
          <w:b/>
          <w:bCs/>
          <w:color w:val="auto"/>
          <w:kern w:val="0"/>
          <w:sz w:val="30"/>
          <w:szCs w:val="30"/>
        </w:rPr>
      </w:pPr>
      <w:r>
        <w:rPr>
          <w:rFonts w:hint="eastAsia" w:ascii="宋体" w:hAnsi="宋体" w:cs="宋体"/>
          <w:b/>
          <w:bCs/>
          <w:color w:val="auto"/>
          <w:kern w:val="0"/>
          <w:sz w:val="30"/>
          <w:szCs w:val="30"/>
        </w:rPr>
        <w:t>六、投标承诺书</w:t>
      </w:r>
    </w:p>
    <w:p w14:paraId="084A37A3">
      <w:pPr>
        <w:pStyle w:val="5"/>
        <w:ind w:firstLine="0" w:firstLineChars="0"/>
        <w:jc w:val="center"/>
        <w:rPr>
          <w:rFonts w:ascii="宋体" w:hAnsi="宋体" w:cs="宋体"/>
          <w:b/>
          <w:bCs/>
          <w:color w:val="auto"/>
          <w:sz w:val="24"/>
        </w:rPr>
      </w:pPr>
    </w:p>
    <w:p w14:paraId="0C403241">
      <w:pPr>
        <w:spacing w:line="500" w:lineRule="exact"/>
        <w:rPr>
          <w:color w:val="auto"/>
          <w:sz w:val="24"/>
          <w:u w:val="single"/>
        </w:rPr>
      </w:pPr>
      <w:r>
        <w:rPr>
          <w:rFonts w:hint="eastAsia"/>
          <w:color w:val="auto"/>
          <w:sz w:val="24"/>
        </w:rPr>
        <w:t>致：</w:t>
      </w:r>
      <w:r>
        <w:rPr>
          <w:rFonts w:hint="eastAsia" w:asciiTheme="minorEastAsia" w:hAnsiTheme="minorEastAsia" w:eastAsiaTheme="minorEastAsia" w:cstheme="minorEastAsia"/>
          <w:color w:val="auto"/>
          <w:sz w:val="24"/>
          <w:u w:val="single"/>
        </w:rPr>
        <w:t xml:space="preserve">       （采购人名称）       </w:t>
      </w:r>
    </w:p>
    <w:p w14:paraId="02C4344D">
      <w:pPr>
        <w:spacing w:line="480" w:lineRule="auto"/>
        <w:ind w:firstLine="480" w:firstLineChars="200"/>
        <w:jc w:val="left"/>
        <w:rPr>
          <w:rFonts w:ascii="宋体" w:hAnsi="宋体" w:cs="宋体"/>
          <w:color w:val="auto"/>
          <w:sz w:val="24"/>
        </w:rPr>
      </w:pPr>
      <w:r>
        <w:rPr>
          <w:rFonts w:hint="eastAsia" w:ascii="宋体" w:hAnsi="宋体" w:cs="宋体"/>
          <w:color w:val="auto"/>
          <w:sz w:val="24"/>
        </w:rPr>
        <w:t>我方认真阅读了</w:t>
      </w:r>
      <w:r>
        <w:rPr>
          <w:rFonts w:hint="eastAsia" w:ascii="宋体" w:hAnsi="宋体" w:cs="宋体"/>
          <w:color w:val="auto"/>
          <w:sz w:val="24"/>
          <w:u w:val="single"/>
        </w:rPr>
        <w:t xml:space="preserve">       （项目名称）        </w:t>
      </w:r>
      <w:r>
        <w:rPr>
          <w:rFonts w:hint="eastAsia" w:ascii="宋体" w:hAnsi="宋体" w:cs="宋体"/>
          <w:color w:val="auto"/>
          <w:sz w:val="24"/>
        </w:rPr>
        <w:t>的招标文件，我方知道在采购活动中必须按照法律法规和招标文件的规定参与投标，如违反将会导致投标响应文件无效、保证金不能退还和其他违法后果。在此，我方郑重承诺，我方遵守政府采购法律法规的规定，愿意接受招标文件的所有条款规定参与上述项目的投标，不围标，不串通投标，提供的所有投标资料真实有效，采购人有权对提供的投标资料进行查询，一旦查出有弄虚作假或故意隐瞒行为，将取消投标资格，已经中标的中标无效，并承担一切法律责任和经济损失。</w:t>
      </w:r>
    </w:p>
    <w:p w14:paraId="1BCFF8BC">
      <w:pPr>
        <w:spacing w:line="480" w:lineRule="auto"/>
        <w:jc w:val="left"/>
        <w:rPr>
          <w:rFonts w:ascii="宋体" w:hAnsi="宋体" w:cs="宋体"/>
          <w:color w:val="auto"/>
          <w:sz w:val="24"/>
        </w:rPr>
      </w:pPr>
      <w:r>
        <w:rPr>
          <w:rFonts w:hint="eastAsia" w:ascii="宋体" w:hAnsi="宋体" w:cs="宋体"/>
          <w:color w:val="auto"/>
          <w:sz w:val="24"/>
        </w:rPr>
        <w:t xml:space="preserve">     特此承诺！</w:t>
      </w:r>
    </w:p>
    <w:p w14:paraId="1465D0DC">
      <w:pPr>
        <w:spacing w:line="480" w:lineRule="auto"/>
        <w:rPr>
          <w:rFonts w:ascii="宋体" w:hAnsi="宋体" w:cs="宋体"/>
          <w:color w:val="auto"/>
          <w:sz w:val="24"/>
        </w:rPr>
      </w:pPr>
    </w:p>
    <w:p w14:paraId="44FC2F5C">
      <w:pPr>
        <w:pStyle w:val="23"/>
        <w:ind w:firstLine="480"/>
        <w:rPr>
          <w:color w:val="auto"/>
          <w:sz w:val="24"/>
          <w:szCs w:val="24"/>
        </w:rPr>
      </w:pPr>
    </w:p>
    <w:p w14:paraId="04B8B551">
      <w:pPr>
        <w:snapToGrid w:val="0"/>
        <w:spacing w:line="480" w:lineRule="auto"/>
        <w:jc w:val="right"/>
        <w:rPr>
          <w:rFonts w:ascii="宋体" w:hAnsi="宋体" w:cs="宋体"/>
          <w:color w:val="auto"/>
          <w:sz w:val="24"/>
          <w:szCs w:val="24"/>
          <w:highlight w:val="none"/>
        </w:rPr>
      </w:pPr>
      <w:r>
        <w:rPr>
          <w:rFonts w:hint="eastAsia" w:ascii="宋体" w:hAnsi="宋体" w:cs="宋体"/>
          <w:color w:val="auto"/>
          <w:kern w:val="0"/>
          <w:sz w:val="24"/>
          <w:szCs w:val="24"/>
          <w:highlight w:val="none"/>
          <w:lang w:val="en-US" w:eastAsia="zh-CN"/>
        </w:rPr>
        <w:t>投标人全称</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（加盖电子公章）</w:t>
      </w:r>
    </w:p>
    <w:p w14:paraId="70076183">
      <w:pPr>
        <w:snapToGrid w:val="0"/>
        <w:spacing w:line="480" w:lineRule="auto"/>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（电子签章或电子签名）</w:t>
      </w:r>
    </w:p>
    <w:p w14:paraId="4CA8DB60">
      <w:pPr>
        <w:spacing w:line="360" w:lineRule="auto"/>
        <w:jc w:val="center"/>
        <w:outlineLvl w:val="1"/>
        <w:rPr>
          <w:rFonts w:hint="eastAsia" w:ascii="宋体" w:hAnsi="宋体" w:cs="宋体"/>
          <w:b w:val="0"/>
          <w:bCs/>
          <w:color w:val="auto"/>
          <w:kern w:val="0"/>
          <w:sz w:val="24"/>
          <w:szCs w:val="24"/>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b w:val="0"/>
          <w:bCs/>
          <w:color w:val="auto"/>
          <w:kern w:val="0"/>
          <w:sz w:val="24"/>
          <w:szCs w:val="24"/>
          <w:highlight w:val="none"/>
        </w:rPr>
        <w:t>年____月____日</w:t>
      </w:r>
    </w:p>
    <w:p w14:paraId="38FDC722">
      <w:pPr>
        <w:pStyle w:val="5"/>
        <w:ind w:firstLine="0" w:firstLineChars="0"/>
        <w:jc w:val="center"/>
        <w:rPr>
          <w:rFonts w:ascii="宋体" w:hAnsi="宋体" w:cs="宋体"/>
          <w:b/>
          <w:bCs/>
          <w:color w:val="auto"/>
          <w:kern w:val="0"/>
          <w:sz w:val="28"/>
          <w:szCs w:val="28"/>
        </w:rPr>
      </w:pPr>
      <w:r>
        <w:rPr>
          <w:rFonts w:hint="eastAsia" w:ascii="宋体" w:hAnsi="宋体" w:cs="宋体"/>
          <w:b/>
          <w:bCs/>
          <w:color w:val="auto"/>
          <w:kern w:val="0"/>
          <w:sz w:val="30"/>
          <w:szCs w:val="30"/>
        </w:rPr>
        <w:t>七、证廉洁承诺书</w:t>
      </w:r>
    </w:p>
    <w:p w14:paraId="6E65A93A">
      <w:pPr>
        <w:spacing w:line="460" w:lineRule="exact"/>
        <w:ind w:firstLine="480" w:firstLineChars="200"/>
        <w:rPr>
          <w:rFonts w:ascii="宋体" w:hAnsi="宋体" w:cs="宋体"/>
          <w:color w:val="auto"/>
          <w:sz w:val="24"/>
        </w:rPr>
      </w:pPr>
      <w:r>
        <w:rPr>
          <w:rFonts w:hint="eastAsia" w:ascii="宋体" w:hAnsi="宋体" w:cs="宋体"/>
          <w:color w:val="auto"/>
          <w:sz w:val="24"/>
        </w:rPr>
        <w:t>致（采购人名称）：</w:t>
      </w:r>
      <w:r>
        <w:rPr>
          <w:rFonts w:hint="eastAsia" w:ascii="宋体" w:hAnsi="宋体" w:eastAsia="宋体" w:cs="宋体"/>
          <w:color w:val="auto"/>
          <w:sz w:val="24"/>
          <w:szCs w:val="24"/>
          <w:u w:val="single"/>
        </w:rPr>
        <w:t xml:space="preserve">              </w:t>
      </w:r>
    </w:p>
    <w:p w14:paraId="0C0764AC">
      <w:pPr>
        <w:spacing w:line="460" w:lineRule="exact"/>
        <w:ind w:firstLine="480" w:firstLineChars="200"/>
        <w:rPr>
          <w:rFonts w:ascii="宋体" w:hAnsi="宋体" w:cs="宋体"/>
          <w:color w:val="auto"/>
          <w:sz w:val="24"/>
        </w:rPr>
      </w:pPr>
      <w:r>
        <w:rPr>
          <w:rFonts w:hint="eastAsia" w:ascii="宋体" w:hAnsi="宋体" w:cs="宋体"/>
          <w:color w:val="auto"/>
          <w:sz w:val="24"/>
        </w:rPr>
        <w:t>本公司为更好地为提供优质服务，有效地预防违法、违规、违纪行为的发生，全面落实公开、公平、公正原则，本公司郑重作出廉洁承诺。</w:t>
      </w:r>
    </w:p>
    <w:p w14:paraId="79FD1D49">
      <w:pPr>
        <w:spacing w:line="460" w:lineRule="exact"/>
        <w:ind w:firstLine="480" w:firstLineChars="200"/>
        <w:rPr>
          <w:rFonts w:ascii="宋体" w:hAnsi="宋体" w:cs="宋体"/>
          <w:color w:val="auto"/>
          <w:sz w:val="24"/>
        </w:rPr>
      </w:pPr>
      <w:r>
        <w:rPr>
          <w:rFonts w:hint="eastAsia" w:ascii="宋体" w:hAnsi="宋体" w:cs="宋体"/>
          <w:color w:val="auto"/>
          <w:sz w:val="24"/>
        </w:rPr>
        <w:t>1.在采购代理过程中不利用行贿、欺骗、弄虚作假等不正当手段进行投标。</w:t>
      </w:r>
    </w:p>
    <w:p w14:paraId="0B9B57AE">
      <w:pPr>
        <w:spacing w:line="460" w:lineRule="exact"/>
        <w:ind w:firstLine="480" w:firstLineChars="200"/>
        <w:rPr>
          <w:rFonts w:ascii="宋体" w:hAnsi="宋体" w:cs="宋体"/>
          <w:color w:val="auto"/>
          <w:sz w:val="24"/>
        </w:rPr>
      </w:pPr>
      <w:r>
        <w:rPr>
          <w:rFonts w:hint="eastAsia" w:ascii="宋体" w:hAnsi="宋体" w:cs="宋体"/>
          <w:color w:val="auto"/>
          <w:sz w:val="24"/>
        </w:rPr>
        <w:t>2.严格按照国家法律、法规及行业规章履行自己的职责，不与任何第三方串通进行 虚假采购、陪标、围标、串标等活动；与采购人进行的各项业务始终将严格按照中华人 民共和国现行的法律、法规、规章的规定，履行自己的职责。</w:t>
      </w:r>
    </w:p>
    <w:p w14:paraId="74DA6687">
      <w:pPr>
        <w:spacing w:line="460" w:lineRule="exact"/>
        <w:ind w:firstLine="480" w:firstLineChars="200"/>
        <w:rPr>
          <w:rFonts w:ascii="宋体" w:hAnsi="宋体" w:cs="宋体"/>
          <w:color w:val="auto"/>
          <w:sz w:val="24"/>
        </w:rPr>
      </w:pPr>
      <w:r>
        <w:rPr>
          <w:rFonts w:hint="eastAsia" w:ascii="宋体" w:hAnsi="宋体" w:cs="宋体"/>
          <w:color w:val="auto"/>
          <w:sz w:val="24"/>
        </w:rPr>
        <w:t>3.不向贵单位领导、办事人员及其亲属进行回扣、礼金、有价证券、贵重物品及其 他任何行贿行为，包括未来利益。</w:t>
      </w:r>
    </w:p>
    <w:p w14:paraId="1FF32831">
      <w:pPr>
        <w:spacing w:line="460" w:lineRule="exact"/>
        <w:ind w:firstLine="480" w:firstLineChars="200"/>
        <w:rPr>
          <w:rFonts w:ascii="宋体" w:hAnsi="宋体" w:cs="宋体"/>
          <w:color w:val="auto"/>
          <w:sz w:val="24"/>
        </w:rPr>
      </w:pPr>
      <w:r>
        <w:rPr>
          <w:rFonts w:hint="eastAsia" w:ascii="宋体" w:hAnsi="宋体" w:cs="宋体"/>
          <w:color w:val="auto"/>
          <w:sz w:val="24"/>
        </w:rPr>
        <w:t>4.严格按照《中华人民共和国招标投标法》、《中华人民共和国政府采购法》等相 关法律、法规约束、规范白己行为。</w:t>
      </w:r>
    </w:p>
    <w:p w14:paraId="5BD05F22">
      <w:pPr>
        <w:spacing w:line="460" w:lineRule="exact"/>
        <w:ind w:firstLine="480" w:firstLineChars="200"/>
        <w:rPr>
          <w:rFonts w:ascii="宋体" w:hAnsi="宋体" w:cs="宋体"/>
          <w:color w:val="auto"/>
          <w:sz w:val="24"/>
        </w:rPr>
      </w:pPr>
      <w:r>
        <w:rPr>
          <w:rFonts w:hint="eastAsia" w:ascii="宋体" w:hAnsi="宋体" w:cs="宋体"/>
          <w:color w:val="auto"/>
          <w:sz w:val="24"/>
        </w:rPr>
        <w:t>5.在履行自己职责时，与各关系人之间，严格按照国家相关法律法规规定规范本公 司人员的行为。</w:t>
      </w:r>
    </w:p>
    <w:p w14:paraId="71C47EA3">
      <w:pPr>
        <w:spacing w:line="460" w:lineRule="exact"/>
        <w:ind w:firstLine="480" w:firstLineChars="200"/>
        <w:rPr>
          <w:rFonts w:ascii="宋体" w:hAnsi="宋体" w:cs="宋体"/>
          <w:color w:val="auto"/>
          <w:sz w:val="24"/>
        </w:rPr>
      </w:pPr>
      <w:r>
        <w:rPr>
          <w:rFonts w:hint="eastAsia" w:ascii="宋体" w:hAnsi="宋体" w:cs="宋体"/>
          <w:color w:val="auto"/>
          <w:sz w:val="24"/>
        </w:rPr>
        <w:t>本公司若有违反上述任何承诺条款(情形)之一，经查证属实后，完全愿意接受党纪 政纪部门、政府主管部门、行业组织等依法依规进行的任何处罚与处分，并承担采购人 或相关部门在网络上公开我公司“不诚信或不廉洁”信息所造成的一切后果；若构成违 约，向采购人承担全部违约责任；若造成财产损失，承担全部赔偿责任；若触犯刑律， 承担刑事责任。</w:t>
      </w:r>
    </w:p>
    <w:p w14:paraId="254AA98D">
      <w:pPr>
        <w:spacing w:line="301" w:lineRule="auto"/>
        <w:rPr>
          <w:rFonts w:ascii="Arial"/>
          <w:color w:val="auto"/>
        </w:rPr>
      </w:pPr>
    </w:p>
    <w:p w14:paraId="24FBAA2B">
      <w:pPr>
        <w:spacing w:line="302" w:lineRule="auto"/>
        <w:rPr>
          <w:rFonts w:ascii="Arial"/>
          <w:color w:val="auto"/>
        </w:rPr>
      </w:pPr>
    </w:p>
    <w:p w14:paraId="4AA39A30">
      <w:pPr>
        <w:spacing w:line="302" w:lineRule="auto"/>
        <w:rPr>
          <w:rFonts w:ascii="Arial"/>
          <w:color w:val="auto"/>
        </w:rPr>
      </w:pPr>
    </w:p>
    <w:p w14:paraId="0CB901CB">
      <w:pPr>
        <w:snapToGrid w:val="0"/>
        <w:spacing w:line="480" w:lineRule="auto"/>
        <w:jc w:val="right"/>
        <w:rPr>
          <w:rFonts w:ascii="宋体" w:hAnsi="宋体" w:cs="宋体"/>
          <w:color w:val="auto"/>
          <w:sz w:val="24"/>
          <w:szCs w:val="24"/>
          <w:highlight w:val="none"/>
        </w:rPr>
      </w:pPr>
      <w:r>
        <w:rPr>
          <w:rFonts w:hint="eastAsia" w:ascii="宋体" w:hAnsi="宋体" w:cs="宋体"/>
          <w:color w:val="auto"/>
          <w:kern w:val="0"/>
          <w:sz w:val="24"/>
          <w:szCs w:val="24"/>
          <w:highlight w:val="none"/>
          <w:lang w:val="en-US" w:eastAsia="zh-CN"/>
        </w:rPr>
        <w:t>投标人全称</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（加盖电子公章）</w:t>
      </w:r>
    </w:p>
    <w:p w14:paraId="32869F29">
      <w:pPr>
        <w:snapToGrid w:val="0"/>
        <w:spacing w:line="480" w:lineRule="auto"/>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（电子签章或电子签名）</w:t>
      </w:r>
    </w:p>
    <w:p w14:paraId="07F8923B">
      <w:pPr>
        <w:spacing w:line="460" w:lineRule="exact"/>
        <w:ind w:firstLine="480" w:firstLineChars="200"/>
        <w:rPr>
          <w:rFonts w:hint="eastAsia" w:ascii="宋体" w:hAnsi="宋体" w:eastAsia="宋体" w:cs="宋体"/>
          <w:color w:val="auto"/>
          <w:sz w:val="24"/>
          <w:szCs w:val="24"/>
        </w:rPr>
      </w:pPr>
    </w:p>
    <w:p w14:paraId="4139509E">
      <w:pPr>
        <w:pStyle w:val="47"/>
        <w:keepNext w:val="0"/>
        <w:keepLines w:val="0"/>
        <w:pageBreakBefore w:val="0"/>
        <w:widowControl w:val="0"/>
        <w:numPr>
          <w:ilvl w:val="0"/>
          <w:numId w:val="0"/>
        </w:numPr>
        <w:kinsoku/>
        <w:wordWrap/>
        <w:overflowPunct/>
        <w:topLinePunct w:val="0"/>
        <w:autoSpaceDE w:val="0"/>
        <w:autoSpaceDN w:val="0"/>
        <w:bidi w:val="0"/>
        <w:adjustRightInd w:val="0"/>
        <w:snapToGrid/>
        <w:spacing w:before="0" w:after="0" w:line="460" w:lineRule="exact"/>
        <w:ind w:right="23" w:rightChars="0" w:firstLine="480" w:firstLineChars="200"/>
        <w:jc w:val="both"/>
        <w:textAlignment w:val="auto"/>
        <w:outlineLvl w:val="9"/>
        <w:rPr>
          <w:rFonts w:hint="eastAsia" w:ascii="宋体" w:hAnsi="宋体" w:cs="宋体"/>
          <w:color w:val="auto"/>
          <w:sz w:val="24"/>
          <w:szCs w:val="24"/>
          <w:lang w:eastAsia="zh-CN"/>
        </w:rPr>
        <w:sectPr>
          <w:pgSz w:w="11906" w:h="16838"/>
          <w:pgMar w:top="1440" w:right="1080" w:bottom="1440" w:left="1080" w:header="851" w:footer="992" w:gutter="0"/>
          <w:pgNumType w:fmt="decimal"/>
          <w:cols w:space="720" w:num="1"/>
          <w:docGrid w:type="lines" w:linePitch="312" w:charSpace="0"/>
        </w:sect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日期：    年   月    </w:t>
      </w:r>
      <w:r>
        <w:rPr>
          <w:rFonts w:hint="eastAsia" w:ascii="宋体" w:hAnsi="宋体" w:cs="宋体"/>
          <w:color w:val="auto"/>
          <w:sz w:val="24"/>
          <w:szCs w:val="24"/>
          <w:lang w:eastAsia="zh-CN"/>
        </w:rPr>
        <w:t>日</w:t>
      </w:r>
    </w:p>
    <w:p w14:paraId="76C9EA49">
      <w:pPr>
        <w:keepNext/>
        <w:keepLines/>
        <w:widowControl/>
        <w:autoSpaceDE w:val="0"/>
        <w:spacing w:line="360" w:lineRule="auto"/>
        <w:jc w:val="center"/>
        <w:outlineLvl w:val="2"/>
        <w:rPr>
          <w:rFonts w:ascii="宋体" w:hAnsi="宋体" w:cs="宋体"/>
          <w:b/>
          <w:color w:val="auto"/>
          <w:sz w:val="30"/>
          <w:szCs w:val="30"/>
        </w:rPr>
      </w:pPr>
      <w:r>
        <w:rPr>
          <w:rFonts w:hint="eastAsia" w:ascii="宋体" w:hAnsi="宋体" w:cs="宋体"/>
          <w:b/>
          <w:color w:val="auto"/>
          <w:sz w:val="30"/>
          <w:szCs w:val="30"/>
        </w:rPr>
        <w:t>八、政府采购优惠政策及其他资料</w:t>
      </w:r>
    </w:p>
    <w:p w14:paraId="142272A1">
      <w:pPr>
        <w:keepNext/>
        <w:keepLines/>
        <w:widowControl/>
        <w:autoSpaceDE w:val="0"/>
        <w:spacing w:beforeLines="50" w:line="360" w:lineRule="auto"/>
        <w:jc w:val="center"/>
        <w:outlineLvl w:val="2"/>
        <w:rPr>
          <w:rFonts w:ascii="宋体" w:hAnsi="宋体" w:cs="宋体"/>
          <w:b/>
          <w:bCs/>
          <w:color w:val="auto"/>
          <w:sz w:val="28"/>
          <w:szCs w:val="28"/>
        </w:rPr>
      </w:pPr>
      <w:r>
        <w:rPr>
          <w:rFonts w:hint="eastAsia" w:ascii="宋体" w:hAnsi="宋体" w:cs="宋体"/>
          <w:b/>
          <w:bCs/>
          <w:color w:val="auto"/>
          <w:sz w:val="28"/>
          <w:szCs w:val="28"/>
        </w:rPr>
        <w:t>（一）《中小企业声明函》（货物）</w:t>
      </w:r>
    </w:p>
    <w:p w14:paraId="58B7A96F">
      <w:pPr>
        <w:spacing w:line="480" w:lineRule="auto"/>
        <w:ind w:firstLine="480" w:firstLineChars="200"/>
        <w:rPr>
          <w:rFonts w:ascii="宋体" w:hAnsi="宋体" w:cs="Arial Narrow"/>
          <w:color w:val="auto"/>
          <w:sz w:val="24"/>
          <w:shd w:val="clear" w:color="auto" w:fill="FFFFFF"/>
        </w:rPr>
      </w:pPr>
      <w:r>
        <w:rPr>
          <w:rFonts w:hint="eastAsia" w:ascii="宋体" w:hAnsi="宋体" w:cs="Arial Narrow"/>
          <w:color w:val="auto"/>
          <w:sz w:val="24"/>
          <w:shd w:val="clear" w:color="auto" w:fill="FFFFFF"/>
        </w:rPr>
        <w:t>本公司（联合体)郑重声明，根据《政府采购促进中小企业发展管理办法》(财库( 2020 )46号)及《关于进一步加大政府采购支持中小企业力度的通知》（财库〔2022〕19号）的规定，本公司(联合体)参加</w:t>
      </w:r>
      <w:r>
        <w:rPr>
          <w:rFonts w:hint="eastAsia" w:ascii="宋体" w:hAnsi="宋体" w:cs="Arial Narrow"/>
          <w:color w:val="auto"/>
          <w:sz w:val="24"/>
          <w:u w:val="single"/>
          <w:shd w:val="clear" w:color="auto" w:fill="FFFFFF"/>
        </w:rPr>
        <w:t xml:space="preserve">    (单位名称)    </w:t>
      </w:r>
      <w:r>
        <w:rPr>
          <w:rFonts w:hint="eastAsia" w:ascii="宋体" w:hAnsi="宋体" w:cs="Arial Narrow"/>
          <w:color w:val="auto"/>
          <w:sz w:val="24"/>
          <w:shd w:val="clear" w:color="auto" w:fill="FFFFFF"/>
        </w:rPr>
        <w:t>的</w:t>
      </w:r>
      <w:r>
        <w:rPr>
          <w:rFonts w:hint="eastAsia" w:ascii="宋体" w:hAnsi="宋体" w:cs="Arial Narrow"/>
          <w:color w:val="auto"/>
          <w:sz w:val="24"/>
          <w:u w:val="single"/>
          <w:shd w:val="clear" w:color="auto" w:fill="FFFFFF"/>
        </w:rPr>
        <w:t xml:space="preserve">    (项目名称)    </w:t>
      </w:r>
      <w:r>
        <w:rPr>
          <w:rFonts w:hint="eastAsia" w:ascii="宋体" w:hAnsi="宋体" w:cs="Arial Narrow"/>
          <w:color w:val="auto"/>
          <w:sz w:val="24"/>
          <w:shd w:val="clear" w:color="auto" w:fill="FFFFFF"/>
        </w:rPr>
        <w:t>采购活动，提供的货物全部由符合政策要求的中小企业制造。相关企业(含联合体中的中小企业、签订分包意向协议的中小企业)的具体情况如下:</w:t>
      </w:r>
    </w:p>
    <w:p w14:paraId="00076DFE">
      <w:pPr>
        <w:spacing w:line="480" w:lineRule="auto"/>
        <w:ind w:firstLine="480" w:firstLineChars="200"/>
        <w:rPr>
          <w:rFonts w:ascii="宋体" w:hAnsi="宋体" w:cs="Arial Narrow"/>
          <w:color w:val="auto"/>
          <w:sz w:val="24"/>
          <w:shd w:val="clear" w:color="auto" w:fill="FFFFFF"/>
        </w:rPr>
      </w:pPr>
      <w:r>
        <w:rPr>
          <w:rFonts w:hint="eastAsia" w:ascii="宋体" w:hAnsi="宋体" w:cs="Arial Narrow"/>
          <w:color w:val="auto"/>
          <w:sz w:val="24"/>
          <w:shd w:val="clear" w:color="auto" w:fill="FFFFFF"/>
        </w:rPr>
        <w:t>1.</w:t>
      </w:r>
      <w:r>
        <w:rPr>
          <w:rFonts w:hint="eastAsia" w:ascii="宋体" w:hAnsi="宋体" w:cs="Arial Narrow"/>
          <w:color w:val="auto"/>
          <w:sz w:val="24"/>
          <w:u w:val="single"/>
          <w:shd w:val="clear" w:color="auto" w:fill="FFFFFF"/>
        </w:rPr>
        <w:t xml:space="preserve">   (标的名称)   </w:t>
      </w:r>
      <w:r>
        <w:rPr>
          <w:rFonts w:hint="eastAsia" w:ascii="宋体" w:hAnsi="宋体" w:cs="Arial Narrow"/>
          <w:color w:val="auto"/>
          <w:sz w:val="24"/>
          <w:shd w:val="clear" w:color="auto" w:fill="FFFFFF"/>
        </w:rPr>
        <w:t>，属于</w:t>
      </w:r>
      <w:r>
        <w:rPr>
          <w:rFonts w:hint="eastAsia" w:ascii="宋体" w:hAnsi="宋体" w:cs="Arial Narrow"/>
          <w:color w:val="auto"/>
          <w:sz w:val="24"/>
          <w:u w:val="single"/>
          <w:shd w:val="clear" w:color="auto" w:fill="FFFFFF"/>
        </w:rPr>
        <w:t xml:space="preserve">   (招标文件中明确的所属行业)   </w:t>
      </w:r>
      <w:r>
        <w:rPr>
          <w:rFonts w:hint="eastAsia" w:ascii="宋体" w:hAnsi="宋体" w:cs="Arial Narrow"/>
          <w:color w:val="auto"/>
          <w:sz w:val="24"/>
          <w:shd w:val="clear" w:color="auto" w:fill="FFFFFF"/>
        </w:rPr>
        <w:t>行业；制造商为</w:t>
      </w:r>
      <w:r>
        <w:rPr>
          <w:rFonts w:hint="eastAsia" w:ascii="宋体" w:hAnsi="宋体" w:cs="Arial Narrow"/>
          <w:color w:val="auto"/>
          <w:sz w:val="24"/>
          <w:u w:val="single"/>
          <w:shd w:val="clear" w:color="auto" w:fill="FFFFFF"/>
        </w:rPr>
        <w:t xml:space="preserve">   (企业名称)   </w:t>
      </w:r>
      <w:r>
        <w:rPr>
          <w:rFonts w:hint="eastAsia" w:ascii="宋体" w:hAnsi="宋体" w:cs="Arial Narrow"/>
          <w:color w:val="auto"/>
          <w:sz w:val="24"/>
          <w:shd w:val="clear" w:color="auto" w:fill="FFFFFF"/>
        </w:rPr>
        <w:t>，从业人员人，营业收入为万元，资产总额为万元，属于</w:t>
      </w:r>
      <w:r>
        <w:rPr>
          <w:rFonts w:hint="eastAsia" w:ascii="宋体" w:hAnsi="宋体" w:cs="Arial Narrow"/>
          <w:color w:val="auto"/>
          <w:sz w:val="24"/>
          <w:u w:val="single"/>
          <w:shd w:val="clear" w:color="auto" w:fill="FFFFFF"/>
        </w:rPr>
        <w:t xml:space="preserve">   （中型企业、小型企业、微型企业）   </w:t>
      </w:r>
      <w:r>
        <w:rPr>
          <w:rFonts w:hint="eastAsia" w:ascii="宋体" w:hAnsi="宋体" w:cs="Arial Narrow"/>
          <w:color w:val="auto"/>
          <w:sz w:val="24"/>
          <w:shd w:val="clear" w:color="auto" w:fill="FFFFFF"/>
        </w:rPr>
        <w:t>；</w:t>
      </w:r>
    </w:p>
    <w:p w14:paraId="306603C3">
      <w:pPr>
        <w:spacing w:line="360" w:lineRule="auto"/>
        <w:ind w:firstLine="480" w:firstLineChars="200"/>
        <w:rPr>
          <w:rFonts w:ascii="宋体" w:hAnsi="宋体" w:cs="Arial Narrow"/>
          <w:color w:val="auto"/>
          <w:sz w:val="24"/>
          <w:shd w:val="clear" w:color="auto" w:fill="FFFFFF"/>
        </w:rPr>
      </w:pPr>
      <w:r>
        <w:rPr>
          <w:rFonts w:hint="eastAsia" w:ascii="宋体" w:hAnsi="宋体" w:cs="Arial Narrow"/>
          <w:color w:val="auto"/>
          <w:sz w:val="24"/>
          <w:shd w:val="clear" w:color="auto" w:fill="FFFFFF"/>
        </w:rPr>
        <w:t>2.</w:t>
      </w:r>
      <w:r>
        <w:rPr>
          <w:rFonts w:hint="eastAsia" w:ascii="宋体" w:hAnsi="宋体" w:cs="Arial Narrow"/>
          <w:color w:val="auto"/>
          <w:sz w:val="24"/>
          <w:u w:val="single"/>
          <w:shd w:val="clear" w:color="auto" w:fill="FFFFFF"/>
        </w:rPr>
        <w:t xml:space="preserve">   (标的名称)   </w:t>
      </w:r>
      <w:r>
        <w:rPr>
          <w:rFonts w:hint="eastAsia" w:ascii="宋体" w:hAnsi="宋体" w:cs="Arial Narrow"/>
          <w:color w:val="auto"/>
          <w:sz w:val="24"/>
          <w:shd w:val="clear" w:color="auto" w:fill="FFFFFF"/>
        </w:rPr>
        <w:t>，属于</w:t>
      </w:r>
      <w:r>
        <w:rPr>
          <w:rFonts w:hint="eastAsia" w:ascii="宋体" w:hAnsi="宋体" w:cs="Arial Narrow"/>
          <w:color w:val="auto"/>
          <w:sz w:val="24"/>
          <w:u w:val="single"/>
          <w:shd w:val="clear" w:color="auto" w:fill="FFFFFF"/>
        </w:rPr>
        <w:t xml:space="preserve">   (招标文件中明确的所属行业)   </w:t>
      </w:r>
      <w:r>
        <w:rPr>
          <w:rFonts w:hint="eastAsia" w:ascii="宋体" w:hAnsi="宋体" w:cs="Arial Narrow"/>
          <w:color w:val="auto"/>
          <w:sz w:val="24"/>
          <w:shd w:val="clear" w:color="auto" w:fill="FFFFFF"/>
        </w:rPr>
        <w:t>行业；制造商为</w:t>
      </w:r>
      <w:r>
        <w:rPr>
          <w:rFonts w:hint="eastAsia" w:ascii="宋体" w:hAnsi="宋体" w:cs="Arial Narrow"/>
          <w:color w:val="auto"/>
          <w:sz w:val="24"/>
          <w:u w:val="single"/>
          <w:shd w:val="clear" w:color="auto" w:fill="FFFFFF"/>
        </w:rPr>
        <w:t xml:space="preserve">   (企业名称)   </w:t>
      </w:r>
      <w:r>
        <w:rPr>
          <w:rFonts w:hint="eastAsia" w:ascii="宋体" w:hAnsi="宋体" w:cs="Arial Narrow"/>
          <w:color w:val="auto"/>
          <w:sz w:val="24"/>
          <w:shd w:val="clear" w:color="auto" w:fill="FFFFFF"/>
        </w:rPr>
        <w:t>，从业人员人，营业收入为万元，资产总额为万元，属于</w:t>
      </w:r>
      <w:r>
        <w:rPr>
          <w:rFonts w:hint="eastAsia" w:ascii="宋体" w:hAnsi="宋体" w:cs="Arial Narrow"/>
          <w:color w:val="auto"/>
          <w:sz w:val="24"/>
          <w:u w:val="single"/>
          <w:shd w:val="clear" w:color="auto" w:fill="FFFFFF"/>
        </w:rPr>
        <w:t xml:space="preserve">   （中型企业、小型企业、微型企业)   </w:t>
      </w:r>
      <w:r>
        <w:rPr>
          <w:rFonts w:hint="eastAsia" w:ascii="宋体" w:hAnsi="宋体" w:cs="Arial Narrow"/>
          <w:color w:val="auto"/>
          <w:sz w:val="24"/>
          <w:shd w:val="clear" w:color="auto" w:fill="FFFFFF"/>
        </w:rPr>
        <w:t>；</w:t>
      </w:r>
    </w:p>
    <w:p w14:paraId="5432C38A">
      <w:pPr>
        <w:spacing w:line="480" w:lineRule="auto"/>
        <w:ind w:firstLine="480" w:firstLineChars="200"/>
        <w:rPr>
          <w:rFonts w:ascii="宋体" w:hAnsi="宋体" w:cs="Arial Narrow"/>
          <w:color w:val="auto"/>
          <w:sz w:val="24"/>
          <w:shd w:val="clear" w:color="auto" w:fill="FFFFFF"/>
        </w:rPr>
      </w:pPr>
      <w:r>
        <w:rPr>
          <w:rFonts w:hint="eastAsia" w:ascii="宋体" w:hAnsi="宋体" w:cs="Arial Narrow"/>
          <w:color w:val="auto"/>
          <w:sz w:val="24"/>
          <w:shd w:val="clear" w:color="auto" w:fill="FFFFFF"/>
        </w:rPr>
        <w:t>......</w:t>
      </w:r>
    </w:p>
    <w:p w14:paraId="56ACF42A">
      <w:pPr>
        <w:spacing w:line="480" w:lineRule="auto"/>
        <w:ind w:firstLine="480" w:firstLineChars="200"/>
        <w:rPr>
          <w:rFonts w:ascii="宋体" w:hAnsi="宋体" w:cs="Arial Narrow"/>
          <w:color w:val="auto"/>
          <w:sz w:val="24"/>
          <w:shd w:val="clear" w:color="auto" w:fill="FFFFFF"/>
        </w:rPr>
      </w:pPr>
      <w:r>
        <w:rPr>
          <w:rFonts w:hint="eastAsia" w:ascii="宋体" w:hAnsi="宋体" w:cs="Arial Narrow"/>
          <w:color w:val="auto"/>
          <w:sz w:val="24"/>
          <w:shd w:val="clear" w:color="auto" w:fill="FFFFFF"/>
        </w:rPr>
        <w:t>以上企业，不属于大企业的分支机构，不存在控股股东为大企业的情形，也不存在与大企业的负责人为同一人的情形。</w:t>
      </w:r>
    </w:p>
    <w:p w14:paraId="52DF7BB2">
      <w:pPr>
        <w:spacing w:line="360" w:lineRule="auto"/>
        <w:ind w:firstLine="480" w:firstLineChars="200"/>
        <w:rPr>
          <w:rFonts w:ascii="宋体" w:hAnsi="宋体"/>
          <w:color w:val="auto"/>
          <w:sz w:val="24"/>
        </w:rPr>
      </w:pPr>
      <w:r>
        <w:rPr>
          <w:rFonts w:hint="eastAsia" w:ascii="宋体" w:hAnsi="宋体" w:cs="Arial Narrow"/>
          <w:color w:val="auto"/>
          <w:sz w:val="24"/>
          <w:shd w:val="clear" w:color="auto" w:fill="FFFFFF"/>
        </w:rPr>
        <w:t>本企业对上述声明内容的真实性负责。如有虚假，将依法承担相应责任。</w:t>
      </w:r>
    </w:p>
    <w:p w14:paraId="46D09305">
      <w:pPr>
        <w:pStyle w:val="33"/>
        <w:spacing w:before="120" w:line="360" w:lineRule="auto"/>
        <w:ind w:firstLine="6600" w:firstLineChars="2750"/>
        <w:rPr>
          <w:rFonts w:hAnsi="宋体" w:cs="Verdana"/>
          <w:color w:val="auto"/>
          <w:kern w:val="2"/>
        </w:rPr>
      </w:pPr>
    </w:p>
    <w:p w14:paraId="5AA8AA7D">
      <w:pPr>
        <w:pStyle w:val="33"/>
        <w:keepNext w:val="0"/>
        <w:keepLines w:val="0"/>
        <w:pageBreakBefore w:val="0"/>
        <w:widowControl w:val="0"/>
        <w:kinsoku/>
        <w:wordWrap/>
        <w:overflowPunct/>
        <w:topLinePunct w:val="0"/>
        <w:bidi w:val="0"/>
        <w:snapToGrid/>
        <w:spacing w:before="120" w:line="560" w:lineRule="exact"/>
        <w:ind w:firstLine="4320" w:firstLineChars="18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企业名称（加盖电子公章）：</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p>
    <w:p w14:paraId="3B095CB3">
      <w:pPr>
        <w:keepNext w:val="0"/>
        <w:keepLines w:val="0"/>
        <w:pageBreakBefore w:val="0"/>
        <w:widowControl w:val="0"/>
        <w:kinsoku/>
        <w:wordWrap/>
        <w:overflowPunct/>
        <w:topLinePunct w:val="0"/>
        <w:bidi w:val="0"/>
        <w:snapToGrid/>
        <w:spacing w:line="560" w:lineRule="exact"/>
        <w:ind w:right="960" w:firstLine="5040" w:firstLineChars="2100"/>
        <w:jc w:val="both"/>
        <w:textAlignment w:val="auto"/>
        <w:rPr>
          <w:rFonts w:hint="eastAsia" w:ascii="宋体" w:hAnsi="宋体" w:eastAsia="宋体" w:cs="Arial Narrow"/>
          <w:color w:val="auto"/>
          <w:sz w:val="24"/>
          <w:szCs w:val="24"/>
          <w:highlight w:val="none"/>
        </w:rPr>
      </w:pPr>
      <w:r>
        <w:rPr>
          <w:rFonts w:hint="eastAsia" w:ascii="宋体" w:hAnsi="宋体" w:eastAsia="宋体" w:cs="Arial Narrow"/>
          <w:color w:val="auto"/>
          <w:sz w:val="24"/>
          <w:szCs w:val="24"/>
          <w:highlight w:val="none"/>
        </w:rPr>
        <w:t>日期</w:t>
      </w:r>
      <w:r>
        <w:rPr>
          <w:rFonts w:ascii="宋体" w:hAnsi="宋体" w:eastAsia="宋体" w:cs="Arial Narrow"/>
          <w:color w:val="auto"/>
          <w:sz w:val="24"/>
          <w:szCs w:val="24"/>
          <w:highlight w:val="none"/>
        </w:rPr>
        <w:t>：</w:t>
      </w:r>
      <w:r>
        <w:rPr>
          <w:rFonts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eastAsia="宋体" w:cs="Arial Narrow"/>
          <w:color w:val="auto"/>
          <w:sz w:val="24"/>
          <w:szCs w:val="24"/>
          <w:highlight w:val="none"/>
        </w:rPr>
        <w:t>年</w:t>
      </w:r>
      <w:r>
        <w:rPr>
          <w:rFonts w:ascii="宋体" w:hAnsi="宋体" w:eastAsia="宋体"/>
          <w:b/>
          <w:color w:val="auto"/>
          <w:sz w:val="24"/>
          <w:szCs w:val="24"/>
          <w:highlight w:val="none"/>
          <w:u w:val="single"/>
        </w:rPr>
        <w:t xml:space="preserve">     </w:t>
      </w:r>
      <w:r>
        <w:rPr>
          <w:rFonts w:hint="eastAsia" w:ascii="宋体" w:hAnsi="宋体" w:eastAsia="宋体" w:cs="Arial Narrow"/>
          <w:color w:val="auto"/>
          <w:sz w:val="24"/>
          <w:szCs w:val="24"/>
          <w:highlight w:val="none"/>
        </w:rPr>
        <w:t>月</w:t>
      </w:r>
      <w:r>
        <w:rPr>
          <w:rFonts w:ascii="宋体" w:hAnsi="宋体" w:eastAsia="宋体"/>
          <w:b/>
          <w:color w:val="auto"/>
          <w:sz w:val="24"/>
          <w:szCs w:val="24"/>
          <w:highlight w:val="none"/>
          <w:u w:val="single"/>
        </w:rPr>
        <w:t xml:space="preserve">     </w:t>
      </w:r>
      <w:r>
        <w:rPr>
          <w:rFonts w:hint="eastAsia" w:ascii="宋体" w:hAnsi="宋体" w:eastAsia="宋体" w:cs="Arial Narrow"/>
          <w:color w:val="auto"/>
          <w:sz w:val="24"/>
          <w:szCs w:val="24"/>
          <w:highlight w:val="none"/>
        </w:rPr>
        <w:t>日</w:t>
      </w:r>
    </w:p>
    <w:p w14:paraId="5F2B48ED">
      <w:pPr>
        <w:pStyle w:val="10"/>
        <w:rPr>
          <w:color w:val="auto"/>
        </w:rPr>
      </w:pPr>
    </w:p>
    <w:p w14:paraId="74FD6C8E">
      <w:pPr>
        <w:spacing w:line="480" w:lineRule="auto"/>
        <w:rPr>
          <w:rFonts w:ascii="宋体" w:hAnsi="宋体" w:cs="Arial Narrow"/>
          <w:color w:val="auto"/>
          <w:sz w:val="24"/>
          <w:shd w:val="clear" w:color="auto" w:fill="FFFFFF"/>
        </w:rPr>
      </w:pPr>
      <w:r>
        <w:rPr>
          <w:rFonts w:hint="eastAsia" w:ascii="宋体" w:hAnsi="宋体" w:cs="Arial Narrow"/>
          <w:color w:val="auto"/>
          <w:sz w:val="24"/>
          <w:shd w:val="clear" w:color="auto" w:fill="FFFFFF"/>
        </w:rPr>
        <w:t>从业人员、营业收入、资产总额填报上一年度数据，无上一年度数据的新成立企业可不填报。</w:t>
      </w:r>
    </w:p>
    <w:p w14:paraId="44A5046D">
      <w:pPr>
        <w:spacing w:line="360" w:lineRule="auto"/>
        <w:ind w:firstLine="482" w:firstLineChars="200"/>
        <w:jc w:val="center"/>
        <w:rPr>
          <w:rFonts w:ascii="宋体" w:hAnsi="宋体"/>
          <w:b/>
          <w:color w:val="auto"/>
        </w:rPr>
      </w:pPr>
      <w:r>
        <w:rPr>
          <w:rFonts w:hint="eastAsia" w:ascii="宋体" w:hAnsi="宋体" w:cs="Arial Narrow"/>
          <w:b/>
          <w:bCs/>
          <w:color w:val="auto"/>
          <w:sz w:val="24"/>
          <w:shd w:val="clear" w:color="auto" w:fill="FFFFFF"/>
        </w:rPr>
        <w:t>注：非小、微企业可不填报。</w:t>
      </w:r>
      <w:r>
        <w:rPr>
          <w:rFonts w:ascii="宋体" w:hAnsi="宋体"/>
          <w:b/>
          <w:color w:val="auto"/>
        </w:rPr>
        <w:br w:type="page"/>
      </w:r>
    </w:p>
    <w:p w14:paraId="550906B1">
      <w:pPr>
        <w:keepNext/>
        <w:keepLines/>
        <w:widowControl/>
        <w:autoSpaceDE w:val="0"/>
        <w:spacing w:line="360" w:lineRule="auto"/>
        <w:jc w:val="center"/>
        <w:outlineLvl w:val="2"/>
        <w:rPr>
          <w:rFonts w:ascii="宋体" w:hAnsi="宋体" w:cs="宋体"/>
          <w:b/>
          <w:bCs/>
          <w:color w:val="auto"/>
          <w:sz w:val="28"/>
          <w:szCs w:val="28"/>
        </w:rPr>
      </w:pPr>
      <w:r>
        <w:rPr>
          <w:rFonts w:hint="eastAsia" w:ascii="宋体" w:hAnsi="宋体" w:cs="宋体"/>
          <w:b/>
          <w:bCs/>
          <w:color w:val="auto"/>
          <w:sz w:val="28"/>
          <w:szCs w:val="28"/>
        </w:rPr>
        <w:t>小微企业货物明细表（若有）</w:t>
      </w:r>
    </w:p>
    <w:p w14:paraId="4A9E7150">
      <w:pPr>
        <w:pStyle w:val="5"/>
        <w:ind w:firstLine="482"/>
        <w:jc w:val="center"/>
        <w:rPr>
          <w:rFonts w:ascii="宋体" w:hAnsi="宋体"/>
          <w:b/>
          <w:color w:val="auto"/>
          <w:sz w:val="24"/>
        </w:rPr>
      </w:pPr>
    </w:p>
    <w:tbl>
      <w:tblPr>
        <w:tblStyle w:val="24"/>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
        <w:gridCol w:w="2048"/>
        <w:gridCol w:w="1561"/>
        <w:gridCol w:w="2762"/>
        <w:gridCol w:w="1394"/>
      </w:tblGrid>
      <w:tr w14:paraId="11420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94" w:type="dxa"/>
            <w:noWrap/>
            <w:vAlign w:val="center"/>
          </w:tcPr>
          <w:p w14:paraId="3C1BAF00">
            <w:pPr>
              <w:pStyle w:val="5"/>
              <w:ind w:firstLine="0" w:firstLineChars="0"/>
              <w:jc w:val="center"/>
              <w:rPr>
                <w:rFonts w:ascii="宋体" w:hAnsi="宋体"/>
                <w:b/>
                <w:color w:val="auto"/>
                <w:sz w:val="24"/>
              </w:rPr>
            </w:pPr>
            <w:r>
              <w:rPr>
                <w:rFonts w:ascii="宋体" w:hAnsi="宋体"/>
                <w:b/>
                <w:color w:val="auto"/>
                <w:sz w:val="24"/>
              </w:rPr>
              <w:t>序号</w:t>
            </w:r>
          </w:p>
        </w:tc>
        <w:tc>
          <w:tcPr>
            <w:tcW w:w="2048" w:type="dxa"/>
            <w:noWrap/>
            <w:vAlign w:val="center"/>
          </w:tcPr>
          <w:p w14:paraId="6B1ECFDE">
            <w:pPr>
              <w:pStyle w:val="5"/>
              <w:ind w:firstLine="0" w:firstLineChars="0"/>
              <w:jc w:val="center"/>
              <w:rPr>
                <w:rFonts w:ascii="宋体" w:hAnsi="宋体"/>
                <w:b/>
                <w:color w:val="auto"/>
                <w:sz w:val="24"/>
              </w:rPr>
            </w:pPr>
            <w:r>
              <w:rPr>
                <w:rFonts w:ascii="宋体" w:hAnsi="宋体"/>
                <w:b/>
                <w:color w:val="auto"/>
                <w:sz w:val="24"/>
              </w:rPr>
              <w:t>货物名称</w:t>
            </w:r>
          </w:p>
        </w:tc>
        <w:tc>
          <w:tcPr>
            <w:tcW w:w="1561" w:type="dxa"/>
            <w:noWrap/>
            <w:vAlign w:val="center"/>
          </w:tcPr>
          <w:p w14:paraId="4664FB59">
            <w:pPr>
              <w:pStyle w:val="5"/>
              <w:ind w:firstLine="0" w:firstLineChars="0"/>
              <w:jc w:val="center"/>
              <w:rPr>
                <w:rFonts w:ascii="宋体" w:hAnsi="宋体"/>
                <w:b/>
                <w:color w:val="auto"/>
                <w:sz w:val="24"/>
              </w:rPr>
            </w:pPr>
            <w:r>
              <w:rPr>
                <w:rFonts w:ascii="宋体" w:hAnsi="宋体"/>
                <w:b/>
                <w:color w:val="auto"/>
                <w:sz w:val="24"/>
              </w:rPr>
              <w:t>制造商</w:t>
            </w:r>
          </w:p>
        </w:tc>
        <w:tc>
          <w:tcPr>
            <w:tcW w:w="2762" w:type="dxa"/>
            <w:noWrap/>
            <w:vAlign w:val="center"/>
          </w:tcPr>
          <w:p w14:paraId="352169EA">
            <w:pPr>
              <w:pStyle w:val="5"/>
              <w:ind w:firstLine="0" w:firstLineChars="0"/>
              <w:jc w:val="center"/>
              <w:rPr>
                <w:rFonts w:ascii="宋体" w:hAnsi="宋体"/>
                <w:b/>
                <w:color w:val="auto"/>
                <w:sz w:val="24"/>
              </w:rPr>
            </w:pPr>
            <w:r>
              <w:rPr>
                <w:rFonts w:hint="eastAsia" w:ascii="宋体" w:hAnsi="宋体"/>
                <w:b/>
                <w:color w:val="auto"/>
                <w:sz w:val="24"/>
              </w:rPr>
              <w:t>制造商企业规模</w:t>
            </w:r>
          </w:p>
          <w:p w14:paraId="69DC32ED">
            <w:pPr>
              <w:pStyle w:val="5"/>
              <w:ind w:firstLine="0" w:firstLineChars="0"/>
              <w:jc w:val="center"/>
              <w:rPr>
                <w:rFonts w:ascii="宋体" w:hAnsi="宋体"/>
                <w:b/>
                <w:color w:val="auto"/>
                <w:sz w:val="24"/>
              </w:rPr>
            </w:pPr>
            <w:r>
              <w:rPr>
                <w:rFonts w:hint="eastAsia" w:ascii="宋体" w:hAnsi="宋体"/>
                <w:b/>
                <w:color w:val="auto"/>
                <w:sz w:val="24"/>
              </w:rPr>
              <w:t>（大型/中型/小型/微型）</w:t>
            </w:r>
          </w:p>
        </w:tc>
        <w:tc>
          <w:tcPr>
            <w:tcW w:w="1394" w:type="dxa"/>
            <w:noWrap/>
            <w:vAlign w:val="center"/>
          </w:tcPr>
          <w:p w14:paraId="699489C8">
            <w:pPr>
              <w:pStyle w:val="5"/>
              <w:ind w:firstLine="0" w:firstLineChars="0"/>
              <w:jc w:val="center"/>
              <w:rPr>
                <w:rFonts w:ascii="宋体" w:hAnsi="宋体"/>
                <w:b/>
                <w:color w:val="auto"/>
                <w:sz w:val="24"/>
              </w:rPr>
            </w:pPr>
            <w:r>
              <w:rPr>
                <w:rFonts w:hint="eastAsia" w:ascii="宋体" w:hAnsi="宋体"/>
                <w:b/>
                <w:color w:val="auto"/>
                <w:sz w:val="24"/>
              </w:rPr>
              <w:t>备注</w:t>
            </w:r>
          </w:p>
        </w:tc>
      </w:tr>
      <w:tr w14:paraId="33FDB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94" w:type="dxa"/>
            <w:noWrap/>
            <w:vAlign w:val="center"/>
          </w:tcPr>
          <w:p w14:paraId="308C2207">
            <w:pPr>
              <w:pStyle w:val="5"/>
              <w:ind w:firstLine="0" w:firstLineChars="0"/>
              <w:jc w:val="center"/>
              <w:rPr>
                <w:rFonts w:ascii="宋体" w:hAnsi="宋体"/>
                <w:b/>
                <w:color w:val="auto"/>
                <w:sz w:val="24"/>
              </w:rPr>
            </w:pPr>
            <w:r>
              <w:rPr>
                <w:rFonts w:hint="eastAsia" w:ascii="宋体" w:hAnsi="宋体"/>
                <w:b/>
                <w:color w:val="auto"/>
                <w:sz w:val="24"/>
              </w:rPr>
              <w:t>1</w:t>
            </w:r>
          </w:p>
        </w:tc>
        <w:tc>
          <w:tcPr>
            <w:tcW w:w="2048" w:type="dxa"/>
            <w:noWrap/>
            <w:vAlign w:val="center"/>
          </w:tcPr>
          <w:p w14:paraId="67760A57">
            <w:pPr>
              <w:pStyle w:val="5"/>
              <w:ind w:firstLine="0" w:firstLineChars="0"/>
              <w:jc w:val="center"/>
              <w:rPr>
                <w:rFonts w:ascii="宋体" w:hAnsi="宋体"/>
                <w:b/>
                <w:color w:val="auto"/>
                <w:sz w:val="24"/>
              </w:rPr>
            </w:pPr>
          </w:p>
        </w:tc>
        <w:tc>
          <w:tcPr>
            <w:tcW w:w="1561" w:type="dxa"/>
            <w:noWrap/>
            <w:vAlign w:val="center"/>
          </w:tcPr>
          <w:p w14:paraId="6B56DAA2">
            <w:pPr>
              <w:pStyle w:val="5"/>
              <w:ind w:firstLine="0" w:firstLineChars="0"/>
              <w:jc w:val="center"/>
              <w:rPr>
                <w:rFonts w:ascii="宋体" w:hAnsi="宋体"/>
                <w:b/>
                <w:color w:val="auto"/>
                <w:sz w:val="24"/>
              </w:rPr>
            </w:pPr>
          </w:p>
        </w:tc>
        <w:tc>
          <w:tcPr>
            <w:tcW w:w="2762" w:type="dxa"/>
            <w:noWrap/>
            <w:vAlign w:val="center"/>
          </w:tcPr>
          <w:p w14:paraId="1FCFBBD5">
            <w:pPr>
              <w:pStyle w:val="5"/>
              <w:ind w:firstLine="0" w:firstLineChars="0"/>
              <w:jc w:val="center"/>
              <w:rPr>
                <w:rFonts w:ascii="宋体" w:hAnsi="宋体"/>
                <w:b/>
                <w:color w:val="auto"/>
                <w:sz w:val="24"/>
              </w:rPr>
            </w:pPr>
          </w:p>
        </w:tc>
        <w:tc>
          <w:tcPr>
            <w:tcW w:w="1394" w:type="dxa"/>
            <w:noWrap/>
            <w:vAlign w:val="center"/>
          </w:tcPr>
          <w:p w14:paraId="168C52EF">
            <w:pPr>
              <w:pStyle w:val="5"/>
              <w:ind w:firstLine="0" w:firstLineChars="0"/>
              <w:jc w:val="center"/>
              <w:rPr>
                <w:rFonts w:ascii="宋体" w:hAnsi="宋体"/>
                <w:b/>
                <w:color w:val="auto"/>
                <w:sz w:val="24"/>
              </w:rPr>
            </w:pPr>
          </w:p>
        </w:tc>
      </w:tr>
      <w:tr w14:paraId="30803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94" w:type="dxa"/>
            <w:noWrap/>
            <w:vAlign w:val="center"/>
          </w:tcPr>
          <w:p w14:paraId="4F8DA258">
            <w:pPr>
              <w:pStyle w:val="5"/>
              <w:ind w:firstLine="0" w:firstLineChars="0"/>
              <w:jc w:val="center"/>
              <w:rPr>
                <w:rFonts w:ascii="宋体" w:hAnsi="宋体"/>
                <w:b/>
                <w:color w:val="auto"/>
                <w:sz w:val="24"/>
              </w:rPr>
            </w:pPr>
            <w:r>
              <w:rPr>
                <w:rFonts w:hint="eastAsia" w:ascii="宋体" w:hAnsi="宋体"/>
                <w:b/>
                <w:color w:val="auto"/>
                <w:sz w:val="24"/>
              </w:rPr>
              <w:t>2</w:t>
            </w:r>
          </w:p>
        </w:tc>
        <w:tc>
          <w:tcPr>
            <w:tcW w:w="2048" w:type="dxa"/>
            <w:noWrap/>
            <w:vAlign w:val="center"/>
          </w:tcPr>
          <w:p w14:paraId="5836BFDA">
            <w:pPr>
              <w:pStyle w:val="5"/>
              <w:ind w:firstLine="0" w:firstLineChars="0"/>
              <w:jc w:val="center"/>
              <w:rPr>
                <w:rFonts w:ascii="宋体" w:hAnsi="宋体"/>
                <w:b/>
                <w:color w:val="auto"/>
                <w:sz w:val="24"/>
              </w:rPr>
            </w:pPr>
          </w:p>
        </w:tc>
        <w:tc>
          <w:tcPr>
            <w:tcW w:w="1561" w:type="dxa"/>
            <w:noWrap/>
            <w:vAlign w:val="center"/>
          </w:tcPr>
          <w:p w14:paraId="4A619539">
            <w:pPr>
              <w:pStyle w:val="5"/>
              <w:ind w:firstLine="0" w:firstLineChars="0"/>
              <w:jc w:val="center"/>
              <w:rPr>
                <w:rFonts w:ascii="宋体" w:hAnsi="宋体"/>
                <w:b/>
                <w:color w:val="auto"/>
                <w:sz w:val="24"/>
              </w:rPr>
            </w:pPr>
          </w:p>
        </w:tc>
        <w:tc>
          <w:tcPr>
            <w:tcW w:w="2762" w:type="dxa"/>
            <w:noWrap/>
            <w:vAlign w:val="center"/>
          </w:tcPr>
          <w:p w14:paraId="05AB1DFB">
            <w:pPr>
              <w:pStyle w:val="5"/>
              <w:ind w:firstLine="0" w:firstLineChars="0"/>
              <w:jc w:val="center"/>
              <w:rPr>
                <w:rFonts w:ascii="宋体" w:hAnsi="宋体"/>
                <w:b/>
                <w:color w:val="auto"/>
                <w:sz w:val="24"/>
              </w:rPr>
            </w:pPr>
          </w:p>
        </w:tc>
        <w:tc>
          <w:tcPr>
            <w:tcW w:w="1394" w:type="dxa"/>
            <w:noWrap/>
            <w:vAlign w:val="center"/>
          </w:tcPr>
          <w:p w14:paraId="71C2D026">
            <w:pPr>
              <w:pStyle w:val="5"/>
              <w:ind w:firstLine="0" w:firstLineChars="0"/>
              <w:jc w:val="center"/>
              <w:rPr>
                <w:rFonts w:ascii="宋体" w:hAnsi="宋体"/>
                <w:b/>
                <w:color w:val="auto"/>
                <w:sz w:val="24"/>
              </w:rPr>
            </w:pPr>
          </w:p>
        </w:tc>
      </w:tr>
      <w:tr w14:paraId="36275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94" w:type="dxa"/>
            <w:noWrap/>
            <w:vAlign w:val="center"/>
          </w:tcPr>
          <w:p w14:paraId="64C3762D">
            <w:pPr>
              <w:pStyle w:val="5"/>
              <w:ind w:firstLine="0" w:firstLineChars="0"/>
              <w:jc w:val="center"/>
              <w:rPr>
                <w:rFonts w:ascii="宋体" w:hAnsi="宋体"/>
                <w:b/>
                <w:color w:val="auto"/>
                <w:sz w:val="24"/>
              </w:rPr>
            </w:pPr>
            <w:r>
              <w:rPr>
                <w:rFonts w:hint="eastAsia" w:ascii="宋体" w:hAnsi="宋体"/>
                <w:b/>
                <w:color w:val="auto"/>
                <w:sz w:val="24"/>
              </w:rPr>
              <w:t>3</w:t>
            </w:r>
          </w:p>
        </w:tc>
        <w:tc>
          <w:tcPr>
            <w:tcW w:w="2048" w:type="dxa"/>
            <w:noWrap/>
            <w:vAlign w:val="center"/>
          </w:tcPr>
          <w:p w14:paraId="718F7D34">
            <w:pPr>
              <w:pStyle w:val="5"/>
              <w:ind w:firstLine="0" w:firstLineChars="0"/>
              <w:jc w:val="center"/>
              <w:rPr>
                <w:rFonts w:ascii="宋体" w:hAnsi="宋体"/>
                <w:b/>
                <w:color w:val="auto"/>
                <w:sz w:val="24"/>
              </w:rPr>
            </w:pPr>
          </w:p>
        </w:tc>
        <w:tc>
          <w:tcPr>
            <w:tcW w:w="1561" w:type="dxa"/>
            <w:noWrap/>
            <w:vAlign w:val="center"/>
          </w:tcPr>
          <w:p w14:paraId="16D501F6">
            <w:pPr>
              <w:pStyle w:val="5"/>
              <w:ind w:firstLine="0" w:firstLineChars="0"/>
              <w:jc w:val="center"/>
              <w:rPr>
                <w:rFonts w:ascii="宋体" w:hAnsi="宋体"/>
                <w:b/>
                <w:color w:val="auto"/>
                <w:sz w:val="24"/>
              </w:rPr>
            </w:pPr>
          </w:p>
        </w:tc>
        <w:tc>
          <w:tcPr>
            <w:tcW w:w="2762" w:type="dxa"/>
            <w:noWrap/>
            <w:vAlign w:val="center"/>
          </w:tcPr>
          <w:p w14:paraId="0785AA28">
            <w:pPr>
              <w:pStyle w:val="5"/>
              <w:ind w:firstLine="0" w:firstLineChars="0"/>
              <w:jc w:val="center"/>
              <w:rPr>
                <w:rFonts w:ascii="宋体" w:hAnsi="宋体"/>
                <w:b/>
                <w:color w:val="auto"/>
                <w:sz w:val="24"/>
              </w:rPr>
            </w:pPr>
          </w:p>
        </w:tc>
        <w:tc>
          <w:tcPr>
            <w:tcW w:w="1394" w:type="dxa"/>
            <w:noWrap/>
            <w:vAlign w:val="center"/>
          </w:tcPr>
          <w:p w14:paraId="7CB225D0">
            <w:pPr>
              <w:pStyle w:val="5"/>
              <w:ind w:firstLine="0" w:firstLineChars="0"/>
              <w:jc w:val="center"/>
              <w:rPr>
                <w:rFonts w:ascii="宋体" w:hAnsi="宋体"/>
                <w:b/>
                <w:color w:val="auto"/>
                <w:sz w:val="24"/>
              </w:rPr>
            </w:pPr>
          </w:p>
        </w:tc>
      </w:tr>
      <w:tr w14:paraId="1D899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94" w:type="dxa"/>
            <w:noWrap/>
            <w:vAlign w:val="center"/>
          </w:tcPr>
          <w:p w14:paraId="5719B09A">
            <w:pPr>
              <w:pStyle w:val="5"/>
              <w:ind w:firstLine="0" w:firstLineChars="0"/>
              <w:jc w:val="center"/>
              <w:rPr>
                <w:rFonts w:ascii="宋体" w:hAnsi="宋体"/>
                <w:b/>
                <w:color w:val="auto"/>
                <w:sz w:val="24"/>
              </w:rPr>
            </w:pPr>
            <w:r>
              <w:rPr>
                <w:rFonts w:ascii="宋体" w:hAnsi="宋体"/>
                <w:b/>
                <w:color w:val="auto"/>
                <w:sz w:val="24"/>
              </w:rPr>
              <w:t>…</w:t>
            </w:r>
          </w:p>
        </w:tc>
        <w:tc>
          <w:tcPr>
            <w:tcW w:w="2048" w:type="dxa"/>
            <w:noWrap/>
            <w:vAlign w:val="center"/>
          </w:tcPr>
          <w:p w14:paraId="747CA89F">
            <w:pPr>
              <w:pStyle w:val="5"/>
              <w:ind w:firstLine="0" w:firstLineChars="0"/>
              <w:jc w:val="center"/>
              <w:rPr>
                <w:rFonts w:ascii="宋体" w:hAnsi="宋体"/>
                <w:b/>
                <w:color w:val="auto"/>
                <w:sz w:val="24"/>
              </w:rPr>
            </w:pPr>
          </w:p>
        </w:tc>
        <w:tc>
          <w:tcPr>
            <w:tcW w:w="1561" w:type="dxa"/>
            <w:noWrap/>
            <w:vAlign w:val="center"/>
          </w:tcPr>
          <w:p w14:paraId="3EC019C8">
            <w:pPr>
              <w:pStyle w:val="5"/>
              <w:ind w:firstLine="0" w:firstLineChars="0"/>
              <w:jc w:val="center"/>
              <w:rPr>
                <w:rFonts w:ascii="宋体" w:hAnsi="宋体"/>
                <w:b/>
                <w:color w:val="auto"/>
                <w:sz w:val="24"/>
              </w:rPr>
            </w:pPr>
          </w:p>
        </w:tc>
        <w:tc>
          <w:tcPr>
            <w:tcW w:w="2762" w:type="dxa"/>
            <w:noWrap/>
            <w:vAlign w:val="center"/>
          </w:tcPr>
          <w:p w14:paraId="149162D6">
            <w:pPr>
              <w:pStyle w:val="5"/>
              <w:ind w:firstLine="0" w:firstLineChars="0"/>
              <w:jc w:val="center"/>
              <w:rPr>
                <w:rFonts w:ascii="宋体" w:hAnsi="宋体"/>
                <w:b/>
                <w:color w:val="auto"/>
                <w:sz w:val="24"/>
              </w:rPr>
            </w:pPr>
          </w:p>
        </w:tc>
        <w:tc>
          <w:tcPr>
            <w:tcW w:w="1394" w:type="dxa"/>
            <w:noWrap/>
            <w:vAlign w:val="center"/>
          </w:tcPr>
          <w:p w14:paraId="1A18934E">
            <w:pPr>
              <w:pStyle w:val="5"/>
              <w:ind w:firstLine="0" w:firstLineChars="0"/>
              <w:jc w:val="center"/>
              <w:rPr>
                <w:rFonts w:ascii="宋体" w:hAnsi="宋体"/>
                <w:b/>
                <w:color w:val="auto"/>
                <w:sz w:val="24"/>
              </w:rPr>
            </w:pPr>
          </w:p>
        </w:tc>
      </w:tr>
      <w:tr w14:paraId="2B219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94" w:type="dxa"/>
            <w:noWrap/>
            <w:vAlign w:val="center"/>
          </w:tcPr>
          <w:p w14:paraId="4DF752FB">
            <w:pPr>
              <w:pStyle w:val="5"/>
              <w:ind w:firstLine="0" w:firstLineChars="0"/>
              <w:jc w:val="center"/>
              <w:rPr>
                <w:rFonts w:ascii="宋体" w:hAnsi="宋体"/>
                <w:b/>
                <w:color w:val="auto"/>
                <w:sz w:val="24"/>
              </w:rPr>
            </w:pPr>
            <w:r>
              <w:rPr>
                <w:rFonts w:ascii="宋体" w:hAnsi="宋体"/>
                <w:b/>
                <w:color w:val="auto"/>
                <w:sz w:val="24"/>
              </w:rPr>
              <w:t>…</w:t>
            </w:r>
          </w:p>
        </w:tc>
        <w:tc>
          <w:tcPr>
            <w:tcW w:w="2048" w:type="dxa"/>
            <w:noWrap/>
            <w:vAlign w:val="center"/>
          </w:tcPr>
          <w:p w14:paraId="166DFA51">
            <w:pPr>
              <w:pStyle w:val="5"/>
              <w:ind w:firstLine="0" w:firstLineChars="0"/>
              <w:jc w:val="center"/>
              <w:rPr>
                <w:rFonts w:ascii="宋体" w:hAnsi="宋体"/>
                <w:b/>
                <w:color w:val="auto"/>
                <w:sz w:val="24"/>
              </w:rPr>
            </w:pPr>
          </w:p>
        </w:tc>
        <w:tc>
          <w:tcPr>
            <w:tcW w:w="1561" w:type="dxa"/>
            <w:noWrap/>
            <w:vAlign w:val="center"/>
          </w:tcPr>
          <w:p w14:paraId="69574E20">
            <w:pPr>
              <w:pStyle w:val="5"/>
              <w:ind w:firstLine="0" w:firstLineChars="0"/>
              <w:jc w:val="center"/>
              <w:rPr>
                <w:rFonts w:ascii="宋体" w:hAnsi="宋体"/>
                <w:b/>
                <w:color w:val="auto"/>
                <w:sz w:val="24"/>
              </w:rPr>
            </w:pPr>
          </w:p>
        </w:tc>
        <w:tc>
          <w:tcPr>
            <w:tcW w:w="2762" w:type="dxa"/>
            <w:noWrap/>
            <w:vAlign w:val="center"/>
          </w:tcPr>
          <w:p w14:paraId="552C67A7">
            <w:pPr>
              <w:pStyle w:val="5"/>
              <w:ind w:firstLine="0" w:firstLineChars="0"/>
              <w:jc w:val="center"/>
              <w:rPr>
                <w:rFonts w:ascii="宋体" w:hAnsi="宋体"/>
                <w:b/>
                <w:color w:val="auto"/>
                <w:sz w:val="24"/>
              </w:rPr>
            </w:pPr>
          </w:p>
        </w:tc>
        <w:tc>
          <w:tcPr>
            <w:tcW w:w="1394" w:type="dxa"/>
            <w:noWrap/>
            <w:vAlign w:val="center"/>
          </w:tcPr>
          <w:p w14:paraId="6AA87C4D">
            <w:pPr>
              <w:pStyle w:val="5"/>
              <w:ind w:firstLine="0" w:firstLineChars="0"/>
              <w:jc w:val="center"/>
              <w:rPr>
                <w:rFonts w:ascii="宋体" w:hAnsi="宋体"/>
                <w:b/>
                <w:color w:val="auto"/>
                <w:sz w:val="24"/>
              </w:rPr>
            </w:pPr>
          </w:p>
        </w:tc>
      </w:tr>
    </w:tbl>
    <w:p w14:paraId="2188A60D">
      <w:pPr>
        <w:pStyle w:val="5"/>
        <w:ind w:firstLine="480"/>
        <w:rPr>
          <w:rFonts w:ascii="宋体" w:hAnsi="宋体"/>
          <w:color w:val="auto"/>
          <w:sz w:val="24"/>
        </w:rPr>
      </w:pPr>
    </w:p>
    <w:p w14:paraId="287E22FF">
      <w:pPr>
        <w:pStyle w:val="5"/>
        <w:spacing w:line="480" w:lineRule="exact"/>
        <w:ind w:firstLine="480"/>
        <w:rPr>
          <w:rFonts w:ascii="宋体" w:hAnsi="宋体"/>
          <w:color w:val="auto"/>
          <w:sz w:val="24"/>
        </w:rPr>
      </w:pPr>
      <w:r>
        <w:rPr>
          <w:rFonts w:ascii="宋体" w:hAnsi="宋体"/>
          <w:color w:val="auto"/>
          <w:sz w:val="24"/>
        </w:rPr>
        <w:t>注</w:t>
      </w:r>
      <w:r>
        <w:rPr>
          <w:rFonts w:hint="eastAsia" w:ascii="宋体" w:hAnsi="宋体"/>
          <w:color w:val="auto"/>
          <w:sz w:val="24"/>
        </w:rPr>
        <w:t>：</w:t>
      </w:r>
      <w:r>
        <w:rPr>
          <w:rFonts w:ascii="宋体" w:hAnsi="宋体"/>
          <w:color w:val="auto"/>
          <w:sz w:val="24"/>
        </w:rPr>
        <w:t>本表只填写属于小微企业生产的产品</w:t>
      </w:r>
      <w:r>
        <w:rPr>
          <w:rFonts w:hint="eastAsia" w:ascii="宋体" w:hAnsi="宋体"/>
          <w:color w:val="auto"/>
          <w:sz w:val="24"/>
        </w:rPr>
        <w:t>，</w:t>
      </w:r>
      <w:r>
        <w:rPr>
          <w:rFonts w:ascii="宋体" w:hAnsi="宋体"/>
          <w:color w:val="auto"/>
          <w:sz w:val="24"/>
        </w:rPr>
        <w:t>不属于小微企业的产品不需要填写</w:t>
      </w:r>
      <w:r>
        <w:rPr>
          <w:rFonts w:hint="eastAsia" w:ascii="宋体" w:hAnsi="宋体"/>
          <w:color w:val="auto"/>
          <w:sz w:val="24"/>
        </w:rPr>
        <w:t>，</w:t>
      </w:r>
      <w:r>
        <w:rPr>
          <w:rFonts w:ascii="宋体" w:hAnsi="宋体"/>
          <w:color w:val="auto"/>
          <w:sz w:val="24"/>
        </w:rPr>
        <w:t>本表不填写不构成废标条款</w:t>
      </w:r>
      <w:r>
        <w:rPr>
          <w:rFonts w:hint="eastAsia" w:ascii="宋体" w:hAnsi="宋体"/>
          <w:color w:val="auto"/>
          <w:sz w:val="24"/>
        </w:rPr>
        <w:t>，</w:t>
      </w:r>
      <w:r>
        <w:rPr>
          <w:rFonts w:ascii="宋体" w:hAnsi="宋体"/>
          <w:color w:val="auto"/>
          <w:sz w:val="24"/>
        </w:rPr>
        <w:t>但不得参与小微企业扣减</w:t>
      </w:r>
      <w:r>
        <w:rPr>
          <w:rFonts w:hint="eastAsia" w:ascii="宋体" w:hAnsi="宋体"/>
          <w:color w:val="auto"/>
          <w:sz w:val="24"/>
        </w:rPr>
        <w:t>。</w:t>
      </w:r>
    </w:p>
    <w:p w14:paraId="739865B0">
      <w:pPr>
        <w:spacing w:line="400" w:lineRule="atLeast"/>
        <w:ind w:firstLine="360" w:firstLineChars="150"/>
        <w:rPr>
          <w:rFonts w:ascii="宋体" w:hAnsi="宋体"/>
          <w:color w:val="auto"/>
          <w:sz w:val="24"/>
        </w:rPr>
      </w:pPr>
    </w:p>
    <w:p w14:paraId="30191684">
      <w:pPr>
        <w:keepNext w:val="0"/>
        <w:keepLines w:val="0"/>
        <w:pageBreakBefore w:val="0"/>
        <w:widowControl w:val="0"/>
        <w:kinsoku/>
        <w:wordWrap/>
        <w:overflowPunct/>
        <w:topLinePunct w:val="0"/>
        <w:autoSpaceDE/>
        <w:autoSpaceDN/>
        <w:bidi w:val="0"/>
        <w:adjustRightInd/>
        <w:snapToGrid/>
        <w:spacing w:before="60" w:after="60" w:line="560" w:lineRule="exact"/>
        <w:ind w:firstLine="480" w:firstLineChars="200"/>
        <w:textAlignment w:val="auto"/>
        <w:rPr>
          <w:rFonts w:ascii="宋体" w:hAnsi="宋体" w:eastAsia="宋体"/>
          <w:color w:val="auto"/>
          <w:sz w:val="24"/>
          <w:szCs w:val="24"/>
          <w:highlight w:val="none"/>
        </w:rPr>
      </w:pP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全称（加盖电子公章）：</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p>
    <w:p w14:paraId="184B59E4">
      <w:pPr>
        <w:keepNext w:val="0"/>
        <w:keepLines w:val="0"/>
        <w:pageBreakBefore w:val="0"/>
        <w:widowControl w:val="0"/>
        <w:kinsoku/>
        <w:wordWrap/>
        <w:overflowPunct/>
        <w:topLinePunct w:val="0"/>
        <w:autoSpaceDE/>
        <w:autoSpaceDN/>
        <w:bidi w:val="0"/>
        <w:adjustRightInd/>
        <w:snapToGrid/>
        <w:spacing w:before="60" w:after="60" w:line="560" w:lineRule="exact"/>
        <w:ind w:firstLine="480" w:firstLineChars="200"/>
        <w:textAlignment w:val="auto"/>
        <w:rPr>
          <w:rFonts w:ascii="宋体" w:hAnsi="宋体" w:eastAsia="宋体"/>
          <w:color w:val="auto"/>
          <w:sz w:val="24"/>
          <w:szCs w:val="24"/>
          <w:highlight w:val="none"/>
          <w:u w:val="single"/>
        </w:rPr>
      </w:pPr>
      <w:r>
        <w:rPr>
          <w:rFonts w:hint="eastAsia" w:ascii="宋体" w:hAnsi="宋体" w:eastAsia="宋体"/>
          <w:color w:val="auto"/>
          <w:sz w:val="24"/>
          <w:szCs w:val="24"/>
          <w:highlight w:val="none"/>
        </w:rPr>
        <w:t>法定代表人或委托代理人（电子签章或电子签名）：</w:t>
      </w:r>
      <w:r>
        <w:rPr>
          <w:rFonts w:hint="eastAsia" w:ascii="宋体" w:hAnsi="宋体" w:eastAsia="宋体"/>
          <w:color w:val="auto"/>
          <w:sz w:val="24"/>
          <w:szCs w:val="24"/>
          <w:highlight w:val="none"/>
          <w:u w:val="single"/>
        </w:rPr>
        <w:t xml:space="preserve">                   </w:t>
      </w:r>
    </w:p>
    <w:p w14:paraId="28CABFD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日期：</w:t>
      </w:r>
      <w:r>
        <w:rPr>
          <w:rFonts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年</w:t>
      </w:r>
      <w:r>
        <w:rPr>
          <w:rFonts w:ascii="宋体" w:hAnsi="宋体" w:eastAsia="宋体"/>
          <w:b/>
          <w:color w:val="auto"/>
          <w:sz w:val="24"/>
          <w:szCs w:val="24"/>
          <w:highlight w:val="none"/>
          <w:u w:val="single"/>
        </w:rPr>
        <w:t xml:space="preserve">     </w:t>
      </w:r>
      <w:r>
        <w:rPr>
          <w:rFonts w:hint="eastAsia" w:ascii="宋体" w:hAnsi="宋体" w:eastAsia="宋体"/>
          <w:color w:val="auto"/>
          <w:sz w:val="24"/>
          <w:szCs w:val="24"/>
          <w:highlight w:val="none"/>
        </w:rPr>
        <w:t>月</w:t>
      </w:r>
      <w:r>
        <w:rPr>
          <w:rFonts w:ascii="宋体" w:hAnsi="宋体" w:eastAsia="宋体"/>
          <w:b/>
          <w:color w:val="auto"/>
          <w:sz w:val="24"/>
          <w:szCs w:val="24"/>
          <w:highlight w:val="none"/>
          <w:u w:val="single"/>
        </w:rPr>
        <w:t xml:space="preserve">     </w:t>
      </w:r>
      <w:r>
        <w:rPr>
          <w:rFonts w:hint="eastAsia" w:ascii="宋体" w:hAnsi="宋体" w:eastAsia="宋体"/>
          <w:color w:val="auto"/>
          <w:sz w:val="24"/>
          <w:szCs w:val="24"/>
          <w:highlight w:val="none"/>
        </w:rPr>
        <w:t>日</w:t>
      </w:r>
    </w:p>
    <w:p w14:paraId="1881FFE6">
      <w:pPr>
        <w:rPr>
          <w:rFonts w:ascii="宋体" w:hAnsi="宋体" w:cs="宋体"/>
          <w:b/>
          <w:bCs/>
          <w:color w:val="auto"/>
          <w:kern w:val="0"/>
          <w:sz w:val="24"/>
        </w:rPr>
        <w:sectPr>
          <w:headerReference r:id="rId11" w:type="default"/>
          <w:footerReference r:id="rId12" w:type="default"/>
          <w:pgSz w:w="11906" w:h="16838"/>
          <w:pgMar w:top="1440" w:right="1134" w:bottom="1418" w:left="1134" w:header="851" w:footer="936" w:gutter="0"/>
          <w:pgNumType w:fmt="decimal"/>
          <w:cols w:space="720" w:num="1"/>
          <w:docGrid w:linePitch="312" w:charSpace="0"/>
        </w:sectPr>
      </w:pPr>
    </w:p>
    <w:p w14:paraId="180BB151">
      <w:pPr>
        <w:keepNext/>
        <w:keepLines/>
        <w:widowControl/>
        <w:autoSpaceDE w:val="0"/>
        <w:spacing w:line="360" w:lineRule="auto"/>
        <w:jc w:val="center"/>
        <w:outlineLvl w:val="2"/>
        <w:rPr>
          <w:rFonts w:ascii="宋体" w:hAnsi="宋体" w:cs="宋体"/>
          <w:b/>
          <w:bCs/>
          <w:color w:val="auto"/>
          <w:sz w:val="28"/>
          <w:szCs w:val="28"/>
        </w:rPr>
      </w:pPr>
      <w:r>
        <w:rPr>
          <w:rFonts w:hint="eastAsia" w:ascii="宋体" w:hAnsi="宋体" w:cs="宋体"/>
          <w:b/>
          <w:bCs/>
          <w:color w:val="auto"/>
          <w:sz w:val="28"/>
          <w:szCs w:val="28"/>
        </w:rPr>
        <w:t>（二）残疾人福利性单位声明函（若有）</w:t>
      </w:r>
    </w:p>
    <w:p w14:paraId="5B1F9998">
      <w:pPr>
        <w:spacing w:line="588" w:lineRule="exact"/>
        <w:ind w:firstLine="504" w:firstLineChars="200"/>
        <w:rPr>
          <w:rFonts w:ascii="宋体" w:hAnsi="宋体"/>
          <w:color w:val="auto"/>
          <w:spacing w:val="6"/>
          <w:sz w:val="24"/>
        </w:rPr>
      </w:pPr>
      <w:r>
        <w:rPr>
          <w:rFonts w:hint="eastAsia" w:ascii="宋体" w:hAnsi="宋体"/>
          <w:color w:val="auto"/>
          <w:spacing w:val="6"/>
          <w:sz w:val="24"/>
        </w:rPr>
        <w:t>本单位郑重声明，根据《财政部 民政部 中国残疾人联合会关于促进残疾人就业政府采购政策的通知》（财库</w:t>
      </w:r>
      <w:r>
        <w:rPr>
          <w:rFonts w:hint="eastAsia" w:ascii="宋体" w:hAnsi="宋体"/>
          <w:color w:val="auto"/>
          <w:sz w:val="24"/>
        </w:rPr>
        <w:t>〔2017〕 141</w:t>
      </w:r>
      <w:r>
        <w:rPr>
          <w:rFonts w:hint="eastAsia" w:ascii="宋体" w:hAnsi="宋体"/>
          <w:color w:val="auto"/>
          <w:spacing w:val="6"/>
          <w:sz w:val="24"/>
        </w:rPr>
        <w:t>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2DEC91EC">
      <w:pPr>
        <w:spacing w:line="588" w:lineRule="exact"/>
        <w:ind w:firstLine="504" w:firstLineChars="200"/>
        <w:rPr>
          <w:rFonts w:ascii="宋体" w:hAnsi="宋体"/>
          <w:color w:val="auto"/>
          <w:spacing w:val="6"/>
          <w:sz w:val="24"/>
        </w:rPr>
      </w:pPr>
      <w:r>
        <w:rPr>
          <w:rFonts w:hint="eastAsia" w:ascii="宋体" w:hAnsi="宋体"/>
          <w:color w:val="auto"/>
          <w:spacing w:val="6"/>
          <w:sz w:val="24"/>
        </w:rPr>
        <w:t>本单位对上述声明的真实性负责。如有虚假，将依法承担相应责任。</w:t>
      </w:r>
    </w:p>
    <w:p w14:paraId="0D5342C8">
      <w:pPr>
        <w:spacing w:line="588" w:lineRule="exact"/>
        <w:ind w:firstLine="504" w:firstLineChars="200"/>
        <w:rPr>
          <w:rFonts w:ascii="宋体" w:hAnsi="宋体"/>
          <w:color w:val="auto"/>
          <w:spacing w:val="6"/>
          <w:sz w:val="24"/>
        </w:rPr>
      </w:pPr>
    </w:p>
    <w:p w14:paraId="4F8A28CE">
      <w:pPr>
        <w:spacing w:line="588" w:lineRule="exact"/>
        <w:ind w:firstLine="504" w:firstLineChars="200"/>
        <w:rPr>
          <w:rFonts w:ascii="宋体" w:hAnsi="宋体"/>
          <w:color w:val="auto"/>
          <w:spacing w:val="6"/>
          <w:sz w:val="24"/>
        </w:rPr>
      </w:pPr>
    </w:p>
    <w:p w14:paraId="3ED9C1DF">
      <w:pPr>
        <w:spacing w:line="360" w:lineRule="auto"/>
        <w:ind w:firstLine="4320" w:firstLineChars="1800"/>
        <w:rPr>
          <w:rFonts w:ascii="宋体" w:hAnsi="宋体" w:eastAsia="宋体"/>
          <w:b w:val="0"/>
          <w:bCs/>
          <w:color w:val="auto"/>
          <w:sz w:val="24"/>
          <w:szCs w:val="24"/>
          <w:highlight w:val="none"/>
          <w:u w:val="single"/>
        </w:rPr>
      </w:pPr>
      <w:r>
        <w:rPr>
          <w:rFonts w:hint="eastAsia" w:ascii="宋体" w:hAnsi="宋体" w:eastAsia="宋体"/>
          <w:b w:val="0"/>
          <w:bCs/>
          <w:color w:val="auto"/>
          <w:sz w:val="24"/>
          <w:szCs w:val="24"/>
          <w:highlight w:val="none"/>
        </w:rPr>
        <w:t>单位名称（加盖电子公章）</w:t>
      </w:r>
      <w:r>
        <w:rPr>
          <w:rFonts w:ascii="宋体" w:hAnsi="宋体" w:eastAsia="宋体"/>
          <w:b w:val="0"/>
          <w:bCs/>
          <w:color w:val="auto"/>
          <w:sz w:val="24"/>
          <w:szCs w:val="24"/>
          <w:highlight w:val="none"/>
        </w:rPr>
        <w:t>：</w:t>
      </w:r>
      <w:r>
        <w:rPr>
          <w:rFonts w:hint="eastAsia" w:ascii="宋体" w:hAnsi="宋体" w:eastAsia="宋体"/>
          <w:b w:val="0"/>
          <w:bCs/>
          <w:color w:val="auto"/>
          <w:sz w:val="24"/>
          <w:szCs w:val="24"/>
          <w:highlight w:val="none"/>
          <w:u w:val="single"/>
        </w:rPr>
        <w:t xml:space="preserve"> </w:t>
      </w:r>
      <w:r>
        <w:rPr>
          <w:rFonts w:ascii="宋体" w:hAnsi="宋体" w:eastAsia="宋体"/>
          <w:b w:val="0"/>
          <w:bCs/>
          <w:color w:val="auto"/>
          <w:sz w:val="24"/>
          <w:szCs w:val="24"/>
          <w:highlight w:val="none"/>
          <w:u w:val="single"/>
        </w:rPr>
        <w:t xml:space="preserve">       </w:t>
      </w:r>
      <w:r>
        <w:rPr>
          <w:rFonts w:hint="eastAsia" w:ascii="宋体" w:hAnsi="宋体" w:eastAsia="宋体"/>
          <w:b w:val="0"/>
          <w:bCs/>
          <w:color w:val="auto"/>
          <w:sz w:val="24"/>
          <w:szCs w:val="24"/>
          <w:highlight w:val="none"/>
          <w:u w:val="single"/>
          <w:lang w:val="en-US" w:eastAsia="zh-CN"/>
        </w:rPr>
        <w:t xml:space="preserve">           </w:t>
      </w:r>
      <w:r>
        <w:rPr>
          <w:rFonts w:ascii="宋体" w:hAnsi="宋体" w:eastAsia="宋体"/>
          <w:b w:val="0"/>
          <w:bCs/>
          <w:color w:val="auto"/>
          <w:sz w:val="24"/>
          <w:szCs w:val="24"/>
          <w:highlight w:val="none"/>
          <w:u w:val="single"/>
        </w:rPr>
        <w:t xml:space="preserve">    </w:t>
      </w:r>
    </w:p>
    <w:p w14:paraId="030A14A3">
      <w:pPr>
        <w:spacing w:line="360" w:lineRule="auto"/>
        <w:ind w:firstLine="480" w:firstLineChars="200"/>
        <w:rPr>
          <w:rFonts w:ascii="宋体" w:hAnsi="宋体" w:eastAsia="宋体"/>
          <w:b w:val="0"/>
          <w:bCs/>
          <w:color w:val="auto"/>
          <w:sz w:val="24"/>
          <w:szCs w:val="24"/>
          <w:highlight w:val="none"/>
        </w:rPr>
      </w:pPr>
    </w:p>
    <w:p w14:paraId="5390BB11">
      <w:pPr>
        <w:spacing w:line="360" w:lineRule="auto"/>
        <w:jc w:val="right"/>
        <w:rPr>
          <w:rFonts w:ascii="宋体" w:hAnsi="宋体" w:eastAsia="宋体"/>
          <w:b w:val="0"/>
          <w:bCs/>
          <w:color w:val="auto"/>
          <w:sz w:val="24"/>
          <w:szCs w:val="24"/>
          <w:highlight w:val="none"/>
        </w:rPr>
      </w:pPr>
      <w:r>
        <w:rPr>
          <w:rFonts w:ascii="宋体" w:hAnsi="宋体" w:eastAsia="宋体"/>
          <w:b w:val="0"/>
          <w:bCs/>
          <w:color w:val="auto"/>
          <w:sz w:val="24"/>
          <w:szCs w:val="24"/>
          <w:highlight w:val="none"/>
        </w:rPr>
        <w:t>日</w:t>
      </w:r>
      <w:r>
        <w:rPr>
          <w:rFonts w:hint="eastAsia" w:ascii="宋体" w:hAnsi="宋体" w:eastAsia="宋体"/>
          <w:b w:val="0"/>
          <w:bCs/>
          <w:color w:val="auto"/>
          <w:sz w:val="24"/>
          <w:szCs w:val="24"/>
          <w:highlight w:val="none"/>
        </w:rPr>
        <w:t xml:space="preserve">  </w:t>
      </w:r>
      <w:r>
        <w:rPr>
          <w:rFonts w:ascii="宋体" w:hAnsi="宋体" w:eastAsia="宋体"/>
          <w:b w:val="0"/>
          <w:bCs/>
          <w:color w:val="auto"/>
          <w:sz w:val="24"/>
          <w:szCs w:val="24"/>
          <w:highlight w:val="none"/>
        </w:rPr>
        <w:t>期：</w:t>
      </w:r>
      <w:r>
        <w:rPr>
          <w:rFonts w:ascii="宋体" w:hAnsi="宋体" w:eastAsia="宋体"/>
          <w:b w:val="0"/>
          <w:bCs/>
          <w:color w:val="auto"/>
          <w:sz w:val="24"/>
          <w:szCs w:val="24"/>
          <w:highlight w:val="none"/>
          <w:u w:val="single"/>
        </w:rPr>
        <w:t xml:space="preserve">  </w:t>
      </w:r>
      <w:r>
        <w:rPr>
          <w:rFonts w:hint="eastAsia" w:ascii="宋体" w:hAnsi="宋体"/>
          <w:b w:val="0"/>
          <w:bCs/>
          <w:color w:val="auto"/>
          <w:sz w:val="24"/>
          <w:szCs w:val="24"/>
          <w:highlight w:val="none"/>
          <w:u w:val="single"/>
          <w:lang w:val="en-US" w:eastAsia="zh-CN"/>
        </w:rPr>
        <w:t xml:space="preserve"> </w:t>
      </w:r>
      <w:r>
        <w:rPr>
          <w:rFonts w:ascii="宋体" w:hAnsi="宋体" w:eastAsia="宋体"/>
          <w:b w:val="0"/>
          <w:bCs/>
          <w:color w:val="auto"/>
          <w:sz w:val="24"/>
          <w:szCs w:val="24"/>
          <w:highlight w:val="none"/>
          <w:u w:val="single"/>
        </w:rPr>
        <w:t xml:space="preserve">     </w:t>
      </w:r>
      <w:r>
        <w:rPr>
          <w:rFonts w:ascii="宋体" w:hAnsi="宋体" w:eastAsia="宋体"/>
          <w:b w:val="0"/>
          <w:bCs/>
          <w:color w:val="auto"/>
          <w:sz w:val="24"/>
          <w:szCs w:val="24"/>
          <w:highlight w:val="none"/>
        </w:rPr>
        <w:t>年</w:t>
      </w:r>
      <w:r>
        <w:rPr>
          <w:rFonts w:ascii="宋体" w:hAnsi="宋体" w:eastAsia="宋体"/>
          <w:b w:val="0"/>
          <w:bCs/>
          <w:color w:val="auto"/>
          <w:sz w:val="24"/>
          <w:szCs w:val="24"/>
          <w:highlight w:val="none"/>
          <w:u w:val="single"/>
        </w:rPr>
        <w:t xml:space="preserve">     </w:t>
      </w:r>
      <w:r>
        <w:rPr>
          <w:rFonts w:ascii="宋体" w:hAnsi="宋体" w:eastAsia="宋体"/>
          <w:b w:val="0"/>
          <w:bCs/>
          <w:color w:val="auto"/>
          <w:sz w:val="24"/>
          <w:szCs w:val="24"/>
          <w:highlight w:val="none"/>
        </w:rPr>
        <w:t>月</w:t>
      </w:r>
      <w:r>
        <w:rPr>
          <w:rFonts w:ascii="宋体" w:hAnsi="宋体" w:eastAsia="宋体"/>
          <w:b w:val="0"/>
          <w:bCs/>
          <w:color w:val="auto"/>
          <w:sz w:val="24"/>
          <w:szCs w:val="24"/>
          <w:highlight w:val="none"/>
          <w:u w:val="single"/>
        </w:rPr>
        <w:t xml:space="preserve">     </w:t>
      </w:r>
      <w:r>
        <w:rPr>
          <w:rFonts w:ascii="宋体" w:hAnsi="宋体" w:eastAsia="宋体"/>
          <w:b w:val="0"/>
          <w:bCs/>
          <w:color w:val="auto"/>
          <w:sz w:val="24"/>
          <w:szCs w:val="24"/>
          <w:highlight w:val="none"/>
        </w:rPr>
        <w:t>日</w:t>
      </w:r>
    </w:p>
    <w:p w14:paraId="53F0B975">
      <w:pPr>
        <w:spacing w:line="360" w:lineRule="auto"/>
        <w:ind w:firstLine="480" w:firstLineChars="200"/>
        <w:rPr>
          <w:rFonts w:ascii="宋体" w:hAnsi="宋体"/>
          <w:color w:val="auto"/>
          <w:sz w:val="24"/>
        </w:rPr>
      </w:pPr>
    </w:p>
    <w:p w14:paraId="3835C4FB">
      <w:pPr>
        <w:spacing w:line="360" w:lineRule="auto"/>
        <w:ind w:firstLine="480" w:firstLineChars="200"/>
        <w:rPr>
          <w:rFonts w:ascii="宋体" w:hAnsi="宋体"/>
          <w:color w:val="auto"/>
          <w:sz w:val="24"/>
        </w:rPr>
      </w:pPr>
    </w:p>
    <w:p w14:paraId="0E5AC32A">
      <w:pPr>
        <w:pStyle w:val="5"/>
        <w:spacing w:line="360" w:lineRule="auto"/>
        <w:ind w:firstLine="482"/>
        <w:rPr>
          <w:rFonts w:ascii="宋体" w:hAnsi="宋体"/>
          <w:b/>
          <w:color w:val="auto"/>
          <w:sz w:val="24"/>
        </w:rPr>
      </w:pPr>
      <w:r>
        <w:rPr>
          <w:rFonts w:hint="eastAsia" w:ascii="宋体" w:hAnsi="宋体"/>
          <w:b/>
          <w:color w:val="auto"/>
          <w:sz w:val="24"/>
        </w:rPr>
        <w:t>注：符合条件的残疾人福利性单位在参加政府采购活动时，应当按《三部门联合发布关于促进残疾人就业政府采购政策的通知》（财库〔2017〕141号）提供规定的《残疾人福利性单位声明函》，并对声明的真实性负责。</w:t>
      </w:r>
    </w:p>
    <w:p w14:paraId="5123FE87">
      <w:pPr>
        <w:keepNext/>
        <w:keepLines/>
        <w:widowControl/>
        <w:autoSpaceDE w:val="0"/>
        <w:spacing w:line="360" w:lineRule="auto"/>
        <w:jc w:val="center"/>
        <w:outlineLvl w:val="2"/>
        <w:rPr>
          <w:rFonts w:ascii="宋体" w:hAnsi="宋体" w:cs="宋体"/>
          <w:b/>
          <w:bCs/>
          <w:color w:val="auto"/>
          <w:sz w:val="28"/>
          <w:szCs w:val="28"/>
        </w:rPr>
        <w:sectPr>
          <w:pgSz w:w="11906" w:h="16838"/>
          <w:pgMar w:top="1440" w:right="1134" w:bottom="1418" w:left="1134" w:header="851" w:footer="936" w:gutter="0"/>
          <w:pgNumType w:fmt="decimal"/>
          <w:cols w:space="720" w:num="1"/>
          <w:docGrid w:linePitch="312" w:charSpace="0"/>
        </w:sectPr>
      </w:pPr>
    </w:p>
    <w:p w14:paraId="7D80EF03">
      <w:pPr>
        <w:keepNext/>
        <w:keepLines/>
        <w:widowControl/>
        <w:autoSpaceDE w:val="0"/>
        <w:spacing w:line="360" w:lineRule="auto"/>
        <w:jc w:val="center"/>
        <w:outlineLvl w:val="2"/>
        <w:rPr>
          <w:rFonts w:ascii="宋体" w:hAnsi="宋体" w:cs="宋体"/>
          <w:b/>
          <w:bCs/>
          <w:color w:val="auto"/>
          <w:sz w:val="28"/>
          <w:szCs w:val="28"/>
        </w:rPr>
      </w:pPr>
      <w:r>
        <w:rPr>
          <w:rFonts w:hint="eastAsia" w:ascii="宋体" w:hAnsi="宋体" w:cs="宋体"/>
          <w:b/>
          <w:bCs/>
          <w:color w:val="auto"/>
          <w:sz w:val="28"/>
          <w:szCs w:val="28"/>
        </w:rPr>
        <w:t>（三）监狱企业证明材料（若有）</w:t>
      </w:r>
    </w:p>
    <w:p w14:paraId="2209D668">
      <w:pPr>
        <w:jc w:val="center"/>
        <w:rPr>
          <w:rFonts w:ascii="宋体" w:hAnsi="宋体" w:cs="Arial Narrow"/>
          <w:color w:val="auto"/>
          <w:shd w:val="clear" w:color="auto" w:fill="FFFFFF"/>
        </w:rPr>
      </w:pPr>
    </w:p>
    <w:p w14:paraId="0607ABF0">
      <w:pPr>
        <w:jc w:val="center"/>
        <w:rPr>
          <w:rFonts w:ascii="宋体" w:hAnsi="宋体"/>
          <w:color w:val="auto"/>
          <w:sz w:val="24"/>
        </w:rPr>
      </w:pPr>
      <w:r>
        <w:rPr>
          <w:rFonts w:hint="eastAsia" w:ascii="宋体" w:hAnsi="宋体" w:cs="Arial Narrow"/>
          <w:color w:val="auto"/>
          <w:sz w:val="24"/>
          <w:shd w:val="clear" w:color="auto" w:fill="FFFFFF"/>
        </w:rPr>
        <w:t>附监狱企业证明材料扫描件</w:t>
      </w:r>
    </w:p>
    <w:p w14:paraId="7F4F919D">
      <w:pPr>
        <w:spacing w:line="560" w:lineRule="exact"/>
        <w:ind w:firstLine="640" w:firstLineChars="200"/>
        <w:rPr>
          <w:rFonts w:ascii="宋体" w:hAnsi="宋体"/>
          <w:color w:val="auto"/>
          <w:sz w:val="32"/>
        </w:rPr>
        <w:sectPr>
          <w:pgSz w:w="11906" w:h="16838"/>
          <w:pgMar w:top="1440" w:right="1134" w:bottom="1418" w:left="1134" w:header="851" w:footer="936" w:gutter="0"/>
          <w:pgNumType w:fmt="decimal"/>
          <w:cols w:space="720" w:num="1"/>
          <w:docGrid w:linePitch="312" w:charSpace="0"/>
        </w:sectPr>
      </w:pPr>
      <w:r>
        <w:rPr>
          <w:rFonts w:ascii="宋体" w:hAnsi="宋体"/>
          <w:color w:val="auto"/>
          <w:sz w:val="32"/>
        </w:rPr>
        <w:br w:type="page"/>
      </w:r>
    </w:p>
    <w:p w14:paraId="0680006A">
      <w:pPr>
        <w:keepNext/>
        <w:keepLines/>
        <w:widowControl/>
        <w:autoSpaceDE w:val="0"/>
        <w:spacing w:line="360" w:lineRule="auto"/>
        <w:jc w:val="center"/>
        <w:outlineLvl w:val="2"/>
        <w:rPr>
          <w:rFonts w:ascii="宋体" w:hAnsi="宋体" w:cs="宋体"/>
          <w:b/>
          <w:color w:val="auto"/>
          <w:sz w:val="30"/>
          <w:szCs w:val="30"/>
        </w:rPr>
      </w:pPr>
      <w:r>
        <w:rPr>
          <w:rFonts w:hint="eastAsia" w:ascii="宋体" w:hAnsi="宋体" w:cs="宋体"/>
          <w:b/>
          <w:color w:val="auto"/>
          <w:sz w:val="30"/>
          <w:szCs w:val="30"/>
        </w:rPr>
        <w:t>九、投标人认为需要提交的其他资料</w:t>
      </w:r>
    </w:p>
    <w:p w14:paraId="664F4D4D">
      <w:pPr>
        <w:pStyle w:val="30"/>
        <w:ind w:firstLine="210" w:firstLineChars="100"/>
        <w:jc w:val="center"/>
        <w:rPr>
          <w:color w:val="auto"/>
        </w:rPr>
      </w:pPr>
    </w:p>
    <w:p w14:paraId="6D806628">
      <w:pPr>
        <w:pStyle w:val="47"/>
        <w:spacing w:before="0" w:after="0" w:line="460" w:lineRule="exact"/>
        <w:ind w:left="0" w:right="23" w:firstLine="480" w:firstLineChars="200"/>
        <w:jc w:val="both"/>
        <w:rPr>
          <w:rFonts w:ascii="宋体" w:hAnsi="宋体" w:cs="宋体"/>
          <w:color w:val="auto"/>
        </w:rPr>
        <w:sectPr>
          <w:pgSz w:w="11906" w:h="16838"/>
          <w:pgMar w:top="1440" w:right="1080" w:bottom="1440" w:left="1080" w:header="851" w:footer="992" w:gutter="0"/>
          <w:pgNumType w:fmt="decimal"/>
          <w:cols w:space="720" w:num="1"/>
          <w:docGrid w:type="lines" w:linePitch="312" w:charSpace="0"/>
        </w:sectPr>
      </w:pPr>
    </w:p>
    <w:p w14:paraId="63761017">
      <w:pPr>
        <w:jc w:val="center"/>
        <w:rPr>
          <w:rFonts w:ascii="宋体" w:hAnsi="宋体" w:cs="宋体"/>
          <w:b/>
          <w:color w:val="auto"/>
          <w:sz w:val="44"/>
          <w:szCs w:val="44"/>
        </w:rPr>
      </w:pPr>
    </w:p>
    <w:p w14:paraId="0C3B3CA7">
      <w:pPr>
        <w:jc w:val="center"/>
        <w:rPr>
          <w:rFonts w:ascii="宋体" w:hAnsi="宋体" w:cs="宋体"/>
          <w:b/>
          <w:color w:val="auto"/>
          <w:sz w:val="44"/>
          <w:szCs w:val="44"/>
        </w:rPr>
      </w:pPr>
    </w:p>
    <w:p w14:paraId="4589E841">
      <w:pPr>
        <w:jc w:val="center"/>
        <w:rPr>
          <w:rFonts w:ascii="宋体" w:hAnsi="宋体" w:cs="宋体"/>
          <w:b/>
          <w:color w:val="auto"/>
          <w:sz w:val="44"/>
          <w:szCs w:val="44"/>
        </w:rPr>
      </w:pPr>
    </w:p>
    <w:p w14:paraId="0D7AAF8C">
      <w:pPr>
        <w:jc w:val="center"/>
        <w:rPr>
          <w:rFonts w:ascii="宋体" w:hAnsi="宋体" w:cs="宋体"/>
          <w:b/>
          <w:color w:val="auto"/>
          <w:sz w:val="44"/>
          <w:szCs w:val="44"/>
        </w:rPr>
      </w:pPr>
    </w:p>
    <w:p w14:paraId="28811B72">
      <w:pPr>
        <w:jc w:val="center"/>
        <w:rPr>
          <w:rFonts w:ascii="宋体" w:hAnsi="宋体" w:cs="宋体"/>
          <w:b/>
          <w:color w:val="auto"/>
          <w:sz w:val="44"/>
          <w:szCs w:val="44"/>
        </w:rPr>
      </w:pPr>
    </w:p>
    <w:p w14:paraId="15AD60FF">
      <w:pPr>
        <w:jc w:val="center"/>
        <w:rPr>
          <w:rFonts w:ascii="宋体" w:hAnsi="宋体" w:cs="宋体"/>
          <w:b/>
          <w:color w:val="auto"/>
          <w:sz w:val="44"/>
          <w:szCs w:val="44"/>
        </w:rPr>
      </w:pPr>
    </w:p>
    <w:p w14:paraId="3C45E59D">
      <w:pPr>
        <w:pStyle w:val="29"/>
        <w:ind w:firstLine="528"/>
        <w:rPr>
          <w:color w:val="auto"/>
        </w:rPr>
      </w:pPr>
    </w:p>
    <w:p w14:paraId="66D9C4E7">
      <w:pPr>
        <w:jc w:val="center"/>
        <w:rPr>
          <w:rFonts w:ascii="宋体" w:hAnsi="宋体" w:cs="宋体"/>
          <w:b/>
          <w:color w:val="auto"/>
          <w:sz w:val="44"/>
          <w:szCs w:val="44"/>
        </w:rPr>
      </w:pPr>
    </w:p>
    <w:p w14:paraId="705FEDC8">
      <w:pPr>
        <w:keepNext/>
        <w:keepLines/>
        <w:autoSpaceDE w:val="0"/>
        <w:autoSpaceDN w:val="0"/>
        <w:adjustRightInd w:val="0"/>
        <w:snapToGrid w:val="0"/>
        <w:spacing w:line="360" w:lineRule="auto"/>
        <w:jc w:val="center"/>
        <w:outlineLvl w:val="3"/>
        <w:rPr>
          <w:rFonts w:ascii="宋体" w:hAnsi="宋体" w:cs="宋体"/>
          <w:b/>
          <w:color w:val="auto"/>
          <w:sz w:val="44"/>
          <w:szCs w:val="44"/>
        </w:rPr>
      </w:pPr>
    </w:p>
    <w:p w14:paraId="6B504643">
      <w:pPr>
        <w:pStyle w:val="47"/>
        <w:spacing w:before="0" w:after="0" w:line="460" w:lineRule="exact"/>
        <w:ind w:left="0" w:right="23"/>
        <w:jc w:val="center"/>
        <w:rPr>
          <w:rFonts w:ascii="宋体" w:hAnsi="宋体" w:cs="宋体"/>
          <w:color w:val="auto"/>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b/>
          <w:color w:val="auto"/>
          <w:sz w:val="44"/>
          <w:szCs w:val="44"/>
        </w:rPr>
        <w:t>第三部分  商务技术文件格式</w:t>
      </w:r>
    </w:p>
    <w:p w14:paraId="2576B214">
      <w:pPr>
        <w:spacing w:line="500" w:lineRule="exact"/>
        <w:jc w:val="center"/>
        <w:rPr>
          <w:rFonts w:ascii="宋体" w:hAnsi="宋体" w:cs="宋体"/>
          <w:b/>
          <w:bCs/>
          <w:color w:val="auto"/>
          <w:kern w:val="0"/>
          <w:sz w:val="30"/>
          <w:szCs w:val="30"/>
        </w:rPr>
      </w:pPr>
      <w:r>
        <w:rPr>
          <w:rFonts w:hint="eastAsia" w:ascii="宋体" w:hAnsi="宋体" w:cs="宋体"/>
          <w:b/>
          <w:bCs/>
          <w:color w:val="auto"/>
          <w:kern w:val="0"/>
          <w:sz w:val="30"/>
          <w:szCs w:val="30"/>
        </w:rPr>
        <w:t>一、投标货物技术参数偏离表</w:t>
      </w:r>
    </w:p>
    <w:p w14:paraId="719D3935">
      <w:pPr>
        <w:pStyle w:val="10"/>
        <w:rPr>
          <w:color w:val="auto"/>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314"/>
        <w:gridCol w:w="2905"/>
        <w:gridCol w:w="2869"/>
        <w:gridCol w:w="1241"/>
      </w:tblGrid>
      <w:tr w14:paraId="17497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817" w:type="dxa"/>
            <w:noWrap/>
          </w:tcPr>
          <w:p w14:paraId="3AFCD49B">
            <w:pPr>
              <w:autoSpaceDE w:val="0"/>
              <w:autoSpaceDN w:val="0"/>
              <w:spacing w:line="500" w:lineRule="exact"/>
              <w:jc w:val="center"/>
              <w:rPr>
                <w:b/>
                <w:bCs/>
                <w:color w:val="auto"/>
                <w:sz w:val="24"/>
              </w:rPr>
            </w:pPr>
            <w:r>
              <w:rPr>
                <w:rFonts w:hint="eastAsia"/>
                <w:b/>
                <w:bCs/>
                <w:color w:val="auto"/>
                <w:sz w:val="24"/>
              </w:rPr>
              <w:t>序号</w:t>
            </w:r>
          </w:p>
        </w:tc>
        <w:tc>
          <w:tcPr>
            <w:tcW w:w="1314" w:type="dxa"/>
            <w:noWrap/>
          </w:tcPr>
          <w:p w14:paraId="7707654E">
            <w:pPr>
              <w:autoSpaceDE w:val="0"/>
              <w:autoSpaceDN w:val="0"/>
              <w:spacing w:line="500" w:lineRule="exact"/>
              <w:jc w:val="center"/>
              <w:rPr>
                <w:b/>
                <w:bCs/>
                <w:color w:val="auto"/>
                <w:sz w:val="24"/>
              </w:rPr>
            </w:pPr>
            <w:r>
              <w:rPr>
                <w:rFonts w:hint="eastAsia"/>
                <w:b/>
                <w:bCs/>
                <w:color w:val="auto"/>
                <w:sz w:val="24"/>
              </w:rPr>
              <w:t>设备</w:t>
            </w:r>
            <w:r>
              <w:rPr>
                <w:b/>
                <w:bCs/>
                <w:color w:val="auto"/>
                <w:sz w:val="24"/>
              </w:rPr>
              <w:t>名称</w:t>
            </w:r>
          </w:p>
        </w:tc>
        <w:tc>
          <w:tcPr>
            <w:tcW w:w="2905" w:type="dxa"/>
            <w:noWrap/>
          </w:tcPr>
          <w:p w14:paraId="0DEE4E98">
            <w:pPr>
              <w:autoSpaceDE w:val="0"/>
              <w:autoSpaceDN w:val="0"/>
              <w:spacing w:line="500" w:lineRule="exact"/>
              <w:jc w:val="center"/>
              <w:rPr>
                <w:b/>
                <w:bCs/>
                <w:color w:val="auto"/>
                <w:sz w:val="24"/>
              </w:rPr>
            </w:pPr>
            <w:r>
              <w:rPr>
                <w:b/>
                <w:bCs/>
                <w:color w:val="auto"/>
                <w:sz w:val="24"/>
              </w:rPr>
              <w:t>招标文件技术参数</w:t>
            </w:r>
          </w:p>
        </w:tc>
        <w:tc>
          <w:tcPr>
            <w:tcW w:w="2869" w:type="dxa"/>
            <w:noWrap/>
          </w:tcPr>
          <w:p w14:paraId="65F9386F">
            <w:pPr>
              <w:autoSpaceDE w:val="0"/>
              <w:autoSpaceDN w:val="0"/>
              <w:spacing w:line="500" w:lineRule="exact"/>
              <w:jc w:val="center"/>
              <w:rPr>
                <w:b/>
                <w:bCs/>
                <w:color w:val="auto"/>
                <w:sz w:val="24"/>
              </w:rPr>
            </w:pPr>
            <w:r>
              <w:rPr>
                <w:b/>
                <w:bCs/>
                <w:color w:val="auto"/>
                <w:sz w:val="24"/>
              </w:rPr>
              <w:t>投标文件技术参数</w:t>
            </w:r>
          </w:p>
        </w:tc>
        <w:tc>
          <w:tcPr>
            <w:tcW w:w="1241" w:type="dxa"/>
            <w:noWrap/>
          </w:tcPr>
          <w:p w14:paraId="27706582">
            <w:pPr>
              <w:autoSpaceDE w:val="0"/>
              <w:autoSpaceDN w:val="0"/>
              <w:spacing w:line="500" w:lineRule="exact"/>
              <w:jc w:val="center"/>
              <w:rPr>
                <w:b/>
                <w:bCs/>
                <w:color w:val="auto"/>
                <w:sz w:val="24"/>
              </w:rPr>
            </w:pPr>
            <w:r>
              <w:rPr>
                <w:b/>
                <w:bCs/>
                <w:color w:val="auto"/>
                <w:sz w:val="24"/>
              </w:rPr>
              <w:t>偏离说明</w:t>
            </w:r>
          </w:p>
        </w:tc>
      </w:tr>
      <w:tr w14:paraId="36C34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noWrap/>
            <w:vAlign w:val="center"/>
          </w:tcPr>
          <w:p w14:paraId="38119D84">
            <w:pPr>
              <w:autoSpaceDE w:val="0"/>
              <w:autoSpaceDN w:val="0"/>
              <w:spacing w:line="500" w:lineRule="exact"/>
              <w:jc w:val="center"/>
              <w:rPr>
                <w:b/>
                <w:color w:val="auto"/>
                <w:sz w:val="24"/>
              </w:rPr>
            </w:pPr>
          </w:p>
        </w:tc>
        <w:tc>
          <w:tcPr>
            <w:tcW w:w="1314" w:type="dxa"/>
            <w:noWrap/>
          </w:tcPr>
          <w:p w14:paraId="658C8293">
            <w:pPr>
              <w:autoSpaceDE w:val="0"/>
              <w:autoSpaceDN w:val="0"/>
              <w:spacing w:line="500" w:lineRule="exact"/>
              <w:rPr>
                <w:b/>
                <w:color w:val="auto"/>
                <w:sz w:val="24"/>
              </w:rPr>
            </w:pPr>
          </w:p>
        </w:tc>
        <w:tc>
          <w:tcPr>
            <w:tcW w:w="2905" w:type="dxa"/>
            <w:noWrap/>
          </w:tcPr>
          <w:p w14:paraId="07363FC9">
            <w:pPr>
              <w:autoSpaceDE w:val="0"/>
              <w:autoSpaceDN w:val="0"/>
              <w:spacing w:line="500" w:lineRule="exact"/>
              <w:rPr>
                <w:b/>
                <w:color w:val="auto"/>
                <w:sz w:val="24"/>
              </w:rPr>
            </w:pPr>
          </w:p>
        </w:tc>
        <w:tc>
          <w:tcPr>
            <w:tcW w:w="2869" w:type="dxa"/>
            <w:noWrap/>
          </w:tcPr>
          <w:p w14:paraId="60CC8316">
            <w:pPr>
              <w:autoSpaceDE w:val="0"/>
              <w:autoSpaceDN w:val="0"/>
              <w:spacing w:line="500" w:lineRule="exact"/>
              <w:rPr>
                <w:b/>
                <w:color w:val="auto"/>
                <w:sz w:val="24"/>
              </w:rPr>
            </w:pPr>
          </w:p>
        </w:tc>
        <w:tc>
          <w:tcPr>
            <w:tcW w:w="1241" w:type="dxa"/>
            <w:noWrap/>
          </w:tcPr>
          <w:p w14:paraId="5C1C3D85">
            <w:pPr>
              <w:autoSpaceDE w:val="0"/>
              <w:autoSpaceDN w:val="0"/>
              <w:spacing w:line="500" w:lineRule="exact"/>
              <w:rPr>
                <w:b/>
                <w:color w:val="auto"/>
                <w:sz w:val="24"/>
              </w:rPr>
            </w:pPr>
          </w:p>
        </w:tc>
      </w:tr>
      <w:tr w14:paraId="719C1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noWrap/>
            <w:vAlign w:val="center"/>
          </w:tcPr>
          <w:p w14:paraId="2BDD2B23">
            <w:pPr>
              <w:autoSpaceDE w:val="0"/>
              <w:autoSpaceDN w:val="0"/>
              <w:spacing w:line="500" w:lineRule="exact"/>
              <w:jc w:val="center"/>
              <w:rPr>
                <w:b/>
                <w:color w:val="auto"/>
                <w:sz w:val="24"/>
              </w:rPr>
            </w:pPr>
          </w:p>
        </w:tc>
        <w:tc>
          <w:tcPr>
            <w:tcW w:w="1314" w:type="dxa"/>
            <w:noWrap/>
          </w:tcPr>
          <w:p w14:paraId="3E22E29C">
            <w:pPr>
              <w:autoSpaceDE w:val="0"/>
              <w:autoSpaceDN w:val="0"/>
              <w:spacing w:line="500" w:lineRule="exact"/>
              <w:rPr>
                <w:b/>
                <w:color w:val="auto"/>
                <w:sz w:val="24"/>
              </w:rPr>
            </w:pPr>
          </w:p>
        </w:tc>
        <w:tc>
          <w:tcPr>
            <w:tcW w:w="2905" w:type="dxa"/>
            <w:noWrap/>
          </w:tcPr>
          <w:p w14:paraId="4F6E017D">
            <w:pPr>
              <w:autoSpaceDE w:val="0"/>
              <w:autoSpaceDN w:val="0"/>
              <w:spacing w:line="500" w:lineRule="exact"/>
              <w:rPr>
                <w:b/>
                <w:color w:val="auto"/>
                <w:sz w:val="24"/>
              </w:rPr>
            </w:pPr>
          </w:p>
        </w:tc>
        <w:tc>
          <w:tcPr>
            <w:tcW w:w="2869" w:type="dxa"/>
            <w:noWrap/>
          </w:tcPr>
          <w:p w14:paraId="6E2CB88E">
            <w:pPr>
              <w:autoSpaceDE w:val="0"/>
              <w:autoSpaceDN w:val="0"/>
              <w:spacing w:line="500" w:lineRule="exact"/>
              <w:rPr>
                <w:b/>
                <w:color w:val="auto"/>
                <w:sz w:val="24"/>
              </w:rPr>
            </w:pPr>
          </w:p>
        </w:tc>
        <w:tc>
          <w:tcPr>
            <w:tcW w:w="1241" w:type="dxa"/>
            <w:noWrap/>
          </w:tcPr>
          <w:p w14:paraId="6FE6394C">
            <w:pPr>
              <w:autoSpaceDE w:val="0"/>
              <w:autoSpaceDN w:val="0"/>
              <w:spacing w:line="500" w:lineRule="exact"/>
              <w:rPr>
                <w:b/>
                <w:color w:val="auto"/>
                <w:sz w:val="24"/>
              </w:rPr>
            </w:pPr>
          </w:p>
        </w:tc>
      </w:tr>
      <w:tr w14:paraId="18C06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noWrap/>
            <w:vAlign w:val="center"/>
          </w:tcPr>
          <w:p w14:paraId="2D19B40E">
            <w:pPr>
              <w:autoSpaceDE w:val="0"/>
              <w:autoSpaceDN w:val="0"/>
              <w:spacing w:line="500" w:lineRule="exact"/>
              <w:jc w:val="center"/>
              <w:rPr>
                <w:b/>
                <w:color w:val="auto"/>
                <w:sz w:val="24"/>
              </w:rPr>
            </w:pPr>
          </w:p>
        </w:tc>
        <w:tc>
          <w:tcPr>
            <w:tcW w:w="1314" w:type="dxa"/>
            <w:noWrap/>
          </w:tcPr>
          <w:p w14:paraId="6BF9E680">
            <w:pPr>
              <w:autoSpaceDE w:val="0"/>
              <w:autoSpaceDN w:val="0"/>
              <w:spacing w:line="500" w:lineRule="exact"/>
              <w:rPr>
                <w:b/>
                <w:color w:val="auto"/>
                <w:sz w:val="24"/>
              </w:rPr>
            </w:pPr>
          </w:p>
        </w:tc>
        <w:tc>
          <w:tcPr>
            <w:tcW w:w="2905" w:type="dxa"/>
            <w:noWrap/>
          </w:tcPr>
          <w:p w14:paraId="21F9DFA2">
            <w:pPr>
              <w:autoSpaceDE w:val="0"/>
              <w:autoSpaceDN w:val="0"/>
              <w:spacing w:line="500" w:lineRule="exact"/>
              <w:rPr>
                <w:b/>
                <w:color w:val="auto"/>
                <w:sz w:val="24"/>
              </w:rPr>
            </w:pPr>
          </w:p>
        </w:tc>
        <w:tc>
          <w:tcPr>
            <w:tcW w:w="2869" w:type="dxa"/>
            <w:noWrap/>
          </w:tcPr>
          <w:p w14:paraId="2833EDC3">
            <w:pPr>
              <w:autoSpaceDE w:val="0"/>
              <w:autoSpaceDN w:val="0"/>
              <w:spacing w:line="500" w:lineRule="exact"/>
              <w:rPr>
                <w:b/>
                <w:color w:val="auto"/>
                <w:sz w:val="24"/>
              </w:rPr>
            </w:pPr>
          </w:p>
        </w:tc>
        <w:tc>
          <w:tcPr>
            <w:tcW w:w="1241" w:type="dxa"/>
            <w:noWrap/>
          </w:tcPr>
          <w:p w14:paraId="72AAE532">
            <w:pPr>
              <w:autoSpaceDE w:val="0"/>
              <w:autoSpaceDN w:val="0"/>
              <w:spacing w:line="500" w:lineRule="exact"/>
              <w:rPr>
                <w:b/>
                <w:color w:val="auto"/>
                <w:sz w:val="24"/>
              </w:rPr>
            </w:pPr>
          </w:p>
        </w:tc>
      </w:tr>
      <w:tr w14:paraId="76C8F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noWrap/>
            <w:vAlign w:val="center"/>
          </w:tcPr>
          <w:p w14:paraId="7CB06302">
            <w:pPr>
              <w:autoSpaceDE w:val="0"/>
              <w:autoSpaceDN w:val="0"/>
              <w:spacing w:line="500" w:lineRule="exact"/>
              <w:jc w:val="center"/>
              <w:rPr>
                <w:b/>
                <w:bCs/>
                <w:color w:val="auto"/>
                <w:sz w:val="24"/>
              </w:rPr>
            </w:pPr>
          </w:p>
        </w:tc>
        <w:tc>
          <w:tcPr>
            <w:tcW w:w="1314" w:type="dxa"/>
            <w:noWrap/>
          </w:tcPr>
          <w:p w14:paraId="0CE937B5">
            <w:pPr>
              <w:autoSpaceDE w:val="0"/>
              <w:autoSpaceDN w:val="0"/>
              <w:spacing w:line="500" w:lineRule="exact"/>
              <w:jc w:val="center"/>
              <w:rPr>
                <w:b/>
                <w:bCs/>
                <w:color w:val="auto"/>
                <w:sz w:val="24"/>
              </w:rPr>
            </w:pPr>
          </w:p>
        </w:tc>
        <w:tc>
          <w:tcPr>
            <w:tcW w:w="2905" w:type="dxa"/>
            <w:noWrap/>
          </w:tcPr>
          <w:p w14:paraId="2998A2BB">
            <w:pPr>
              <w:autoSpaceDE w:val="0"/>
              <w:autoSpaceDN w:val="0"/>
              <w:spacing w:line="500" w:lineRule="exact"/>
              <w:rPr>
                <w:b/>
                <w:color w:val="auto"/>
                <w:sz w:val="24"/>
              </w:rPr>
            </w:pPr>
          </w:p>
        </w:tc>
        <w:tc>
          <w:tcPr>
            <w:tcW w:w="2869" w:type="dxa"/>
            <w:noWrap/>
          </w:tcPr>
          <w:p w14:paraId="644731B8">
            <w:pPr>
              <w:autoSpaceDE w:val="0"/>
              <w:autoSpaceDN w:val="0"/>
              <w:spacing w:line="500" w:lineRule="exact"/>
              <w:rPr>
                <w:b/>
                <w:color w:val="auto"/>
                <w:sz w:val="24"/>
              </w:rPr>
            </w:pPr>
          </w:p>
        </w:tc>
        <w:tc>
          <w:tcPr>
            <w:tcW w:w="1241" w:type="dxa"/>
            <w:noWrap/>
          </w:tcPr>
          <w:p w14:paraId="23E5A5EC">
            <w:pPr>
              <w:autoSpaceDE w:val="0"/>
              <w:autoSpaceDN w:val="0"/>
              <w:spacing w:line="500" w:lineRule="exact"/>
              <w:rPr>
                <w:b/>
                <w:color w:val="auto"/>
                <w:sz w:val="24"/>
              </w:rPr>
            </w:pPr>
          </w:p>
        </w:tc>
      </w:tr>
    </w:tbl>
    <w:p w14:paraId="1D4C94DD">
      <w:pPr>
        <w:autoSpaceDE w:val="0"/>
        <w:autoSpaceDN w:val="0"/>
        <w:spacing w:line="500" w:lineRule="exact"/>
        <w:rPr>
          <w:rFonts w:ascii="宋体" w:hAnsi="宋体" w:cs="宋体"/>
          <w:color w:val="auto"/>
          <w:sz w:val="24"/>
        </w:rPr>
      </w:pPr>
    </w:p>
    <w:p w14:paraId="277C4A2C">
      <w:pPr>
        <w:autoSpaceDE w:val="0"/>
        <w:autoSpaceDN w:val="0"/>
        <w:spacing w:line="460" w:lineRule="exact"/>
        <w:rPr>
          <w:rFonts w:ascii="宋体" w:hAnsi="宋体" w:cs="宋体"/>
          <w:color w:val="auto"/>
          <w:sz w:val="24"/>
        </w:rPr>
      </w:pPr>
      <w:r>
        <w:rPr>
          <w:rFonts w:hint="eastAsia" w:ascii="宋体" w:hAnsi="宋体" w:cs="宋体"/>
          <w:color w:val="auto"/>
          <w:sz w:val="24"/>
        </w:rPr>
        <w:t>注：</w:t>
      </w:r>
    </w:p>
    <w:p w14:paraId="56DA3BF6">
      <w:pPr>
        <w:autoSpaceDE w:val="0"/>
        <w:autoSpaceDN w:val="0"/>
        <w:spacing w:line="460" w:lineRule="exact"/>
        <w:rPr>
          <w:rFonts w:ascii="宋体" w:hAnsi="宋体" w:cs="宋体"/>
          <w:color w:val="auto"/>
          <w:sz w:val="24"/>
        </w:rPr>
      </w:pPr>
      <w:r>
        <w:rPr>
          <w:rFonts w:hint="eastAsia" w:ascii="宋体" w:hAnsi="宋体" w:cs="宋体"/>
          <w:color w:val="auto"/>
          <w:sz w:val="24"/>
        </w:rPr>
        <w:t>1.投标人必须对应</w:t>
      </w:r>
      <w:r>
        <w:rPr>
          <w:rFonts w:hint="eastAsia" w:ascii="宋体" w:hAnsi="宋体" w:cs="宋体"/>
          <w:color w:val="auto"/>
          <w:sz w:val="24"/>
          <w:lang w:val="en-US" w:eastAsia="zh-CN"/>
        </w:rPr>
        <w:t>附件材料</w:t>
      </w:r>
      <w:r>
        <w:rPr>
          <w:rFonts w:hint="eastAsia" w:ascii="宋体" w:hAnsi="宋体" w:cs="宋体"/>
          <w:color w:val="auto"/>
          <w:sz w:val="24"/>
          <w:highlight w:val="none"/>
        </w:rPr>
        <w:t>采购</w:t>
      </w:r>
      <w:r>
        <w:rPr>
          <w:rFonts w:hint="eastAsia" w:ascii="宋体" w:hAnsi="宋体" w:cs="宋体"/>
          <w:color w:val="auto"/>
          <w:sz w:val="24"/>
          <w:highlight w:val="none"/>
          <w:lang w:val="en-US" w:eastAsia="zh-CN"/>
        </w:rPr>
        <w:t>清单</w:t>
      </w:r>
      <w:r>
        <w:rPr>
          <w:rFonts w:hint="eastAsia" w:ascii="宋体" w:hAnsi="宋体" w:cs="宋体"/>
          <w:color w:val="auto"/>
          <w:sz w:val="24"/>
          <w:highlight w:val="none"/>
        </w:rPr>
        <w:t>中的</w:t>
      </w:r>
      <w:r>
        <w:rPr>
          <w:rFonts w:hint="eastAsia" w:ascii="宋体" w:hAnsi="宋体" w:cs="宋体"/>
          <w:color w:val="auto"/>
          <w:sz w:val="24"/>
          <w:highlight w:val="none"/>
          <w:lang w:val="en-US" w:eastAsia="zh-CN"/>
        </w:rPr>
        <w:t>所有参数</w:t>
      </w:r>
      <w:r>
        <w:rPr>
          <w:rFonts w:hint="eastAsia" w:ascii="宋体" w:hAnsi="宋体" w:cs="宋体"/>
          <w:color w:val="auto"/>
          <w:sz w:val="24"/>
          <w:highlight w:val="none"/>
        </w:rPr>
        <w:t>内容逐条响应</w:t>
      </w:r>
      <w:r>
        <w:rPr>
          <w:rFonts w:hint="eastAsia" w:ascii="宋体" w:hAnsi="宋体" w:cs="宋体"/>
          <w:color w:val="auto"/>
          <w:sz w:val="24"/>
        </w:rPr>
        <w:t>。</w:t>
      </w:r>
    </w:p>
    <w:p w14:paraId="51C3E9C0">
      <w:pPr>
        <w:autoSpaceDE w:val="0"/>
        <w:autoSpaceDN w:val="0"/>
        <w:spacing w:line="460" w:lineRule="exact"/>
        <w:rPr>
          <w:rFonts w:ascii="宋体" w:hAnsi="宋体" w:cs="宋体"/>
          <w:color w:val="auto"/>
          <w:sz w:val="24"/>
        </w:rPr>
      </w:pPr>
      <w:r>
        <w:rPr>
          <w:rFonts w:hint="eastAsia" w:ascii="宋体" w:hAnsi="宋体" w:cs="宋体"/>
          <w:bCs/>
          <w:color w:val="auto"/>
          <w:sz w:val="24"/>
        </w:rPr>
        <w:t>2.投标人应按投标货物实际数据填写</w:t>
      </w:r>
      <w:r>
        <w:rPr>
          <w:rFonts w:hint="eastAsia" w:ascii="宋体" w:hAnsi="宋体" w:cs="宋体"/>
          <w:color w:val="auto"/>
          <w:sz w:val="24"/>
        </w:rPr>
        <w:t>实际参数</w:t>
      </w:r>
      <w:r>
        <w:rPr>
          <w:rFonts w:hint="eastAsia" w:ascii="宋体" w:hAnsi="宋体" w:cs="宋体"/>
          <w:bCs/>
          <w:color w:val="auto"/>
          <w:sz w:val="24"/>
        </w:rPr>
        <w:t>。</w:t>
      </w:r>
    </w:p>
    <w:p w14:paraId="52E7F6A6">
      <w:pPr>
        <w:autoSpaceDE w:val="0"/>
        <w:autoSpaceDN w:val="0"/>
        <w:spacing w:line="460" w:lineRule="exact"/>
        <w:rPr>
          <w:rFonts w:ascii="宋体" w:hAnsi="宋体" w:cs="宋体"/>
          <w:color w:val="auto"/>
          <w:sz w:val="24"/>
        </w:rPr>
      </w:pPr>
      <w:r>
        <w:rPr>
          <w:rFonts w:hint="eastAsia" w:ascii="宋体" w:hAnsi="宋体" w:cs="宋体"/>
          <w:color w:val="auto"/>
          <w:sz w:val="24"/>
        </w:rPr>
        <w:t>3.投标人响应采购需求应具体、明确；含糊不清、不确切的，按照不完全响应或者完全不响应处理。</w:t>
      </w:r>
    </w:p>
    <w:p w14:paraId="2F1C0F20">
      <w:pPr>
        <w:autoSpaceDE w:val="0"/>
        <w:autoSpaceDN w:val="0"/>
        <w:spacing w:line="460" w:lineRule="exact"/>
        <w:rPr>
          <w:rFonts w:ascii="宋体" w:hAnsi="宋体" w:cs="宋体"/>
          <w:color w:val="auto"/>
          <w:sz w:val="24"/>
        </w:rPr>
      </w:pPr>
      <w:r>
        <w:rPr>
          <w:rFonts w:hint="eastAsia" w:ascii="宋体" w:hAnsi="宋体" w:cs="宋体"/>
          <w:color w:val="auto"/>
          <w:sz w:val="24"/>
        </w:rPr>
        <w:t>4.本表可根据实际需求自行增减行数，但内容不得擅自修改。</w:t>
      </w:r>
    </w:p>
    <w:p w14:paraId="5D4AD77B">
      <w:pPr>
        <w:autoSpaceDE w:val="0"/>
        <w:autoSpaceDN w:val="0"/>
        <w:spacing w:line="460" w:lineRule="exact"/>
        <w:rPr>
          <w:rFonts w:ascii="宋体" w:hAnsi="宋体" w:cs="宋体"/>
          <w:bCs/>
          <w:color w:val="auto"/>
          <w:sz w:val="24"/>
        </w:rPr>
      </w:pPr>
      <w:r>
        <w:rPr>
          <w:rFonts w:hint="eastAsia" w:ascii="宋体" w:hAnsi="宋体" w:cs="宋体"/>
          <w:bCs/>
          <w:color w:val="auto"/>
          <w:sz w:val="24"/>
        </w:rPr>
        <w:t>5.后附相关证明材料。</w:t>
      </w:r>
    </w:p>
    <w:p w14:paraId="7FBF1892">
      <w:pPr>
        <w:spacing w:line="460" w:lineRule="exact"/>
        <w:rPr>
          <w:color w:val="auto"/>
          <w:sz w:val="24"/>
        </w:rPr>
      </w:pPr>
    </w:p>
    <w:p w14:paraId="0F498DDB">
      <w:pPr>
        <w:spacing w:line="560" w:lineRule="exact"/>
        <w:ind w:firstLine="480" w:firstLineChars="200"/>
        <w:rPr>
          <w:rFonts w:ascii="宋体"/>
          <w:color w:val="auto"/>
          <w:sz w:val="24"/>
        </w:rPr>
      </w:pPr>
      <w:r>
        <w:rPr>
          <w:rFonts w:hint="eastAsia" w:ascii="宋体" w:hAnsi="宋体" w:cs="宋体"/>
          <w:color w:val="auto"/>
          <w:sz w:val="24"/>
        </w:rPr>
        <w:t>投标人全称（加盖电子公章）：</w:t>
      </w:r>
      <w:r>
        <w:rPr>
          <w:rFonts w:hint="eastAsia" w:ascii="宋体" w:hAnsi="宋体" w:cs="宋体"/>
          <w:color w:val="auto"/>
          <w:sz w:val="24"/>
          <w:u w:val="single"/>
        </w:rPr>
        <w:t>　　　　　　　　　　　　</w:t>
      </w:r>
    </w:p>
    <w:p w14:paraId="1C331D4D">
      <w:pPr>
        <w:spacing w:line="560" w:lineRule="exact"/>
        <w:ind w:firstLine="480" w:firstLineChars="200"/>
        <w:rPr>
          <w:rFonts w:ascii="宋体"/>
          <w:color w:val="auto"/>
          <w:sz w:val="24"/>
        </w:rPr>
      </w:pPr>
      <w:r>
        <w:rPr>
          <w:rFonts w:hint="eastAsia" w:ascii="宋体" w:hAnsi="宋体" w:cs="宋体"/>
          <w:color w:val="auto"/>
          <w:sz w:val="24"/>
        </w:rPr>
        <w:t>法定代表人或其委托代理人（电子签章或电子签名）：</w:t>
      </w:r>
      <w:r>
        <w:rPr>
          <w:rFonts w:hint="eastAsia" w:ascii="宋体" w:hAnsi="宋体" w:cs="宋体"/>
          <w:color w:val="auto"/>
          <w:sz w:val="24"/>
          <w:u w:val="single"/>
        </w:rPr>
        <w:t>　　　　　　　　　　</w:t>
      </w:r>
    </w:p>
    <w:p w14:paraId="2980B1CA">
      <w:pPr>
        <w:adjustRightInd w:val="0"/>
        <w:spacing w:line="560" w:lineRule="exact"/>
        <w:ind w:firstLine="480" w:firstLineChars="200"/>
        <w:rPr>
          <w:rFonts w:ascii="宋体" w:hAnsi="宋体" w:cs="宋体"/>
          <w:color w:val="auto"/>
          <w:sz w:val="24"/>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color w:val="auto"/>
          <w:sz w:val="24"/>
        </w:rPr>
        <w:t>日期：</w:t>
      </w:r>
      <w:r>
        <w:rPr>
          <w:rFonts w:hint="eastAsia" w:ascii="宋体" w:hAnsi="宋体" w:cs="宋体"/>
          <w:color w:val="auto"/>
          <w:sz w:val="24"/>
          <w:lang w:val="en-US" w:eastAsia="zh-CN"/>
        </w:rPr>
        <w:t xml:space="preserve">   </w:t>
      </w:r>
      <w:r>
        <w:rPr>
          <w:rFonts w:hint="eastAsia" w:ascii="宋体" w:hAnsi="宋体" w:cs="宋体"/>
          <w:color w:val="auto"/>
          <w:sz w:val="24"/>
        </w:rPr>
        <w:t>年</w:t>
      </w:r>
      <w:r>
        <w:rPr>
          <w:rFonts w:hint="eastAsia" w:ascii="宋体" w:hAnsi="宋体" w:cs="宋体"/>
          <w:color w:val="auto"/>
          <w:sz w:val="24"/>
          <w:lang w:val="en-US" w:eastAsia="zh-CN"/>
        </w:rPr>
        <w:t xml:space="preserve">   </w:t>
      </w:r>
      <w:r>
        <w:rPr>
          <w:rFonts w:hint="eastAsia" w:ascii="宋体" w:hAnsi="宋体" w:cs="宋体"/>
          <w:color w:val="auto"/>
          <w:sz w:val="24"/>
        </w:rPr>
        <w:t>月</w:t>
      </w:r>
      <w:r>
        <w:rPr>
          <w:rFonts w:hint="eastAsia" w:ascii="宋体" w:hAnsi="宋体" w:cs="宋体"/>
          <w:color w:val="auto"/>
          <w:sz w:val="24"/>
          <w:lang w:val="en-US" w:eastAsia="zh-CN"/>
        </w:rPr>
        <w:t xml:space="preserve">   </w:t>
      </w:r>
      <w:r>
        <w:rPr>
          <w:rFonts w:hint="eastAsia" w:ascii="宋体" w:hAnsi="宋体" w:cs="宋体"/>
          <w:color w:val="auto"/>
          <w:sz w:val="24"/>
        </w:rPr>
        <w:t>日</w:t>
      </w:r>
    </w:p>
    <w:p w14:paraId="025B5207">
      <w:pPr>
        <w:keepNext/>
        <w:keepLines/>
        <w:widowControl/>
        <w:autoSpaceDE w:val="0"/>
        <w:spacing w:line="360" w:lineRule="auto"/>
        <w:jc w:val="center"/>
        <w:outlineLvl w:val="2"/>
        <w:rPr>
          <w:rFonts w:ascii="宋体" w:hAnsi="宋体" w:cs="宋体"/>
          <w:b/>
          <w:color w:val="auto"/>
          <w:sz w:val="30"/>
          <w:szCs w:val="30"/>
        </w:rPr>
      </w:pPr>
      <w:r>
        <w:rPr>
          <w:rFonts w:hint="eastAsia" w:ascii="宋体" w:hAnsi="宋体" w:cs="宋体"/>
          <w:b/>
          <w:color w:val="auto"/>
          <w:sz w:val="30"/>
          <w:szCs w:val="30"/>
        </w:rPr>
        <w:t>二、整体技术方案</w:t>
      </w:r>
    </w:p>
    <w:p w14:paraId="78264316">
      <w:pPr>
        <w:pStyle w:val="47"/>
        <w:spacing w:before="0" w:after="0" w:line="460" w:lineRule="exact"/>
        <w:ind w:left="0" w:right="23" w:firstLine="480" w:firstLineChars="200"/>
        <w:rPr>
          <w:rFonts w:ascii="宋体" w:hAnsi="宋体" w:cs="宋体"/>
          <w:color w:val="auto"/>
        </w:rPr>
      </w:pPr>
      <w:r>
        <w:rPr>
          <w:rFonts w:hint="eastAsia" w:ascii="宋体" w:hAnsi="宋体" w:cs="宋体"/>
          <w:color w:val="auto"/>
        </w:rPr>
        <w:t>注：以上内容投标人根据评标办法结合自身实际情况编写，格式自拟。</w:t>
      </w:r>
    </w:p>
    <w:p w14:paraId="55DF9BB6">
      <w:pPr>
        <w:keepNext/>
        <w:keepLines/>
        <w:widowControl/>
        <w:autoSpaceDE w:val="0"/>
        <w:spacing w:line="360" w:lineRule="auto"/>
        <w:jc w:val="center"/>
        <w:outlineLvl w:val="2"/>
        <w:rPr>
          <w:rFonts w:ascii="宋体" w:hAnsi="宋体" w:cs="宋体"/>
          <w:b/>
          <w:color w:val="auto"/>
          <w:sz w:val="30"/>
          <w:szCs w:val="30"/>
        </w:rPr>
      </w:pPr>
    </w:p>
    <w:p w14:paraId="76976FF6">
      <w:pPr>
        <w:keepNext/>
        <w:keepLines/>
        <w:widowControl/>
        <w:numPr>
          <w:ilvl w:val="0"/>
          <w:numId w:val="4"/>
        </w:numPr>
        <w:autoSpaceDE w:val="0"/>
        <w:spacing w:line="360" w:lineRule="auto"/>
        <w:jc w:val="center"/>
        <w:outlineLvl w:val="2"/>
        <w:rPr>
          <w:rFonts w:ascii="宋体" w:hAnsi="宋体" w:cs="宋体"/>
          <w:b/>
          <w:color w:val="auto"/>
          <w:sz w:val="30"/>
          <w:szCs w:val="30"/>
        </w:rPr>
      </w:pPr>
      <w:r>
        <w:rPr>
          <w:rFonts w:hint="eastAsia" w:ascii="宋体" w:hAnsi="宋体" w:cs="宋体"/>
          <w:b/>
          <w:color w:val="auto"/>
          <w:sz w:val="30"/>
          <w:szCs w:val="30"/>
        </w:rPr>
        <w:t>供货方案及项目实施进度计划安排</w:t>
      </w:r>
    </w:p>
    <w:p w14:paraId="363C2C01">
      <w:pPr>
        <w:pStyle w:val="47"/>
        <w:spacing w:before="0" w:after="0" w:line="460" w:lineRule="exact"/>
        <w:ind w:left="0" w:right="23" w:firstLine="480" w:firstLineChars="200"/>
        <w:rPr>
          <w:rFonts w:ascii="宋体" w:hAnsi="宋体" w:cs="宋体"/>
          <w:color w:val="auto"/>
        </w:rPr>
      </w:pPr>
      <w:r>
        <w:rPr>
          <w:rFonts w:hint="eastAsia" w:ascii="宋体" w:hAnsi="宋体" w:cs="宋体"/>
          <w:color w:val="auto"/>
        </w:rPr>
        <w:t>注：以上内容投标人根据评标办法结合自身实际情况编写，格式自拟。</w:t>
      </w:r>
    </w:p>
    <w:p w14:paraId="45AFB376">
      <w:pPr>
        <w:keepNext/>
        <w:keepLines/>
        <w:widowControl/>
        <w:autoSpaceDE w:val="0"/>
        <w:spacing w:line="360" w:lineRule="auto"/>
        <w:outlineLvl w:val="2"/>
        <w:rPr>
          <w:rFonts w:ascii="宋体" w:hAnsi="宋体" w:cs="宋体"/>
          <w:b/>
          <w:color w:val="auto"/>
          <w:sz w:val="30"/>
          <w:szCs w:val="30"/>
        </w:rPr>
      </w:pPr>
    </w:p>
    <w:p w14:paraId="257B595A">
      <w:pPr>
        <w:keepNext/>
        <w:keepLines/>
        <w:widowControl/>
        <w:autoSpaceDE w:val="0"/>
        <w:spacing w:line="360" w:lineRule="auto"/>
        <w:jc w:val="center"/>
        <w:outlineLvl w:val="2"/>
        <w:rPr>
          <w:rFonts w:ascii="宋体" w:hAnsi="宋体" w:cs="宋体"/>
          <w:b/>
          <w:color w:val="auto"/>
          <w:sz w:val="30"/>
          <w:szCs w:val="30"/>
        </w:rPr>
      </w:pPr>
      <w:r>
        <w:rPr>
          <w:rFonts w:hint="eastAsia" w:ascii="宋体" w:hAnsi="宋体" w:cs="宋体"/>
          <w:b/>
          <w:color w:val="auto"/>
          <w:sz w:val="30"/>
          <w:szCs w:val="30"/>
        </w:rPr>
        <w:t>四、项目实施方案</w:t>
      </w:r>
    </w:p>
    <w:p w14:paraId="548408E8">
      <w:pPr>
        <w:pStyle w:val="47"/>
        <w:spacing w:before="0" w:after="0" w:line="460" w:lineRule="exact"/>
        <w:ind w:left="0" w:right="23" w:firstLine="480" w:firstLineChars="200"/>
        <w:rPr>
          <w:rFonts w:ascii="宋体" w:hAnsi="宋体" w:cs="宋体"/>
          <w:color w:val="auto"/>
        </w:rPr>
      </w:pPr>
      <w:r>
        <w:rPr>
          <w:rFonts w:hint="eastAsia" w:ascii="宋体" w:hAnsi="宋体" w:cs="宋体"/>
          <w:color w:val="auto"/>
        </w:rPr>
        <w:t>注：以上内容投标人根据评标办法结合自身实际情况编写，格式自拟。</w:t>
      </w:r>
    </w:p>
    <w:p w14:paraId="02E00D2B">
      <w:pPr>
        <w:keepNext/>
        <w:keepLines/>
        <w:widowControl/>
        <w:autoSpaceDE w:val="0"/>
        <w:spacing w:line="360" w:lineRule="auto"/>
        <w:jc w:val="center"/>
        <w:outlineLvl w:val="2"/>
        <w:rPr>
          <w:rFonts w:ascii="宋体" w:hAnsi="宋体" w:cs="宋体"/>
          <w:b/>
          <w:color w:val="auto"/>
          <w:sz w:val="30"/>
          <w:szCs w:val="30"/>
        </w:rPr>
      </w:pPr>
    </w:p>
    <w:p w14:paraId="283E7512">
      <w:pPr>
        <w:keepNext/>
        <w:keepLines/>
        <w:widowControl/>
        <w:numPr>
          <w:ilvl w:val="0"/>
          <w:numId w:val="5"/>
        </w:numPr>
        <w:autoSpaceDE w:val="0"/>
        <w:spacing w:line="360" w:lineRule="auto"/>
        <w:jc w:val="center"/>
        <w:outlineLvl w:val="2"/>
        <w:rPr>
          <w:rFonts w:ascii="宋体" w:hAnsi="宋体" w:cs="宋体"/>
          <w:b/>
          <w:color w:val="auto"/>
          <w:sz w:val="30"/>
          <w:szCs w:val="30"/>
        </w:rPr>
      </w:pPr>
      <w:r>
        <w:rPr>
          <w:rFonts w:hint="eastAsia" w:ascii="宋体" w:hAnsi="宋体" w:cs="宋体"/>
          <w:b/>
          <w:color w:val="auto"/>
          <w:sz w:val="30"/>
          <w:szCs w:val="30"/>
        </w:rPr>
        <w:t>售后服务方案</w:t>
      </w:r>
    </w:p>
    <w:p w14:paraId="44DC8D7E">
      <w:pPr>
        <w:pStyle w:val="47"/>
        <w:spacing w:before="0" w:after="0" w:line="460" w:lineRule="exact"/>
        <w:ind w:left="0" w:right="23" w:firstLine="480" w:firstLineChars="200"/>
        <w:rPr>
          <w:rFonts w:ascii="宋体" w:hAnsi="宋体" w:cs="宋体"/>
          <w:color w:val="auto"/>
        </w:rPr>
      </w:pPr>
      <w:r>
        <w:rPr>
          <w:rFonts w:hint="eastAsia" w:ascii="宋体" w:hAnsi="宋体" w:cs="宋体"/>
          <w:color w:val="auto"/>
        </w:rPr>
        <w:t>注：以上内容投标人根据评标办法结合自身实际情况编写，格式自拟。</w:t>
      </w:r>
    </w:p>
    <w:p w14:paraId="5E433AFE">
      <w:pPr>
        <w:keepNext/>
        <w:keepLines/>
        <w:widowControl/>
        <w:autoSpaceDE w:val="0"/>
        <w:spacing w:line="360" w:lineRule="auto"/>
        <w:outlineLvl w:val="2"/>
        <w:rPr>
          <w:rFonts w:ascii="宋体" w:hAnsi="宋体" w:cs="宋体"/>
          <w:b/>
          <w:color w:val="auto"/>
          <w:sz w:val="30"/>
          <w:szCs w:val="30"/>
        </w:rPr>
      </w:pPr>
    </w:p>
    <w:p w14:paraId="04DA20BE">
      <w:pPr>
        <w:keepNext/>
        <w:keepLines/>
        <w:widowControl/>
        <w:numPr>
          <w:ilvl w:val="0"/>
          <w:numId w:val="5"/>
        </w:numPr>
        <w:autoSpaceDE w:val="0"/>
        <w:spacing w:line="360" w:lineRule="auto"/>
        <w:jc w:val="center"/>
        <w:outlineLvl w:val="2"/>
        <w:rPr>
          <w:rFonts w:ascii="宋体" w:hAnsi="宋体" w:cs="宋体"/>
          <w:b/>
          <w:color w:val="auto"/>
          <w:sz w:val="30"/>
          <w:szCs w:val="30"/>
        </w:rPr>
      </w:pPr>
      <w:r>
        <w:rPr>
          <w:rFonts w:hint="eastAsia" w:ascii="宋体" w:hAnsi="宋体" w:cs="宋体"/>
          <w:b/>
          <w:color w:val="auto"/>
          <w:sz w:val="30"/>
          <w:szCs w:val="30"/>
        </w:rPr>
        <w:t>项目整体质保期及质量保障措施</w:t>
      </w:r>
    </w:p>
    <w:p w14:paraId="421F566E">
      <w:pPr>
        <w:pStyle w:val="47"/>
        <w:spacing w:before="0" w:after="0" w:line="460" w:lineRule="exact"/>
        <w:ind w:left="0" w:right="23" w:firstLine="480" w:firstLineChars="200"/>
        <w:rPr>
          <w:rFonts w:ascii="宋体" w:hAnsi="宋体" w:cs="宋体"/>
          <w:color w:val="auto"/>
        </w:rPr>
      </w:pPr>
      <w:r>
        <w:rPr>
          <w:rFonts w:hint="eastAsia" w:ascii="宋体" w:hAnsi="宋体" w:cs="宋体"/>
          <w:color w:val="auto"/>
        </w:rPr>
        <w:t>注：以上内容投标人根据评标办法结合自身实际情况编写，格式自拟。</w:t>
      </w:r>
    </w:p>
    <w:p w14:paraId="7F4A73E0">
      <w:pPr>
        <w:keepNext/>
        <w:keepLines/>
        <w:widowControl/>
        <w:autoSpaceDE w:val="0"/>
        <w:spacing w:line="360" w:lineRule="auto"/>
        <w:jc w:val="center"/>
        <w:outlineLvl w:val="2"/>
        <w:rPr>
          <w:rFonts w:ascii="宋体" w:hAnsi="宋体" w:cs="宋体"/>
          <w:b/>
          <w:color w:val="auto"/>
          <w:sz w:val="30"/>
          <w:szCs w:val="30"/>
        </w:rPr>
      </w:pPr>
    </w:p>
    <w:p w14:paraId="49A30ED0">
      <w:pPr>
        <w:pStyle w:val="30"/>
        <w:ind w:firstLine="210" w:firstLineChars="100"/>
        <w:jc w:val="center"/>
        <w:rPr>
          <w:color w:val="auto"/>
        </w:rPr>
      </w:pPr>
    </w:p>
    <w:sectPr>
      <w:headerReference r:id="rId13" w:type="default"/>
      <w:footerReference r:id="rId14" w:type="default"/>
      <w:pgSz w:w="11906" w:h="16838"/>
      <w:pgMar w:top="1440" w:right="1134" w:bottom="1418" w:left="1134" w:header="851" w:footer="936"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F2CAB27-D9B4-4359-A4EF-02690BC8FDC4}"/>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2" w:fontKey="{E6F3FF1C-D5A1-4745-85E6-F15A925AC5A5}"/>
  </w:font>
  <w:font w:name="MS Sans Serif">
    <w:altName w:val="Segoe UI Symbol"/>
    <w:panose1 w:val="020B0500000000000000"/>
    <w:charset w:val="00"/>
    <w:family w:val="swiss"/>
    <w:pitch w:val="default"/>
    <w:sig w:usb0="00000000" w:usb1="00000000" w:usb2="00000000" w:usb3="00000000" w:csb0="00000001" w:csb1="00000000"/>
  </w:font>
  <w:font w:name="Segoe UI Symbol">
    <w:panose1 w:val="020B0502040204020203"/>
    <w:charset w:val="00"/>
    <w:family w:val="auto"/>
    <w:pitch w:val="default"/>
    <w:sig w:usb0="800001E3" w:usb1="1200FFEF" w:usb2="00040000" w:usb3="04000000" w:csb0="00000001" w:csb1="4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F05FE31-F59D-4714-A300-2B0F7C90056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embedRegular r:id="rId4" w:fontKey="{3969CE4F-98D8-4038-B2B5-F5A42EAC586F}"/>
  </w:font>
  <w:font w:name="Arial Narrow">
    <w:panose1 w:val="020B0606020202030204"/>
    <w:charset w:val="00"/>
    <w:family w:val="swiss"/>
    <w:pitch w:val="default"/>
    <w:sig w:usb0="00000287" w:usb1="00000800" w:usb2="00000000" w:usb3="00000000" w:csb0="2000009F" w:csb1="DFD70000"/>
    <w:embedRegular r:id="rId5" w:fontKey="{B16AA1B7-C5AD-47FC-9111-8BB8D8BBAA09}"/>
  </w:font>
  <w:font w:name="Verdana">
    <w:panose1 w:val="020B0604030504040204"/>
    <w:charset w:val="00"/>
    <w:family w:val="swiss"/>
    <w:pitch w:val="default"/>
    <w:sig w:usb0="A00006FF" w:usb1="4000205B" w:usb2="00000010" w:usb3="00000000" w:csb0="2000019F" w:csb1="00000000"/>
    <w:embedRegular r:id="rId6" w:fontKey="{1DF0B958-0623-4148-ADBF-E4580BE620B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38AC6">
    <w:pPr>
      <w:pStyle w:val="13"/>
      <w:jc w:val="center"/>
    </w:pPr>
  </w:p>
  <w:p w14:paraId="0E73EE89">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76C95">
    <w:pPr>
      <w:pStyle w:val="13"/>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4C1473D">
                          <w:pPr>
                            <w:pStyle w:val="1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TrQRskBAACa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pt6IoSxy0O/PLzx+XXn8vv72S5&#10;zPr0AWpMuw+YmIZ3fsCtmf2Azkx7UNHmLxIiGEd1z1d15ZCIyI/Wq/W6wpDA2HxBfPbwPERI76W3&#10;JBsNjTi+oio/fYQ0ps4puZrzd9qYMkLj/nEgZvaw3PvYY7bSsB8mQnvfnpFPj5NvqMNFp8R8cChs&#10;XpLZiLOxn41jiPrQlS3K9SDcHhM2UXrLFUbYqTCOrLCb1ivvxON7yXr4pbZ/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ROtBGyQEAAJoDAAAOAAAAAAAAAAEAIAAAAB4BAABkcnMvZTJvRG9j&#10;LnhtbFBLBQYAAAAABgAGAFkBAABZBQAAAAA=&#10;">
              <v:fill on="f" focussize="0,0"/>
              <v:stroke on="f"/>
              <v:imagedata o:title=""/>
              <o:lock v:ext="edit" aspectratio="f"/>
              <v:textbox inset="0mm,0mm,0mm,0mm" style="mso-fit-shape-to-text:t;">
                <w:txbxContent>
                  <w:p w14:paraId="04C1473D">
                    <w:pPr>
                      <w:pStyle w:val="13"/>
                    </w:pPr>
                    <w:r>
                      <w:fldChar w:fldCharType="begin"/>
                    </w:r>
                    <w:r>
                      <w:instrText xml:space="preserve"> PAGE  \* MERGEFORMAT </w:instrText>
                    </w:r>
                    <w:r>
                      <w:fldChar w:fldCharType="separate"/>
                    </w:r>
                    <w:r>
                      <w:t>1</w:t>
                    </w:r>
                    <w:r>
                      <w:fldChar w:fldCharType="end"/>
                    </w:r>
                  </w:p>
                </w:txbxContent>
              </v:textbox>
            </v:shape>
          </w:pict>
        </mc:Fallback>
      </mc:AlternateContent>
    </w:r>
  </w:p>
  <w:p w14:paraId="17BB38F9">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6B5D8">
    <w:pPr>
      <w:pStyle w:val="13"/>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4C07F71">
                          <w:pPr>
                            <w:pStyle w:val="13"/>
                          </w:pPr>
                          <w:r>
                            <w:fldChar w:fldCharType="begin"/>
                          </w:r>
                          <w:r>
                            <w:instrText xml:space="preserve"> PAGE  \* MERGEFORMAT </w:instrText>
                          </w:r>
                          <w:r>
                            <w:fldChar w:fldCharType="separate"/>
                          </w:r>
                          <w:r>
                            <w:t>35</w:t>
                          </w:r>
                          <w:r>
                            <w:fldChar w:fldCharType="end"/>
                          </w:r>
                        </w:p>
                      </w:txbxContent>
                    </wps:txbx>
                    <wps:bodyPr wrap="none" lIns="0" tIns="0" rIns="0" bIns="0" upright="0">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g5Uc8kBAACa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pt6GtKHLc48Mv3b5cfvy4/v5Ll&#10;KuvTB6gx7SFgYhru/IBbM/sBnZn2oKLNXyREMI7qnq/qyiERkR+tV+t1hSGBsfmC+OzxeYiQ3kpv&#10;STYaGnF8RVV+eg9pTJ1TcjXn77UxZYTG/eVAzOxhufexx2ylYT9MhPa+PSOfHiffUIeLTol551DY&#10;vCSzEWdjPxvHEPWhK1uU60G4PSZsovSWK4ywU2EcWWE3rVfeiT/vJevxl9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ODlRzyQEAAJoDAAAOAAAAAAAAAAEAIAAAAB4BAABkcnMvZTJvRG9j&#10;LnhtbFBLBQYAAAAABgAGAFkBAABZBQAAAAA=&#10;">
              <v:fill on="f" focussize="0,0"/>
              <v:stroke on="f"/>
              <v:imagedata o:title=""/>
              <o:lock v:ext="edit" aspectratio="f"/>
              <v:textbox inset="0mm,0mm,0mm,0mm" style="mso-fit-shape-to-text:t;">
                <w:txbxContent>
                  <w:p w14:paraId="74C07F71">
                    <w:pPr>
                      <w:pStyle w:val="13"/>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D4F7A">
    <w:pPr>
      <w:pStyle w:val="13"/>
      <w:tabs>
        <w:tab w:val="left" w:pos="2743"/>
        <w:tab w:val="clear" w:pos="4153"/>
      </w:tabs>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B874509">
                          <w:pPr>
                            <w:pStyle w:val="13"/>
                          </w:pPr>
                          <w:r>
                            <w:fldChar w:fldCharType="begin"/>
                          </w:r>
                          <w:r>
                            <w:instrText xml:space="preserve"> PAGE  \* MERGEFORMAT </w:instrText>
                          </w:r>
                          <w:r>
                            <w:fldChar w:fldCharType="separate"/>
                          </w:r>
                          <w:r>
                            <w:t>34</w:t>
                          </w:r>
                          <w:r>
                            <w:fldChar w:fldCharType="end"/>
                          </w:r>
                        </w:p>
                      </w:txbxContent>
                    </wps:txbx>
                    <wps:bodyPr wrap="none" lIns="0" tIns="0" rIns="0" bIns="0" upright="0">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1JszsyQEAAJoDAAAOAAAAAAAAAAEAIAAAAB4BAABkcnMvZTJvRG9j&#10;LnhtbFBLBQYAAAAABgAGAFkBAABZBQAAAAA=&#10;">
              <v:fill on="f" focussize="0,0"/>
              <v:stroke on="f"/>
              <v:imagedata o:title=""/>
              <o:lock v:ext="edit" aspectratio="f"/>
              <v:textbox inset="0mm,0mm,0mm,0mm" style="mso-fit-shape-to-text:t;">
                <w:txbxContent>
                  <w:p w14:paraId="1B874509">
                    <w:pPr>
                      <w:pStyle w:val="13"/>
                    </w:pPr>
                    <w:r>
                      <w:fldChar w:fldCharType="begin"/>
                    </w:r>
                    <w:r>
                      <w:instrText xml:space="preserve"> PAGE  \* MERGEFORMAT </w:instrText>
                    </w:r>
                    <w:r>
                      <w:fldChar w:fldCharType="separate"/>
                    </w:r>
                    <w:r>
                      <w:t>34</w:t>
                    </w:r>
                    <w:r>
                      <w:fldChar w:fldCharType="end"/>
                    </w:r>
                  </w:p>
                </w:txbxContent>
              </v:textbox>
            </v:shape>
          </w:pict>
        </mc:Fallback>
      </mc:AlternateContent>
    </w:r>
    <w:r>
      <w:rPr>
        <w:rFonts w:hint="eastAsia"/>
      </w:rPr>
      <w:tab/>
    </w:r>
  </w:p>
  <w:p w14:paraId="6BF1EA3D">
    <w:pPr>
      <w:pStyle w:val="13"/>
      <w:tabs>
        <w:tab w:val="left" w:pos="2743"/>
        <w:tab w:val="clear" w:pos="4153"/>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C4870">
    <w:pPr>
      <w:pStyle w:val="13"/>
      <w:tabs>
        <w:tab w:val="center" w:pos="4512"/>
        <w:tab w:val="clear" w:pos="4153"/>
      </w:tabs>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9C0000">
                          <w:pPr>
                            <w:pStyle w:val="13"/>
                          </w:pPr>
                          <w:r>
                            <w:fldChar w:fldCharType="begin"/>
                          </w:r>
                          <w:r>
                            <w:instrText xml:space="preserve"> PAGE  \* MERGEFORMAT </w:instrText>
                          </w:r>
                          <w:r>
                            <w:fldChar w:fldCharType="separate"/>
                          </w:r>
                          <w:r>
                            <w:t>49</w:t>
                          </w:r>
                          <w:r>
                            <w:fldChar w:fldCharType="end"/>
                          </w:r>
                        </w:p>
                      </w:txbxContent>
                    </wps:txbx>
                    <wps:bodyPr wrap="none" lIns="0" tIns="0" rIns="0" bIns="0" upright="0">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9viZskBAACaAwAADgAAAGRycy9lMm9Eb2MueG1srVPNjtMwEL4j8Q6W&#10;79Rph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bEcYsDv3z/dvnx6/LzK1m+&#10;zPr0AWpMuwuYmIa3fsCtmf2Azkx7UNHmLxIiGEd1z1d15ZCIyI/Wq/W6wpDA2HxBfPbwPERI76S3&#10;JBsNjTi+oio/fYA0ps4puZrzt9qYMkLj/nIgZvaw3PvYY7bSsB8mQnvfnpFPj5NvqMNFp8S8dyhs&#10;XpLZiLOxn41jiPrQlS3K9SC8OSZsovSWK4ywU2EcWWE3rVfeiT/vJevhl9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b2+JmyQEAAJoDAAAOAAAAAAAAAAEAIAAAAB4BAABkcnMvZTJvRG9j&#10;LnhtbFBLBQYAAAAABgAGAFkBAABZBQAAAAA=&#10;">
              <v:fill on="f" focussize="0,0"/>
              <v:stroke on="f"/>
              <v:imagedata o:title=""/>
              <o:lock v:ext="edit" aspectratio="f"/>
              <v:textbox inset="0mm,0mm,0mm,0mm" style="mso-fit-shape-to-text:t;">
                <w:txbxContent>
                  <w:p w14:paraId="119C0000">
                    <w:pPr>
                      <w:pStyle w:val="13"/>
                    </w:pPr>
                    <w:r>
                      <w:fldChar w:fldCharType="begin"/>
                    </w:r>
                    <w:r>
                      <w:instrText xml:space="preserve"> PAGE  \* MERGEFORMAT </w:instrText>
                    </w:r>
                    <w:r>
                      <w:fldChar w:fldCharType="separate"/>
                    </w:r>
                    <w:r>
                      <w:t>49</w:t>
                    </w:r>
                    <w:r>
                      <w:fldChar w:fldCharType="end"/>
                    </w:r>
                  </w:p>
                </w:txbxContent>
              </v:textbox>
            </v:shape>
          </w:pict>
        </mc:Fallback>
      </mc:AlternateContent>
    </w:r>
    <w:r>
      <w:rPr>
        <w:rFonts w:hint="eastAsia"/>
      </w:rPr>
      <w:tab/>
    </w:r>
  </w:p>
  <w:p w14:paraId="4E8DA57A">
    <w:pPr>
      <w:pStyle w:val="13"/>
      <w:tabs>
        <w:tab w:val="center" w:pos="4512"/>
        <w:tab w:val="clear" w:pos="4153"/>
      </w:tabs>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DA5B3">
    <w:pPr>
      <w:pStyle w:val="13"/>
      <w:tabs>
        <w:tab w:val="left" w:pos="689"/>
        <w:tab w:val="center" w:pos="5103"/>
      </w:tabs>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66355C">
                          <w:pPr>
                            <w:pStyle w:val="13"/>
                          </w:pPr>
                          <w:r>
                            <w:fldChar w:fldCharType="begin"/>
                          </w:r>
                          <w:r>
                            <w:instrText xml:space="preserve"> PAGE  \* MERGEFORMAT </w:instrText>
                          </w:r>
                          <w:r>
                            <w:fldChar w:fldCharType="separate"/>
                          </w:r>
                          <w:r>
                            <w:t>98</w:t>
                          </w:r>
                          <w:r>
                            <w:fldChar w:fldCharType="end"/>
                          </w:r>
                        </w:p>
                      </w:txbxContent>
                    </wps:txbx>
                    <wps:bodyPr wrap="none" lIns="0" tIns="0" rIns="0" bIns="0" upright="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0/Eh8kBAACa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ptKI7dcYsDv3z/dvnx6/LzK1m+&#10;zvr0AWpMewiYmIY7P+DWzH5AZ6Y9qGjzFwkRjKO656u6ckhE5Efr1XpdYUhgbL4gPnt8HiKkt9Jb&#10;ko2GRhxfUZWf3kMaU+eUXM35e21MGaFxfzkQM3tY7n3sMVtp2A8Tob1vz8inx8k31OGiU2LeORQ2&#10;L8lsxNnYz8YxRH3oyhblehBujwmbKL3lCiPsVBhHVthN65V34s97yXr8pb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LT8SHyQEAAJoDAAAOAAAAAAAAAAEAIAAAAB4BAABkcnMvZTJvRG9j&#10;LnhtbFBLBQYAAAAABgAGAFkBAABZBQAAAAA=&#10;">
              <v:fill on="f" focussize="0,0"/>
              <v:stroke on="f"/>
              <v:imagedata o:title=""/>
              <o:lock v:ext="edit" aspectratio="f"/>
              <v:textbox inset="0mm,0mm,0mm,0mm" style="mso-fit-shape-to-text:t;">
                <w:txbxContent>
                  <w:p w14:paraId="7166355C">
                    <w:pPr>
                      <w:pStyle w:val="13"/>
                    </w:pPr>
                    <w:r>
                      <w:fldChar w:fldCharType="begin"/>
                    </w:r>
                    <w:r>
                      <w:instrText xml:space="preserve"> PAGE  \* MERGEFORMAT </w:instrText>
                    </w:r>
                    <w:r>
                      <w:fldChar w:fldCharType="separate"/>
                    </w:r>
                    <w:r>
                      <w:t>98</w:t>
                    </w:r>
                    <w:r>
                      <w:fldChar w:fldCharType="end"/>
                    </w:r>
                  </w:p>
                </w:txbxContent>
              </v:textbox>
            </v:shape>
          </w:pict>
        </mc:Fallback>
      </mc:AlternateContent>
    </w:r>
    <w:r>
      <w:rPr>
        <w:rFonts w:hint="eastAsia"/>
      </w:rPr>
      <w:tab/>
    </w:r>
    <w:r>
      <w:rPr>
        <w:sz w:val="21"/>
      </w:rPr>
      <mc:AlternateContent>
        <mc:Choice Requires="wps">
          <w:drawing>
            <wp:anchor distT="0" distB="0" distL="114300" distR="114300" simplePos="0" relativeHeight="251660288" behindDoc="0" locked="0" layoutInCell="1" allowOverlap="1">
              <wp:simplePos x="0" y="0"/>
              <wp:positionH relativeFrom="margin">
                <wp:posOffset>3093720</wp:posOffset>
              </wp:positionH>
              <wp:positionV relativeFrom="paragraph">
                <wp:posOffset>-145415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640653D2">
                          <w:pPr>
                            <w:snapToGrid w:val="0"/>
                            <w:rPr>
                              <w:sz w:val="18"/>
                            </w:rPr>
                          </w:pPr>
                        </w:p>
                      </w:txbxContent>
                    </wps:txbx>
                    <wps:bodyPr wrap="none" lIns="0" tIns="0" rIns="0" bIns="0" upright="1">
                      <a:spAutoFit/>
                    </wps:bodyPr>
                  </wps:wsp>
                </a:graphicData>
              </a:graphic>
            </wp:anchor>
          </w:drawing>
        </mc:Choice>
        <mc:Fallback>
          <w:pict>
            <v:shape id="_x0000_s1026" o:spid="_x0000_s1026" o:spt="202" type="#_x0000_t202" style="position:absolute;left:0pt;margin-left:243.6pt;margin-top:-11.45pt;height:144pt;width:144pt;mso-position-horizontal-relative:margin;mso-wrap-style:none;z-index:251660288;mso-width-relative:page;mso-height-relative:page;" filled="f" stroked="f" coordsize="21600,21600" o:gfxdata="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jCn6AdwAAAALAQAADwAAAAAA&#10;AAABACAAAAAiAAAAZHJzL2Rvd25yZXYueG1sUEsBAhQAFAAAAAgAh07iQF8wke/WAQAAswMAAA4A&#10;AAAAAAAAAQAgAAAAKwEAAGRycy9lMm9Eb2MueG1sUEsFBgAAAAAGAAYAWQEAAHMFAAAAAA==&#10;">
              <v:fill on="f" focussize="0,0"/>
              <v:stroke on="f" weight="1.25pt"/>
              <v:imagedata o:title=""/>
              <o:lock v:ext="edit" aspectratio="f"/>
              <v:textbox inset="0mm,0mm,0mm,0mm" style="mso-fit-shape-to-text:t;">
                <w:txbxContent>
                  <w:p w14:paraId="640653D2">
                    <w:pPr>
                      <w:snapToGrid w:val="0"/>
                      <w:rPr>
                        <w:sz w:val="18"/>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2D119">
    <w:pPr>
      <w:pStyle w:val="13"/>
      <w:tabs>
        <w:tab w:val="left" w:pos="689"/>
        <w:tab w:val="center" w:pos="5103"/>
      </w:tabs>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0D83FE">
                          <w:pPr>
                            <w:pStyle w:val="13"/>
                          </w:pPr>
                          <w:r>
                            <w:fldChar w:fldCharType="begin"/>
                          </w:r>
                          <w:r>
                            <w:instrText xml:space="preserve"> PAGE  \* MERGEFORMAT </w:instrText>
                          </w:r>
                          <w:r>
                            <w:fldChar w:fldCharType="separate"/>
                          </w:r>
                          <w:r>
                            <w:t>106</w:t>
                          </w:r>
                          <w:r>
                            <w:fldChar w:fldCharType="end"/>
                          </w:r>
                        </w:p>
                      </w:txbxContent>
                    </wps:txbx>
                    <wps:bodyPr wrap="none" lIns="0" tIns="0" rIns="0" bIns="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hpqdgyQEAAJoDAAAOAAAAAAAAAAEAIAAAAB4BAABkcnMvZTJvRG9j&#10;LnhtbFBLBQYAAAAABgAGAFkBAABZBQAAAAA=&#10;">
              <v:fill on="f" focussize="0,0"/>
              <v:stroke on="f"/>
              <v:imagedata o:title=""/>
              <o:lock v:ext="edit" aspectratio="f"/>
              <v:textbox inset="0mm,0mm,0mm,0mm" style="mso-fit-shape-to-text:t;">
                <w:txbxContent>
                  <w:p w14:paraId="610D83FE">
                    <w:pPr>
                      <w:pStyle w:val="13"/>
                    </w:pPr>
                    <w:r>
                      <w:fldChar w:fldCharType="begin"/>
                    </w:r>
                    <w:r>
                      <w:instrText xml:space="preserve"> PAGE  \* MERGEFORMAT </w:instrText>
                    </w:r>
                    <w:r>
                      <w:fldChar w:fldCharType="separate"/>
                    </w:r>
                    <w:r>
                      <w:t>106</w:t>
                    </w:r>
                    <w:r>
                      <w:fldChar w:fldCharType="end"/>
                    </w:r>
                  </w:p>
                </w:txbxContent>
              </v:textbox>
            </v:shape>
          </w:pict>
        </mc:Fallback>
      </mc:AlternateContent>
    </w:r>
    <w:r>
      <w:rPr>
        <w:rFonts w:hint="eastAsia"/>
      </w:rPr>
      <w:tab/>
    </w:r>
    <w:r>
      <w:rPr>
        <w:sz w:val="21"/>
      </w:rPr>
      <mc:AlternateContent>
        <mc:Choice Requires="wps">
          <w:drawing>
            <wp:anchor distT="0" distB="0" distL="114300" distR="114300" simplePos="0" relativeHeight="251659264" behindDoc="0" locked="0" layoutInCell="1" allowOverlap="1">
              <wp:simplePos x="0" y="0"/>
              <wp:positionH relativeFrom="margin">
                <wp:posOffset>3093720</wp:posOffset>
              </wp:positionH>
              <wp:positionV relativeFrom="paragraph">
                <wp:posOffset>-145415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671299D9">
                          <w:pPr>
                            <w:snapToGrid w:val="0"/>
                            <w:rPr>
                              <w:sz w:val="18"/>
                            </w:rPr>
                          </w:pPr>
                        </w:p>
                      </w:txbxContent>
                    </wps:txbx>
                    <wps:bodyPr wrap="none" lIns="0" tIns="0" rIns="0" bIns="0" upright="1">
                      <a:spAutoFit/>
                    </wps:bodyPr>
                  </wps:wsp>
                </a:graphicData>
              </a:graphic>
            </wp:anchor>
          </w:drawing>
        </mc:Choice>
        <mc:Fallback>
          <w:pict>
            <v:shape id="_x0000_s1026" o:spid="_x0000_s1026" o:spt="202" type="#_x0000_t202" style="position:absolute;left:0pt;margin-left:243.6pt;margin-top:-11.45pt;height:144pt;width:144pt;mso-position-horizontal-relative:margin;mso-wrap-style:none;z-index:251659264;mso-width-relative:page;mso-height-relative:page;" filled="f" stroked="f" coordsize="21600,21600" o:gfxdata="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CMKfoB3AAAAAsBAAAPAAAA&#10;AAAAAAEAIAAAACIAAABkcnMvZG93bnJldi54bWxQSwECFAAUAAAACACHTuJAzhc0+9gBAACxAwAA&#10;DgAAAAAAAAABACAAAAArAQAAZHJzL2Uyb0RvYy54bWxQSwUGAAAAAAYABgBZAQAAdQUAAAAA&#10;">
              <v:fill on="f" focussize="0,0"/>
              <v:stroke on="f" weight="1.25pt"/>
              <v:imagedata o:title=""/>
              <o:lock v:ext="edit" aspectratio="f"/>
              <v:textbox inset="0mm,0mm,0mm,0mm" style="mso-fit-shape-to-text:t;">
                <w:txbxContent>
                  <w:p w14:paraId="671299D9">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E32CB">
    <w:pPr>
      <w:pStyle w:val="15"/>
      <w:pBdr>
        <w:bottom w:val="none" w:color="auto" w:sz="0" w:space="1"/>
      </w:pBdr>
      <w:ind w:left="1800" w:hanging="1800" w:hangingChars="100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AE85E">
    <w:pPr>
      <w:pStyle w:val="15"/>
      <w:pBdr>
        <w:bottom w:val="none" w:color="auto" w:sz="0" w:space="1"/>
      </w:pBdr>
      <w:tabs>
        <w:tab w:val="left" w:pos="3919"/>
        <w:tab w:val="clear" w:pos="4153"/>
      </w:tabs>
      <w:ind w:left="1440" w:hanging="1440" w:hangingChars="80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96B68">
    <w:pPr>
      <w:pStyle w:val="7"/>
      <w:spacing w:line="14" w:lineRule="auto"/>
      <w:rPr>
        <w:sz w:val="20"/>
      </w:rPr>
    </w:pPr>
    <w:r>
      <mc:AlternateContent>
        <mc:Choice Requires="wps">
          <w:drawing>
            <wp:anchor distT="0" distB="0" distL="114300" distR="114300" simplePos="0" relativeHeight="251661312" behindDoc="1" locked="0" layoutInCell="1" allowOverlap="1">
              <wp:simplePos x="0" y="0"/>
              <wp:positionH relativeFrom="page">
                <wp:posOffset>5026660</wp:posOffset>
              </wp:positionH>
              <wp:positionV relativeFrom="page">
                <wp:posOffset>544830</wp:posOffset>
              </wp:positionV>
              <wp:extent cx="2124075" cy="1524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2124075" cy="152400"/>
                      </a:xfrm>
                      <a:prstGeom prst="rect">
                        <a:avLst/>
                      </a:prstGeom>
                      <a:noFill/>
                      <a:ln w="9525">
                        <a:noFill/>
                      </a:ln>
                      <a:effectLst/>
                    </wps:spPr>
                    <wps:txbx>
                      <w:txbxContent>
                        <w:p w14:paraId="01703129"/>
                      </w:txbxContent>
                    </wps:txbx>
                    <wps:bodyPr lIns="0" tIns="0" rIns="0" bIns="0" upright="1"/>
                  </wps:wsp>
                </a:graphicData>
              </a:graphic>
            </wp:anchor>
          </w:drawing>
        </mc:Choice>
        <mc:Fallback>
          <w:pict>
            <v:shape id="_x0000_s1026" o:spid="_x0000_s1026" o:spt="202" type="#_x0000_t202" style="position:absolute;left:0pt;margin-left:395.8pt;margin-top:42.9pt;height:12pt;width:167.25pt;mso-position-horizontal-relative:page;mso-position-vertical-relative:page;z-index:-251655168;mso-width-relative:page;mso-height-relative:page;" filled="f" stroked="f" coordsize="21600,21600" o:gfxdata="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EDDQF2QAAAAsBAAAPAAAAAAAAAAEAIAAAACIAAABkcnMvZG93&#10;bnJldi54bWxQSwECFAAUAAAACACHTuJAGoG4z8YBAACJAwAADgAAAAAAAAABACAAAAAoAQAAZHJz&#10;L2Uyb0RvYy54bWxQSwUGAAAAAAYABgBZAQAAYAUAAAAA&#10;">
              <v:fill on="f" focussize="0,0"/>
              <v:stroke on="f"/>
              <v:imagedata o:title=""/>
              <o:lock v:ext="edit" aspectratio="f"/>
              <v:textbox inset="0mm,0mm,0mm,0mm">
                <w:txbxContent>
                  <w:p w14:paraId="01703129"/>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0DB6E">
    <w:pPr>
      <w:pStyle w:val="15"/>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9633F">
    <w:pPr>
      <w:pStyle w:val="1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A7A41C"/>
    <w:multiLevelType w:val="singleLevel"/>
    <w:tmpl w:val="B1A7A41C"/>
    <w:lvl w:ilvl="0" w:tentative="0">
      <w:start w:val="3"/>
      <w:numFmt w:val="chineseCounting"/>
      <w:suff w:val="nothing"/>
      <w:lvlText w:val="%1、"/>
      <w:lvlJc w:val="left"/>
      <w:rPr>
        <w:rFonts w:hint="eastAsia"/>
      </w:rPr>
    </w:lvl>
  </w:abstractNum>
  <w:abstractNum w:abstractNumId="1">
    <w:nsid w:val="FD7F83FF"/>
    <w:multiLevelType w:val="singleLevel"/>
    <w:tmpl w:val="FD7F83FF"/>
    <w:lvl w:ilvl="0" w:tentative="0">
      <w:start w:val="2"/>
      <w:numFmt w:val="decimal"/>
      <w:lvlText w:val="%1."/>
      <w:lvlJc w:val="left"/>
      <w:pPr>
        <w:tabs>
          <w:tab w:val="left" w:pos="312"/>
        </w:tabs>
      </w:pPr>
    </w:lvl>
  </w:abstractNum>
  <w:abstractNum w:abstractNumId="2">
    <w:nsid w:val="0315620E"/>
    <w:multiLevelType w:val="multilevel"/>
    <w:tmpl w:val="0315620E"/>
    <w:lvl w:ilvl="0" w:tentative="0">
      <w:start w:val="1"/>
      <w:numFmt w:val="decimal"/>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512E9749"/>
    <w:multiLevelType w:val="singleLevel"/>
    <w:tmpl w:val="512E9749"/>
    <w:lvl w:ilvl="0" w:tentative="0">
      <w:start w:val="5"/>
      <w:numFmt w:val="chineseCounting"/>
      <w:suff w:val="nothing"/>
      <w:lvlText w:val="%1、"/>
      <w:lvlJc w:val="left"/>
      <w:rPr>
        <w:rFonts w:hint="eastAsia"/>
      </w:rPr>
    </w:lvl>
  </w:abstractNum>
  <w:abstractNum w:abstractNumId="4">
    <w:nsid w:val="6F162DC5"/>
    <w:multiLevelType w:val="singleLevel"/>
    <w:tmpl w:val="6F162DC5"/>
    <w:lvl w:ilvl="0" w:tentative="0">
      <w:start w:val="3"/>
      <w:numFmt w:val="chineseCounting"/>
      <w:suff w:val="nothing"/>
      <w:lvlText w:val="%1、"/>
      <w:lvlJc w:val="left"/>
      <w:rPr>
        <w:rFonts w:hint="eastAsia"/>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NjOWIzOWZlMjZhNjM1YzE1NWUzYmJjMzc0NzZhNDIifQ=="/>
  </w:docVars>
  <w:rsids>
    <w:rsidRoot w:val="0C3E167A"/>
    <w:rsid w:val="000303E6"/>
    <w:rsid w:val="000315B3"/>
    <w:rsid w:val="001E714F"/>
    <w:rsid w:val="0020643C"/>
    <w:rsid w:val="00263964"/>
    <w:rsid w:val="002640FC"/>
    <w:rsid w:val="002729FC"/>
    <w:rsid w:val="00294ABE"/>
    <w:rsid w:val="00296DB2"/>
    <w:rsid w:val="00393DCC"/>
    <w:rsid w:val="003E1921"/>
    <w:rsid w:val="004079EA"/>
    <w:rsid w:val="00443933"/>
    <w:rsid w:val="00542CBF"/>
    <w:rsid w:val="00571A7C"/>
    <w:rsid w:val="00620C6E"/>
    <w:rsid w:val="00625C39"/>
    <w:rsid w:val="00631834"/>
    <w:rsid w:val="006C1802"/>
    <w:rsid w:val="006F27E3"/>
    <w:rsid w:val="006F5FC6"/>
    <w:rsid w:val="00701438"/>
    <w:rsid w:val="007251C5"/>
    <w:rsid w:val="00773CF4"/>
    <w:rsid w:val="00862BE0"/>
    <w:rsid w:val="0086444A"/>
    <w:rsid w:val="008E477B"/>
    <w:rsid w:val="00982B9C"/>
    <w:rsid w:val="009C3A38"/>
    <w:rsid w:val="00A20A3A"/>
    <w:rsid w:val="00AB06F7"/>
    <w:rsid w:val="00AC1CB3"/>
    <w:rsid w:val="00AD3871"/>
    <w:rsid w:val="00B92929"/>
    <w:rsid w:val="00B94BF7"/>
    <w:rsid w:val="00BE6A27"/>
    <w:rsid w:val="00C778A8"/>
    <w:rsid w:val="00C81B3A"/>
    <w:rsid w:val="00CF5546"/>
    <w:rsid w:val="00D01DAD"/>
    <w:rsid w:val="00DA1050"/>
    <w:rsid w:val="00E070AE"/>
    <w:rsid w:val="00E31AAE"/>
    <w:rsid w:val="00E335D4"/>
    <w:rsid w:val="00E404DF"/>
    <w:rsid w:val="00E80ED8"/>
    <w:rsid w:val="00EA3AEA"/>
    <w:rsid w:val="00EB6FF4"/>
    <w:rsid w:val="00F22233"/>
    <w:rsid w:val="00F509ED"/>
    <w:rsid w:val="00F54758"/>
    <w:rsid w:val="00FB6B95"/>
    <w:rsid w:val="01233006"/>
    <w:rsid w:val="013F5EAF"/>
    <w:rsid w:val="016D09BD"/>
    <w:rsid w:val="01705095"/>
    <w:rsid w:val="0175065C"/>
    <w:rsid w:val="018822A2"/>
    <w:rsid w:val="01A249C3"/>
    <w:rsid w:val="01AF40FF"/>
    <w:rsid w:val="01CE4A86"/>
    <w:rsid w:val="021B0167"/>
    <w:rsid w:val="0231564A"/>
    <w:rsid w:val="0240054F"/>
    <w:rsid w:val="02C01DAB"/>
    <w:rsid w:val="02CB3E2E"/>
    <w:rsid w:val="02E64D17"/>
    <w:rsid w:val="031746F6"/>
    <w:rsid w:val="03362F71"/>
    <w:rsid w:val="033B6D29"/>
    <w:rsid w:val="03724295"/>
    <w:rsid w:val="037474BD"/>
    <w:rsid w:val="03782B71"/>
    <w:rsid w:val="03970F53"/>
    <w:rsid w:val="03DB41BC"/>
    <w:rsid w:val="03FD6B35"/>
    <w:rsid w:val="041E1B9D"/>
    <w:rsid w:val="042100A8"/>
    <w:rsid w:val="04402823"/>
    <w:rsid w:val="04781A8C"/>
    <w:rsid w:val="04A016C1"/>
    <w:rsid w:val="04BD1B14"/>
    <w:rsid w:val="04C446F4"/>
    <w:rsid w:val="04D003FD"/>
    <w:rsid w:val="05154586"/>
    <w:rsid w:val="05266544"/>
    <w:rsid w:val="056B7F0A"/>
    <w:rsid w:val="057F64F0"/>
    <w:rsid w:val="05C6566C"/>
    <w:rsid w:val="05D0358C"/>
    <w:rsid w:val="05DF7CA0"/>
    <w:rsid w:val="05E9769E"/>
    <w:rsid w:val="061E3494"/>
    <w:rsid w:val="065A72EE"/>
    <w:rsid w:val="06612296"/>
    <w:rsid w:val="06685DA0"/>
    <w:rsid w:val="066A198F"/>
    <w:rsid w:val="06874187"/>
    <w:rsid w:val="06A0516B"/>
    <w:rsid w:val="06E0398C"/>
    <w:rsid w:val="06E5439E"/>
    <w:rsid w:val="06EB58B1"/>
    <w:rsid w:val="07252124"/>
    <w:rsid w:val="07A52ADE"/>
    <w:rsid w:val="07EB7653"/>
    <w:rsid w:val="080F36B8"/>
    <w:rsid w:val="08147FF9"/>
    <w:rsid w:val="081506F6"/>
    <w:rsid w:val="083D65C1"/>
    <w:rsid w:val="0863632A"/>
    <w:rsid w:val="08C46ADC"/>
    <w:rsid w:val="08D75D34"/>
    <w:rsid w:val="09000221"/>
    <w:rsid w:val="097E7AC3"/>
    <w:rsid w:val="09B11E56"/>
    <w:rsid w:val="09B60682"/>
    <w:rsid w:val="0A136187"/>
    <w:rsid w:val="0A251543"/>
    <w:rsid w:val="0A2D76F3"/>
    <w:rsid w:val="0A4B2A37"/>
    <w:rsid w:val="0A613FA4"/>
    <w:rsid w:val="0A821B52"/>
    <w:rsid w:val="0A887251"/>
    <w:rsid w:val="0A8E4BBF"/>
    <w:rsid w:val="0AA5071B"/>
    <w:rsid w:val="0AE8247C"/>
    <w:rsid w:val="0AF91E03"/>
    <w:rsid w:val="0B5F56D3"/>
    <w:rsid w:val="0B673A26"/>
    <w:rsid w:val="0B6D5F91"/>
    <w:rsid w:val="0B943584"/>
    <w:rsid w:val="0BA162E0"/>
    <w:rsid w:val="0BA766DC"/>
    <w:rsid w:val="0BB14D3B"/>
    <w:rsid w:val="0BC23691"/>
    <w:rsid w:val="0BC635C5"/>
    <w:rsid w:val="0BEA11A6"/>
    <w:rsid w:val="0C3E167A"/>
    <w:rsid w:val="0C3F5BB7"/>
    <w:rsid w:val="0C5E17B9"/>
    <w:rsid w:val="0C9F2C2C"/>
    <w:rsid w:val="0CD12600"/>
    <w:rsid w:val="0CF521B4"/>
    <w:rsid w:val="0D2110D1"/>
    <w:rsid w:val="0D817F26"/>
    <w:rsid w:val="0DE32BA7"/>
    <w:rsid w:val="0E0020DD"/>
    <w:rsid w:val="0E241828"/>
    <w:rsid w:val="0E336FD4"/>
    <w:rsid w:val="0EC823B8"/>
    <w:rsid w:val="0ED22D01"/>
    <w:rsid w:val="0EE355B1"/>
    <w:rsid w:val="0EFE7EC3"/>
    <w:rsid w:val="0F7408C1"/>
    <w:rsid w:val="0F827239"/>
    <w:rsid w:val="0F995D79"/>
    <w:rsid w:val="0F9968A7"/>
    <w:rsid w:val="0FA04CB8"/>
    <w:rsid w:val="0FCA3A6A"/>
    <w:rsid w:val="0FD2165C"/>
    <w:rsid w:val="10292C00"/>
    <w:rsid w:val="104B0478"/>
    <w:rsid w:val="109468A2"/>
    <w:rsid w:val="10F71AE0"/>
    <w:rsid w:val="10F863AD"/>
    <w:rsid w:val="112B4AEF"/>
    <w:rsid w:val="11590E22"/>
    <w:rsid w:val="11797C42"/>
    <w:rsid w:val="11AC6FFE"/>
    <w:rsid w:val="121D1E44"/>
    <w:rsid w:val="123D3151"/>
    <w:rsid w:val="125460D5"/>
    <w:rsid w:val="12975EC2"/>
    <w:rsid w:val="129C545E"/>
    <w:rsid w:val="12C41FCF"/>
    <w:rsid w:val="12E3308D"/>
    <w:rsid w:val="12FE53C0"/>
    <w:rsid w:val="134D4C41"/>
    <w:rsid w:val="13A11678"/>
    <w:rsid w:val="13A55415"/>
    <w:rsid w:val="13A860F4"/>
    <w:rsid w:val="13B443BA"/>
    <w:rsid w:val="13C7475D"/>
    <w:rsid w:val="13E14E20"/>
    <w:rsid w:val="13F26E36"/>
    <w:rsid w:val="14172F4F"/>
    <w:rsid w:val="14201348"/>
    <w:rsid w:val="14237C5F"/>
    <w:rsid w:val="147B1B90"/>
    <w:rsid w:val="149C44BF"/>
    <w:rsid w:val="14A10AFD"/>
    <w:rsid w:val="14B21D18"/>
    <w:rsid w:val="14B436BD"/>
    <w:rsid w:val="14B95E54"/>
    <w:rsid w:val="15074412"/>
    <w:rsid w:val="15140E04"/>
    <w:rsid w:val="15462BF7"/>
    <w:rsid w:val="157D2500"/>
    <w:rsid w:val="15987023"/>
    <w:rsid w:val="15DF2871"/>
    <w:rsid w:val="160A6091"/>
    <w:rsid w:val="162714B9"/>
    <w:rsid w:val="16392BB7"/>
    <w:rsid w:val="16426A34"/>
    <w:rsid w:val="166531D2"/>
    <w:rsid w:val="167C4FCD"/>
    <w:rsid w:val="169F77B7"/>
    <w:rsid w:val="16AC0FE9"/>
    <w:rsid w:val="16C704C1"/>
    <w:rsid w:val="16D01FC5"/>
    <w:rsid w:val="16D56EC7"/>
    <w:rsid w:val="17013C5E"/>
    <w:rsid w:val="17171557"/>
    <w:rsid w:val="17207916"/>
    <w:rsid w:val="173C0FBE"/>
    <w:rsid w:val="17462095"/>
    <w:rsid w:val="174D17C6"/>
    <w:rsid w:val="17A87CF6"/>
    <w:rsid w:val="17C63785"/>
    <w:rsid w:val="18075A07"/>
    <w:rsid w:val="1809752B"/>
    <w:rsid w:val="18114F58"/>
    <w:rsid w:val="18253800"/>
    <w:rsid w:val="186C7681"/>
    <w:rsid w:val="18703EB9"/>
    <w:rsid w:val="18C202B4"/>
    <w:rsid w:val="18C839A0"/>
    <w:rsid w:val="18D76003"/>
    <w:rsid w:val="193A302C"/>
    <w:rsid w:val="19914308"/>
    <w:rsid w:val="19C4060A"/>
    <w:rsid w:val="19EE216E"/>
    <w:rsid w:val="1A075887"/>
    <w:rsid w:val="1A282A73"/>
    <w:rsid w:val="1A2C5585"/>
    <w:rsid w:val="1A3B7FA8"/>
    <w:rsid w:val="1A79678C"/>
    <w:rsid w:val="1A8064B7"/>
    <w:rsid w:val="1A832C70"/>
    <w:rsid w:val="1A961CB9"/>
    <w:rsid w:val="1AAD10A9"/>
    <w:rsid w:val="1AD41EBE"/>
    <w:rsid w:val="1B287251"/>
    <w:rsid w:val="1B7355D3"/>
    <w:rsid w:val="1BA03399"/>
    <w:rsid w:val="1BC021BE"/>
    <w:rsid w:val="1C5178F7"/>
    <w:rsid w:val="1C5C1E03"/>
    <w:rsid w:val="1C737230"/>
    <w:rsid w:val="1C99267F"/>
    <w:rsid w:val="1CDC5AB0"/>
    <w:rsid w:val="1CFB19FF"/>
    <w:rsid w:val="1D1179E4"/>
    <w:rsid w:val="1D300C7D"/>
    <w:rsid w:val="1DB2643E"/>
    <w:rsid w:val="1DD01BF6"/>
    <w:rsid w:val="1DEA4D95"/>
    <w:rsid w:val="1E194298"/>
    <w:rsid w:val="1E2B1699"/>
    <w:rsid w:val="1E333E88"/>
    <w:rsid w:val="1E3D6D25"/>
    <w:rsid w:val="1E701F5C"/>
    <w:rsid w:val="1E814BE0"/>
    <w:rsid w:val="1E8425B6"/>
    <w:rsid w:val="1E9811D0"/>
    <w:rsid w:val="1EB5185B"/>
    <w:rsid w:val="1ECB3E5D"/>
    <w:rsid w:val="1ED7600C"/>
    <w:rsid w:val="1EF33CC8"/>
    <w:rsid w:val="1F0F5C89"/>
    <w:rsid w:val="1F3C3BFD"/>
    <w:rsid w:val="1F604DC2"/>
    <w:rsid w:val="1F7604F4"/>
    <w:rsid w:val="1FA00D66"/>
    <w:rsid w:val="200C4881"/>
    <w:rsid w:val="206826E3"/>
    <w:rsid w:val="206E478F"/>
    <w:rsid w:val="208D0729"/>
    <w:rsid w:val="208F03B0"/>
    <w:rsid w:val="20943022"/>
    <w:rsid w:val="20BA17FA"/>
    <w:rsid w:val="20C045AC"/>
    <w:rsid w:val="2104192E"/>
    <w:rsid w:val="21103286"/>
    <w:rsid w:val="21331AEE"/>
    <w:rsid w:val="21380A48"/>
    <w:rsid w:val="21434EDB"/>
    <w:rsid w:val="214A44A8"/>
    <w:rsid w:val="21781177"/>
    <w:rsid w:val="21FF5FB4"/>
    <w:rsid w:val="222535A8"/>
    <w:rsid w:val="22A2024B"/>
    <w:rsid w:val="22A42520"/>
    <w:rsid w:val="22BE5497"/>
    <w:rsid w:val="22C0006C"/>
    <w:rsid w:val="231E77CA"/>
    <w:rsid w:val="23246F67"/>
    <w:rsid w:val="234C38D6"/>
    <w:rsid w:val="234D6367"/>
    <w:rsid w:val="2382220B"/>
    <w:rsid w:val="23B4531E"/>
    <w:rsid w:val="23FE795E"/>
    <w:rsid w:val="241D7484"/>
    <w:rsid w:val="243A6FFC"/>
    <w:rsid w:val="24CB028B"/>
    <w:rsid w:val="24DE5462"/>
    <w:rsid w:val="253A773A"/>
    <w:rsid w:val="254268D2"/>
    <w:rsid w:val="254D4E3B"/>
    <w:rsid w:val="25830C89"/>
    <w:rsid w:val="25925F3D"/>
    <w:rsid w:val="25A36C3A"/>
    <w:rsid w:val="25AE492E"/>
    <w:rsid w:val="25C2563A"/>
    <w:rsid w:val="25DE50D3"/>
    <w:rsid w:val="25E57984"/>
    <w:rsid w:val="264C077C"/>
    <w:rsid w:val="268F4C66"/>
    <w:rsid w:val="268F77F5"/>
    <w:rsid w:val="26934677"/>
    <w:rsid w:val="273D6320"/>
    <w:rsid w:val="274B539B"/>
    <w:rsid w:val="277327DA"/>
    <w:rsid w:val="277C1ABD"/>
    <w:rsid w:val="27A8581B"/>
    <w:rsid w:val="27AD0247"/>
    <w:rsid w:val="27B65BE3"/>
    <w:rsid w:val="28040C42"/>
    <w:rsid w:val="2859375C"/>
    <w:rsid w:val="289C6C12"/>
    <w:rsid w:val="28CF68A6"/>
    <w:rsid w:val="28DA50C0"/>
    <w:rsid w:val="28F2135F"/>
    <w:rsid w:val="291122AA"/>
    <w:rsid w:val="29325D7D"/>
    <w:rsid w:val="29427B46"/>
    <w:rsid w:val="294571B9"/>
    <w:rsid w:val="29641B32"/>
    <w:rsid w:val="29687FF7"/>
    <w:rsid w:val="29A14F6D"/>
    <w:rsid w:val="29B05DC0"/>
    <w:rsid w:val="29B2414D"/>
    <w:rsid w:val="29DB79B4"/>
    <w:rsid w:val="29F50DB9"/>
    <w:rsid w:val="2AAD6D63"/>
    <w:rsid w:val="2ACF6763"/>
    <w:rsid w:val="2AF54394"/>
    <w:rsid w:val="2B183050"/>
    <w:rsid w:val="2B1F770C"/>
    <w:rsid w:val="2B4029D3"/>
    <w:rsid w:val="2B41057E"/>
    <w:rsid w:val="2B7D4FD5"/>
    <w:rsid w:val="2B992173"/>
    <w:rsid w:val="2BA14C47"/>
    <w:rsid w:val="2BAC3AD3"/>
    <w:rsid w:val="2BB71CB6"/>
    <w:rsid w:val="2BDF21EC"/>
    <w:rsid w:val="2C294F7E"/>
    <w:rsid w:val="2C2B0122"/>
    <w:rsid w:val="2C334120"/>
    <w:rsid w:val="2C7A3CC3"/>
    <w:rsid w:val="2CAA48B6"/>
    <w:rsid w:val="2CB904B4"/>
    <w:rsid w:val="2CF27831"/>
    <w:rsid w:val="2CF972B8"/>
    <w:rsid w:val="2D3C4E47"/>
    <w:rsid w:val="2D484CC7"/>
    <w:rsid w:val="2D5F069D"/>
    <w:rsid w:val="2D675FF9"/>
    <w:rsid w:val="2D715CB9"/>
    <w:rsid w:val="2DFB239F"/>
    <w:rsid w:val="2E19019F"/>
    <w:rsid w:val="2E2533B4"/>
    <w:rsid w:val="2E352C39"/>
    <w:rsid w:val="2E6D65FE"/>
    <w:rsid w:val="2E8F64C3"/>
    <w:rsid w:val="2E921785"/>
    <w:rsid w:val="2ECD6A72"/>
    <w:rsid w:val="2EF57510"/>
    <w:rsid w:val="2F0B52E7"/>
    <w:rsid w:val="2F3341F2"/>
    <w:rsid w:val="2F357FC4"/>
    <w:rsid w:val="2F3D2CB6"/>
    <w:rsid w:val="2F4D56BE"/>
    <w:rsid w:val="2F6E32C4"/>
    <w:rsid w:val="2F8174EE"/>
    <w:rsid w:val="2F9507A1"/>
    <w:rsid w:val="2FA94288"/>
    <w:rsid w:val="2FBF7A81"/>
    <w:rsid w:val="2FC2764D"/>
    <w:rsid w:val="2FC329B1"/>
    <w:rsid w:val="2FD43F33"/>
    <w:rsid w:val="2FEF47B4"/>
    <w:rsid w:val="30064402"/>
    <w:rsid w:val="300C557A"/>
    <w:rsid w:val="30267856"/>
    <w:rsid w:val="3031475A"/>
    <w:rsid w:val="30612C6E"/>
    <w:rsid w:val="30655562"/>
    <w:rsid w:val="309057EE"/>
    <w:rsid w:val="30956CBB"/>
    <w:rsid w:val="30BF2F99"/>
    <w:rsid w:val="310405F2"/>
    <w:rsid w:val="31045716"/>
    <w:rsid w:val="312F7D0F"/>
    <w:rsid w:val="31554BAF"/>
    <w:rsid w:val="3163322A"/>
    <w:rsid w:val="31ED3E5D"/>
    <w:rsid w:val="31F70944"/>
    <w:rsid w:val="322707A5"/>
    <w:rsid w:val="325821AA"/>
    <w:rsid w:val="327C4C95"/>
    <w:rsid w:val="32846E67"/>
    <w:rsid w:val="32FC6528"/>
    <w:rsid w:val="33220CEE"/>
    <w:rsid w:val="332C67C7"/>
    <w:rsid w:val="33955886"/>
    <w:rsid w:val="33A246AE"/>
    <w:rsid w:val="33BA709B"/>
    <w:rsid w:val="33D27210"/>
    <w:rsid w:val="33D434AE"/>
    <w:rsid w:val="33ED7CFA"/>
    <w:rsid w:val="34110124"/>
    <w:rsid w:val="342766C3"/>
    <w:rsid w:val="34296C14"/>
    <w:rsid w:val="34A65ECA"/>
    <w:rsid w:val="34C37A55"/>
    <w:rsid w:val="34D631A4"/>
    <w:rsid w:val="34E73DDC"/>
    <w:rsid w:val="34FF2796"/>
    <w:rsid w:val="352B5B2D"/>
    <w:rsid w:val="354A3D2E"/>
    <w:rsid w:val="355A4229"/>
    <w:rsid w:val="35783E0F"/>
    <w:rsid w:val="359F37C3"/>
    <w:rsid w:val="35A940DE"/>
    <w:rsid w:val="35B33634"/>
    <w:rsid w:val="36306479"/>
    <w:rsid w:val="364B6B64"/>
    <w:rsid w:val="36697488"/>
    <w:rsid w:val="36E0506A"/>
    <w:rsid w:val="36FB00F6"/>
    <w:rsid w:val="370146DA"/>
    <w:rsid w:val="37315EBE"/>
    <w:rsid w:val="37622F03"/>
    <w:rsid w:val="3769770F"/>
    <w:rsid w:val="377E17AE"/>
    <w:rsid w:val="37C624B2"/>
    <w:rsid w:val="37D576C4"/>
    <w:rsid w:val="380B7EA3"/>
    <w:rsid w:val="38156829"/>
    <w:rsid w:val="381D39B4"/>
    <w:rsid w:val="383616C8"/>
    <w:rsid w:val="38401B10"/>
    <w:rsid w:val="38510CC5"/>
    <w:rsid w:val="38703F75"/>
    <w:rsid w:val="38771E31"/>
    <w:rsid w:val="38803F03"/>
    <w:rsid w:val="389A3789"/>
    <w:rsid w:val="38CB2931"/>
    <w:rsid w:val="38CC3AF8"/>
    <w:rsid w:val="38F87303"/>
    <w:rsid w:val="38FC614B"/>
    <w:rsid w:val="390C4A3A"/>
    <w:rsid w:val="392F5000"/>
    <w:rsid w:val="394B4DF2"/>
    <w:rsid w:val="39674563"/>
    <w:rsid w:val="39880D99"/>
    <w:rsid w:val="39A00712"/>
    <w:rsid w:val="39C55C29"/>
    <w:rsid w:val="3A217919"/>
    <w:rsid w:val="3A2A2305"/>
    <w:rsid w:val="3A331A08"/>
    <w:rsid w:val="3A4A092B"/>
    <w:rsid w:val="3A4B3262"/>
    <w:rsid w:val="3A4E1D0E"/>
    <w:rsid w:val="3A627A97"/>
    <w:rsid w:val="3AA2375D"/>
    <w:rsid w:val="3AA37F42"/>
    <w:rsid w:val="3AC21210"/>
    <w:rsid w:val="3ACC73B7"/>
    <w:rsid w:val="3B3A2CB7"/>
    <w:rsid w:val="3B3F2CA7"/>
    <w:rsid w:val="3B7B277E"/>
    <w:rsid w:val="3B871330"/>
    <w:rsid w:val="3BBB558B"/>
    <w:rsid w:val="3BC80B39"/>
    <w:rsid w:val="3C7C2D5B"/>
    <w:rsid w:val="3CA51396"/>
    <w:rsid w:val="3CF03B2D"/>
    <w:rsid w:val="3D066899"/>
    <w:rsid w:val="3DA1374C"/>
    <w:rsid w:val="3DC878BD"/>
    <w:rsid w:val="3DD20E23"/>
    <w:rsid w:val="3E2C7997"/>
    <w:rsid w:val="3E45504C"/>
    <w:rsid w:val="3E61043C"/>
    <w:rsid w:val="3E694D43"/>
    <w:rsid w:val="3EB963A5"/>
    <w:rsid w:val="3ECA46D1"/>
    <w:rsid w:val="3F016D70"/>
    <w:rsid w:val="3F1F4A85"/>
    <w:rsid w:val="3F2B0CDF"/>
    <w:rsid w:val="3F3A501A"/>
    <w:rsid w:val="3F6539A3"/>
    <w:rsid w:val="3F780536"/>
    <w:rsid w:val="3FC6325B"/>
    <w:rsid w:val="3FE575B3"/>
    <w:rsid w:val="4003500E"/>
    <w:rsid w:val="40247426"/>
    <w:rsid w:val="40384A7B"/>
    <w:rsid w:val="4054738B"/>
    <w:rsid w:val="406827B9"/>
    <w:rsid w:val="4082168B"/>
    <w:rsid w:val="40F17640"/>
    <w:rsid w:val="40F57964"/>
    <w:rsid w:val="4118432E"/>
    <w:rsid w:val="411952E3"/>
    <w:rsid w:val="4125226D"/>
    <w:rsid w:val="41290D30"/>
    <w:rsid w:val="415C7EC8"/>
    <w:rsid w:val="415E35BD"/>
    <w:rsid w:val="417F3345"/>
    <w:rsid w:val="418F600A"/>
    <w:rsid w:val="419754E8"/>
    <w:rsid w:val="419C26DE"/>
    <w:rsid w:val="41A00CE9"/>
    <w:rsid w:val="41D81893"/>
    <w:rsid w:val="41EC6FC4"/>
    <w:rsid w:val="420C49CA"/>
    <w:rsid w:val="42222905"/>
    <w:rsid w:val="42450CF1"/>
    <w:rsid w:val="428E139A"/>
    <w:rsid w:val="42C87CCF"/>
    <w:rsid w:val="42CB3072"/>
    <w:rsid w:val="42CB65B7"/>
    <w:rsid w:val="42E33C29"/>
    <w:rsid w:val="42F07DA6"/>
    <w:rsid w:val="42F53119"/>
    <w:rsid w:val="42FF09A2"/>
    <w:rsid w:val="430D56E1"/>
    <w:rsid w:val="437C2D76"/>
    <w:rsid w:val="439B5259"/>
    <w:rsid w:val="43B36F6B"/>
    <w:rsid w:val="43BC0983"/>
    <w:rsid w:val="441B3AC8"/>
    <w:rsid w:val="441B3E9F"/>
    <w:rsid w:val="44296A03"/>
    <w:rsid w:val="444462EB"/>
    <w:rsid w:val="44814344"/>
    <w:rsid w:val="44A517E9"/>
    <w:rsid w:val="44DA759D"/>
    <w:rsid w:val="44F10233"/>
    <w:rsid w:val="44F61E0C"/>
    <w:rsid w:val="44FA3F82"/>
    <w:rsid w:val="451E3FAA"/>
    <w:rsid w:val="452334C7"/>
    <w:rsid w:val="456F5EC4"/>
    <w:rsid w:val="45777E59"/>
    <w:rsid w:val="457849BD"/>
    <w:rsid w:val="458A0FC3"/>
    <w:rsid w:val="458F46CB"/>
    <w:rsid w:val="45C9326C"/>
    <w:rsid w:val="45DC1C00"/>
    <w:rsid w:val="45E458B8"/>
    <w:rsid w:val="460A6A09"/>
    <w:rsid w:val="465B1A75"/>
    <w:rsid w:val="466133AD"/>
    <w:rsid w:val="46E55753"/>
    <w:rsid w:val="46E83D20"/>
    <w:rsid w:val="46F6606A"/>
    <w:rsid w:val="470D0570"/>
    <w:rsid w:val="47173738"/>
    <w:rsid w:val="471D14BA"/>
    <w:rsid w:val="471E3D23"/>
    <w:rsid w:val="47B73822"/>
    <w:rsid w:val="47CD4D16"/>
    <w:rsid w:val="47F043DD"/>
    <w:rsid w:val="485E04E5"/>
    <w:rsid w:val="487600BD"/>
    <w:rsid w:val="4893018E"/>
    <w:rsid w:val="48B44E62"/>
    <w:rsid w:val="48BA22AD"/>
    <w:rsid w:val="490E6CFE"/>
    <w:rsid w:val="49164744"/>
    <w:rsid w:val="4923344E"/>
    <w:rsid w:val="492F067B"/>
    <w:rsid w:val="49652E3E"/>
    <w:rsid w:val="497017A3"/>
    <w:rsid w:val="49780F96"/>
    <w:rsid w:val="49B31E56"/>
    <w:rsid w:val="49E30116"/>
    <w:rsid w:val="4A216B47"/>
    <w:rsid w:val="4A735973"/>
    <w:rsid w:val="4AA40F60"/>
    <w:rsid w:val="4B230539"/>
    <w:rsid w:val="4B460AE7"/>
    <w:rsid w:val="4B9C0A98"/>
    <w:rsid w:val="4BA72F9D"/>
    <w:rsid w:val="4BAD74F9"/>
    <w:rsid w:val="4BC23195"/>
    <w:rsid w:val="4BC80D37"/>
    <w:rsid w:val="4BE50DF7"/>
    <w:rsid w:val="4BE530C7"/>
    <w:rsid w:val="4C2C74AF"/>
    <w:rsid w:val="4C651E78"/>
    <w:rsid w:val="4C6850EC"/>
    <w:rsid w:val="4C7379C1"/>
    <w:rsid w:val="4C9D7F05"/>
    <w:rsid w:val="4CAA1C19"/>
    <w:rsid w:val="4CAF55D3"/>
    <w:rsid w:val="4CB66A54"/>
    <w:rsid w:val="4CBD4AE5"/>
    <w:rsid w:val="4D4664F3"/>
    <w:rsid w:val="4D663C4E"/>
    <w:rsid w:val="4DBE1A1B"/>
    <w:rsid w:val="4DD11D7A"/>
    <w:rsid w:val="4DEE4A39"/>
    <w:rsid w:val="4E094161"/>
    <w:rsid w:val="4E5440AE"/>
    <w:rsid w:val="4E79012D"/>
    <w:rsid w:val="4ECE71C0"/>
    <w:rsid w:val="4ED7337C"/>
    <w:rsid w:val="4F0B290B"/>
    <w:rsid w:val="4F6700F2"/>
    <w:rsid w:val="4FB21A9B"/>
    <w:rsid w:val="4FC06238"/>
    <w:rsid w:val="4FC9340D"/>
    <w:rsid w:val="4FD86DCF"/>
    <w:rsid w:val="4FE11136"/>
    <w:rsid w:val="4FE340AE"/>
    <w:rsid w:val="501A7B2B"/>
    <w:rsid w:val="502C515D"/>
    <w:rsid w:val="503B4195"/>
    <w:rsid w:val="50534099"/>
    <w:rsid w:val="506609A1"/>
    <w:rsid w:val="50810A2B"/>
    <w:rsid w:val="50AC1E5D"/>
    <w:rsid w:val="50BF6BA4"/>
    <w:rsid w:val="50E6147C"/>
    <w:rsid w:val="51056772"/>
    <w:rsid w:val="51082A39"/>
    <w:rsid w:val="5156161E"/>
    <w:rsid w:val="51714609"/>
    <w:rsid w:val="5180210D"/>
    <w:rsid w:val="51AB3125"/>
    <w:rsid w:val="51B64C72"/>
    <w:rsid w:val="52162D53"/>
    <w:rsid w:val="52431D60"/>
    <w:rsid w:val="52A44E02"/>
    <w:rsid w:val="52B4385B"/>
    <w:rsid w:val="52CB5F77"/>
    <w:rsid w:val="52EA5C89"/>
    <w:rsid w:val="52F105F2"/>
    <w:rsid w:val="532A5D9E"/>
    <w:rsid w:val="53604C2D"/>
    <w:rsid w:val="53690E1E"/>
    <w:rsid w:val="536D19A8"/>
    <w:rsid w:val="537F5564"/>
    <w:rsid w:val="53CD0DF1"/>
    <w:rsid w:val="54134879"/>
    <w:rsid w:val="545555BC"/>
    <w:rsid w:val="545A0B3C"/>
    <w:rsid w:val="54970228"/>
    <w:rsid w:val="54BD719C"/>
    <w:rsid w:val="54FE2E33"/>
    <w:rsid w:val="552A0324"/>
    <w:rsid w:val="552A5644"/>
    <w:rsid w:val="552B713D"/>
    <w:rsid w:val="553314DE"/>
    <w:rsid w:val="559612BE"/>
    <w:rsid w:val="55AE3E55"/>
    <w:rsid w:val="562B4A40"/>
    <w:rsid w:val="5656174A"/>
    <w:rsid w:val="56982791"/>
    <w:rsid w:val="569F4BDB"/>
    <w:rsid w:val="5743439F"/>
    <w:rsid w:val="57531672"/>
    <w:rsid w:val="575C5B37"/>
    <w:rsid w:val="57647E28"/>
    <w:rsid w:val="577F2AA1"/>
    <w:rsid w:val="578E0EE5"/>
    <w:rsid w:val="57A75A04"/>
    <w:rsid w:val="57B44841"/>
    <w:rsid w:val="57E8101B"/>
    <w:rsid w:val="58117322"/>
    <w:rsid w:val="5819350C"/>
    <w:rsid w:val="585E184A"/>
    <w:rsid w:val="587020E4"/>
    <w:rsid w:val="5880260C"/>
    <w:rsid w:val="589D5573"/>
    <w:rsid w:val="58BC1F54"/>
    <w:rsid w:val="58C3123D"/>
    <w:rsid w:val="58C448E4"/>
    <w:rsid w:val="59047EE0"/>
    <w:rsid w:val="590576DC"/>
    <w:rsid w:val="590D41FF"/>
    <w:rsid w:val="59177B7A"/>
    <w:rsid w:val="59904D1D"/>
    <w:rsid w:val="59AB0E97"/>
    <w:rsid w:val="59AB6BA5"/>
    <w:rsid w:val="59C5394B"/>
    <w:rsid w:val="59F33DBC"/>
    <w:rsid w:val="59FF132F"/>
    <w:rsid w:val="5A0058B7"/>
    <w:rsid w:val="5A2B0AC7"/>
    <w:rsid w:val="5A6D4AD5"/>
    <w:rsid w:val="5AA5177E"/>
    <w:rsid w:val="5B0F6D3E"/>
    <w:rsid w:val="5B133E22"/>
    <w:rsid w:val="5B133FD7"/>
    <w:rsid w:val="5B223F3D"/>
    <w:rsid w:val="5B54200D"/>
    <w:rsid w:val="5B9F2496"/>
    <w:rsid w:val="5BE9580E"/>
    <w:rsid w:val="5C0E3AB7"/>
    <w:rsid w:val="5C186ED1"/>
    <w:rsid w:val="5C1A2E1D"/>
    <w:rsid w:val="5C2A29F5"/>
    <w:rsid w:val="5C6F7777"/>
    <w:rsid w:val="5C9F73C2"/>
    <w:rsid w:val="5CA0595A"/>
    <w:rsid w:val="5CA77128"/>
    <w:rsid w:val="5CAE3F35"/>
    <w:rsid w:val="5CAF0AD9"/>
    <w:rsid w:val="5CBA2B74"/>
    <w:rsid w:val="5CDD4EE8"/>
    <w:rsid w:val="5CEA3032"/>
    <w:rsid w:val="5D015A24"/>
    <w:rsid w:val="5D0E70DE"/>
    <w:rsid w:val="5D3C742B"/>
    <w:rsid w:val="5D5F6439"/>
    <w:rsid w:val="5D7664A2"/>
    <w:rsid w:val="5D7F2AAE"/>
    <w:rsid w:val="5D866E36"/>
    <w:rsid w:val="5DDB32CA"/>
    <w:rsid w:val="5DE76E43"/>
    <w:rsid w:val="5DEE5685"/>
    <w:rsid w:val="5DF43FF9"/>
    <w:rsid w:val="5E3F5AA9"/>
    <w:rsid w:val="5E8A0A27"/>
    <w:rsid w:val="5EDA66BF"/>
    <w:rsid w:val="5EE23683"/>
    <w:rsid w:val="5F007FE9"/>
    <w:rsid w:val="5F2E4693"/>
    <w:rsid w:val="5F3B790E"/>
    <w:rsid w:val="5F5165BF"/>
    <w:rsid w:val="5F5544E9"/>
    <w:rsid w:val="5F9B6878"/>
    <w:rsid w:val="5FD17AC2"/>
    <w:rsid w:val="5FF31531"/>
    <w:rsid w:val="5FF7485C"/>
    <w:rsid w:val="5FFC19E9"/>
    <w:rsid w:val="600E5F6A"/>
    <w:rsid w:val="602D75C5"/>
    <w:rsid w:val="608A6848"/>
    <w:rsid w:val="609A1C45"/>
    <w:rsid w:val="60AF6879"/>
    <w:rsid w:val="60B40A33"/>
    <w:rsid w:val="61101CCB"/>
    <w:rsid w:val="615709F5"/>
    <w:rsid w:val="61806608"/>
    <w:rsid w:val="61C96A7B"/>
    <w:rsid w:val="61DC00F0"/>
    <w:rsid w:val="61ED3C40"/>
    <w:rsid w:val="62097B17"/>
    <w:rsid w:val="620C7BF2"/>
    <w:rsid w:val="623A646C"/>
    <w:rsid w:val="628A1755"/>
    <w:rsid w:val="62905443"/>
    <w:rsid w:val="629A29B4"/>
    <w:rsid w:val="62C57F8B"/>
    <w:rsid w:val="62D058DB"/>
    <w:rsid w:val="62D360A9"/>
    <w:rsid w:val="62D83358"/>
    <w:rsid w:val="62E606CC"/>
    <w:rsid w:val="631D18BC"/>
    <w:rsid w:val="63390619"/>
    <w:rsid w:val="63AB23D8"/>
    <w:rsid w:val="63D8386C"/>
    <w:rsid w:val="63E9713C"/>
    <w:rsid w:val="64056E42"/>
    <w:rsid w:val="641F161E"/>
    <w:rsid w:val="64397EB9"/>
    <w:rsid w:val="64667A1D"/>
    <w:rsid w:val="647633D1"/>
    <w:rsid w:val="649900F6"/>
    <w:rsid w:val="64AD1FBD"/>
    <w:rsid w:val="64BE1A92"/>
    <w:rsid w:val="64D92F75"/>
    <w:rsid w:val="64E02555"/>
    <w:rsid w:val="64F657DB"/>
    <w:rsid w:val="650E5959"/>
    <w:rsid w:val="651E5075"/>
    <w:rsid w:val="65247BAC"/>
    <w:rsid w:val="65285EB9"/>
    <w:rsid w:val="65992ACE"/>
    <w:rsid w:val="65CF421A"/>
    <w:rsid w:val="669E6224"/>
    <w:rsid w:val="66A37F78"/>
    <w:rsid w:val="66E04C4E"/>
    <w:rsid w:val="675661AE"/>
    <w:rsid w:val="67FA63ED"/>
    <w:rsid w:val="683E062D"/>
    <w:rsid w:val="685655A6"/>
    <w:rsid w:val="68581BAD"/>
    <w:rsid w:val="686965E4"/>
    <w:rsid w:val="68810433"/>
    <w:rsid w:val="68866B0F"/>
    <w:rsid w:val="688D0659"/>
    <w:rsid w:val="688D7E0D"/>
    <w:rsid w:val="689202CC"/>
    <w:rsid w:val="68DB3760"/>
    <w:rsid w:val="68E63A01"/>
    <w:rsid w:val="68EF049E"/>
    <w:rsid w:val="692E6E3C"/>
    <w:rsid w:val="69427AF8"/>
    <w:rsid w:val="699867A0"/>
    <w:rsid w:val="69FE3518"/>
    <w:rsid w:val="6A0543C1"/>
    <w:rsid w:val="6A284048"/>
    <w:rsid w:val="6A414821"/>
    <w:rsid w:val="6A481A73"/>
    <w:rsid w:val="6A665904"/>
    <w:rsid w:val="6AAE31DE"/>
    <w:rsid w:val="6AEE4B93"/>
    <w:rsid w:val="6B1001A3"/>
    <w:rsid w:val="6B326078"/>
    <w:rsid w:val="6B3B559F"/>
    <w:rsid w:val="6B3E7FD6"/>
    <w:rsid w:val="6B586CAF"/>
    <w:rsid w:val="6B597167"/>
    <w:rsid w:val="6B7B2FD8"/>
    <w:rsid w:val="6B9D6AAA"/>
    <w:rsid w:val="6BD74EC9"/>
    <w:rsid w:val="6C655226"/>
    <w:rsid w:val="6C755A73"/>
    <w:rsid w:val="6C847C6A"/>
    <w:rsid w:val="6CB86BD0"/>
    <w:rsid w:val="6CBD5694"/>
    <w:rsid w:val="6CCE7534"/>
    <w:rsid w:val="6D177A6A"/>
    <w:rsid w:val="6D197BC5"/>
    <w:rsid w:val="6D2C6024"/>
    <w:rsid w:val="6D535B84"/>
    <w:rsid w:val="6D6264DA"/>
    <w:rsid w:val="6D840DA7"/>
    <w:rsid w:val="6DBE2A89"/>
    <w:rsid w:val="6DC82033"/>
    <w:rsid w:val="6DD46C7A"/>
    <w:rsid w:val="6DDF1625"/>
    <w:rsid w:val="6DE31096"/>
    <w:rsid w:val="6DED0D1E"/>
    <w:rsid w:val="6E036A38"/>
    <w:rsid w:val="6E113CCF"/>
    <w:rsid w:val="6E121C95"/>
    <w:rsid w:val="6E160D96"/>
    <w:rsid w:val="6E1D2506"/>
    <w:rsid w:val="6E260E83"/>
    <w:rsid w:val="6E345B1F"/>
    <w:rsid w:val="6E6C09B6"/>
    <w:rsid w:val="6EAB5982"/>
    <w:rsid w:val="6EF379C8"/>
    <w:rsid w:val="6F40253B"/>
    <w:rsid w:val="6F416BF8"/>
    <w:rsid w:val="6F457A72"/>
    <w:rsid w:val="6F831F50"/>
    <w:rsid w:val="6F915F14"/>
    <w:rsid w:val="6F941DD7"/>
    <w:rsid w:val="6F963B26"/>
    <w:rsid w:val="70071D76"/>
    <w:rsid w:val="702754DC"/>
    <w:rsid w:val="70336AEB"/>
    <w:rsid w:val="70562C94"/>
    <w:rsid w:val="70686334"/>
    <w:rsid w:val="706B0386"/>
    <w:rsid w:val="70825E08"/>
    <w:rsid w:val="709541F4"/>
    <w:rsid w:val="70CB097C"/>
    <w:rsid w:val="70D31C0C"/>
    <w:rsid w:val="70F73985"/>
    <w:rsid w:val="71044528"/>
    <w:rsid w:val="71D35BBA"/>
    <w:rsid w:val="724C4F1A"/>
    <w:rsid w:val="72A7312D"/>
    <w:rsid w:val="72C32DEC"/>
    <w:rsid w:val="7309711B"/>
    <w:rsid w:val="733758C8"/>
    <w:rsid w:val="73526845"/>
    <w:rsid w:val="73695804"/>
    <w:rsid w:val="737133D2"/>
    <w:rsid w:val="73AA4CD1"/>
    <w:rsid w:val="73DF2B50"/>
    <w:rsid w:val="73EA2F44"/>
    <w:rsid w:val="73EF6FCB"/>
    <w:rsid w:val="73F8082D"/>
    <w:rsid w:val="746D6EA6"/>
    <w:rsid w:val="74901273"/>
    <w:rsid w:val="74A120DC"/>
    <w:rsid w:val="74CE7988"/>
    <w:rsid w:val="7519412F"/>
    <w:rsid w:val="75245A20"/>
    <w:rsid w:val="75264D66"/>
    <w:rsid w:val="752F002D"/>
    <w:rsid w:val="756578D8"/>
    <w:rsid w:val="75B571A3"/>
    <w:rsid w:val="75E33518"/>
    <w:rsid w:val="75F31736"/>
    <w:rsid w:val="760D4907"/>
    <w:rsid w:val="76171B4F"/>
    <w:rsid w:val="76465F91"/>
    <w:rsid w:val="767508E2"/>
    <w:rsid w:val="7678399B"/>
    <w:rsid w:val="767D395F"/>
    <w:rsid w:val="76AF2584"/>
    <w:rsid w:val="76FC183B"/>
    <w:rsid w:val="771F4ADD"/>
    <w:rsid w:val="772E7150"/>
    <w:rsid w:val="774714D4"/>
    <w:rsid w:val="774B2CA1"/>
    <w:rsid w:val="777637DB"/>
    <w:rsid w:val="777A32E1"/>
    <w:rsid w:val="778A5C5E"/>
    <w:rsid w:val="77B55997"/>
    <w:rsid w:val="77CC6F80"/>
    <w:rsid w:val="77D9214F"/>
    <w:rsid w:val="78081F57"/>
    <w:rsid w:val="781147F5"/>
    <w:rsid w:val="78202BD2"/>
    <w:rsid w:val="78244B98"/>
    <w:rsid w:val="78473CF3"/>
    <w:rsid w:val="784B0ED7"/>
    <w:rsid w:val="78566524"/>
    <w:rsid w:val="785A4958"/>
    <w:rsid w:val="78A810E3"/>
    <w:rsid w:val="78B137A9"/>
    <w:rsid w:val="78B816AD"/>
    <w:rsid w:val="7A645F2D"/>
    <w:rsid w:val="7A776F80"/>
    <w:rsid w:val="7A7831A2"/>
    <w:rsid w:val="7A880D40"/>
    <w:rsid w:val="7AA16DD5"/>
    <w:rsid w:val="7AAF3E21"/>
    <w:rsid w:val="7AD1790C"/>
    <w:rsid w:val="7B1A15C8"/>
    <w:rsid w:val="7B3F5294"/>
    <w:rsid w:val="7B694B69"/>
    <w:rsid w:val="7B803CF3"/>
    <w:rsid w:val="7B9F14B1"/>
    <w:rsid w:val="7BBD27C5"/>
    <w:rsid w:val="7BDD3112"/>
    <w:rsid w:val="7BEC586E"/>
    <w:rsid w:val="7C2C7801"/>
    <w:rsid w:val="7C38782F"/>
    <w:rsid w:val="7CB768FB"/>
    <w:rsid w:val="7CD5482B"/>
    <w:rsid w:val="7CFC1380"/>
    <w:rsid w:val="7CFE093F"/>
    <w:rsid w:val="7D1F3C7C"/>
    <w:rsid w:val="7D6525D2"/>
    <w:rsid w:val="7D672CA3"/>
    <w:rsid w:val="7D732219"/>
    <w:rsid w:val="7D73351F"/>
    <w:rsid w:val="7D843D8E"/>
    <w:rsid w:val="7D8865BE"/>
    <w:rsid w:val="7D966001"/>
    <w:rsid w:val="7D9A3472"/>
    <w:rsid w:val="7DFB0936"/>
    <w:rsid w:val="7E1E3B76"/>
    <w:rsid w:val="7E2625E2"/>
    <w:rsid w:val="7E3B705D"/>
    <w:rsid w:val="7E960C89"/>
    <w:rsid w:val="7EEC10D5"/>
    <w:rsid w:val="7EFE143D"/>
    <w:rsid w:val="7F28157E"/>
    <w:rsid w:val="7F8A5DC0"/>
    <w:rsid w:val="7F8D0F80"/>
    <w:rsid w:val="7FC83C85"/>
    <w:rsid w:val="7FF90109"/>
    <w:rsid w:val="C8E429E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0"/>
    <w:qFormat/>
    <w:uiPriority w:val="0"/>
    <w:pPr>
      <w:keepNext/>
      <w:keepLines/>
      <w:spacing w:before="340" w:after="330" w:line="576" w:lineRule="auto"/>
      <w:outlineLvl w:val="0"/>
    </w:pPr>
    <w:rPr>
      <w:b/>
      <w:bCs/>
      <w:kern w:val="44"/>
      <w:sz w:val="44"/>
      <w:szCs w:val="44"/>
    </w:rPr>
  </w:style>
  <w:style w:type="paragraph" w:styleId="3">
    <w:name w:val="heading 2"/>
    <w:basedOn w:val="1"/>
    <w:next w:val="1"/>
    <w:qFormat/>
    <w:uiPriority w:val="0"/>
    <w:pPr>
      <w:keepNext/>
      <w:numPr>
        <w:ilvl w:val="1"/>
        <w:numId w:val="1"/>
      </w:numPr>
      <w:adjustRightInd w:val="0"/>
      <w:spacing w:before="120" w:line="360" w:lineRule="auto"/>
      <w:textAlignment w:val="baseline"/>
      <w:outlineLvl w:val="1"/>
    </w:pPr>
    <w:rPr>
      <w:rFonts w:eastAsia="黑体"/>
      <w:b/>
      <w:kern w:val="0"/>
      <w:sz w:val="28"/>
      <w:szCs w:val="20"/>
    </w:rPr>
  </w:style>
  <w:style w:type="paragraph" w:styleId="4">
    <w:name w:val="heading 3"/>
    <w:basedOn w:val="3"/>
    <w:next w:val="1"/>
    <w:link w:val="56"/>
    <w:qFormat/>
    <w:uiPriority w:val="0"/>
    <w:pPr>
      <w:numPr>
        <w:ilvl w:val="2"/>
      </w:numPr>
      <w:tabs>
        <w:tab w:val="left" w:pos="900"/>
      </w:tabs>
      <w:outlineLvl w:val="2"/>
    </w:p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unhideWhenUsed/>
    <w:qFormat/>
    <w:uiPriority w:val="99"/>
    <w:pPr>
      <w:ind w:firstLine="420" w:firstLineChars="200"/>
    </w:pPr>
  </w:style>
  <w:style w:type="paragraph" w:styleId="6">
    <w:name w:val="Body Text 3"/>
    <w:basedOn w:val="1"/>
    <w:unhideWhenUsed/>
    <w:qFormat/>
    <w:uiPriority w:val="99"/>
    <w:rPr>
      <w:rFonts w:ascii="宋体" w:hAnsi="Calibri"/>
      <w:sz w:val="24"/>
    </w:rPr>
  </w:style>
  <w:style w:type="paragraph" w:styleId="7">
    <w:name w:val="Body Text"/>
    <w:basedOn w:val="1"/>
    <w:next w:val="8"/>
    <w:qFormat/>
    <w:uiPriority w:val="0"/>
    <w:pPr>
      <w:spacing w:line="360" w:lineRule="auto"/>
    </w:pPr>
  </w:style>
  <w:style w:type="paragraph" w:styleId="8">
    <w:name w:val="Title"/>
    <w:basedOn w:val="1"/>
    <w:next w:val="1"/>
    <w:qFormat/>
    <w:uiPriority w:val="0"/>
    <w:pPr>
      <w:spacing w:before="240" w:after="60"/>
      <w:jc w:val="center"/>
      <w:outlineLvl w:val="0"/>
    </w:pPr>
    <w:rPr>
      <w:rFonts w:ascii="Cambria" w:hAnsi="Cambria"/>
      <w:b/>
      <w:bCs/>
      <w:szCs w:val="32"/>
    </w:rPr>
  </w:style>
  <w:style w:type="paragraph" w:styleId="9">
    <w:name w:val="Body Text Indent"/>
    <w:basedOn w:val="1"/>
    <w:qFormat/>
    <w:uiPriority w:val="0"/>
    <w:pPr>
      <w:spacing w:after="120"/>
      <w:ind w:left="420" w:leftChars="200"/>
    </w:pPr>
    <w:rPr>
      <w:rFonts w:asciiTheme="minorHAnsi" w:hAnsiTheme="minorHAnsi" w:eastAsiaTheme="minorEastAsia" w:cstheme="minorBidi"/>
      <w:szCs w:val="22"/>
    </w:rPr>
  </w:style>
  <w:style w:type="paragraph" w:styleId="10">
    <w:name w:val="Plain Text"/>
    <w:basedOn w:val="1"/>
    <w:next w:val="1"/>
    <w:qFormat/>
    <w:uiPriority w:val="0"/>
    <w:rPr>
      <w:rFonts w:ascii="宋体"/>
      <w:szCs w:val="20"/>
    </w:rPr>
  </w:style>
  <w:style w:type="paragraph" w:styleId="11">
    <w:name w:val="Date"/>
    <w:basedOn w:val="1"/>
    <w:next w:val="1"/>
    <w:link w:val="46"/>
    <w:qFormat/>
    <w:uiPriority w:val="0"/>
    <w:pPr>
      <w:ind w:left="100" w:leftChars="2500"/>
    </w:pPr>
  </w:style>
  <w:style w:type="paragraph" w:styleId="12">
    <w:name w:val="Balloon Text"/>
    <w:basedOn w:val="1"/>
    <w:link w:val="43"/>
    <w:qFormat/>
    <w:uiPriority w:val="0"/>
    <w:rPr>
      <w:sz w:val="18"/>
      <w:szCs w:val="18"/>
    </w:rPr>
  </w:style>
  <w:style w:type="paragraph" w:styleId="13">
    <w:name w:val="footer"/>
    <w:basedOn w:val="1"/>
    <w:link w:val="44"/>
    <w:qFormat/>
    <w:uiPriority w:val="99"/>
    <w:pPr>
      <w:tabs>
        <w:tab w:val="center" w:pos="4153"/>
        <w:tab w:val="right" w:pos="8306"/>
      </w:tabs>
      <w:snapToGrid w:val="0"/>
      <w:jc w:val="left"/>
    </w:pPr>
    <w:rPr>
      <w:rFonts w:ascii="宋体"/>
      <w:sz w:val="18"/>
      <w:szCs w:val="20"/>
    </w:rPr>
  </w:style>
  <w:style w:type="paragraph" w:styleId="14">
    <w:name w:val="envelope return"/>
    <w:basedOn w:val="1"/>
    <w:qFormat/>
    <w:uiPriority w:val="0"/>
    <w:pPr>
      <w:snapToGrid w:val="0"/>
    </w:pPr>
    <w:rPr>
      <w:rFonts w:ascii="Arial" w:hAnsi="Arial"/>
    </w:rPr>
  </w:style>
  <w:style w:type="paragraph" w:styleId="15">
    <w:name w:val="header"/>
    <w:basedOn w:val="1"/>
    <w:next w:val="1"/>
    <w:link w:val="45"/>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spacing w:before="120" w:after="120"/>
      <w:jc w:val="left"/>
    </w:pPr>
    <w:rPr>
      <w:rFonts w:ascii="Calibri" w:hAnsi="Calibri"/>
      <w:b/>
      <w:bCs/>
      <w:caps/>
      <w:sz w:val="24"/>
    </w:rPr>
  </w:style>
  <w:style w:type="paragraph" w:styleId="17">
    <w:name w:val="toc 2"/>
    <w:basedOn w:val="1"/>
    <w:next w:val="1"/>
    <w:qFormat/>
    <w:uiPriority w:val="0"/>
    <w:pPr>
      <w:ind w:left="420"/>
    </w:pPr>
  </w:style>
  <w:style w:type="paragraph" w:styleId="18">
    <w:name w:val="Body Text 2"/>
    <w:basedOn w:val="1"/>
    <w:qFormat/>
    <w:uiPriority w:val="0"/>
    <w:pPr>
      <w:spacing w:after="120" w:line="480" w:lineRule="auto"/>
    </w:pPr>
  </w:style>
  <w:style w:type="paragraph" w:styleId="19">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0">
    <w:name w:val="Normal (Web)"/>
    <w:basedOn w:val="1"/>
    <w:qFormat/>
    <w:uiPriority w:val="0"/>
    <w:pPr>
      <w:spacing w:beforeAutospacing="1" w:afterAutospacing="1"/>
      <w:jc w:val="left"/>
    </w:pPr>
    <w:rPr>
      <w:kern w:val="0"/>
      <w:sz w:val="24"/>
    </w:rPr>
  </w:style>
  <w:style w:type="paragraph" w:styleId="21">
    <w:name w:val="Body Text First Indent"/>
    <w:basedOn w:val="7"/>
    <w:next w:val="22"/>
    <w:unhideWhenUsed/>
    <w:qFormat/>
    <w:uiPriority w:val="0"/>
    <w:pPr>
      <w:ind w:firstLine="420" w:firstLineChars="100"/>
    </w:pPr>
  </w:style>
  <w:style w:type="paragraph" w:customStyle="1" w:styleId="22">
    <w:name w:val="段落正文"/>
    <w:basedOn w:val="1"/>
    <w:qFormat/>
    <w:uiPriority w:val="0"/>
    <w:pPr>
      <w:spacing w:line="360" w:lineRule="auto"/>
      <w:ind w:firstLine="480" w:firstLineChars="200"/>
    </w:pPr>
    <w:rPr>
      <w:rFonts w:ascii="微软雅黑" w:hAnsi="微软雅黑"/>
      <w:kern w:val="0"/>
      <w:sz w:val="24"/>
      <w:szCs w:val="20"/>
    </w:rPr>
  </w:style>
  <w:style w:type="paragraph" w:styleId="23">
    <w:name w:val="Body Text First Indent 2"/>
    <w:basedOn w:val="9"/>
    <w:qFormat/>
    <w:uiPriority w:val="0"/>
    <w:pPr>
      <w:ind w:firstLine="420" w:firstLineChars="200"/>
    </w:pPr>
  </w:style>
  <w:style w:type="table" w:styleId="25">
    <w:name w:val="Table Grid"/>
    <w:basedOn w:val="24"/>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page number"/>
    <w:basedOn w:val="26"/>
    <w:qFormat/>
    <w:uiPriority w:val="0"/>
  </w:style>
  <w:style w:type="character" w:styleId="28">
    <w:name w:val="Hyperlink"/>
    <w:basedOn w:val="26"/>
    <w:qFormat/>
    <w:uiPriority w:val="99"/>
    <w:rPr>
      <w:color w:val="666666"/>
      <w:u w:val="none"/>
    </w:rPr>
  </w:style>
  <w:style w:type="paragraph" w:customStyle="1" w:styleId="29">
    <w:name w:val="正文首行缩进 21"/>
    <w:basedOn w:val="9"/>
    <w:qFormat/>
    <w:uiPriority w:val="0"/>
    <w:pPr>
      <w:overflowPunct w:val="0"/>
      <w:autoSpaceDE w:val="0"/>
      <w:autoSpaceDN w:val="0"/>
      <w:adjustRightInd w:val="0"/>
      <w:spacing w:line="360" w:lineRule="auto"/>
      <w:ind w:left="0" w:leftChars="0" w:firstLine="420" w:firstLineChars="200"/>
      <w:textAlignment w:val="baseline"/>
    </w:pPr>
    <w:rPr>
      <w:rFonts w:ascii="宋体" w:hAnsi="MS Sans Serif"/>
      <w:spacing w:val="12"/>
      <w:sz w:val="24"/>
    </w:rPr>
  </w:style>
  <w:style w:type="paragraph" w:customStyle="1" w:styleId="30">
    <w:name w:val="正文1"/>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31">
    <w:name w:val="正文文本缩进1"/>
    <w:basedOn w:val="1"/>
    <w:qFormat/>
    <w:uiPriority w:val="0"/>
    <w:pPr>
      <w:ind w:left="420" w:leftChars="200"/>
    </w:pPr>
  </w:style>
  <w:style w:type="paragraph" w:customStyle="1" w:styleId="32">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3">
    <w:name w:val="Default"/>
    <w:next w:val="15"/>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4">
    <w:name w:val="TOC 标题2"/>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2E75B6" w:themeColor="accent1" w:themeShade="BF"/>
      <w:kern w:val="0"/>
      <w:sz w:val="28"/>
      <w:szCs w:val="28"/>
    </w:rPr>
  </w:style>
  <w:style w:type="paragraph" w:customStyle="1" w:styleId="35">
    <w:name w:val="_Style 17"/>
    <w:basedOn w:val="1"/>
    <w:next w:val="1"/>
    <w:qFormat/>
    <w:uiPriority w:val="0"/>
    <w:pPr>
      <w:pBdr>
        <w:bottom w:val="single" w:color="auto" w:sz="6" w:space="1"/>
      </w:pBdr>
      <w:jc w:val="center"/>
    </w:pPr>
    <w:rPr>
      <w:rFonts w:ascii="Arial"/>
      <w:vanish/>
      <w:sz w:val="16"/>
    </w:rPr>
  </w:style>
  <w:style w:type="paragraph" w:customStyle="1" w:styleId="36">
    <w:name w:val="_Style 18"/>
    <w:basedOn w:val="1"/>
    <w:next w:val="1"/>
    <w:qFormat/>
    <w:uiPriority w:val="0"/>
    <w:pPr>
      <w:pBdr>
        <w:top w:val="single" w:color="auto" w:sz="6" w:space="1"/>
      </w:pBdr>
      <w:jc w:val="center"/>
    </w:pPr>
    <w:rPr>
      <w:rFonts w:ascii="Arial"/>
      <w:vanish/>
      <w:sz w:val="16"/>
    </w:rPr>
  </w:style>
  <w:style w:type="paragraph" w:customStyle="1" w:styleId="37">
    <w:name w:val="样式 样式 首行缩进:  2.57 字符 + 首行缩进:  2.57 字符"/>
    <w:basedOn w:val="1"/>
    <w:qFormat/>
    <w:uiPriority w:val="0"/>
    <w:pPr>
      <w:spacing w:line="360" w:lineRule="auto"/>
      <w:ind w:firstLine="771" w:firstLineChars="257"/>
    </w:pPr>
    <w:rPr>
      <w:rFonts w:eastAsia="仿宋" w:cs="宋体"/>
      <w:sz w:val="30"/>
      <w:szCs w:val="30"/>
    </w:rPr>
  </w:style>
  <w:style w:type="paragraph" w:customStyle="1" w:styleId="38">
    <w:name w:val="_Style 2"/>
    <w:basedOn w:val="1"/>
    <w:qFormat/>
    <w:uiPriority w:val="0"/>
  </w:style>
  <w:style w:type="paragraph" w:customStyle="1" w:styleId="39">
    <w:name w:val="纯文本1"/>
    <w:basedOn w:val="1"/>
    <w:qFormat/>
    <w:uiPriority w:val="0"/>
    <w:rPr>
      <w:rFonts w:ascii="宋体" w:hAnsi="Courier New"/>
      <w:szCs w:val="22"/>
    </w:rPr>
  </w:style>
  <w:style w:type="character" w:customStyle="1" w:styleId="40">
    <w:name w:val="标题 1 Char"/>
    <w:link w:val="2"/>
    <w:qFormat/>
    <w:uiPriority w:val="0"/>
    <w:rPr>
      <w:b/>
      <w:bCs/>
      <w:kern w:val="44"/>
      <w:sz w:val="44"/>
      <w:szCs w:val="44"/>
    </w:rPr>
  </w:style>
  <w:style w:type="paragraph" w:customStyle="1" w:styleId="41">
    <w:name w:val="txt14"/>
    <w:basedOn w:val="1"/>
    <w:qFormat/>
    <w:uiPriority w:val="0"/>
    <w:pPr>
      <w:widowControl/>
      <w:spacing w:before="100" w:beforeAutospacing="1" w:after="100" w:afterAutospacing="1"/>
      <w:jc w:val="left"/>
    </w:pPr>
    <w:rPr>
      <w:rFonts w:hint="eastAsia" w:ascii="宋体" w:hAnsi="宋体"/>
      <w:color w:val="000000"/>
      <w:kern w:val="0"/>
      <w:szCs w:val="21"/>
    </w:rPr>
  </w:style>
  <w:style w:type="paragraph" w:customStyle="1" w:styleId="42">
    <w:name w:val="Table Paragraph"/>
    <w:basedOn w:val="1"/>
    <w:qFormat/>
    <w:uiPriority w:val="99"/>
    <w:pPr>
      <w:jc w:val="left"/>
    </w:pPr>
    <w:rPr>
      <w:kern w:val="0"/>
      <w:sz w:val="22"/>
      <w:lang w:eastAsia="en-US"/>
    </w:rPr>
  </w:style>
  <w:style w:type="character" w:customStyle="1" w:styleId="43">
    <w:name w:val="批注框文本 Char"/>
    <w:basedOn w:val="26"/>
    <w:link w:val="12"/>
    <w:qFormat/>
    <w:uiPriority w:val="0"/>
    <w:rPr>
      <w:rFonts w:ascii="Times New Roman" w:hAnsi="Times New Roman"/>
      <w:kern w:val="2"/>
      <w:sz w:val="18"/>
      <w:szCs w:val="18"/>
    </w:rPr>
  </w:style>
  <w:style w:type="character" w:customStyle="1" w:styleId="44">
    <w:name w:val="页脚 Char"/>
    <w:basedOn w:val="26"/>
    <w:link w:val="13"/>
    <w:qFormat/>
    <w:uiPriority w:val="99"/>
    <w:rPr>
      <w:rFonts w:ascii="宋体" w:hAnsi="Times New Roman"/>
      <w:kern w:val="2"/>
      <w:sz w:val="18"/>
    </w:rPr>
  </w:style>
  <w:style w:type="character" w:customStyle="1" w:styleId="45">
    <w:name w:val="页眉 Char"/>
    <w:basedOn w:val="26"/>
    <w:link w:val="15"/>
    <w:qFormat/>
    <w:uiPriority w:val="99"/>
    <w:rPr>
      <w:rFonts w:ascii="Times New Roman" w:hAnsi="Times New Roman"/>
      <w:kern w:val="2"/>
      <w:sz w:val="18"/>
      <w:szCs w:val="18"/>
    </w:rPr>
  </w:style>
  <w:style w:type="character" w:customStyle="1" w:styleId="46">
    <w:name w:val="日期 Char"/>
    <w:basedOn w:val="26"/>
    <w:link w:val="11"/>
    <w:qFormat/>
    <w:uiPriority w:val="0"/>
    <w:rPr>
      <w:rFonts w:ascii="Times New Roman" w:hAnsi="Times New Roman"/>
      <w:kern w:val="2"/>
      <w:sz w:val="21"/>
      <w:szCs w:val="24"/>
    </w:rPr>
  </w:style>
  <w:style w:type="paragraph" w:customStyle="1" w:styleId="47">
    <w:name w:val="Blockquote"/>
    <w:basedOn w:val="1"/>
    <w:qFormat/>
    <w:uiPriority w:val="0"/>
    <w:pPr>
      <w:autoSpaceDE w:val="0"/>
      <w:autoSpaceDN w:val="0"/>
      <w:adjustRightInd w:val="0"/>
      <w:spacing w:before="100" w:after="100"/>
      <w:ind w:left="360" w:right="360"/>
      <w:jc w:val="left"/>
    </w:pPr>
    <w:rPr>
      <w:kern w:val="0"/>
      <w:position w:val="-6"/>
      <w:sz w:val="24"/>
    </w:rPr>
  </w:style>
  <w:style w:type="paragraph" w:customStyle="1" w:styleId="48">
    <w:name w:val="p2"/>
    <w:basedOn w:val="1"/>
    <w:qFormat/>
    <w:uiPriority w:val="99"/>
    <w:pPr>
      <w:widowControl/>
      <w:spacing w:line="480" w:lineRule="auto"/>
      <w:ind w:firstLine="420"/>
      <w:jc w:val="left"/>
    </w:pPr>
    <w:rPr>
      <w:rFonts w:ascii="宋体" w:hAnsi="宋体" w:cs="宋体"/>
      <w:kern w:val="0"/>
      <w:szCs w:val="21"/>
    </w:rPr>
  </w:style>
  <w:style w:type="paragraph" w:customStyle="1" w:styleId="49">
    <w:name w:val="（标题二）"/>
    <w:basedOn w:val="3"/>
    <w:next w:val="1"/>
    <w:qFormat/>
    <w:uiPriority w:val="0"/>
    <w:pPr>
      <w:spacing w:before="100" w:beforeAutospacing="1" w:after="100" w:afterAutospacing="1" w:line="410" w:lineRule="auto"/>
      <w:ind w:left="1680" w:hanging="420"/>
    </w:pPr>
    <w:rPr>
      <w:rFonts w:cs="Arial"/>
      <w:b w:val="0"/>
      <w:sz w:val="36"/>
      <w:szCs w:val="36"/>
    </w:rPr>
  </w:style>
  <w:style w:type="paragraph" w:customStyle="1" w:styleId="50">
    <w:name w:val="正文 New New New New New New New New New New New New New New New"/>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1">
    <w:name w:val="Other|1"/>
    <w:basedOn w:val="1"/>
    <w:qFormat/>
    <w:uiPriority w:val="0"/>
    <w:pPr>
      <w:spacing w:line="480" w:lineRule="auto"/>
      <w:ind w:firstLine="400"/>
    </w:pPr>
    <w:rPr>
      <w:rFonts w:ascii="宋体" w:hAnsi="宋体" w:cs="宋体"/>
      <w:sz w:val="19"/>
      <w:szCs w:val="19"/>
      <w:lang w:val="zh-TW" w:eastAsia="zh-TW" w:bidi="zh-TW"/>
    </w:rPr>
  </w:style>
  <w:style w:type="paragraph" w:customStyle="1" w:styleId="52">
    <w:name w:val="p0"/>
    <w:basedOn w:val="1"/>
    <w:qFormat/>
    <w:uiPriority w:val="99"/>
    <w:pPr>
      <w:widowControl/>
    </w:pPr>
    <w:rPr>
      <w:kern w:val="0"/>
    </w:rPr>
  </w:style>
  <w:style w:type="paragraph" w:styleId="53">
    <w:name w:val="List Paragraph"/>
    <w:basedOn w:val="1"/>
    <w:qFormat/>
    <w:uiPriority w:val="34"/>
    <w:pPr>
      <w:ind w:firstLine="420" w:firstLineChars="200"/>
    </w:pPr>
  </w:style>
  <w:style w:type="paragraph" w:customStyle="1" w:styleId="54">
    <w:name w:val="NormalIndent"/>
    <w:basedOn w:val="1"/>
    <w:next w:val="1"/>
    <w:qFormat/>
    <w:uiPriority w:val="0"/>
    <w:pPr>
      <w:spacing w:line="360" w:lineRule="auto"/>
      <w:ind w:firstLine="420" w:firstLineChars="200"/>
    </w:pPr>
    <w:rPr>
      <w:sz w:val="24"/>
    </w:rPr>
  </w:style>
  <w:style w:type="paragraph" w:customStyle="1" w:styleId="55">
    <w:name w:val="样式 正文Alt+ctrl+Z + 首行缩进:  2 字符9"/>
    <w:basedOn w:val="1"/>
    <w:qFormat/>
    <w:uiPriority w:val="0"/>
    <w:pPr>
      <w:spacing w:afterLines="50" w:line="360" w:lineRule="auto"/>
      <w:ind w:firstLine="200" w:firstLineChars="200"/>
    </w:pPr>
    <w:rPr>
      <w:rFonts w:cs="宋体"/>
      <w:sz w:val="24"/>
      <w:szCs w:val="20"/>
    </w:rPr>
  </w:style>
  <w:style w:type="character" w:customStyle="1" w:styleId="56">
    <w:name w:val="标题 3 Char"/>
    <w:basedOn w:val="26"/>
    <w:link w:val="4"/>
    <w:qFormat/>
    <w:uiPriority w:val="0"/>
    <w:rPr>
      <w:rFonts w:eastAsia="黑体"/>
      <w:b/>
      <w:kern w:val="0"/>
      <w:sz w:val="28"/>
      <w:szCs w:val="20"/>
    </w:rPr>
  </w:style>
  <w:style w:type="paragraph" w:customStyle="1" w:styleId="57">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8">
    <w:name w:val="Body Text Indent 21"/>
    <w:basedOn w:val="1"/>
    <w:qFormat/>
    <w:uiPriority w:val="0"/>
    <w:pPr>
      <w:spacing w:line="60" w:lineRule="auto"/>
      <w:ind w:firstLine="128" w:firstLineChars="128"/>
    </w:pPr>
    <w:rPr>
      <w:rFonts w:ascii="仿宋_GB2312" w:eastAsia="仿宋_GB2312"/>
      <w:kern w:val="0"/>
      <w:sz w:val="24"/>
    </w:rPr>
  </w:style>
  <w:style w:type="character" w:customStyle="1" w:styleId="59">
    <w:name w:val="font11"/>
    <w:basedOn w:val="26"/>
    <w:qFormat/>
    <w:uiPriority w:val="0"/>
    <w:rPr>
      <w:rFonts w:hint="default" w:ascii="Times New Roman" w:hAnsi="Times New Roman" w:cs="Times New Roman"/>
      <w:color w:val="000000"/>
      <w:sz w:val="28"/>
      <w:szCs w:val="28"/>
      <w:u w:val="none"/>
    </w:rPr>
  </w:style>
  <w:style w:type="character" w:customStyle="1" w:styleId="60">
    <w:name w:val="font01"/>
    <w:basedOn w:val="26"/>
    <w:qFormat/>
    <w:uiPriority w:val="0"/>
    <w:rPr>
      <w:rFonts w:hint="eastAsia" w:ascii="宋体" w:hAnsi="宋体" w:eastAsia="宋体" w:cs="宋体"/>
      <w:color w:val="000000"/>
      <w:sz w:val="28"/>
      <w:szCs w:val="28"/>
      <w:u w:val="none"/>
    </w:rPr>
  </w:style>
  <w:style w:type="character" w:customStyle="1" w:styleId="61">
    <w:name w:val="font41"/>
    <w:basedOn w:val="26"/>
    <w:qFormat/>
    <w:uiPriority w:val="0"/>
    <w:rPr>
      <w:rFonts w:hint="eastAsia" w:ascii="宋体" w:hAnsi="宋体" w:eastAsia="宋体" w:cs="宋体"/>
      <w:color w:val="000000"/>
      <w:sz w:val="22"/>
      <w:szCs w:val="22"/>
      <w:u w:val="none"/>
    </w:rPr>
  </w:style>
  <w:style w:type="character" w:customStyle="1" w:styleId="62">
    <w:name w:val="font31"/>
    <w:basedOn w:val="26"/>
    <w:qFormat/>
    <w:uiPriority w:val="0"/>
    <w:rPr>
      <w:rFonts w:hint="eastAsia" w:ascii="宋体" w:hAnsi="宋体" w:eastAsia="宋体" w:cs="宋体"/>
      <w:b/>
      <w:bCs/>
      <w:color w:val="000000"/>
      <w:sz w:val="20"/>
      <w:szCs w:val="20"/>
      <w:u w:val="none"/>
    </w:rPr>
  </w:style>
  <w:style w:type="character" w:customStyle="1" w:styleId="63">
    <w:name w:val="font21"/>
    <w:basedOn w:val="26"/>
    <w:qFormat/>
    <w:uiPriority w:val="0"/>
    <w:rPr>
      <w:rFonts w:hint="eastAsia" w:ascii="宋体" w:hAnsi="宋体" w:eastAsia="宋体" w:cs="宋体"/>
      <w:color w:val="000000"/>
      <w:sz w:val="18"/>
      <w:szCs w:val="18"/>
      <w:u w:val="none"/>
    </w:rPr>
  </w:style>
  <w:style w:type="paragraph" w:customStyle="1" w:styleId="64">
    <w:name w:val="style4"/>
    <w:basedOn w:val="30"/>
    <w:next w:val="65"/>
    <w:qFormat/>
    <w:uiPriority w:val="0"/>
    <w:pPr>
      <w:spacing w:before="100" w:beforeAutospacing="1" w:after="100" w:afterAutospacing="1"/>
      <w:jc w:val="left"/>
    </w:pPr>
    <w:rPr>
      <w:rFonts w:ascii="宋体" w:hAnsi="宋体" w:cs="宋体"/>
      <w:kern w:val="0"/>
      <w:sz w:val="18"/>
      <w:szCs w:val="18"/>
    </w:rPr>
  </w:style>
  <w:style w:type="paragraph" w:customStyle="1" w:styleId="65">
    <w:name w:val="2"/>
    <w:basedOn w:val="1"/>
    <w:next w:val="1"/>
    <w:qFormat/>
    <w:uiPriority w:val="0"/>
    <w:pPr>
      <w:spacing w:line="360" w:lineRule="auto"/>
    </w:pPr>
    <w:rPr>
      <w:rFonts w:eastAsia="仿宋_GB2312"/>
      <w:sz w:val="28"/>
      <w:szCs w:val="28"/>
    </w:rPr>
  </w:style>
  <w:style w:type="paragraph" w:customStyle="1" w:styleId="66">
    <w:name w:val="_Style 33"/>
    <w:basedOn w:val="1"/>
    <w:next w:val="7"/>
    <w:qFormat/>
    <w:uiPriority w:val="0"/>
    <w:pPr>
      <w:adjustRightInd w:val="0"/>
      <w:spacing w:line="440" w:lineRule="exact"/>
    </w:pPr>
    <w:rPr>
      <w:rFonts w:ascii="宋体" w:hAnsi="宋体"/>
      <w:bCs/>
      <w:color w:val="000000"/>
      <w:sz w:val="24"/>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103</Pages>
  <Words>1056</Words>
  <Characters>1634</Characters>
  <Lines>460</Lines>
  <Paragraphs>129</Paragraphs>
  <TotalTime>12</TotalTime>
  <ScaleCrop>false</ScaleCrop>
  <LinksUpToDate>false</LinksUpToDate>
  <CharactersWithSpaces>1646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2020-07-11T11:32:00Z</dcterms:created>
  <dc:creator>Administrator</dc:creator>
  <cp:lastModifiedBy>斌</cp:lastModifiedBy>
  <cp:lastPrinted>2025-09-23T02:10:00Z</cp:lastPrinted>
  <dcterms:modified xsi:type="dcterms:W3CDTF">2025-09-23T10:36:17Z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BE8F4523C9124486AEB406E87D67B27D_13</vt:lpwstr>
  </property>
  <property fmtid="{D5CDD505-2E9C-101B-9397-08002B2CF9AE}" pid="4" name="KSOTemplateDocerSaveRecord">
    <vt:lpwstr>eyJoZGlkIjoiODZjNGZiOTY5NzMzNDg3MGJkNGI0ZWQwNDMyNjkwZDAiLCJ1c2VySWQiOiI5NTgyNTcwODUifQ==</vt:lpwstr>
  </property>
</Properties>
</file>