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7CDC21">
      <w:pPr>
        <w:jc w:val="center"/>
        <w:rPr>
          <w:rFonts w:hint="eastAsia" w:ascii="仿宋" w:hAnsi="仿宋" w:eastAsia="仿宋" w:cs="仿宋"/>
          <w:b/>
          <w:bCs/>
          <w:color w:val="auto"/>
          <w:sz w:val="48"/>
          <w:szCs w:val="48"/>
          <w:highlight w:val="none"/>
          <w:lang w:val="en-US" w:eastAsia="zh-CN"/>
        </w:rPr>
      </w:pPr>
      <w:bookmarkStart w:id="253" w:name="_GoBack"/>
      <w:bookmarkEnd w:id="253"/>
      <w:r>
        <w:rPr>
          <w:rFonts w:hint="eastAsia" w:ascii="仿宋" w:hAnsi="仿宋" w:eastAsia="仿宋" w:cs="仿宋"/>
          <w:b/>
          <w:bCs/>
          <w:color w:val="auto"/>
          <w:sz w:val="48"/>
          <w:szCs w:val="48"/>
          <w:highlight w:val="none"/>
          <w:lang w:eastAsia="zh-CN"/>
        </w:rPr>
        <w:t>安宁市第一人民医院神经外科专科手术器械及神经监护系统购置项目</w:t>
      </w:r>
      <w:r>
        <w:rPr>
          <w:rFonts w:hint="eastAsia" w:ascii="仿宋" w:hAnsi="仿宋" w:eastAsia="仿宋" w:cs="仿宋"/>
          <w:b/>
          <w:bCs/>
          <w:color w:val="auto"/>
          <w:sz w:val="48"/>
          <w:szCs w:val="48"/>
          <w:highlight w:val="none"/>
          <w:lang w:val="en-US" w:eastAsia="zh-CN"/>
        </w:rPr>
        <w:t xml:space="preserve"> </w:t>
      </w:r>
    </w:p>
    <w:p w14:paraId="2AF111BC">
      <w:pPr>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32"/>
          <w:szCs w:val="32"/>
          <w:highlight w:val="none"/>
          <w:lang w:eastAsia="zh-CN"/>
        </w:rPr>
        <w:t>项目编号</w:t>
      </w:r>
      <w:r>
        <w:rPr>
          <w:rFonts w:hint="eastAsia" w:ascii="仿宋" w:hAnsi="仿宋" w:eastAsia="仿宋" w:cs="仿宋"/>
          <w:b/>
          <w:bCs/>
          <w:color w:val="auto"/>
          <w:sz w:val="32"/>
          <w:szCs w:val="32"/>
          <w:highlight w:val="none"/>
        </w:rPr>
        <w:t>：</w:t>
      </w:r>
      <w:r>
        <w:rPr>
          <w:rFonts w:hint="eastAsia" w:ascii="仿宋" w:hAnsi="仿宋" w:eastAsia="仿宋" w:cs="仿宋"/>
          <w:b/>
          <w:bCs/>
          <w:color w:val="auto"/>
          <w:sz w:val="32"/>
          <w:szCs w:val="32"/>
          <w:highlight w:val="none"/>
          <w:lang w:eastAsia="zh-CN"/>
        </w:rPr>
        <w:t>YNJN-2025-4</w:t>
      </w:r>
      <w:r>
        <w:rPr>
          <w:rFonts w:hint="eastAsia" w:ascii="仿宋" w:hAnsi="仿宋" w:eastAsia="仿宋" w:cs="仿宋"/>
          <w:b/>
          <w:bCs/>
          <w:color w:val="auto"/>
          <w:sz w:val="32"/>
          <w:szCs w:val="32"/>
          <w:highlight w:val="none"/>
          <w:lang w:val="en-US" w:eastAsia="zh-CN"/>
        </w:rPr>
        <w:t>8</w:t>
      </w:r>
    </w:p>
    <w:p w14:paraId="65CB6057">
      <w:pPr>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lang w:val="en-US" w:eastAsia="zh-CN"/>
        </w:rPr>
        <w:t>招标</w:t>
      </w:r>
      <w:r>
        <w:rPr>
          <w:rFonts w:hint="eastAsia" w:ascii="仿宋" w:hAnsi="仿宋" w:eastAsia="仿宋" w:cs="仿宋"/>
          <w:b/>
          <w:bCs/>
          <w:color w:val="auto"/>
          <w:sz w:val="84"/>
          <w:szCs w:val="84"/>
          <w:highlight w:val="none"/>
        </w:rPr>
        <w:t>文件</w:t>
      </w:r>
    </w:p>
    <w:p w14:paraId="4CF7EFC4">
      <w:pPr>
        <w:pStyle w:val="7"/>
        <w:rPr>
          <w:rFonts w:hint="eastAsia" w:ascii="仿宋" w:hAnsi="仿宋" w:eastAsia="仿宋" w:cs="仿宋"/>
          <w:color w:val="auto"/>
          <w:highlight w:val="none"/>
        </w:rPr>
      </w:pPr>
    </w:p>
    <w:p w14:paraId="537A4DD9">
      <w:pPr>
        <w:spacing w:line="360" w:lineRule="auto"/>
        <w:jc w:val="center"/>
        <w:rPr>
          <w:rFonts w:hint="eastAsia" w:ascii="仿宋" w:hAnsi="仿宋" w:eastAsia="仿宋" w:cs="仿宋"/>
          <w:b/>
          <w:bCs/>
          <w:color w:val="auto"/>
          <w:sz w:val="84"/>
          <w:szCs w:val="84"/>
          <w:highlight w:val="none"/>
        </w:rPr>
      </w:pPr>
      <w:r>
        <w:rPr>
          <w:rFonts w:hint="eastAsia" w:ascii="仿宋" w:hAnsi="仿宋" w:eastAsia="仿宋" w:cs="仿宋"/>
          <w:b/>
          <w:bCs/>
          <w:color w:val="auto"/>
          <w:sz w:val="84"/>
          <w:szCs w:val="84"/>
          <w:highlight w:val="none"/>
        </w:rPr>
        <w:drawing>
          <wp:inline distT="0" distB="0" distL="114300" distR="114300">
            <wp:extent cx="2341880" cy="2350770"/>
            <wp:effectExtent l="0" t="0" r="1270" b="11430"/>
            <wp:docPr id="3"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图片1"/>
                    <pic:cNvPicPr>
                      <a:picLocks noChangeAspect="1"/>
                    </pic:cNvPicPr>
                  </pic:nvPicPr>
                  <pic:blipFill>
                    <a:blip r:embed="rId14"/>
                    <a:stretch>
                      <a:fillRect/>
                    </a:stretch>
                  </pic:blipFill>
                  <pic:spPr>
                    <a:xfrm>
                      <a:off x="0" y="0"/>
                      <a:ext cx="2341880" cy="2350770"/>
                    </a:xfrm>
                    <a:prstGeom prst="rect">
                      <a:avLst/>
                    </a:prstGeom>
                    <a:noFill/>
                    <a:ln>
                      <a:noFill/>
                    </a:ln>
                  </pic:spPr>
                </pic:pic>
              </a:graphicData>
            </a:graphic>
          </wp:inline>
        </w:drawing>
      </w:r>
    </w:p>
    <w:p w14:paraId="258AE266">
      <w:pPr>
        <w:pStyle w:val="19"/>
        <w:rPr>
          <w:rFonts w:hint="eastAsia" w:ascii="仿宋" w:hAnsi="仿宋" w:eastAsia="仿宋" w:cs="仿宋"/>
          <w:b/>
          <w:bCs/>
          <w:color w:val="auto"/>
          <w:sz w:val="84"/>
          <w:szCs w:val="84"/>
          <w:highlight w:val="none"/>
        </w:rPr>
      </w:pPr>
    </w:p>
    <w:p w14:paraId="1FCD2EF2">
      <w:pPr>
        <w:pStyle w:val="19"/>
        <w:rPr>
          <w:rFonts w:hint="eastAsia" w:ascii="仿宋" w:hAnsi="仿宋" w:eastAsia="仿宋" w:cs="仿宋"/>
          <w:color w:val="auto"/>
        </w:rPr>
      </w:pPr>
    </w:p>
    <w:p w14:paraId="6C50688D">
      <w:pPr>
        <w:pStyle w:val="9"/>
        <w:rPr>
          <w:rFonts w:hint="eastAsia" w:ascii="仿宋" w:hAnsi="仿宋" w:eastAsia="仿宋" w:cs="仿宋"/>
          <w:color w:val="auto"/>
        </w:rPr>
      </w:pPr>
    </w:p>
    <w:p w14:paraId="111AEE4D">
      <w:pPr>
        <w:spacing w:line="320" w:lineRule="exact"/>
        <w:outlineLvl w:val="9"/>
        <w:rPr>
          <w:rFonts w:hint="eastAsia" w:ascii="仿宋" w:hAnsi="仿宋" w:eastAsia="仿宋" w:cs="仿宋"/>
          <w:color w:val="auto"/>
          <w:sz w:val="28"/>
          <w:szCs w:val="28"/>
          <w:highlight w:val="none"/>
        </w:rPr>
      </w:pPr>
    </w:p>
    <w:tbl>
      <w:tblPr>
        <w:tblStyle w:val="20"/>
        <w:tblpPr w:leftFromText="180" w:rightFromText="180" w:vertAnchor="text" w:horzAnchor="margin" w:tblpXSpec="center" w:tblpY="-48"/>
        <w:tblW w:w="0" w:type="auto"/>
        <w:tblInd w:w="0" w:type="dxa"/>
        <w:tblLayout w:type="fixed"/>
        <w:tblCellMar>
          <w:top w:w="0" w:type="dxa"/>
          <w:left w:w="108" w:type="dxa"/>
          <w:bottom w:w="0" w:type="dxa"/>
          <w:right w:w="108" w:type="dxa"/>
        </w:tblCellMar>
      </w:tblPr>
      <w:tblGrid>
        <w:gridCol w:w="6912"/>
      </w:tblGrid>
      <w:tr w14:paraId="714A8426">
        <w:tblPrEx>
          <w:tblCellMar>
            <w:top w:w="0" w:type="dxa"/>
            <w:left w:w="108" w:type="dxa"/>
            <w:bottom w:w="0" w:type="dxa"/>
            <w:right w:w="108" w:type="dxa"/>
          </w:tblCellMar>
        </w:tblPrEx>
        <w:tc>
          <w:tcPr>
            <w:tcW w:w="6912" w:type="dxa"/>
            <w:noWrap w:val="0"/>
            <w:vAlign w:val="top"/>
          </w:tcPr>
          <w:p w14:paraId="1910E2AE">
            <w:pPr>
              <w:ind w:right="560"/>
              <w:jc w:val="cente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采购人：</w:t>
            </w:r>
            <w:r>
              <w:rPr>
                <w:rFonts w:hint="eastAsia" w:ascii="仿宋" w:hAnsi="仿宋" w:eastAsia="仿宋" w:cs="仿宋"/>
                <w:b/>
                <w:color w:val="auto"/>
                <w:sz w:val="28"/>
                <w:szCs w:val="28"/>
                <w:highlight w:val="none"/>
                <w:lang w:val="en-US" w:eastAsia="zh-CN"/>
              </w:rPr>
              <w:t>安宁市第一人民医院</w:t>
            </w:r>
          </w:p>
        </w:tc>
      </w:tr>
      <w:tr w14:paraId="73AAF038">
        <w:tblPrEx>
          <w:tblCellMar>
            <w:top w:w="0" w:type="dxa"/>
            <w:left w:w="108" w:type="dxa"/>
            <w:bottom w:w="0" w:type="dxa"/>
            <w:right w:w="108" w:type="dxa"/>
          </w:tblCellMar>
        </w:tblPrEx>
        <w:tc>
          <w:tcPr>
            <w:tcW w:w="6912" w:type="dxa"/>
            <w:noWrap w:val="0"/>
            <w:vAlign w:val="top"/>
          </w:tcPr>
          <w:p w14:paraId="771E9549">
            <w:pPr>
              <w:ind w:right="560"/>
              <w:jc w:val="cente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rPr>
              <w:t>采购代理机构：</w:t>
            </w:r>
            <w:r>
              <w:rPr>
                <w:rFonts w:hint="eastAsia" w:ascii="仿宋" w:hAnsi="仿宋" w:eastAsia="仿宋" w:cs="仿宋"/>
                <w:b/>
                <w:color w:val="auto"/>
                <w:sz w:val="28"/>
                <w:szCs w:val="28"/>
                <w:highlight w:val="none"/>
                <w:lang w:eastAsia="zh-CN"/>
              </w:rPr>
              <w:t>云南</w:t>
            </w:r>
            <w:r>
              <w:rPr>
                <w:rFonts w:hint="eastAsia" w:ascii="仿宋" w:hAnsi="仿宋" w:eastAsia="仿宋" w:cs="仿宋"/>
                <w:b/>
                <w:color w:val="auto"/>
                <w:sz w:val="28"/>
                <w:szCs w:val="28"/>
                <w:highlight w:val="none"/>
                <w:lang w:val="en-US" w:eastAsia="zh-CN"/>
              </w:rPr>
              <w:t>金诺招标代理有限公司</w:t>
            </w:r>
          </w:p>
        </w:tc>
      </w:tr>
      <w:tr w14:paraId="72B0E6F6">
        <w:tblPrEx>
          <w:tblCellMar>
            <w:top w:w="0" w:type="dxa"/>
            <w:left w:w="108" w:type="dxa"/>
            <w:bottom w:w="0" w:type="dxa"/>
            <w:right w:w="108" w:type="dxa"/>
          </w:tblCellMar>
        </w:tblPrEx>
        <w:tc>
          <w:tcPr>
            <w:tcW w:w="6912" w:type="dxa"/>
            <w:noWrap w:val="0"/>
            <w:vAlign w:val="top"/>
          </w:tcPr>
          <w:p w14:paraId="21102106">
            <w:pPr>
              <w:ind w:right="560"/>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日期：202</w:t>
            </w:r>
            <w:r>
              <w:rPr>
                <w:rFonts w:hint="eastAsia" w:ascii="仿宋" w:hAnsi="仿宋" w:eastAsia="仿宋" w:cs="仿宋"/>
                <w:b/>
                <w:color w:val="auto"/>
                <w:sz w:val="28"/>
                <w:szCs w:val="28"/>
                <w:highlight w:val="none"/>
                <w:lang w:val="en-US" w:eastAsia="zh-CN"/>
              </w:rPr>
              <w:t>5</w:t>
            </w:r>
            <w:r>
              <w:rPr>
                <w:rFonts w:hint="eastAsia" w:ascii="仿宋" w:hAnsi="仿宋" w:eastAsia="仿宋" w:cs="仿宋"/>
                <w:b/>
                <w:color w:val="auto"/>
                <w:sz w:val="28"/>
                <w:szCs w:val="28"/>
                <w:highlight w:val="none"/>
              </w:rPr>
              <w:t>年</w:t>
            </w:r>
            <w:r>
              <w:rPr>
                <w:rFonts w:hint="eastAsia" w:ascii="仿宋" w:hAnsi="仿宋" w:eastAsia="仿宋" w:cs="仿宋"/>
                <w:b/>
                <w:color w:val="auto"/>
                <w:sz w:val="28"/>
                <w:szCs w:val="28"/>
                <w:highlight w:val="none"/>
                <w:lang w:val="en-US" w:eastAsia="zh-CN"/>
              </w:rPr>
              <w:t>9</w:t>
            </w:r>
            <w:r>
              <w:rPr>
                <w:rFonts w:hint="eastAsia" w:ascii="仿宋" w:hAnsi="仿宋" w:eastAsia="仿宋" w:cs="仿宋"/>
                <w:b/>
                <w:color w:val="auto"/>
                <w:sz w:val="28"/>
                <w:szCs w:val="28"/>
                <w:highlight w:val="none"/>
              </w:rPr>
              <w:t>月</w:t>
            </w:r>
          </w:p>
        </w:tc>
      </w:tr>
    </w:tbl>
    <w:p w14:paraId="7EBE9A4E">
      <w:pPr>
        <w:spacing w:line="320" w:lineRule="exact"/>
        <w:outlineLvl w:val="9"/>
        <w:rPr>
          <w:rFonts w:hint="eastAsia" w:ascii="仿宋" w:hAnsi="仿宋" w:eastAsia="仿宋" w:cs="仿宋"/>
          <w:color w:val="auto"/>
          <w:sz w:val="28"/>
          <w:szCs w:val="28"/>
          <w:highlight w:val="none"/>
        </w:rPr>
      </w:pPr>
    </w:p>
    <w:p w14:paraId="5953D215">
      <w:pPr>
        <w:rPr>
          <w:rFonts w:hint="eastAsia" w:ascii="仿宋" w:hAnsi="仿宋" w:eastAsia="仿宋" w:cs="仿宋"/>
          <w:b/>
          <w:color w:val="auto"/>
          <w:sz w:val="28"/>
          <w:szCs w:val="28"/>
          <w:highlight w:val="none"/>
        </w:rPr>
      </w:pPr>
    </w:p>
    <w:p w14:paraId="6BD431EB">
      <w:pPr>
        <w:rPr>
          <w:rFonts w:hint="eastAsia" w:ascii="仿宋" w:hAnsi="仿宋" w:eastAsia="仿宋" w:cs="仿宋"/>
          <w:b/>
          <w:bCs/>
          <w:color w:val="auto"/>
          <w:sz w:val="44"/>
          <w:szCs w:val="44"/>
          <w:highlight w:val="none"/>
        </w:rPr>
      </w:pPr>
    </w:p>
    <w:p w14:paraId="35CE071F">
      <w:pPr>
        <w:rPr>
          <w:rFonts w:hint="eastAsia" w:ascii="仿宋" w:hAnsi="仿宋" w:eastAsia="仿宋" w:cs="仿宋"/>
          <w:color w:val="auto"/>
          <w:highlight w:val="none"/>
        </w:rPr>
      </w:pPr>
    </w:p>
    <w:p w14:paraId="182B3B41">
      <w:pPr>
        <w:pStyle w:val="10"/>
        <w:spacing w:line="360" w:lineRule="auto"/>
        <w:jc w:val="center"/>
        <w:rPr>
          <w:rFonts w:hint="eastAsia" w:ascii="仿宋" w:hAnsi="仿宋" w:eastAsia="仿宋" w:cs="仿宋"/>
          <w:b/>
          <w:bCs/>
          <w:color w:val="auto"/>
          <w:sz w:val="32"/>
          <w:szCs w:val="32"/>
          <w:highlight w:val="none"/>
        </w:rPr>
        <w:sectPr>
          <w:footerReference r:id="rId6" w:type="first"/>
          <w:footerReference r:id="rId5" w:type="default"/>
          <w:pgSz w:w="11906" w:h="16838"/>
          <w:pgMar w:top="1134" w:right="851" w:bottom="1304" w:left="1276" w:header="720" w:footer="720" w:gutter="0"/>
          <w:pgNumType w:fmt="decimal" w:start="1"/>
          <w:cols w:space="720" w:num="1"/>
          <w:docGrid w:linePitch="331" w:charSpace="0"/>
        </w:sectPr>
      </w:pPr>
    </w:p>
    <w:p w14:paraId="17037095">
      <w:pPr>
        <w:pStyle w:val="10"/>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目     录</w:t>
      </w:r>
    </w:p>
    <w:p w14:paraId="256B0E09">
      <w:pPr>
        <w:pStyle w:val="15"/>
        <w:tabs>
          <w:tab w:val="right" w:leader="dot" w:pos="9779"/>
          <w:tab w:val="clear" w:pos="9628"/>
        </w:tabs>
        <w:rPr>
          <w:rFonts w:hint="eastAsia" w:ascii="仿宋" w:hAnsi="仿宋" w:eastAsia="仿宋" w:cs="仿宋"/>
        </w:rPr>
      </w:pPr>
      <w:r>
        <w:rPr>
          <w:rFonts w:hint="eastAsia" w:ascii="仿宋" w:hAnsi="仿宋" w:eastAsia="仿宋" w:cs="仿宋"/>
          <w:color w:val="auto"/>
          <w:sz w:val="21"/>
          <w:highlight w:val="none"/>
        </w:rPr>
        <w:fldChar w:fldCharType="begin"/>
      </w:r>
      <w:r>
        <w:rPr>
          <w:rFonts w:hint="eastAsia" w:ascii="仿宋" w:hAnsi="仿宋" w:eastAsia="仿宋" w:cs="仿宋"/>
          <w:color w:val="auto"/>
          <w:sz w:val="21"/>
          <w:highlight w:val="none"/>
        </w:rPr>
        <w:instrText xml:space="preserve"> TOC \o "1-2" \h \z \u </w:instrText>
      </w:r>
      <w:r>
        <w:rPr>
          <w:rFonts w:hint="eastAsia" w:ascii="仿宋" w:hAnsi="仿宋" w:eastAsia="仿宋" w:cs="仿宋"/>
          <w:color w:val="auto"/>
          <w:sz w:val="21"/>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_Toc32500 </w:instrText>
      </w:r>
      <w:r>
        <w:rPr>
          <w:rFonts w:hint="eastAsia" w:ascii="仿宋" w:hAnsi="仿宋" w:eastAsia="仿宋" w:cs="仿宋"/>
          <w:highlight w:val="none"/>
        </w:rPr>
        <w:fldChar w:fldCharType="separate"/>
      </w:r>
      <w:r>
        <w:rPr>
          <w:rFonts w:hint="eastAsia" w:ascii="仿宋" w:hAnsi="仿宋" w:eastAsia="仿宋" w:cs="仿宋"/>
          <w:bCs/>
          <w:kern w:val="2"/>
          <w:szCs w:val="32"/>
          <w:highlight w:val="none"/>
          <w:lang w:val="en-US" w:eastAsia="zh-CN" w:bidi="ar-SA"/>
        </w:rPr>
        <w:t>第一章</w:t>
      </w:r>
      <w:r>
        <w:rPr>
          <w:rFonts w:hint="eastAsia" w:ascii="仿宋" w:hAnsi="仿宋" w:eastAsia="仿宋" w:cs="仿宋"/>
          <w:bCs/>
          <w:kern w:val="2"/>
          <w:szCs w:val="32"/>
          <w:highlight w:val="none"/>
          <w:lang w:val="en-US" w:eastAsia="zh-CN"/>
        </w:rPr>
        <w:t xml:space="preserve"> </w:t>
      </w:r>
      <w:r>
        <w:rPr>
          <w:rFonts w:hint="eastAsia" w:ascii="仿宋" w:hAnsi="仿宋" w:eastAsia="仿宋" w:cs="仿宋"/>
          <w:bCs/>
          <w:kern w:val="2"/>
          <w:szCs w:val="32"/>
          <w:highlight w:val="none"/>
        </w:rPr>
        <w:t>招标公告</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_Toc32500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2085A2DF">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_Toc32051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项目概况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_Toc32051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0DA63BD5">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_Toc26926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一、项目基本情况</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_Toc26926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70495497">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_Toc23431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二、申请人的资格要求：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_Toc23431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49D6390A">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_Toc25169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三、获取招标文件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_Toc25169 \h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5A2025BC">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_Toc29280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四、提交投标文件截止时间、开标时间和地点</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_Toc29280 \h </w:instrText>
      </w:r>
      <w:r>
        <w:rPr>
          <w:rFonts w:hint="eastAsia" w:ascii="仿宋" w:hAnsi="仿宋" w:eastAsia="仿宋" w:cs="仿宋"/>
        </w:rPr>
        <w:fldChar w:fldCharType="separate"/>
      </w:r>
      <w:r>
        <w:rPr>
          <w:rFonts w:hint="eastAsia" w:ascii="仿宋" w:hAnsi="仿宋" w:eastAsia="仿宋" w:cs="仿宋"/>
        </w:rPr>
        <w:t>5</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6764E99E">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_Toc23328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五、公告期限</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_Toc23328 \h </w:instrText>
      </w:r>
      <w:r>
        <w:rPr>
          <w:rFonts w:hint="eastAsia" w:ascii="仿宋" w:hAnsi="仿宋" w:eastAsia="仿宋" w:cs="仿宋"/>
        </w:rPr>
        <w:fldChar w:fldCharType="separate"/>
      </w:r>
      <w:r>
        <w:rPr>
          <w:rFonts w:hint="eastAsia" w:ascii="仿宋" w:hAnsi="仿宋" w:eastAsia="仿宋" w:cs="仿宋"/>
        </w:rPr>
        <w:t>6</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00EF4EB0">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_Toc905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六、其他补充事宜：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_Toc905 \h </w:instrText>
      </w:r>
      <w:r>
        <w:rPr>
          <w:rFonts w:hint="eastAsia" w:ascii="仿宋" w:hAnsi="仿宋" w:eastAsia="仿宋" w:cs="仿宋"/>
        </w:rPr>
        <w:fldChar w:fldCharType="separate"/>
      </w:r>
      <w:r>
        <w:rPr>
          <w:rFonts w:hint="eastAsia" w:ascii="仿宋" w:hAnsi="仿宋" w:eastAsia="仿宋" w:cs="仿宋"/>
        </w:rPr>
        <w:t>6</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2DF53E50">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_Toc6656 </w:instrText>
      </w:r>
      <w:r>
        <w:rPr>
          <w:rFonts w:hint="eastAsia" w:ascii="仿宋" w:hAnsi="仿宋" w:eastAsia="仿宋" w:cs="仿宋"/>
          <w:highlight w:val="none"/>
        </w:rPr>
        <w:fldChar w:fldCharType="separate"/>
      </w:r>
      <w:r>
        <w:rPr>
          <w:rFonts w:hint="eastAsia" w:ascii="仿宋" w:hAnsi="仿宋" w:eastAsia="仿宋" w:cs="仿宋"/>
          <w:bCs/>
          <w:szCs w:val="24"/>
          <w:highlight w:val="none"/>
        </w:rPr>
        <w:t>七、对本次招标提出询问，请按以下方式联系。</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_Toc6656 \h </w:instrText>
      </w:r>
      <w:r>
        <w:rPr>
          <w:rFonts w:hint="eastAsia" w:ascii="仿宋" w:hAnsi="仿宋" w:eastAsia="仿宋" w:cs="仿宋"/>
        </w:rPr>
        <w:fldChar w:fldCharType="separate"/>
      </w:r>
      <w:r>
        <w:rPr>
          <w:rFonts w:hint="eastAsia" w:ascii="仿宋" w:hAnsi="仿宋" w:eastAsia="仿宋" w:cs="仿宋"/>
        </w:rPr>
        <w:t>7</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6A5071A4">
      <w:pPr>
        <w:pStyle w:val="15"/>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_Toc16503 </w:instrText>
      </w:r>
      <w:r>
        <w:rPr>
          <w:rFonts w:hint="eastAsia" w:ascii="仿宋" w:hAnsi="仿宋" w:eastAsia="仿宋" w:cs="仿宋"/>
          <w:highlight w:val="none"/>
        </w:rPr>
        <w:fldChar w:fldCharType="separate"/>
      </w:r>
      <w:r>
        <w:rPr>
          <w:rFonts w:hint="eastAsia" w:ascii="仿宋" w:hAnsi="仿宋" w:eastAsia="仿宋" w:cs="仿宋"/>
          <w:highlight w:val="none"/>
        </w:rPr>
        <w:t>第二章 投标人须知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_Toc16503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4D5663D9">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_Toc1199 </w:instrText>
      </w:r>
      <w:r>
        <w:rPr>
          <w:rFonts w:hint="eastAsia" w:ascii="仿宋" w:hAnsi="仿宋" w:eastAsia="仿宋" w:cs="仿宋"/>
          <w:highlight w:val="none"/>
        </w:rPr>
        <w:fldChar w:fldCharType="separate"/>
      </w:r>
      <w:r>
        <w:rPr>
          <w:rFonts w:hint="eastAsia" w:ascii="仿宋" w:hAnsi="仿宋" w:eastAsia="仿宋" w:cs="仿宋"/>
          <w:highlight w:val="none"/>
        </w:rPr>
        <w:t>投标人须知前附表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_Toc1199 \h </w:instrText>
      </w:r>
      <w:r>
        <w:rPr>
          <w:rFonts w:hint="eastAsia" w:ascii="仿宋" w:hAnsi="仿宋" w:eastAsia="仿宋" w:cs="仿宋"/>
        </w:rPr>
        <w:fldChar w:fldCharType="separate"/>
      </w:r>
      <w:r>
        <w:rPr>
          <w:rFonts w:hint="eastAsia" w:ascii="仿宋" w:hAnsi="仿宋" w:eastAsia="仿宋" w:cs="仿宋"/>
        </w:rPr>
        <w:t>8</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01CAB8FA">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_Toc29087 </w:instrText>
      </w:r>
      <w:r>
        <w:rPr>
          <w:rFonts w:hint="eastAsia" w:ascii="仿宋" w:hAnsi="仿宋" w:eastAsia="仿宋" w:cs="仿宋"/>
          <w:highlight w:val="none"/>
        </w:rPr>
        <w:fldChar w:fldCharType="separate"/>
      </w:r>
      <w:r>
        <w:rPr>
          <w:rFonts w:hint="eastAsia" w:ascii="仿宋" w:hAnsi="仿宋" w:eastAsia="仿宋" w:cs="仿宋"/>
          <w:highlight w:val="none"/>
        </w:rPr>
        <w:t>一、总  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_Toc29087 \h </w:instrText>
      </w:r>
      <w:r>
        <w:rPr>
          <w:rFonts w:hint="eastAsia" w:ascii="仿宋" w:hAnsi="仿宋" w:eastAsia="仿宋" w:cs="仿宋"/>
        </w:rPr>
        <w:fldChar w:fldCharType="separate"/>
      </w:r>
      <w:r>
        <w:rPr>
          <w:rFonts w:hint="eastAsia" w:ascii="仿宋" w:hAnsi="仿宋" w:eastAsia="仿宋" w:cs="仿宋"/>
        </w:rPr>
        <w:t>14</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2E826053">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_Toc7350 </w:instrText>
      </w:r>
      <w:r>
        <w:rPr>
          <w:rFonts w:hint="eastAsia" w:ascii="仿宋" w:hAnsi="仿宋" w:eastAsia="仿宋" w:cs="仿宋"/>
          <w:highlight w:val="none"/>
        </w:rPr>
        <w:fldChar w:fldCharType="separate"/>
      </w:r>
      <w:r>
        <w:rPr>
          <w:rFonts w:hint="eastAsia" w:ascii="仿宋" w:hAnsi="仿宋" w:eastAsia="仿宋" w:cs="仿宋"/>
          <w:highlight w:val="none"/>
        </w:rPr>
        <w:t>二、招标文件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_Toc7350 \h </w:instrText>
      </w:r>
      <w:r>
        <w:rPr>
          <w:rFonts w:hint="eastAsia" w:ascii="仿宋" w:hAnsi="仿宋" w:eastAsia="仿宋" w:cs="仿宋"/>
        </w:rPr>
        <w:fldChar w:fldCharType="separate"/>
      </w:r>
      <w:r>
        <w:rPr>
          <w:rFonts w:hint="eastAsia" w:ascii="仿宋" w:hAnsi="仿宋" w:eastAsia="仿宋" w:cs="仿宋"/>
        </w:rPr>
        <w:t>16</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690FABEE">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_Toc10665 </w:instrText>
      </w:r>
      <w:r>
        <w:rPr>
          <w:rFonts w:hint="eastAsia" w:ascii="仿宋" w:hAnsi="仿宋" w:eastAsia="仿宋" w:cs="仿宋"/>
          <w:highlight w:val="none"/>
        </w:rPr>
        <w:fldChar w:fldCharType="separate"/>
      </w:r>
      <w:r>
        <w:rPr>
          <w:rFonts w:hint="eastAsia" w:ascii="仿宋" w:hAnsi="仿宋" w:eastAsia="仿宋" w:cs="仿宋"/>
          <w:highlight w:val="none"/>
        </w:rPr>
        <w:t>三、投标文件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_Toc10665 \h </w:instrText>
      </w:r>
      <w:r>
        <w:rPr>
          <w:rFonts w:hint="eastAsia" w:ascii="仿宋" w:hAnsi="仿宋" w:eastAsia="仿宋" w:cs="仿宋"/>
        </w:rPr>
        <w:fldChar w:fldCharType="separate"/>
      </w:r>
      <w:r>
        <w:rPr>
          <w:rFonts w:hint="eastAsia" w:ascii="仿宋" w:hAnsi="仿宋" w:eastAsia="仿宋" w:cs="仿宋"/>
        </w:rPr>
        <w:t>17</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2E4942E7">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_Toc27738 </w:instrText>
      </w:r>
      <w:r>
        <w:rPr>
          <w:rFonts w:hint="eastAsia" w:ascii="仿宋" w:hAnsi="仿宋" w:eastAsia="仿宋" w:cs="仿宋"/>
          <w:highlight w:val="none"/>
        </w:rPr>
        <w:fldChar w:fldCharType="separate"/>
      </w:r>
      <w:r>
        <w:rPr>
          <w:rFonts w:hint="eastAsia" w:ascii="仿宋" w:hAnsi="仿宋" w:eastAsia="仿宋" w:cs="仿宋"/>
          <w:highlight w:val="none"/>
        </w:rPr>
        <w:t>四、投标文件的提交</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_Toc27738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6C15B12A">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_Toc27418 </w:instrText>
      </w:r>
      <w:r>
        <w:rPr>
          <w:rFonts w:hint="eastAsia" w:ascii="仿宋" w:hAnsi="仿宋" w:eastAsia="仿宋" w:cs="仿宋"/>
          <w:highlight w:val="none"/>
        </w:rPr>
        <w:fldChar w:fldCharType="separate"/>
      </w:r>
      <w:r>
        <w:rPr>
          <w:rFonts w:hint="eastAsia" w:ascii="仿宋" w:hAnsi="仿宋" w:eastAsia="仿宋" w:cs="仿宋"/>
          <w:highlight w:val="none"/>
        </w:rPr>
        <w:t>五、开标与评标</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_Toc27418 \h </w:instrText>
      </w:r>
      <w:r>
        <w:rPr>
          <w:rFonts w:hint="eastAsia" w:ascii="仿宋" w:hAnsi="仿宋" w:eastAsia="仿宋" w:cs="仿宋"/>
        </w:rPr>
        <w:fldChar w:fldCharType="separate"/>
      </w:r>
      <w:r>
        <w:rPr>
          <w:rFonts w:hint="eastAsia" w:ascii="仿宋" w:hAnsi="仿宋" w:eastAsia="仿宋" w:cs="仿宋"/>
        </w:rPr>
        <w:t>20</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64C2B3C4">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_Toc20499 </w:instrText>
      </w:r>
      <w:r>
        <w:rPr>
          <w:rFonts w:hint="eastAsia" w:ascii="仿宋" w:hAnsi="仿宋" w:eastAsia="仿宋" w:cs="仿宋"/>
          <w:highlight w:val="none"/>
        </w:rPr>
        <w:fldChar w:fldCharType="separate"/>
      </w:r>
      <w:r>
        <w:rPr>
          <w:rFonts w:hint="eastAsia" w:ascii="仿宋" w:hAnsi="仿宋" w:eastAsia="仿宋" w:cs="仿宋"/>
          <w:highlight w:val="none"/>
        </w:rPr>
        <w:t>六、中标结果</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_Toc20499 \h </w:instrText>
      </w:r>
      <w:r>
        <w:rPr>
          <w:rFonts w:hint="eastAsia" w:ascii="仿宋" w:hAnsi="仿宋" w:eastAsia="仿宋" w:cs="仿宋"/>
        </w:rPr>
        <w:fldChar w:fldCharType="separate"/>
      </w:r>
      <w:r>
        <w:rPr>
          <w:rFonts w:hint="eastAsia" w:ascii="仿宋" w:hAnsi="仿宋" w:eastAsia="仿宋" w:cs="仿宋"/>
        </w:rPr>
        <w:t>22</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6F6BD8A1">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_Toc7272 </w:instrText>
      </w:r>
      <w:r>
        <w:rPr>
          <w:rFonts w:hint="eastAsia" w:ascii="仿宋" w:hAnsi="仿宋" w:eastAsia="仿宋" w:cs="仿宋"/>
          <w:highlight w:val="none"/>
        </w:rPr>
        <w:fldChar w:fldCharType="separate"/>
      </w:r>
      <w:r>
        <w:rPr>
          <w:rFonts w:hint="eastAsia" w:ascii="仿宋" w:hAnsi="仿宋" w:eastAsia="仿宋" w:cs="仿宋"/>
          <w:highlight w:val="none"/>
        </w:rPr>
        <w:t>七、其他事项</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_Toc7272 \h </w:instrText>
      </w:r>
      <w:r>
        <w:rPr>
          <w:rFonts w:hint="eastAsia" w:ascii="仿宋" w:hAnsi="仿宋" w:eastAsia="仿宋" w:cs="仿宋"/>
        </w:rPr>
        <w:fldChar w:fldCharType="separate"/>
      </w:r>
      <w:r>
        <w:rPr>
          <w:rFonts w:hint="eastAsia" w:ascii="仿宋" w:hAnsi="仿宋" w:eastAsia="仿宋" w:cs="仿宋"/>
        </w:rPr>
        <w:t>23</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051BE527">
      <w:pPr>
        <w:pStyle w:val="15"/>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_Toc10461 </w:instrText>
      </w:r>
      <w:r>
        <w:rPr>
          <w:rFonts w:hint="eastAsia" w:ascii="仿宋" w:hAnsi="仿宋" w:eastAsia="仿宋" w:cs="仿宋"/>
          <w:highlight w:val="none"/>
        </w:rPr>
        <w:fldChar w:fldCharType="separate"/>
      </w:r>
      <w:r>
        <w:rPr>
          <w:rFonts w:hint="eastAsia" w:ascii="仿宋" w:hAnsi="仿宋" w:eastAsia="仿宋" w:cs="仿宋"/>
          <w:highlight w:val="none"/>
        </w:rPr>
        <w:t>第三章 合同书样式及主要条款</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_Toc10461 \h </w:instrText>
      </w:r>
      <w:r>
        <w:rPr>
          <w:rFonts w:hint="eastAsia" w:ascii="仿宋" w:hAnsi="仿宋" w:eastAsia="仿宋" w:cs="仿宋"/>
        </w:rPr>
        <w:fldChar w:fldCharType="separate"/>
      </w:r>
      <w:r>
        <w:rPr>
          <w:rFonts w:hint="eastAsia" w:ascii="仿宋" w:hAnsi="仿宋" w:eastAsia="仿宋" w:cs="仿宋"/>
        </w:rPr>
        <w:t>25</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5454D7D7">
      <w:pPr>
        <w:pStyle w:val="15"/>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_Toc17813 </w:instrText>
      </w:r>
      <w:r>
        <w:rPr>
          <w:rFonts w:hint="eastAsia" w:ascii="仿宋" w:hAnsi="仿宋" w:eastAsia="仿宋" w:cs="仿宋"/>
          <w:highlight w:val="none"/>
        </w:rPr>
        <w:fldChar w:fldCharType="separate"/>
      </w:r>
      <w:r>
        <w:rPr>
          <w:rFonts w:hint="eastAsia" w:ascii="仿宋" w:hAnsi="仿宋" w:eastAsia="仿宋" w:cs="仿宋"/>
          <w:highlight w:val="none"/>
        </w:rPr>
        <w:t>第四章 投标文件格式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_Toc17813 \h </w:instrText>
      </w:r>
      <w:r>
        <w:rPr>
          <w:rFonts w:hint="eastAsia" w:ascii="仿宋" w:hAnsi="仿宋" w:eastAsia="仿宋" w:cs="仿宋"/>
        </w:rPr>
        <w:fldChar w:fldCharType="separate"/>
      </w:r>
      <w:r>
        <w:rPr>
          <w:rFonts w:hint="eastAsia" w:ascii="仿宋" w:hAnsi="仿宋" w:eastAsia="仿宋" w:cs="仿宋"/>
        </w:rPr>
        <w:t>36</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30E6D98B">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_Toc9685 </w:instrText>
      </w:r>
      <w:r>
        <w:rPr>
          <w:rFonts w:hint="eastAsia" w:ascii="仿宋" w:hAnsi="仿宋" w:eastAsia="仿宋" w:cs="仿宋"/>
          <w:highlight w:val="none"/>
        </w:rPr>
        <w:fldChar w:fldCharType="separate"/>
      </w:r>
      <w:r>
        <w:rPr>
          <w:rFonts w:hint="eastAsia" w:ascii="仿宋" w:hAnsi="仿宋" w:eastAsia="仿宋" w:cs="仿宋"/>
          <w:highlight w:val="none"/>
        </w:rPr>
        <w:t>一、开标一览表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_Toc9685 \h </w:instrText>
      </w:r>
      <w:r>
        <w:rPr>
          <w:rFonts w:hint="eastAsia" w:ascii="仿宋" w:hAnsi="仿宋" w:eastAsia="仿宋" w:cs="仿宋"/>
        </w:rPr>
        <w:fldChar w:fldCharType="separate"/>
      </w:r>
      <w:r>
        <w:rPr>
          <w:rFonts w:hint="eastAsia" w:ascii="仿宋" w:hAnsi="仿宋" w:eastAsia="仿宋" w:cs="仿宋"/>
        </w:rPr>
        <w:t>36</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6E872678">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_Toc11209 </w:instrText>
      </w:r>
      <w:r>
        <w:rPr>
          <w:rFonts w:hint="eastAsia" w:ascii="仿宋" w:hAnsi="仿宋" w:eastAsia="仿宋" w:cs="仿宋"/>
          <w:highlight w:val="none"/>
        </w:rPr>
        <w:fldChar w:fldCharType="separate"/>
      </w:r>
      <w:r>
        <w:rPr>
          <w:rFonts w:hint="eastAsia" w:ascii="仿宋" w:hAnsi="仿宋" w:eastAsia="仿宋" w:cs="仿宋"/>
          <w:highlight w:val="none"/>
        </w:rPr>
        <w:t>二、资格证明文件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_Toc11209 \h </w:instrText>
      </w:r>
      <w:r>
        <w:rPr>
          <w:rFonts w:hint="eastAsia" w:ascii="仿宋" w:hAnsi="仿宋" w:eastAsia="仿宋" w:cs="仿宋"/>
        </w:rPr>
        <w:fldChar w:fldCharType="separate"/>
      </w:r>
      <w:r>
        <w:rPr>
          <w:rFonts w:hint="eastAsia" w:ascii="仿宋" w:hAnsi="仿宋" w:eastAsia="仿宋" w:cs="仿宋"/>
        </w:rPr>
        <w:t>37</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20653BA2">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_Toc2053 </w:instrText>
      </w:r>
      <w:r>
        <w:rPr>
          <w:rFonts w:hint="eastAsia" w:ascii="仿宋" w:hAnsi="仿宋" w:eastAsia="仿宋" w:cs="仿宋"/>
          <w:highlight w:val="none"/>
        </w:rPr>
        <w:fldChar w:fldCharType="separate"/>
      </w:r>
      <w:r>
        <w:rPr>
          <w:rFonts w:hint="eastAsia" w:ascii="仿宋" w:hAnsi="仿宋" w:eastAsia="仿宋" w:cs="仿宋"/>
          <w:highlight w:val="none"/>
        </w:rPr>
        <w:t>（一）营业执照或其他组织证明文件或自然人身份证</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_Toc2053 \h </w:instrText>
      </w:r>
      <w:r>
        <w:rPr>
          <w:rFonts w:hint="eastAsia" w:ascii="仿宋" w:hAnsi="仿宋" w:eastAsia="仿宋" w:cs="仿宋"/>
        </w:rPr>
        <w:fldChar w:fldCharType="separate"/>
      </w:r>
      <w:r>
        <w:rPr>
          <w:rFonts w:hint="eastAsia" w:ascii="仿宋" w:hAnsi="仿宋" w:eastAsia="仿宋" w:cs="仿宋"/>
        </w:rPr>
        <w:t>37</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32090787">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_Toc17019 </w:instrText>
      </w:r>
      <w:r>
        <w:rPr>
          <w:rFonts w:hint="eastAsia" w:ascii="仿宋" w:hAnsi="仿宋" w:eastAsia="仿宋" w:cs="仿宋"/>
          <w:highlight w:val="none"/>
        </w:rPr>
        <w:fldChar w:fldCharType="separate"/>
      </w:r>
      <w:r>
        <w:rPr>
          <w:rFonts w:hint="eastAsia" w:ascii="仿宋" w:hAnsi="仿宋" w:eastAsia="仿宋" w:cs="仿宋"/>
          <w:highlight w:val="none"/>
        </w:rPr>
        <w:t>（二）投标人具有良好的商业信誉和健全的财务会计制度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_Toc17019 \h </w:instrText>
      </w:r>
      <w:r>
        <w:rPr>
          <w:rFonts w:hint="eastAsia" w:ascii="仿宋" w:hAnsi="仿宋" w:eastAsia="仿宋" w:cs="仿宋"/>
        </w:rPr>
        <w:fldChar w:fldCharType="separate"/>
      </w:r>
      <w:r>
        <w:rPr>
          <w:rFonts w:hint="eastAsia" w:ascii="仿宋" w:hAnsi="仿宋" w:eastAsia="仿宋" w:cs="仿宋"/>
        </w:rPr>
        <w:t>38</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22145D2F">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_Toc6476 </w:instrText>
      </w:r>
      <w:r>
        <w:rPr>
          <w:rFonts w:hint="eastAsia" w:ascii="仿宋" w:hAnsi="仿宋" w:eastAsia="仿宋" w:cs="仿宋"/>
          <w:highlight w:val="none"/>
        </w:rPr>
        <w:fldChar w:fldCharType="separate"/>
      </w:r>
      <w:r>
        <w:rPr>
          <w:rFonts w:hint="eastAsia" w:ascii="仿宋" w:hAnsi="仿宋" w:eastAsia="仿宋" w:cs="仿宋"/>
          <w:highlight w:val="none"/>
        </w:rPr>
        <w:t>（三）具有履行合同所必需的设备和专业技术能力</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_Toc6476 \h </w:instrText>
      </w:r>
      <w:r>
        <w:rPr>
          <w:rFonts w:hint="eastAsia" w:ascii="仿宋" w:hAnsi="仿宋" w:eastAsia="仿宋" w:cs="仿宋"/>
        </w:rPr>
        <w:fldChar w:fldCharType="separate"/>
      </w:r>
      <w:r>
        <w:rPr>
          <w:rFonts w:hint="eastAsia" w:ascii="仿宋" w:hAnsi="仿宋" w:eastAsia="仿宋" w:cs="仿宋"/>
        </w:rPr>
        <w:t>39</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671677D8">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_Toc26413 </w:instrText>
      </w:r>
      <w:r>
        <w:rPr>
          <w:rFonts w:hint="eastAsia" w:ascii="仿宋" w:hAnsi="仿宋" w:eastAsia="仿宋" w:cs="仿宋"/>
          <w:highlight w:val="none"/>
        </w:rPr>
        <w:fldChar w:fldCharType="separate"/>
      </w:r>
      <w:r>
        <w:rPr>
          <w:rFonts w:hint="eastAsia" w:ascii="仿宋" w:hAnsi="仿宋" w:eastAsia="仿宋" w:cs="仿宋"/>
          <w:highlight w:val="none"/>
        </w:rPr>
        <w:t>（四）具有依法缴纳税收和社会保障资金的良好记录；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_Toc26413 \h </w:instrText>
      </w:r>
      <w:r>
        <w:rPr>
          <w:rFonts w:hint="eastAsia" w:ascii="仿宋" w:hAnsi="仿宋" w:eastAsia="仿宋" w:cs="仿宋"/>
        </w:rPr>
        <w:fldChar w:fldCharType="separate"/>
      </w:r>
      <w:r>
        <w:rPr>
          <w:rFonts w:hint="eastAsia" w:ascii="仿宋" w:hAnsi="仿宋" w:eastAsia="仿宋" w:cs="仿宋"/>
        </w:rPr>
        <w:t>40</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724DE3B9">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_Toc6082 </w:instrText>
      </w:r>
      <w:r>
        <w:rPr>
          <w:rFonts w:hint="eastAsia" w:ascii="仿宋" w:hAnsi="仿宋" w:eastAsia="仿宋" w:cs="仿宋"/>
          <w:highlight w:val="none"/>
        </w:rPr>
        <w:fldChar w:fldCharType="separate"/>
      </w:r>
      <w:r>
        <w:rPr>
          <w:rFonts w:hint="eastAsia" w:ascii="仿宋" w:hAnsi="仿宋" w:eastAsia="仿宋" w:cs="仿宋"/>
          <w:highlight w:val="none"/>
        </w:rPr>
        <w:t>（五）参加政府采购活动前3年内在经营活动中没有重大违法记录的书面声明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_Toc6082 \h </w:instrText>
      </w:r>
      <w:r>
        <w:rPr>
          <w:rFonts w:hint="eastAsia" w:ascii="仿宋" w:hAnsi="仿宋" w:eastAsia="仿宋" w:cs="仿宋"/>
        </w:rPr>
        <w:fldChar w:fldCharType="separate"/>
      </w:r>
      <w:r>
        <w:rPr>
          <w:rFonts w:hint="eastAsia" w:ascii="仿宋" w:hAnsi="仿宋" w:eastAsia="仿宋" w:cs="仿宋"/>
        </w:rPr>
        <w:t>41</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7910D29C">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_Toc17354 </w:instrText>
      </w:r>
      <w:r>
        <w:rPr>
          <w:rFonts w:hint="eastAsia" w:ascii="仿宋" w:hAnsi="仿宋" w:eastAsia="仿宋" w:cs="仿宋"/>
          <w:highlight w:val="none"/>
        </w:rPr>
        <w:fldChar w:fldCharType="separate"/>
      </w:r>
      <w:r>
        <w:rPr>
          <w:rFonts w:hint="eastAsia" w:ascii="仿宋" w:hAnsi="仿宋" w:eastAsia="仿宋" w:cs="仿宋"/>
          <w:highlight w:val="none"/>
        </w:rPr>
        <w:t>（</w:t>
      </w:r>
      <w:r>
        <w:rPr>
          <w:rFonts w:hint="eastAsia" w:ascii="仿宋" w:hAnsi="仿宋" w:eastAsia="仿宋" w:cs="仿宋"/>
          <w:highlight w:val="none"/>
          <w:lang w:eastAsia="zh-CN"/>
        </w:rPr>
        <w:t>六</w:t>
      </w:r>
      <w:r>
        <w:rPr>
          <w:rFonts w:hint="eastAsia" w:ascii="仿宋" w:hAnsi="仿宋" w:eastAsia="仿宋" w:cs="仿宋"/>
          <w:highlight w:val="none"/>
        </w:rPr>
        <w:t>）投标人无直接控股、管理关系书面声明函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_Toc17354 \h </w:instrText>
      </w:r>
      <w:r>
        <w:rPr>
          <w:rFonts w:hint="eastAsia" w:ascii="仿宋" w:hAnsi="仿宋" w:eastAsia="仿宋" w:cs="仿宋"/>
        </w:rPr>
        <w:fldChar w:fldCharType="separate"/>
      </w:r>
      <w:r>
        <w:rPr>
          <w:rFonts w:hint="eastAsia" w:ascii="仿宋" w:hAnsi="仿宋" w:eastAsia="仿宋" w:cs="仿宋"/>
        </w:rPr>
        <w:t>42</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181CD32C">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_Toc8462 </w:instrText>
      </w:r>
      <w:r>
        <w:rPr>
          <w:rFonts w:hint="eastAsia" w:ascii="仿宋" w:hAnsi="仿宋" w:eastAsia="仿宋" w:cs="仿宋"/>
          <w:highlight w:val="none"/>
        </w:rPr>
        <w:fldChar w:fldCharType="separate"/>
      </w:r>
      <w:r>
        <w:rPr>
          <w:rFonts w:hint="eastAsia" w:ascii="仿宋" w:hAnsi="仿宋" w:eastAsia="仿宋" w:cs="仿宋"/>
          <w:highlight w:val="none"/>
        </w:rPr>
        <w:t>（</w:t>
      </w:r>
      <w:r>
        <w:rPr>
          <w:rFonts w:hint="eastAsia" w:ascii="仿宋" w:hAnsi="仿宋" w:eastAsia="仿宋" w:cs="仿宋"/>
          <w:highlight w:val="none"/>
          <w:lang w:val="en-US" w:eastAsia="zh-CN"/>
        </w:rPr>
        <w:t>七</w:t>
      </w:r>
      <w:r>
        <w:rPr>
          <w:rFonts w:hint="eastAsia" w:ascii="仿宋" w:hAnsi="仿宋" w:eastAsia="仿宋" w:cs="仿宋"/>
          <w:highlight w:val="none"/>
        </w:rPr>
        <w:t>）为本项目提供整体设计、规范编制或者项目管理、监理、检测等服务的供应商，不得再参加本项目的采购活动说明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_Toc8462 \h </w:instrText>
      </w:r>
      <w:r>
        <w:rPr>
          <w:rFonts w:hint="eastAsia" w:ascii="仿宋" w:hAnsi="仿宋" w:eastAsia="仿宋" w:cs="仿宋"/>
        </w:rPr>
        <w:fldChar w:fldCharType="separate"/>
      </w:r>
      <w:r>
        <w:rPr>
          <w:rFonts w:hint="eastAsia" w:ascii="仿宋" w:hAnsi="仿宋" w:eastAsia="仿宋" w:cs="仿宋"/>
        </w:rPr>
        <w:t>44</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3C1B44CA">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_Toc21792 </w:instrText>
      </w:r>
      <w:r>
        <w:rPr>
          <w:rFonts w:hint="eastAsia" w:ascii="仿宋" w:hAnsi="仿宋" w:eastAsia="仿宋" w:cs="仿宋"/>
          <w:highlight w:val="none"/>
        </w:rPr>
        <w:fldChar w:fldCharType="separate"/>
      </w:r>
      <w:r>
        <w:rPr>
          <w:rFonts w:hint="eastAsia" w:ascii="仿宋" w:hAnsi="仿宋" w:eastAsia="仿宋" w:cs="仿宋"/>
          <w:highlight w:val="none"/>
        </w:rPr>
        <w:t>（</w:t>
      </w:r>
      <w:r>
        <w:rPr>
          <w:rFonts w:hint="eastAsia" w:ascii="仿宋" w:hAnsi="仿宋" w:eastAsia="仿宋" w:cs="仿宋"/>
          <w:highlight w:val="none"/>
          <w:lang w:val="en-US" w:eastAsia="zh-CN"/>
        </w:rPr>
        <w:t>八</w:t>
      </w:r>
      <w:r>
        <w:rPr>
          <w:rFonts w:hint="eastAsia" w:ascii="仿宋" w:hAnsi="仿宋" w:eastAsia="仿宋" w:cs="仿宋"/>
          <w:highlight w:val="none"/>
        </w:rPr>
        <w:t>）非联合体投标声明</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_Toc21792 \h </w:instrText>
      </w:r>
      <w:r>
        <w:rPr>
          <w:rFonts w:hint="eastAsia" w:ascii="仿宋" w:hAnsi="仿宋" w:eastAsia="仿宋" w:cs="仿宋"/>
        </w:rPr>
        <w:fldChar w:fldCharType="separate"/>
      </w:r>
      <w:r>
        <w:rPr>
          <w:rFonts w:hint="eastAsia" w:ascii="仿宋" w:hAnsi="仿宋" w:eastAsia="仿宋" w:cs="仿宋"/>
        </w:rPr>
        <w:t>45</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3CEBF6FB">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_Toc17790 </w:instrText>
      </w:r>
      <w:r>
        <w:rPr>
          <w:rFonts w:hint="eastAsia" w:ascii="仿宋" w:hAnsi="仿宋" w:eastAsia="仿宋" w:cs="仿宋"/>
          <w:highlight w:val="none"/>
        </w:rPr>
        <w:fldChar w:fldCharType="separate"/>
      </w:r>
      <w:r>
        <w:rPr>
          <w:rFonts w:hint="eastAsia" w:ascii="仿宋" w:hAnsi="仿宋" w:eastAsia="仿宋" w:cs="仿宋"/>
          <w:highlight w:val="none"/>
        </w:rPr>
        <w:t>（</w:t>
      </w:r>
      <w:r>
        <w:rPr>
          <w:rFonts w:hint="eastAsia" w:ascii="仿宋" w:hAnsi="仿宋" w:eastAsia="仿宋" w:cs="仿宋"/>
          <w:highlight w:val="none"/>
          <w:lang w:val="en-US" w:eastAsia="zh-CN"/>
        </w:rPr>
        <w:t>九</w:t>
      </w:r>
      <w:r>
        <w:rPr>
          <w:rFonts w:hint="eastAsia" w:ascii="仿宋" w:hAnsi="仿宋" w:eastAsia="仿宋" w:cs="仿宋"/>
          <w:highlight w:val="none"/>
        </w:rPr>
        <w:t>）本项目的特定资格要求：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_Toc17790 \h </w:instrText>
      </w:r>
      <w:r>
        <w:rPr>
          <w:rFonts w:hint="eastAsia" w:ascii="仿宋" w:hAnsi="仿宋" w:eastAsia="仿宋" w:cs="仿宋"/>
        </w:rPr>
        <w:fldChar w:fldCharType="separate"/>
      </w:r>
      <w:r>
        <w:rPr>
          <w:rFonts w:hint="eastAsia" w:ascii="仿宋" w:hAnsi="仿宋" w:eastAsia="仿宋" w:cs="仿宋"/>
        </w:rPr>
        <w:t>46</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73E5DE45">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_Toc15894 </w:instrText>
      </w:r>
      <w:r>
        <w:rPr>
          <w:rFonts w:hint="eastAsia" w:ascii="仿宋" w:hAnsi="仿宋" w:eastAsia="仿宋" w:cs="仿宋"/>
          <w:highlight w:val="none"/>
        </w:rPr>
        <w:fldChar w:fldCharType="separate"/>
      </w:r>
      <w:r>
        <w:rPr>
          <w:rFonts w:hint="eastAsia" w:ascii="仿宋" w:hAnsi="仿宋" w:eastAsia="仿宋" w:cs="仿宋"/>
          <w:highlight w:val="none"/>
        </w:rPr>
        <w:t>三、商务部分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_Toc15894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3BC83FC8">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_Toc26859 </w:instrText>
      </w:r>
      <w:r>
        <w:rPr>
          <w:rFonts w:hint="eastAsia" w:ascii="仿宋" w:hAnsi="仿宋" w:eastAsia="仿宋" w:cs="仿宋"/>
          <w:highlight w:val="none"/>
        </w:rPr>
        <w:fldChar w:fldCharType="separate"/>
      </w:r>
      <w:r>
        <w:rPr>
          <w:rFonts w:hint="eastAsia" w:ascii="仿宋" w:hAnsi="仿宋" w:eastAsia="仿宋" w:cs="仿宋"/>
          <w:highlight w:val="none"/>
        </w:rPr>
        <w:t>（一）投 标 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_Toc26859 \h </w:instrText>
      </w:r>
      <w:r>
        <w:rPr>
          <w:rFonts w:hint="eastAsia" w:ascii="仿宋" w:hAnsi="仿宋" w:eastAsia="仿宋" w:cs="仿宋"/>
        </w:rPr>
        <w:fldChar w:fldCharType="separate"/>
      </w:r>
      <w:r>
        <w:rPr>
          <w:rFonts w:hint="eastAsia" w:ascii="仿宋" w:hAnsi="仿宋" w:eastAsia="仿宋" w:cs="仿宋"/>
        </w:rPr>
        <w:t>47</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6513A119">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_Toc5505 </w:instrText>
      </w:r>
      <w:r>
        <w:rPr>
          <w:rFonts w:hint="eastAsia" w:ascii="仿宋" w:hAnsi="仿宋" w:eastAsia="仿宋" w:cs="仿宋"/>
          <w:highlight w:val="none"/>
        </w:rPr>
        <w:fldChar w:fldCharType="separate"/>
      </w:r>
      <w:r>
        <w:rPr>
          <w:rFonts w:hint="eastAsia" w:ascii="仿宋" w:hAnsi="仿宋" w:eastAsia="仿宋" w:cs="仿宋"/>
          <w:highlight w:val="none"/>
        </w:rPr>
        <w:t>（二）声 明 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_Toc5505 \h </w:instrText>
      </w:r>
      <w:r>
        <w:rPr>
          <w:rFonts w:hint="eastAsia" w:ascii="仿宋" w:hAnsi="仿宋" w:eastAsia="仿宋" w:cs="仿宋"/>
        </w:rPr>
        <w:fldChar w:fldCharType="separate"/>
      </w:r>
      <w:r>
        <w:rPr>
          <w:rFonts w:hint="eastAsia" w:ascii="仿宋" w:hAnsi="仿宋" w:eastAsia="仿宋" w:cs="仿宋"/>
        </w:rPr>
        <w:t>49</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1C4CCFC5">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_Toc1965 </w:instrText>
      </w:r>
      <w:r>
        <w:rPr>
          <w:rFonts w:hint="eastAsia" w:ascii="仿宋" w:hAnsi="仿宋" w:eastAsia="仿宋" w:cs="仿宋"/>
          <w:highlight w:val="none"/>
        </w:rPr>
        <w:fldChar w:fldCharType="separate"/>
      </w:r>
      <w:r>
        <w:rPr>
          <w:rFonts w:hint="eastAsia" w:ascii="仿宋" w:hAnsi="仿宋" w:eastAsia="仿宋" w:cs="仿宋"/>
          <w:highlight w:val="none"/>
        </w:rPr>
        <w:t>（三）</w:t>
      </w:r>
      <w:r>
        <w:rPr>
          <w:rFonts w:hint="eastAsia" w:ascii="仿宋" w:hAnsi="仿宋" w:eastAsia="仿宋" w:cs="仿宋"/>
          <w:highlight w:val="none"/>
          <w:lang w:val="en-US" w:eastAsia="zh-CN"/>
        </w:rPr>
        <w:t>分项</w:t>
      </w:r>
      <w:r>
        <w:rPr>
          <w:rFonts w:hint="eastAsia" w:ascii="仿宋" w:hAnsi="仿宋" w:eastAsia="仿宋" w:cs="仿宋"/>
          <w:highlight w:val="none"/>
        </w:rPr>
        <w:t>报价表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_Toc1965 \h </w:instrText>
      </w:r>
      <w:r>
        <w:rPr>
          <w:rFonts w:hint="eastAsia" w:ascii="仿宋" w:hAnsi="仿宋" w:eastAsia="仿宋" w:cs="仿宋"/>
        </w:rPr>
        <w:fldChar w:fldCharType="separate"/>
      </w:r>
      <w:r>
        <w:rPr>
          <w:rFonts w:hint="eastAsia" w:ascii="仿宋" w:hAnsi="仿宋" w:eastAsia="仿宋" w:cs="仿宋"/>
        </w:rPr>
        <w:t>50</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36BD6A33">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_Toc3024 </w:instrText>
      </w:r>
      <w:r>
        <w:rPr>
          <w:rFonts w:hint="eastAsia" w:ascii="仿宋" w:hAnsi="仿宋" w:eastAsia="仿宋" w:cs="仿宋"/>
          <w:highlight w:val="none"/>
        </w:rPr>
        <w:fldChar w:fldCharType="separate"/>
      </w:r>
      <w:r>
        <w:rPr>
          <w:rFonts w:hint="eastAsia" w:ascii="仿宋" w:hAnsi="仿宋" w:eastAsia="仿宋" w:cs="仿宋"/>
          <w:highlight w:val="none"/>
        </w:rPr>
        <w:t>（四）法定代表人身份证明书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_Toc3024 \h </w:instrText>
      </w:r>
      <w:r>
        <w:rPr>
          <w:rFonts w:hint="eastAsia" w:ascii="仿宋" w:hAnsi="仿宋" w:eastAsia="仿宋" w:cs="仿宋"/>
        </w:rPr>
        <w:fldChar w:fldCharType="separate"/>
      </w:r>
      <w:r>
        <w:rPr>
          <w:rFonts w:hint="eastAsia" w:ascii="仿宋" w:hAnsi="仿宋" w:eastAsia="仿宋" w:cs="仿宋"/>
        </w:rPr>
        <w:t>51</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2B341892">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_Toc26659 </w:instrText>
      </w:r>
      <w:r>
        <w:rPr>
          <w:rFonts w:hint="eastAsia" w:ascii="仿宋" w:hAnsi="仿宋" w:eastAsia="仿宋" w:cs="仿宋"/>
          <w:highlight w:val="none"/>
        </w:rPr>
        <w:fldChar w:fldCharType="separate"/>
      </w:r>
      <w:r>
        <w:rPr>
          <w:rFonts w:hint="eastAsia" w:ascii="仿宋" w:hAnsi="仿宋" w:eastAsia="仿宋" w:cs="仿宋"/>
          <w:szCs w:val="24"/>
          <w:highlight w:val="none"/>
        </w:rPr>
        <w:t>（五）法定代表人授权委托书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_Toc26659 \h </w:instrText>
      </w:r>
      <w:r>
        <w:rPr>
          <w:rFonts w:hint="eastAsia" w:ascii="仿宋" w:hAnsi="仿宋" w:eastAsia="仿宋" w:cs="仿宋"/>
        </w:rPr>
        <w:fldChar w:fldCharType="separate"/>
      </w:r>
      <w:r>
        <w:rPr>
          <w:rFonts w:hint="eastAsia" w:ascii="仿宋" w:hAnsi="仿宋" w:eastAsia="仿宋" w:cs="仿宋"/>
        </w:rPr>
        <w:t>52</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230988CD">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_Toc28388 </w:instrText>
      </w:r>
      <w:r>
        <w:rPr>
          <w:rFonts w:hint="eastAsia" w:ascii="仿宋" w:hAnsi="仿宋" w:eastAsia="仿宋" w:cs="仿宋"/>
          <w:highlight w:val="none"/>
        </w:rPr>
        <w:fldChar w:fldCharType="separate"/>
      </w:r>
      <w:r>
        <w:rPr>
          <w:rFonts w:hint="eastAsia" w:ascii="仿宋" w:hAnsi="仿宋" w:eastAsia="仿宋" w:cs="仿宋"/>
          <w:bCs/>
          <w:szCs w:val="28"/>
          <w:highlight w:val="none"/>
          <w:lang w:val="en-US" w:eastAsia="zh-CN" w:bidi="ar-SA"/>
        </w:rPr>
        <w:t>（六）投标保证金</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_Toc28388 \h </w:instrText>
      </w:r>
      <w:r>
        <w:rPr>
          <w:rFonts w:hint="eastAsia" w:ascii="仿宋" w:hAnsi="仿宋" w:eastAsia="仿宋" w:cs="仿宋"/>
        </w:rPr>
        <w:fldChar w:fldCharType="separate"/>
      </w:r>
      <w:r>
        <w:rPr>
          <w:rFonts w:hint="eastAsia" w:ascii="仿宋" w:hAnsi="仿宋" w:eastAsia="仿宋" w:cs="仿宋"/>
        </w:rPr>
        <w:t>53</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30ADAE22">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_Toc17829 </w:instrText>
      </w:r>
      <w:r>
        <w:rPr>
          <w:rFonts w:hint="eastAsia" w:ascii="仿宋" w:hAnsi="仿宋" w:eastAsia="仿宋" w:cs="仿宋"/>
          <w:highlight w:val="none"/>
        </w:rPr>
        <w:fldChar w:fldCharType="separate"/>
      </w:r>
      <w:r>
        <w:rPr>
          <w:rFonts w:hint="eastAsia" w:ascii="仿宋" w:hAnsi="仿宋" w:eastAsia="仿宋" w:cs="仿宋"/>
          <w:highlight w:val="none"/>
        </w:rPr>
        <w:t>（</w:t>
      </w:r>
      <w:r>
        <w:rPr>
          <w:rFonts w:hint="eastAsia" w:ascii="仿宋" w:hAnsi="仿宋" w:eastAsia="仿宋" w:cs="仿宋"/>
          <w:highlight w:val="none"/>
          <w:lang w:val="en-US" w:eastAsia="zh-CN"/>
        </w:rPr>
        <w:t>七</w:t>
      </w:r>
      <w:r>
        <w:rPr>
          <w:rFonts w:hint="eastAsia" w:ascii="仿宋" w:hAnsi="仿宋" w:eastAsia="仿宋" w:cs="仿宋"/>
          <w:highlight w:val="none"/>
        </w:rPr>
        <w:t>）无串通投标行为的承诺函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_Toc17829 \h </w:instrText>
      </w:r>
      <w:r>
        <w:rPr>
          <w:rFonts w:hint="eastAsia" w:ascii="仿宋" w:hAnsi="仿宋" w:eastAsia="仿宋" w:cs="仿宋"/>
        </w:rPr>
        <w:fldChar w:fldCharType="separate"/>
      </w:r>
      <w:r>
        <w:rPr>
          <w:rFonts w:hint="eastAsia" w:ascii="仿宋" w:hAnsi="仿宋" w:eastAsia="仿宋" w:cs="仿宋"/>
        </w:rPr>
        <w:t>54</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11A8EDB3">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_Toc1480 </w:instrText>
      </w:r>
      <w:r>
        <w:rPr>
          <w:rFonts w:hint="eastAsia" w:ascii="仿宋" w:hAnsi="仿宋" w:eastAsia="仿宋" w:cs="仿宋"/>
          <w:highlight w:val="none"/>
        </w:rPr>
        <w:fldChar w:fldCharType="separate"/>
      </w:r>
      <w:r>
        <w:rPr>
          <w:rFonts w:hint="eastAsia" w:ascii="仿宋" w:hAnsi="仿宋" w:eastAsia="仿宋" w:cs="仿宋"/>
          <w:highlight w:val="none"/>
        </w:rPr>
        <w:t>（</w:t>
      </w:r>
      <w:r>
        <w:rPr>
          <w:rFonts w:hint="eastAsia" w:ascii="仿宋" w:hAnsi="仿宋" w:eastAsia="仿宋" w:cs="仿宋"/>
          <w:highlight w:val="none"/>
          <w:lang w:val="en-US" w:eastAsia="zh-CN"/>
        </w:rPr>
        <w:t>八</w:t>
      </w:r>
      <w:r>
        <w:rPr>
          <w:rFonts w:hint="eastAsia" w:ascii="仿宋" w:hAnsi="仿宋" w:eastAsia="仿宋" w:cs="仿宋"/>
          <w:highlight w:val="none"/>
        </w:rPr>
        <w:t>）残疾人福利性单位声明函</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_Toc1480 \h </w:instrText>
      </w:r>
      <w:r>
        <w:rPr>
          <w:rFonts w:hint="eastAsia" w:ascii="仿宋" w:hAnsi="仿宋" w:eastAsia="仿宋" w:cs="仿宋"/>
        </w:rPr>
        <w:fldChar w:fldCharType="separate"/>
      </w:r>
      <w:r>
        <w:rPr>
          <w:rFonts w:hint="eastAsia" w:ascii="仿宋" w:hAnsi="仿宋" w:eastAsia="仿宋" w:cs="仿宋"/>
        </w:rPr>
        <w:t>55</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522AE0F4">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_Toc10199 </w:instrText>
      </w:r>
      <w:r>
        <w:rPr>
          <w:rFonts w:hint="eastAsia" w:ascii="仿宋" w:hAnsi="仿宋" w:eastAsia="仿宋" w:cs="仿宋"/>
          <w:highlight w:val="none"/>
        </w:rPr>
        <w:fldChar w:fldCharType="separate"/>
      </w:r>
      <w:r>
        <w:rPr>
          <w:rFonts w:hint="eastAsia" w:ascii="仿宋" w:hAnsi="仿宋" w:eastAsia="仿宋" w:cs="仿宋"/>
          <w:highlight w:val="none"/>
        </w:rPr>
        <w:t>（</w:t>
      </w:r>
      <w:r>
        <w:rPr>
          <w:rFonts w:hint="eastAsia" w:ascii="仿宋" w:hAnsi="仿宋" w:eastAsia="仿宋" w:cs="仿宋"/>
          <w:highlight w:val="none"/>
          <w:lang w:val="en-US" w:eastAsia="zh-CN"/>
        </w:rPr>
        <w:t>九</w:t>
      </w:r>
      <w:r>
        <w:rPr>
          <w:rFonts w:hint="eastAsia" w:ascii="仿宋" w:hAnsi="仿宋" w:eastAsia="仿宋" w:cs="仿宋"/>
          <w:highlight w:val="none"/>
        </w:rPr>
        <w:t>）</w:t>
      </w:r>
      <w:r>
        <w:rPr>
          <w:rFonts w:hint="eastAsia" w:ascii="仿宋" w:hAnsi="仿宋" w:eastAsia="仿宋" w:cs="仿宋"/>
          <w:highlight w:val="none"/>
          <w:lang w:val="en-US" w:eastAsia="zh-CN"/>
        </w:rPr>
        <w:t>小微</w:t>
      </w:r>
      <w:r>
        <w:rPr>
          <w:rFonts w:hint="eastAsia" w:ascii="仿宋" w:hAnsi="仿宋" w:eastAsia="仿宋" w:cs="仿宋"/>
          <w:highlight w:val="none"/>
        </w:rPr>
        <w:t>企业声明函（货物）</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_Toc10199 \h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3D40FD2A">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_Toc19252 </w:instrText>
      </w:r>
      <w:r>
        <w:rPr>
          <w:rFonts w:hint="eastAsia" w:ascii="仿宋" w:hAnsi="仿宋" w:eastAsia="仿宋" w:cs="仿宋"/>
          <w:highlight w:val="none"/>
        </w:rPr>
        <w:fldChar w:fldCharType="separate"/>
      </w:r>
      <w:r>
        <w:rPr>
          <w:rFonts w:hint="eastAsia" w:ascii="仿宋" w:hAnsi="仿宋" w:eastAsia="仿宋" w:cs="仿宋"/>
          <w:highlight w:val="none"/>
        </w:rPr>
        <w:t>（</w:t>
      </w:r>
      <w:r>
        <w:rPr>
          <w:rFonts w:hint="eastAsia" w:ascii="仿宋" w:hAnsi="仿宋" w:eastAsia="仿宋" w:cs="仿宋"/>
          <w:highlight w:val="none"/>
          <w:lang w:val="en-US" w:eastAsia="zh-CN"/>
        </w:rPr>
        <w:t>十</w:t>
      </w:r>
      <w:r>
        <w:rPr>
          <w:rFonts w:hint="eastAsia" w:ascii="仿宋" w:hAnsi="仿宋" w:eastAsia="仿宋" w:cs="仿宋"/>
          <w:highlight w:val="none"/>
        </w:rPr>
        <w:t>）监狱企业证明文件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_Toc19252 \h </w:instrText>
      </w:r>
      <w:r>
        <w:rPr>
          <w:rFonts w:hint="eastAsia" w:ascii="仿宋" w:hAnsi="仿宋" w:eastAsia="仿宋" w:cs="仿宋"/>
        </w:rPr>
        <w:fldChar w:fldCharType="separate"/>
      </w:r>
      <w:r>
        <w:rPr>
          <w:rFonts w:hint="eastAsia" w:ascii="仿宋" w:hAnsi="仿宋" w:eastAsia="仿宋" w:cs="仿宋"/>
        </w:rPr>
        <w:t>61</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5692EEBC">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_Toc29104 </w:instrText>
      </w:r>
      <w:r>
        <w:rPr>
          <w:rFonts w:hint="eastAsia" w:ascii="仿宋" w:hAnsi="仿宋" w:eastAsia="仿宋" w:cs="仿宋"/>
          <w:highlight w:val="none"/>
        </w:rPr>
        <w:fldChar w:fldCharType="separate"/>
      </w:r>
      <w:r>
        <w:rPr>
          <w:rFonts w:hint="eastAsia" w:ascii="仿宋" w:hAnsi="仿宋" w:eastAsia="仿宋" w:cs="仿宋"/>
          <w:bCs/>
          <w:spacing w:val="6"/>
          <w:kern w:val="2"/>
          <w:szCs w:val="24"/>
          <w:highlight w:val="none"/>
          <w:lang w:val="en-US" w:eastAsia="zh-CN"/>
        </w:rPr>
        <w:t>（十一）</w:t>
      </w:r>
      <w:r>
        <w:rPr>
          <w:rFonts w:hint="eastAsia" w:ascii="仿宋" w:hAnsi="仿宋" w:eastAsia="仿宋" w:cs="仿宋"/>
          <w:bCs/>
          <w:snapToGrid/>
          <w:kern w:val="0"/>
          <w:szCs w:val="28"/>
          <w:highlight w:val="none"/>
          <w:lang w:eastAsia="zh-CN"/>
        </w:rPr>
        <w:t>不参与围标串标承诺书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_Toc29104 \h </w:instrText>
      </w:r>
      <w:r>
        <w:rPr>
          <w:rFonts w:hint="eastAsia" w:ascii="仿宋" w:hAnsi="仿宋" w:eastAsia="仿宋" w:cs="仿宋"/>
        </w:rPr>
        <w:fldChar w:fldCharType="separate"/>
      </w:r>
      <w:r>
        <w:rPr>
          <w:rFonts w:hint="eastAsia" w:ascii="仿宋" w:hAnsi="仿宋" w:eastAsia="仿宋" w:cs="仿宋"/>
        </w:rPr>
        <w:t>62</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09853880">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_Toc1265 </w:instrText>
      </w:r>
      <w:r>
        <w:rPr>
          <w:rFonts w:hint="eastAsia" w:ascii="仿宋" w:hAnsi="仿宋" w:eastAsia="仿宋" w:cs="仿宋"/>
          <w:highlight w:val="none"/>
        </w:rPr>
        <w:fldChar w:fldCharType="separate"/>
      </w:r>
      <w:r>
        <w:rPr>
          <w:rFonts w:hint="eastAsia" w:ascii="仿宋" w:hAnsi="仿宋" w:eastAsia="仿宋" w:cs="仿宋"/>
          <w:bCs/>
          <w:snapToGrid/>
          <w:kern w:val="0"/>
          <w:szCs w:val="28"/>
          <w:highlight w:val="none"/>
          <w:lang w:val="en-US" w:eastAsia="zh-CN"/>
        </w:rPr>
        <w:t>（十二）</w:t>
      </w:r>
      <w:r>
        <w:rPr>
          <w:rFonts w:hint="eastAsia" w:ascii="仿宋" w:hAnsi="仿宋" w:eastAsia="仿宋" w:cs="仿宋"/>
          <w:bCs/>
          <w:snapToGrid/>
          <w:kern w:val="0"/>
          <w:szCs w:val="28"/>
          <w:highlight w:val="none"/>
          <w:lang w:eastAsia="zh-CN"/>
        </w:rPr>
        <w:t>廉洁自律承诺书</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_Toc1265 \h </w:instrText>
      </w:r>
      <w:r>
        <w:rPr>
          <w:rFonts w:hint="eastAsia" w:ascii="仿宋" w:hAnsi="仿宋" w:eastAsia="仿宋" w:cs="仿宋"/>
        </w:rPr>
        <w:fldChar w:fldCharType="separate"/>
      </w:r>
      <w:r>
        <w:rPr>
          <w:rFonts w:hint="eastAsia" w:ascii="仿宋" w:hAnsi="仿宋" w:eastAsia="仿宋" w:cs="仿宋"/>
        </w:rPr>
        <w:t>63</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4F9E9F2B">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_Toc19902 </w:instrText>
      </w:r>
      <w:r>
        <w:rPr>
          <w:rFonts w:hint="eastAsia" w:ascii="仿宋" w:hAnsi="仿宋" w:eastAsia="仿宋" w:cs="仿宋"/>
          <w:highlight w:val="none"/>
        </w:rPr>
        <w:fldChar w:fldCharType="separate"/>
      </w:r>
      <w:r>
        <w:rPr>
          <w:rFonts w:hint="eastAsia" w:ascii="仿宋" w:hAnsi="仿宋" w:eastAsia="仿宋" w:cs="仿宋"/>
          <w:kern w:val="0"/>
          <w:szCs w:val="20"/>
          <w:lang w:val="en-US" w:eastAsia="zh-CN" w:bidi="ar-SA"/>
        </w:rPr>
        <w:t>（十三）</w:t>
      </w:r>
      <w:r>
        <w:rPr>
          <w:rFonts w:hint="eastAsia" w:ascii="仿宋" w:hAnsi="仿宋" w:eastAsia="仿宋" w:cs="仿宋"/>
          <w:highlight w:val="none"/>
        </w:rPr>
        <w:t>商务条款偏离表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_Toc19902 \h </w:instrText>
      </w:r>
      <w:r>
        <w:rPr>
          <w:rFonts w:hint="eastAsia" w:ascii="仿宋" w:hAnsi="仿宋" w:eastAsia="仿宋" w:cs="仿宋"/>
        </w:rPr>
        <w:fldChar w:fldCharType="separate"/>
      </w:r>
      <w:r>
        <w:rPr>
          <w:rFonts w:hint="eastAsia" w:ascii="仿宋" w:hAnsi="仿宋" w:eastAsia="仿宋" w:cs="仿宋"/>
        </w:rPr>
        <w:t>65</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18DD4FA7">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_Toc26525 </w:instrText>
      </w:r>
      <w:r>
        <w:rPr>
          <w:rFonts w:hint="eastAsia" w:ascii="仿宋" w:hAnsi="仿宋" w:eastAsia="仿宋" w:cs="仿宋"/>
          <w:highlight w:val="none"/>
        </w:rPr>
        <w:fldChar w:fldCharType="separate"/>
      </w:r>
      <w:r>
        <w:rPr>
          <w:rFonts w:hint="eastAsia" w:ascii="仿宋" w:hAnsi="仿宋" w:eastAsia="仿宋" w:cs="仿宋"/>
          <w:highlight w:val="none"/>
        </w:rPr>
        <w:t>（十</w:t>
      </w:r>
      <w:r>
        <w:rPr>
          <w:rFonts w:hint="eastAsia" w:ascii="仿宋" w:hAnsi="仿宋" w:eastAsia="仿宋" w:cs="仿宋"/>
          <w:highlight w:val="none"/>
          <w:lang w:val="en-US" w:eastAsia="zh-CN"/>
        </w:rPr>
        <w:t>四</w:t>
      </w:r>
      <w:r>
        <w:rPr>
          <w:rFonts w:hint="eastAsia" w:ascii="仿宋" w:hAnsi="仿宋" w:eastAsia="仿宋" w:cs="仿宋"/>
          <w:highlight w:val="none"/>
        </w:rPr>
        <w:t>）节能产品/环境标志产品承诺书（按需提供）</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_Toc26525 \h </w:instrText>
      </w:r>
      <w:r>
        <w:rPr>
          <w:rFonts w:hint="eastAsia" w:ascii="仿宋" w:hAnsi="仿宋" w:eastAsia="仿宋" w:cs="仿宋"/>
        </w:rPr>
        <w:fldChar w:fldCharType="separate"/>
      </w:r>
      <w:r>
        <w:rPr>
          <w:rFonts w:hint="eastAsia" w:ascii="仿宋" w:hAnsi="仿宋" w:eastAsia="仿宋" w:cs="仿宋"/>
        </w:rPr>
        <w:t>66</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6A6ECABF">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_Toc2400 </w:instrText>
      </w:r>
      <w:r>
        <w:rPr>
          <w:rFonts w:hint="eastAsia" w:ascii="仿宋" w:hAnsi="仿宋" w:eastAsia="仿宋" w:cs="仿宋"/>
          <w:highlight w:val="none"/>
        </w:rPr>
        <w:fldChar w:fldCharType="separate"/>
      </w:r>
      <w:r>
        <w:rPr>
          <w:rFonts w:hint="eastAsia" w:ascii="仿宋" w:hAnsi="仿宋" w:eastAsia="仿宋" w:cs="仿宋"/>
          <w:highlight w:val="none"/>
        </w:rPr>
        <w:t>（十</w:t>
      </w:r>
      <w:r>
        <w:rPr>
          <w:rFonts w:hint="eastAsia" w:ascii="仿宋" w:hAnsi="仿宋" w:eastAsia="仿宋" w:cs="仿宋"/>
          <w:highlight w:val="none"/>
          <w:lang w:val="en-US" w:eastAsia="zh-CN"/>
        </w:rPr>
        <w:t>五</w:t>
      </w:r>
      <w:r>
        <w:rPr>
          <w:rFonts w:hint="eastAsia" w:ascii="仿宋" w:hAnsi="仿宋" w:eastAsia="仿宋" w:cs="仿宋"/>
          <w:highlight w:val="none"/>
        </w:rPr>
        <w:t>）投标人信息表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_Toc2400 \h </w:instrText>
      </w:r>
      <w:r>
        <w:rPr>
          <w:rFonts w:hint="eastAsia" w:ascii="仿宋" w:hAnsi="仿宋" w:eastAsia="仿宋" w:cs="仿宋"/>
        </w:rPr>
        <w:fldChar w:fldCharType="separate"/>
      </w:r>
      <w:r>
        <w:rPr>
          <w:rFonts w:hint="eastAsia" w:ascii="仿宋" w:hAnsi="仿宋" w:eastAsia="仿宋" w:cs="仿宋"/>
        </w:rPr>
        <w:t>67</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12EF9636">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_Toc12644 </w:instrText>
      </w:r>
      <w:r>
        <w:rPr>
          <w:rFonts w:hint="eastAsia" w:ascii="仿宋" w:hAnsi="仿宋" w:eastAsia="仿宋" w:cs="仿宋"/>
          <w:highlight w:val="none"/>
        </w:rPr>
        <w:fldChar w:fldCharType="separate"/>
      </w:r>
      <w:r>
        <w:rPr>
          <w:rFonts w:hint="eastAsia" w:ascii="仿宋" w:hAnsi="仿宋" w:eastAsia="仿宋" w:cs="仿宋"/>
          <w:highlight w:val="none"/>
        </w:rPr>
        <w:t>（十</w:t>
      </w:r>
      <w:r>
        <w:rPr>
          <w:rFonts w:hint="eastAsia" w:ascii="仿宋" w:hAnsi="仿宋" w:eastAsia="仿宋" w:cs="仿宋"/>
          <w:highlight w:val="none"/>
          <w:lang w:val="en-US" w:eastAsia="zh-CN"/>
        </w:rPr>
        <w:t>六</w:t>
      </w:r>
      <w:r>
        <w:rPr>
          <w:rFonts w:hint="eastAsia" w:ascii="仿宋" w:hAnsi="仿宋" w:eastAsia="仿宋" w:cs="仿宋"/>
          <w:highlight w:val="none"/>
        </w:rPr>
        <w:t>）构成投标文件商务部分的其他资料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_Toc12644 \h </w:instrText>
      </w:r>
      <w:r>
        <w:rPr>
          <w:rFonts w:hint="eastAsia" w:ascii="仿宋" w:hAnsi="仿宋" w:eastAsia="仿宋" w:cs="仿宋"/>
        </w:rPr>
        <w:fldChar w:fldCharType="separate"/>
      </w:r>
      <w:r>
        <w:rPr>
          <w:rFonts w:hint="eastAsia" w:ascii="仿宋" w:hAnsi="仿宋" w:eastAsia="仿宋" w:cs="仿宋"/>
        </w:rPr>
        <w:t>68</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51A39961">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_Toc16153 </w:instrText>
      </w:r>
      <w:r>
        <w:rPr>
          <w:rFonts w:hint="eastAsia" w:ascii="仿宋" w:hAnsi="仿宋" w:eastAsia="仿宋" w:cs="仿宋"/>
          <w:highlight w:val="none"/>
        </w:rPr>
        <w:fldChar w:fldCharType="separate"/>
      </w:r>
      <w:r>
        <w:rPr>
          <w:rFonts w:hint="eastAsia" w:ascii="仿宋" w:hAnsi="仿宋" w:eastAsia="仿宋" w:cs="仿宋"/>
          <w:highlight w:val="none"/>
        </w:rPr>
        <w:t>四、技术部分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_Toc16153 \h </w:instrText>
      </w:r>
      <w:r>
        <w:rPr>
          <w:rFonts w:hint="eastAsia" w:ascii="仿宋" w:hAnsi="仿宋" w:eastAsia="仿宋" w:cs="仿宋"/>
        </w:rPr>
        <w:fldChar w:fldCharType="separate"/>
      </w:r>
      <w:r>
        <w:rPr>
          <w:rFonts w:hint="eastAsia" w:ascii="仿宋" w:hAnsi="仿宋" w:eastAsia="仿宋" w:cs="仿宋"/>
        </w:rPr>
        <w:t>69</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6C0F9170">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_Toc15272 </w:instrText>
      </w:r>
      <w:r>
        <w:rPr>
          <w:rFonts w:hint="eastAsia" w:ascii="仿宋" w:hAnsi="仿宋" w:eastAsia="仿宋" w:cs="仿宋"/>
          <w:highlight w:val="none"/>
        </w:rPr>
        <w:fldChar w:fldCharType="separate"/>
      </w:r>
      <w:r>
        <w:rPr>
          <w:rFonts w:hint="eastAsia" w:ascii="仿宋" w:hAnsi="仿宋" w:eastAsia="仿宋" w:cs="仿宋"/>
          <w:highlight w:val="none"/>
        </w:rPr>
        <w:t>（一）技术规格偏离表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_Toc15272 \h </w:instrText>
      </w:r>
      <w:r>
        <w:rPr>
          <w:rFonts w:hint="eastAsia" w:ascii="仿宋" w:hAnsi="仿宋" w:eastAsia="仿宋" w:cs="仿宋"/>
        </w:rPr>
        <w:fldChar w:fldCharType="separate"/>
      </w:r>
      <w:r>
        <w:rPr>
          <w:rFonts w:hint="eastAsia" w:ascii="仿宋" w:hAnsi="仿宋" w:eastAsia="仿宋" w:cs="仿宋"/>
        </w:rPr>
        <w:t>69</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33C71FAB">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_Toc28707 </w:instrText>
      </w:r>
      <w:r>
        <w:rPr>
          <w:rFonts w:hint="eastAsia" w:ascii="仿宋" w:hAnsi="仿宋" w:eastAsia="仿宋" w:cs="仿宋"/>
          <w:highlight w:val="none"/>
        </w:rPr>
        <w:fldChar w:fldCharType="separate"/>
      </w:r>
      <w:r>
        <w:rPr>
          <w:rFonts w:hint="eastAsia" w:ascii="仿宋" w:hAnsi="仿宋" w:eastAsia="仿宋" w:cs="仿宋"/>
          <w:highlight w:val="none"/>
        </w:rPr>
        <w:t>（二）技 术 文 件</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_Toc28707 \h </w:instrText>
      </w:r>
      <w:r>
        <w:rPr>
          <w:rFonts w:hint="eastAsia" w:ascii="仿宋" w:hAnsi="仿宋" w:eastAsia="仿宋" w:cs="仿宋"/>
        </w:rPr>
        <w:fldChar w:fldCharType="separate"/>
      </w:r>
      <w:r>
        <w:rPr>
          <w:rFonts w:hint="eastAsia" w:ascii="仿宋" w:hAnsi="仿宋" w:eastAsia="仿宋" w:cs="仿宋"/>
        </w:rPr>
        <w:t>70</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08EA2F91">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_Toc17064 </w:instrText>
      </w:r>
      <w:r>
        <w:rPr>
          <w:rFonts w:hint="eastAsia" w:ascii="仿宋" w:hAnsi="仿宋" w:eastAsia="仿宋" w:cs="仿宋"/>
          <w:highlight w:val="none"/>
        </w:rPr>
        <w:fldChar w:fldCharType="separate"/>
      </w:r>
      <w:r>
        <w:rPr>
          <w:rFonts w:hint="eastAsia" w:ascii="仿宋" w:hAnsi="仿宋" w:eastAsia="仿宋" w:cs="仿宋"/>
          <w:highlight w:val="none"/>
        </w:rPr>
        <w:t>（</w:t>
      </w:r>
      <w:r>
        <w:rPr>
          <w:rFonts w:hint="eastAsia" w:ascii="仿宋" w:hAnsi="仿宋" w:eastAsia="仿宋" w:cs="仿宋"/>
          <w:highlight w:val="none"/>
          <w:lang w:val="en-US" w:eastAsia="zh-CN"/>
        </w:rPr>
        <w:t>三</w:t>
      </w:r>
      <w:r>
        <w:rPr>
          <w:rFonts w:hint="eastAsia" w:ascii="仿宋" w:hAnsi="仿宋" w:eastAsia="仿宋" w:cs="仿宋"/>
          <w:highlight w:val="none"/>
        </w:rPr>
        <w:t>）构成投标文件技术部分的其他资料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_Toc17064 \h </w:instrText>
      </w:r>
      <w:r>
        <w:rPr>
          <w:rFonts w:hint="eastAsia" w:ascii="仿宋" w:hAnsi="仿宋" w:eastAsia="仿宋" w:cs="仿宋"/>
        </w:rPr>
        <w:fldChar w:fldCharType="separate"/>
      </w:r>
      <w:r>
        <w:rPr>
          <w:rFonts w:hint="eastAsia" w:ascii="仿宋" w:hAnsi="仿宋" w:eastAsia="仿宋" w:cs="仿宋"/>
        </w:rPr>
        <w:t>71</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4D589BE5">
      <w:pPr>
        <w:pStyle w:val="15"/>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_Toc28649 </w:instrText>
      </w:r>
      <w:r>
        <w:rPr>
          <w:rFonts w:hint="eastAsia" w:ascii="仿宋" w:hAnsi="仿宋" w:eastAsia="仿宋" w:cs="仿宋"/>
          <w:highlight w:val="none"/>
        </w:rPr>
        <w:fldChar w:fldCharType="separate"/>
      </w:r>
      <w:r>
        <w:rPr>
          <w:rFonts w:hint="eastAsia" w:ascii="仿宋" w:hAnsi="仿宋" w:eastAsia="仿宋" w:cs="仿宋"/>
          <w:lang w:val="en-US" w:eastAsia="zh-CN"/>
        </w:rPr>
        <w:t xml:space="preserve">第五章 </w:t>
      </w:r>
      <w:r>
        <w:rPr>
          <w:rFonts w:hint="eastAsia" w:ascii="仿宋" w:hAnsi="仿宋" w:eastAsia="仿宋" w:cs="仿宋"/>
          <w:highlight w:val="none"/>
          <w:lang w:val="en-US" w:eastAsia="zh-CN"/>
        </w:rPr>
        <w:t>采购需求及技术要求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_Toc28649 \h </w:instrText>
      </w:r>
      <w:r>
        <w:rPr>
          <w:rFonts w:hint="eastAsia" w:ascii="仿宋" w:hAnsi="仿宋" w:eastAsia="仿宋" w:cs="仿宋"/>
        </w:rPr>
        <w:fldChar w:fldCharType="separate"/>
      </w:r>
      <w:r>
        <w:rPr>
          <w:rFonts w:hint="eastAsia" w:ascii="仿宋" w:hAnsi="仿宋" w:eastAsia="仿宋" w:cs="仿宋"/>
        </w:rPr>
        <w:t>72</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46DEF1D1">
      <w:pPr>
        <w:pStyle w:val="15"/>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_Toc23464 </w:instrText>
      </w:r>
      <w:r>
        <w:rPr>
          <w:rFonts w:hint="eastAsia" w:ascii="仿宋" w:hAnsi="仿宋" w:eastAsia="仿宋" w:cs="仿宋"/>
          <w:highlight w:val="none"/>
        </w:rPr>
        <w:fldChar w:fldCharType="separate"/>
      </w:r>
      <w:r>
        <w:rPr>
          <w:rFonts w:hint="eastAsia" w:ascii="仿宋" w:hAnsi="仿宋" w:eastAsia="仿宋" w:cs="仿宋"/>
          <w:highlight w:val="none"/>
        </w:rPr>
        <w:t>第六章 资格评审标准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_Toc23464 \h </w:instrText>
      </w:r>
      <w:r>
        <w:rPr>
          <w:rFonts w:hint="eastAsia" w:ascii="仿宋" w:hAnsi="仿宋" w:eastAsia="仿宋" w:cs="仿宋"/>
        </w:rPr>
        <w:fldChar w:fldCharType="separate"/>
      </w:r>
      <w:r>
        <w:rPr>
          <w:rFonts w:hint="eastAsia" w:ascii="仿宋" w:hAnsi="仿宋" w:eastAsia="仿宋" w:cs="仿宋"/>
        </w:rPr>
        <w:t>85</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37D9B968">
      <w:pPr>
        <w:pStyle w:val="15"/>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_Toc22551 </w:instrText>
      </w:r>
      <w:r>
        <w:rPr>
          <w:rFonts w:hint="eastAsia" w:ascii="仿宋" w:hAnsi="仿宋" w:eastAsia="仿宋" w:cs="仿宋"/>
          <w:highlight w:val="none"/>
        </w:rPr>
        <w:fldChar w:fldCharType="separate"/>
      </w:r>
      <w:r>
        <w:rPr>
          <w:rFonts w:hint="eastAsia" w:ascii="仿宋" w:hAnsi="仿宋" w:eastAsia="仿宋" w:cs="仿宋"/>
          <w:highlight w:val="none"/>
        </w:rPr>
        <w:t>第七章 评标方法（综合评分法）</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_Toc22551 \h </w:instrText>
      </w:r>
      <w:r>
        <w:rPr>
          <w:rFonts w:hint="eastAsia" w:ascii="仿宋" w:hAnsi="仿宋" w:eastAsia="仿宋" w:cs="仿宋"/>
        </w:rPr>
        <w:fldChar w:fldCharType="separate"/>
      </w:r>
      <w:r>
        <w:rPr>
          <w:rFonts w:hint="eastAsia" w:ascii="仿宋" w:hAnsi="仿宋" w:eastAsia="仿宋" w:cs="仿宋"/>
        </w:rPr>
        <w:t>87</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03E5732F">
      <w:pPr>
        <w:pStyle w:val="16"/>
        <w:tabs>
          <w:tab w:val="right" w:leader="dot" w:pos="9779"/>
          <w:tab w:val="clear" w:pos="9628"/>
        </w:tabs>
        <w:rPr>
          <w:rFonts w:hint="eastAsia" w:ascii="仿宋" w:hAnsi="仿宋" w:eastAsia="仿宋" w:cs="仿宋"/>
        </w:rPr>
      </w:pPr>
      <w:r>
        <w:rPr>
          <w:rFonts w:hint="eastAsia" w:ascii="仿宋" w:hAnsi="仿宋" w:eastAsia="仿宋" w:cs="仿宋"/>
          <w:color w:val="auto"/>
          <w:highlight w:val="none"/>
        </w:rPr>
        <w:fldChar w:fldCharType="begin"/>
      </w:r>
      <w:r>
        <w:rPr>
          <w:rFonts w:hint="eastAsia" w:ascii="仿宋" w:hAnsi="仿宋" w:eastAsia="仿宋" w:cs="仿宋"/>
          <w:highlight w:val="none"/>
        </w:rPr>
        <w:instrText xml:space="preserve"> HYPERLINK \l _Toc5425 </w:instrText>
      </w:r>
      <w:r>
        <w:rPr>
          <w:rFonts w:hint="eastAsia" w:ascii="仿宋" w:hAnsi="仿宋" w:eastAsia="仿宋" w:cs="仿宋"/>
          <w:highlight w:val="none"/>
        </w:rPr>
        <w:fldChar w:fldCharType="separate"/>
      </w:r>
      <w:r>
        <w:rPr>
          <w:rFonts w:hint="eastAsia" w:ascii="仿宋" w:hAnsi="仿宋" w:eastAsia="仿宋" w:cs="仿宋"/>
          <w:highlight w:val="none"/>
        </w:rPr>
        <w:t>评标方法前附表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_Toc5425 \h </w:instrText>
      </w:r>
      <w:r>
        <w:rPr>
          <w:rFonts w:hint="eastAsia" w:ascii="仿宋" w:hAnsi="仿宋" w:eastAsia="仿宋" w:cs="仿宋"/>
        </w:rPr>
        <w:fldChar w:fldCharType="separate"/>
      </w:r>
      <w:r>
        <w:rPr>
          <w:rFonts w:hint="eastAsia" w:ascii="仿宋" w:hAnsi="仿宋" w:eastAsia="仿宋" w:cs="仿宋"/>
        </w:rPr>
        <w:t>87</w:t>
      </w:r>
      <w:r>
        <w:rPr>
          <w:rFonts w:hint="eastAsia" w:ascii="仿宋" w:hAnsi="仿宋" w:eastAsia="仿宋" w:cs="仿宋"/>
        </w:rPr>
        <w:fldChar w:fldCharType="end"/>
      </w:r>
      <w:r>
        <w:rPr>
          <w:rFonts w:hint="eastAsia" w:ascii="仿宋" w:hAnsi="仿宋" w:eastAsia="仿宋" w:cs="仿宋"/>
          <w:color w:val="auto"/>
          <w:highlight w:val="none"/>
        </w:rPr>
        <w:fldChar w:fldCharType="end"/>
      </w:r>
    </w:p>
    <w:p w14:paraId="036AB463">
      <w:pPr>
        <w:pStyle w:val="16"/>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fldChar w:fldCharType="end"/>
      </w:r>
    </w:p>
    <w:p w14:paraId="0CC3F362">
      <w:pPr>
        <w:rPr>
          <w:rFonts w:hint="eastAsia" w:ascii="仿宋" w:hAnsi="仿宋" w:eastAsia="仿宋" w:cs="仿宋"/>
          <w:color w:val="auto"/>
          <w:highlight w:val="none"/>
        </w:rPr>
      </w:pPr>
    </w:p>
    <w:p w14:paraId="73131E96">
      <w:pPr>
        <w:rPr>
          <w:rFonts w:hint="eastAsia" w:ascii="仿宋" w:hAnsi="仿宋" w:eastAsia="仿宋" w:cs="仿宋"/>
          <w:b/>
          <w:bCs/>
          <w:color w:val="auto"/>
          <w:kern w:val="2"/>
          <w:sz w:val="32"/>
          <w:szCs w:val="32"/>
          <w:highlight w:val="none"/>
          <w:lang w:val="en-US" w:eastAsia="zh-CN" w:bidi="ar-SA"/>
        </w:rPr>
      </w:pPr>
      <w:r>
        <w:rPr>
          <w:rFonts w:hint="eastAsia" w:ascii="仿宋" w:hAnsi="仿宋" w:eastAsia="仿宋" w:cs="仿宋"/>
          <w:b/>
          <w:bCs/>
          <w:color w:val="auto"/>
          <w:kern w:val="2"/>
          <w:sz w:val="32"/>
          <w:szCs w:val="32"/>
          <w:highlight w:val="none"/>
          <w:lang w:val="en-US" w:eastAsia="zh-CN" w:bidi="ar-SA"/>
        </w:rPr>
        <w:br w:type="page"/>
      </w:r>
    </w:p>
    <w:p w14:paraId="49D91684">
      <w:pPr>
        <w:pStyle w:val="2"/>
        <w:numPr>
          <w:ilvl w:val="0"/>
          <w:numId w:val="0"/>
        </w:numPr>
        <w:spacing w:line="360" w:lineRule="auto"/>
        <w:ind w:left="990" w:leftChars="0" w:hanging="990" w:firstLineChars="0"/>
        <w:jc w:val="center"/>
        <w:rPr>
          <w:rFonts w:hint="eastAsia" w:ascii="仿宋" w:hAnsi="仿宋" w:eastAsia="仿宋" w:cs="仿宋"/>
          <w:bCs/>
          <w:color w:val="auto"/>
          <w:kern w:val="2"/>
          <w:sz w:val="32"/>
          <w:szCs w:val="32"/>
          <w:highlight w:val="none"/>
        </w:rPr>
      </w:pPr>
      <w:bookmarkStart w:id="0" w:name="_Toc32500"/>
      <w:bookmarkStart w:id="1" w:name="_Toc29131"/>
      <w:r>
        <w:rPr>
          <w:rFonts w:hint="eastAsia" w:ascii="仿宋" w:hAnsi="仿宋" w:eastAsia="仿宋" w:cs="仿宋"/>
          <w:b/>
          <w:bCs/>
          <w:color w:val="auto"/>
          <w:kern w:val="2"/>
          <w:sz w:val="32"/>
          <w:szCs w:val="32"/>
          <w:highlight w:val="none"/>
          <w:lang w:val="en-US" w:eastAsia="zh-CN" w:bidi="ar-SA"/>
        </w:rPr>
        <w:t>第一章</w:t>
      </w:r>
      <w:r>
        <w:rPr>
          <w:rFonts w:hint="eastAsia" w:ascii="仿宋" w:hAnsi="仿宋" w:eastAsia="仿宋" w:cs="仿宋"/>
          <w:bCs/>
          <w:color w:val="auto"/>
          <w:kern w:val="2"/>
          <w:sz w:val="32"/>
          <w:szCs w:val="32"/>
          <w:highlight w:val="none"/>
          <w:lang w:val="en-US" w:eastAsia="zh-CN"/>
        </w:rPr>
        <w:t xml:space="preserve"> </w:t>
      </w:r>
      <w:r>
        <w:rPr>
          <w:rFonts w:hint="eastAsia" w:ascii="仿宋" w:hAnsi="仿宋" w:eastAsia="仿宋" w:cs="仿宋"/>
          <w:bCs/>
          <w:color w:val="auto"/>
          <w:kern w:val="2"/>
          <w:sz w:val="32"/>
          <w:szCs w:val="32"/>
          <w:highlight w:val="none"/>
        </w:rPr>
        <w:t>招标公告</w:t>
      </w:r>
      <w:bookmarkEnd w:id="0"/>
      <w:bookmarkEnd w:id="1"/>
    </w:p>
    <w:p w14:paraId="73DB9A15">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1"/>
        <w:rPr>
          <w:rFonts w:hint="eastAsia" w:ascii="仿宋" w:hAnsi="仿宋" w:eastAsia="仿宋" w:cs="仿宋"/>
          <w:b/>
          <w:bCs/>
          <w:color w:val="auto"/>
          <w:sz w:val="24"/>
          <w:szCs w:val="24"/>
          <w:highlight w:val="none"/>
        </w:rPr>
      </w:pPr>
      <w:bookmarkStart w:id="2" w:name="_Toc32051"/>
      <w:bookmarkStart w:id="3" w:name="_Toc9711"/>
      <w:r>
        <w:rPr>
          <w:rFonts w:hint="eastAsia" w:ascii="仿宋" w:hAnsi="仿宋" w:eastAsia="仿宋" w:cs="仿宋"/>
          <w:b/>
          <w:bCs/>
          <w:color w:val="auto"/>
          <w:sz w:val="24"/>
          <w:szCs w:val="24"/>
          <w:highlight w:val="none"/>
        </w:rPr>
        <w:t>项目概况</w:t>
      </w:r>
      <w:bookmarkEnd w:id="2"/>
      <w:bookmarkEnd w:id="3"/>
    </w:p>
    <w:p w14:paraId="26B73C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u w:val="single"/>
        </w:rPr>
        <w:t>安宁市第一人民医院神经外科专科手术器械及神经监护系统购置项目</w:t>
      </w:r>
      <w:r>
        <w:rPr>
          <w:rFonts w:hint="eastAsia" w:ascii="仿宋" w:hAnsi="仿宋" w:eastAsia="仿宋" w:cs="仿宋"/>
          <w:color w:val="auto"/>
          <w:kern w:val="0"/>
          <w:sz w:val="24"/>
          <w:szCs w:val="24"/>
          <w:highlight w:val="none"/>
        </w:rPr>
        <w:t>招标项目的潜在投标人</w:t>
      </w:r>
      <w:r>
        <w:rPr>
          <w:rFonts w:hint="eastAsia" w:ascii="仿宋" w:hAnsi="仿宋" w:eastAsia="仿宋" w:cs="仿宋"/>
          <w:color w:val="auto"/>
          <w:sz w:val="24"/>
          <w:szCs w:val="24"/>
          <w:highlight w:val="none"/>
        </w:rPr>
        <w:t>应在政采云平台（https://www.zcygov.cn/）获取招标文件，并于202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9月29日</w:t>
      </w:r>
      <w:r>
        <w:rPr>
          <w:rFonts w:hint="eastAsia" w:ascii="仿宋" w:hAnsi="仿宋" w:eastAsia="仿宋" w:cs="仿宋"/>
          <w:color w:val="auto"/>
          <w:sz w:val="24"/>
          <w:szCs w:val="24"/>
          <w:highlight w:val="none"/>
        </w:rPr>
        <w:t>09点30分（北京时间）前递交投标文件</w:t>
      </w:r>
    </w:p>
    <w:p w14:paraId="4A3AE1AC">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1"/>
        <w:rPr>
          <w:rFonts w:hint="eastAsia" w:ascii="仿宋" w:hAnsi="仿宋" w:eastAsia="仿宋" w:cs="仿宋"/>
          <w:b/>
          <w:bCs/>
          <w:color w:val="auto"/>
          <w:sz w:val="24"/>
          <w:szCs w:val="24"/>
          <w:highlight w:val="none"/>
        </w:rPr>
      </w:pPr>
      <w:bookmarkStart w:id="4" w:name="_Toc22132"/>
      <w:bookmarkStart w:id="5" w:name="_Toc26926"/>
      <w:r>
        <w:rPr>
          <w:rFonts w:hint="eastAsia" w:ascii="仿宋" w:hAnsi="仿宋" w:eastAsia="仿宋" w:cs="仿宋"/>
          <w:b/>
          <w:bCs/>
          <w:color w:val="auto"/>
          <w:sz w:val="24"/>
          <w:szCs w:val="24"/>
          <w:highlight w:val="none"/>
        </w:rPr>
        <w:t>一、项目基本情况</w:t>
      </w:r>
      <w:bookmarkEnd w:id="4"/>
      <w:bookmarkEnd w:id="5"/>
    </w:p>
    <w:p w14:paraId="2B964B2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1.1项目编号：YNJN-2025-48</w:t>
      </w:r>
    </w:p>
    <w:p w14:paraId="14FB2A4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1.2项目名称：安宁市第一人民医院神经外科专科手术器械及神经监护系统购置项目</w:t>
      </w:r>
    </w:p>
    <w:p w14:paraId="4DCF64F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1.3预算金额：115万元。</w:t>
      </w:r>
    </w:p>
    <w:p w14:paraId="538EED8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1.4最高限价：115万元</w:t>
      </w:r>
    </w:p>
    <w:p w14:paraId="4CFBB20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1.5采购需求：</w:t>
      </w:r>
    </w:p>
    <w:tbl>
      <w:tblPr>
        <w:tblStyle w:val="21"/>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5"/>
        <w:gridCol w:w="3135"/>
        <w:gridCol w:w="885"/>
        <w:gridCol w:w="1005"/>
        <w:gridCol w:w="1425"/>
        <w:gridCol w:w="1320"/>
        <w:gridCol w:w="1320"/>
      </w:tblGrid>
      <w:tr w14:paraId="36B26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55" w:type="dxa"/>
            <w:noWrap w:val="0"/>
            <w:vAlign w:val="center"/>
          </w:tcPr>
          <w:p w14:paraId="18AB1509">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3135" w:type="dxa"/>
            <w:noWrap w:val="0"/>
            <w:vAlign w:val="center"/>
          </w:tcPr>
          <w:p w14:paraId="2B584F3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设备名称</w:t>
            </w:r>
          </w:p>
        </w:tc>
        <w:tc>
          <w:tcPr>
            <w:tcW w:w="885" w:type="dxa"/>
            <w:noWrap w:val="0"/>
            <w:vAlign w:val="center"/>
          </w:tcPr>
          <w:p w14:paraId="2FDE6113">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数量</w:t>
            </w:r>
          </w:p>
        </w:tc>
        <w:tc>
          <w:tcPr>
            <w:tcW w:w="1005" w:type="dxa"/>
            <w:noWrap w:val="0"/>
            <w:vAlign w:val="center"/>
          </w:tcPr>
          <w:p w14:paraId="67D2842D">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1425" w:type="dxa"/>
            <w:noWrap w:val="0"/>
            <w:vAlign w:val="center"/>
          </w:tcPr>
          <w:p w14:paraId="0822C106">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预算</w:t>
            </w:r>
            <w:r>
              <w:rPr>
                <w:rFonts w:hint="eastAsia" w:ascii="仿宋" w:hAnsi="仿宋" w:eastAsia="仿宋" w:cs="仿宋"/>
                <w:color w:val="auto"/>
                <w:sz w:val="24"/>
                <w:szCs w:val="24"/>
                <w:highlight w:val="none"/>
                <w:lang w:val="en-US" w:eastAsia="zh-CN"/>
              </w:rPr>
              <w:t>单价（元）</w:t>
            </w:r>
          </w:p>
        </w:tc>
        <w:tc>
          <w:tcPr>
            <w:tcW w:w="1320" w:type="dxa"/>
            <w:noWrap w:val="0"/>
            <w:vAlign w:val="center"/>
          </w:tcPr>
          <w:p w14:paraId="0AFF45F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预算金额</w:t>
            </w:r>
            <w:r>
              <w:rPr>
                <w:rFonts w:hint="eastAsia" w:ascii="仿宋" w:hAnsi="仿宋" w:eastAsia="仿宋" w:cs="仿宋"/>
                <w:color w:val="auto"/>
                <w:sz w:val="24"/>
                <w:szCs w:val="24"/>
                <w:highlight w:val="none"/>
                <w:lang w:val="en-US" w:eastAsia="zh-CN"/>
              </w:rPr>
              <w:t>总价（元）</w:t>
            </w:r>
          </w:p>
        </w:tc>
        <w:tc>
          <w:tcPr>
            <w:tcW w:w="1320" w:type="dxa"/>
            <w:noWrap w:val="0"/>
            <w:vAlign w:val="center"/>
          </w:tcPr>
          <w:p w14:paraId="76C86BDD">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是否进口</w:t>
            </w:r>
          </w:p>
        </w:tc>
      </w:tr>
      <w:tr w14:paraId="57DE5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4" w:hRule="atLeast"/>
          <w:jc w:val="center"/>
        </w:trPr>
        <w:tc>
          <w:tcPr>
            <w:tcW w:w="555" w:type="dxa"/>
            <w:noWrap w:val="0"/>
            <w:vAlign w:val="center"/>
          </w:tcPr>
          <w:p w14:paraId="1DBC40F2">
            <w:pPr>
              <w:numPr>
                <w:ilvl w:val="0"/>
                <w:numId w:val="0"/>
              </w:numPr>
              <w:ind w:lef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3135" w:type="dxa"/>
            <w:noWrap w:val="0"/>
            <w:vAlign w:val="center"/>
          </w:tcPr>
          <w:p w14:paraId="76754A8E">
            <w:pPr>
              <w:widowControl w:val="0"/>
              <w:spacing w:line="360" w:lineRule="auto"/>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none"/>
                <w:lang w:val="en-US" w:eastAsia="zh-CN"/>
              </w:rPr>
              <w:t>专科手术器械</w:t>
            </w:r>
          </w:p>
        </w:tc>
        <w:tc>
          <w:tcPr>
            <w:tcW w:w="885" w:type="dxa"/>
            <w:noWrap w:val="0"/>
            <w:vAlign w:val="center"/>
          </w:tcPr>
          <w:p w14:paraId="087B5422">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05" w:type="dxa"/>
            <w:noWrap w:val="0"/>
            <w:vAlign w:val="center"/>
          </w:tcPr>
          <w:p w14:paraId="6A5403A1">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批</w:t>
            </w:r>
          </w:p>
        </w:tc>
        <w:tc>
          <w:tcPr>
            <w:tcW w:w="1425" w:type="dxa"/>
            <w:noWrap w:val="0"/>
            <w:vAlign w:val="center"/>
          </w:tcPr>
          <w:p w14:paraId="47CF8681">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400000</w:t>
            </w:r>
          </w:p>
        </w:tc>
        <w:tc>
          <w:tcPr>
            <w:tcW w:w="1320" w:type="dxa"/>
            <w:noWrap w:val="0"/>
            <w:vAlign w:val="center"/>
          </w:tcPr>
          <w:p w14:paraId="7568438D">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400000</w:t>
            </w:r>
          </w:p>
        </w:tc>
        <w:tc>
          <w:tcPr>
            <w:tcW w:w="1320" w:type="dxa"/>
            <w:noWrap w:val="0"/>
            <w:vAlign w:val="center"/>
          </w:tcPr>
          <w:p w14:paraId="741BC228">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r>
      <w:tr w14:paraId="7B1AC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555" w:type="dxa"/>
            <w:noWrap w:val="0"/>
            <w:vAlign w:val="center"/>
          </w:tcPr>
          <w:p w14:paraId="68D5D203">
            <w:pPr>
              <w:numPr>
                <w:ilvl w:val="0"/>
                <w:numId w:val="0"/>
              </w:numPr>
              <w:ind w:lef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3135" w:type="dxa"/>
            <w:noWrap w:val="0"/>
            <w:vAlign w:val="center"/>
          </w:tcPr>
          <w:p w14:paraId="3EDC33DE">
            <w:pPr>
              <w:widowControl w:val="0"/>
              <w:spacing w:line="360" w:lineRule="auto"/>
              <w:jc w:val="center"/>
              <w:outlineLvl w:val="9"/>
              <w:rPr>
                <w:rFonts w:hint="eastAsia" w:ascii="仿宋" w:hAnsi="仿宋" w:eastAsia="仿宋" w:cs="仿宋"/>
                <w:color w:val="auto"/>
                <w:sz w:val="24"/>
                <w:szCs w:val="24"/>
                <w:highlight w:val="none"/>
                <w:lang w:val="en-US" w:eastAsia="zh-CN"/>
              </w:rPr>
            </w:pPr>
            <w:r>
              <w:rPr>
                <w:rStyle w:val="29"/>
                <w:rFonts w:hint="eastAsia" w:eastAsia="仿宋"/>
                <w:color w:val="auto"/>
                <w:sz w:val="24"/>
                <w:szCs w:val="24"/>
                <w:highlight w:val="none"/>
                <w:lang w:val="en-US" w:eastAsia="zh-CN" w:bidi="ar"/>
              </w:rPr>
              <w:t>神经监护系统</w:t>
            </w:r>
          </w:p>
        </w:tc>
        <w:tc>
          <w:tcPr>
            <w:tcW w:w="885" w:type="dxa"/>
            <w:noWrap w:val="0"/>
            <w:vAlign w:val="center"/>
          </w:tcPr>
          <w:p w14:paraId="4DD300FD">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05" w:type="dxa"/>
            <w:noWrap w:val="0"/>
            <w:vAlign w:val="center"/>
          </w:tcPr>
          <w:p w14:paraId="30002486">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1425" w:type="dxa"/>
            <w:noWrap w:val="0"/>
            <w:vAlign w:val="center"/>
          </w:tcPr>
          <w:p w14:paraId="3711AC84">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750000</w:t>
            </w:r>
          </w:p>
        </w:tc>
        <w:tc>
          <w:tcPr>
            <w:tcW w:w="1320" w:type="dxa"/>
            <w:noWrap w:val="0"/>
            <w:vAlign w:val="center"/>
          </w:tcPr>
          <w:p w14:paraId="5D88494B">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750000</w:t>
            </w:r>
          </w:p>
        </w:tc>
        <w:tc>
          <w:tcPr>
            <w:tcW w:w="1320" w:type="dxa"/>
            <w:noWrap w:val="0"/>
            <w:vAlign w:val="center"/>
          </w:tcPr>
          <w:p w14:paraId="743851C5">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r>
      <w:tr w14:paraId="0EDCA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7005" w:type="dxa"/>
            <w:gridSpan w:val="5"/>
            <w:noWrap w:val="0"/>
            <w:vAlign w:val="center"/>
          </w:tcPr>
          <w:p w14:paraId="322D54BB">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合计（元）</w:t>
            </w:r>
          </w:p>
        </w:tc>
        <w:tc>
          <w:tcPr>
            <w:tcW w:w="2640" w:type="dxa"/>
            <w:gridSpan w:val="2"/>
            <w:noWrap w:val="0"/>
            <w:vAlign w:val="center"/>
          </w:tcPr>
          <w:p w14:paraId="51FF5428">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1150000</w:t>
            </w:r>
          </w:p>
        </w:tc>
      </w:tr>
    </w:tbl>
    <w:p w14:paraId="05D9A910">
      <w:pPr>
        <w:pStyle w:val="7"/>
        <w:rPr>
          <w:rFonts w:hint="eastAsia" w:ascii="仿宋" w:hAnsi="仿宋" w:eastAsia="仿宋" w:cs="仿宋"/>
          <w:b/>
          <w:bCs/>
          <w:sz w:val="24"/>
          <w:szCs w:val="24"/>
          <w:lang w:val="en-US" w:eastAsia="zh-CN"/>
        </w:rPr>
      </w:pPr>
      <w:r>
        <w:rPr>
          <w:rStyle w:val="27"/>
          <w:rFonts w:hint="eastAsia" w:ascii="仿宋" w:hAnsi="仿宋" w:eastAsia="仿宋" w:cs="仿宋"/>
          <w:b w:val="0"/>
          <w:color w:val="auto"/>
          <w:sz w:val="24"/>
          <w:szCs w:val="24"/>
          <w:highlight w:val="none"/>
          <w:lang w:val="en-US" w:eastAsia="zh-CN"/>
        </w:rPr>
        <w:t>★</w:t>
      </w:r>
      <w:r>
        <w:rPr>
          <w:rFonts w:hint="eastAsia" w:ascii="仿宋" w:hAnsi="仿宋" w:eastAsia="仿宋" w:cs="仿宋"/>
          <w:b/>
          <w:bCs/>
          <w:color w:val="auto"/>
          <w:sz w:val="24"/>
          <w:szCs w:val="24"/>
          <w:lang w:val="en-US" w:eastAsia="zh-CN"/>
        </w:rPr>
        <w:t>注：投标人须对所有产品进行整体投标报价，不得缺项漏项，否则按不响应招标文件实质性要求处理。</w:t>
      </w:r>
    </w:p>
    <w:p w14:paraId="3079A51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1.6合同履行期限：合同签订后30个日历天内所有货物抵达采购人指定地点安装、调试、一次性验收合格并交付采购人使用（各投标单位可根据实际情况自行报出合理的更短时间）</w:t>
      </w:r>
    </w:p>
    <w:p w14:paraId="4C187D95">
      <w:pPr>
        <w:pStyle w:val="7"/>
        <w:ind w:firstLine="480" w:firstLineChars="200"/>
        <w:rPr>
          <w:rFonts w:hint="eastAsia" w:ascii="仿宋" w:hAnsi="仿宋" w:eastAsia="仿宋" w:cs="仿宋"/>
          <w:highlight w:val="none"/>
          <w:lang w:val="en-US" w:eastAsia="zh-CN"/>
        </w:rPr>
      </w:pPr>
      <w:r>
        <w:rPr>
          <w:rFonts w:hint="eastAsia" w:ascii="仿宋" w:hAnsi="仿宋" w:eastAsia="仿宋" w:cs="仿宋"/>
          <w:color w:val="auto"/>
          <w:kern w:val="0"/>
          <w:sz w:val="24"/>
          <w:szCs w:val="24"/>
          <w:highlight w:val="none"/>
          <w:lang w:val="en-US" w:eastAsia="zh-CN" w:bidi="ar-SA"/>
        </w:rPr>
        <w:t>1.7交货地点：安宁市第一人民医院(用户指定地点)。</w:t>
      </w:r>
    </w:p>
    <w:p w14:paraId="51A894C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1.8本项目（否）接受联合体。</w:t>
      </w:r>
    </w:p>
    <w:p w14:paraId="1F6D6CFB">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1"/>
        <w:rPr>
          <w:rFonts w:hint="eastAsia" w:ascii="仿宋" w:hAnsi="仿宋" w:eastAsia="仿宋" w:cs="仿宋"/>
          <w:b/>
          <w:bCs/>
          <w:color w:val="auto"/>
          <w:sz w:val="24"/>
          <w:szCs w:val="24"/>
          <w:highlight w:val="none"/>
        </w:rPr>
      </w:pPr>
      <w:bookmarkStart w:id="6" w:name="_Toc7044"/>
      <w:bookmarkStart w:id="7" w:name="_Toc23431"/>
      <w:r>
        <w:rPr>
          <w:rFonts w:hint="eastAsia" w:ascii="仿宋" w:hAnsi="仿宋" w:eastAsia="仿宋" w:cs="仿宋"/>
          <w:b/>
          <w:bCs/>
          <w:color w:val="auto"/>
          <w:sz w:val="24"/>
          <w:szCs w:val="24"/>
          <w:highlight w:val="none"/>
        </w:rPr>
        <w:t>二、申请人的资格要求：</w:t>
      </w:r>
      <w:bookmarkEnd w:id="6"/>
      <w:bookmarkEnd w:id="7"/>
    </w:p>
    <w:p w14:paraId="077BC39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2.1、满足《中华人民共和国政府采购法》第二十二条规定；</w:t>
      </w:r>
    </w:p>
    <w:p w14:paraId="6A440958">
      <w:pPr>
        <w:spacing w:line="360" w:lineRule="auto"/>
        <w:ind w:firstLine="480"/>
        <w:rPr>
          <w:rFonts w:hint="eastAsia" w:ascii="仿宋" w:hAnsi="仿宋" w:eastAsia="仿宋" w:cs="仿宋"/>
          <w:color w:val="auto"/>
          <w:sz w:val="24"/>
        </w:rPr>
      </w:pPr>
      <w:r>
        <w:rPr>
          <w:rFonts w:hint="eastAsia" w:ascii="仿宋" w:hAnsi="仿宋" w:eastAsia="仿宋" w:cs="仿宋"/>
          <w:color w:val="auto"/>
          <w:kern w:val="0"/>
          <w:sz w:val="24"/>
          <w:szCs w:val="24"/>
          <w:highlight w:val="none"/>
          <w:lang w:val="en-US" w:eastAsia="zh-CN"/>
        </w:rPr>
        <w:t>2.1.1</w:t>
      </w:r>
      <w:r>
        <w:rPr>
          <w:rFonts w:hint="eastAsia" w:ascii="仿宋" w:hAnsi="仿宋" w:eastAsia="仿宋" w:cs="仿宋"/>
          <w:color w:val="auto"/>
          <w:sz w:val="24"/>
        </w:rPr>
        <w:t>具有独立承担民事责任的能力：提供企业有效的法人营业执照、社团组织法人营业执照、事业单位法人证书或自然人证明材料；</w:t>
      </w:r>
    </w:p>
    <w:p w14:paraId="62560F5C">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2.1.2具有良好的商业信誉和健全的财务会计制度；</w:t>
      </w:r>
    </w:p>
    <w:p w14:paraId="5DDDD10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投标人在本项目投标文件提交截止时间前，在“中国政府采购网”（www.ccgp.gov.cn）“政府采购严重违法失信行为记录名单”及“信用中国”网站（www.creditchina.gov.cn）“信用服务”查询栏中查询的信息记录（重大税收违法失信主体)及“中国执行信息公开网（zxgk.court.gov.cn）”查询栏中查询的信息记录（包括失信被执行人)未出现不良信用信息查询记录（查询结果以采购人、采购代理机构查询结果为准)。</w:t>
      </w:r>
    </w:p>
    <w:p w14:paraId="543D639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投标人成立一年以上的，提供近3年“2022年—2024年”任意一年的财务报告及财务报表(至少包括资产负债表、利润表、现金流量表)；若成立时间不足1年的，提供银行发出的资信证明或提供具有良好的商业信誉和健全的财务会计制度的承诺书（其一即可）。</w:t>
      </w:r>
    </w:p>
    <w:p w14:paraId="61ECE4E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2.1.3具有履行合同所必需的设备和专业技术能力，具备优良的售后服务能力，能满足本项目的供货和后续服务（提供证明材料或相关承诺）；</w:t>
      </w:r>
    </w:p>
    <w:p w14:paraId="7DFD60D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2.1.4具有依法缴纳税收和社会保障资金的良好记录；</w:t>
      </w:r>
    </w:p>
    <w:p w14:paraId="5C40FE0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投标人须提供在投标截止之日前十二个月内（税款所属时期）任意1个月的税务局税收通用缴款书复印件或银行电子缴税（费）凭证复印件或税务局出具纳税情况的相关证明。（成立未满1年的提供成立以来的税收缴纳凭证或相关情况说明；依法免税的，应提供相应文件证明）；</w:t>
      </w:r>
    </w:p>
    <w:p w14:paraId="33323D8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投标人须提供在投标截止之日前十二个月内（费款所属时期）任意1个月的社会保险费缴款书复印件或银行电子缴税（费）凭证复印件或社保管理部门出具的有效的缴款证明。（成立未满1年的提供成立以来的社保资金缴纳凭证或相关情况说明，依法免缴的，应提供依法免缴的相关证明文件)；</w:t>
      </w:r>
    </w:p>
    <w:p w14:paraId="7F7B88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2.1.5参加政府采购活动前三年内，在经营活动中没有重大违法记录（提供书面声明）；</w:t>
      </w:r>
    </w:p>
    <w:p w14:paraId="0926513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2.1.6法律、行政法规规定的其他条件。</w:t>
      </w:r>
    </w:p>
    <w:p w14:paraId="4779079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（1）单位负责人为同一人或者存在直接控股、管理关系的不同投标人不得参加同一合同项下的政府采购活动的。</w:t>
      </w:r>
    </w:p>
    <w:p w14:paraId="1E65196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（2）为采购项目提供整体设计、规范编制或者项目管理、监理、检测等服务的投标人不得再参加该采购项目的其他采购活动的。</w:t>
      </w:r>
    </w:p>
    <w:p w14:paraId="0840640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2.2、落实政府采购政策需满足的资格要求：</w:t>
      </w:r>
      <w:r>
        <w:rPr>
          <w:rFonts w:hint="eastAsia" w:ascii="仿宋" w:hAnsi="仿宋" w:eastAsia="仿宋" w:cs="仿宋"/>
          <w:i w:val="0"/>
          <w:iCs w:val="0"/>
          <w:color w:val="auto"/>
          <w:kern w:val="0"/>
          <w:sz w:val="24"/>
          <w:szCs w:val="24"/>
          <w:highlight w:val="none"/>
          <w:lang w:val="en-US" w:eastAsia="zh-CN" w:bidi="ar"/>
        </w:rPr>
        <w:t>本项目为非专门面向中小企业采购的项目。</w:t>
      </w:r>
    </w:p>
    <w:p w14:paraId="3193A27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2.3、本项目的特定资格要求：投标人如果是代理商或经销商，须提供医疗器械经营许可证/备案，所投产品制造商医疗器械生产许可证（制造商工商注册地在中华人民共和国境外的，不作此要求）、所投产品的医疗器械注册证及附件；投标人如果是制造商，须提供医疗器械生产许可证（制造商工商注册地在中华人民共和国境外的，不作此要求）、所投产品的医疗器械注册证及附件。医疗器械生产或经营许可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7D63D6F0">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1"/>
        <w:rPr>
          <w:rFonts w:hint="eastAsia" w:ascii="仿宋" w:hAnsi="仿宋" w:eastAsia="仿宋" w:cs="仿宋"/>
          <w:b/>
          <w:bCs/>
          <w:color w:val="auto"/>
          <w:sz w:val="24"/>
          <w:szCs w:val="24"/>
          <w:highlight w:val="none"/>
        </w:rPr>
      </w:pPr>
      <w:bookmarkStart w:id="8" w:name="_Toc20522"/>
      <w:bookmarkStart w:id="9" w:name="_Toc25169"/>
      <w:r>
        <w:rPr>
          <w:rFonts w:hint="eastAsia" w:ascii="仿宋" w:hAnsi="仿宋" w:eastAsia="仿宋" w:cs="仿宋"/>
          <w:b/>
          <w:bCs/>
          <w:color w:val="auto"/>
          <w:sz w:val="24"/>
          <w:szCs w:val="24"/>
          <w:highlight w:val="none"/>
        </w:rPr>
        <w:t>三、获取招标文件</w:t>
      </w:r>
      <w:bookmarkEnd w:id="8"/>
      <w:bookmarkEnd w:id="9"/>
    </w:p>
    <w:p w14:paraId="237BED3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3.1时间：2025年9 月5 日至2025年 9月12日23:59（北京时间，法定节假日除外）；</w:t>
      </w:r>
    </w:p>
    <w:p w14:paraId="3E51E00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3.2地点：政采云平台（https://www.zcygov.cn/）。</w:t>
      </w:r>
    </w:p>
    <w:p w14:paraId="48F7455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3.3方式：凡 有 意 参 加 投 标 者 ， 须 在 政 采 云 平 台 办 理 数 字 证 书 （ CA ），并在政采云绑定数字证书（CA）后在网上获取采购文件及其它采购资料，数字证书（CA）详见其办理流程。注：云南本地供应商如之前已在云南 CA在线数字证书办理网进行过注册并办理过企业数字证书（CA），直接绑定即可，无需重复办理（2022 年 1月 1 日前办理的云南 CA 需到云南 CA 办理处进行升级）。外省供应商在政采云平台办理的其他 CA 可直接使用，无需重复办理。按上述要求获取文件的供应商视为合法获取了本项目采购文件，具备本项目的投标资格。</w:t>
      </w:r>
    </w:p>
    <w:p w14:paraId="362AE67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3.4售价：0元</w:t>
      </w:r>
    </w:p>
    <w:p w14:paraId="25BBE56C">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1"/>
        <w:rPr>
          <w:rFonts w:hint="eastAsia" w:ascii="仿宋" w:hAnsi="仿宋" w:eastAsia="仿宋" w:cs="仿宋"/>
          <w:b/>
          <w:bCs/>
          <w:color w:val="auto"/>
          <w:sz w:val="24"/>
          <w:szCs w:val="24"/>
          <w:highlight w:val="none"/>
        </w:rPr>
      </w:pPr>
      <w:bookmarkStart w:id="10" w:name="_Toc20390"/>
      <w:bookmarkStart w:id="11" w:name="_Toc29280"/>
      <w:r>
        <w:rPr>
          <w:rFonts w:hint="eastAsia" w:ascii="仿宋" w:hAnsi="仿宋" w:eastAsia="仿宋" w:cs="仿宋"/>
          <w:b/>
          <w:bCs/>
          <w:color w:val="auto"/>
          <w:sz w:val="24"/>
          <w:szCs w:val="24"/>
          <w:highlight w:val="none"/>
        </w:rPr>
        <w:t>四、提交投标文件截止时间、开标时间和地点</w:t>
      </w:r>
      <w:bookmarkEnd w:id="10"/>
      <w:bookmarkEnd w:id="11"/>
    </w:p>
    <w:p w14:paraId="3FFD46B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4.1</w:t>
      </w:r>
      <w:r>
        <w:rPr>
          <w:rFonts w:hint="eastAsia" w:ascii="仿宋" w:hAnsi="仿宋" w:eastAsia="仿宋" w:cs="仿宋"/>
          <w:color w:val="auto"/>
          <w:sz w:val="24"/>
          <w:szCs w:val="24"/>
          <w:highlight w:val="none"/>
        </w:rPr>
        <w:t>截止时间：</w:t>
      </w:r>
      <w:r>
        <w:rPr>
          <w:rFonts w:hint="eastAsia" w:ascii="仿宋" w:hAnsi="仿宋" w:eastAsia="仿宋" w:cs="仿宋"/>
          <w:color w:val="auto"/>
          <w:sz w:val="24"/>
          <w:szCs w:val="24"/>
          <w:highlight w:val="none"/>
          <w:lang w:eastAsia="zh-CN"/>
        </w:rPr>
        <w:t>202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29</w:t>
      </w:r>
      <w:r>
        <w:rPr>
          <w:rFonts w:hint="eastAsia" w:ascii="仿宋" w:hAnsi="仿宋" w:eastAsia="仿宋" w:cs="仿宋"/>
          <w:color w:val="auto"/>
          <w:sz w:val="24"/>
          <w:szCs w:val="24"/>
          <w:highlight w:val="none"/>
          <w:lang w:eastAsia="zh-CN"/>
        </w:rPr>
        <w:t>日09点</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lang w:eastAsia="zh-CN"/>
        </w:rPr>
        <w:t>分</w:t>
      </w:r>
      <w:r>
        <w:rPr>
          <w:rFonts w:hint="eastAsia" w:ascii="仿宋" w:hAnsi="仿宋" w:eastAsia="仿宋" w:cs="仿宋"/>
          <w:bCs/>
          <w:color w:val="auto"/>
          <w:sz w:val="24"/>
          <w:szCs w:val="24"/>
          <w:highlight w:val="none"/>
        </w:rPr>
        <w:t>（北京时间）</w:t>
      </w:r>
      <w:r>
        <w:rPr>
          <w:rFonts w:hint="eastAsia" w:ascii="仿宋" w:hAnsi="仿宋" w:eastAsia="仿宋" w:cs="仿宋"/>
          <w:iCs/>
          <w:color w:val="auto"/>
          <w:sz w:val="24"/>
          <w:szCs w:val="24"/>
          <w:highlight w:val="none"/>
        </w:rPr>
        <w:t>；</w:t>
      </w:r>
    </w:p>
    <w:p w14:paraId="0EC841E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lang w:val="en-US" w:eastAsia="zh-CN"/>
        </w:rPr>
        <w:t>4.2</w:t>
      </w:r>
      <w:r>
        <w:rPr>
          <w:rFonts w:hint="eastAsia" w:ascii="仿宋" w:hAnsi="仿宋" w:eastAsia="仿宋" w:cs="仿宋"/>
          <w:color w:val="auto"/>
          <w:sz w:val="24"/>
          <w:szCs w:val="24"/>
          <w:highlight w:val="none"/>
        </w:rPr>
        <w:t>地点：供应商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在递交投标文件截止时间后，由采购代理机构在"政采云"平台下达解密投标文件命令，投标人须在规定时间内（60分钟）完成解密，否则视为撤回投标文件。</w:t>
      </w:r>
    </w:p>
    <w:p w14:paraId="131AA614">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1"/>
        <w:rPr>
          <w:rFonts w:hint="eastAsia" w:ascii="仿宋" w:hAnsi="仿宋" w:eastAsia="仿宋" w:cs="仿宋"/>
          <w:b/>
          <w:bCs/>
          <w:color w:val="auto"/>
          <w:sz w:val="24"/>
          <w:szCs w:val="24"/>
          <w:highlight w:val="none"/>
        </w:rPr>
      </w:pPr>
      <w:bookmarkStart w:id="12" w:name="_Toc23328"/>
      <w:bookmarkStart w:id="13" w:name="_Toc15892"/>
      <w:r>
        <w:rPr>
          <w:rFonts w:hint="eastAsia" w:ascii="仿宋" w:hAnsi="仿宋" w:eastAsia="仿宋" w:cs="仿宋"/>
          <w:b/>
          <w:bCs/>
          <w:color w:val="auto"/>
          <w:sz w:val="24"/>
          <w:szCs w:val="24"/>
          <w:highlight w:val="none"/>
        </w:rPr>
        <w:t>五、公告期限</w:t>
      </w:r>
      <w:bookmarkEnd w:id="12"/>
      <w:bookmarkEnd w:id="13"/>
    </w:p>
    <w:p w14:paraId="0B86AB1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自本公告发布之日起5个工作日。</w:t>
      </w:r>
    </w:p>
    <w:p w14:paraId="223186E3">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1"/>
        <w:rPr>
          <w:rFonts w:hint="eastAsia" w:ascii="仿宋" w:hAnsi="仿宋" w:eastAsia="仿宋" w:cs="仿宋"/>
          <w:b/>
          <w:bCs/>
          <w:color w:val="auto"/>
          <w:sz w:val="24"/>
          <w:szCs w:val="24"/>
          <w:highlight w:val="none"/>
        </w:rPr>
      </w:pPr>
      <w:bookmarkStart w:id="14" w:name="_Toc7317"/>
      <w:bookmarkStart w:id="15" w:name="_Toc905"/>
      <w:r>
        <w:rPr>
          <w:rFonts w:hint="eastAsia" w:ascii="仿宋" w:hAnsi="仿宋" w:eastAsia="仿宋" w:cs="仿宋"/>
          <w:b/>
          <w:bCs/>
          <w:color w:val="auto"/>
          <w:sz w:val="24"/>
          <w:szCs w:val="24"/>
          <w:highlight w:val="none"/>
        </w:rPr>
        <w:t>六、其他补充事宜：</w:t>
      </w:r>
      <w:bookmarkEnd w:id="14"/>
      <w:bookmarkEnd w:id="15"/>
    </w:p>
    <w:p w14:paraId="70FBAF1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6.1</w:t>
      </w:r>
      <w:r>
        <w:rPr>
          <w:rFonts w:hint="eastAsia" w:ascii="仿宋" w:hAnsi="仿宋" w:eastAsia="仿宋" w:cs="仿宋"/>
          <w:color w:val="auto"/>
          <w:sz w:val="24"/>
          <w:szCs w:val="24"/>
          <w:highlight w:val="none"/>
        </w:rPr>
        <w:t>开标方式：网上开标</w:t>
      </w:r>
    </w:p>
    <w:p w14:paraId="269ACE0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6.2</w:t>
      </w:r>
      <w:r>
        <w:rPr>
          <w:rFonts w:hint="eastAsia" w:ascii="仿宋" w:hAnsi="仿宋" w:eastAsia="仿宋" w:cs="仿宋"/>
          <w:color w:val="auto"/>
          <w:sz w:val="24"/>
          <w:szCs w:val="24"/>
          <w:highlight w:val="none"/>
        </w:rPr>
        <w:t>是否需要缴纳投标保证金：</w:t>
      </w:r>
      <w:r>
        <w:rPr>
          <w:rFonts w:hint="eastAsia" w:ascii="仿宋" w:hAnsi="仿宋" w:eastAsia="仿宋" w:cs="仿宋"/>
          <w:color w:val="auto"/>
          <w:sz w:val="24"/>
          <w:szCs w:val="24"/>
          <w:highlight w:val="none"/>
          <w:u w:val="single"/>
          <w:lang w:val="en-US" w:eastAsia="zh-CN"/>
        </w:rPr>
        <w:t>是</w:t>
      </w:r>
    </w:p>
    <w:p w14:paraId="50E2F274">
      <w:pPr>
        <w:pageBreakBefore w:val="0"/>
        <w:widowControl w:val="0"/>
        <w:kinsoku/>
        <w:wordWrap/>
        <w:overflowPunct/>
        <w:topLinePunct w:val="0"/>
        <w:autoSpaceDE/>
        <w:autoSpaceDN/>
        <w:bidi w:val="0"/>
        <w:adjustRightInd/>
        <w:snapToGrid w:val="0"/>
        <w:spacing w:line="360" w:lineRule="auto"/>
        <w:ind w:firstLine="960" w:firstLineChars="400"/>
        <w:textAlignment w:val="auto"/>
        <w:rPr>
          <w:rFonts w:hint="eastAsia" w:ascii="仿宋" w:hAnsi="仿宋" w:eastAsia="仿宋" w:cs="仿宋"/>
          <w:bCs w:val="0"/>
          <w:color w:val="auto"/>
          <w:spacing w:val="0"/>
          <w:sz w:val="24"/>
          <w:szCs w:val="24"/>
          <w:highlight w:val="none"/>
          <w:u w:val="single"/>
          <w:lang w:val="en-US" w:eastAsia="zh-CN"/>
        </w:rPr>
      </w:pPr>
      <w:r>
        <w:rPr>
          <w:rFonts w:hint="eastAsia" w:ascii="仿宋" w:hAnsi="仿宋" w:eastAsia="仿宋" w:cs="仿宋"/>
          <w:bCs w:val="0"/>
          <w:color w:val="auto"/>
          <w:spacing w:val="0"/>
          <w:sz w:val="24"/>
          <w:szCs w:val="24"/>
          <w:highlight w:val="none"/>
          <w:u w:val="single"/>
          <w:lang w:val="en-US" w:eastAsia="zh-CN"/>
        </w:rPr>
        <w:t>保证金金额：¥：11000.00（元）</w:t>
      </w:r>
    </w:p>
    <w:p w14:paraId="73DEC039">
      <w:pPr>
        <w:pageBreakBefore w:val="0"/>
        <w:widowControl w:val="0"/>
        <w:kinsoku/>
        <w:wordWrap/>
        <w:overflowPunct/>
        <w:topLinePunct w:val="0"/>
        <w:autoSpaceDE/>
        <w:autoSpaceDN/>
        <w:bidi w:val="0"/>
        <w:adjustRightInd/>
        <w:snapToGrid w:val="0"/>
        <w:spacing w:line="360" w:lineRule="auto"/>
        <w:ind w:firstLine="960" w:firstLineChars="400"/>
        <w:textAlignment w:val="auto"/>
        <w:rPr>
          <w:rFonts w:hint="eastAsia" w:ascii="仿宋" w:hAnsi="仿宋" w:eastAsia="仿宋" w:cs="仿宋"/>
          <w:bCs w:val="0"/>
          <w:color w:val="auto"/>
          <w:spacing w:val="0"/>
          <w:sz w:val="24"/>
          <w:szCs w:val="24"/>
          <w:highlight w:val="none"/>
          <w:u w:val="single"/>
          <w:lang w:val="en-US" w:eastAsia="zh-CN"/>
        </w:rPr>
      </w:pPr>
      <w:r>
        <w:rPr>
          <w:rFonts w:hint="eastAsia" w:ascii="仿宋" w:hAnsi="仿宋" w:eastAsia="仿宋" w:cs="仿宋"/>
          <w:bCs w:val="0"/>
          <w:color w:val="auto"/>
          <w:spacing w:val="0"/>
          <w:sz w:val="24"/>
          <w:szCs w:val="24"/>
          <w:highlight w:val="none"/>
          <w:u w:val="single"/>
          <w:lang w:val="en-US" w:eastAsia="zh-CN"/>
        </w:rPr>
        <w:t>保证金缴纳方式：银行转账、保函等非现金的形式</w:t>
      </w:r>
    </w:p>
    <w:p w14:paraId="384055E6">
      <w:pPr>
        <w:pageBreakBefore w:val="0"/>
        <w:widowControl w:val="0"/>
        <w:kinsoku/>
        <w:wordWrap/>
        <w:overflowPunct/>
        <w:topLinePunct w:val="0"/>
        <w:autoSpaceDE/>
        <w:autoSpaceDN/>
        <w:bidi w:val="0"/>
        <w:adjustRightInd/>
        <w:snapToGrid w:val="0"/>
        <w:spacing w:line="360" w:lineRule="auto"/>
        <w:ind w:firstLine="960" w:firstLineChars="400"/>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bCs w:val="0"/>
          <w:color w:val="auto"/>
          <w:spacing w:val="0"/>
          <w:sz w:val="24"/>
          <w:szCs w:val="24"/>
          <w:highlight w:val="none"/>
          <w:u w:val="single"/>
          <w:lang w:val="en-US" w:eastAsia="zh-CN"/>
        </w:rPr>
        <w:t>保证金缴纳截止时间：同提交投标文件截止时间</w:t>
      </w:r>
    </w:p>
    <w:p w14:paraId="647483E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6.3</w:t>
      </w:r>
      <w:r>
        <w:rPr>
          <w:rFonts w:hint="eastAsia" w:ascii="仿宋" w:hAnsi="仿宋" w:eastAsia="仿宋" w:cs="仿宋"/>
          <w:color w:val="auto"/>
          <w:sz w:val="24"/>
          <w:szCs w:val="24"/>
          <w:highlight w:val="none"/>
        </w:rPr>
        <w:t>其他：</w:t>
      </w:r>
    </w:p>
    <w:p w14:paraId="0083A71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本项目公告发布媒体：本次招标公告在《云南省政府采购网》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安宁市第一人民医院官网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上发布，采购人及采购代理机构对其他网站发布或转载的公告内容不承担任何责任。</w:t>
      </w:r>
    </w:p>
    <w:p w14:paraId="62FE0488">
      <w:pPr>
        <w:pStyle w:val="26"/>
        <w:pageBreakBefore w:val="0"/>
        <w:widowControl w:val="0"/>
        <w:kinsoku/>
        <w:wordWrap/>
        <w:overflowPunct/>
        <w:topLinePunct w:val="0"/>
        <w:autoSpaceDE/>
        <w:autoSpaceDN/>
        <w:bidi w:val="0"/>
        <w:adjustRightInd/>
        <w:snapToGrid/>
        <w:spacing w:line="396" w:lineRule="auto"/>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（2）关于本次采购活动有关事宜，如对本公告和招标文件进行修改、补遗、更正等，将通过“云南省政府采购网”发布通知，在投标截止前，投标人自行查阅，不再另行通知。</w:t>
      </w:r>
    </w:p>
    <w:p w14:paraId="1E14AE53">
      <w:pPr>
        <w:pStyle w:val="26"/>
        <w:pageBreakBefore w:val="0"/>
        <w:widowControl w:val="0"/>
        <w:kinsoku/>
        <w:wordWrap/>
        <w:overflowPunct/>
        <w:topLinePunct w:val="0"/>
        <w:autoSpaceDE/>
        <w:autoSpaceDN/>
        <w:bidi w:val="0"/>
        <w:adjustRightInd/>
        <w:snapToGrid/>
        <w:spacing w:line="396"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（3）无论招标结果如何，采购人和代理机构不承担投标人准备投标文件和递交投标文件以及参加本次招标活动所发生的任何成本或费用。</w:t>
      </w:r>
    </w:p>
    <w:p w14:paraId="61E2A601">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投标人须对</w:t>
      </w:r>
      <w:r>
        <w:rPr>
          <w:rFonts w:hint="eastAsia" w:ascii="仿宋" w:hAnsi="仿宋" w:eastAsia="仿宋" w:cs="仿宋"/>
          <w:color w:val="auto"/>
          <w:sz w:val="24"/>
          <w:szCs w:val="24"/>
          <w:highlight w:val="none"/>
          <w:lang w:val="en-US" w:eastAsia="zh-CN"/>
        </w:rPr>
        <w:t>各</w:t>
      </w:r>
      <w:r>
        <w:rPr>
          <w:rFonts w:hint="eastAsia" w:ascii="仿宋" w:hAnsi="仿宋" w:eastAsia="仿宋" w:cs="仿宋"/>
          <w:color w:val="auto"/>
          <w:sz w:val="24"/>
          <w:szCs w:val="24"/>
          <w:highlight w:val="none"/>
        </w:rPr>
        <w:t>所有内容进行整体投标，不得缺项漏项，否则按不实质性响应招标文件处理。</w:t>
      </w:r>
    </w:p>
    <w:p w14:paraId="32C5C1F6">
      <w:pPr>
        <w:keepNext w:val="0"/>
        <w:keepLines w:val="0"/>
        <w:pageBreakBefore w:val="0"/>
        <w:widowControl w:val="0"/>
        <w:kinsoku/>
        <w:wordWrap/>
        <w:overflowPunct/>
        <w:topLinePunct w:val="0"/>
        <w:autoSpaceDE/>
        <w:autoSpaceDN/>
        <w:bidi w:val="0"/>
        <w:adjustRightInd/>
        <w:snapToGrid w:val="0"/>
        <w:spacing w:line="360" w:lineRule="auto"/>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质量</w:t>
      </w:r>
      <w:r>
        <w:rPr>
          <w:rFonts w:hint="eastAsia" w:ascii="仿宋" w:hAnsi="仿宋" w:eastAsia="仿宋" w:cs="仿宋"/>
          <w:color w:val="auto"/>
          <w:sz w:val="24"/>
          <w:szCs w:val="24"/>
          <w:highlight w:val="none"/>
          <w:lang w:val="en-US" w:eastAsia="zh-CN"/>
        </w:rPr>
        <w:t>要求</w:t>
      </w:r>
      <w:r>
        <w:rPr>
          <w:rFonts w:hint="eastAsia" w:ascii="仿宋" w:hAnsi="仿宋" w:eastAsia="仿宋" w:cs="仿宋"/>
          <w:color w:val="auto"/>
          <w:sz w:val="24"/>
          <w:szCs w:val="24"/>
          <w:highlight w:val="none"/>
        </w:rPr>
        <w:t>：产品及服务质量符合国家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地方</w:t>
      </w:r>
      <w:r>
        <w:rPr>
          <w:rFonts w:hint="eastAsia" w:ascii="仿宋" w:hAnsi="仿宋" w:eastAsia="仿宋" w:cs="仿宋"/>
          <w:color w:val="auto"/>
          <w:sz w:val="24"/>
          <w:szCs w:val="24"/>
          <w:highlight w:val="none"/>
        </w:rPr>
        <w:t>相关标准并满足采购人要求。</w:t>
      </w:r>
    </w:p>
    <w:p w14:paraId="167D13AD">
      <w:pPr>
        <w:keepNext w:val="0"/>
        <w:keepLines w:val="0"/>
        <w:pageBreakBefore w:val="0"/>
        <w:widowControl w:val="0"/>
        <w:kinsoku/>
        <w:wordWrap/>
        <w:overflowPunct/>
        <w:topLinePunct w:val="0"/>
        <w:autoSpaceDE/>
        <w:autoSpaceDN/>
        <w:bidi w:val="0"/>
        <w:adjustRightInd/>
        <w:snapToGrid w:val="0"/>
        <w:spacing w:line="360" w:lineRule="auto"/>
        <w:ind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本次采购不接受进口产品，进口产品是指通过中国海关报关验放进入中国境内且产自关境外的产品。</w:t>
      </w:r>
    </w:p>
    <w:p w14:paraId="30AAF2C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6.4</w:t>
      </w:r>
      <w:r>
        <w:rPr>
          <w:rFonts w:hint="eastAsia" w:ascii="仿宋" w:hAnsi="仿宋" w:eastAsia="仿宋" w:cs="仿宋"/>
          <w:color w:val="auto"/>
          <w:sz w:val="24"/>
          <w:szCs w:val="24"/>
          <w:highlight w:val="none"/>
        </w:rPr>
        <w:t>注意事项：</w:t>
      </w:r>
    </w:p>
    <w:p w14:paraId="608214D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本项目为不见面开标，投标单位无需到达现场；</w:t>
      </w:r>
    </w:p>
    <w:p w14:paraId="0E92C32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本项目实行网上投标，采用电子投标文件；</w:t>
      </w:r>
    </w:p>
    <w:p w14:paraId="367038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各供应商在开标前应确保成为政采云平台供应商，并完成CA数字证书申领。因未注册入库、未办理CA数字证书等原因造成无法投标或投标失败等后果由供应商自行承担。 凡有意参加投标的供应商，须在政采云平台办理数字证书（CA）CA申领链接：https://middle.zcygov.cn/ca/apply/list?_app_=zcy.sys，并 通过政采云绑定数字证书（CA）后在网上获取采购文件及其它采购资料，数字证书（CA）详见其办理流程；</w:t>
      </w:r>
    </w:p>
    <w:p w14:paraId="121382B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供应商将政采云电子交易客户端下载、安装完成后，可通过账号密码或CA登录客户端进行投标文件的制作。在使用政采云投标客户端时，建议使用WIN7（64位）及以上操作系统。客户端请至政采云公司网站（https://edu.zcygov.cn/）进行查看下载，如有问题可拨打政采云客户服务热线400-881-7190进行咨询以及云南CA操作问题</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请致电云南CA</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4006727666； 云南CA紧急联系方式：15288315056。如因供应商自身原因导致在规定时间内无法正常解密的（如：浏览器故障、未安装相关驱动、网络故障、加密CA与解密CA不一致等），代理机构不予异常处理，视为供应商自动弃标。</w:t>
      </w:r>
    </w:p>
    <w:p w14:paraId="76C3E983">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1"/>
        <w:rPr>
          <w:rFonts w:hint="eastAsia" w:ascii="仿宋" w:hAnsi="仿宋" w:eastAsia="仿宋" w:cs="仿宋"/>
          <w:b/>
          <w:bCs/>
          <w:color w:val="auto"/>
          <w:sz w:val="24"/>
          <w:szCs w:val="24"/>
          <w:highlight w:val="none"/>
        </w:rPr>
      </w:pPr>
      <w:bookmarkStart w:id="16" w:name="_Toc29279"/>
      <w:bookmarkStart w:id="17" w:name="_Toc6656"/>
      <w:r>
        <w:rPr>
          <w:rFonts w:hint="eastAsia" w:ascii="仿宋" w:hAnsi="仿宋" w:eastAsia="仿宋" w:cs="仿宋"/>
          <w:b/>
          <w:bCs/>
          <w:color w:val="auto"/>
          <w:sz w:val="24"/>
          <w:szCs w:val="24"/>
          <w:highlight w:val="none"/>
        </w:rPr>
        <w:t>七、对本次招标提出询问，请按以下方式联系。</w:t>
      </w:r>
      <w:bookmarkEnd w:id="16"/>
      <w:bookmarkEnd w:id="17"/>
    </w:p>
    <w:p w14:paraId="7AAD409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1.采购人信息</w:t>
      </w:r>
    </w:p>
    <w:p w14:paraId="27351D4A">
      <w:pPr>
        <w:pageBreakBefore w:val="0"/>
        <w:kinsoku/>
        <w:overflowPunct/>
        <w:bidi w:val="0"/>
        <w:spacing w:line="360" w:lineRule="auto"/>
        <w:ind w:firstLine="722" w:firstLineChars="301"/>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名 称：安宁市第一人民医院</w:t>
      </w:r>
    </w:p>
    <w:p w14:paraId="3368EB76">
      <w:pPr>
        <w:pageBreakBefore w:val="0"/>
        <w:kinsoku/>
        <w:overflowPunct/>
        <w:bidi w:val="0"/>
        <w:spacing w:line="360" w:lineRule="auto"/>
        <w:ind w:firstLine="722" w:firstLineChars="301"/>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地  址：</w:t>
      </w:r>
      <w:r>
        <w:rPr>
          <w:rFonts w:hint="eastAsia" w:ascii="仿宋" w:hAnsi="仿宋" w:eastAsia="仿宋" w:cs="仿宋"/>
          <w:color w:val="auto"/>
          <w:sz w:val="24"/>
          <w:szCs w:val="24"/>
          <w:highlight w:val="none"/>
          <w:u w:val="none"/>
          <w:lang w:eastAsia="zh-CN"/>
        </w:rPr>
        <w:t>云南省安宁市金方街道望湖居民委员会钢河南路2号</w:t>
      </w:r>
    </w:p>
    <w:p w14:paraId="033169CB">
      <w:pPr>
        <w:pageBreakBefore w:val="0"/>
        <w:kinsoku/>
        <w:overflowPunct/>
        <w:bidi w:val="0"/>
        <w:spacing w:line="360" w:lineRule="auto"/>
        <w:ind w:firstLine="722" w:firstLineChars="301"/>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联系方式：0871-68399067</w:t>
      </w:r>
    </w:p>
    <w:p w14:paraId="5F6D6BE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2.采购代理机构信息</w:t>
      </w:r>
    </w:p>
    <w:p w14:paraId="74E2CE5E">
      <w:pPr>
        <w:pageBreakBefore w:val="0"/>
        <w:kinsoku/>
        <w:overflowPunct/>
        <w:bidi w:val="0"/>
        <w:spacing w:line="360" w:lineRule="auto"/>
        <w:ind w:firstLine="722" w:firstLineChars="301"/>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rPr>
        <w:t>名称：</w:t>
      </w:r>
      <w:r>
        <w:rPr>
          <w:rFonts w:hint="eastAsia" w:ascii="仿宋" w:hAnsi="仿宋" w:eastAsia="仿宋" w:cs="仿宋"/>
          <w:color w:val="auto"/>
          <w:sz w:val="24"/>
          <w:szCs w:val="24"/>
          <w:highlight w:val="none"/>
          <w:u w:val="none"/>
          <w:lang w:eastAsia="zh-CN"/>
        </w:rPr>
        <w:t>云南金诺招标代理有限公司</w:t>
      </w:r>
    </w:p>
    <w:p w14:paraId="63D75DDF">
      <w:pPr>
        <w:pageBreakBefore w:val="0"/>
        <w:kinsoku/>
        <w:overflowPunct/>
        <w:bidi w:val="0"/>
        <w:spacing w:line="360" w:lineRule="auto"/>
        <w:ind w:firstLine="722" w:firstLineChars="301"/>
        <w:textAlignment w:val="auto"/>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rPr>
        <w:t>地址：</w:t>
      </w:r>
      <w:r>
        <w:rPr>
          <w:rFonts w:hint="eastAsia" w:ascii="仿宋" w:hAnsi="仿宋" w:eastAsia="仿宋" w:cs="仿宋"/>
          <w:color w:val="auto"/>
          <w:sz w:val="24"/>
          <w:szCs w:val="24"/>
          <w:highlight w:val="none"/>
          <w:u w:val="none"/>
          <w:lang w:eastAsia="zh-CN"/>
        </w:rPr>
        <w:t>云南省昆明市滇池国家旅游度假区迎海路8号金都商集</w:t>
      </w:r>
      <w:r>
        <w:rPr>
          <w:rFonts w:hint="eastAsia" w:ascii="仿宋" w:hAnsi="仿宋" w:eastAsia="仿宋" w:cs="仿宋"/>
          <w:color w:val="auto"/>
          <w:sz w:val="24"/>
          <w:szCs w:val="24"/>
          <w:highlight w:val="none"/>
          <w:u w:val="none"/>
          <w:lang w:val="en-US" w:eastAsia="zh-CN"/>
        </w:rPr>
        <w:t>3</w:t>
      </w:r>
      <w:r>
        <w:rPr>
          <w:rFonts w:hint="eastAsia" w:ascii="仿宋" w:hAnsi="仿宋" w:eastAsia="仿宋" w:cs="仿宋"/>
          <w:color w:val="auto"/>
          <w:sz w:val="24"/>
          <w:szCs w:val="24"/>
          <w:highlight w:val="none"/>
          <w:u w:val="none"/>
          <w:lang w:eastAsia="zh-CN"/>
        </w:rPr>
        <w:t>幢</w:t>
      </w:r>
      <w:r>
        <w:rPr>
          <w:rFonts w:hint="eastAsia" w:ascii="仿宋" w:hAnsi="仿宋" w:eastAsia="仿宋" w:cs="仿宋"/>
          <w:color w:val="auto"/>
          <w:sz w:val="24"/>
          <w:szCs w:val="24"/>
          <w:highlight w:val="none"/>
          <w:u w:val="none"/>
          <w:lang w:val="en-US" w:eastAsia="zh-CN"/>
        </w:rPr>
        <w:t>11</w:t>
      </w:r>
      <w:r>
        <w:rPr>
          <w:rFonts w:hint="eastAsia" w:ascii="仿宋" w:hAnsi="仿宋" w:eastAsia="仿宋" w:cs="仿宋"/>
          <w:color w:val="auto"/>
          <w:sz w:val="24"/>
          <w:szCs w:val="24"/>
          <w:highlight w:val="none"/>
          <w:u w:val="none"/>
          <w:lang w:eastAsia="zh-CN"/>
        </w:rPr>
        <w:t>号</w:t>
      </w:r>
    </w:p>
    <w:p w14:paraId="20DBC026">
      <w:pPr>
        <w:pageBreakBefore w:val="0"/>
        <w:kinsoku/>
        <w:overflowPunct/>
        <w:bidi w:val="0"/>
        <w:spacing w:line="360" w:lineRule="auto"/>
        <w:ind w:firstLine="722" w:firstLineChars="301"/>
        <w:textAlignment w:val="auto"/>
        <w:rPr>
          <w:rFonts w:hint="default" w:ascii="仿宋" w:hAnsi="仿宋" w:eastAsia="仿宋" w:cs="仿宋"/>
          <w:color w:val="auto"/>
          <w:sz w:val="24"/>
          <w:szCs w:val="24"/>
          <w:highlight w:val="none"/>
          <w:u w:val="none"/>
          <w:lang w:val="en-US"/>
        </w:rPr>
      </w:pPr>
      <w:r>
        <w:rPr>
          <w:rFonts w:hint="eastAsia" w:ascii="仿宋" w:hAnsi="仿宋" w:eastAsia="仿宋" w:cs="仿宋"/>
          <w:color w:val="auto"/>
          <w:sz w:val="24"/>
          <w:szCs w:val="24"/>
          <w:highlight w:val="none"/>
          <w:u w:val="none"/>
        </w:rPr>
        <w:t>联系</w:t>
      </w:r>
      <w:r>
        <w:rPr>
          <w:rFonts w:hint="eastAsia" w:ascii="仿宋" w:hAnsi="仿宋" w:eastAsia="仿宋" w:cs="仿宋"/>
          <w:color w:val="auto"/>
          <w:sz w:val="24"/>
          <w:szCs w:val="24"/>
          <w:highlight w:val="none"/>
          <w:u w:val="none"/>
          <w:lang w:val="en-US" w:eastAsia="zh-CN"/>
        </w:rPr>
        <w:t>人：陈潇 、陈婷 、林芝月</w:t>
      </w:r>
    </w:p>
    <w:p w14:paraId="73D66873">
      <w:pPr>
        <w:keepNext w:val="0"/>
        <w:keepLines w:val="0"/>
        <w:pageBreakBefore w:val="0"/>
        <w:widowControl w:val="0"/>
        <w:kinsoku/>
        <w:wordWrap/>
        <w:overflowPunct/>
        <w:topLinePunct w:val="0"/>
        <w:autoSpaceDE/>
        <w:autoSpaceDN/>
        <w:bidi w:val="0"/>
        <w:adjustRightInd/>
        <w:snapToGrid w:val="0"/>
        <w:spacing w:line="360" w:lineRule="auto"/>
        <w:ind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none"/>
          <w:lang w:val="en-US" w:eastAsia="zh-CN"/>
        </w:rPr>
        <w:t>联系电话：</w:t>
      </w:r>
      <w:r>
        <w:rPr>
          <w:rFonts w:hint="eastAsia" w:ascii="仿宋" w:hAnsi="仿宋" w:eastAsia="仿宋" w:cs="仿宋"/>
          <w:color w:val="auto"/>
          <w:sz w:val="24"/>
          <w:szCs w:val="24"/>
          <w:highlight w:val="none"/>
          <w:lang w:val="en-US" w:eastAsia="zh-CN"/>
        </w:rPr>
        <w:t>15288472541</w:t>
      </w:r>
    </w:p>
    <w:p w14:paraId="612CD4C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3.项目联系方式</w:t>
      </w:r>
    </w:p>
    <w:p w14:paraId="482F74F6">
      <w:pPr>
        <w:keepNext w:val="0"/>
        <w:keepLines w:val="0"/>
        <w:pageBreakBefore w:val="0"/>
        <w:widowControl w:val="0"/>
        <w:kinsoku/>
        <w:wordWrap/>
        <w:overflowPunct/>
        <w:topLinePunct w:val="0"/>
        <w:autoSpaceDE/>
        <w:autoSpaceDN/>
        <w:bidi w:val="0"/>
        <w:adjustRightInd/>
        <w:snapToGrid w:val="0"/>
        <w:spacing w:line="360" w:lineRule="auto"/>
        <w:ind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项目联系人：</w:t>
      </w:r>
      <w:r>
        <w:rPr>
          <w:rFonts w:hint="eastAsia" w:ascii="仿宋" w:hAnsi="仿宋" w:eastAsia="仿宋" w:cs="仿宋"/>
          <w:color w:val="auto"/>
          <w:sz w:val="24"/>
          <w:szCs w:val="24"/>
          <w:highlight w:val="none"/>
          <w:lang w:val="en-US" w:eastAsia="zh-CN"/>
        </w:rPr>
        <w:t>陈潇 、陈婷 、林芝月</w:t>
      </w:r>
    </w:p>
    <w:p w14:paraId="2F4852A5">
      <w:pPr>
        <w:keepNext w:val="0"/>
        <w:keepLines w:val="0"/>
        <w:pageBreakBefore w:val="0"/>
        <w:widowControl w:val="0"/>
        <w:kinsoku/>
        <w:wordWrap/>
        <w:overflowPunct/>
        <w:topLinePunct w:val="0"/>
        <w:autoSpaceDE/>
        <w:autoSpaceDN/>
        <w:bidi w:val="0"/>
        <w:adjustRightInd/>
        <w:snapToGrid w:val="0"/>
        <w:spacing w:line="360" w:lineRule="auto"/>
        <w:ind w:firstLine="720" w:firstLineChars="300"/>
        <w:textAlignment w:val="auto"/>
        <w:rPr>
          <w:rFonts w:hint="default" w:ascii="仿宋" w:hAnsi="仿宋" w:eastAsia="仿宋" w:cs="仿宋"/>
          <w:color w:val="auto"/>
          <w:highlight w:val="none"/>
          <w:lang w:val="en-US"/>
        </w:rPr>
        <w:sectPr>
          <w:footerReference r:id="rId7" w:type="default"/>
          <w:pgSz w:w="11906" w:h="16838"/>
          <w:pgMar w:top="1134" w:right="851" w:bottom="1304" w:left="1276" w:header="720" w:footer="720" w:gutter="0"/>
          <w:pgNumType w:fmt="decimal" w:start="1"/>
          <w:cols w:space="720" w:num="1"/>
          <w:docGrid w:linePitch="331" w:charSpace="0"/>
        </w:sect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lang w:val="en-US" w:eastAsia="zh-CN"/>
        </w:rPr>
        <w:t>15288472541</w:t>
      </w:r>
    </w:p>
    <w:p w14:paraId="491F76EF">
      <w:pPr>
        <w:pStyle w:val="18"/>
        <w:spacing w:line="360" w:lineRule="auto"/>
        <w:jc w:val="center"/>
        <w:rPr>
          <w:rFonts w:hint="eastAsia" w:ascii="仿宋" w:hAnsi="仿宋" w:eastAsia="仿宋" w:cs="仿宋"/>
          <w:color w:val="auto"/>
          <w:highlight w:val="none"/>
        </w:rPr>
      </w:pPr>
      <w:bookmarkStart w:id="18" w:name="_Toc4367"/>
      <w:bookmarkStart w:id="19" w:name="_Toc16503"/>
      <w:r>
        <w:rPr>
          <w:rFonts w:hint="eastAsia" w:ascii="仿宋" w:hAnsi="仿宋" w:eastAsia="仿宋" w:cs="仿宋"/>
          <w:color w:val="auto"/>
          <w:highlight w:val="none"/>
        </w:rPr>
        <w:t>第二章 投标人须知</w:t>
      </w:r>
      <w:bookmarkEnd w:id="18"/>
      <w:bookmarkEnd w:id="19"/>
    </w:p>
    <w:p w14:paraId="6986FCD2">
      <w:pPr>
        <w:pStyle w:val="3"/>
        <w:spacing w:line="360" w:lineRule="auto"/>
        <w:jc w:val="center"/>
        <w:rPr>
          <w:rFonts w:hint="eastAsia" w:ascii="仿宋" w:hAnsi="仿宋" w:eastAsia="仿宋" w:cs="仿宋"/>
          <w:color w:val="auto"/>
          <w:highlight w:val="none"/>
        </w:rPr>
      </w:pPr>
      <w:bookmarkStart w:id="20" w:name="_Toc11064"/>
      <w:bookmarkStart w:id="21" w:name="_Toc101004081"/>
      <w:bookmarkStart w:id="22" w:name="_Toc33095529"/>
      <w:bookmarkStart w:id="23" w:name="_Toc14604"/>
      <w:bookmarkStart w:id="24" w:name="_Toc1199"/>
      <w:r>
        <w:rPr>
          <w:rFonts w:hint="eastAsia" w:ascii="仿宋" w:hAnsi="仿宋" w:eastAsia="仿宋" w:cs="仿宋"/>
          <w:color w:val="auto"/>
          <w:highlight w:val="none"/>
        </w:rPr>
        <w:t>投标人须知前附表</w:t>
      </w:r>
      <w:bookmarkEnd w:id="20"/>
      <w:bookmarkEnd w:id="21"/>
      <w:bookmarkEnd w:id="22"/>
      <w:bookmarkEnd w:id="23"/>
      <w:bookmarkEnd w:id="24"/>
    </w:p>
    <w:tbl>
      <w:tblPr>
        <w:tblStyle w:val="2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1"/>
        <w:gridCol w:w="2072"/>
        <w:gridCol w:w="6846"/>
      </w:tblGrid>
      <w:tr w14:paraId="26A3F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536" w:type="pct"/>
            <w:vAlign w:val="center"/>
          </w:tcPr>
          <w:p w14:paraId="23A13B39">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条款号</w:t>
            </w:r>
          </w:p>
        </w:tc>
        <w:tc>
          <w:tcPr>
            <w:tcW w:w="1037" w:type="pct"/>
            <w:vAlign w:val="center"/>
          </w:tcPr>
          <w:p w14:paraId="1FFA84F5">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 款 名 称</w:t>
            </w:r>
          </w:p>
        </w:tc>
        <w:tc>
          <w:tcPr>
            <w:tcW w:w="3426" w:type="pct"/>
            <w:vAlign w:val="center"/>
          </w:tcPr>
          <w:p w14:paraId="16F0AF2F">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编 列 内 容</w:t>
            </w:r>
          </w:p>
        </w:tc>
      </w:tr>
      <w:tr w14:paraId="7641D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536" w:type="pct"/>
            <w:vMerge w:val="restart"/>
            <w:vAlign w:val="center"/>
          </w:tcPr>
          <w:p w14:paraId="59B85DC7">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037" w:type="pct"/>
            <w:vAlign w:val="center"/>
          </w:tcPr>
          <w:p w14:paraId="082DC101">
            <w:pPr>
              <w:pStyle w:val="1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采购人</w:t>
            </w:r>
          </w:p>
        </w:tc>
        <w:tc>
          <w:tcPr>
            <w:tcW w:w="3426" w:type="pct"/>
            <w:vAlign w:val="center"/>
          </w:tcPr>
          <w:p w14:paraId="2EDB532C">
            <w:pPr>
              <w:pStyle w:val="1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安宁市第一人民医院</w:t>
            </w:r>
          </w:p>
        </w:tc>
      </w:tr>
      <w:tr w14:paraId="0F0C9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536" w:type="pct"/>
            <w:vMerge w:val="continue"/>
            <w:vAlign w:val="center"/>
          </w:tcPr>
          <w:p w14:paraId="47E01684">
            <w:pPr>
              <w:spacing w:line="360" w:lineRule="auto"/>
              <w:rPr>
                <w:rFonts w:hint="eastAsia" w:ascii="仿宋" w:hAnsi="仿宋" w:eastAsia="仿宋" w:cs="仿宋"/>
                <w:color w:val="auto"/>
                <w:sz w:val="24"/>
                <w:szCs w:val="24"/>
                <w:highlight w:val="none"/>
              </w:rPr>
            </w:pPr>
          </w:p>
        </w:tc>
        <w:tc>
          <w:tcPr>
            <w:tcW w:w="1037" w:type="pct"/>
            <w:vAlign w:val="center"/>
          </w:tcPr>
          <w:p w14:paraId="4C6F4550">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3426" w:type="pct"/>
            <w:vAlign w:val="center"/>
          </w:tcPr>
          <w:p w14:paraId="5C596587">
            <w:pPr>
              <w:pStyle w:val="1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云南金诺招标代理有限公司</w:t>
            </w:r>
          </w:p>
        </w:tc>
      </w:tr>
      <w:tr w14:paraId="12D7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536" w:type="pct"/>
            <w:vMerge w:val="continue"/>
            <w:vAlign w:val="center"/>
          </w:tcPr>
          <w:p w14:paraId="42A10F83">
            <w:pPr>
              <w:spacing w:line="360" w:lineRule="auto"/>
              <w:rPr>
                <w:rFonts w:hint="eastAsia" w:ascii="仿宋" w:hAnsi="仿宋" w:eastAsia="仿宋" w:cs="仿宋"/>
                <w:color w:val="auto"/>
                <w:sz w:val="24"/>
                <w:szCs w:val="24"/>
                <w:highlight w:val="none"/>
              </w:rPr>
            </w:pPr>
          </w:p>
        </w:tc>
        <w:tc>
          <w:tcPr>
            <w:tcW w:w="1037" w:type="pct"/>
            <w:vAlign w:val="center"/>
          </w:tcPr>
          <w:p w14:paraId="49D77E2B">
            <w:pPr>
              <w:pStyle w:val="1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项目名称及</w:t>
            </w:r>
            <w:r>
              <w:rPr>
                <w:rFonts w:hint="eastAsia" w:ascii="仿宋" w:hAnsi="仿宋" w:eastAsia="仿宋" w:cs="仿宋"/>
                <w:color w:val="auto"/>
                <w:sz w:val="24"/>
                <w:szCs w:val="24"/>
                <w:highlight w:val="none"/>
                <w:lang w:eastAsia="zh-CN"/>
              </w:rPr>
              <w:t>编号</w:t>
            </w:r>
          </w:p>
        </w:tc>
        <w:tc>
          <w:tcPr>
            <w:tcW w:w="3426" w:type="pct"/>
            <w:vAlign w:val="center"/>
          </w:tcPr>
          <w:p w14:paraId="0F36B410">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项目名称：安宁市第一人民医院神经外科专科手术器械及神经监护系统购置项目</w:t>
            </w:r>
          </w:p>
          <w:p w14:paraId="350E0F23">
            <w:pPr>
              <w:pStyle w:val="1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lang w:eastAsia="zh-CN"/>
              </w:rPr>
              <w:t>YNJN-2025-4</w:t>
            </w:r>
            <w:r>
              <w:rPr>
                <w:rFonts w:hint="eastAsia" w:ascii="仿宋" w:hAnsi="仿宋" w:eastAsia="仿宋" w:cs="仿宋"/>
                <w:color w:val="auto"/>
                <w:sz w:val="24"/>
                <w:szCs w:val="24"/>
                <w:highlight w:val="none"/>
                <w:lang w:val="en-US" w:eastAsia="zh-CN"/>
              </w:rPr>
              <w:t>8</w:t>
            </w:r>
          </w:p>
        </w:tc>
      </w:tr>
      <w:tr w14:paraId="0AE5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36" w:type="pct"/>
            <w:vAlign w:val="center"/>
          </w:tcPr>
          <w:p w14:paraId="15993349">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1037" w:type="pct"/>
            <w:vAlign w:val="center"/>
          </w:tcPr>
          <w:p w14:paraId="08F3E12B">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招标范围</w:t>
            </w:r>
          </w:p>
        </w:tc>
        <w:tc>
          <w:tcPr>
            <w:tcW w:w="3426" w:type="pct"/>
            <w:vAlign w:val="center"/>
          </w:tcPr>
          <w:p w14:paraId="2C3AA650">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具体详见招标文件第五章</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w:t>
            </w:r>
          </w:p>
        </w:tc>
      </w:tr>
      <w:tr w14:paraId="0B0E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536" w:type="pct"/>
            <w:vAlign w:val="center"/>
          </w:tcPr>
          <w:p w14:paraId="5775DA05">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1037" w:type="pct"/>
            <w:vAlign w:val="center"/>
          </w:tcPr>
          <w:p w14:paraId="1BDA3CE7">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合同履行期限</w:t>
            </w:r>
            <w:r>
              <w:rPr>
                <w:rFonts w:hint="eastAsia" w:ascii="仿宋" w:hAnsi="仿宋" w:eastAsia="仿宋" w:cs="仿宋"/>
                <w:color w:val="auto"/>
                <w:sz w:val="24"/>
                <w:szCs w:val="24"/>
                <w:highlight w:val="none"/>
              </w:rPr>
              <w:t>、交货地点、质量</w:t>
            </w:r>
            <w:r>
              <w:rPr>
                <w:rFonts w:hint="eastAsia" w:ascii="仿宋" w:hAnsi="仿宋" w:eastAsia="仿宋" w:cs="仿宋"/>
                <w:color w:val="auto"/>
                <w:sz w:val="24"/>
                <w:szCs w:val="24"/>
                <w:highlight w:val="none"/>
                <w:lang w:val="en-US" w:eastAsia="zh-CN"/>
              </w:rPr>
              <w:t>要求</w:t>
            </w:r>
          </w:p>
        </w:tc>
        <w:tc>
          <w:tcPr>
            <w:tcW w:w="3426" w:type="pct"/>
            <w:vAlign w:val="center"/>
          </w:tcPr>
          <w:p w14:paraId="36FE4849">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合同履行期限</w:t>
            </w: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lang w:val="en-US" w:eastAsia="zh-CN"/>
              </w:rPr>
              <w:t>合同签订后30日历天内交货并安装调试完成（各投标单位可根据实际情况自行报出合理的更短时间）</w:t>
            </w:r>
            <w:r>
              <w:rPr>
                <w:rFonts w:hint="eastAsia" w:ascii="仿宋" w:hAnsi="仿宋" w:eastAsia="仿宋" w:cs="仿宋"/>
                <w:color w:val="auto"/>
                <w:sz w:val="24"/>
                <w:szCs w:val="24"/>
                <w:highlight w:val="none"/>
                <w:lang w:val="en-US" w:eastAsia="zh-CN"/>
              </w:rPr>
              <w:t>。</w:t>
            </w:r>
          </w:p>
          <w:p w14:paraId="27F06C8F">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交货地点：</w:t>
            </w:r>
            <w:r>
              <w:rPr>
                <w:rFonts w:hint="eastAsia" w:ascii="仿宋" w:hAnsi="仿宋" w:eastAsia="仿宋" w:cs="仿宋"/>
                <w:color w:val="auto"/>
                <w:sz w:val="24"/>
                <w:szCs w:val="24"/>
                <w:highlight w:val="none"/>
                <w:lang w:eastAsia="zh-CN"/>
              </w:rPr>
              <w:t>安宁市第一人民医院</w:t>
            </w:r>
            <w:r>
              <w:rPr>
                <w:rFonts w:hint="eastAsia" w:ascii="仿宋" w:hAnsi="仿宋" w:eastAsia="仿宋" w:cs="仿宋"/>
                <w:color w:val="auto"/>
                <w:sz w:val="24"/>
                <w:szCs w:val="24"/>
                <w:highlight w:val="none"/>
              </w:rPr>
              <w:t>指定地点。</w:t>
            </w:r>
          </w:p>
          <w:p w14:paraId="2D739BFB">
            <w:pPr>
              <w:pStyle w:val="10"/>
              <w:spacing w:line="360" w:lineRule="auto"/>
              <w:rPr>
                <w:rFonts w:hint="eastAsia" w:ascii="仿宋" w:hAnsi="仿宋" w:eastAsia="仿宋" w:cs="仿宋"/>
                <w:highlight w:val="none"/>
              </w:rPr>
            </w:pPr>
            <w:r>
              <w:rPr>
                <w:rFonts w:hint="eastAsia" w:ascii="仿宋" w:hAnsi="仿宋" w:eastAsia="仿宋" w:cs="仿宋"/>
                <w:color w:val="auto"/>
                <w:sz w:val="24"/>
                <w:szCs w:val="24"/>
                <w:highlight w:val="none"/>
              </w:rPr>
              <w:t>质量要求：产品及服务质量符合国家、地方相关标准并满足采购人要求。</w:t>
            </w:r>
          </w:p>
        </w:tc>
      </w:tr>
      <w:tr w14:paraId="779DB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536" w:type="pct"/>
            <w:vAlign w:val="center"/>
          </w:tcPr>
          <w:p w14:paraId="34E874EF">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1037" w:type="pct"/>
            <w:vAlign w:val="center"/>
          </w:tcPr>
          <w:p w14:paraId="26EC95E0">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投标人应具备《中华人民共和国政府采购法》第二十二条规定的条件</w:t>
            </w:r>
          </w:p>
        </w:tc>
        <w:tc>
          <w:tcPr>
            <w:tcW w:w="3426" w:type="pct"/>
            <w:vAlign w:val="center"/>
          </w:tcPr>
          <w:p w14:paraId="49534D8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2.1.1</w:t>
            </w:r>
            <w:r>
              <w:rPr>
                <w:rFonts w:hint="eastAsia" w:ascii="仿宋" w:hAnsi="仿宋" w:eastAsia="仿宋" w:cs="仿宋"/>
                <w:color w:val="auto"/>
                <w:sz w:val="24"/>
                <w:highlight w:val="none"/>
              </w:rPr>
              <w:t>具有独立承担民事责任的能力：提供企业有效的法人营业执照、社团组织法人营业执照、事业单位法人证书或自然人证明材料；</w:t>
            </w:r>
          </w:p>
          <w:p w14:paraId="36F7FA5D">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2.1.2具有良好的商业信誉和健全的财务会计制度；</w:t>
            </w:r>
          </w:p>
          <w:p w14:paraId="2B455DED">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在本项目投标文件提交截止时间前，在“中国政府采购网”（www.ccgp.gov.cn）“政府采购严重违法失信行为记录名单”及“信用中国”网站（www.creditchina.gov.cn）“信用服务”查询栏中查询的信息记录（重大税收违法失信主体)及“中国执行信息公开网（zxgk.court.gov.cn）”查询栏中查询的信息记录（包括失信被执行人)未出现不良信用信息查询记录（查询结果以采购人、采购代理机构查询结果为准)。</w:t>
            </w:r>
          </w:p>
          <w:p w14:paraId="57725680">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kern w:val="0"/>
                <w:sz w:val="24"/>
                <w:szCs w:val="24"/>
                <w:highlight w:val="none"/>
                <w:lang w:val="en-US" w:eastAsia="zh-CN"/>
              </w:rPr>
              <w:t>投标人成立一年以上的，提供近3年“2022年—2024年”任意一年的财务报告及财务报表(至少包括资产负债表、利润表、现金流量表)；若成立时间不足1年的，提供银行发出的资信证明或提供具有良好的商业信誉和健全的财务会计制度的承诺书（其一即可）。</w:t>
            </w:r>
          </w:p>
          <w:p w14:paraId="3A63C75D">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2.1.3具有履行合同所必需的设备和专业技术能力，具备优良的售后服务能力，能满足本项目的供货和后续服务（提供证明材料或相关承诺）；</w:t>
            </w:r>
          </w:p>
          <w:p w14:paraId="6C94AAC0">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2.1.4具有依法缴纳税收和社会保障资金的良好记录；</w:t>
            </w:r>
          </w:p>
          <w:p w14:paraId="6A5FBA91">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投标人须提供在投标截止之日前十二个月内（税款所属时期）任意1个月的税务局税收通用缴款书复印件或银行电子缴税（费）凭证复印件或税务局出具纳税情况的相关证明。（成立未满1年的提供成立以来的税收缴纳凭证或相关情况说明；依法免税的，应提供相应文件证明）；</w:t>
            </w:r>
          </w:p>
          <w:p w14:paraId="5C818AFE">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投标人须提供在投标截止之日前十二个月内（费款所属时期）任意1个月的社会保险费缴款书复印件或银行电子缴税（费）凭证复印件或社保管理部门出具的有效的缴款证明。（成立未满1年的提供成立以来的社保资金缴纳凭证或相关情况说明，依法免缴的，应提供依法免缴的相关证明文件)；</w:t>
            </w:r>
          </w:p>
          <w:p w14:paraId="588185E7">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2.1.5参加政府采购活动前三年内，在经营活动中没有重大违法记录（提供书面声明）；</w:t>
            </w:r>
          </w:p>
          <w:p w14:paraId="52B884E2">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2.1.6法律、行政法规规定的其他条件。</w:t>
            </w:r>
          </w:p>
          <w:p w14:paraId="4FFD98B2">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（1）单位负责人为同一人或者存在直接控股、管理关系的不同投标人不得参加同一合同项下的政府采购活动的。</w:t>
            </w:r>
          </w:p>
          <w:p w14:paraId="4F4561CF">
            <w:pPr>
              <w:pStyle w:val="1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（2）为采购项目提供整体设计、规范编制或者项目管理、监理、检测等服务的投标人不得再参加该采购项目的其他采购活动的。</w:t>
            </w:r>
          </w:p>
        </w:tc>
      </w:tr>
      <w:tr w14:paraId="4BF35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36" w:type="pct"/>
            <w:vAlign w:val="center"/>
          </w:tcPr>
          <w:p w14:paraId="4641E95E">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1037" w:type="pct"/>
            <w:vAlign w:val="center"/>
          </w:tcPr>
          <w:p w14:paraId="1634A39C">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采购人根据采购项目的特殊要求规定的特定条件</w:t>
            </w:r>
          </w:p>
        </w:tc>
        <w:tc>
          <w:tcPr>
            <w:tcW w:w="3426" w:type="pct"/>
            <w:vAlign w:val="center"/>
          </w:tcPr>
          <w:p w14:paraId="400C6592">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投标人如果是代理商或经销商，须提供医疗器械经营许可证/备案，所投产品制造商医疗器械生产许可证（制造商工商注册地在中华人民共和国境外的，不作此要求）、所投产品的医疗器械注册证及附件；投标人如果是制造商，须提供医疗器械生产许可证（制造商工商注册地在中华人民共和国境外的，不作此要求）、所投产品的医疗器械注册证及附件。医疗器械生产或经营许可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r>
      <w:tr w14:paraId="4FB59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536" w:type="pct"/>
            <w:vAlign w:val="center"/>
          </w:tcPr>
          <w:p w14:paraId="21EFDD61">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w:t>
            </w:r>
          </w:p>
        </w:tc>
        <w:tc>
          <w:tcPr>
            <w:tcW w:w="1037" w:type="pct"/>
            <w:vAlign w:val="center"/>
          </w:tcPr>
          <w:p w14:paraId="14E3D830">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是否接受联合体投标</w:t>
            </w:r>
          </w:p>
        </w:tc>
        <w:tc>
          <w:tcPr>
            <w:tcW w:w="3426" w:type="pct"/>
            <w:vAlign w:val="center"/>
          </w:tcPr>
          <w:p w14:paraId="3BE18F96">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不接受</w:t>
            </w:r>
          </w:p>
        </w:tc>
      </w:tr>
      <w:tr w14:paraId="76069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536" w:type="pct"/>
            <w:vAlign w:val="center"/>
          </w:tcPr>
          <w:p w14:paraId="0F120F94">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w:t>
            </w:r>
          </w:p>
        </w:tc>
        <w:tc>
          <w:tcPr>
            <w:tcW w:w="1037" w:type="pct"/>
            <w:vAlign w:val="center"/>
          </w:tcPr>
          <w:p w14:paraId="4979869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招标文件澄清截止时间</w:t>
            </w:r>
          </w:p>
        </w:tc>
        <w:tc>
          <w:tcPr>
            <w:tcW w:w="3426" w:type="pct"/>
            <w:vAlign w:val="center"/>
          </w:tcPr>
          <w:p w14:paraId="2108C955">
            <w:pPr>
              <w:pStyle w:val="10"/>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提交投标文件截止时间十五日前</w:t>
            </w:r>
          </w:p>
        </w:tc>
      </w:tr>
      <w:tr w14:paraId="4F5E0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536" w:type="pct"/>
            <w:vMerge w:val="restart"/>
            <w:vAlign w:val="center"/>
          </w:tcPr>
          <w:p w14:paraId="32BC45E9">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p>
        </w:tc>
        <w:tc>
          <w:tcPr>
            <w:tcW w:w="1037" w:type="pct"/>
            <w:vAlign w:val="center"/>
          </w:tcPr>
          <w:p w14:paraId="124907EA">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构成投标文件商务部分的其他资料</w:t>
            </w:r>
          </w:p>
        </w:tc>
        <w:tc>
          <w:tcPr>
            <w:tcW w:w="3426" w:type="pct"/>
            <w:vAlign w:val="center"/>
          </w:tcPr>
          <w:p w14:paraId="683CCE3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、招标文件中所</w:t>
            </w:r>
            <w:r>
              <w:rPr>
                <w:rFonts w:hint="eastAsia" w:ascii="仿宋" w:hAnsi="仿宋" w:eastAsia="仿宋" w:cs="仿宋"/>
                <w:color w:val="auto"/>
                <w:sz w:val="24"/>
                <w:szCs w:val="24"/>
                <w:highlight w:val="none"/>
                <w:lang w:eastAsia="zh-CN"/>
              </w:rPr>
              <w:t>涉及</w:t>
            </w:r>
            <w:r>
              <w:rPr>
                <w:rFonts w:hint="eastAsia" w:ascii="仿宋" w:hAnsi="仿宋" w:eastAsia="仿宋" w:cs="仿宋"/>
                <w:color w:val="auto"/>
                <w:sz w:val="24"/>
                <w:szCs w:val="24"/>
                <w:highlight w:val="none"/>
              </w:rPr>
              <w:t>的相关资料及证明文件或投标人认为必须提供的其他相关资料。</w:t>
            </w:r>
          </w:p>
        </w:tc>
      </w:tr>
      <w:tr w14:paraId="0002D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536" w:type="pct"/>
            <w:vMerge w:val="continue"/>
            <w:vAlign w:val="center"/>
          </w:tcPr>
          <w:p w14:paraId="5204CB3C">
            <w:pPr>
              <w:pStyle w:val="10"/>
              <w:spacing w:line="360" w:lineRule="auto"/>
              <w:rPr>
                <w:rFonts w:hint="eastAsia" w:ascii="仿宋" w:hAnsi="仿宋" w:eastAsia="仿宋" w:cs="仿宋"/>
                <w:color w:val="auto"/>
                <w:sz w:val="24"/>
                <w:szCs w:val="24"/>
                <w:highlight w:val="none"/>
              </w:rPr>
            </w:pPr>
          </w:p>
        </w:tc>
        <w:tc>
          <w:tcPr>
            <w:tcW w:w="1037" w:type="pct"/>
            <w:vAlign w:val="center"/>
          </w:tcPr>
          <w:p w14:paraId="21E8E5C3">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构成投标文件技术部分的其他资料</w:t>
            </w:r>
          </w:p>
        </w:tc>
        <w:tc>
          <w:tcPr>
            <w:tcW w:w="3426" w:type="pct"/>
            <w:vAlign w:val="center"/>
          </w:tcPr>
          <w:p w14:paraId="44BCBF5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1、第五章“</w:t>
            </w:r>
            <w:r>
              <w:rPr>
                <w:rFonts w:hint="eastAsia" w:ascii="仿宋" w:hAnsi="仿宋" w:eastAsia="仿宋" w:cs="仿宋"/>
                <w:color w:val="auto"/>
                <w:sz w:val="24"/>
                <w:szCs w:val="24"/>
                <w:highlight w:val="none"/>
                <w:lang w:eastAsia="zh-CN"/>
              </w:rPr>
              <w:t>采购需求</w:t>
            </w:r>
            <w:r>
              <w:rPr>
                <w:rFonts w:hint="eastAsia" w:ascii="仿宋" w:hAnsi="仿宋" w:eastAsia="仿宋" w:cs="仿宋"/>
                <w:color w:val="auto"/>
                <w:sz w:val="24"/>
                <w:szCs w:val="24"/>
                <w:highlight w:val="none"/>
              </w:rPr>
              <w:t>”中要求提供的其他资料；</w:t>
            </w:r>
          </w:p>
          <w:p w14:paraId="081E222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2、招标文件中所</w:t>
            </w:r>
            <w:r>
              <w:rPr>
                <w:rFonts w:hint="eastAsia" w:ascii="仿宋" w:hAnsi="仿宋" w:eastAsia="仿宋" w:cs="仿宋"/>
                <w:color w:val="auto"/>
                <w:sz w:val="24"/>
                <w:szCs w:val="24"/>
                <w:highlight w:val="none"/>
                <w:lang w:eastAsia="zh-CN"/>
              </w:rPr>
              <w:t>涉及</w:t>
            </w:r>
            <w:r>
              <w:rPr>
                <w:rFonts w:hint="eastAsia" w:ascii="仿宋" w:hAnsi="仿宋" w:eastAsia="仿宋" w:cs="仿宋"/>
                <w:color w:val="auto"/>
                <w:sz w:val="24"/>
                <w:szCs w:val="24"/>
                <w:highlight w:val="none"/>
              </w:rPr>
              <w:t>的相关资料及证明文件或投标人认为必须提供的其他相关资料。</w:t>
            </w:r>
          </w:p>
        </w:tc>
      </w:tr>
      <w:tr w14:paraId="3C325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536" w:type="pct"/>
            <w:vAlign w:val="center"/>
          </w:tcPr>
          <w:p w14:paraId="7A7B655A">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w:t>
            </w:r>
          </w:p>
        </w:tc>
        <w:tc>
          <w:tcPr>
            <w:tcW w:w="1037" w:type="pct"/>
            <w:vAlign w:val="center"/>
          </w:tcPr>
          <w:p w14:paraId="3C9146AD">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本项目预算金额及最高限价</w:t>
            </w:r>
          </w:p>
        </w:tc>
        <w:tc>
          <w:tcPr>
            <w:tcW w:w="3426" w:type="pct"/>
            <w:vAlign w:val="center"/>
          </w:tcPr>
          <w:p w14:paraId="6B9D47E1">
            <w:pPr>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见第一章“招标公告”。</w:t>
            </w:r>
            <w:r>
              <w:rPr>
                <w:rFonts w:hint="eastAsia" w:ascii="仿宋" w:hAnsi="仿宋" w:eastAsia="仿宋" w:cs="仿宋"/>
                <w:b/>
                <w:bCs/>
                <w:color w:val="auto"/>
                <w:kern w:val="0"/>
                <w:sz w:val="24"/>
                <w:szCs w:val="24"/>
                <w:highlight w:val="none"/>
                <w:lang w:val="en-US" w:eastAsia="zh-CN"/>
              </w:rPr>
              <w:t>本次采购涉及单价控制和总价控制，单价详见第五章采购需求中，如投标单位所报单价超过采购清单中的控制单价视为不响应招标文件实质性条件。</w:t>
            </w:r>
          </w:p>
        </w:tc>
      </w:tr>
      <w:tr w14:paraId="12C10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536" w:type="pct"/>
            <w:vAlign w:val="center"/>
          </w:tcPr>
          <w:p w14:paraId="7EA3C4AD">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15.5</w:t>
            </w:r>
          </w:p>
        </w:tc>
        <w:tc>
          <w:tcPr>
            <w:tcW w:w="1037" w:type="pct"/>
            <w:vAlign w:val="center"/>
          </w:tcPr>
          <w:p w14:paraId="2F575CE6">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备品备件</w:t>
            </w:r>
          </w:p>
        </w:tc>
        <w:tc>
          <w:tcPr>
            <w:tcW w:w="3426" w:type="pct"/>
            <w:vAlign w:val="center"/>
          </w:tcPr>
          <w:p w14:paraId="66FD9B5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不要求</w:t>
            </w:r>
          </w:p>
        </w:tc>
      </w:tr>
      <w:tr w14:paraId="6C895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36" w:type="pct"/>
            <w:vAlign w:val="center"/>
          </w:tcPr>
          <w:p w14:paraId="29283EA6">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w:t>
            </w:r>
          </w:p>
        </w:tc>
        <w:tc>
          <w:tcPr>
            <w:tcW w:w="1037" w:type="pct"/>
            <w:vAlign w:val="center"/>
          </w:tcPr>
          <w:p w14:paraId="0060EB3D">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投标文件有效期</w:t>
            </w:r>
          </w:p>
        </w:tc>
        <w:tc>
          <w:tcPr>
            <w:tcW w:w="3426" w:type="pct"/>
            <w:vAlign w:val="center"/>
          </w:tcPr>
          <w:p w14:paraId="724A8524">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从提交投标文件截止之日起</w:t>
            </w:r>
            <w:r>
              <w:rPr>
                <w:rFonts w:hint="eastAsia" w:ascii="仿宋" w:hAnsi="仿宋" w:eastAsia="仿宋" w:cs="仿宋"/>
                <w:color w:val="auto"/>
                <w:sz w:val="24"/>
                <w:szCs w:val="24"/>
                <w:highlight w:val="none"/>
                <w:u w:val="single"/>
              </w:rPr>
              <w:t>90</w:t>
            </w:r>
            <w:r>
              <w:rPr>
                <w:rFonts w:hint="eastAsia" w:ascii="仿宋" w:hAnsi="仿宋" w:eastAsia="仿宋" w:cs="仿宋"/>
                <w:color w:val="auto"/>
                <w:sz w:val="24"/>
                <w:szCs w:val="24"/>
                <w:highlight w:val="none"/>
              </w:rPr>
              <w:t>日历天</w:t>
            </w:r>
          </w:p>
        </w:tc>
      </w:tr>
      <w:tr w14:paraId="32C01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536" w:type="pct"/>
            <w:vAlign w:val="center"/>
          </w:tcPr>
          <w:p w14:paraId="763EF868">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w:t>
            </w:r>
          </w:p>
        </w:tc>
        <w:tc>
          <w:tcPr>
            <w:tcW w:w="1037" w:type="pct"/>
            <w:vAlign w:val="center"/>
          </w:tcPr>
          <w:p w14:paraId="7B7CE2CF">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分包</w:t>
            </w:r>
          </w:p>
        </w:tc>
        <w:tc>
          <w:tcPr>
            <w:tcW w:w="3426" w:type="pct"/>
            <w:vAlign w:val="center"/>
          </w:tcPr>
          <w:p w14:paraId="4E26AB93">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本项目不得分包。</w:t>
            </w:r>
          </w:p>
          <w:p w14:paraId="578FB7EC">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□本项目中，可以分包。</w:t>
            </w:r>
          </w:p>
        </w:tc>
      </w:tr>
      <w:tr w14:paraId="6A218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pct"/>
            <w:vAlign w:val="center"/>
          </w:tcPr>
          <w:p w14:paraId="0498E525">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w:t>
            </w:r>
          </w:p>
        </w:tc>
        <w:tc>
          <w:tcPr>
            <w:tcW w:w="1037" w:type="pct"/>
            <w:vAlign w:val="center"/>
          </w:tcPr>
          <w:p w14:paraId="6ABEC8E0">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投标文件的编制</w:t>
            </w:r>
          </w:p>
        </w:tc>
        <w:tc>
          <w:tcPr>
            <w:tcW w:w="3426" w:type="pct"/>
            <w:vAlign w:val="center"/>
          </w:tcPr>
          <w:p w14:paraId="618A17A0">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投标文件全部采用电子文档，供应商应安装客户端软件—“政采云电子交易客户端”，并按照招标文件和政采云电子交易平台的要求编制，编制后应进行电子签名及加密。</w:t>
            </w:r>
          </w:p>
        </w:tc>
      </w:tr>
      <w:tr w14:paraId="4FCA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pct"/>
            <w:vAlign w:val="center"/>
          </w:tcPr>
          <w:p w14:paraId="1A549D92">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w:t>
            </w:r>
          </w:p>
        </w:tc>
        <w:tc>
          <w:tcPr>
            <w:tcW w:w="1037" w:type="pct"/>
            <w:vAlign w:val="center"/>
          </w:tcPr>
          <w:p w14:paraId="477572A7">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3426" w:type="pct"/>
            <w:vAlign w:val="center"/>
          </w:tcPr>
          <w:p w14:paraId="28396033">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r>
              <w:rPr>
                <w:rFonts w:hint="eastAsia" w:ascii="仿宋" w:hAnsi="仿宋" w:eastAsia="仿宋" w:cs="仿宋"/>
                <w:color w:val="auto"/>
                <w:sz w:val="24"/>
                <w:szCs w:val="24"/>
                <w:highlight w:val="none"/>
                <w:lang w:val="en-US" w:eastAsia="zh-CN"/>
              </w:rPr>
              <w:t>11000</w:t>
            </w:r>
            <w:r>
              <w:rPr>
                <w:rFonts w:hint="eastAsia" w:ascii="仿宋" w:hAnsi="仿宋" w:eastAsia="仿宋" w:cs="仿宋"/>
                <w:color w:val="auto"/>
                <w:sz w:val="24"/>
                <w:szCs w:val="24"/>
                <w:highlight w:val="none"/>
              </w:rPr>
              <w:t>元</w:t>
            </w:r>
          </w:p>
          <w:p w14:paraId="5208EDF9">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开户名称：云南金诺招标代理有限公司</w:t>
            </w:r>
          </w:p>
          <w:p w14:paraId="75233B24">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开户银行：中国工商银行昆明滇池卫城支行</w:t>
            </w:r>
          </w:p>
          <w:p w14:paraId="5232E728">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账号：2502046809100026703</w:t>
            </w:r>
          </w:p>
          <w:p w14:paraId="17E543E5">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保证金缴纳查询电话：17869433713</w:t>
            </w:r>
          </w:p>
          <w:p w14:paraId="74A9F3D4">
            <w:pPr>
              <w:keepNext w:val="0"/>
              <w:keepLines w:val="0"/>
              <w:pageBreakBefore w:val="0"/>
              <w:widowControl/>
              <w:kinsoku/>
              <w:wordWrap/>
              <w:overflowPunct/>
              <w:topLinePunct w:val="0"/>
              <w:autoSpaceDE/>
              <w:autoSpaceDN/>
              <w:bidi w:val="0"/>
              <w:adjustRightInd/>
              <w:snapToGrid/>
              <w:spacing w:line="360" w:lineRule="auto"/>
              <w:ind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提交截止时间：同投标文件递交截止时间</w:t>
            </w:r>
          </w:p>
          <w:p w14:paraId="54E54347">
            <w:pPr>
              <w:autoSpaceDE w:val="0"/>
              <w:autoSpaceDN w:val="0"/>
              <w:spacing w:line="360" w:lineRule="auto"/>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rPr>
              <w:t>注意事项：</w:t>
            </w:r>
          </w:p>
          <w:p w14:paraId="64BDF74C">
            <w:pPr>
              <w:pStyle w:val="10"/>
              <w:autoSpaceDE w:val="0"/>
              <w:autoSpaceDN w:val="0"/>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汇款时在“摘要”或“用途”栏目内填入“项目名称或招标编号”。</w:t>
            </w:r>
          </w:p>
          <w:p w14:paraId="0E3F8A5C">
            <w:pPr>
              <w:pStyle w:val="10"/>
              <w:keepNext w:val="0"/>
              <w:keepLines w:val="0"/>
              <w:pageBreakBefore w:val="0"/>
              <w:widowControl/>
              <w:kinsoku/>
              <w:wordWrap/>
              <w:overflowPunct/>
              <w:topLinePunct w:val="0"/>
              <w:autoSpaceDE/>
              <w:autoSpaceDN/>
              <w:bidi w:val="0"/>
              <w:adjustRightInd/>
              <w:snapToGrid/>
              <w:ind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一、保证金的提交方式</w:t>
            </w:r>
          </w:p>
          <w:p w14:paraId="51232A12">
            <w:pPr>
              <w:pStyle w:val="10"/>
              <w:keepNext w:val="0"/>
              <w:keepLines w:val="0"/>
              <w:pageBreakBefore w:val="0"/>
              <w:widowControl/>
              <w:kinsoku/>
              <w:wordWrap/>
              <w:overflowPunct/>
              <w:topLinePunct w:val="0"/>
              <w:autoSpaceDE/>
              <w:autoSpaceDN/>
              <w:bidi w:val="0"/>
              <w:adjustRightInd/>
              <w:snapToGrid/>
              <w:ind w:firstLine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保证金的提交方式：银行转账、保险保函、担保保函、银行保函，</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可根据实际情况，选择保证金的提供或缴纳方式。</w:t>
            </w:r>
          </w:p>
          <w:p w14:paraId="47F8AC4A">
            <w:pPr>
              <w:pStyle w:val="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（一）银行转账：投标（交易）保证金应以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自身的名义提交，并且必须从其基本账户转出，不得以分支机构其他名义提交（按照规定，</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 xml:space="preserve">可以为自然人的项目除外）。 </w:t>
            </w:r>
          </w:p>
          <w:p w14:paraId="5BEB299E">
            <w:pPr>
              <w:pStyle w:val="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（二）保险保函：1.当</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未能按照招投标文件要求履行投标义务而导致招标人受到损失时，由保险公司按照保险合同对招标人的损失承担代偿责任。2.</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在支付</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保证金保险费时，必须使用基本账号资金支付购买，未从基本账户转出支付</w:t>
            </w:r>
            <w:r>
              <w:rPr>
                <w:rFonts w:hint="eastAsia" w:ascii="仿宋" w:hAnsi="仿宋" w:eastAsia="仿宋" w:cs="仿宋"/>
                <w:color w:val="auto"/>
                <w:sz w:val="24"/>
                <w:szCs w:val="24"/>
                <w:highlight w:val="none"/>
                <w:lang w:eastAsia="zh-CN"/>
              </w:rPr>
              <w:t>保险</w:t>
            </w:r>
            <w:r>
              <w:rPr>
                <w:rFonts w:hint="eastAsia" w:ascii="仿宋" w:hAnsi="仿宋" w:eastAsia="仿宋" w:cs="仿宋"/>
                <w:color w:val="auto"/>
                <w:sz w:val="24"/>
                <w:szCs w:val="24"/>
                <w:highlight w:val="none"/>
              </w:rPr>
              <w:t>费造成经济纠纷的应由企业自行承担。3.在投标保证保险中，</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为投保人，招标人为被保险人。</w:t>
            </w:r>
          </w:p>
          <w:p w14:paraId="3FD916DA">
            <w:pPr>
              <w:pStyle w:val="1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（三）担保保函：1.当</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未能按照招投标文件要求履行投标义务而导致招标人受到损失时，由担保公司按照要求对招标人的损失承担代偿责任。2.在投标担保中，</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为被担保人，招标人为收益人。</w:t>
            </w:r>
          </w:p>
          <w:p w14:paraId="5F3337B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（四）银行保函：1.当</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未能按照招投标文件要求履行投标义务而导致招标人受到损失时，由担保银行按照要求对招标人的损失承担代偿责任。2.在投标担保中，</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为被担保人，招标人为收益人。</w:t>
            </w:r>
          </w:p>
          <w:p w14:paraId="1D13F6A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保证金的提交时间</w:t>
            </w:r>
          </w:p>
          <w:p w14:paraId="5AE370E5">
            <w:pPr>
              <w:spacing w:line="360" w:lineRule="auto"/>
              <w:rPr>
                <w:rFonts w:hint="eastAsia" w:ascii="仿宋" w:hAnsi="仿宋" w:eastAsia="仿宋" w:cs="仿宋"/>
                <w:color w:val="auto"/>
                <w:kern w:val="0"/>
                <w:sz w:val="24"/>
                <w:szCs w:val="24"/>
                <w:highlight w:val="none"/>
                <w:lang w:val="en-US"/>
              </w:rPr>
            </w:pPr>
            <w:r>
              <w:rPr>
                <w:rFonts w:hint="eastAsia" w:ascii="仿宋" w:hAnsi="仿宋" w:eastAsia="仿宋" w:cs="仿宋"/>
                <w:color w:val="auto"/>
                <w:sz w:val="24"/>
                <w:szCs w:val="24"/>
                <w:highlight w:val="none"/>
              </w:rPr>
              <w:t>保证金到账截止时间为投标截止时间，到账时间以实际到达专用账号时间为准，未按时到账的保证金视为未提交；采用投标保函方式的，在投标截止时间前，</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应当提供有效的投标保函。</w:t>
            </w:r>
          </w:p>
        </w:tc>
      </w:tr>
      <w:tr w14:paraId="2BFC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pct"/>
            <w:vAlign w:val="center"/>
          </w:tcPr>
          <w:p w14:paraId="7A6954FF">
            <w:pPr>
              <w:widowControl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rPr>
              <w:t>21.3</w:t>
            </w:r>
          </w:p>
        </w:tc>
        <w:tc>
          <w:tcPr>
            <w:tcW w:w="1037" w:type="pct"/>
            <w:vAlign w:val="center"/>
          </w:tcPr>
          <w:p w14:paraId="6AB5BD92">
            <w:pPr>
              <w:widowControl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zh-TW" w:eastAsia="zh-TW"/>
              </w:rPr>
              <w:t>投标保证金的退还</w:t>
            </w:r>
          </w:p>
        </w:tc>
        <w:tc>
          <w:tcPr>
            <w:tcW w:w="3426" w:type="pct"/>
            <w:vAlign w:val="center"/>
          </w:tcPr>
          <w:p w14:paraId="67AE46D3">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未中标供应商的</w:t>
            </w:r>
            <w:r>
              <w:rPr>
                <w:rFonts w:hint="eastAsia" w:ascii="仿宋" w:hAnsi="仿宋" w:eastAsia="仿宋" w:cs="仿宋"/>
                <w:color w:val="auto"/>
                <w:sz w:val="24"/>
                <w:szCs w:val="24"/>
                <w:highlight w:val="none"/>
                <w:lang w:eastAsia="zh-CN"/>
              </w:rPr>
              <w:t>投标保证金</w:t>
            </w:r>
            <w:r>
              <w:rPr>
                <w:rFonts w:hint="eastAsia" w:ascii="仿宋" w:hAnsi="仿宋" w:eastAsia="仿宋" w:cs="仿宋"/>
                <w:color w:val="auto"/>
                <w:sz w:val="24"/>
                <w:szCs w:val="24"/>
                <w:highlight w:val="none"/>
              </w:rPr>
              <w:t>将在</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结果公示无异议后5</w:t>
            </w:r>
            <w:r>
              <w:rPr>
                <w:rFonts w:hint="eastAsia" w:ascii="仿宋" w:hAnsi="仿宋" w:eastAsia="仿宋" w:cs="仿宋"/>
                <w:color w:val="auto"/>
                <w:sz w:val="24"/>
                <w:szCs w:val="24"/>
                <w:highlight w:val="none"/>
                <w:lang w:val="en-US" w:eastAsia="zh-CN"/>
              </w:rPr>
              <w:t>个工作</w:t>
            </w:r>
            <w:r>
              <w:rPr>
                <w:rFonts w:hint="eastAsia" w:ascii="仿宋" w:hAnsi="仿宋" w:eastAsia="仿宋" w:cs="仿宋"/>
                <w:color w:val="auto"/>
                <w:sz w:val="24"/>
                <w:szCs w:val="24"/>
                <w:highlight w:val="none"/>
              </w:rPr>
              <w:t>日内将直接退还至原</w:t>
            </w:r>
            <w:r>
              <w:rPr>
                <w:rFonts w:hint="eastAsia" w:ascii="仿宋" w:hAnsi="仿宋" w:eastAsia="仿宋" w:cs="仿宋"/>
                <w:color w:val="auto"/>
                <w:sz w:val="24"/>
                <w:szCs w:val="24"/>
                <w:highlight w:val="none"/>
                <w:lang w:eastAsia="zh-CN"/>
              </w:rPr>
              <w:t>投标保证金</w:t>
            </w:r>
            <w:r>
              <w:rPr>
                <w:rFonts w:hint="eastAsia" w:ascii="仿宋" w:hAnsi="仿宋" w:eastAsia="仿宋" w:cs="仿宋"/>
                <w:color w:val="auto"/>
                <w:sz w:val="24"/>
                <w:szCs w:val="24"/>
                <w:highlight w:val="none"/>
              </w:rPr>
              <w:t>汇出账户。</w:t>
            </w:r>
            <w:r>
              <w:rPr>
                <w:rFonts w:hint="eastAsia" w:ascii="仿宋" w:hAnsi="仿宋" w:eastAsia="仿宋" w:cs="仿宋"/>
                <w:color w:val="auto"/>
                <w:sz w:val="24"/>
                <w:szCs w:val="24"/>
                <w:highlight w:val="none"/>
                <w:lang w:val="en-US" w:eastAsia="zh-CN"/>
              </w:rPr>
              <w:t>中标人</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投标保证金</w:t>
            </w:r>
            <w:r>
              <w:rPr>
                <w:rFonts w:hint="eastAsia" w:ascii="仿宋" w:hAnsi="仿宋" w:eastAsia="仿宋" w:cs="仿宋"/>
                <w:color w:val="auto"/>
                <w:sz w:val="24"/>
                <w:szCs w:val="24"/>
                <w:highlight w:val="none"/>
              </w:rPr>
              <w:t>在缴纳完招标代理服务费，并按本须知规定持与采购人签订的承包合同后5</w:t>
            </w:r>
            <w:r>
              <w:rPr>
                <w:rFonts w:hint="eastAsia" w:ascii="仿宋" w:hAnsi="仿宋" w:eastAsia="仿宋" w:cs="仿宋"/>
                <w:color w:val="auto"/>
                <w:sz w:val="24"/>
                <w:szCs w:val="24"/>
                <w:highlight w:val="none"/>
                <w:lang w:val="en-US" w:eastAsia="zh-CN"/>
              </w:rPr>
              <w:t>个工作</w:t>
            </w:r>
            <w:r>
              <w:rPr>
                <w:rFonts w:hint="eastAsia" w:ascii="仿宋" w:hAnsi="仿宋" w:eastAsia="仿宋" w:cs="仿宋"/>
                <w:color w:val="auto"/>
                <w:sz w:val="24"/>
                <w:szCs w:val="24"/>
                <w:highlight w:val="none"/>
              </w:rPr>
              <w:t>日内退还。</w:t>
            </w:r>
          </w:p>
        </w:tc>
      </w:tr>
      <w:tr w14:paraId="40895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6" w:type="pct"/>
            <w:vAlign w:val="center"/>
          </w:tcPr>
          <w:p w14:paraId="41D8C18E">
            <w:pPr>
              <w:widowControl w:val="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rPr>
              <w:t>21.6</w:t>
            </w:r>
          </w:p>
        </w:tc>
        <w:tc>
          <w:tcPr>
            <w:tcW w:w="1037" w:type="pct"/>
            <w:vAlign w:val="center"/>
          </w:tcPr>
          <w:p w14:paraId="51027097">
            <w:pPr>
              <w:widowControl w:val="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zh-TW" w:eastAsia="zh-TW"/>
              </w:rPr>
              <w:t>投标保证金不予退还的情形</w:t>
            </w:r>
          </w:p>
        </w:tc>
        <w:tc>
          <w:tcPr>
            <w:tcW w:w="3426" w:type="pct"/>
            <w:vAlign w:val="center"/>
          </w:tcPr>
          <w:p w14:paraId="790234D9">
            <w:pPr>
              <w:widowControl w:val="0"/>
              <w:spacing w:line="360" w:lineRule="auto"/>
              <w:jc w:val="both"/>
              <w:rPr>
                <w:rFonts w:hint="eastAsia" w:ascii="仿宋" w:hAnsi="仿宋" w:eastAsia="仿宋" w:cs="仿宋"/>
                <w:color w:val="auto"/>
                <w:kern w:val="2"/>
                <w:sz w:val="24"/>
                <w:szCs w:val="24"/>
                <w:highlight w:val="none"/>
                <w:lang w:val="zh-TW" w:eastAsia="zh-TW"/>
              </w:rPr>
            </w:pPr>
            <w:r>
              <w:rPr>
                <w:rFonts w:hint="eastAsia" w:ascii="仿宋" w:hAnsi="仿宋" w:eastAsia="仿宋" w:cs="仿宋"/>
                <w:color w:val="auto"/>
                <w:kern w:val="2"/>
                <w:sz w:val="24"/>
                <w:szCs w:val="24"/>
                <w:highlight w:val="none"/>
                <w:lang w:val="zh-TW" w:eastAsia="zh-TW"/>
              </w:rPr>
              <w:t>有下列情形之一的，投标保证金将不予退还：</w:t>
            </w:r>
          </w:p>
          <w:p w14:paraId="12AB8AF2">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1)投标人在投标有效期内撤销投标文件；</w:t>
            </w:r>
          </w:p>
          <w:p w14:paraId="5976C86C">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2)中标人在收到中标通知书后，无正当理由不与采购人订立合同，在签订合同时向采购人提出附加条件，或者不按照招标文件要求提交履约保证金；</w:t>
            </w:r>
          </w:p>
          <w:p w14:paraId="00F77ED4">
            <w:pPr>
              <w:widowControl w:val="0"/>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3)其他法律法规要求不予退还投标保证金的情形。</w:t>
            </w:r>
          </w:p>
        </w:tc>
      </w:tr>
      <w:tr w14:paraId="60CB3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36" w:type="pct"/>
            <w:vAlign w:val="center"/>
          </w:tcPr>
          <w:p w14:paraId="5953F77E">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w:t>
            </w:r>
          </w:p>
        </w:tc>
        <w:tc>
          <w:tcPr>
            <w:tcW w:w="1037" w:type="pct"/>
            <w:vAlign w:val="center"/>
          </w:tcPr>
          <w:p w14:paraId="07AF3699">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提交投标文件截止时间</w:t>
            </w:r>
          </w:p>
        </w:tc>
        <w:tc>
          <w:tcPr>
            <w:tcW w:w="3426" w:type="pct"/>
            <w:vAlign w:val="center"/>
          </w:tcPr>
          <w:p w14:paraId="40EA81A3">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见第一章“招标公告”</w:t>
            </w:r>
          </w:p>
        </w:tc>
      </w:tr>
      <w:tr w14:paraId="3D537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36" w:type="pct"/>
            <w:vAlign w:val="center"/>
          </w:tcPr>
          <w:p w14:paraId="4793352F">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w:t>
            </w:r>
          </w:p>
        </w:tc>
        <w:tc>
          <w:tcPr>
            <w:tcW w:w="1037" w:type="pct"/>
            <w:vAlign w:val="center"/>
          </w:tcPr>
          <w:p w14:paraId="3ACBEF33">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提交投标文件的地点</w:t>
            </w:r>
          </w:p>
        </w:tc>
        <w:tc>
          <w:tcPr>
            <w:tcW w:w="3426" w:type="pct"/>
            <w:vAlign w:val="center"/>
          </w:tcPr>
          <w:p w14:paraId="7A4C64B1">
            <w:pPr>
              <w:pStyle w:val="1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见第一章“招标公告”</w:t>
            </w:r>
          </w:p>
        </w:tc>
      </w:tr>
      <w:tr w14:paraId="552F9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36" w:type="pct"/>
            <w:vAlign w:val="center"/>
          </w:tcPr>
          <w:p w14:paraId="39CDB31E">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23.3</w:t>
            </w:r>
          </w:p>
        </w:tc>
        <w:tc>
          <w:tcPr>
            <w:tcW w:w="1037" w:type="pct"/>
            <w:vAlign w:val="center"/>
          </w:tcPr>
          <w:p w14:paraId="198A4FD2">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投标文件的退还</w:t>
            </w:r>
          </w:p>
        </w:tc>
        <w:tc>
          <w:tcPr>
            <w:tcW w:w="3426" w:type="pct"/>
            <w:vAlign w:val="center"/>
          </w:tcPr>
          <w:p w14:paraId="2794135C">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不予退还</w:t>
            </w:r>
          </w:p>
        </w:tc>
      </w:tr>
      <w:tr w14:paraId="5F9E8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36" w:type="pct"/>
            <w:vAlign w:val="center"/>
          </w:tcPr>
          <w:p w14:paraId="7F8E73E5">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w:t>
            </w:r>
          </w:p>
        </w:tc>
        <w:tc>
          <w:tcPr>
            <w:tcW w:w="1037" w:type="pct"/>
            <w:vAlign w:val="center"/>
          </w:tcPr>
          <w:p w14:paraId="7EBD69A2">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开标时间和地点</w:t>
            </w:r>
          </w:p>
        </w:tc>
        <w:tc>
          <w:tcPr>
            <w:tcW w:w="3426" w:type="pct"/>
            <w:vAlign w:val="center"/>
          </w:tcPr>
          <w:p w14:paraId="4726A32D">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同提交投标文件截止时间和地点  </w:t>
            </w:r>
          </w:p>
        </w:tc>
      </w:tr>
      <w:tr w14:paraId="32696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36" w:type="pct"/>
            <w:vAlign w:val="center"/>
          </w:tcPr>
          <w:p w14:paraId="750C1E6D">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26.3</w:t>
            </w:r>
          </w:p>
        </w:tc>
        <w:tc>
          <w:tcPr>
            <w:tcW w:w="1037" w:type="pct"/>
            <w:vAlign w:val="center"/>
          </w:tcPr>
          <w:p w14:paraId="55E35860">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评标方法</w:t>
            </w:r>
          </w:p>
        </w:tc>
        <w:tc>
          <w:tcPr>
            <w:tcW w:w="3426" w:type="pct"/>
            <w:vAlign w:val="center"/>
          </w:tcPr>
          <w:p w14:paraId="1FCD03A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综合评分法</w:t>
            </w:r>
          </w:p>
        </w:tc>
      </w:tr>
      <w:tr w14:paraId="4B209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536" w:type="pct"/>
            <w:vAlign w:val="center"/>
          </w:tcPr>
          <w:p w14:paraId="77155263">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w:t>
            </w:r>
          </w:p>
        </w:tc>
        <w:tc>
          <w:tcPr>
            <w:tcW w:w="1037" w:type="pct"/>
            <w:vAlign w:val="center"/>
          </w:tcPr>
          <w:p w14:paraId="7142C878">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履约担保（履约保证金）</w:t>
            </w:r>
          </w:p>
        </w:tc>
        <w:tc>
          <w:tcPr>
            <w:tcW w:w="3426" w:type="pct"/>
            <w:vAlign w:val="center"/>
          </w:tcPr>
          <w:p w14:paraId="3CCFC6D0">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无</w:t>
            </w:r>
          </w:p>
        </w:tc>
      </w:tr>
      <w:tr w14:paraId="0A8AE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36" w:type="pct"/>
            <w:vAlign w:val="center"/>
          </w:tcPr>
          <w:p w14:paraId="7E9AAF91">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w:t>
            </w:r>
          </w:p>
        </w:tc>
        <w:tc>
          <w:tcPr>
            <w:tcW w:w="1037" w:type="pct"/>
            <w:vAlign w:val="center"/>
          </w:tcPr>
          <w:p w14:paraId="3E01DEB6">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备选方案</w:t>
            </w:r>
          </w:p>
        </w:tc>
        <w:tc>
          <w:tcPr>
            <w:tcW w:w="3426" w:type="pct"/>
            <w:vAlign w:val="center"/>
          </w:tcPr>
          <w:p w14:paraId="5D74FC39">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不接受</w:t>
            </w:r>
          </w:p>
        </w:tc>
      </w:tr>
      <w:tr w14:paraId="700EB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536" w:type="pct"/>
            <w:vAlign w:val="center"/>
          </w:tcPr>
          <w:p w14:paraId="79B631C6">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34.2</w:t>
            </w:r>
          </w:p>
        </w:tc>
        <w:tc>
          <w:tcPr>
            <w:tcW w:w="4463" w:type="pct"/>
            <w:gridSpan w:val="2"/>
            <w:vAlign w:val="center"/>
          </w:tcPr>
          <w:p w14:paraId="1003D669">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w:t>
            </w:r>
          </w:p>
        </w:tc>
      </w:tr>
      <w:tr w14:paraId="7738E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36" w:type="pct"/>
            <w:vAlign w:val="center"/>
          </w:tcPr>
          <w:p w14:paraId="53C37523">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463" w:type="pct"/>
            <w:gridSpan w:val="2"/>
            <w:vAlign w:val="center"/>
          </w:tcPr>
          <w:p w14:paraId="6CEE1B48">
            <w:pPr>
              <w:autoSpaceDE w:val="0"/>
              <w:autoSpaceDN w:val="0"/>
              <w:spacing w:line="360" w:lineRule="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（1）中标服务费：以本项目中标价为计费基数，参照《招标代理服务收费管理暂行办法》计价格〔2002〕1980号文、《国家发展改革委办公厅关于招标代理服务费有关问题的通知》发改办价格</w:t>
            </w:r>
            <w:r>
              <w:rPr>
                <w:rFonts w:hint="eastAsia" w:ascii="仿宋" w:hAnsi="仿宋" w:eastAsia="仿宋" w:cs="仿宋"/>
                <w:color w:val="auto"/>
                <w:kern w:val="2"/>
                <w:sz w:val="24"/>
                <w:szCs w:val="24"/>
                <w:highlight w:val="none"/>
                <w:lang w:eastAsia="zh-CN"/>
              </w:rPr>
              <w:t>〔2003〕857号</w:t>
            </w:r>
            <w:r>
              <w:rPr>
                <w:rFonts w:hint="eastAsia" w:ascii="仿宋" w:hAnsi="仿宋" w:eastAsia="仿宋" w:cs="仿宋"/>
                <w:color w:val="auto"/>
                <w:kern w:val="2"/>
                <w:sz w:val="24"/>
                <w:szCs w:val="24"/>
                <w:highlight w:val="none"/>
              </w:rPr>
              <w:t>文、《国家发展改革委关于进一步放开建设项目专业服务价格的通知》（发改价格〔2015〕299号），结合自身实力进行参照发改价格〔2015〕299号及计价格〔2002〕1980号文中</w:t>
            </w:r>
            <w:r>
              <w:rPr>
                <w:rFonts w:hint="eastAsia" w:ascii="仿宋" w:hAnsi="仿宋" w:eastAsia="仿宋" w:cs="仿宋"/>
                <w:color w:val="auto"/>
                <w:kern w:val="2"/>
                <w:sz w:val="24"/>
                <w:szCs w:val="24"/>
                <w:highlight w:val="none"/>
                <w:u w:val="single"/>
                <w:lang w:val="en-US" w:eastAsia="zh-CN"/>
              </w:rPr>
              <w:t>货物</w:t>
            </w:r>
            <w:r>
              <w:rPr>
                <w:rFonts w:hint="eastAsia" w:ascii="仿宋" w:hAnsi="仿宋" w:eastAsia="仿宋" w:cs="仿宋"/>
                <w:color w:val="auto"/>
                <w:kern w:val="2"/>
                <w:sz w:val="24"/>
                <w:szCs w:val="24"/>
                <w:highlight w:val="none"/>
                <w:u w:val="single"/>
              </w:rPr>
              <w:t>类</w:t>
            </w:r>
            <w:r>
              <w:rPr>
                <w:rFonts w:hint="eastAsia" w:ascii="仿宋" w:hAnsi="仿宋" w:eastAsia="仿宋" w:cs="仿宋"/>
                <w:color w:val="auto"/>
                <w:kern w:val="2"/>
                <w:sz w:val="24"/>
                <w:szCs w:val="24"/>
                <w:highlight w:val="none"/>
              </w:rPr>
              <w:t>收费标准计算</w:t>
            </w:r>
            <w:r>
              <w:rPr>
                <w:rFonts w:hint="eastAsia" w:ascii="仿宋" w:hAnsi="仿宋" w:eastAsia="仿宋" w:cs="仿宋"/>
                <w:color w:val="auto"/>
                <w:kern w:val="2"/>
                <w:sz w:val="24"/>
                <w:szCs w:val="24"/>
                <w:highlight w:val="none"/>
                <w:lang w:val="en-US" w:eastAsia="zh-CN"/>
              </w:rPr>
              <w:t>后下浮20%</w:t>
            </w:r>
            <w:r>
              <w:rPr>
                <w:rFonts w:hint="eastAsia" w:ascii="仿宋" w:hAnsi="仿宋" w:eastAsia="仿宋" w:cs="仿宋"/>
                <w:color w:val="auto"/>
                <w:kern w:val="2"/>
                <w:sz w:val="24"/>
                <w:szCs w:val="24"/>
                <w:highlight w:val="none"/>
              </w:rPr>
              <w:t>，由中标人向代理机构支付。</w:t>
            </w:r>
          </w:p>
          <w:p w14:paraId="70D158FA">
            <w:pPr>
              <w:autoSpaceDE w:val="0"/>
              <w:autoSpaceDN w:val="0"/>
              <w:spacing w:line="360" w:lineRule="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开户名称：云南金诺招标代理有限公司</w:t>
            </w:r>
          </w:p>
          <w:p w14:paraId="52E830CE">
            <w:pPr>
              <w:autoSpaceDE w:val="0"/>
              <w:autoSpaceDN w:val="0"/>
              <w:spacing w:line="360" w:lineRule="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开户银行：中国工商银行昆明滇池度假区支行</w:t>
            </w:r>
          </w:p>
          <w:p w14:paraId="322652BB">
            <w:pPr>
              <w:autoSpaceDE w:val="0"/>
              <w:autoSpaceDN w:val="0"/>
              <w:spacing w:line="360" w:lineRule="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账号：2502046809100026703。</w:t>
            </w:r>
          </w:p>
          <w:p w14:paraId="6C028908">
            <w:pPr>
              <w:pStyle w:val="7"/>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2</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sz w:val="24"/>
                <w:szCs w:val="24"/>
                <w:highlight w:val="none"/>
              </w:rPr>
              <w:t>评标委员会的组建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评标委员会成员须为</w:t>
            </w:r>
            <w:r>
              <w:rPr>
                <w:rFonts w:hint="eastAsia" w:ascii="仿宋" w:hAnsi="仿宋" w:eastAsia="仿宋" w:cs="仿宋"/>
                <w:color w:val="auto"/>
                <w:sz w:val="24"/>
                <w:szCs w:val="24"/>
                <w:highlight w:val="none"/>
                <w:u w:val="single"/>
              </w:rPr>
              <w:t>5</w:t>
            </w:r>
            <w:r>
              <w:rPr>
                <w:rFonts w:hint="eastAsia" w:ascii="仿宋" w:hAnsi="仿宋" w:eastAsia="仿宋" w:cs="仿宋"/>
                <w:color w:val="auto"/>
                <w:sz w:val="24"/>
                <w:szCs w:val="24"/>
                <w:highlight w:val="none"/>
                <w:u w:val="none"/>
              </w:rPr>
              <w:t>人及其以上单数，评标专家确定方式：</w:t>
            </w:r>
            <w:r>
              <w:rPr>
                <w:rFonts w:hint="eastAsia" w:ascii="仿宋" w:hAnsi="仿宋" w:eastAsia="仿宋" w:cs="仿宋"/>
                <w:color w:val="auto"/>
                <w:sz w:val="24"/>
                <w:szCs w:val="24"/>
                <w:highlight w:val="none"/>
                <w:u w:val="none"/>
              </w:rPr>
              <w:fldChar w:fldCharType="begin"/>
            </w:r>
            <w:r>
              <w:rPr>
                <w:rFonts w:hint="eastAsia" w:ascii="仿宋" w:hAnsi="仿宋" w:eastAsia="仿宋" w:cs="仿宋"/>
                <w:color w:val="auto"/>
                <w:sz w:val="24"/>
                <w:szCs w:val="24"/>
                <w:highlight w:val="none"/>
                <w:u w:val="none"/>
              </w:rPr>
              <w:instrText xml:space="preserve"> AUTOTEXT  input160 \* MERGEFORMAT </w:instrText>
            </w:r>
            <w:r>
              <w:rPr>
                <w:rFonts w:hint="eastAsia" w:ascii="仿宋" w:hAnsi="仿宋" w:eastAsia="仿宋" w:cs="仿宋"/>
                <w:color w:val="auto"/>
                <w:sz w:val="24"/>
                <w:szCs w:val="24"/>
                <w:highlight w:val="none"/>
                <w:u w:val="none"/>
              </w:rPr>
              <w:fldChar w:fldCharType="separate"/>
            </w:r>
            <w:r>
              <w:rPr>
                <w:rFonts w:hint="eastAsia" w:ascii="仿宋" w:hAnsi="仿宋" w:eastAsia="仿宋" w:cs="仿宋"/>
                <w:color w:val="auto"/>
                <w:sz w:val="24"/>
                <w:szCs w:val="24"/>
                <w:highlight w:val="none"/>
                <w:u w:val="none"/>
              </w:rPr>
              <w:t>其中招标人代表1人；剩余专家在</w:t>
            </w:r>
            <w:r>
              <w:rPr>
                <w:rFonts w:hint="eastAsia" w:ascii="仿宋" w:hAnsi="仿宋" w:eastAsia="仿宋" w:cs="仿宋"/>
                <w:color w:val="auto"/>
                <w:sz w:val="24"/>
                <w:szCs w:val="24"/>
                <w:highlight w:val="none"/>
                <w:u w:val="none"/>
                <w:lang w:val="en-US" w:eastAsia="zh-CN"/>
              </w:rPr>
              <w:t>云南</w:t>
            </w:r>
            <w:r>
              <w:rPr>
                <w:rFonts w:hint="eastAsia" w:ascii="仿宋" w:hAnsi="仿宋" w:eastAsia="仿宋" w:cs="仿宋"/>
                <w:color w:val="auto"/>
                <w:sz w:val="24"/>
                <w:szCs w:val="24"/>
                <w:highlight w:val="none"/>
                <w:u w:val="none"/>
              </w:rPr>
              <w:fldChar w:fldCharType="end"/>
            </w:r>
            <w:r>
              <w:rPr>
                <w:rFonts w:hint="eastAsia" w:ascii="仿宋" w:hAnsi="仿宋" w:eastAsia="仿宋" w:cs="仿宋"/>
                <w:color w:val="auto"/>
                <w:sz w:val="24"/>
                <w:szCs w:val="24"/>
                <w:highlight w:val="none"/>
                <w:u w:val="none"/>
                <w:lang w:val="en-US" w:eastAsia="zh-CN"/>
              </w:rPr>
              <w:t>省政府采购专家库中随机抽取。</w:t>
            </w:r>
          </w:p>
        </w:tc>
      </w:tr>
      <w:tr w14:paraId="0B41F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36" w:type="pct"/>
            <w:vAlign w:val="center"/>
          </w:tcPr>
          <w:p w14:paraId="58C0EC93">
            <w:pPr>
              <w:pStyle w:val="1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34.3</w:t>
            </w:r>
          </w:p>
        </w:tc>
        <w:tc>
          <w:tcPr>
            <w:tcW w:w="4463" w:type="pct"/>
            <w:gridSpan w:val="2"/>
            <w:vAlign w:val="center"/>
          </w:tcPr>
          <w:p w14:paraId="325B3E28">
            <w:pPr>
              <w:spacing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关于中小企业：</w:t>
            </w:r>
          </w:p>
          <w:p w14:paraId="2BA79C22">
            <w:pPr>
              <w:spacing w:line="44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1、若存在符合条件的小型、微型企业或监狱企业或残疾人福利性单位，在计算报价得分时，对小型或微型企业的价格给予10%的扣除，用扣除后的价格参与评审。监狱企业、残疾人福利性单位视同小型、微型企业。执行政策文件：“关于印发《政府采购促进中小企业发展管理办法》的通知（财库〔2020〕46号）”“《财政部司法部关于政府采购支持监狱企业发展有关问题的通知》（财库〔2014〕68号）”“《财政部民政部中国残疾人联合会关于促进残疾人就业政府采购政策的通知》（财库〔2017〕141号）”。</w:t>
            </w:r>
          </w:p>
          <w:p w14:paraId="05C2CFEA">
            <w:pPr>
              <w:pStyle w:val="7"/>
              <w:spacing w:line="360" w:lineRule="auto"/>
              <w:rPr>
                <w:rFonts w:hint="eastAsia" w:ascii="仿宋" w:hAnsi="仿宋" w:eastAsia="仿宋" w:cs="仿宋"/>
                <w:color w:val="auto"/>
                <w:kern w:val="2"/>
                <w:sz w:val="24"/>
                <w:szCs w:val="24"/>
                <w:highlight w:val="none"/>
                <w:lang w:eastAsia="zh-CN"/>
              </w:rPr>
            </w:pPr>
            <w:r>
              <w:rPr>
                <w:rFonts w:hint="eastAsia" w:ascii="仿宋" w:hAnsi="仿宋" w:eastAsia="仿宋" w:cs="仿宋"/>
                <w:bCs/>
                <w:color w:val="auto"/>
                <w:sz w:val="24"/>
                <w:highlight w:val="none"/>
              </w:rPr>
              <w:t>2、请供应商根据自身情况提供《中小企业声明函》，无《中小企业声明函》的</w:t>
            </w:r>
            <w:r>
              <w:rPr>
                <w:rFonts w:hint="eastAsia" w:ascii="仿宋" w:hAnsi="仿宋" w:eastAsia="仿宋" w:cs="仿宋"/>
                <w:color w:val="auto"/>
                <w:sz w:val="24"/>
                <w:highlight w:val="none"/>
              </w:rPr>
              <w:t>在评审时不予认可</w:t>
            </w:r>
            <w:r>
              <w:rPr>
                <w:rFonts w:hint="eastAsia" w:ascii="仿宋" w:hAnsi="仿宋" w:eastAsia="仿宋" w:cs="仿宋"/>
                <w:bCs/>
                <w:color w:val="auto"/>
                <w:sz w:val="24"/>
                <w:highlight w:val="none"/>
              </w:rPr>
              <w:t>。</w:t>
            </w:r>
          </w:p>
        </w:tc>
      </w:tr>
      <w:tr w14:paraId="088C6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536" w:type="pct"/>
            <w:vAlign w:val="center"/>
          </w:tcPr>
          <w:p w14:paraId="15B5F8D1">
            <w:pPr>
              <w:pStyle w:val="10"/>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34.4</w:t>
            </w:r>
          </w:p>
        </w:tc>
        <w:tc>
          <w:tcPr>
            <w:tcW w:w="4463" w:type="pct"/>
            <w:gridSpan w:val="2"/>
            <w:vAlign w:val="center"/>
          </w:tcPr>
          <w:p w14:paraId="0E456F81">
            <w:pPr>
              <w:adjustRightInd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关于监狱企业、残疾人福利性单位：</w:t>
            </w:r>
          </w:p>
          <w:p w14:paraId="5CB0713F">
            <w:pPr>
              <w:adjustRightInd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65709DFF">
            <w:pPr>
              <w:adjustRightInd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2、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供应商为残疾人福利性单位的，采购人或者其委托的采购代理机构应当随中标结果同时公告其《残疾人福利性单位声明函》，接受社会监督。供应商提供的《残疾人福利性单位声明函》与事实不符的，依照《政府采购法》第七十七条第一款的规定追究法律责任。</w:t>
            </w:r>
          </w:p>
          <w:p w14:paraId="25FF9172">
            <w:pPr>
              <w:pStyle w:val="7"/>
              <w:spacing w:line="360" w:lineRule="auto"/>
              <w:rPr>
                <w:rFonts w:hint="eastAsia" w:ascii="仿宋" w:hAnsi="仿宋" w:eastAsia="仿宋" w:cs="仿宋"/>
                <w:bCs/>
                <w:color w:val="auto"/>
                <w:sz w:val="24"/>
                <w:highlight w:val="none"/>
              </w:rPr>
            </w:pPr>
            <w:r>
              <w:rPr>
                <w:rFonts w:hint="eastAsia" w:ascii="仿宋" w:hAnsi="仿宋" w:eastAsia="仿宋" w:cs="仿宋"/>
                <w:b/>
                <w:bCs/>
                <w:color w:val="auto"/>
                <w:sz w:val="24"/>
                <w:highlight w:val="none"/>
              </w:rPr>
              <w:t>注：监狱企业、残疾人福利性单位视同小型、微型企业，若监狱企业、残疾人福利性单位属于小型、微型企业的，不重复享受政策。</w:t>
            </w:r>
          </w:p>
        </w:tc>
      </w:tr>
    </w:tbl>
    <w:p w14:paraId="031FC914">
      <w:pPr>
        <w:pStyle w:val="3"/>
        <w:keepLines w:val="0"/>
        <w:pageBreakBefore w:val="0"/>
        <w:widowControl w:val="0"/>
        <w:kinsoku/>
        <w:wordWrap/>
        <w:overflowPunct/>
        <w:topLinePunct w:val="0"/>
        <w:autoSpaceDE/>
        <w:autoSpaceDN/>
        <w:bidi w:val="0"/>
        <w:snapToGrid w:val="0"/>
        <w:spacing w:before="0" w:line="360" w:lineRule="auto"/>
        <w:jc w:val="center"/>
        <w:rPr>
          <w:rFonts w:hint="eastAsia" w:ascii="仿宋" w:hAnsi="仿宋" w:eastAsia="仿宋" w:cs="仿宋"/>
          <w:color w:val="auto"/>
          <w:highlight w:val="none"/>
        </w:rPr>
      </w:pPr>
      <w:r>
        <w:rPr>
          <w:rFonts w:hint="eastAsia" w:ascii="仿宋" w:hAnsi="仿宋" w:eastAsia="仿宋" w:cs="仿宋"/>
          <w:color w:val="auto"/>
          <w:sz w:val="21"/>
          <w:szCs w:val="21"/>
          <w:highlight w:val="none"/>
        </w:rPr>
        <w:br w:type="page"/>
      </w:r>
      <w:bookmarkStart w:id="25" w:name="_Toc141099641"/>
      <w:bookmarkStart w:id="26" w:name="_Toc33095530"/>
      <w:bookmarkStart w:id="27" w:name="_Toc29087"/>
      <w:bookmarkStart w:id="28" w:name="_Toc101004082"/>
      <w:bookmarkStart w:id="29" w:name="_Toc18521"/>
      <w:bookmarkStart w:id="30" w:name="_Toc13447"/>
      <w:r>
        <w:rPr>
          <w:rFonts w:hint="eastAsia" w:ascii="仿宋" w:hAnsi="仿宋" w:eastAsia="仿宋" w:cs="仿宋"/>
          <w:color w:val="auto"/>
          <w:highlight w:val="none"/>
        </w:rPr>
        <w:t>一、总  则</w:t>
      </w:r>
      <w:bookmarkEnd w:id="25"/>
      <w:bookmarkEnd w:id="26"/>
      <w:bookmarkEnd w:id="27"/>
      <w:bookmarkEnd w:id="28"/>
      <w:bookmarkEnd w:id="29"/>
      <w:bookmarkEnd w:id="30"/>
    </w:p>
    <w:p w14:paraId="75204BC7">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 采购人、采购代理机构、</w:t>
      </w:r>
      <w:r>
        <w:rPr>
          <w:rFonts w:hint="eastAsia" w:ascii="仿宋" w:hAnsi="仿宋" w:eastAsia="仿宋" w:cs="仿宋"/>
          <w:color w:val="auto"/>
          <w:sz w:val="24"/>
          <w:szCs w:val="24"/>
          <w:highlight w:val="none"/>
        </w:rPr>
        <w:t>项目名称及</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rPr>
        <w:t>，详见招标文件“</w:t>
      </w:r>
      <w:r>
        <w:rPr>
          <w:rFonts w:hint="eastAsia" w:ascii="仿宋" w:hAnsi="仿宋" w:eastAsia="仿宋" w:cs="仿宋"/>
          <w:b/>
          <w:color w:val="auto"/>
          <w:sz w:val="24"/>
          <w:szCs w:val="24"/>
          <w:highlight w:val="none"/>
        </w:rPr>
        <w:t>投标人须知前附表</w:t>
      </w:r>
      <w:r>
        <w:rPr>
          <w:rFonts w:hint="eastAsia" w:ascii="仿宋" w:hAnsi="仿宋" w:eastAsia="仿宋" w:cs="仿宋"/>
          <w:color w:val="auto"/>
          <w:sz w:val="24"/>
          <w:szCs w:val="24"/>
          <w:highlight w:val="none"/>
        </w:rPr>
        <w:t>”。</w:t>
      </w:r>
    </w:p>
    <w:p w14:paraId="5627908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资金来源</w:t>
      </w:r>
    </w:p>
    <w:p w14:paraId="321C3A7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2.1财政资金，用于采购“</w:t>
      </w:r>
      <w:r>
        <w:rPr>
          <w:rFonts w:hint="eastAsia" w:ascii="仿宋" w:hAnsi="仿宋" w:eastAsia="仿宋" w:cs="仿宋"/>
          <w:b/>
          <w:color w:val="auto"/>
          <w:sz w:val="24"/>
          <w:szCs w:val="24"/>
          <w:highlight w:val="none"/>
          <w:lang w:eastAsia="zh-CN"/>
        </w:rPr>
        <w:t>采购需求</w:t>
      </w:r>
      <w:r>
        <w:rPr>
          <w:rFonts w:hint="eastAsia" w:ascii="仿宋" w:hAnsi="仿宋" w:eastAsia="仿宋" w:cs="仿宋"/>
          <w:color w:val="auto"/>
          <w:sz w:val="24"/>
          <w:szCs w:val="24"/>
          <w:highlight w:val="none"/>
        </w:rPr>
        <w:t>”所列货物。</w:t>
      </w:r>
    </w:p>
    <w:p w14:paraId="0A72178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招标范围</w:t>
      </w:r>
    </w:p>
    <w:p w14:paraId="2C75399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本项目招标范围：见“</w:t>
      </w:r>
      <w:r>
        <w:rPr>
          <w:rFonts w:hint="eastAsia" w:ascii="仿宋" w:hAnsi="仿宋" w:eastAsia="仿宋" w:cs="仿宋"/>
          <w:b/>
          <w:color w:val="auto"/>
          <w:sz w:val="24"/>
          <w:szCs w:val="24"/>
          <w:highlight w:val="none"/>
        </w:rPr>
        <w:t>投标人须知前附表</w:t>
      </w:r>
      <w:r>
        <w:rPr>
          <w:rFonts w:hint="eastAsia" w:ascii="仿宋" w:hAnsi="仿宋" w:eastAsia="仿宋" w:cs="仿宋"/>
          <w:color w:val="auto"/>
          <w:sz w:val="24"/>
          <w:szCs w:val="24"/>
          <w:highlight w:val="none"/>
        </w:rPr>
        <w:t>”。</w:t>
      </w:r>
    </w:p>
    <w:p w14:paraId="549A2BF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本项目交货期、交货地点、交货方式、质量标准：见“</w:t>
      </w:r>
      <w:r>
        <w:rPr>
          <w:rFonts w:hint="eastAsia" w:ascii="仿宋" w:hAnsi="仿宋" w:eastAsia="仿宋" w:cs="仿宋"/>
          <w:b/>
          <w:color w:val="auto"/>
          <w:sz w:val="24"/>
          <w:szCs w:val="24"/>
          <w:highlight w:val="none"/>
        </w:rPr>
        <w:t>投标人须知前附表</w:t>
      </w:r>
      <w:r>
        <w:rPr>
          <w:rFonts w:hint="eastAsia" w:ascii="仿宋" w:hAnsi="仿宋" w:eastAsia="仿宋" w:cs="仿宋"/>
          <w:color w:val="auto"/>
          <w:sz w:val="24"/>
          <w:szCs w:val="24"/>
          <w:highlight w:val="none"/>
        </w:rPr>
        <w:t>”。</w:t>
      </w:r>
    </w:p>
    <w:p w14:paraId="37E8A44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 合格的投标人</w:t>
      </w:r>
    </w:p>
    <w:p w14:paraId="360D7C3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4.1投标人应具备《中华人民共和国政府采购法》第二十二条规定的条件，并提供相关证明材料：内容详见投标人须知前附表；</w:t>
      </w:r>
    </w:p>
    <w:p w14:paraId="52F60E5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投标人应符合采购人根据采购项目的特殊要求规定的特定条件。特定条件见 “投标人须知前附表”。</w:t>
      </w:r>
    </w:p>
    <w:p w14:paraId="2E104E1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单位负责人为同一人或者存在直接控股、管理关系的不同供应商，不得参加同一合同项下的政府采购活动。为本项目提供整体设计、规范编制或者项目管理、监理、检测等服务的供应商，不得再参加本项目的采购活动。</w:t>
      </w:r>
    </w:p>
    <w:p w14:paraId="3CBF89C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rPr>
        <w:t>投标人须知前附表</w:t>
      </w:r>
      <w:r>
        <w:rPr>
          <w:rFonts w:hint="eastAsia" w:ascii="仿宋" w:hAnsi="仿宋" w:eastAsia="仿宋" w:cs="仿宋"/>
          <w:color w:val="auto"/>
          <w:sz w:val="24"/>
          <w:szCs w:val="24"/>
          <w:highlight w:val="none"/>
        </w:rPr>
        <w:t>”规定接受联合体投标的，除应符合本章第4.1-4.4项和“</w:t>
      </w:r>
      <w:r>
        <w:rPr>
          <w:rFonts w:hint="eastAsia" w:ascii="仿宋" w:hAnsi="仿宋" w:eastAsia="仿宋" w:cs="仿宋"/>
          <w:b/>
          <w:color w:val="auto"/>
          <w:sz w:val="24"/>
          <w:szCs w:val="24"/>
          <w:highlight w:val="none"/>
        </w:rPr>
        <w:t>投标人须知前附表</w:t>
      </w:r>
      <w:r>
        <w:rPr>
          <w:rFonts w:hint="eastAsia" w:ascii="仿宋" w:hAnsi="仿宋" w:eastAsia="仿宋" w:cs="仿宋"/>
          <w:color w:val="auto"/>
          <w:sz w:val="24"/>
          <w:szCs w:val="24"/>
          <w:highlight w:val="none"/>
        </w:rPr>
        <w:t>”的要求外，还应遵守以下规定：</w:t>
      </w:r>
    </w:p>
    <w:p w14:paraId="5015304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1)联合体中有同类资质的投标人按照联合体分工承担相同工作的，应当按照资质等级较低的投标人确定资质等级；</w:t>
      </w:r>
    </w:p>
    <w:p w14:paraId="7ABDDB8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2)联合体各方之间应当签订共同投标协议，明确约定联合体各方承担的工作和相应的责任；</w:t>
      </w:r>
    </w:p>
    <w:p w14:paraId="612A561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3)以联合体形式参加政府采购活动的，联合体各方不得再单独参加或者与其他投标人另外组成联合体参加同一项目包下的政府采购活动。</w:t>
      </w:r>
    </w:p>
    <w:p w14:paraId="2E13FF2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 xml:space="preserve"> 符合上述条件的投标人应承担投标及履约中应承担的全部责任与义务。</w:t>
      </w:r>
    </w:p>
    <w:p w14:paraId="00F359B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 投标费用</w:t>
      </w:r>
    </w:p>
    <w:p w14:paraId="16B31B7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5.1不论投标结果如何，投标人均应自行承担所有与准备和参加投标活动有关的全部费用。</w:t>
      </w:r>
    </w:p>
    <w:p w14:paraId="75580A6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w:t>
      </w:r>
    </w:p>
    <w:p w14:paraId="25E954D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 投标人认为招标文件、招标过程和中标结果使自己的权益受到损害的，应当在知道或者应知其权益受到损害之日起7个工作日内，以书面形式向采购代理机构一次性提出针对同一采购程序环节的质疑。质疑内容不得含有虚假、恶意成分。当事人对自己提出的主张，有责任提供证据，提出质疑时应同时提交相关证据材料和注明事实的确切来源。</w:t>
      </w:r>
    </w:p>
    <w:p w14:paraId="39B8E05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6.2供应商应知其权益受到损害之日，是指：</w:t>
      </w:r>
    </w:p>
    <w:p w14:paraId="2B45E49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（1）对可以质疑的招标文件提出质疑的，为公告期限届满之日；</w:t>
      </w:r>
    </w:p>
    <w:p w14:paraId="104C0C5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（2）对采购过程提出质疑的，为各采购程序环节结束之日；</w:t>
      </w:r>
    </w:p>
    <w:p w14:paraId="1B65B2E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（3）对中标结果提出质疑的，为中标结果公告期限届满之日。</w:t>
      </w:r>
    </w:p>
    <w:p w14:paraId="406ACF0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6.3投标人提出质疑应符合中华人民共和国财政部第94号令《政府采购质疑和投诉办法》的规定。提出质疑应当提交质疑函和必要的证明材料。质疑函应当包括下列内容：</w:t>
      </w:r>
    </w:p>
    <w:p w14:paraId="16FC2E0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（一）投标人名称、地址、邮编、联系人及联系电话；</w:t>
      </w:r>
    </w:p>
    <w:p w14:paraId="2E8FD12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（二）质疑项目的名称、编号；</w:t>
      </w:r>
    </w:p>
    <w:p w14:paraId="09F641F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（三）具体、明确的质疑事项和与质疑事项相关的请求；</w:t>
      </w:r>
    </w:p>
    <w:p w14:paraId="0C8B900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（四）事实依据；</w:t>
      </w:r>
    </w:p>
    <w:p w14:paraId="5195659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（五）必要的法律依据；</w:t>
      </w:r>
    </w:p>
    <w:p w14:paraId="2970E0D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（六）提出质疑的日期。</w:t>
      </w:r>
    </w:p>
    <w:p w14:paraId="0FF7094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6.4质疑函应当由投标人的法定代表人、主要负责人，或者其授权代表签字或者盖章，并加盖公章。委托代理人进行质疑的，应当提交投标人的授权委托书。授权委托书应当载明代理人的姓名或者名称、代理事项、具体权限、期限和相关事项。授权委托书应当由法定代表人、主要负责人签字或者盖章，并加盖公章。</w:t>
      </w:r>
    </w:p>
    <w:p w14:paraId="172A021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接收质疑函的方式：以书面形式递交由法定代表人、主要负责人签字或者盖章，并加盖公章的质疑函原件和必要的证明材料，邮寄送达的以邮件交邮日期为准。</w:t>
      </w:r>
    </w:p>
    <w:p w14:paraId="7CA2A6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代理机构名称：云南金诺招标代理有限公司</w:t>
      </w:r>
    </w:p>
    <w:p w14:paraId="493EC7E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地址：云南省昆明市滇池国家旅游度假区迎海路8号金都商集3幢11号</w:t>
      </w:r>
    </w:p>
    <w:p w14:paraId="68469565">
      <w:pPr>
        <w:keepNext w:val="0"/>
        <w:keepLines w:val="0"/>
        <w:pageBreakBefore w:val="0"/>
        <w:widowControl w:val="0"/>
        <w:kinsoku/>
        <w:wordWrap/>
        <w:overflowPunct/>
        <w:topLinePunct w:val="0"/>
        <w:autoSpaceDE/>
        <w:autoSpaceDN/>
        <w:bidi w:val="0"/>
        <w:adjustRightInd/>
        <w:snapToGrid w:val="0"/>
        <w:spacing w:line="360" w:lineRule="auto"/>
        <w:ind w:firstLine="720" w:firstLineChars="300"/>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联系人：陈潇 、陈婷、林芝月 15288472541</w:t>
      </w:r>
    </w:p>
    <w:p w14:paraId="3304BFC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6.5采购代理机构将在收到投标人的质疑函后7个工作日内作出答复，并以书面形式通知质疑供应商和其他有关供应商。</w:t>
      </w:r>
    </w:p>
    <w:p w14:paraId="6E5CD41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6.6参与政府采购活动的投标人对评审过程或者中标结果提出质疑的，采购代理机构可以组织原评标委员会协助答复质疑。质疑答复导致中标结果改变的，采购代理机构应当将有关情况书面报告本级财政部门。</w:t>
      </w:r>
    </w:p>
    <w:p w14:paraId="454D71B5">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bookmarkStart w:id="31" w:name="_Toc321836357"/>
      <w:r>
        <w:rPr>
          <w:rFonts w:hint="eastAsia" w:ascii="仿宋" w:hAnsi="仿宋" w:eastAsia="仿宋" w:cs="仿宋"/>
          <w:color w:val="auto"/>
          <w:sz w:val="24"/>
          <w:szCs w:val="24"/>
          <w:highlight w:val="none"/>
        </w:rPr>
        <w:t>7.投诉</w:t>
      </w:r>
      <w:bookmarkEnd w:id="31"/>
    </w:p>
    <w:p w14:paraId="27158DC3">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7.1投诉必须首先经过质疑程序。质疑人对采购人、采购代理机构的答复不满意，或者采购人、采购代理机构未在规定的时间内</w:t>
      </w:r>
      <w:r>
        <w:rPr>
          <w:rFonts w:hint="eastAsia" w:ascii="仿宋" w:hAnsi="仿宋" w:eastAsia="仿宋" w:cs="仿宋"/>
          <w:color w:val="auto"/>
          <w:sz w:val="24"/>
          <w:szCs w:val="24"/>
          <w:highlight w:val="none"/>
          <w:lang w:eastAsia="zh-CN"/>
        </w:rPr>
        <w:t>作出</w:t>
      </w:r>
      <w:r>
        <w:rPr>
          <w:rFonts w:hint="eastAsia" w:ascii="仿宋" w:hAnsi="仿宋" w:eastAsia="仿宋" w:cs="仿宋"/>
          <w:color w:val="auto"/>
          <w:sz w:val="24"/>
          <w:szCs w:val="24"/>
          <w:highlight w:val="none"/>
        </w:rPr>
        <w:t>答复的，可以在答复期满后15个工作日内书面向同级财政部门提出投诉。</w:t>
      </w:r>
    </w:p>
    <w:p w14:paraId="5899FBBF">
      <w:pPr>
        <w:pStyle w:val="3"/>
        <w:keepLines w:val="0"/>
        <w:pageBreakBefore w:val="0"/>
        <w:widowControl w:val="0"/>
        <w:kinsoku/>
        <w:wordWrap/>
        <w:overflowPunct/>
        <w:topLinePunct w:val="0"/>
        <w:autoSpaceDE/>
        <w:autoSpaceDN/>
        <w:bidi w:val="0"/>
        <w:snapToGrid w:val="0"/>
        <w:spacing w:before="0" w:line="360" w:lineRule="auto"/>
        <w:jc w:val="center"/>
        <w:rPr>
          <w:rFonts w:hint="eastAsia" w:ascii="仿宋" w:hAnsi="仿宋" w:eastAsia="仿宋" w:cs="仿宋"/>
          <w:color w:val="auto"/>
          <w:highlight w:val="none"/>
        </w:rPr>
      </w:pPr>
      <w:bookmarkStart w:id="32" w:name="_Toc17814"/>
      <w:bookmarkStart w:id="33" w:name="_Toc2643"/>
      <w:bookmarkStart w:id="34" w:name="_Toc141099642"/>
      <w:bookmarkStart w:id="35" w:name="_Toc33095531"/>
      <w:bookmarkStart w:id="36" w:name="_Toc101004083"/>
      <w:bookmarkStart w:id="37" w:name="_Toc7350"/>
      <w:r>
        <w:rPr>
          <w:rFonts w:hint="eastAsia" w:ascii="仿宋" w:hAnsi="仿宋" w:eastAsia="仿宋" w:cs="仿宋"/>
          <w:color w:val="auto"/>
          <w:highlight w:val="none"/>
        </w:rPr>
        <w:t>二、招标文件</w:t>
      </w:r>
      <w:bookmarkEnd w:id="32"/>
      <w:bookmarkEnd w:id="33"/>
      <w:bookmarkEnd w:id="34"/>
      <w:bookmarkEnd w:id="35"/>
      <w:bookmarkEnd w:id="36"/>
      <w:bookmarkEnd w:id="37"/>
    </w:p>
    <w:p w14:paraId="4FF80244">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 招标文件构成</w:t>
      </w:r>
    </w:p>
    <w:p w14:paraId="6C81076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8.1要求提供的货物、采购过程及合同条款在招标文件中均有说明，招标文件共七章，各章的内容如下：</w:t>
      </w:r>
    </w:p>
    <w:p w14:paraId="0CAFAC6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第一章  招标公告</w:t>
      </w:r>
    </w:p>
    <w:p w14:paraId="09164A8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第二章  投标人须知</w:t>
      </w:r>
    </w:p>
    <w:p w14:paraId="7D84DC97">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第三章  合同书样式及主要条款</w:t>
      </w:r>
    </w:p>
    <w:p w14:paraId="3F7F2C86">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第四章  投标文件格式</w:t>
      </w:r>
    </w:p>
    <w:p w14:paraId="3C3B01A7">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第五章  </w:t>
      </w:r>
      <w:r>
        <w:rPr>
          <w:rFonts w:hint="eastAsia" w:ascii="仿宋" w:hAnsi="仿宋" w:eastAsia="仿宋" w:cs="仿宋"/>
          <w:color w:val="auto"/>
          <w:sz w:val="24"/>
          <w:szCs w:val="24"/>
          <w:highlight w:val="none"/>
          <w:lang w:val="en-US" w:eastAsia="zh-CN"/>
        </w:rPr>
        <w:t>采购需求</w:t>
      </w:r>
    </w:p>
    <w:p w14:paraId="38328128">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第六章  资格评审标准</w:t>
      </w:r>
    </w:p>
    <w:p w14:paraId="1EDDC3EE">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第七章  评标方法</w:t>
      </w:r>
    </w:p>
    <w:p w14:paraId="1D4671C6">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 招标文件的澄清</w:t>
      </w:r>
    </w:p>
    <w:p w14:paraId="6797B18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9.1投标人应认真核查招标文件，如有疑问的，投标人可以在 “</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”规定截止时间前以在线不署名形式要求采购代理机构澄清，截止时间后送达的澄清要求概不接受。所有获取了采购文件的潜在供应商凭企业数字证书（CA）登录“政采云”平台，通过在线方式进行不署名提问。</w:t>
      </w:r>
    </w:p>
    <w:p w14:paraId="69C5AB4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9.2采购代理机构将在政采云平台答复所有获取招标文件的投标人（答复中不包含问题的来源）要求澄清的问题，其他澄清方式为无效。</w:t>
      </w:r>
    </w:p>
    <w:p w14:paraId="552854CA">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 招标文件的澄清或者修改</w:t>
      </w:r>
    </w:p>
    <w:p w14:paraId="351BA28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采购代理机构可以在投标截止时间至少15日前，对已发出的招标文件进行必要澄清或者修改的。发出必要澄清或者修改的，将在财政部门指定的政府采购信息发布媒体上发布更正公告，该澄清或者修改的内容为招标文件的组成部分。澄清或者修改的内容可能影响投标文件编制的，且距投标截止时间不足15日的，采购代理机构将顺延提交投标文件的截止时间。</w:t>
      </w:r>
    </w:p>
    <w:p w14:paraId="5C268E1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10.2采购代理机构和采购单位可以视项目具体情况，延长投标截止时间和推迟开标时间，但至少在招标文件要求提交投标文件的截止时间前，通过在财政部门指定的政府采购信息发布媒体上发布变更公告的形式，通知获取招标文件的潜在投标人。</w:t>
      </w:r>
    </w:p>
    <w:p w14:paraId="1EFDC21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10.3采购人对采购文件中的涉及评标办法、评审项目等重要评审内容做出变更，将同时发布补遗文件进行说明以保证各投标人都能重新下载并用于编制电子投标文件。</w:t>
      </w:r>
    </w:p>
    <w:p w14:paraId="308D568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10.4投标人应在投标截止时间前及时登录政府采购云平台（https://www.zcygov.cn/）中查看有关招标文件的答疑、补遗内容。否则，后果自负。</w:t>
      </w:r>
    </w:p>
    <w:p w14:paraId="2854239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10.5招标文件澄清、招标文件修改文件内容均以网上电子文件为准，当招标文件、招标文件澄清、招标文件修改文件内容</w:t>
      </w:r>
      <w:r>
        <w:rPr>
          <w:rFonts w:hint="eastAsia" w:ascii="仿宋" w:hAnsi="仿宋" w:eastAsia="仿宋" w:cs="仿宋"/>
          <w:color w:val="auto"/>
          <w:sz w:val="24"/>
          <w:szCs w:val="24"/>
          <w:highlight w:val="none"/>
          <w:lang w:val="en-US" w:eastAsia="zh-CN"/>
        </w:rPr>
        <w:t>前后</w:t>
      </w:r>
      <w:r>
        <w:rPr>
          <w:rFonts w:hint="eastAsia" w:ascii="仿宋" w:hAnsi="仿宋" w:eastAsia="仿宋" w:cs="仿宋"/>
          <w:color w:val="auto"/>
          <w:sz w:val="24"/>
          <w:szCs w:val="24"/>
          <w:highlight w:val="none"/>
        </w:rPr>
        <w:t>相互矛盾时，以最后发出的为准。</w:t>
      </w:r>
    </w:p>
    <w:p w14:paraId="7B7C7926">
      <w:pPr>
        <w:pStyle w:val="3"/>
        <w:keepLines w:val="0"/>
        <w:pageBreakBefore w:val="0"/>
        <w:widowControl w:val="0"/>
        <w:kinsoku/>
        <w:wordWrap/>
        <w:overflowPunct/>
        <w:topLinePunct w:val="0"/>
        <w:autoSpaceDE/>
        <w:autoSpaceDN/>
        <w:bidi w:val="0"/>
        <w:snapToGrid w:val="0"/>
        <w:spacing w:before="0" w:line="360" w:lineRule="auto"/>
        <w:jc w:val="center"/>
        <w:rPr>
          <w:rFonts w:hint="eastAsia" w:ascii="仿宋" w:hAnsi="仿宋" w:eastAsia="仿宋" w:cs="仿宋"/>
          <w:color w:val="auto"/>
          <w:highlight w:val="none"/>
        </w:rPr>
      </w:pPr>
      <w:bookmarkStart w:id="38" w:name="_Toc9142"/>
      <w:bookmarkStart w:id="39" w:name="_Toc101004084"/>
      <w:bookmarkStart w:id="40" w:name="_Toc10665"/>
      <w:bookmarkStart w:id="41" w:name="_Toc6883"/>
      <w:bookmarkStart w:id="42" w:name="_Toc141099643"/>
      <w:bookmarkStart w:id="43" w:name="_Toc33095532"/>
      <w:r>
        <w:rPr>
          <w:rFonts w:hint="eastAsia" w:ascii="仿宋" w:hAnsi="仿宋" w:eastAsia="仿宋" w:cs="仿宋"/>
          <w:color w:val="auto"/>
          <w:highlight w:val="none"/>
        </w:rPr>
        <w:t>三、投标文件</w:t>
      </w:r>
      <w:bookmarkEnd w:id="38"/>
      <w:bookmarkEnd w:id="39"/>
      <w:bookmarkEnd w:id="40"/>
      <w:bookmarkEnd w:id="41"/>
      <w:bookmarkEnd w:id="42"/>
      <w:bookmarkEnd w:id="43"/>
    </w:p>
    <w:p w14:paraId="01DB825F">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 投标文件编写注意事项</w:t>
      </w:r>
    </w:p>
    <w:p w14:paraId="2FD31018">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11.1投标人应仔细阅读招标文件，在完全了解采购的内容、技术性能要求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”)和商务条件后，编写投标文件。招标文件中标注★号的条款为实质性要求和条件，投标文件必须响应招标文件的实质性要求和条件，不满足任何一条将导致投标无效。</w:t>
      </w:r>
    </w:p>
    <w:p w14:paraId="190C24AE">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 对招标文件提出的实质性要求和条件作出响应是指：投标人必须对招标文件中的实质性要求和条件的内容作出满足或者优于原要求和条件的承诺，并提供相应的证明材料。</w:t>
      </w:r>
    </w:p>
    <w:p w14:paraId="2B9D23B9">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 投标的语言及计量单位</w:t>
      </w:r>
    </w:p>
    <w:p w14:paraId="1CB1BCAF">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12.1投标人的投标文件以及投标人与采购代理机构就有关投标的所有来往函电统一使用中文（特别规定除外）。</w:t>
      </w:r>
    </w:p>
    <w:p w14:paraId="2F8788E8">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12.2投标文件中使用的计量单位除招标文件中有特殊规定外，一律使用中国法定计量单位。</w:t>
      </w:r>
    </w:p>
    <w:p w14:paraId="68D8F039">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 投标文件构成</w:t>
      </w:r>
    </w:p>
    <w:p w14:paraId="0E923F1E">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13.1投标人编写的投标文件应按第四章“投标文件格式”要求填写。</w:t>
      </w:r>
    </w:p>
    <w:p w14:paraId="3063CD7B">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13.2投标人同时投多个包（</w:t>
      </w:r>
      <w:r>
        <w:rPr>
          <w:rFonts w:hint="eastAsia" w:ascii="仿宋" w:hAnsi="仿宋" w:eastAsia="仿宋" w:cs="仿宋"/>
          <w:b/>
          <w:color w:val="auto"/>
          <w:sz w:val="24"/>
          <w:szCs w:val="24"/>
          <w:highlight w:val="none"/>
        </w:rPr>
        <w:t>若分包时</w:t>
      </w:r>
      <w:r>
        <w:rPr>
          <w:rFonts w:hint="eastAsia" w:ascii="仿宋" w:hAnsi="仿宋" w:eastAsia="仿宋" w:cs="仿宋"/>
          <w:color w:val="auto"/>
          <w:sz w:val="24"/>
          <w:szCs w:val="24"/>
          <w:highlight w:val="none"/>
        </w:rPr>
        <w:t>）的，投标文件应按包分别编制，单独成册。</w:t>
      </w:r>
    </w:p>
    <w:p w14:paraId="621842EA">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14. 投标文件的格式要求</w:t>
      </w:r>
    </w:p>
    <w:p w14:paraId="4FBE0800">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14.1投标人应按第四章“</w:t>
      </w:r>
      <w:r>
        <w:rPr>
          <w:rFonts w:hint="eastAsia" w:ascii="仿宋" w:hAnsi="仿宋" w:eastAsia="仿宋" w:cs="仿宋"/>
          <w:b/>
          <w:color w:val="auto"/>
          <w:sz w:val="24"/>
          <w:szCs w:val="24"/>
          <w:highlight w:val="none"/>
        </w:rPr>
        <w:t>投标文件格式</w:t>
      </w:r>
      <w:r>
        <w:rPr>
          <w:rFonts w:hint="eastAsia" w:ascii="仿宋" w:hAnsi="仿宋" w:eastAsia="仿宋" w:cs="仿宋"/>
          <w:color w:val="auto"/>
          <w:sz w:val="24"/>
          <w:szCs w:val="24"/>
          <w:highlight w:val="none"/>
        </w:rPr>
        <w:t>”提供的格式完整地填写。</w:t>
      </w:r>
    </w:p>
    <w:p w14:paraId="65FF8CAA">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 投标报价</w:t>
      </w:r>
    </w:p>
    <w:p w14:paraId="51B4BB83">
      <w:pPr>
        <w:pStyle w:val="10"/>
        <w:keepLines w:val="0"/>
        <w:pageBreakBefore w:val="0"/>
        <w:widowControl w:val="0"/>
        <w:kinsoku/>
        <w:wordWrap/>
        <w:overflowPunct/>
        <w:topLinePunct w:val="0"/>
        <w:autoSpaceDE/>
        <w:autoSpaceDN/>
        <w:bidi w:val="0"/>
        <w:snapToGrid w:val="0"/>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15.1本项目预算金额及最高限价见“</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”，若投标人的投标报价超过最高限价或预算单价的，</w:t>
      </w:r>
      <w:r>
        <w:rPr>
          <w:rFonts w:hint="eastAsia" w:ascii="仿宋" w:hAnsi="仿宋" w:eastAsia="仿宋" w:cs="仿宋"/>
          <w:bCs/>
          <w:color w:val="auto"/>
          <w:sz w:val="24"/>
          <w:szCs w:val="24"/>
          <w:highlight w:val="none"/>
        </w:rPr>
        <w:t>按不实质性响应招标文件要求处理</w:t>
      </w:r>
      <w:r>
        <w:rPr>
          <w:rFonts w:hint="eastAsia" w:ascii="仿宋" w:hAnsi="仿宋" w:eastAsia="仿宋" w:cs="仿宋"/>
          <w:color w:val="auto"/>
          <w:sz w:val="24"/>
          <w:szCs w:val="24"/>
          <w:highlight w:val="none"/>
        </w:rPr>
        <w:t>。</w:t>
      </w:r>
    </w:p>
    <w:p w14:paraId="389D1FEE">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15.2投标人须就“</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”中的</w:t>
      </w:r>
      <w:r>
        <w:rPr>
          <w:rFonts w:hint="eastAsia" w:ascii="仿宋" w:hAnsi="仿宋" w:eastAsia="仿宋" w:cs="仿宋"/>
          <w:bCs/>
          <w:color w:val="auto"/>
          <w:sz w:val="24"/>
          <w:szCs w:val="24"/>
          <w:highlight w:val="none"/>
        </w:rPr>
        <w:t>所投包货物内容作完整唯一报价</w:t>
      </w:r>
      <w:r>
        <w:rPr>
          <w:rFonts w:hint="eastAsia" w:ascii="仿宋" w:hAnsi="仿宋" w:eastAsia="仿宋" w:cs="仿宋"/>
          <w:color w:val="auto"/>
          <w:sz w:val="24"/>
          <w:szCs w:val="24"/>
          <w:highlight w:val="none"/>
        </w:rPr>
        <w:t>。</w:t>
      </w:r>
    </w:p>
    <w:p w14:paraId="1E259C5C">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15.3投标人应依据招标文件的要求及有关资料，按国家或行业现行技术经济标准、定额及规范，自行测算出满足招标要求的投标货物的竞争性报价。</w:t>
      </w:r>
      <w:r>
        <w:rPr>
          <w:rFonts w:hint="eastAsia" w:ascii="仿宋" w:hAnsi="仿宋" w:eastAsia="仿宋" w:cs="仿宋"/>
          <w:b/>
          <w:color w:val="auto"/>
          <w:sz w:val="24"/>
          <w:szCs w:val="24"/>
          <w:highlight w:val="none"/>
        </w:rPr>
        <w:t>投标报价</w:t>
      </w:r>
      <w:r>
        <w:rPr>
          <w:rFonts w:hint="eastAsia" w:ascii="仿宋" w:hAnsi="仿宋" w:eastAsia="仿宋" w:cs="仿宋"/>
          <w:color w:val="auto"/>
          <w:sz w:val="24"/>
          <w:szCs w:val="24"/>
          <w:highlight w:val="none"/>
        </w:rPr>
        <w:t>包括但不仅限于投标产品的出厂价，项目特别要求的投标人技术服务费，质保期内缺陷的修复补救费用，市场价格变化的风险费用、利润、税金、代理服务费等的总和，该报价应考虑市场风险、政策性风险、汇率风险等因素，并能保证投标人完成履行合同所需的全部工作，此价格在合同签订后将不作调整。</w:t>
      </w:r>
    </w:p>
    <w:p w14:paraId="67138386">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15.4货物的</w:t>
      </w:r>
      <w:r>
        <w:rPr>
          <w:rFonts w:hint="eastAsia" w:ascii="仿宋" w:hAnsi="仿宋" w:eastAsia="仿宋" w:cs="仿宋"/>
          <w:b/>
          <w:bCs/>
          <w:color w:val="auto"/>
          <w:sz w:val="24"/>
          <w:szCs w:val="24"/>
          <w:highlight w:val="none"/>
        </w:rPr>
        <w:t>出厂价</w:t>
      </w:r>
      <w:r>
        <w:rPr>
          <w:rFonts w:hint="eastAsia" w:ascii="仿宋" w:hAnsi="仿宋" w:eastAsia="仿宋" w:cs="仿宋"/>
          <w:color w:val="auto"/>
          <w:sz w:val="24"/>
          <w:szCs w:val="24"/>
          <w:highlight w:val="none"/>
        </w:rPr>
        <w:t>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的价格。</w:t>
      </w:r>
    </w:p>
    <w:p w14:paraId="071ED0A1">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15.5项目特别要求的备品备件，指按“</w:t>
      </w:r>
      <w:r>
        <w:rPr>
          <w:rFonts w:hint="eastAsia" w:ascii="仿宋" w:hAnsi="仿宋" w:eastAsia="仿宋" w:cs="仿宋"/>
          <w:b/>
          <w:color w:val="auto"/>
          <w:sz w:val="24"/>
          <w:szCs w:val="24"/>
          <w:highlight w:val="none"/>
        </w:rPr>
        <w:t>投标人须知前附表</w:t>
      </w:r>
      <w:r>
        <w:rPr>
          <w:rFonts w:hint="eastAsia" w:ascii="仿宋" w:hAnsi="仿宋" w:eastAsia="仿宋" w:cs="仿宋"/>
          <w:color w:val="auto"/>
          <w:sz w:val="24"/>
          <w:szCs w:val="24"/>
          <w:highlight w:val="none"/>
        </w:rPr>
        <w:t>”</w:t>
      </w:r>
      <w:r>
        <w:rPr>
          <w:rFonts w:hint="eastAsia" w:ascii="仿宋" w:hAnsi="仿宋" w:eastAsia="仿宋" w:cs="仿宋"/>
          <w:bCs/>
          <w:color w:val="auto"/>
          <w:sz w:val="24"/>
          <w:szCs w:val="24"/>
          <w:highlight w:val="none"/>
        </w:rPr>
        <w:t>的要求</w:t>
      </w:r>
      <w:r>
        <w:rPr>
          <w:rFonts w:hint="eastAsia" w:ascii="仿宋" w:hAnsi="仿宋" w:eastAsia="仿宋" w:cs="仿宋"/>
          <w:color w:val="auto"/>
          <w:sz w:val="24"/>
          <w:szCs w:val="24"/>
          <w:highlight w:val="none"/>
        </w:rPr>
        <w:t>提供规定时间内所需的备品备件清单和报价。</w:t>
      </w:r>
    </w:p>
    <w:p w14:paraId="1007C706">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15.</w:t>
      </w:r>
      <w:r>
        <w:rPr>
          <w:rFonts w:hint="eastAsia" w:ascii="仿宋" w:hAnsi="仿宋" w:eastAsia="仿宋" w:cs="仿宋"/>
          <w:bCs/>
          <w:color w:val="auto"/>
          <w:sz w:val="24"/>
          <w:szCs w:val="24"/>
          <w:highlight w:val="none"/>
          <w:lang w:val="en-US" w:eastAsia="zh-CN"/>
        </w:rPr>
        <w:t>6</w:t>
      </w:r>
      <w:r>
        <w:rPr>
          <w:rFonts w:hint="eastAsia" w:ascii="仿宋" w:hAnsi="仿宋" w:eastAsia="仿宋" w:cs="仿宋"/>
          <w:b/>
          <w:color w:val="auto"/>
          <w:sz w:val="24"/>
          <w:szCs w:val="24"/>
          <w:highlight w:val="none"/>
        </w:rPr>
        <w:t>运杂费用</w:t>
      </w:r>
      <w:r>
        <w:rPr>
          <w:rFonts w:hint="eastAsia" w:ascii="仿宋" w:hAnsi="仿宋" w:eastAsia="仿宋" w:cs="仿宋"/>
          <w:color w:val="auto"/>
          <w:sz w:val="24"/>
          <w:szCs w:val="24"/>
          <w:highlight w:val="none"/>
        </w:rPr>
        <w:t>：即投标货物到项目地点前的所有费用，包括铁路或公路运费、提货及转运费用、短途运费、包装费、装卸费用、加固费用、保险费等。</w:t>
      </w:r>
    </w:p>
    <w:p w14:paraId="1A0272FE">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r>
        <w:rPr>
          <w:rFonts w:hint="eastAsia" w:ascii="仿宋" w:hAnsi="仿宋" w:eastAsia="仿宋" w:cs="仿宋"/>
          <w:color w:val="auto"/>
          <w:sz w:val="24"/>
          <w:szCs w:val="24"/>
          <w:highlight w:val="none"/>
          <w:lang w:val="en-US" w:eastAsia="zh-CN"/>
        </w:rPr>
        <w:t>7</w:t>
      </w:r>
      <w:r>
        <w:rPr>
          <w:rFonts w:hint="eastAsia" w:ascii="仿宋" w:hAnsi="仿宋" w:eastAsia="仿宋" w:cs="仿宋"/>
          <w:b/>
          <w:color w:val="auto"/>
          <w:sz w:val="24"/>
          <w:szCs w:val="24"/>
          <w:highlight w:val="none"/>
        </w:rPr>
        <w:t>技术服务费用</w:t>
      </w:r>
      <w:r>
        <w:rPr>
          <w:rFonts w:hint="eastAsia" w:ascii="仿宋" w:hAnsi="仿宋" w:eastAsia="仿宋" w:cs="仿宋"/>
          <w:color w:val="auto"/>
          <w:sz w:val="24"/>
          <w:szCs w:val="24"/>
          <w:highlight w:val="none"/>
        </w:rPr>
        <w:t>包括：设计联络费用（若有）、现场服务（包括指导安装和调试费用）和人员培训的费用、技术资料费以及技术咨询协调费用等。</w:t>
      </w:r>
    </w:p>
    <w:p w14:paraId="0B2E4853">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 投标货币</w:t>
      </w:r>
    </w:p>
    <w:p w14:paraId="24D39EA2">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16.1投标以人民币报价。</w:t>
      </w:r>
    </w:p>
    <w:p w14:paraId="48825B88">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 投标文件有效期</w:t>
      </w:r>
    </w:p>
    <w:p w14:paraId="7191F0C6">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17.1在“投标人须知前附表”规定的投标有效期内，投标人不得要求撤销或修改其投标文件。</w:t>
      </w:r>
    </w:p>
    <w:p w14:paraId="6CA00DDE">
      <w:pPr>
        <w:keepLines w:val="0"/>
        <w:pageBreakBefore w:val="0"/>
        <w:widowControl w:val="0"/>
        <w:kinsoku/>
        <w:wordWrap/>
        <w:overflowPunct/>
        <w:topLinePunct w:val="0"/>
        <w:autoSpaceDE/>
        <w:autoSpaceDN/>
        <w:bidi w:val="0"/>
        <w:snapToGrid w:val="0"/>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17.2投标有效期从提交投标文件的截止之日起算。投标文件中承诺的投标有效期应当不少于招标文件中载明的投标有效期。投标有效期内投标人撤销投标文件的，采购代理机构可以不退还投标保证金。</w:t>
      </w:r>
    </w:p>
    <w:p w14:paraId="4A9ECBD8">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17.3在特殊情况需要延长投标有效期的，采购人以书面形式通知所有投标人延长投标有效期。投标人同意延长的，应相应延长其投标保证金的有效期，但不得要求或被允许修改或撤销其投标文件；投标人拒绝延长的，其投标文件失效，但投标人有权收回其投标保证金。</w:t>
      </w:r>
    </w:p>
    <w:p w14:paraId="4390DA09">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18.分包</w:t>
      </w:r>
    </w:p>
    <w:p w14:paraId="1A22EF03">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18.1“投标人须知前附表”规定允许分包的项目，投标人在中标后只能将项目的非主体、非关键性工作分包。投标人应当在投标文件中载明分包承担主体，分包承担主体应当具备相应资质条件且不得再次分包。</w:t>
      </w:r>
    </w:p>
    <w:p w14:paraId="2DFEBEEA">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 投标人应当遵循公平竞争的原则，不得恶意串通，不得妨碍其他投标人的竞争行为，不得损害采购人或者其他投标人的合法权益。</w:t>
      </w:r>
    </w:p>
    <w:p w14:paraId="003E31BF">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 投标文件的编制</w:t>
      </w:r>
    </w:p>
    <w:p w14:paraId="3C8B9746">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20.1投标文件全部采用电子文档，投标人应安装客户端软件—“政采云电子交易客户端”，并按照招标文件和政采云电子交易平台的要求编制，编制后应进行电子签名及加密。</w:t>
      </w:r>
    </w:p>
    <w:p w14:paraId="6B13B1B1">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★20.2如投标人提交的电子标书不符合20.1要求或开标时无法读取导入或解密，其投标文件将不予受理。</w:t>
      </w:r>
    </w:p>
    <w:p w14:paraId="216417A0">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20.3投标文件应尽量避免涂改、行间插字或删除。如果出现上述情况，改动之处应加盖单位章或由投标人的法定代表人/单位负责人（签名或盖章）确认。</w:t>
      </w:r>
    </w:p>
    <w:p w14:paraId="1A345736">
      <w:pPr>
        <w:keepLines w:val="0"/>
        <w:pageBreakBefore w:val="0"/>
        <w:widowControl w:val="0"/>
        <w:kinsoku/>
        <w:wordWrap/>
        <w:overflowPunct/>
        <w:topLinePunct w:val="0"/>
        <w:autoSpaceDE/>
        <w:autoSpaceDN/>
        <w:bidi w:val="0"/>
        <w:snapToGrid w:val="0"/>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rPr>
        <w:t>20.4关键内容字迹潦草、表达不清、未按要求填写而导致非唯一理解，视为未实质性响应招标文件的投标文件。</w:t>
      </w:r>
    </w:p>
    <w:p w14:paraId="0ADCBBE3">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20.5投标文件中提供的资料（扫描件），内容必须清晰可辨，若内容模糊，无法辨识，均视为未提供。</w:t>
      </w:r>
    </w:p>
    <w:p w14:paraId="7EF5F2F6">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20.6投标文件应由法定代表人/单位负责人在凡规定（电子签名）处逐一电子签名（电子签名或电子签章），要求盖章处应盖单位章（电子签章）。</w:t>
      </w:r>
    </w:p>
    <w:p w14:paraId="22FB3B62">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 投标保证金</w:t>
      </w:r>
    </w:p>
    <w:p w14:paraId="144FFE0C">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21.1投标保证金为人民币。投标人应在提交投标文件截止时间以前按“</w:t>
      </w:r>
      <w:r>
        <w:rPr>
          <w:rFonts w:hint="eastAsia" w:ascii="仿宋" w:hAnsi="仿宋" w:eastAsia="仿宋" w:cs="仿宋"/>
          <w:b/>
          <w:color w:val="auto"/>
          <w:sz w:val="24"/>
          <w:szCs w:val="24"/>
          <w:highlight w:val="none"/>
        </w:rPr>
        <w:t>投标人须知前附表</w:t>
      </w:r>
      <w:r>
        <w:rPr>
          <w:rFonts w:hint="eastAsia" w:ascii="仿宋" w:hAnsi="仿宋" w:eastAsia="仿宋" w:cs="仿宋"/>
          <w:color w:val="auto"/>
          <w:sz w:val="24"/>
          <w:szCs w:val="24"/>
          <w:highlight w:val="none"/>
        </w:rPr>
        <w:t>”的规定提交，并在规定的时间内保持有效。</w:t>
      </w:r>
    </w:p>
    <w:p w14:paraId="175C362A">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21.2投标人在投标截止时间前撤回已提交的投标文件的，采购代理机构将在自收到投标人书面撤回通知之日起５个工作日内，退还已收取的投标保证金，但因投标人自身原因导致无法及时退还的除外。</w:t>
      </w:r>
    </w:p>
    <w:p w14:paraId="59BA70E5">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21.3未中标人的投标保证金将在中标公告发出后5个工作日退还；中标人的投标保证金将在</w:t>
      </w:r>
      <w:r>
        <w:rPr>
          <w:rFonts w:hint="eastAsia" w:ascii="仿宋" w:hAnsi="仿宋" w:eastAsia="仿宋" w:cs="仿宋"/>
          <w:color w:val="auto"/>
          <w:kern w:val="0"/>
          <w:sz w:val="24"/>
          <w:szCs w:val="24"/>
          <w:highlight w:val="none"/>
        </w:rPr>
        <w:t>采购合同签订之日起5个工作日内退还</w:t>
      </w:r>
      <w:r>
        <w:rPr>
          <w:rFonts w:hint="eastAsia" w:ascii="仿宋" w:hAnsi="仿宋" w:eastAsia="仿宋" w:cs="仿宋"/>
          <w:color w:val="auto"/>
          <w:sz w:val="24"/>
          <w:szCs w:val="24"/>
          <w:highlight w:val="none"/>
        </w:rPr>
        <w:t>。</w:t>
      </w:r>
    </w:p>
    <w:p w14:paraId="148874B5">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21.4投标保证金的退回只以网上银行转账的方式进行。</w:t>
      </w:r>
    </w:p>
    <w:p w14:paraId="04B01556">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21.5采购代理机构逾期退还投标保证金的，除退还投标保证金本金外，还将按中国人民银行同期贷款基准利率上浮20％后的利率支付</w:t>
      </w:r>
      <w:r>
        <w:rPr>
          <w:rFonts w:hint="eastAsia" w:ascii="仿宋" w:hAnsi="仿宋" w:eastAsia="仿宋" w:cs="仿宋"/>
          <w:color w:val="auto"/>
          <w:sz w:val="24"/>
          <w:szCs w:val="24"/>
          <w:highlight w:val="none"/>
          <w:lang w:eastAsia="zh-CN"/>
        </w:rPr>
        <w:t>逾期</w:t>
      </w:r>
      <w:r>
        <w:rPr>
          <w:rFonts w:hint="eastAsia" w:ascii="仿宋" w:hAnsi="仿宋" w:eastAsia="仿宋" w:cs="仿宋"/>
          <w:color w:val="auto"/>
          <w:sz w:val="24"/>
          <w:szCs w:val="24"/>
          <w:highlight w:val="none"/>
        </w:rPr>
        <w:t>资金占用费，但因投标人自身原因导致无法及时退还的除外。</w:t>
      </w:r>
    </w:p>
    <w:p w14:paraId="7F1E788E">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21.6下列情况发生时，投标保证金将不予退还</w:t>
      </w:r>
    </w:p>
    <w:p w14:paraId="49EC8D05">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（1）投标人在投标有效期内要求撤回投标的；</w:t>
      </w:r>
    </w:p>
    <w:p w14:paraId="2FA5362D">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（2）中标人在收到中标通知书后，无不正当理由不与采购人签订合同。在签订合同时向采购人提出附加条件，或者不按照招标文件要求提交履约保证金； </w:t>
      </w:r>
    </w:p>
    <w:p w14:paraId="5C34DF2E">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（3）中标人将中标项目转让给他人，或者在投标文件中未说明，且未经采购人同意，将中标项目分包给他人的；</w:t>
      </w:r>
    </w:p>
    <w:p w14:paraId="09346BEB">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（4）其他法律法规要求不予退还保证金的情形。</w:t>
      </w:r>
    </w:p>
    <w:p w14:paraId="6758C47D">
      <w:pPr>
        <w:pStyle w:val="3"/>
        <w:keepLines w:val="0"/>
        <w:pageBreakBefore w:val="0"/>
        <w:widowControl w:val="0"/>
        <w:kinsoku/>
        <w:wordWrap/>
        <w:overflowPunct/>
        <w:topLinePunct w:val="0"/>
        <w:autoSpaceDE/>
        <w:autoSpaceDN/>
        <w:bidi w:val="0"/>
        <w:snapToGrid w:val="0"/>
        <w:spacing w:before="0" w:line="360" w:lineRule="auto"/>
        <w:jc w:val="center"/>
        <w:rPr>
          <w:rFonts w:hint="eastAsia" w:ascii="仿宋" w:hAnsi="仿宋" w:eastAsia="仿宋" w:cs="仿宋"/>
          <w:color w:val="auto"/>
          <w:highlight w:val="none"/>
        </w:rPr>
      </w:pPr>
      <w:bookmarkStart w:id="44" w:name="_Toc27738"/>
      <w:bookmarkStart w:id="45" w:name="_Toc27845"/>
      <w:bookmarkStart w:id="46" w:name="_Toc33095533"/>
      <w:bookmarkStart w:id="47" w:name="_Toc141099644"/>
      <w:bookmarkStart w:id="48" w:name="_Toc101004085"/>
      <w:bookmarkStart w:id="49" w:name="_Toc4930"/>
      <w:r>
        <w:rPr>
          <w:rFonts w:hint="eastAsia" w:ascii="仿宋" w:hAnsi="仿宋" w:eastAsia="仿宋" w:cs="仿宋"/>
          <w:color w:val="auto"/>
          <w:highlight w:val="none"/>
        </w:rPr>
        <w:t>四、投标文件的提交</w:t>
      </w:r>
      <w:bookmarkEnd w:id="44"/>
      <w:bookmarkEnd w:id="45"/>
      <w:bookmarkEnd w:id="46"/>
      <w:bookmarkEnd w:id="47"/>
      <w:bookmarkEnd w:id="48"/>
      <w:bookmarkEnd w:id="49"/>
    </w:p>
    <w:p w14:paraId="0B66CD8B">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 投标文件的密封与标记</w:t>
      </w:r>
    </w:p>
    <w:p w14:paraId="6781FB2C">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22.1投标人进行电子交易应安装客户端软件—“政采云电子交易客户端”，并按照招标文件和电子交易平台的要求编制并加密投标文件。招标人未按规定加密的投标文件，电子交易平台将拒收并提示。</w:t>
      </w:r>
    </w:p>
    <w:p w14:paraId="4BAA4DD6">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22.2使用“政采云电子交易客户端”需要提前申领 CA 数字证书，申领流程见该项目招标公告。</w:t>
      </w:r>
    </w:p>
    <w:p w14:paraId="0D3FB1C9">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22.3为确保网上操作合法、有效和安全，供应商应当在投标文件提交截止时间前完成在 “政府采购云平台”的身份认证，确保在电子交易过程中能够对相关数据电文进行加密和使用电子签名。</w:t>
      </w:r>
    </w:p>
    <w:p w14:paraId="10A7C697">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 提交投标文件截止时间和地点</w:t>
      </w:r>
    </w:p>
    <w:p w14:paraId="2BF2CD8C">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23.1投标文件的递交/上传不得迟于“投标人须知前附表”规定的递交投标文件截止时间。逾期送达/上传的投标文件，采购人不予接收。</w:t>
      </w:r>
    </w:p>
    <w:p w14:paraId="210B0E89">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23.2投标人必须在规定时间内将投标文件递交/上传到“投标人须知前附表”规定的地点。</w:t>
      </w:r>
    </w:p>
    <w:p w14:paraId="604D590B">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23.3除“投标人须知前附表”另有规定外，投标人所递交的投标文件不予退还。</w:t>
      </w:r>
    </w:p>
    <w:p w14:paraId="1FE22899">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23.4在投标截止时间前，投标人可以撤回在网上已递交的投标文件，修改后重新上传，无须书面形式通知采购人。</w:t>
      </w:r>
    </w:p>
    <w:p w14:paraId="71008D86">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23.5修改的投标文件应按照本章第20款、第22款的要求进行重新编制、加密和递交。</w:t>
      </w:r>
    </w:p>
    <w:p w14:paraId="0885A9ED">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23.6在投标截止时间后递交的投标文件不予撤回。</w:t>
      </w:r>
    </w:p>
    <w:p w14:paraId="7D13E16B">
      <w:pPr>
        <w:pStyle w:val="3"/>
        <w:keepLines w:val="0"/>
        <w:pageBreakBefore w:val="0"/>
        <w:widowControl w:val="0"/>
        <w:kinsoku/>
        <w:wordWrap/>
        <w:overflowPunct/>
        <w:topLinePunct w:val="0"/>
        <w:autoSpaceDE/>
        <w:autoSpaceDN/>
        <w:bidi w:val="0"/>
        <w:snapToGrid w:val="0"/>
        <w:spacing w:before="0" w:line="360" w:lineRule="auto"/>
        <w:jc w:val="center"/>
        <w:rPr>
          <w:rFonts w:hint="eastAsia" w:ascii="仿宋" w:hAnsi="仿宋" w:eastAsia="仿宋" w:cs="仿宋"/>
          <w:color w:val="auto"/>
          <w:highlight w:val="none"/>
        </w:rPr>
      </w:pPr>
      <w:bookmarkStart w:id="50" w:name="_Toc33095534"/>
      <w:bookmarkStart w:id="51" w:name="_Toc141099645"/>
      <w:bookmarkStart w:id="52" w:name="_Toc30821"/>
      <w:bookmarkStart w:id="53" w:name="_Toc19523"/>
      <w:bookmarkStart w:id="54" w:name="_Toc101004086"/>
      <w:bookmarkStart w:id="55" w:name="_Toc27418"/>
      <w:r>
        <w:rPr>
          <w:rFonts w:hint="eastAsia" w:ascii="仿宋" w:hAnsi="仿宋" w:eastAsia="仿宋" w:cs="仿宋"/>
          <w:color w:val="auto"/>
          <w:highlight w:val="none"/>
        </w:rPr>
        <w:t>五、开标与评标</w:t>
      </w:r>
      <w:bookmarkEnd w:id="50"/>
      <w:bookmarkEnd w:id="51"/>
      <w:bookmarkEnd w:id="52"/>
      <w:bookmarkEnd w:id="53"/>
      <w:bookmarkEnd w:id="54"/>
      <w:bookmarkEnd w:id="55"/>
    </w:p>
    <w:p w14:paraId="02083E55">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 开标</w:t>
      </w:r>
    </w:p>
    <w:p w14:paraId="38216B3D">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24.1采购代理机构将在“投标人须知前附表”规定的时间和地点进行开标，请各投标人代表准时参加线上开标会。</w:t>
      </w:r>
      <w:r>
        <w:rPr>
          <w:rFonts w:hint="eastAsia" w:ascii="仿宋" w:hAnsi="仿宋" w:eastAsia="仿宋" w:cs="仿宋"/>
          <w:b/>
          <w:bCs/>
          <w:color w:val="auto"/>
          <w:sz w:val="24"/>
          <w:szCs w:val="24"/>
          <w:highlight w:val="none"/>
        </w:rPr>
        <w:t>如投标人未参加开标的，视同认可开标结果</w:t>
      </w:r>
      <w:r>
        <w:rPr>
          <w:rFonts w:hint="eastAsia" w:ascii="仿宋" w:hAnsi="仿宋" w:eastAsia="仿宋" w:cs="仿宋"/>
          <w:color w:val="auto"/>
          <w:sz w:val="24"/>
          <w:szCs w:val="24"/>
          <w:highlight w:val="none"/>
        </w:rPr>
        <w:t>。</w:t>
      </w:r>
    </w:p>
    <w:p w14:paraId="1FCAE248">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24.2投标截止后投标人不足3家的，不得开标。</w:t>
      </w:r>
    </w:p>
    <w:p w14:paraId="25C93CDE">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24.3开标会：开标会由采购代理机构主持，具体流程如下：</w:t>
      </w:r>
    </w:p>
    <w:p w14:paraId="65AECBBA">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（1）采购代理机构依托电子交易平台发起开始解密指令，投标人须使用加密时所用的 CA 锁按平台提示和招标文件的规定登录到“政采云”平台电子开标大厅签到，并在发起解密指令之时起 60 分钟内完成对电子投标文件在线解密。</w:t>
      </w:r>
    </w:p>
    <w:p w14:paraId="2FD4BD64">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（2）发起解密指令之时起 5 分钟内投标人还未进行解密的，代理机构可通知投标人，投标人未预留联系方式或预留联系方式无效，导致代理机构无法联系到投标人进行解密的，视为撤回投标文件。</w:t>
      </w:r>
    </w:p>
    <w:p w14:paraId="4C099909">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（解密异常情况处理：详见本章 27.2电子交易活动的中止） 如投标人成功解密投标文件，但未在“政采云”电子开标大厅参加开标的，视同认可开标过程和结果，由此产生的后果由投标人自行负责。</w:t>
      </w:r>
    </w:p>
    <w:p w14:paraId="07122495">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24.4 开标工作人员将做开标记录。</w:t>
      </w:r>
    </w:p>
    <w:p w14:paraId="7428032E">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24.5 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4784DAC7">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25.资格审查</w:t>
      </w:r>
    </w:p>
    <w:p w14:paraId="604CE9E2">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25.1开标结束后，采购人或者采购代理机构应当按照“第六章 资格评审标准”依法对投标人的资格进行审查，合格投标人不足3家的，不得评标。</w:t>
      </w:r>
    </w:p>
    <w:p w14:paraId="538FC496">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 评标</w:t>
      </w:r>
    </w:p>
    <w:p w14:paraId="3400B46E">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26.1评标由采购人依法组建的评标委员会负责。评标委员会由采购人代表和有关技术、经济等方面的专家组成，成员人数应当为5人以上单数。其中，技术、经济等方面的专家不得少于成员总数的三分之二。评标委员会应当推选组长，但采购人代表不得担任组长。</w:t>
      </w:r>
    </w:p>
    <w:p w14:paraId="6ABA0119">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采购人委派代表参加评标委员会的，要向采购代理机构出具授权函。</w:t>
      </w:r>
    </w:p>
    <w:p w14:paraId="044A4C36">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bookmarkStart w:id="56" w:name="_Toc191374422"/>
      <w:r>
        <w:rPr>
          <w:rFonts w:hint="eastAsia" w:ascii="仿宋" w:hAnsi="仿宋" w:eastAsia="仿宋" w:cs="仿宋"/>
          <w:color w:val="auto"/>
          <w:sz w:val="24"/>
          <w:szCs w:val="24"/>
          <w:highlight w:val="none"/>
        </w:rPr>
        <w:t>26.2评标原则</w:t>
      </w:r>
      <w:bookmarkEnd w:id="56"/>
      <w:r>
        <w:rPr>
          <w:rFonts w:hint="eastAsia" w:ascii="仿宋" w:hAnsi="仿宋" w:eastAsia="仿宋" w:cs="仿宋"/>
          <w:color w:val="auto"/>
          <w:sz w:val="24"/>
          <w:szCs w:val="24"/>
          <w:highlight w:val="none"/>
        </w:rPr>
        <w:t>及方法</w:t>
      </w:r>
    </w:p>
    <w:p w14:paraId="3EACC3E2">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评标活动遵循公平、公正、科学和择优的原则。</w:t>
      </w:r>
    </w:p>
    <w:p w14:paraId="7375FCB5">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26.3评标方法</w:t>
      </w:r>
    </w:p>
    <w:p w14:paraId="0EE2C033">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本项目按“</w:t>
      </w:r>
      <w:r>
        <w:rPr>
          <w:rFonts w:hint="eastAsia" w:ascii="仿宋" w:hAnsi="仿宋" w:eastAsia="仿宋" w:cs="仿宋"/>
          <w:b/>
          <w:bCs/>
          <w:color w:val="auto"/>
          <w:sz w:val="24"/>
          <w:szCs w:val="24"/>
          <w:highlight w:val="none"/>
        </w:rPr>
        <w:t>投标人须知前附表</w:t>
      </w:r>
      <w:r>
        <w:rPr>
          <w:rFonts w:hint="eastAsia" w:ascii="仿宋" w:hAnsi="仿宋" w:eastAsia="仿宋" w:cs="仿宋"/>
          <w:color w:val="auto"/>
          <w:sz w:val="24"/>
          <w:szCs w:val="24"/>
          <w:highlight w:val="none"/>
        </w:rPr>
        <w:t>”规定的评标方法评标。在评标中，不得改变招标文件中规定的评标标准、方法和中标条件。第七章“</w:t>
      </w:r>
      <w:r>
        <w:rPr>
          <w:rFonts w:hint="eastAsia" w:ascii="仿宋" w:hAnsi="仿宋" w:eastAsia="仿宋" w:cs="仿宋"/>
          <w:b/>
          <w:color w:val="auto"/>
          <w:sz w:val="24"/>
          <w:szCs w:val="24"/>
          <w:highlight w:val="none"/>
        </w:rPr>
        <w:t>评标方法</w:t>
      </w:r>
      <w:r>
        <w:rPr>
          <w:rFonts w:hint="eastAsia" w:ascii="仿宋" w:hAnsi="仿宋" w:eastAsia="仿宋" w:cs="仿宋"/>
          <w:color w:val="auto"/>
          <w:sz w:val="24"/>
          <w:szCs w:val="24"/>
          <w:highlight w:val="none"/>
        </w:rPr>
        <w:t>”没有规定的评审因素和标准，不作为评标依据。</w:t>
      </w:r>
    </w:p>
    <w:p w14:paraId="1EAC4FF0">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46A6DC7F">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★26.5在评标过程中，评标委员会发现投标人有本须知19条款规定的情形，应当认定其投标无效，并书面报告本级财政部门。</w:t>
      </w:r>
    </w:p>
    <w:p w14:paraId="31BBE6E8">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★26.6有下列情形之一的，视为投标人串通投标，其投标无效：</w:t>
      </w:r>
    </w:p>
    <w:p w14:paraId="535B123F">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（一）不同投标人的投标文件由同一单位或者个人编制；</w:t>
      </w:r>
    </w:p>
    <w:p w14:paraId="393F859C">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（二）不同投标人委托同一单位或者个人办理投标事宜；</w:t>
      </w:r>
    </w:p>
    <w:p w14:paraId="1E31CD3D">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（三）不同投标人的投标文件载明的项目管理成员或者联系人员为同一人；</w:t>
      </w:r>
    </w:p>
    <w:p w14:paraId="61443133">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（四）不同投标人的投标文件异常一致或者投标报价呈规律性差异；</w:t>
      </w:r>
    </w:p>
    <w:p w14:paraId="2658A776">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（五）不同投标人的投标文件相互混装；</w:t>
      </w:r>
    </w:p>
    <w:p w14:paraId="1D5EF991">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（六）不同投标人的投标保证金从同一单位或者个人的账户转出。</w:t>
      </w:r>
    </w:p>
    <w:p w14:paraId="4F2E50DF">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26.7提供相同品牌产品且通过资格审查、符合性审查的不同投标人参加同一招标项目包投标的，按一家投标人计算，评审后得分最高的同品牌投标人获得中标候选人推荐资格；评审得分相同的，评标委员会将依次按价格低优先、技术部分得分高优先、商务部分得分高优先的顺序确定；所有得分均相等的，按优先采购残疾人福利性单位、监狱企业的原则确定，若上述条件均相同，由评标委员会通过记名投票的方式，确定一个投标人获得中标人推荐资格，其他同品牌投标人不作为中标候选人。</w:t>
      </w:r>
    </w:p>
    <w:p w14:paraId="7EBF9E1C">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26.8若单个项目包为非单一产品采购项目，对于招标文件第五章规定核心产品，多家投标人提供的核心产品品牌有一项品牌相同的，按26.7款规定处理。</w:t>
      </w:r>
    </w:p>
    <w:p w14:paraId="1010D472">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★26.9按上述条款执行后，投标人不足3家的，本项目应予废标。</w:t>
      </w:r>
    </w:p>
    <w:p w14:paraId="1A3D1EC0">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27.1</w:t>
      </w:r>
      <w:r>
        <w:rPr>
          <w:rFonts w:hint="eastAsia" w:ascii="仿宋" w:hAnsi="仿宋" w:eastAsia="仿宋" w:cs="仿宋"/>
          <w:color w:val="auto"/>
          <w:sz w:val="24"/>
          <w:szCs w:val="24"/>
          <w:highlight w:val="none"/>
        </w:rPr>
        <w:t>在招标采购中，出现下列情形之一的，应予废标：</w:t>
      </w:r>
    </w:p>
    <w:p w14:paraId="15F7D31F">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1)符合专业条件的投标人或者对招标文件作实质响应的投标人不足3家的；</w:t>
      </w:r>
    </w:p>
    <w:p w14:paraId="7DFA7264">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2)出现影响采购公正的违法、违规行为的；</w:t>
      </w:r>
    </w:p>
    <w:p w14:paraId="5B1DE14A">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3)投标人的报价均超过了采购预算，采购人不能支付的；</w:t>
      </w:r>
    </w:p>
    <w:p w14:paraId="6EEC633A">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4)因重大变故，采购任务取消的。</w:t>
      </w:r>
    </w:p>
    <w:p w14:paraId="1E11A030">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废标后，采购人应当将废标理由通知所有投标人。</w:t>
      </w:r>
    </w:p>
    <w:p w14:paraId="707FC95A">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27.2电子交易活动的中止</w:t>
      </w:r>
    </w:p>
    <w:p w14:paraId="7126C5FB">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采购过程中出现以下情形，导致电子交易平台无法正常运行，或者无法保证电子交易的公平、公正和安全时，采购代理机构可中止电子交易活动：</w:t>
      </w:r>
    </w:p>
    <w:p w14:paraId="4C16D341">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（1）电子交易平台发生故障而无法登录访问的；</w:t>
      </w:r>
    </w:p>
    <w:p w14:paraId="4DB4F166">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（2）电子交易平台应用或数据库出现错误，不能进行正常操作的；</w:t>
      </w:r>
    </w:p>
    <w:p w14:paraId="30B4915F">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（3）电子交易平台发现严重安全漏洞，有潜在泄密危险的；</w:t>
      </w:r>
    </w:p>
    <w:p w14:paraId="6B09FAD3">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（4）病毒发作导致不能进行正常操作的；</w:t>
      </w:r>
    </w:p>
    <w:p w14:paraId="30DD9C38">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（5）其他无法保证电子交易的公平、公正和安全的情况。</w:t>
      </w:r>
    </w:p>
    <w:p w14:paraId="2B14637F">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27.3出现27.2中情形，不影响采购公平、公正性的，采购代理机构可以待上述情形消除后继续组织电子交易活动；影响或可能影响采购公平、公正性的，经采购代理机构确认后，应当重新采购。采购代理机构必须对原有的资料及信息</w:t>
      </w:r>
      <w:r>
        <w:rPr>
          <w:rFonts w:hint="eastAsia" w:ascii="仿宋" w:hAnsi="仿宋" w:eastAsia="仿宋" w:cs="仿宋"/>
          <w:color w:val="auto"/>
          <w:sz w:val="24"/>
          <w:szCs w:val="24"/>
          <w:highlight w:val="none"/>
          <w:lang w:eastAsia="zh-CN"/>
        </w:rPr>
        <w:t>做出</w:t>
      </w:r>
      <w:r>
        <w:rPr>
          <w:rFonts w:hint="eastAsia" w:ascii="仿宋" w:hAnsi="仿宋" w:eastAsia="仿宋" w:cs="仿宋"/>
          <w:color w:val="auto"/>
          <w:sz w:val="24"/>
          <w:szCs w:val="24"/>
          <w:highlight w:val="none"/>
        </w:rPr>
        <w:t>妥善保密处理，并报财政部门备案。</w:t>
      </w:r>
    </w:p>
    <w:p w14:paraId="61120B4D">
      <w:pPr>
        <w:pStyle w:val="3"/>
        <w:keepLines w:val="0"/>
        <w:pageBreakBefore w:val="0"/>
        <w:widowControl w:val="0"/>
        <w:kinsoku/>
        <w:wordWrap/>
        <w:overflowPunct/>
        <w:topLinePunct w:val="0"/>
        <w:autoSpaceDE/>
        <w:autoSpaceDN/>
        <w:bidi w:val="0"/>
        <w:snapToGrid w:val="0"/>
        <w:spacing w:before="0" w:line="360" w:lineRule="auto"/>
        <w:jc w:val="center"/>
        <w:rPr>
          <w:rFonts w:hint="eastAsia" w:ascii="仿宋" w:hAnsi="仿宋" w:eastAsia="仿宋" w:cs="仿宋"/>
          <w:color w:val="auto"/>
          <w:highlight w:val="none"/>
        </w:rPr>
      </w:pPr>
      <w:bookmarkStart w:id="57" w:name="_Toc20499"/>
      <w:bookmarkStart w:id="58" w:name="_Toc141099646"/>
      <w:bookmarkStart w:id="59" w:name="_Toc33095535"/>
      <w:bookmarkStart w:id="60" w:name="_Toc23061"/>
      <w:bookmarkStart w:id="61" w:name="_Toc101004087"/>
      <w:bookmarkStart w:id="62" w:name="_Toc28115"/>
      <w:r>
        <w:rPr>
          <w:rFonts w:hint="eastAsia" w:ascii="仿宋" w:hAnsi="仿宋" w:eastAsia="仿宋" w:cs="仿宋"/>
          <w:color w:val="auto"/>
          <w:highlight w:val="none"/>
        </w:rPr>
        <w:t>六、中标结果</w:t>
      </w:r>
      <w:bookmarkEnd w:id="57"/>
      <w:bookmarkEnd w:id="58"/>
      <w:bookmarkEnd w:id="59"/>
      <w:bookmarkEnd w:id="60"/>
      <w:bookmarkEnd w:id="61"/>
      <w:bookmarkEnd w:id="62"/>
    </w:p>
    <w:p w14:paraId="12FBAEAB">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 中标人的确定</w:t>
      </w:r>
    </w:p>
    <w:p w14:paraId="2E961314">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28.1采购代理机构应当在评标结束之日起2个工作日内将评标报告送采购人确认。</w:t>
      </w:r>
    </w:p>
    <w:p w14:paraId="7D39BF72">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28.2采购人应当在收到评标报告之日起5个工作日内，在评标报告中推荐的中标候选人中按顺序确定中标人。</w:t>
      </w:r>
    </w:p>
    <w:p w14:paraId="217C1F18">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 中标通知书</w:t>
      </w:r>
    </w:p>
    <w:p w14:paraId="4D6B637D">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29.1中标人确定之日起2个工作日内，采购代理机构在省级以上财政部门指定的媒体上公告中标结果，中标公告期限为1个工作日，同时向中标人发出中标通知书。</w:t>
      </w:r>
    </w:p>
    <w:p w14:paraId="7783B69C">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29.2中标通知书是合同的一个组成部分。</w:t>
      </w:r>
    </w:p>
    <w:p w14:paraId="249E155E">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 签订合同</w:t>
      </w:r>
    </w:p>
    <w:p w14:paraId="080CE011">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30.1采购人与中标人应当在中标通知书发出之日起30日内，按照招标文件和中标人投标文件的规定签订政府采购合同。</w:t>
      </w:r>
    </w:p>
    <w:p w14:paraId="7DB191CB">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616D18E6">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30.3政府采购合同履行中，采购人需追加与合同标的相同的货物的，在不改变合同其他条款的前提下，可以与中标人协商签订补充合同，但所有补充合同的采购金额不得超过原合同采购金额的</w:t>
      </w:r>
      <w:r>
        <w:rPr>
          <w:rFonts w:hint="eastAsia" w:ascii="仿宋" w:hAnsi="仿宋" w:eastAsia="仿宋" w:cs="仿宋"/>
          <w:color w:val="auto"/>
          <w:sz w:val="24"/>
          <w:szCs w:val="24"/>
          <w:highlight w:val="none"/>
          <w:lang w:eastAsia="zh-CN"/>
        </w:rPr>
        <w:t>10%</w:t>
      </w:r>
      <w:r>
        <w:rPr>
          <w:rFonts w:hint="eastAsia" w:ascii="仿宋" w:hAnsi="仿宋" w:eastAsia="仿宋" w:cs="仿宋"/>
          <w:color w:val="auto"/>
          <w:sz w:val="24"/>
          <w:szCs w:val="24"/>
          <w:highlight w:val="none"/>
        </w:rPr>
        <w:t>。</w:t>
      </w:r>
    </w:p>
    <w:p w14:paraId="14062BB3">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 履约担保</w:t>
      </w:r>
    </w:p>
    <w:p w14:paraId="03BF7A8C">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31.1签订合同前，中标人应按“</w:t>
      </w:r>
      <w:r>
        <w:rPr>
          <w:rFonts w:hint="eastAsia" w:ascii="仿宋" w:hAnsi="仿宋" w:eastAsia="仿宋" w:cs="仿宋"/>
          <w:b/>
          <w:color w:val="auto"/>
          <w:sz w:val="24"/>
          <w:szCs w:val="24"/>
          <w:highlight w:val="none"/>
        </w:rPr>
        <w:t>投标人须知前附表</w:t>
      </w:r>
      <w:r>
        <w:rPr>
          <w:rFonts w:hint="eastAsia" w:ascii="仿宋" w:hAnsi="仿宋" w:eastAsia="仿宋" w:cs="仿宋"/>
          <w:color w:val="auto"/>
          <w:sz w:val="24"/>
          <w:szCs w:val="24"/>
          <w:highlight w:val="none"/>
        </w:rPr>
        <w:t>”上确定的履约担保的金额及形式，向采购人提交履约担保，联合体中标的，其履约担保由牵头人递交。否则，视为放弃中标项目，投标保证金将不予退还。</w:t>
      </w:r>
    </w:p>
    <w:p w14:paraId="5E9ADFB7">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highlight w:val="none"/>
        </w:rPr>
      </w:pPr>
      <w:r>
        <w:rPr>
          <w:rFonts w:hint="eastAsia" w:ascii="仿宋" w:hAnsi="仿宋" w:eastAsia="仿宋" w:cs="仿宋"/>
          <w:color w:val="auto"/>
          <w:sz w:val="24"/>
          <w:szCs w:val="24"/>
          <w:highlight w:val="none"/>
        </w:rPr>
        <w:t>31.2签订合同后，如中标人不按双方签订合同约定履约，则没收其全部履约保证金，履约保证金不足以赔偿损失的，按实际损失赔偿。</w:t>
      </w:r>
    </w:p>
    <w:p w14:paraId="4816BEBA">
      <w:pPr>
        <w:pStyle w:val="3"/>
        <w:keepLines w:val="0"/>
        <w:pageBreakBefore w:val="0"/>
        <w:widowControl w:val="0"/>
        <w:kinsoku/>
        <w:wordWrap/>
        <w:overflowPunct/>
        <w:topLinePunct w:val="0"/>
        <w:autoSpaceDE/>
        <w:autoSpaceDN/>
        <w:bidi w:val="0"/>
        <w:snapToGrid w:val="0"/>
        <w:spacing w:before="0" w:line="360" w:lineRule="auto"/>
        <w:ind w:firstLine="562" w:firstLineChars="200"/>
        <w:rPr>
          <w:rFonts w:hint="eastAsia" w:ascii="仿宋" w:hAnsi="仿宋" w:eastAsia="仿宋" w:cs="仿宋"/>
          <w:color w:val="auto"/>
          <w:highlight w:val="none"/>
        </w:rPr>
      </w:pPr>
      <w:bookmarkStart w:id="63" w:name="_Toc7272"/>
      <w:bookmarkStart w:id="64" w:name="_Toc141099647"/>
      <w:bookmarkStart w:id="65" w:name="_Toc33095536"/>
      <w:bookmarkStart w:id="66" w:name="_Toc26764"/>
      <w:bookmarkStart w:id="67" w:name="_Toc7823"/>
      <w:bookmarkStart w:id="68" w:name="_Toc101004088"/>
      <w:r>
        <w:rPr>
          <w:rFonts w:hint="eastAsia" w:ascii="仿宋" w:hAnsi="仿宋" w:eastAsia="仿宋" w:cs="仿宋"/>
          <w:color w:val="auto"/>
          <w:highlight w:val="none"/>
        </w:rPr>
        <w:t>七、其他事项</w:t>
      </w:r>
      <w:bookmarkEnd w:id="63"/>
      <w:bookmarkEnd w:id="64"/>
      <w:bookmarkEnd w:id="65"/>
      <w:bookmarkEnd w:id="66"/>
      <w:bookmarkEnd w:id="67"/>
      <w:bookmarkEnd w:id="68"/>
    </w:p>
    <w:p w14:paraId="286420CE">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 采购代理服务费</w:t>
      </w:r>
    </w:p>
    <w:p w14:paraId="43834233">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32.1采购代理机构按以下货物招标收费标准向中标人收取招标代理服务费：</w:t>
      </w:r>
    </w:p>
    <w:tbl>
      <w:tblPr>
        <w:tblStyle w:val="20"/>
        <w:tblW w:w="0" w:type="auto"/>
        <w:jc w:val="center"/>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205"/>
        <w:gridCol w:w="2100"/>
        <w:gridCol w:w="2100"/>
        <w:gridCol w:w="2415"/>
      </w:tblGrid>
      <w:tr w14:paraId="5D9847A5">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2205" w:type="dxa"/>
            <w:vMerge w:val="restart"/>
            <w:vAlign w:val="center"/>
          </w:tcPr>
          <w:p w14:paraId="14AA147E">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中标金额</w:t>
            </w:r>
          </w:p>
          <w:p w14:paraId="2AADEAC9">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（万元）</w:t>
            </w:r>
          </w:p>
        </w:tc>
        <w:tc>
          <w:tcPr>
            <w:tcW w:w="6615" w:type="dxa"/>
            <w:gridSpan w:val="3"/>
            <w:vAlign w:val="center"/>
          </w:tcPr>
          <w:p w14:paraId="70279408">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收费标准</w:t>
            </w:r>
          </w:p>
        </w:tc>
      </w:tr>
      <w:tr w14:paraId="5478298F">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284" w:hRule="atLeast"/>
          <w:jc w:val="center"/>
        </w:trPr>
        <w:tc>
          <w:tcPr>
            <w:tcW w:w="2205" w:type="dxa"/>
            <w:vMerge w:val="continue"/>
            <w:shd w:val="clear" w:color="auto" w:fill="auto"/>
            <w:vAlign w:val="center"/>
          </w:tcPr>
          <w:p w14:paraId="15EDEBCF">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p>
        </w:tc>
        <w:tc>
          <w:tcPr>
            <w:tcW w:w="2100" w:type="dxa"/>
            <w:shd w:val="clear" w:color="auto" w:fill="CCFFFF"/>
            <w:vAlign w:val="center"/>
          </w:tcPr>
          <w:p w14:paraId="70E03393">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货物招标</w:t>
            </w:r>
          </w:p>
        </w:tc>
        <w:tc>
          <w:tcPr>
            <w:tcW w:w="2100" w:type="dxa"/>
            <w:vAlign w:val="center"/>
          </w:tcPr>
          <w:p w14:paraId="794CB4AC">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服务招标</w:t>
            </w:r>
          </w:p>
        </w:tc>
        <w:tc>
          <w:tcPr>
            <w:tcW w:w="2415" w:type="dxa"/>
            <w:vAlign w:val="center"/>
          </w:tcPr>
          <w:p w14:paraId="09596F7D">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工程招标</w:t>
            </w:r>
          </w:p>
        </w:tc>
      </w:tr>
      <w:tr w14:paraId="24A41578">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shd w:val="clear" w:color="auto" w:fill="auto"/>
          </w:tcPr>
          <w:p w14:paraId="631CE659">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100以下</w:t>
            </w:r>
          </w:p>
        </w:tc>
        <w:tc>
          <w:tcPr>
            <w:tcW w:w="2100" w:type="dxa"/>
            <w:shd w:val="clear" w:color="auto" w:fill="CCFFFF"/>
          </w:tcPr>
          <w:p w14:paraId="1205E2C3">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2100" w:type="dxa"/>
          </w:tcPr>
          <w:p w14:paraId="60848EA4">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w:t>
            </w:r>
          </w:p>
        </w:tc>
        <w:tc>
          <w:tcPr>
            <w:tcW w:w="2415" w:type="dxa"/>
          </w:tcPr>
          <w:p w14:paraId="303B3BFE">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r>
      <w:tr w14:paraId="0056A53F">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shd w:val="clear" w:color="auto" w:fill="auto"/>
          </w:tcPr>
          <w:p w14:paraId="467BB42E">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100—500</w:t>
            </w:r>
          </w:p>
        </w:tc>
        <w:tc>
          <w:tcPr>
            <w:tcW w:w="2100" w:type="dxa"/>
            <w:shd w:val="clear" w:color="auto" w:fill="CCFFFF"/>
          </w:tcPr>
          <w:p w14:paraId="6F655EF3">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w:t>
            </w:r>
          </w:p>
        </w:tc>
        <w:tc>
          <w:tcPr>
            <w:tcW w:w="2100" w:type="dxa"/>
          </w:tcPr>
          <w:p w14:paraId="74C36298">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0.8%</w:t>
            </w:r>
          </w:p>
        </w:tc>
        <w:tc>
          <w:tcPr>
            <w:tcW w:w="2415" w:type="dxa"/>
          </w:tcPr>
          <w:p w14:paraId="7283C21E">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0.7%</w:t>
            </w:r>
          </w:p>
        </w:tc>
      </w:tr>
      <w:tr w14:paraId="10F539B9">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shd w:val="clear" w:color="auto" w:fill="auto"/>
          </w:tcPr>
          <w:p w14:paraId="1A3CADBE">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500—1000</w:t>
            </w:r>
          </w:p>
        </w:tc>
        <w:tc>
          <w:tcPr>
            <w:tcW w:w="2100" w:type="dxa"/>
            <w:shd w:val="clear" w:color="auto" w:fill="CCFFFF"/>
          </w:tcPr>
          <w:p w14:paraId="3CB33825">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0.8%</w:t>
            </w:r>
          </w:p>
        </w:tc>
        <w:tc>
          <w:tcPr>
            <w:tcW w:w="2100" w:type="dxa"/>
          </w:tcPr>
          <w:p w14:paraId="4D051086">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0.45%</w:t>
            </w:r>
          </w:p>
        </w:tc>
        <w:tc>
          <w:tcPr>
            <w:tcW w:w="2415" w:type="dxa"/>
          </w:tcPr>
          <w:p w14:paraId="6321BB1E">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0.55%</w:t>
            </w:r>
          </w:p>
        </w:tc>
      </w:tr>
      <w:tr w14:paraId="06AB878B">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shd w:val="clear" w:color="auto" w:fill="auto"/>
          </w:tcPr>
          <w:p w14:paraId="0F91D9BA">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1000—5000</w:t>
            </w:r>
          </w:p>
        </w:tc>
        <w:tc>
          <w:tcPr>
            <w:tcW w:w="2100" w:type="dxa"/>
            <w:shd w:val="clear" w:color="auto" w:fill="CCFFFF"/>
          </w:tcPr>
          <w:p w14:paraId="57B61D74">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0.5%</w:t>
            </w:r>
          </w:p>
        </w:tc>
        <w:tc>
          <w:tcPr>
            <w:tcW w:w="2100" w:type="dxa"/>
          </w:tcPr>
          <w:p w14:paraId="3E43901A">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0.25%</w:t>
            </w:r>
          </w:p>
        </w:tc>
        <w:tc>
          <w:tcPr>
            <w:tcW w:w="2415" w:type="dxa"/>
          </w:tcPr>
          <w:p w14:paraId="32BAA2EB">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0.35%</w:t>
            </w:r>
          </w:p>
        </w:tc>
      </w:tr>
      <w:tr w14:paraId="0F77D3B3">
        <w:tblPrEx>
          <w:tblBorders>
            <w:top w:val="single" w:color="auto" w:sz="18" w:space="0"/>
            <w:left w:val="single" w:color="auto" w:sz="18" w:space="0"/>
            <w:bottom w:val="single" w:color="auto" w:sz="12"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2205" w:type="dxa"/>
            <w:shd w:val="clear" w:color="auto" w:fill="auto"/>
          </w:tcPr>
          <w:p w14:paraId="6E537CC7">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5000—10000</w:t>
            </w:r>
          </w:p>
        </w:tc>
        <w:tc>
          <w:tcPr>
            <w:tcW w:w="2100" w:type="dxa"/>
            <w:shd w:val="clear" w:color="auto" w:fill="CCFFFF"/>
          </w:tcPr>
          <w:p w14:paraId="4EE45245">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0.25%</w:t>
            </w:r>
          </w:p>
        </w:tc>
        <w:tc>
          <w:tcPr>
            <w:tcW w:w="2100" w:type="dxa"/>
          </w:tcPr>
          <w:p w14:paraId="17D6B05F">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0.1%</w:t>
            </w:r>
          </w:p>
        </w:tc>
        <w:tc>
          <w:tcPr>
            <w:tcW w:w="2415" w:type="dxa"/>
          </w:tcPr>
          <w:p w14:paraId="3995F6D9">
            <w:pPr>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0.2%</w:t>
            </w:r>
          </w:p>
        </w:tc>
      </w:tr>
    </w:tbl>
    <w:p w14:paraId="3F885043">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32.2中标人应在接受“</w:t>
      </w:r>
      <w:r>
        <w:rPr>
          <w:rFonts w:hint="eastAsia" w:ascii="仿宋" w:hAnsi="仿宋" w:eastAsia="仿宋" w:cs="仿宋"/>
          <w:b/>
          <w:color w:val="auto"/>
          <w:sz w:val="24"/>
          <w:szCs w:val="24"/>
          <w:highlight w:val="none"/>
        </w:rPr>
        <w:t>中标通知书</w:t>
      </w:r>
      <w:r>
        <w:rPr>
          <w:rFonts w:hint="eastAsia" w:ascii="仿宋" w:hAnsi="仿宋" w:eastAsia="仿宋" w:cs="仿宋"/>
          <w:color w:val="auto"/>
          <w:sz w:val="24"/>
          <w:szCs w:val="24"/>
          <w:highlight w:val="none"/>
        </w:rPr>
        <w:t>”前</w:t>
      </w:r>
      <w:r>
        <w:rPr>
          <w:rFonts w:hint="eastAsia" w:ascii="仿宋" w:hAnsi="仿宋" w:eastAsia="仿宋" w:cs="仿宋"/>
          <w:color w:val="auto"/>
          <w:sz w:val="24"/>
          <w:szCs w:val="24"/>
          <w:highlight w:val="none"/>
          <w:lang w:val="en-US" w:eastAsia="zh-CN"/>
        </w:rPr>
        <w:t>按照投标人须知前附表34.2项</w:t>
      </w:r>
      <w:r>
        <w:rPr>
          <w:rFonts w:hint="eastAsia" w:ascii="仿宋" w:hAnsi="仿宋" w:eastAsia="仿宋" w:cs="仿宋"/>
          <w:color w:val="auto"/>
          <w:sz w:val="24"/>
          <w:szCs w:val="24"/>
          <w:highlight w:val="none"/>
        </w:rPr>
        <w:t>向采购代理机构一次付清代理服务费。</w:t>
      </w:r>
    </w:p>
    <w:p w14:paraId="0B10EF47">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 招标文件编制依据</w:t>
      </w:r>
    </w:p>
    <w:p w14:paraId="11CE300B">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33.1本招标文件根据《中华人民共和国政府采购法》及相关法律法规编制。</w:t>
      </w:r>
    </w:p>
    <w:p w14:paraId="723845E4">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34.</w:t>
      </w:r>
      <w:r>
        <w:rPr>
          <w:rFonts w:hint="eastAsia" w:ascii="仿宋" w:hAnsi="仿宋" w:eastAsia="仿宋" w:cs="仿宋"/>
          <w:color w:val="auto"/>
          <w:sz w:val="24"/>
          <w:szCs w:val="24"/>
          <w:highlight w:val="none"/>
        </w:rPr>
        <w:t>需要补充的其他内容</w:t>
      </w:r>
    </w:p>
    <w:p w14:paraId="5849C476">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34.1 “</w:t>
      </w:r>
      <w:r>
        <w:rPr>
          <w:rFonts w:hint="eastAsia" w:ascii="仿宋" w:hAnsi="仿宋" w:eastAsia="仿宋" w:cs="仿宋"/>
          <w:b/>
          <w:color w:val="auto"/>
          <w:sz w:val="24"/>
          <w:szCs w:val="24"/>
          <w:highlight w:val="none"/>
        </w:rPr>
        <w:t>投标人须知前附表</w:t>
      </w:r>
      <w:r>
        <w:rPr>
          <w:rFonts w:hint="eastAsia" w:ascii="仿宋" w:hAnsi="仿宋" w:eastAsia="仿宋" w:cs="仿宋"/>
          <w:color w:val="auto"/>
          <w:sz w:val="24"/>
          <w:szCs w:val="24"/>
          <w:highlight w:val="none"/>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54A6E4D7">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评标委员会在对有备选方案的投标人进行评审时，应当以主选方案为准进行评审，如考虑备选方案的，备选方案必须实质性响应招标文件要求。</w:t>
      </w:r>
    </w:p>
    <w:p w14:paraId="592E5925">
      <w:pPr>
        <w:pStyle w:val="10"/>
        <w:keepLines w:val="0"/>
        <w:pageBreakBefore w:val="0"/>
        <w:widowControl w:val="0"/>
        <w:kinsoku/>
        <w:wordWrap/>
        <w:overflowPunct/>
        <w:topLinePunct w:val="0"/>
        <w:autoSpaceDE/>
        <w:autoSpaceDN/>
        <w:bidi w:val="0"/>
        <w:snapToGri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34.2</w:t>
      </w:r>
      <w:r>
        <w:rPr>
          <w:rFonts w:hint="eastAsia" w:ascii="仿宋" w:hAnsi="仿宋" w:eastAsia="仿宋" w:cs="仿宋"/>
          <w:color w:val="auto"/>
          <w:sz w:val="24"/>
          <w:szCs w:val="24"/>
          <w:highlight w:val="none"/>
          <w:lang w:eastAsia="zh-CN"/>
        </w:rPr>
        <w:t>其他需要</w:t>
      </w:r>
      <w:r>
        <w:rPr>
          <w:rFonts w:hint="eastAsia" w:ascii="仿宋" w:hAnsi="仿宋" w:eastAsia="仿宋" w:cs="仿宋"/>
          <w:color w:val="auto"/>
          <w:sz w:val="24"/>
          <w:szCs w:val="24"/>
          <w:highlight w:val="none"/>
        </w:rPr>
        <w:t>补充的其他内容：见“</w:t>
      </w:r>
      <w:r>
        <w:rPr>
          <w:rFonts w:hint="eastAsia" w:ascii="仿宋" w:hAnsi="仿宋" w:eastAsia="仿宋" w:cs="仿宋"/>
          <w:b/>
          <w:color w:val="auto"/>
          <w:sz w:val="24"/>
          <w:szCs w:val="24"/>
          <w:highlight w:val="none"/>
        </w:rPr>
        <w:t>投标人须知前附表</w:t>
      </w:r>
      <w:r>
        <w:rPr>
          <w:rFonts w:hint="eastAsia" w:ascii="仿宋" w:hAnsi="仿宋" w:eastAsia="仿宋" w:cs="仿宋"/>
          <w:color w:val="auto"/>
          <w:sz w:val="24"/>
          <w:szCs w:val="24"/>
          <w:highlight w:val="none"/>
        </w:rPr>
        <w:t>”。</w:t>
      </w:r>
    </w:p>
    <w:p w14:paraId="6AE9DF15">
      <w:pPr>
        <w:pStyle w:val="1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27592A0">
      <w:pPr>
        <w:pStyle w:val="2"/>
        <w:spacing w:line="360" w:lineRule="auto"/>
        <w:jc w:val="center"/>
        <w:rPr>
          <w:rFonts w:hint="eastAsia" w:ascii="仿宋" w:hAnsi="仿宋" w:eastAsia="仿宋" w:cs="仿宋"/>
          <w:color w:val="auto"/>
          <w:highlight w:val="none"/>
        </w:rPr>
      </w:pPr>
      <w:bookmarkStart w:id="69" w:name="_Toc2933"/>
      <w:bookmarkStart w:id="70" w:name="_Toc213141090"/>
      <w:bookmarkStart w:id="71" w:name="_Toc10461"/>
      <w:r>
        <w:rPr>
          <w:rFonts w:hint="eastAsia" w:ascii="仿宋" w:hAnsi="仿宋" w:eastAsia="仿宋" w:cs="仿宋"/>
          <w:color w:val="auto"/>
          <w:highlight w:val="none"/>
        </w:rPr>
        <w:t>第三章 合同书样式及主要条款</w:t>
      </w:r>
      <w:bookmarkEnd w:id="69"/>
      <w:bookmarkEnd w:id="70"/>
      <w:bookmarkEnd w:id="71"/>
    </w:p>
    <w:p w14:paraId="71927893">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（以最终签订合同为准）</w:t>
      </w:r>
    </w:p>
    <w:p w14:paraId="0D8A8E66">
      <w:pPr>
        <w:spacing w:line="360" w:lineRule="auto"/>
        <w:jc w:val="center"/>
        <w:rPr>
          <w:rFonts w:hint="eastAsia" w:ascii="仿宋" w:hAnsi="仿宋" w:eastAsia="仿宋" w:cs="仿宋"/>
          <w:color w:val="auto"/>
          <w:sz w:val="24"/>
          <w:highlight w:val="none"/>
        </w:rPr>
      </w:pPr>
    </w:p>
    <w:p w14:paraId="418A44F0">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合同编号：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rPr>
        <w:t>：</w:t>
      </w:r>
    </w:p>
    <w:p w14:paraId="6998B7F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●本合同须加盖甲乙双方骑缝章</w:t>
      </w:r>
    </w:p>
    <w:p w14:paraId="34EDA23C">
      <w:pPr>
        <w:spacing w:line="360" w:lineRule="auto"/>
        <w:jc w:val="center"/>
        <w:rPr>
          <w:rFonts w:hint="eastAsia" w:ascii="仿宋" w:hAnsi="仿宋" w:eastAsia="仿宋" w:cs="仿宋"/>
          <w:color w:val="auto"/>
          <w:highlight w:val="none"/>
        </w:rPr>
      </w:pPr>
    </w:p>
    <w:p w14:paraId="6FC74C77">
      <w:pPr>
        <w:spacing w:line="360" w:lineRule="auto"/>
        <w:jc w:val="center"/>
        <w:rPr>
          <w:rFonts w:hint="eastAsia" w:ascii="仿宋" w:hAnsi="仿宋" w:eastAsia="仿宋" w:cs="仿宋"/>
          <w:color w:val="auto"/>
          <w:highlight w:val="none"/>
        </w:rPr>
      </w:pPr>
    </w:p>
    <w:p w14:paraId="28DB3BF5">
      <w:pPr>
        <w:snapToGrid w:val="0"/>
        <w:spacing w:line="360" w:lineRule="auto"/>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合</w:t>
      </w:r>
    </w:p>
    <w:p w14:paraId="271DC2B0">
      <w:pPr>
        <w:snapToGrid w:val="0"/>
        <w:spacing w:line="360" w:lineRule="auto"/>
        <w:jc w:val="center"/>
        <w:rPr>
          <w:rFonts w:hint="eastAsia" w:ascii="仿宋" w:hAnsi="仿宋" w:eastAsia="仿宋" w:cs="仿宋"/>
          <w:color w:val="auto"/>
          <w:sz w:val="72"/>
          <w:szCs w:val="72"/>
          <w:highlight w:val="none"/>
        </w:rPr>
      </w:pPr>
    </w:p>
    <w:p w14:paraId="36CC0EF5">
      <w:pPr>
        <w:snapToGrid w:val="0"/>
        <w:spacing w:line="360" w:lineRule="auto"/>
        <w:jc w:val="center"/>
        <w:rPr>
          <w:rFonts w:hint="eastAsia" w:ascii="仿宋" w:hAnsi="仿宋" w:eastAsia="仿宋" w:cs="仿宋"/>
          <w:color w:val="auto"/>
          <w:sz w:val="72"/>
          <w:szCs w:val="72"/>
          <w:highlight w:val="none"/>
        </w:rPr>
      </w:pPr>
      <w:r>
        <w:rPr>
          <w:rFonts w:hint="eastAsia" w:ascii="仿宋" w:hAnsi="仿宋" w:eastAsia="仿宋" w:cs="仿宋"/>
          <w:color w:val="auto"/>
          <w:sz w:val="72"/>
          <w:szCs w:val="72"/>
          <w:highlight w:val="none"/>
        </w:rPr>
        <w:t>同</w:t>
      </w:r>
    </w:p>
    <w:p w14:paraId="5698D9EC">
      <w:pPr>
        <w:snapToGrid w:val="0"/>
        <w:spacing w:line="360" w:lineRule="auto"/>
        <w:jc w:val="center"/>
        <w:rPr>
          <w:rFonts w:hint="eastAsia" w:ascii="仿宋" w:hAnsi="仿宋" w:eastAsia="仿宋" w:cs="仿宋"/>
          <w:color w:val="auto"/>
          <w:sz w:val="72"/>
          <w:szCs w:val="72"/>
          <w:highlight w:val="none"/>
        </w:rPr>
      </w:pPr>
    </w:p>
    <w:p w14:paraId="036130FD">
      <w:pPr>
        <w:snapToGrid w:val="0"/>
        <w:spacing w:line="360" w:lineRule="auto"/>
        <w:jc w:val="center"/>
        <w:rPr>
          <w:rFonts w:hint="eastAsia" w:ascii="仿宋" w:hAnsi="仿宋" w:eastAsia="仿宋" w:cs="仿宋"/>
          <w:b/>
          <w:color w:val="auto"/>
          <w:sz w:val="24"/>
          <w:highlight w:val="none"/>
        </w:rPr>
      </w:pPr>
      <w:r>
        <w:rPr>
          <w:rFonts w:hint="eastAsia" w:ascii="仿宋" w:hAnsi="仿宋" w:eastAsia="仿宋" w:cs="仿宋"/>
          <w:color w:val="auto"/>
          <w:sz w:val="72"/>
          <w:szCs w:val="72"/>
          <w:highlight w:val="none"/>
        </w:rPr>
        <w:t>书</w:t>
      </w:r>
    </w:p>
    <w:p w14:paraId="4B078DCA">
      <w:pPr>
        <w:spacing w:line="360" w:lineRule="auto"/>
        <w:jc w:val="left"/>
        <w:rPr>
          <w:rFonts w:hint="eastAsia" w:ascii="仿宋" w:hAnsi="仿宋" w:eastAsia="仿宋" w:cs="仿宋"/>
          <w:b/>
          <w:color w:val="auto"/>
          <w:sz w:val="24"/>
          <w:highlight w:val="none"/>
        </w:rPr>
      </w:pPr>
    </w:p>
    <w:p w14:paraId="25F1456F">
      <w:pPr>
        <w:spacing w:line="360" w:lineRule="auto"/>
        <w:jc w:val="left"/>
        <w:rPr>
          <w:rFonts w:hint="eastAsia" w:ascii="仿宋" w:hAnsi="仿宋" w:eastAsia="仿宋" w:cs="仿宋"/>
          <w:b/>
          <w:color w:val="auto"/>
          <w:sz w:val="24"/>
          <w:highlight w:val="none"/>
        </w:rPr>
      </w:pPr>
    </w:p>
    <w:p w14:paraId="096AE9AA">
      <w:pPr>
        <w:spacing w:line="360" w:lineRule="auto"/>
        <w:jc w:val="left"/>
        <w:rPr>
          <w:rFonts w:hint="eastAsia" w:ascii="仿宋" w:hAnsi="仿宋" w:eastAsia="仿宋" w:cs="仿宋"/>
          <w:b/>
          <w:color w:val="auto"/>
          <w:sz w:val="24"/>
          <w:highlight w:val="none"/>
        </w:rPr>
      </w:pPr>
    </w:p>
    <w:p w14:paraId="6AEC4849">
      <w:pPr>
        <w:spacing w:line="360" w:lineRule="auto"/>
        <w:ind w:firstLine="1308" w:firstLineChars="543"/>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签订地点：</w:t>
      </w:r>
    </w:p>
    <w:p w14:paraId="54A7DC11">
      <w:pPr>
        <w:spacing w:line="360" w:lineRule="auto"/>
        <w:ind w:firstLine="1308" w:firstLineChars="543"/>
        <w:jc w:val="lef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签订时间：</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 xml:space="preserve">年  月   日 </w:t>
      </w:r>
    </w:p>
    <w:p w14:paraId="047DF4DD">
      <w:pPr>
        <w:widowControl/>
        <w:spacing w:line="360" w:lineRule="auto"/>
        <w:jc w:val="lef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br w:type="page"/>
      </w:r>
    </w:p>
    <w:p w14:paraId="0FF96994">
      <w:pPr>
        <w:pStyle w:val="7"/>
        <w:jc w:val="center"/>
        <w:rPr>
          <w:rFonts w:hint="eastAsia" w:ascii="仿宋" w:hAnsi="仿宋" w:eastAsia="仿宋" w:cs="仿宋"/>
          <w:b/>
          <w:bCs/>
          <w:color w:val="auto"/>
          <w:sz w:val="24"/>
          <w:szCs w:val="24"/>
          <w:highlight w:val="none"/>
          <w:lang w:val="en-US" w:eastAsia="zh-CN"/>
        </w:rPr>
      </w:pPr>
    </w:p>
    <w:p w14:paraId="508A36C4">
      <w:pPr>
        <w:jc w:val="center"/>
        <w:rPr>
          <w:rFonts w:hint="eastAsia" w:ascii="仿宋" w:hAnsi="仿宋" w:eastAsia="仿宋" w:cs="仿宋"/>
          <w:b/>
          <w:kern w:val="44"/>
          <w:sz w:val="24"/>
        </w:rPr>
      </w:pPr>
      <w:r>
        <w:rPr>
          <w:rFonts w:hint="eastAsia" w:ascii="仿宋" w:hAnsi="仿宋" w:eastAsia="仿宋" w:cs="仿宋"/>
          <w:b/>
          <w:kern w:val="44"/>
          <w:sz w:val="24"/>
        </w:rPr>
        <w:t>合同条款前附表</w:t>
      </w:r>
    </w:p>
    <w:tbl>
      <w:tblPr>
        <w:tblStyle w:val="20"/>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560"/>
        <w:gridCol w:w="7299"/>
      </w:tblGrid>
      <w:tr w14:paraId="39593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noWrap w:val="0"/>
            <w:vAlign w:val="center"/>
          </w:tcPr>
          <w:p w14:paraId="749BFDA3">
            <w:pPr>
              <w:jc w:val="center"/>
              <w:rPr>
                <w:rFonts w:hint="eastAsia" w:ascii="仿宋" w:hAnsi="仿宋" w:eastAsia="仿宋" w:cs="仿宋"/>
                <w:sz w:val="24"/>
                <w:szCs w:val="24"/>
              </w:rPr>
            </w:pPr>
            <w:r>
              <w:rPr>
                <w:rFonts w:hint="eastAsia" w:ascii="仿宋" w:hAnsi="仿宋" w:eastAsia="仿宋" w:cs="仿宋"/>
                <w:sz w:val="24"/>
                <w:szCs w:val="24"/>
              </w:rPr>
              <w:t>序号</w:t>
            </w:r>
          </w:p>
        </w:tc>
        <w:tc>
          <w:tcPr>
            <w:tcW w:w="1560" w:type="dxa"/>
            <w:noWrap w:val="0"/>
            <w:vAlign w:val="center"/>
          </w:tcPr>
          <w:p w14:paraId="0B75BB98">
            <w:pPr>
              <w:jc w:val="center"/>
              <w:rPr>
                <w:rFonts w:hint="eastAsia" w:ascii="仿宋" w:hAnsi="仿宋" w:eastAsia="仿宋" w:cs="仿宋"/>
                <w:sz w:val="24"/>
                <w:szCs w:val="24"/>
              </w:rPr>
            </w:pPr>
            <w:r>
              <w:rPr>
                <w:rFonts w:hint="eastAsia" w:ascii="仿宋" w:hAnsi="仿宋" w:eastAsia="仿宋" w:cs="仿宋"/>
                <w:sz w:val="24"/>
                <w:szCs w:val="24"/>
              </w:rPr>
              <w:t>项目</w:t>
            </w:r>
          </w:p>
        </w:tc>
        <w:tc>
          <w:tcPr>
            <w:tcW w:w="7299" w:type="dxa"/>
            <w:noWrap w:val="0"/>
            <w:vAlign w:val="center"/>
          </w:tcPr>
          <w:p w14:paraId="7DBA9A56">
            <w:pPr>
              <w:jc w:val="center"/>
              <w:rPr>
                <w:rFonts w:hint="eastAsia" w:ascii="仿宋" w:hAnsi="仿宋" w:eastAsia="仿宋" w:cs="仿宋"/>
                <w:sz w:val="24"/>
                <w:szCs w:val="24"/>
              </w:rPr>
            </w:pPr>
            <w:r>
              <w:rPr>
                <w:rFonts w:hint="eastAsia" w:ascii="仿宋" w:hAnsi="仿宋" w:eastAsia="仿宋" w:cs="仿宋"/>
                <w:sz w:val="24"/>
                <w:szCs w:val="24"/>
              </w:rPr>
              <w:t>内  容</w:t>
            </w:r>
          </w:p>
        </w:tc>
      </w:tr>
      <w:tr w14:paraId="2DFDC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noWrap w:val="0"/>
            <w:vAlign w:val="center"/>
          </w:tcPr>
          <w:p w14:paraId="30ECEEE7">
            <w:pPr>
              <w:jc w:val="center"/>
              <w:rPr>
                <w:rFonts w:hint="eastAsia" w:ascii="仿宋" w:hAnsi="仿宋" w:eastAsia="仿宋" w:cs="仿宋"/>
                <w:sz w:val="24"/>
                <w:szCs w:val="24"/>
              </w:rPr>
            </w:pPr>
            <w:r>
              <w:rPr>
                <w:rFonts w:hint="eastAsia" w:ascii="仿宋" w:hAnsi="仿宋" w:eastAsia="仿宋" w:cs="仿宋"/>
                <w:sz w:val="24"/>
                <w:szCs w:val="24"/>
              </w:rPr>
              <w:t>1</w:t>
            </w:r>
          </w:p>
        </w:tc>
        <w:tc>
          <w:tcPr>
            <w:tcW w:w="1560" w:type="dxa"/>
            <w:noWrap w:val="0"/>
            <w:vAlign w:val="center"/>
          </w:tcPr>
          <w:p w14:paraId="58FB4B08">
            <w:pPr>
              <w:jc w:val="center"/>
              <w:rPr>
                <w:rFonts w:hint="eastAsia" w:ascii="仿宋" w:hAnsi="仿宋" w:eastAsia="仿宋" w:cs="仿宋"/>
                <w:sz w:val="24"/>
                <w:szCs w:val="24"/>
              </w:rPr>
            </w:pPr>
            <w:r>
              <w:rPr>
                <w:rFonts w:hint="eastAsia" w:ascii="仿宋" w:hAnsi="仿宋" w:eastAsia="仿宋" w:cs="仿宋"/>
                <w:sz w:val="24"/>
                <w:szCs w:val="24"/>
                <w:lang w:val="en-US" w:eastAsia="zh-CN"/>
              </w:rPr>
              <w:t>合同履行期限</w:t>
            </w:r>
          </w:p>
        </w:tc>
        <w:tc>
          <w:tcPr>
            <w:tcW w:w="7299" w:type="dxa"/>
            <w:noWrap w:val="0"/>
            <w:vAlign w:val="center"/>
          </w:tcPr>
          <w:p w14:paraId="5473F81E">
            <w:pPr>
              <w:rPr>
                <w:rFonts w:hint="eastAsia" w:ascii="仿宋" w:hAnsi="仿宋" w:eastAsia="仿宋" w:cs="仿宋"/>
                <w:sz w:val="24"/>
                <w:szCs w:val="24"/>
              </w:rPr>
            </w:pPr>
            <w:r>
              <w:rPr>
                <w:rFonts w:hint="eastAsia" w:ascii="仿宋" w:hAnsi="仿宋" w:eastAsia="仿宋" w:cs="仿宋"/>
                <w:color w:val="auto"/>
                <w:kern w:val="0"/>
                <w:sz w:val="24"/>
                <w:szCs w:val="24"/>
                <w:highlight w:val="none"/>
                <w:lang w:val="en-US" w:eastAsia="zh-CN"/>
              </w:rPr>
              <w:t>合同签订后30个日历天内所有货物抵达采购人指定地点安装、调试、一次性验收合格并交付采购人使用（各投标单位可根据实际情况自行报出合理的更短时间）</w:t>
            </w:r>
          </w:p>
        </w:tc>
      </w:tr>
      <w:tr w14:paraId="1777D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noWrap w:val="0"/>
            <w:vAlign w:val="center"/>
          </w:tcPr>
          <w:p w14:paraId="59EDD5E3">
            <w:pPr>
              <w:jc w:val="center"/>
              <w:rPr>
                <w:rFonts w:hint="eastAsia" w:ascii="仿宋" w:hAnsi="仿宋" w:eastAsia="仿宋" w:cs="仿宋"/>
                <w:sz w:val="24"/>
                <w:szCs w:val="24"/>
              </w:rPr>
            </w:pPr>
            <w:r>
              <w:rPr>
                <w:rFonts w:hint="eastAsia" w:ascii="仿宋" w:hAnsi="仿宋" w:eastAsia="仿宋" w:cs="仿宋"/>
                <w:sz w:val="24"/>
                <w:szCs w:val="24"/>
              </w:rPr>
              <w:t>2</w:t>
            </w:r>
          </w:p>
        </w:tc>
        <w:tc>
          <w:tcPr>
            <w:tcW w:w="1560" w:type="dxa"/>
            <w:noWrap w:val="0"/>
            <w:vAlign w:val="center"/>
          </w:tcPr>
          <w:p w14:paraId="54F569D5">
            <w:pPr>
              <w:jc w:val="center"/>
              <w:rPr>
                <w:rFonts w:hint="eastAsia" w:ascii="仿宋" w:hAnsi="仿宋" w:eastAsia="仿宋" w:cs="仿宋"/>
                <w:sz w:val="24"/>
                <w:szCs w:val="24"/>
              </w:rPr>
            </w:pPr>
            <w:r>
              <w:rPr>
                <w:rFonts w:hint="eastAsia" w:ascii="仿宋" w:hAnsi="仿宋" w:eastAsia="仿宋" w:cs="仿宋"/>
                <w:sz w:val="24"/>
                <w:szCs w:val="24"/>
              </w:rPr>
              <w:t>交货地点</w:t>
            </w:r>
          </w:p>
        </w:tc>
        <w:tc>
          <w:tcPr>
            <w:tcW w:w="7299" w:type="dxa"/>
            <w:noWrap w:val="0"/>
            <w:vAlign w:val="center"/>
          </w:tcPr>
          <w:p w14:paraId="601C0F95">
            <w:pPr>
              <w:rPr>
                <w:rFonts w:hint="eastAsia" w:ascii="仿宋" w:hAnsi="仿宋" w:eastAsia="仿宋" w:cs="仿宋"/>
                <w:sz w:val="24"/>
                <w:szCs w:val="24"/>
              </w:rPr>
            </w:pPr>
            <w:r>
              <w:rPr>
                <w:rFonts w:hint="eastAsia" w:ascii="仿宋" w:hAnsi="仿宋" w:eastAsia="仿宋" w:cs="仿宋"/>
                <w:sz w:val="24"/>
                <w:szCs w:val="24"/>
                <w:lang w:eastAsia="zh-CN"/>
              </w:rPr>
              <w:t>安宁市第一人民医院</w:t>
            </w:r>
            <w:r>
              <w:rPr>
                <w:rFonts w:hint="eastAsia" w:ascii="仿宋" w:hAnsi="仿宋" w:eastAsia="仿宋" w:cs="仿宋"/>
                <w:sz w:val="24"/>
                <w:szCs w:val="24"/>
              </w:rPr>
              <w:t>，业主指定地点</w:t>
            </w:r>
          </w:p>
        </w:tc>
      </w:tr>
      <w:tr w14:paraId="3FE0E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noWrap w:val="0"/>
            <w:vAlign w:val="center"/>
          </w:tcPr>
          <w:p w14:paraId="1B986DAA">
            <w:pPr>
              <w:jc w:val="center"/>
              <w:rPr>
                <w:rFonts w:hint="eastAsia" w:ascii="仿宋" w:hAnsi="仿宋" w:eastAsia="仿宋" w:cs="仿宋"/>
                <w:sz w:val="24"/>
                <w:szCs w:val="24"/>
              </w:rPr>
            </w:pPr>
            <w:r>
              <w:rPr>
                <w:rFonts w:hint="eastAsia" w:ascii="仿宋" w:hAnsi="仿宋" w:eastAsia="仿宋" w:cs="仿宋"/>
                <w:sz w:val="24"/>
                <w:szCs w:val="24"/>
              </w:rPr>
              <w:t>3</w:t>
            </w:r>
          </w:p>
        </w:tc>
        <w:tc>
          <w:tcPr>
            <w:tcW w:w="1560" w:type="dxa"/>
            <w:noWrap w:val="0"/>
            <w:vAlign w:val="center"/>
          </w:tcPr>
          <w:p w14:paraId="4683FACB">
            <w:pPr>
              <w:jc w:val="center"/>
              <w:rPr>
                <w:rFonts w:hint="eastAsia" w:ascii="仿宋" w:hAnsi="仿宋" w:eastAsia="仿宋" w:cs="仿宋"/>
                <w:sz w:val="24"/>
                <w:szCs w:val="24"/>
              </w:rPr>
            </w:pPr>
            <w:r>
              <w:rPr>
                <w:rFonts w:hint="eastAsia" w:ascii="仿宋" w:hAnsi="仿宋" w:eastAsia="仿宋" w:cs="仿宋"/>
                <w:sz w:val="24"/>
                <w:szCs w:val="24"/>
              </w:rPr>
              <w:t>交货方式</w:t>
            </w:r>
          </w:p>
        </w:tc>
        <w:tc>
          <w:tcPr>
            <w:tcW w:w="7299" w:type="dxa"/>
            <w:noWrap w:val="0"/>
            <w:vAlign w:val="center"/>
          </w:tcPr>
          <w:p w14:paraId="78703B12">
            <w:pPr>
              <w:rPr>
                <w:rFonts w:hint="eastAsia" w:ascii="仿宋" w:hAnsi="仿宋" w:eastAsia="仿宋" w:cs="仿宋"/>
                <w:sz w:val="24"/>
                <w:szCs w:val="24"/>
              </w:rPr>
            </w:pPr>
            <w:r>
              <w:rPr>
                <w:rFonts w:hint="eastAsia" w:ascii="仿宋" w:hAnsi="仿宋" w:eastAsia="仿宋" w:cs="仿宋"/>
                <w:sz w:val="24"/>
                <w:szCs w:val="24"/>
              </w:rPr>
              <w:t>现场交货</w:t>
            </w:r>
          </w:p>
        </w:tc>
      </w:tr>
      <w:tr w14:paraId="59D59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2" w:type="dxa"/>
            <w:tcBorders>
              <w:top w:val="single" w:color="auto" w:sz="4" w:space="0"/>
              <w:left w:val="single" w:color="auto" w:sz="4" w:space="0"/>
              <w:bottom w:val="single" w:color="auto" w:sz="4" w:space="0"/>
              <w:right w:val="single" w:color="auto" w:sz="4" w:space="0"/>
            </w:tcBorders>
            <w:noWrap w:val="0"/>
            <w:vAlign w:val="center"/>
          </w:tcPr>
          <w:p w14:paraId="0126E120">
            <w:pPr>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4</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4688644F">
            <w:pPr>
              <w:jc w:val="center"/>
              <w:rPr>
                <w:rFonts w:hint="eastAsia" w:ascii="仿宋" w:hAnsi="仿宋" w:eastAsia="仿宋" w:cs="仿宋"/>
                <w:sz w:val="24"/>
                <w:szCs w:val="24"/>
              </w:rPr>
            </w:pPr>
            <w:r>
              <w:rPr>
                <w:rFonts w:hint="eastAsia" w:ascii="仿宋" w:hAnsi="仿宋" w:eastAsia="仿宋" w:cs="仿宋"/>
                <w:sz w:val="24"/>
                <w:szCs w:val="24"/>
              </w:rPr>
              <w:t>质量保证</w:t>
            </w:r>
          </w:p>
        </w:tc>
        <w:tc>
          <w:tcPr>
            <w:tcW w:w="7299" w:type="dxa"/>
            <w:tcBorders>
              <w:top w:val="single" w:color="auto" w:sz="4" w:space="0"/>
              <w:left w:val="single" w:color="auto" w:sz="4" w:space="0"/>
              <w:bottom w:val="single" w:color="auto" w:sz="4" w:space="0"/>
              <w:right w:val="single" w:color="auto" w:sz="4" w:space="0"/>
            </w:tcBorders>
            <w:noWrap w:val="0"/>
            <w:vAlign w:val="center"/>
          </w:tcPr>
          <w:p w14:paraId="749B85B6">
            <w:pPr>
              <w:rPr>
                <w:rFonts w:hint="eastAsia" w:ascii="仿宋" w:hAnsi="仿宋" w:eastAsia="仿宋" w:cs="仿宋"/>
                <w:sz w:val="24"/>
                <w:szCs w:val="24"/>
              </w:rPr>
            </w:pPr>
          </w:p>
        </w:tc>
      </w:tr>
    </w:tbl>
    <w:p w14:paraId="31A1EA9F">
      <w:pPr>
        <w:spacing w:line="400" w:lineRule="exact"/>
        <w:ind w:left="357" w:right="-109" w:rightChars="-52"/>
        <w:jc w:val="left"/>
        <w:rPr>
          <w:rFonts w:hint="eastAsia" w:ascii="仿宋" w:hAnsi="仿宋" w:eastAsia="仿宋" w:cs="仿宋"/>
          <w:b/>
          <w:sz w:val="24"/>
          <w:szCs w:val="24"/>
        </w:rPr>
      </w:pPr>
      <w:r>
        <w:rPr>
          <w:rFonts w:hint="eastAsia" w:ascii="仿宋" w:hAnsi="仿宋" w:eastAsia="仿宋" w:cs="仿宋"/>
          <w:b/>
          <w:sz w:val="24"/>
          <w:szCs w:val="24"/>
        </w:rPr>
        <w:t>注：合同基本格式及主要条款以中标人与招标人最终协商确定的合同格式为准。</w:t>
      </w:r>
    </w:p>
    <w:p w14:paraId="3A71A811">
      <w:pPr>
        <w:pStyle w:val="7"/>
        <w:jc w:val="center"/>
        <w:rPr>
          <w:rFonts w:hint="eastAsia" w:ascii="仿宋" w:hAnsi="仿宋" w:eastAsia="仿宋" w:cs="仿宋"/>
          <w:b/>
          <w:bCs/>
          <w:color w:val="auto"/>
          <w:sz w:val="24"/>
          <w:szCs w:val="24"/>
          <w:highlight w:val="none"/>
          <w:lang w:val="en-US" w:eastAsia="zh-CN"/>
        </w:rPr>
      </w:pPr>
    </w:p>
    <w:p w14:paraId="274C42A5">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EF6ECC5">
      <w:pPr>
        <w:keepNext w:val="0"/>
        <w:keepLines w:val="0"/>
        <w:pageBreakBefore w:val="0"/>
        <w:kinsoku/>
        <w:wordWrap/>
        <w:overflowPunct/>
        <w:topLinePunct w:val="0"/>
        <w:autoSpaceDE/>
        <w:autoSpaceDN/>
        <w:bidi w:val="0"/>
        <w:adjustRightInd/>
        <w:snapToGrid w:val="0"/>
        <w:spacing w:line="360" w:lineRule="auto"/>
        <w:ind w:firstLine="40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sz w:val="20"/>
          <w:szCs w:val="20"/>
        </w:rPr>
        <w:t>（注：本合同样式仅供参考，签订合同时招标人与成交人根据具体实际情况适实调整制定合同）</w:t>
      </w:r>
    </w:p>
    <w:p w14:paraId="5C5C4FA2">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0BFBB7B2">
      <w:pPr>
        <w:tabs>
          <w:tab w:val="left" w:pos="360"/>
        </w:tabs>
        <w:jc w:val="center"/>
        <w:outlineLvl w:val="9"/>
        <w:rPr>
          <w:rFonts w:hint="eastAsia" w:ascii="仿宋" w:hAnsi="仿宋" w:eastAsia="仿宋" w:cs="仿宋"/>
        </w:rPr>
      </w:pPr>
      <w:r>
        <w:rPr>
          <w:rFonts w:hint="eastAsia" w:ascii="仿宋" w:hAnsi="仿宋" w:eastAsia="仿宋" w:cs="仿宋"/>
          <w:b/>
          <w:color w:val="000000"/>
          <w:sz w:val="36"/>
          <w:szCs w:val="36"/>
        </w:rPr>
        <w:t>安宁市第一人民医院神经外科专科手术器械及神经监护系统购置项目购销合同</w:t>
      </w:r>
    </w:p>
    <w:p w14:paraId="3FCE842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4D8B397D">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6CC95C6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34F839C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甲方（采购人）名称：</w:t>
      </w:r>
      <w:r>
        <w:rPr>
          <w:rFonts w:hint="eastAsia" w:ascii="仿宋" w:hAnsi="仿宋" w:eastAsia="仿宋" w:cs="仿宋"/>
          <w:color w:val="auto"/>
          <w:sz w:val="24"/>
          <w:szCs w:val="24"/>
          <w:highlight w:val="none"/>
          <w:lang w:val="en-US" w:eastAsia="zh-CN"/>
        </w:rPr>
        <w:t>安宁市第一人民医院</w:t>
      </w:r>
      <w:r>
        <w:rPr>
          <w:rFonts w:hint="eastAsia" w:ascii="仿宋" w:hAnsi="仿宋" w:eastAsia="仿宋" w:cs="仿宋"/>
          <w:color w:val="auto"/>
          <w:sz w:val="24"/>
          <w:szCs w:val="24"/>
          <w:highlight w:val="none"/>
        </w:rPr>
        <w:t xml:space="preserve"> </w:t>
      </w:r>
    </w:p>
    <w:p w14:paraId="36199A31">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val="en-US" w:eastAsia="zh-CN"/>
        </w:rPr>
        <w:t>安宁市金方街道望湖居民委员会钢河南路2号</w:t>
      </w:r>
    </w:p>
    <w:p w14:paraId="3BC97089">
      <w:pPr>
        <w:widowControl/>
        <w:adjustRightInd w:val="0"/>
        <w:snapToGrid w:val="0"/>
        <w:spacing w:line="360" w:lineRule="auto"/>
        <w:ind w:firstLine="480" w:firstLineChars="200"/>
        <w:jc w:val="lef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rPr>
        <w:t>邮 编：</w:t>
      </w:r>
    </w:p>
    <w:p w14:paraId="58ECF3B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p>
    <w:p w14:paraId="012D320A">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项目（技术）负责人：</w:t>
      </w:r>
    </w:p>
    <w:p w14:paraId="248FB5FB">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u w:val="none"/>
          <w:lang w:val="en-US" w:eastAsia="zh-CN"/>
        </w:rPr>
        <w:t>0871-68399067</w:t>
      </w:r>
    </w:p>
    <w:p w14:paraId="2D9A496F">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签订日期：</w:t>
      </w:r>
    </w:p>
    <w:p w14:paraId="6A7F5E5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6493138D">
      <w:pPr>
        <w:pStyle w:val="7"/>
        <w:rPr>
          <w:rFonts w:hint="eastAsia" w:ascii="仿宋" w:hAnsi="仿宋" w:eastAsia="仿宋" w:cs="仿宋"/>
          <w:color w:val="auto"/>
          <w:sz w:val="24"/>
          <w:szCs w:val="24"/>
          <w:highlight w:val="none"/>
        </w:rPr>
      </w:pPr>
    </w:p>
    <w:p w14:paraId="13C4C938">
      <w:pPr>
        <w:pStyle w:val="7"/>
        <w:rPr>
          <w:rFonts w:hint="eastAsia" w:ascii="仿宋" w:hAnsi="仿宋" w:eastAsia="仿宋" w:cs="仿宋"/>
          <w:color w:val="auto"/>
          <w:sz w:val="24"/>
          <w:szCs w:val="24"/>
          <w:highlight w:val="none"/>
        </w:rPr>
      </w:pPr>
    </w:p>
    <w:p w14:paraId="293A002F">
      <w:pPr>
        <w:pStyle w:val="7"/>
        <w:rPr>
          <w:rFonts w:hint="eastAsia" w:ascii="仿宋" w:hAnsi="仿宋" w:eastAsia="仿宋" w:cs="仿宋"/>
          <w:color w:val="auto"/>
          <w:sz w:val="24"/>
          <w:szCs w:val="24"/>
          <w:highlight w:val="none"/>
        </w:rPr>
      </w:pPr>
    </w:p>
    <w:p w14:paraId="33F7CACD">
      <w:pPr>
        <w:pStyle w:val="17"/>
        <w:rPr>
          <w:rFonts w:hint="eastAsia" w:ascii="仿宋" w:hAnsi="仿宋" w:eastAsia="仿宋" w:cs="仿宋"/>
          <w:color w:val="auto"/>
          <w:sz w:val="24"/>
          <w:szCs w:val="24"/>
          <w:highlight w:val="none"/>
        </w:rPr>
      </w:pPr>
    </w:p>
    <w:p w14:paraId="6FBA315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乙方（中标人）名称：</w:t>
      </w:r>
    </w:p>
    <w:p w14:paraId="26F504F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p>
    <w:p w14:paraId="39784338">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14C1B00C">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p>
    <w:p w14:paraId="4AEF1D2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经办人：</w:t>
      </w:r>
    </w:p>
    <w:p w14:paraId="72347A74">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2A3AB73E">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签订日期：</w:t>
      </w:r>
    </w:p>
    <w:p w14:paraId="21CB2B84">
      <w:pPr>
        <w:spacing w:line="360" w:lineRule="auto"/>
        <w:rPr>
          <w:rFonts w:hint="eastAsia" w:ascii="仿宋" w:hAnsi="仿宋" w:eastAsia="仿宋" w:cs="仿宋"/>
          <w:color w:val="auto"/>
          <w:szCs w:val="21"/>
          <w:highlight w:val="none"/>
        </w:rPr>
      </w:pPr>
    </w:p>
    <w:p w14:paraId="6AF5D179">
      <w:pPr>
        <w:tabs>
          <w:tab w:val="left" w:pos="720"/>
        </w:tabs>
        <w:spacing w:line="360" w:lineRule="auto"/>
        <w:ind w:firstLine="420" w:firstLineChars="200"/>
        <w:textAlignment w:val="top"/>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543BDD0C">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val="en-US" w:eastAsia="zh-CN"/>
        </w:rPr>
        <w:t>安宁市第一人民医院</w:t>
      </w:r>
    </w:p>
    <w:p w14:paraId="1106118F">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乙方：（中标人全称）</w:t>
      </w:r>
    </w:p>
    <w:p w14:paraId="3027C109">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甲乙双方根据《中华人民共和国政府采购法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中华人民共和国政府采购法实施条例</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政府采购货物和服务招标投标管理办法》（财政部令第87号）《中华人民共和国民法典》等相关法律规定及公开招标采购结果，经双方协定达成一致，签订以下内容：</w:t>
      </w:r>
    </w:p>
    <w:p w14:paraId="116E18CF">
      <w:pPr>
        <w:tabs>
          <w:tab w:val="left" w:pos="720"/>
        </w:tabs>
        <w:spacing w:line="360" w:lineRule="auto"/>
        <w:ind w:firstLine="482" w:firstLineChars="200"/>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一、产品名称、品牌、型号规格、技术参数和数量、单价、总价</w:t>
      </w:r>
      <w:r>
        <w:rPr>
          <w:rFonts w:hint="eastAsia" w:ascii="仿宋" w:hAnsi="仿宋" w:eastAsia="仿宋" w:cs="仿宋"/>
          <w:color w:val="auto"/>
          <w:sz w:val="24"/>
          <w:szCs w:val="24"/>
          <w:highlight w:val="none"/>
        </w:rPr>
        <w:t>：</w:t>
      </w:r>
    </w:p>
    <w:tbl>
      <w:tblPr>
        <w:tblStyle w:val="2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3"/>
        <w:gridCol w:w="1606"/>
        <w:gridCol w:w="1606"/>
        <w:gridCol w:w="1101"/>
        <w:gridCol w:w="873"/>
        <w:gridCol w:w="1738"/>
      </w:tblGrid>
      <w:tr w14:paraId="4322F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3" w:type="dxa"/>
            <w:vAlign w:val="center"/>
          </w:tcPr>
          <w:p w14:paraId="0521646C">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产品名称</w:t>
            </w:r>
          </w:p>
        </w:tc>
        <w:tc>
          <w:tcPr>
            <w:tcW w:w="1606" w:type="dxa"/>
            <w:vAlign w:val="center"/>
          </w:tcPr>
          <w:p w14:paraId="218C8623">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品牌</w:t>
            </w:r>
          </w:p>
        </w:tc>
        <w:tc>
          <w:tcPr>
            <w:tcW w:w="1606" w:type="dxa"/>
            <w:vAlign w:val="center"/>
          </w:tcPr>
          <w:p w14:paraId="52E84B8A">
            <w:pPr>
              <w:tabs>
                <w:tab w:val="left" w:pos="720"/>
              </w:tabs>
              <w:spacing w:line="360" w:lineRule="auto"/>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规格（技术参数、性能要求）</w:t>
            </w:r>
          </w:p>
        </w:tc>
        <w:tc>
          <w:tcPr>
            <w:tcW w:w="1101" w:type="dxa"/>
            <w:vAlign w:val="center"/>
          </w:tcPr>
          <w:p w14:paraId="1D918569">
            <w:pPr>
              <w:tabs>
                <w:tab w:val="left" w:pos="720"/>
              </w:tabs>
              <w:spacing w:line="360" w:lineRule="auto"/>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数量</w:t>
            </w:r>
          </w:p>
        </w:tc>
        <w:tc>
          <w:tcPr>
            <w:tcW w:w="873" w:type="dxa"/>
            <w:vAlign w:val="center"/>
          </w:tcPr>
          <w:p w14:paraId="5E3442B4">
            <w:pPr>
              <w:tabs>
                <w:tab w:val="left" w:pos="720"/>
              </w:tabs>
              <w:spacing w:line="360" w:lineRule="auto"/>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单位</w:t>
            </w:r>
          </w:p>
        </w:tc>
        <w:tc>
          <w:tcPr>
            <w:tcW w:w="1738" w:type="dxa"/>
            <w:vAlign w:val="center"/>
          </w:tcPr>
          <w:p w14:paraId="32C342D3">
            <w:pPr>
              <w:tabs>
                <w:tab w:val="left" w:pos="720"/>
              </w:tabs>
              <w:spacing w:line="360" w:lineRule="auto"/>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合同单价（元）</w:t>
            </w:r>
          </w:p>
        </w:tc>
      </w:tr>
      <w:tr w14:paraId="76035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3" w:type="dxa"/>
          </w:tcPr>
          <w:p w14:paraId="387BF31D">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606" w:type="dxa"/>
          </w:tcPr>
          <w:p w14:paraId="3BDA59F6">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606" w:type="dxa"/>
          </w:tcPr>
          <w:p w14:paraId="24B662D2">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101" w:type="dxa"/>
          </w:tcPr>
          <w:p w14:paraId="58730F2C">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873" w:type="dxa"/>
          </w:tcPr>
          <w:p w14:paraId="2F105C67">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738" w:type="dxa"/>
          </w:tcPr>
          <w:p w14:paraId="00AB9856">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r>
      <w:tr w14:paraId="78A52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3" w:type="dxa"/>
          </w:tcPr>
          <w:p w14:paraId="4DAB2928">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606" w:type="dxa"/>
          </w:tcPr>
          <w:p w14:paraId="7E9056D3">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606" w:type="dxa"/>
          </w:tcPr>
          <w:p w14:paraId="2F4C5374">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101" w:type="dxa"/>
          </w:tcPr>
          <w:p w14:paraId="13F7922E">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873" w:type="dxa"/>
          </w:tcPr>
          <w:p w14:paraId="47DF0271">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738" w:type="dxa"/>
          </w:tcPr>
          <w:p w14:paraId="3054C6E7">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r>
      <w:tr w14:paraId="08F89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3" w:type="dxa"/>
          </w:tcPr>
          <w:p w14:paraId="6DEA70EB">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606" w:type="dxa"/>
          </w:tcPr>
          <w:p w14:paraId="00FE357B">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606" w:type="dxa"/>
          </w:tcPr>
          <w:p w14:paraId="26604359">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101" w:type="dxa"/>
          </w:tcPr>
          <w:p w14:paraId="48A0125C">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873" w:type="dxa"/>
          </w:tcPr>
          <w:p w14:paraId="7E95E8EB">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738" w:type="dxa"/>
          </w:tcPr>
          <w:p w14:paraId="248F6CF9">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r>
      <w:tr w14:paraId="29B97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3" w:type="dxa"/>
          </w:tcPr>
          <w:p w14:paraId="6AC343EB">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总价（大写）</w:t>
            </w:r>
          </w:p>
        </w:tc>
        <w:tc>
          <w:tcPr>
            <w:tcW w:w="3212" w:type="dxa"/>
            <w:gridSpan w:val="2"/>
          </w:tcPr>
          <w:p w14:paraId="269BE47D">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c>
          <w:tcPr>
            <w:tcW w:w="1101" w:type="dxa"/>
          </w:tcPr>
          <w:p w14:paraId="17566399">
            <w:pPr>
              <w:tabs>
                <w:tab w:val="left" w:pos="720"/>
              </w:tabs>
              <w:spacing w:line="360" w:lineRule="auto"/>
              <w:textAlignment w:val="top"/>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小写（元）</w:t>
            </w:r>
          </w:p>
        </w:tc>
        <w:tc>
          <w:tcPr>
            <w:tcW w:w="2611" w:type="dxa"/>
            <w:gridSpan w:val="2"/>
          </w:tcPr>
          <w:p w14:paraId="1EEB540C">
            <w:pPr>
              <w:tabs>
                <w:tab w:val="left" w:pos="720"/>
              </w:tabs>
              <w:spacing w:line="360" w:lineRule="auto"/>
              <w:ind w:firstLine="420" w:firstLineChars="200"/>
              <w:textAlignment w:val="top"/>
              <w:rPr>
                <w:rFonts w:hint="eastAsia" w:ascii="仿宋" w:hAnsi="仿宋" w:eastAsia="仿宋" w:cs="仿宋"/>
                <w:color w:val="auto"/>
                <w:sz w:val="21"/>
                <w:szCs w:val="21"/>
                <w:highlight w:val="none"/>
              </w:rPr>
            </w:pPr>
          </w:p>
        </w:tc>
      </w:tr>
    </w:tbl>
    <w:p w14:paraId="3B4A994D">
      <w:pPr>
        <w:tabs>
          <w:tab w:val="left" w:pos="720"/>
        </w:tabs>
        <w:spacing w:line="360" w:lineRule="auto"/>
        <w:ind w:firstLine="482" w:firstLineChars="200"/>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二、产品使用要求</w:t>
      </w:r>
    </w:p>
    <w:p w14:paraId="294519BD">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产品使用符合               标准，并满足甲方技术要求。</w:t>
      </w:r>
    </w:p>
    <w:p w14:paraId="675D8444">
      <w:pPr>
        <w:tabs>
          <w:tab w:val="left" w:pos="720"/>
        </w:tabs>
        <w:spacing w:line="360" w:lineRule="auto"/>
        <w:ind w:firstLine="482" w:firstLineChars="200"/>
        <w:textAlignment w:val="top"/>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三、合同总价（大写）</w:t>
      </w:r>
      <w:r>
        <w:rPr>
          <w:rFonts w:hint="eastAsia" w:ascii="仿宋" w:hAnsi="仿宋" w:eastAsia="仿宋" w:cs="仿宋"/>
          <w:color w:val="auto"/>
          <w:sz w:val="24"/>
          <w:szCs w:val="24"/>
          <w:highlight w:val="none"/>
        </w:rPr>
        <w:t>：               （人民币  元），  小写：         元。</w:t>
      </w:r>
    </w:p>
    <w:p w14:paraId="2CE3E800">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支付方式：供货结束，所有材料、手续齐全交采购方查验合格后完成付款。</w:t>
      </w:r>
    </w:p>
    <w:p w14:paraId="4BA797AC">
      <w:pPr>
        <w:tabs>
          <w:tab w:val="left" w:pos="720"/>
        </w:tabs>
        <w:spacing w:line="360" w:lineRule="auto"/>
        <w:ind w:firstLine="482" w:firstLineChars="200"/>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四、甲乙双方的权利和义务</w:t>
      </w:r>
    </w:p>
    <w:p w14:paraId="242C5D81">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（一）甲方的权利和义务</w:t>
      </w:r>
    </w:p>
    <w:p w14:paraId="3EFA357A">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1、负责合同签订后项目实施的工作（如与乙方的具体联系和</w:t>
      </w:r>
      <w:r>
        <w:rPr>
          <w:rFonts w:hint="eastAsia" w:ascii="仿宋" w:hAnsi="仿宋" w:eastAsia="仿宋" w:cs="仿宋"/>
          <w:color w:val="auto"/>
          <w:sz w:val="24"/>
          <w:szCs w:val="24"/>
          <w:highlight w:val="none"/>
          <w:lang w:eastAsia="zh-CN"/>
        </w:rPr>
        <w:t>衔接</w:t>
      </w:r>
      <w:r>
        <w:rPr>
          <w:rFonts w:hint="eastAsia" w:ascii="仿宋" w:hAnsi="仿宋" w:eastAsia="仿宋" w:cs="仿宋"/>
          <w:color w:val="auto"/>
          <w:sz w:val="24"/>
          <w:szCs w:val="24"/>
          <w:highlight w:val="none"/>
        </w:rPr>
        <w:t>，现场交货时配备人员进行监管控制）；</w:t>
      </w:r>
    </w:p>
    <w:p w14:paraId="33F81BD7">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2、负责提供产品交付所必需的场地和环境；</w:t>
      </w:r>
    </w:p>
    <w:p w14:paraId="52658CA8">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3、负责组织成立验收小组对产品和项目进行验收并签署验收报告；</w:t>
      </w:r>
    </w:p>
    <w:p w14:paraId="52D0309F">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4、按合同规定享有乙方提供的产品服务。</w:t>
      </w:r>
    </w:p>
    <w:p w14:paraId="1321D995">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（二）乙方的权利和义务</w:t>
      </w:r>
    </w:p>
    <w:p w14:paraId="24EDA60C">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1、乙方保证按本合同一、二、三条款负责完成甲方项目，并保证提供的产品是全新、符合招标文件规定、具有国家有关部门注册并符合国家质量检测标准和产品出厂标准的产品；产品质保期为（   ）年。具体服务：质保期内，乙方对问题产品提供全免费更换；</w:t>
      </w:r>
    </w:p>
    <w:p w14:paraId="6C1F3FC0">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2、保证甲方在合同产品使用期间不受第三方提出侵犯其专利权、商标权和工业设计权的起诉；</w:t>
      </w:r>
    </w:p>
    <w:p w14:paraId="4FAD2672">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3、严格遵守投标过程中所承诺的一切规定和条款；</w:t>
      </w:r>
    </w:p>
    <w:p w14:paraId="78662E88">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4、与甲方共同进行产品和项目的验收；</w:t>
      </w:r>
    </w:p>
    <w:p w14:paraId="715DABE7">
      <w:pPr>
        <w:tabs>
          <w:tab w:val="left" w:pos="720"/>
        </w:tabs>
        <w:spacing w:line="360" w:lineRule="auto"/>
        <w:ind w:firstLine="480" w:firstLineChars="200"/>
        <w:textAlignment w:val="top"/>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5、不得拒绝接受甲方的监督检查。</w:t>
      </w:r>
    </w:p>
    <w:p w14:paraId="3CD5E443">
      <w:pPr>
        <w:tabs>
          <w:tab w:val="left" w:pos="720"/>
        </w:tabs>
        <w:spacing w:line="360" w:lineRule="auto"/>
        <w:ind w:firstLine="482" w:firstLineChars="200"/>
        <w:textAlignment w:val="top"/>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五、以上内容与甲方采购确认和乙方中标承诺情况一致（或中标产品的技术及服务保证甲方正常使用）。</w:t>
      </w:r>
    </w:p>
    <w:p w14:paraId="1A68A875">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六、技术培训</w:t>
      </w:r>
      <w:r>
        <w:rPr>
          <w:rFonts w:hint="eastAsia" w:ascii="仿宋" w:hAnsi="仿宋" w:eastAsia="仿宋" w:cs="仿宋"/>
          <w:b/>
          <w:color w:val="auto"/>
          <w:sz w:val="24"/>
          <w:szCs w:val="24"/>
          <w:highlight w:val="none"/>
        </w:rPr>
        <w:t>：</w:t>
      </w:r>
    </w:p>
    <w:p w14:paraId="48FA4547">
      <w:pPr>
        <w:widowControl/>
        <w:spacing w:line="360" w:lineRule="auto"/>
        <w:ind w:left="420" w:leftChars="200" w:firstLine="120" w:firstLineChars="50"/>
        <w:rPr>
          <w:rFonts w:hint="eastAsia" w:ascii="仿宋" w:hAnsi="仿宋" w:eastAsia="仿宋" w:cs="仿宋"/>
          <w:sz w:val="24"/>
        </w:rPr>
      </w:pPr>
      <w:r>
        <w:rPr>
          <w:rFonts w:hint="eastAsia" w:ascii="仿宋" w:hAnsi="仿宋" w:eastAsia="仿宋" w:cs="仿宋"/>
          <w:sz w:val="24"/>
        </w:rPr>
        <w:t>1、乙方向甲方提供</w:t>
      </w:r>
      <w:r>
        <w:rPr>
          <w:rFonts w:hint="eastAsia" w:ascii="仿宋" w:hAnsi="仿宋" w:eastAsia="仿宋" w:cs="仿宋"/>
          <w:sz w:val="24"/>
          <w:u w:val="single"/>
        </w:rPr>
        <w:t xml:space="preserve">    </w:t>
      </w:r>
      <w:r>
        <w:rPr>
          <w:rFonts w:hint="eastAsia" w:ascii="仿宋" w:hAnsi="仿宋" w:eastAsia="仿宋" w:cs="仿宋"/>
          <w:sz w:val="24"/>
        </w:rPr>
        <w:t>天的设备使用人员现场例行免费培训，直至使用人员及工程师能完全掌握使用方法，独立完成操作为止。培训内容包括设备的调试、使用、一般的维修、维护及保养等；食宿自理（各自负责）。</w:t>
      </w:r>
    </w:p>
    <w:p w14:paraId="192A6F14">
      <w:pPr>
        <w:widowControl/>
        <w:spacing w:line="360" w:lineRule="auto"/>
        <w:ind w:left="420" w:leftChars="200" w:firstLine="120" w:firstLineChars="50"/>
        <w:jc w:val="left"/>
        <w:rPr>
          <w:rFonts w:hint="eastAsia" w:ascii="仿宋" w:hAnsi="仿宋" w:eastAsia="仿宋" w:cs="仿宋"/>
          <w:sz w:val="24"/>
        </w:rPr>
      </w:pPr>
      <w:r>
        <w:rPr>
          <w:rFonts w:hint="eastAsia" w:ascii="仿宋" w:hAnsi="仿宋" w:eastAsia="仿宋" w:cs="仿宋"/>
          <w:sz w:val="24"/>
        </w:rPr>
        <w:t xml:space="preserve">2、若招投标文件对某些大型仪器设备的技术培训有特殊要求的，乙方还应出资对甲方技术人员进行外地培训，甲方人员交通、食宿及培训等费用由乙方负责。培训天数为_______天，人员  </w:t>
      </w:r>
      <w:r>
        <w:rPr>
          <w:rFonts w:hint="eastAsia" w:ascii="仿宋" w:hAnsi="仿宋" w:eastAsia="仿宋" w:cs="仿宋"/>
          <w:sz w:val="24"/>
          <w:u w:val="single"/>
        </w:rPr>
        <w:t xml:space="preserve">     </w:t>
      </w:r>
      <w:r>
        <w:rPr>
          <w:rFonts w:hint="eastAsia" w:ascii="仿宋" w:hAnsi="仿宋" w:eastAsia="仿宋" w:cs="仿宋"/>
          <w:sz w:val="24"/>
        </w:rPr>
        <w:t>____人，地点为_____________ 。</w:t>
      </w:r>
    </w:p>
    <w:p w14:paraId="3695B43D">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七、甲方在产品使用过程中发生技术质量问题，乙方应提供及时有效的技术支持。</w:t>
      </w:r>
    </w:p>
    <w:p w14:paraId="6A390099">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乙方技术支持电话：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11371C3">
      <w:pP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八、整体项目完成时间（即产品送达甲方指定地点时间）为合同签订生效后          日内。</w:t>
      </w:r>
    </w:p>
    <w:p w14:paraId="77156C7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交验地点和方式：供应商对所供医用耗材应适当备货，确保采购人需要。采购人下达的采购计划应在3天内供货到位，最长不超过7天，临时采购计划在规定的时间内供货，急诊或急救耗材必须保证6小时内供货到位，不得因供货不急时影响采购人正常医疗工作。</w:t>
      </w:r>
    </w:p>
    <w:p w14:paraId="00E8EAA9">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交货地点：</w:t>
      </w:r>
      <w:r>
        <w:rPr>
          <w:rFonts w:hint="eastAsia" w:ascii="仿宋" w:hAnsi="仿宋" w:eastAsia="仿宋" w:cs="仿宋"/>
          <w:color w:val="auto"/>
          <w:sz w:val="24"/>
          <w:szCs w:val="24"/>
          <w:highlight w:val="none"/>
          <w:lang w:eastAsia="zh-CN"/>
        </w:rPr>
        <w:t>安宁市第一人民医院</w:t>
      </w:r>
      <w:r>
        <w:rPr>
          <w:rFonts w:hint="eastAsia" w:ascii="仿宋" w:hAnsi="仿宋" w:eastAsia="仿宋" w:cs="仿宋"/>
          <w:color w:val="auto"/>
          <w:sz w:val="24"/>
          <w:szCs w:val="24"/>
          <w:highlight w:val="none"/>
        </w:rPr>
        <w:t>指定地点。</w:t>
      </w:r>
    </w:p>
    <w:p w14:paraId="78A46665">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交货方式要求：现场交货</w:t>
      </w:r>
    </w:p>
    <w:p w14:paraId="0C84B7FF">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质量要求：产品及服务质量符合国家、地方相关标准并满足采购人要求。投标人提供的产品应是最新生产且检验合格的产品，产品签收时间去除必要的质检和运输时间，到货后质剩余质保时间须不低于额定质保期的四分之三。</w:t>
      </w:r>
    </w:p>
    <w:p w14:paraId="164B1DA7">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九、验收及验收标准</w:t>
      </w:r>
    </w:p>
    <w:p w14:paraId="43818877">
      <w:pPr>
        <w:spacing w:line="360" w:lineRule="auto"/>
        <w:ind w:firstLine="480" w:firstLineChars="200"/>
        <w:rPr>
          <w:rFonts w:hint="eastAsia" w:ascii="仿宋" w:hAnsi="仿宋" w:eastAsia="仿宋" w:cs="仿宋"/>
          <w:sz w:val="24"/>
          <w:lang w:bidi="ar"/>
        </w:rPr>
      </w:pPr>
      <w:r>
        <w:rPr>
          <w:rFonts w:hint="eastAsia" w:ascii="仿宋" w:hAnsi="仿宋" w:eastAsia="仿宋" w:cs="仿宋"/>
          <w:sz w:val="24"/>
          <w:lang w:bidi="ar"/>
        </w:rPr>
        <w:t>1、到货验收：设备到达甲方指定地点后甲方统一初验是否符合项目及甲方要求。乙方应将所提供设备的装箱清单、配件、随机工具、用户使用手册、原厂保修卡等资料交付给甲方；乙方不能完整交付设备及本款规定的单证和工具的，必须负责补齐，否则视为未按合同约定交货。到货验收仅为产品外观有无破损的验收，不是产品运行和质量的验收。在此过程中，甲方发现设备及配件存在外观不符、破损、配件不齐等质量问题的，甲方有权拒收，并要求乙方及时做换新处理，由此发生的费用由乙方自行承担。</w:t>
      </w:r>
    </w:p>
    <w:p w14:paraId="0BFADEDD">
      <w:pPr>
        <w:spacing w:line="360" w:lineRule="auto"/>
        <w:ind w:firstLine="480" w:firstLineChars="200"/>
        <w:rPr>
          <w:rFonts w:hint="eastAsia" w:ascii="仿宋" w:hAnsi="仿宋" w:eastAsia="仿宋" w:cs="仿宋"/>
          <w:sz w:val="24"/>
          <w:lang w:bidi="ar"/>
        </w:rPr>
      </w:pPr>
      <w:r>
        <w:rPr>
          <w:rFonts w:hint="eastAsia" w:ascii="仿宋" w:hAnsi="仿宋" w:eastAsia="仿宋" w:cs="仿宋"/>
          <w:sz w:val="24"/>
          <w:lang w:bidi="ar"/>
        </w:rPr>
        <w:t>2、项目验收：乙方完成整个项目后，甲方测试是否合格并满足技术要求；验收合格后，甲乙双方共同在《验收报告》上签字盖章。</w:t>
      </w:r>
      <w:r>
        <w:rPr>
          <w:rFonts w:hint="eastAsia" w:ascii="仿宋" w:hAnsi="仿宋" w:eastAsia="仿宋" w:cs="仿宋"/>
          <w:color w:val="auto"/>
          <w:sz w:val="24"/>
          <w:szCs w:val="24"/>
          <w:highlight w:val="none"/>
        </w:rPr>
        <w:t>若发现不合格的货物，中标方必须在2天内予以更换。</w:t>
      </w:r>
      <w:r>
        <w:rPr>
          <w:rFonts w:hint="eastAsia" w:ascii="仿宋" w:hAnsi="仿宋" w:eastAsia="仿宋" w:cs="仿宋"/>
          <w:sz w:val="24"/>
          <w:lang w:bidi="ar"/>
        </w:rPr>
        <w:t>在货物最终验收后的质量保证期内，乙方应对由于设计、工艺或者材料的缺陷而发生的任何不足或故障负责，费用由乙方承担，并应向甲方承担延期交付违约责任。</w:t>
      </w:r>
    </w:p>
    <w:p w14:paraId="1EA26AF4">
      <w:pPr>
        <w:spacing w:line="360" w:lineRule="auto"/>
        <w:ind w:firstLine="480" w:firstLineChars="200"/>
        <w:rPr>
          <w:rFonts w:hint="eastAsia" w:ascii="仿宋" w:hAnsi="仿宋" w:eastAsia="仿宋" w:cs="仿宋"/>
          <w:color w:val="auto"/>
          <w:sz w:val="24"/>
          <w:szCs w:val="24"/>
          <w:highlight w:val="none"/>
        </w:rPr>
      </w:pPr>
    </w:p>
    <w:p w14:paraId="05440811">
      <w:pP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十、合同价款结算</w:t>
      </w:r>
    </w:p>
    <w:p w14:paraId="09B86131">
      <w:pPr>
        <w:tabs>
          <w:tab w:val="left" w:pos="6930"/>
        </w:tabs>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（一）合同生效</w:t>
      </w:r>
    </w:p>
    <w:p w14:paraId="71E5DAE3">
      <w:pPr>
        <w:tabs>
          <w:tab w:val="left" w:pos="693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乙方应根据招标文件要求缴纳履约保证金并签订合同后，合同正式生效。</w:t>
      </w:r>
    </w:p>
    <w:p w14:paraId="37E4855D">
      <w:pPr>
        <w:tabs>
          <w:tab w:val="left" w:pos="6930"/>
        </w:tabs>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（二）价款的结算</w:t>
      </w:r>
    </w:p>
    <w:p w14:paraId="13E6C5AD">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（具体付款条件及付款方式以采购人和中标人在合同谈判中双方商定的内容为准。）</w:t>
      </w:r>
    </w:p>
    <w:p w14:paraId="5F05ECF9">
      <w:pPr>
        <w:spacing w:line="360" w:lineRule="auto"/>
        <w:ind w:firstLine="482" w:firstLineChars="20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十一、违约责任</w:t>
      </w:r>
      <w:r>
        <w:rPr>
          <w:rFonts w:hint="eastAsia" w:ascii="仿宋" w:hAnsi="仿宋" w:eastAsia="仿宋" w:cs="仿宋"/>
          <w:b/>
          <w:color w:val="auto"/>
          <w:sz w:val="24"/>
          <w:szCs w:val="24"/>
          <w:highlight w:val="none"/>
        </w:rPr>
        <w:t>：</w:t>
      </w:r>
    </w:p>
    <w:p w14:paraId="7420DE6F">
      <w:pPr>
        <w:tabs>
          <w:tab w:val="left" w:pos="693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发生不可抗力事实外，乙方所交产品与合同标准不相符合的，甲方有权拒收；逾期交货将向甲方每日偿付合同总额千分之一的滞纳金。因乙方不能按期交付产品或与合同标准不符使甲方造成经济损失的应依法赔偿。</w:t>
      </w:r>
    </w:p>
    <w:p w14:paraId="174C7952">
      <w:pPr>
        <w:tabs>
          <w:tab w:val="left" w:pos="693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甲方无正当理由拒收产品，甲方向乙方偿付合同款总价</w:t>
      </w:r>
      <w:r>
        <w:rPr>
          <w:rFonts w:hint="eastAsia" w:ascii="仿宋" w:hAnsi="仿宋" w:eastAsia="仿宋" w:cs="仿宋"/>
          <w:color w:val="auto"/>
          <w:sz w:val="24"/>
          <w:szCs w:val="24"/>
          <w:highlight w:val="none"/>
          <w:lang w:eastAsia="zh-CN"/>
        </w:rPr>
        <w:t>5%</w:t>
      </w:r>
      <w:r>
        <w:rPr>
          <w:rFonts w:hint="eastAsia" w:ascii="仿宋" w:hAnsi="仿宋" w:eastAsia="仿宋" w:cs="仿宋"/>
          <w:color w:val="auto"/>
          <w:sz w:val="24"/>
          <w:szCs w:val="24"/>
          <w:highlight w:val="none"/>
        </w:rPr>
        <w:t>的违约金；逾期支付合同款将向乙方每日偿付欠款总额千分之一的滞纳金。</w:t>
      </w:r>
    </w:p>
    <w:p w14:paraId="58CD0D65">
      <w:pPr>
        <w:tabs>
          <w:tab w:val="left" w:pos="693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甲方有权拒付合同价以外的任何费用；乙方有权拒绝合同整体范围以外的条件。</w:t>
      </w:r>
    </w:p>
    <w:p w14:paraId="6ED9537B">
      <w:pPr>
        <w:tabs>
          <w:tab w:val="left" w:pos="6930"/>
        </w:tabs>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二、甲乙双方在履行合同过程中发生纠纷，应及时向有关管理部门反映，以便相关部门进行协调或处理；也可以直接向合同签订地仲裁部门申请仲裁。对仲裁结果发生争议产生的诉讼，由合同签订地人民法院管辖。</w:t>
      </w:r>
    </w:p>
    <w:p w14:paraId="7741C787">
      <w:pPr>
        <w:tabs>
          <w:tab w:val="left" w:pos="6930"/>
        </w:tabs>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十三、本合同其他未尽事宜，按国家有关规定处理。</w:t>
      </w:r>
    </w:p>
    <w:p w14:paraId="59445BC1">
      <w:pPr>
        <w:tabs>
          <w:tab w:val="left" w:pos="6930"/>
        </w:tabs>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十四、本合同一式   份，甲方   份，乙方   份。</w:t>
      </w:r>
    </w:p>
    <w:p w14:paraId="59035E45">
      <w:pP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十五、本合同自签订之日起生效。</w:t>
      </w:r>
    </w:p>
    <w:p w14:paraId="350F30CF">
      <w:pPr>
        <w:widowControl/>
        <w:spacing w:line="360" w:lineRule="auto"/>
        <w:ind w:left="382" w:leftChars="67" w:hanging="241" w:hangingChars="100"/>
        <w:rPr>
          <w:rFonts w:hint="eastAsia" w:ascii="仿宋" w:hAnsi="仿宋" w:eastAsia="仿宋" w:cs="仿宋"/>
          <w:sz w:val="24"/>
          <w:szCs w:val="24"/>
        </w:rPr>
      </w:pPr>
      <w:r>
        <w:rPr>
          <w:rFonts w:hint="eastAsia" w:ascii="仿宋" w:hAnsi="仿宋" w:eastAsia="仿宋" w:cs="仿宋"/>
          <w:b/>
          <w:bCs/>
          <w:sz w:val="24"/>
        </w:rPr>
        <w:t xml:space="preserve"> </w:t>
      </w:r>
      <w:r>
        <w:rPr>
          <w:rFonts w:hint="eastAsia" w:ascii="仿宋" w:hAnsi="仿宋" w:eastAsia="仿宋" w:cs="仿宋"/>
          <w:b/>
          <w:bCs/>
          <w:sz w:val="24"/>
          <w:szCs w:val="24"/>
          <w:lang w:val="en-US" w:eastAsia="zh-CN"/>
        </w:rPr>
        <w:t>十六</w:t>
      </w:r>
      <w:r>
        <w:rPr>
          <w:rFonts w:hint="eastAsia" w:ascii="仿宋" w:hAnsi="仿宋" w:eastAsia="仿宋" w:cs="仿宋"/>
          <w:b/>
          <w:bCs/>
          <w:sz w:val="24"/>
          <w:szCs w:val="24"/>
        </w:rPr>
        <w:t>、双方签字确认的配置清单及增配内容。</w:t>
      </w:r>
      <w:r>
        <w:rPr>
          <w:rFonts w:hint="eastAsia" w:ascii="仿宋" w:hAnsi="仿宋" w:eastAsia="仿宋" w:cs="仿宋"/>
          <w:sz w:val="24"/>
          <w:szCs w:val="24"/>
        </w:rPr>
        <w:t>（由供货公司按投标文件内容注明，详见附件）</w:t>
      </w:r>
    </w:p>
    <w:tbl>
      <w:tblPr>
        <w:tblStyle w:val="20"/>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940"/>
        <w:gridCol w:w="1842"/>
        <w:gridCol w:w="2977"/>
      </w:tblGrid>
      <w:tr w14:paraId="1CF9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0ACBA3BA">
            <w:pPr>
              <w:jc w:val="center"/>
              <w:rPr>
                <w:rFonts w:hint="eastAsia" w:ascii="仿宋" w:hAnsi="仿宋" w:eastAsia="仿宋" w:cs="仿宋"/>
                <w:b/>
                <w:sz w:val="24"/>
                <w:szCs w:val="24"/>
              </w:rPr>
            </w:pPr>
            <w:r>
              <w:rPr>
                <w:rFonts w:hint="eastAsia" w:ascii="仿宋" w:hAnsi="仿宋" w:eastAsia="仿宋" w:cs="仿宋"/>
                <w:b/>
                <w:sz w:val="24"/>
                <w:szCs w:val="24"/>
              </w:rPr>
              <w:t>需方</w:t>
            </w:r>
          </w:p>
        </w:tc>
        <w:tc>
          <w:tcPr>
            <w:tcW w:w="2940" w:type="dxa"/>
            <w:noWrap w:val="0"/>
            <w:vAlign w:val="center"/>
          </w:tcPr>
          <w:p w14:paraId="491CE36C">
            <w:pPr>
              <w:jc w:val="center"/>
              <w:rPr>
                <w:rFonts w:hint="eastAsia" w:ascii="仿宋" w:hAnsi="仿宋" w:eastAsia="仿宋" w:cs="仿宋"/>
                <w:sz w:val="24"/>
                <w:szCs w:val="24"/>
              </w:rPr>
            </w:pPr>
            <w:r>
              <w:rPr>
                <w:rFonts w:hint="eastAsia" w:ascii="仿宋" w:hAnsi="仿宋" w:eastAsia="仿宋" w:cs="仿宋"/>
                <w:sz w:val="24"/>
                <w:szCs w:val="24"/>
                <w:lang w:val="en-US" w:eastAsia="zh-CN"/>
              </w:rPr>
              <w:t>安宁市第一人民医院</w:t>
            </w:r>
          </w:p>
        </w:tc>
        <w:tc>
          <w:tcPr>
            <w:tcW w:w="1842" w:type="dxa"/>
            <w:noWrap w:val="0"/>
            <w:vAlign w:val="center"/>
          </w:tcPr>
          <w:p w14:paraId="45886FF0">
            <w:pPr>
              <w:jc w:val="center"/>
              <w:rPr>
                <w:rFonts w:hint="eastAsia" w:ascii="仿宋" w:hAnsi="仿宋" w:eastAsia="仿宋" w:cs="仿宋"/>
                <w:b/>
                <w:sz w:val="24"/>
                <w:szCs w:val="24"/>
              </w:rPr>
            </w:pPr>
            <w:r>
              <w:rPr>
                <w:rFonts w:hint="eastAsia" w:ascii="仿宋" w:hAnsi="仿宋" w:eastAsia="仿宋" w:cs="仿宋"/>
                <w:b/>
                <w:sz w:val="24"/>
                <w:szCs w:val="24"/>
              </w:rPr>
              <w:t>供方</w:t>
            </w:r>
          </w:p>
        </w:tc>
        <w:tc>
          <w:tcPr>
            <w:tcW w:w="2977" w:type="dxa"/>
            <w:noWrap w:val="0"/>
            <w:vAlign w:val="center"/>
          </w:tcPr>
          <w:p w14:paraId="7DA9BF77">
            <w:pPr>
              <w:jc w:val="center"/>
              <w:rPr>
                <w:rFonts w:hint="eastAsia" w:ascii="仿宋" w:hAnsi="仿宋" w:eastAsia="仿宋" w:cs="仿宋"/>
                <w:sz w:val="24"/>
                <w:szCs w:val="24"/>
              </w:rPr>
            </w:pPr>
          </w:p>
        </w:tc>
      </w:tr>
      <w:tr w14:paraId="4E5DF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2E685A5E">
            <w:pPr>
              <w:jc w:val="center"/>
              <w:rPr>
                <w:rFonts w:hint="eastAsia" w:ascii="仿宋" w:hAnsi="仿宋" w:eastAsia="仿宋" w:cs="仿宋"/>
                <w:b/>
                <w:sz w:val="24"/>
                <w:szCs w:val="24"/>
              </w:rPr>
            </w:pPr>
            <w:r>
              <w:rPr>
                <w:rFonts w:hint="eastAsia" w:ascii="仿宋" w:hAnsi="仿宋" w:eastAsia="仿宋" w:cs="仿宋"/>
                <w:b/>
                <w:sz w:val="24"/>
                <w:szCs w:val="24"/>
              </w:rPr>
              <w:t>地址</w:t>
            </w:r>
          </w:p>
        </w:tc>
        <w:tc>
          <w:tcPr>
            <w:tcW w:w="2940" w:type="dxa"/>
            <w:noWrap w:val="0"/>
            <w:vAlign w:val="center"/>
          </w:tcPr>
          <w:p w14:paraId="4E4F86E0">
            <w:pPr>
              <w:jc w:val="center"/>
              <w:rPr>
                <w:rFonts w:hint="eastAsia" w:ascii="仿宋" w:hAnsi="仿宋" w:eastAsia="仿宋" w:cs="仿宋"/>
                <w:sz w:val="24"/>
                <w:szCs w:val="24"/>
              </w:rPr>
            </w:pPr>
            <w:r>
              <w:rPr>
                <w:rFonts w:hint="eastAsia" w:ascii="仿宋" w:hAnsi="仿宋" w:eastAsia="仿宋" w:cs="仿宋"/>
                <w:sz w:val="24"/>
                <w:szCs w:val="24"/>
              </w:rPr>
              <w:t>云南省安宁市金方街道望湖居民委员会钢河南路2号</w:t>
            </w:r>
          </w:p>
        </w:tc>
        <w:tc>
          <w:tcPr>
            <w:tcW w:w="1842" w:type="dxa"/>
            <w:noWrap w:val="0"/>
            <w:vAlign w:val="center"/>
          </w:tcPr>
          <w:p w14:paraId="302AFDCB">
            <w:pPr>
              <w:jc w:val="center"/>
              <w:rPr>
                <w:rFonts w:hint="eastAsia" w:ascii="仿宋" w:hAnsi="仿宋" w:eastAsia="仿宋" w:cs="仿宋"/>
                <w:b/>
                <w:sz w:val="24"/>
                <w:szCs w:val="24"/>
              </w:rPr>
            </w:pPr>
            <w:r>
              <w:rPr>
                <w:rFonts w:hint="eastAsia" w:ascii="仿宋" w:hAnsi="仿宋" w:eastAsia="仿宋" w:cs="仿宋"/>
                <w:b/>
                <w:sz w:val="24"/>
                <w:szCs w:val="24"/>
              </w:rPr>
              <w:t>地址</w:t>
            </w:r>
          </w:p>
        </w:tc>
        <w:tc>
          <w:tcPr>
            <w:tcW w:w="2977" w:type="dxa"/>
            <w:noWrap w:val="0"/>
            <w:vAlign w:val="center"/>
          </w:tcPr>
          <w:p w14:paraId="595BF4D2">
            <w:pPr>
              <w:jc w:val="center"/>
              <w:rPr>
                <w:rFonts w:hint="eastAsia" w:ascii="仿宋" w:hAnsi="仿宋" w:eastAsia="仿宋" w:cs="仿宋"/>
                <w:sz w:val="24"/>
                <w:szCs w:val="24"/>
              </w:rPr>
            </w:pPr>
          </w:p>
        </w:tc>
      </w:tr>
      <w:tr w14:paraId="77E9E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64D36E6D">
            <w:pPr>
              <w:jc w:val="center"/>
              <w:rPr>
                <w:rFonts w:hint="eastAsia" w:ascii="仿宋" w:hAnsi="仿宋" w:eastAsia="仿宋" w:cs="仿宋"/>
                <w:b/>
                <w:sz w:val="24"/>
                <w:szCs w:val="24"/>
              </w:rPr>
            </w:pPr>
            <w:r>
              <w:rPr>
                <w:rFonts w:hint="eastAsia" w:ascii="仿宋" w:hAnsi="仿宋" w:eastAsia="仿宋" w:cs="仿宋"/>
                <w:b/>
                <w:sz w:val="24"/>
                <w:szCs w:val="24"/>
              </w:rPr>
              <w:t>邮编</w:t>
            </w:r>
          </w:p>
        </w:tc>
        <w:tc>
          <w:tcPr>
            <w:tcW w:w="2940" w:type="dxa"/>
            <w:noWrap w:val="0"/>
            <w:vAlign w:val="center"/>
          </w:tcPr>
          <w:p w14:paraId="34F03103">
            <w:pPr>
              <w:jc w:val="center"/>
              <w:rPr>
                <w:rFonts w:hint="eastAsia" w:ascii="仿宋" w:hAnsi="仿宋" w:eastAsia="仿宋" w:cs="仿宋"/>
                <w:sz w:val="24"/>
                <w:szCs w:val="24"/>
              </w:rPr>
            </w:pPr>
            <w:r>
              <w:rPr>
                <w:rFonts w:hint="eastAsia" w:ascii="仿宋" w:hAnsi="仿宋" w:eastAsia="仿宋" w:cs="仿宋"/>
                <w:sz w:val="24"/>
                <w:szCs w:val="24"/>
              </w:rPr>
              <w:t>650300</w:t>
            </w:r>
          </w:p>
        </w:tc>
        <w:tc>
          <w:tcPr>
            <w:tcW w:w="1842" w:type="dxa"/>
            <w:noWrap w:val="0"/>
            <w:vAlign w:val="center"/>
          </w:tcPr>
          <w:p w14:paraId="2361EB93">
            <w:pPr>
              <w:jc w:val="center"/>
              <w:rPr>
                <w:rFonts w:hint="eastAsia" w:ascii="仿宋" w:hAnsi="仿宋" w:eastAsia="仿宋" w:cs="仿宋"/>
                <w:b/>
                <w:sz w:val="24"/>
                <w:szCs w:val="24"/>
              </w:rPr>
            </w:pPr>
            <w:r>
              <w:rPr>
                <w:rFonts w:hint="eastAsia" w:ascii="仿宋" w:hAnsi="仿宋" w:eastAsia="仿宋" w:cs="仿宋"/>
                <w:b/>
                <w:sz w:val="24"/>
                <w:szCs w:val="24"/>
              </w:rPr>
              <w:t>供方电话及邮箱</w:t>
            </w:r>
          </w:p>
        </w:tc>
        <w:tc>
          <w:tcPr>
            <w:tcW w:w="2977" w:type="dxa"/>
            <w:noWrap w:val="0"/>
            <w:vAlign w:val="center"/>
          </w:tcPr>
          <w:p w14:paraId="6D3DDED1">
            <w:pPr>
              <w:jc w:val="center"/>
              <w:rPr>
                <w:rFonts w:hint="eastAsia" w:ascii="仿宋" w:hAnsi="仿宋" w:eastAsia="仿宋" w:cs="仿宋"/>
                <w:sz w:val="24"/>
                <w:szCs w:val="24"/>
              </w:rPr>
            </w:pPr>
          </w:p>
        </w:tc>
      </w:tr>
      <w:tr w14:paraId="4E67B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489FD553">
            <w:pPr>
              <w:jc w:val="center"/>
              <w:rPr>
                <w:rFonts w:hint="eastAsia" w:ascii="仿宋" w:hAnsi="仿宋" w:eastAsia="仿宋" w:cs="仿宋"/>
                <w:b/>
                <w:sz w:val="24"/>
                <w:szCs w:val="24"/>
              </w:rPr>
            </w:pPr>
            <w:r>
              <w:rPr>
                <w:rFonts w:hint="eastAsia" w:ascii="仿宋" w:hAnsi="仿宋" w:eastAsia="仿宋" w:cs="仿宋"/>
                <w:b/>
                <w:sz w:val="24"/>
                <w:szCs w:val="24"/>
              </w:rPr>
              <w:t>需方电话</w:t>
            </w:r>
          </w:p>
        </w:tc>
        <w:tc>
          <w:tcPr>
            <w:tcW w:w="2940" w:type="dxa"/>
            <w:noWrap w:val="0"/>
            <w:vAlign w:val="center"/>
          </w:tcPr>
          <w:p w14:paraId="61558B04">
            <w:pPr>
              <w:jc w:val="center"/>
              <w:rPr>
                <w:rFonts w:hint="eastAsia" w:ascii="仿宋" w:hAnsi="仿宋" w:eastAsia="仿宋" w:cs="仿宋"/>
                <w:sz w:val="24"/>
                <w:szCs w:val="24"/>
              </w:rPr>
            </w:pPr>
            <w:r>
              <w:rPr>
                <w:rFonts w:hint="eastAsia" w:ascii="仿宋" w:hAnsi="仿宋" w:eastAsia="仿宋" w:cs="仿宋"/>
                <w:sz w:val="24"/>
                <w:szCs w:val="24"/>
              </w:rPr>
              <w:t>0871-68639067</w:t>
            </w:r>
          </w:p>
        </w:tc>
        <w:tc>
          <w:tcPr>
            <w:tcW w:w="1842" w:type="dxa"/>
            <w:noWrap w:val="0"/>
            <w:vAlign w:val="center"/>
          </w:tcPr>
          <w:p w14:paraId="5B800972">
            <w:pPr>
              <w:jc w:val="center"/>
              <w:rPr>
                <w:rFonts w:hint="eastAsia" w:ascii="仿宋" w:hAnsi="仿宋" w:eastAsia="仿宋" w:cs="仿宋"/>
                <w:b/>
                <w:sz w:val="24"/>
                <w:szCs w:val="24"/>
              </w:rPr>
            </w:pPr>
            <w:r>
              <w:rPr>
                <w:rFonts w:hint="eastAsia" w:ascii="仿宋" w:hAnsi="仿宋" w:eastAsia="仿宋" w:cs="仿宋"/>
                <w:b/>
                <w:sz w:val="24"/>
                <w:szCs w:val="24"/>
              </w:rPr>
              <w:t>法定代表人签字</w:t>
            </w:r>
          </w:p>
        </w:tc>
        <w:tc>
          <w:tcPr>
            <w:tcW w:w="2977" w:type="dxa"/>
            <w:noWrap w:val="0"/>
            <w:vAlign w:val="center"/>
          </w:tcPr>
          <w:p w14:paraId="5AD289A6">
            <w:pPr>
              <w:jc w:val="center"/>
              <w:rPr>
                <w:rFonts w:hint="eastAsia" w:ascii="仿宋" w:hAnsi="仿宋" w:eastAsia="仿宋" w:cs="仿宋"/>
                <w:sz w:val="24"/>
                <w:szCs w:val="24"/>
              </w:rPr>
            </w:pPr>
          </w:p>
        </w:tc>
      </w:tr>
      <w:tr w14:paraId="33FA9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50F3C5D1">
            <w:pPr>
              <w:jc w:val="center"/>
              <w:rPr>
                <w:rFonts w:hint="eastAsia" w:ascii="仿宋" w:hAnsi="仿宋" w:eastAsia="仿宋" w:cs="仿宋"/>
                <w:b/>
                <w:sz w:val="24"/>
                <w:szCs w:val="24"/>
              </w:rPr>
            </w:pPr>
            <w:r>
              <w:rPr>
                <w:rFonts w:hint="eastAsia" w:ascii="仿宋" w:hAnsi="仿宋" w:eastAsia="仿宋" w:cs="仿宋"/>
                <w:b/>
                <w:sz w:val="24"/>
                <w:szCs w:val="24"/>
              </w:rPr>
              <w:t>法定代表人签字</w:t>
            </w:r>
          </w:p>
        </w:tc>
        <w:tc>
          <w:tcPr>
            <w:tcW w:w="2940" w:type="dxa"/>
            <w:noWrap w:val="0"/>
            <w:vAlign w:val="center"/>
          </w:tcPr>
          <w:p w14:paraId="76AAC151">
            <w:pPr>
              <w:jc w:val="center"/>
              <w:rPr>
                <w:rFonts w:hint="eastAsia" w:ascii="仿宋" w:hAnsi="仿宋" w:eastAsia="仿宋" w:cs="仿宋"/>
                <w:sz w:val="24"/>
                <w:szCs w:val="24"/>
              </w:rPr>
            </w:pPr>
          </w:p>
        </w:tc>
        <w:tc>
          <w:tcPr>
            <w:tcW w:w="1842" w:type="dxa"/>
            <w:noWrap w:val="0"/>
            <w:vAlign w:val="center"/>
          </w:tcPr>
          <w:p w14:paraId="7D27F766">
            <w:pPr>
              <w:jc w:val="center"/>
              <w:rPr>
                <w:rFonts w:hint="eastAsia" w:ascii="仿宋" w:hAnsi="仿宋" w:eastAsia="仿宋" w:cs="仿宋"/>
                <w:b/>
                <w:sz w:val="24"/>
                <w:szCs w:val="24"/>
              </w:rPr>
            </w:pPr>
            <w:r>
              <w:rPr>
                <w:rFonts w:hint="eastAsia" w:ascii="仿宋" w:hAnsi="仿宋" w:eastAsia="仿宋" w:cs="仿宋"/>
                <w:b/>
                <w:sz w:val="24"/>
                <w:szCs w:val="24"/>
              </w:rPr>
              <w:t>法定代表人手机</w:t>
            </w:r>
          </w:p>
        </w:tc>
        <w:tc>
          <w:tcPr>
            <w:tcW w:w="2977" w:type="dxa"/>
            <w:noWrap w:val="0"/>
            <w:vAlign w:val="center"/>
          </w:tcPr>
          <w:p w14:paraId="59B2F508">
            <w:pPr>
              <w:jc w:val="center"/>
              <w:rPr>
                <w:rFonts w:hint="eastAsia" w:ascii="仿宋" w:hAnsi="仿宋" w:eastAsia="仿宋" w:cs="仿宋"/>
                <w:sz w:val="24"/>
                <w:szCs w:val="24"/>
              </w:rPr>
            </w:pPr>
          </w:p>
        </w:tc>
      </w:tr>
      <w:tr w14:paraId="16D4A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57B1BC7B">
            <w:pPr>
              <w:jc w:val="center"/>
              <w:rPr>
                <w:rFonts w:hint="eastAsia" w:ascii="仿宋" w:hAnsi="仿宋" w:eastAsia="仿宋" w:cs="仿宋"/>
                <w:b/>
                <w:sz w:val="24"/>
                <w:szCs w:val="24"/>
              </w:rPr>
            </w:pPr>
            <w:r>
              <w:rPr>
                <w:rFonts w:hint="eastAsia" w:ascii="仿宋" w:hAnsi="仿宋" w:eastAsia="仿宋" w:cs="仿宋"/>
                <w:b/>
                <w:sz w:val="24"/>
                <w:szCs w:val="24"/>
              </w:rPr>
              <w:t>主管领导签字</w:t>
            </w:r>
          </w:p>
        </w:tc>
        <w:tc>
          <w:tcPr>
            <w:tcW w:w="2940" w:type="dxa"/>
            <w:noWrap w:val="0"/>
            <w:vAlign w:val="center"/>
          </w:tcPr>
          <w:p w14:paraId="66384457">
            <w:pPr>
              <w:jc w:val="center"/>
              <w:rPr>
                <w:rFonts w:hint="eastAsia" w:ascii="仿宋" w:hAnsi="仿宋" w:eastAsia="仿宋" w:cs="仿宋"/>
                <w:sz w:val="24"/>
                <w:szCs w:val="24"/>
              </w:rPr>
            </w:pPr>
          </w:p>
        </w:tc>
        <w:tc>
          <w:tcPr>
            <w:tcW w:w="1842" w:type="dxa"/>
            <w:noWrap w:val="0"/>
            <w:vAlign w:val="center"/>
          </w:tcPr>
          <w:p w14:paraId="70502774">
            <w:pPr>
              <w:jc w:val="center"/>
              <w:rPr>
                <w:rFonts w:hint="eastAsia" w:ascii="仿宋" w:hAnsi="仿宋" w:eastAsia="仿宋" w:cs="仿宋"/>
                <w:b/>
                <w:sz w:val="24"/>
                <w:szCs w:val="24"/>
              </w:rPr>
            </w:pPr>
            <w:r>
              <w:rPr>
                <w:rFonts w:hint="eastAsia" w:ascii="仿宋" w:hAnsi="仿宋" w:eastAsia="仿宋" w:cs="仿宋"/>
                <w:b/>
                <w:sz w:val="24"/>
                <w:szCs w:val="24"/>
              </w:rPr>
              <w:t>项目负责人签字</w:t>
            </w:r>
          </w:p>
        </w:tc>
        <w:tc>
          <w:tcPr>
            <w:tcW w:w="2977" w:type="dxa"/>
            <w:noWrap w:val="0"/>
            <w:vAlign w:val="center"/>
          </w:tcPr>
          <w:p w14:paraId="59561074">
            <w:pPr>
              <w:jc w:val="center"/>
              <w:rPr>
                <w:rFonts w:hint="eastAsia" w:ascii="仿宋" w:hAnsi="仿宋" w:eastAsia="仿宋" w:cs="仿宋"/>
                <w:sz w:val="24"/>
                <w:szCs w:val="24"/>
              </w:rPr>
            </w:pPr>
          </w:p>
        </w:tc>
      </w:tr>
      <w:tr w14:paraId="7EC3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0BA1A17D">
            <w:pPr>
              <w:jc w:val="center"/>
              <w:rPr>
                <w:rFonts w:hint="eastAsia" w:ascii="仿宋" w:hAnsi="仿宋" w:eastAsia="仿宋" w:cs="仿宋"/>
                <w:b/>
                <w:sz w:val="24"/>
                <w:szCs w:val="24"/>
              </w:rPr>
            </w:pPr>
            <w:r>
              <w:rPr>
                <w:rFonts w:hint="eastAsia" w:ascii="仿宋" w:hAnsi="仿宋" w:eastAsia="仿宋" w:cs="仿宋"/>
                <w:b/>
                <w:sz w:val="24"/>
                <w:szCs w:val="24"/>
              </w:rPr>
              <w:t>装备科负责人</w:t>
            </w:r>
          </w:p>
        </w:tc>
        <w:tc>
          <w:tcPr>
            <w:tcW w:w="2940" w:type="dxa"/>
            <w:noWrap w:val="0"/>
            <w:vAlign w:val="center"/>
          </w:tcPr>
          <w:p w14:paraId="56AD55A6">
            <w:pPr>
              <w:jc w:val="center"/>
              <w:rPr>
                <w:rFonts w:hint="eastAsia" w:ascii="仿宋" w:hAnsi="仿宋" w:eastAsia="仿宋" w:cs="仿宋"/>
                <w:sz w:val="24"/>
                <w:szCs w:val="24"/>
              </w:rPr>
            </w:pPr>
          </w:p>
        </w:tc>
        <w:tc>
          <w:tcPr>
            <w:tcW w:w="1842" w:type="dxa"/>
            <w:noWrap w:val="0"/>
            <w:vAlign w:val="center"/>
          </w:tcPr>
          <w:p w14:paraId="045450FC">
            <w:pPr>
              <w:jc w:val="center"/>
              <w:rPr>
                <w:rFonts w:hint="eastAsia" w:ascii="仿宋" w:hAnsi="仿宋" w:eastAsia="仿宋" w:cs="仿宋"/>
                <w:b/>
                <w:sz w:val="24"/>
                <w:szCs w:val="24"/>
              </w:rPr>
            </w:pPr>
            <w:r>
              <w:rPr>
                <w:rFonts w:hint="eastAsia" w:ascii="仿宋" w:hAnsi="仿宋" w:eastAsia="仿宋" w:cs="仿宋"/>
                <w:b/>
                <w:sz w:val="24"/>
                <w:szCs w:val="24"/>
              </w:rPr>
              <w:t>项目负责人手机</w:t>
            </w:r>
          </w:p>
        </w:tc>
        <w:tc>
          <w:tcPr>
            <w:tcW w:w="2977" w:type="dxa"/>
            <w:noWrap w:val="0"/>
            <w:vAlign w:val="center"/>
          </w:tcPr>
          <w:p w14:paraId="1482894A">
            <w:pPr>
              <w:jc w:val="center"/>
              <w:rPr>
                <w:rFonts w:hint="eastAsia" w:ascii="仿宋" w:hAnsi="仿宋" w:eastAsia="仿宋" w:cs="仿宋"/>
                <w:sz w:val="24"/>
                <w:szCs w:val="24"/>
              </w:rPr>
            </w:pPr>
          </w:p>
        </w:tc>
      </w:tr>
      <w:tr w14:paraId="6E4F5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0916339D">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科室技术负责人</w:t>
            </w:r>
          </w:p>
        </w:tc>
        <w:tc>
          <w:tcPr>
            <w:tcW w:w="2940" w:type="dxa"/>
            <w:noWrap w:val="0"/>
            <w:vAlign w:val="center"/>
          </w:tcPr>
          <w:p w14:paraId="10B656B4">
            <w:pPr>
              <w:jc w:val="center"/>
              <w:rPr>
                <w:rFonts w:hint="eastAsia" w:ascii="仿宋" w:hAnsi="仿宋" w:eastAsia="仿宋" w:cs="仿宋"/>
                <w:color w:val="FF0000"/>
                <w:sz w:val="24"/>
                <w:szCs w:val="24"/>
              </w:rPr>
            </w:pPr>
          </w:p>
        </w:tc>
        <w:tc>
          <w:tcPr>
            <w:tcW w:w="1842" w:type="dxa"/>
            <w:noWrap w:val="0"/>
            <w:vAlign w:val="center"/>
          </w:tcPr>
          <w:p w14:paraId="74C00085">
            <w:pPr>
              <w:jc w:val="center"/>
              <w:rPr>
                <w:rFonts w:hint="eastAsia" w:ascii="仿宋" w:hAnsi="仿宋" w:eastAsia="仿宋" w:cs="仿宋"/>
                <w:b/>
                <w:sz w:val="24"/>
                <w:szCs w:val="24"/>
              </w:rPr>
            </w:pPr>
            <w:r>
              <w:rPr>
                <w:rFonts w:hint="eastAsia" w:ascii="仿宋" w:hAnsi="仿宋" w:eastAsia="仿宋" w:cs="仿宋"/>
                <w:b/>
                <w:sz w:val="24"/>
                <w:szCs w:val="24"/>
              </w:rPr>
              <w:t>开户行名称</w:t>
            </w:r>
          </w:p>
        </w:tc>
        <w:tc>
          <w:tcPr>
            <w:tcW w:w="2977" w:type="dxa"/>
            <w:noWrap w:val="0"/>
            <w:vAlign w:val="center"/>
          </w:tcPr>
          <w:p w14:paraId="77D5365E">
            <w:pPr>
              <w:jc w:val="center"/>
              <w:rPr>
                <w:rFonts w:hint="eastAsia" w:ascii="仿宋" w:hAnsi="仿宋" w:eastAsia="仿宋" w:cs="仿宋"/>
                <w:sz w:val="24"/>
                <w:szCs w:val="24"/>
              </w:rPr>
            </w:pPr>
          </w:p>
        </w:tc>
      </w:tr>
      <w:tr w14:paraId="40031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130" w:type="dxa"/>
            <w:noWrap w:val="0"/>
            <w:vAlign w:val="center"/>
          </w:tcPr>
          <w:p w14:paraId="08353B46">
            <w:pPr>
              <w:jc w:val="center"/>
              <w:rPr>
                <w:rFonts w:hint="eastAsia" w:ascii="仿宋" w:hAnsi="仿宋" w:eastAsia="仿宋" w:cs="仿宋"/>
                <w:b/>
                <w:sz w:val="24"/>
                <w:szCs w:val="24"/>
              </w:rPr>
            </w:pPr>
            <w:r>
              <w:rPr>
                <w:rFonts w:hint="eastAsia" w:ascii="仿宋" w:hAnsi="仿宋" w:eastAsia="仿宋" w:cs="仿宋"/>
                <w:b/>
                <w:sz w:val="24"/>
                <w:szCs w:val="24"/>
              </w:rPr>
              <w:t>合同签订日期</w:t>
            </w:r>
          </w:p>
        </w:tc>
        <w:tc>
          <w:tcPr>
            <w:tcW w:w="2940" w:type="dxa"/>
            <w:noWrap w:val="0"/>
            <w:vAlign w:val="center"/>
          </w:tcPr>
          <w:p w14:paraId="0B4B99C7">
            <w:pPr>
              <w:jc w:val="center"/>
              <w:rPr>
                <w:rFonts w:hint="eastAsia" w:ascii="仿宋" w:hAnsi="仿宋" w:eastAsia="仿宋" w:cs="仿宋"/>
                <w:sz w:val="24"/>
                <w:szCs w:val="24"/>
              </w:rPr>
            </w:pPr>
            <w:r>
              <w:rPr>
                <w:rFonts w:hint="eastAsia" w:ascii="仿宋" w:hAnsi="仿宋" w:eastAsia="仿宋" w:cs="仿宋"/>
                <w:sz w:val="24"/>
                <w:szCs w:val="24"/>
              </w:rPr>
              <w:t>年  月  日</w:t>
            </w:r>
          </w:p>
        </w:tc>
        <w:tc>
          <w:tcPr>
            <w:tcW w:w="1842" w:type="dxa"/>
            <w:noWrap w:val="0"/>
            <w:vAlign w:val="center"/>
          </w:tcPr>
          <w:p w14:paraId="5E00A0A7">
            <w:pPr>
              <w:jc w:val="center"/>
              <w:rPr>
                <w:rFonts w:hint="eastAsia" w:ascii="仿宋" w:hAnsi="仿宋" w:eastAsia="仿宋" w:cs="仿宋"/>
                <w:b/>
                <w:sz w:val="24"/>
                <w:szCs w:val="24"/>
              </w:rPr>
            </w:pPr>
            <w:r>
              <w:rPr>
                <w:rFonts w:hint="eastAsia" w:ascii="仿宋" w:hAnsi="仿宋" w:eastAsia="仿宋" w:cs="仿宋"/>
                <w:b/>
                <w:sz w:val="24"/>
                <w:szCs w:val="24"/>
              </w:rPr>
              <w:t>账号</w:t>
            </w:r>
          </w:p>
        </w:tc>
        <w:tc>
          <w:tcPr>
            <w:tcW w:w="2977" w:type="dxa"/>
            <w:noWrap w:val="0"/>
            <w:vAlign w:val="center"/>
          </w:tcPr>
          <w:p w14:paraId="001AC6ED">
            <w:pPr>
              <w:jc w:val="center"/>
              <w:rPr>
                <w:rFonts w:hint="eastAsia" w:ascii="仿宋" w:hAnsi="仿宋" w:eastAsia="仿宋" w:cs="仿宋"/>
                <w:sz w:val="24"/>
                <w:szCs w:val="24"/>
              </w:rPr>
            </w:pPr>
          </w:p>
        </w:tc>
      </w:tr>
    </w:tbl>
    <w:p w14:paraId="6C37DE75">
      <w:pPr>
        <w:rPr>
          <w:rFonts w:hint="eastAsia" w:ascii="仿宋" w:hAnsi="仿宋" w:eastAsia="仿宋" w:cs="仿宋"/>
          <w:sz w:val="24"/>
          <w:szCs w:val="24"/>
        </w:rPr>
      </w:pPr>
    </w:p>
    <w:p w14:paraId="3805DA7C">
      <w:pPr>
        <w:spacing w:line="360" w:lineRule="auto"/>
        <w:ind w:firstLine="480" w:firstLineChars="200"/>
        <w:rPr>
          <w:rFonts w:hint="eastAsia" w:ascii="仿宋" w:hAnsi="仿宋" w:eastAsia="仿宋" w:cs="仿宋"/>
          <w:b/>
          <w:bCs/>
          <w:sz w:val="24"/>
        </w:rPr>
      </w:pPr>
      <w:r>
        <w:rPr>
          <w:rFonts w:hint="eastAsia" w:ascii="仿宋" w:hAnsi="仿宋" w:eastAsia="仿宋" w:cs="仿宋"/>
          <w:sz w:val="24"/>
        </w:rPr>
        <w:t xml:space="preserve"> </w:t>
      </w:r>
    </w:p>
    <w:p w14:paraId="67B51A91">
      <w:pPr>
        <w:pStyle w:val="19"/>
        <w:rPr>
          <w:rFonts w:hint="eastAsia" w:ascii="仿宋" w:hAnsi="仿宋" w:eastAsia="仿宋" w:cs="仿宋"/>
        </w:rPr>
      </w:pPr>
    </w:p>
    <w:p w14:paraId="61866D8D">
      <w:pPr>
        <w:snapToGrid w:val="0"/>
        <w:spacing w:line="360" w:lineRule="auto"/>
        <w:ind w:firstLine="472" w:firstLineChars="225"/>
        <w:rPr>
          <w:rFonts w:hint="eastAsia" w:ascii="仿宋" w:hAnsi="仿宋" w:eastAsia="仿宋" w:cs="仿宋"/>
          <w:color w:val="auto"/>
          <w:szCs w:val="21"/>
          <w:highlight w:val="none"/>
        </w:rPr>
      </w:pPr>
    </w:p>
    <w:p w14:paraId="674EA363">
      <w:pPr>
        <w:adjustRightInd w:val="0"/>
        <w:snapToGrid w:val="0"/>
        <w:spacing w:after="312" w:afterLines="100" w:line="560" w:lineRule="exact"/>
        <w:rPr>
          <w:rFonts w:hint="eastAsia" w:ascii="仿宋" w:hAnsi="仿宋" w:eastAsia="仿宋" w:cs="仿宋"/>
          <w:spacing w:val="-16"/>
          <w:kern w:val="0"/>
          <w:sz w:val="24"/>
          <w:szCs w:val="24"/>
        </w:rPr>
      </w:pPr>
      <w:r>
        <w:rPr>
          <w:rFonts w:hint="eastAsia" w:ascii="仿宋" w:hAnsi="仿宋" w:eastAsia="仿宋" w:cs="仿宋"/>
          <w:color w:val="auto"/>
          <w:kern w:val="0"/>
          <w:sz w:val="48"/>
          <w:szCs w:val="48"/>
          <w:highlight w:val="none"/>
        </w:rPr>
        <w:br w:type="page"/>
      </w:r>
      <w:bookmarkStart w:id="72" w:name="_Toc28896"/>
      <w:r>
        <w:rPr>
          <w:rFonts w:hint="eastAsia" w:ascii="仿宋" w:hAnsi="仿宋" w:eastAsia="仿宋" w:cs="仿宋"/>
          <w:spacing w:val="-16"/>
          <w:kern w:val="0"/>
          <w:sz w:val="24"/>
          <w:szCs w:val="24"/>
        </w:rPr>
        <w:t>附件</w:t>
      </w:r>
      <w:r>
        <w:rPr>
          <w:rFonts w:hint="eastAsia" w:ascii="仿宋" w:hAnsi="仿宋" w:eastAsia="仿宋" w:cs="仿宋"/>
          <w:spacing w:val="-16"/>
          <w:kern w:val="0"/>
          <w:sz w:val="24"/>
          <w:szCs w:val="24"/>
          <w:lang w:val="en-US" w:eastAsia="zh-CN"/>
        </w:rPr>
        <w:t>1</w:t>
      </w:r>
      <w:r>
        <w:rPr>
          <w:rFonts w:hint="eastAsia" w:ascii="仿宋" w:hAnsi="仿宋" w:eastAsia="仿宋" w:cs="仿宋"/>
          <w:spacing w:val="-16"/>
          <w:kern w:val="0"/>
          <w:sz w:val="24"/>
          <w:szCs w:val="24"/>
        </w:rPr>
        <w:t>：</w:t>
      </w:r>
    </w:p>
    <w:p w14:paraId="2B3672D3">
      <w:pPr>
        <w:adjustRightInd w:val="0"/>
        <w:snapToGrid w:val="0"/>
        <w:spacing w:after="312" w:afterLines="100" w:line="560" w:lineRule="exact"/>
        <w:jc w:val="center"/>
        <w:rPr>
          <w:rFonts w:hint="eastAsia" w:ascii="仿宋" w:hAnsi="仿宋" w:eastAsia="仿宋" w:cs="仿宋"/>
        </w:rPr>
      </w:pPr>
      <w:r>
        <w:rPr>
          <w:rFonts w:hint="eastAsia" w:ascii="仿宋" w:hAnsi="仿宋" w:eastAsia="仿宋" w:cs="仿宋"/>
          <w:spacing w:val="-16"/>
          <w:kern w:val="0"/>
          <w:sz w:val="44"/>
          <w:szCs w:val="44"/>
          <w:lang w:val="en-US" w:eastAsia="zh-CN"/>
        </w:rPr>
        <w:t>安宁市第一人民医院</w:t>
      </w:r>
      <w:r>
        <w:rPr>
          <w:rFonts w:hint="eastAsia" w:ascii="仿宋" w:hAnsi="仿宋" w:eastAsia="仿宋" w:cs="仿宋"/>
          <w:spacing w:val="-16"/>
          <w:kern w:val="0"/>
          <w:sz w:val="44"/>
          <w:szCs w:val="44"/>
        </w:rPr>
        <w:t>廉洁购销合同</w:t>
      </w:r>
    </w:p>
    <w:p w14:paraId="2F11766E">
      <w:pPr>
        <w:adjustRightInd w:val="0"/>
        <w:snapToGrid w:val="0"/>
        <w:spacing w:line="560" w:lineRule="exact"/>
        <w:rPr>
          <w:rFonts w:hint="eastAsia" w:ascii="仿宋" w:hAnsi="仿宋" w:eastAsia="仿宋" w:cs="仿宋"/>
          <w:sz w:val="24"/>
          <w:szCs w:val="24"/>
        </w:rPr>
      </w:pPr>
      <w:r>
        <w:rPr>
          <w:rFonts w:hint="eastAsia" w:ascii="仿宋" w:hAnsi="仿宋" w:eastAsia="仿宋" w:cs="仿宋"/>
          <w:sz w:val="24"/>
          <w:szCs w:val="24"/>
        </w:rPr>
        <w:t>甲方：</w:t>
      </w:r>
    </w:p>
    <w:p w14:paraId="72206625">
      <w:pPr>
        <w:spacing w:line="560" w:lineRule="exact"/>
        <w:rPr>
          <w:rFonts w:hint="eastAsia" w:ascii="仿宋" w:hAnsi="仿宋" w:eastAsia="仿宋" w:cs="仿宋"/>
          <w:sz w:val="24"/>
          <w:szCs w:val="24"/>
        </w:rPr>
      </w:pPr>
      <w:r>
        <w:rPr>
          <w:rFonts w:hint="eastAsia" w:ascii="仿宋" w:hAnsi="仿宋" w:eastAsia="仿宋" w:cs="仿宋"/>
          <w:sz w:val="24"/>
          <w:szCs w:val="24"/>
        </w:rPr>
        <w:t>乙方：</w:t>
      </w:r>
    </w:p>
    <w:p w14:paraId="04ED47AF">
      <w:pPr>
        <w:adjustRightInd w:val="0"/>
        <w:snapToGrid w:val="0"/>
        <w:spacing w:line="560" w:lineRule="exact"/>
        <w:rPr>
          <w:rFonts w:hint="eastAsia" w:ascii="仿宋" w:hAnsi="仿宋" w:eastAsia="仿宋" w:cs="仿宋"/>
          <w:sz w:val="24"/>
          <w:szCs w:val="24"/>
          <w:lang w:val="en-US"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w:t>
      </w:r>
    </w:p>
    <w:p w14:paraId="50DCA98B">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为加强</w:t>
      </w:r>
      <w:r>
        <w:rPr>
          <w:rFonts w:hint="eastAsia" w:ascii="仿宋" w:hAnsi="仿宋" w:eastAsia="仿宋" w:cs="仿宋"/>
          <w:sz w:val="24"/>
          <w:szCs w:val="24"/>
          <w:lang w:val="en-US" w:eastAsia="zh-CN"/>
        </w:rPr>
        <w:t>安宁市第一人民医院</w:t>
      </w:r>
      <w:r>
        <w:rPr>
          <w:rFonts w:hint="eastAsia" w:ascii="仿宋" w:hAnsi="仿宋" w:eastAsia="仿宋" w:cs="仿宋"/>
          <w:sz w:val="24"/>
          <w:szCs w:val="24"/>
        </w:rPr>
        <w:t>在货物、服务采购及工程项目招标中的廉政建设，规范、约束采供双方行为，从源头上防控商业贿赂，按照标本兼治、综合治理、惩防并举、注重预防的方针，防止违法违纪和不廉洁问题的发生，经双方协商</w:t>
      </w:r>
      <w:r>
        <w:rPr>
          <w:rFonts w:hint="eastAsia" w:ascii="仿宋" w:hAnsi="仿宋" w:eastAsia="仿宋" w:cs="仿宋"/>
          <w:sz w:val="24"/>
          <w:szCs w:val="24"/>
          <w:lang w:eastAsia="zh-CN"/>
        </w:rPr>
        <w:t>，</w:t>
      </w:r>
      <w:r>
        <w:rPr>
          <w:rFonts w:hint="eastAsia" w:ascii="仿宋" w:hAnsi="仿宋" w:eastAsia="仿宋" w:cs="仿宋"/>
          <w:sz w:val="24"/>
          <w:szCs w:val="24"/>
        </w:rPr>
        <w:t>一致同意在签订采购合同的同时签订本廉洁购销合同，并共同遵守：</w:t>
      </w:r>
    </w:p>
    <w:p w14:paraId="6ABDA167">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一、严格遵守《中华人民共和国反不正当竞争法》和《最高人民法院、最高人民检察院关于办理商业贿赂刑事案件适用法律若干问题的意见》等有关规定，共同</w:t>
      </w:r>
      <w:r>
        <w:rPr>
          <w:rFonts w:hint="eastAsia" w:ascii="仿宋" w:hAnsi="仿宋" w:eastAsia="仿宋" w:cs="仿宋"/>
          <w:sz w:val="24"/>
          <w:szCs w:val="24"/>
          <w:lang w:val="en-US" w:eastAsia="zh-CN"/>
        </w:rPr>
        <w:t>遵守《医疗机构工作人员廉洁从业“九项准则”》相关规定，坚决</w:t>
      </w:r>
      <w:r>
        <w:rPr>
          <w:rFonts w:hint="eastAsia" w:ascii="仿宋" w:hAnsi="仿宋" w:eastAsia="仿宋" w:cs="仿宋"/>
          <w:sz w:val="24"/>
          <w:szCs w:val="24"/>
        </w:rPr>
        <w:t>抵制商业贿赂；</w:t>
      </w:r>
    </w:p>
    <w:p w14:paraId="33D2E2B4">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二、甲方（包括院领导、中层以上管理干部</w:t>
      </w:r>
      <w:r>
        <w:rPr>
          <w:rFonts w:hint="eastAsia" w:ascii="仿宋" w:hAnsi="仿宋" w:eastAsia="仿宋" w:cs="仿宋"/>
          <w:sz w:val="24"/>
          <w:szCs w:val="24"/>
          <w:lang w:eastAsia="zh-CN"/>
        </w:rPr>
        <w:t>，以及</w:t>
      </w:r>
      <w:r>
        <w:rPr>
          <w:rFonts w:hint="eastAsia" w:ascii="仿宋" w:hAnsi="仿宋" w:eastAsia="仿宋" w:cs="仿宋"/>
          <w:sz w:val="24"/>
          <w:szCs w:val="24"/>
        </w:rPr>
        <w:t>涉及</w:t>
      </w:r>
      <w:r>
        <w:rPr>
          <w:rFonts w:hint="eastAsia" w:ascii="仿宋" w:hAnsi="仿宋" w:eastAsia="仿宋" w:cs="仿宋"/>
          <w:sz w:val="24"/>
          <w:szCs w:val="24"/>
          <w:lang w:eastAsia="zh-CN"/>
        </w:rPr>
        <w:t>货物、服务、工程招标、</w:t>
      </w:r>
      <w:r>
        <w:rPr>
          <w:rFonts w:hint="eastAsia" w:ascii="仿宋" w:hAnsi="仿宋" w:eastAsia="仿宋" w:cs="仿宋"/>
          <w:sz w:val="24"/>
          <w:szCs w:val="24"/>
        </w:rPr>
        <w:t>采购、验收、使用及付款</w:t>
      </w:r>
      <w:r>
        <w:rPr>
          <w:rFonts w:hint="eastAsia" w:ascii="仿宋" w:hAnsi="仿宋" w:eastAsia="仿宋" w:cs="仿宋"/>
          <w:sz w:val="24"/>
          <w:szCs w:val="24"/>
          <w:lang w:eastAsia="zh-CN"/>
        </w:rPr>
        <w:t>等相关</w:t>
      </w:r>
      <w:r>
        <w:rPr>
          <w:rFonts w:hint="eastAsia" w:ascii="仿宋" w:hAnsi="仿宋" w:eastAsia="仿宋" w:cs="仿宋"/>
          <w:sz w:val="24"/>
          <w:szCs w:val="24"/>
        </w:rPr>
        <w:t>事宜</w:t>
      </w:r>
      <w:r>
        <w:rPr>
          <w:rFonts w:hint="eastAsia" w:ascii="仿宋" w:hAnsi="仿宋" w:eastAsia="仿宋" w:cs="仿宋"/>
          <w:sz w:val="24"/>
          <w:szCs w:val="24"/>
          <w:lang w:eastAsia="zh-CN"/>
        </w:rPr>
        <w:t>工作</w:t>
      </w:r>
      <w:r>
        <w:rPr>
          <w:rFonts w:hint="eastAsia" w:ascii="仿宋" w:hAnsi="仿宋" w:eastAsia="仿宋" w:cs="仿宋"/>
          <w:sz w:val="24"/>
          <w:szCs w:val="24"/>
        </w:rPr>
        <w:t>人员）责任和义务：</w:t>
      </w:r>
    </w:p>
    <w:p w14:paraId="126D946F">
      <w:pPr>
        <w:spacing w:line="56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（一）不得向乙方索取或接受乙方任何形式的现金、银行卡、有价证券、支付凭证和贵重礼品等。</w:t>
      </w:r>
      <w:r>
        <w:rPr>
          <w:rFonts w:hint="eastAsia" w:ascii="仿宋" w:hAnsi="仿宋" w:eastAsia="仿宋" w:cs="仿宋"/>
          <w:sz w:val="24"/>
          <w:szCs w:val="24"/>
          <w:lang w:val="en-US" w:eastAsia="zh-CN"/>
        </w:rPr>
        <w:t>出现</w:t>
      </w:r>
      <w:r>
        <w:rPr>
          <w:rFonts w:hint="eastAsia" w:ascii="仿宋" w:hAnsi="仿宋" w:eastAsia="仿宋" w:cs="仿宋"/>
          <w:sz w:val="24"/>
          <w:szCs w:val="24"/>
        </w:rPr>
        <w:t>乙方</w:t>
      </w:r>
      <w:r>
        <w:rPr>
          <w:rFonts w:hint="eastAsia" w:ascii="仿宋" w:hAnsi="仿宋" w:eastAsia="仿宋" w:cs="仿宋"/>
          <w:sz w:val="24"/>
          <w:szCs w:val="24"/>
          <w:lang w:val="en-US" w:eastAsia="zh-CN"/>
        </w:rPr>
        <w:t>赠予</w:t>
      </w:r>
      <w:r>
        <w:rPr>
          <w:rFonts w:hint="eastAsia" w:ascii="仿宋" w:hAnsi="仿宋" w:eastAsia="仿宋" w:cs="仿宋"/>
          <w:sz w:val="24"/>
          <w:szCs w:val="24"/>
        </w:rPr>
        <w:t>钱物</w:t>
      </w:r>
      <w:r>
        <w:rPr>
          <w:rFonts w:hint="eastAsia" w:ascii="仿宋" w:hAnsi="仿宋" w:eastAsia="仿宋" w:cs="仿宋"/>
          <w:sz w:val="24"/>
          <w:szCs w:val="24"/>
          <w:lang w:val="en-US" w:eastAsia="zh-CN"/>
        </w:rPr>
        <w:t>的情况时</w:t>
      </w:r>
      <w:r>
        <w:rPr>
          <w:rFonts w:hint="eastAsia" w:ascii="仿宋" w:hAnsi="仿宋" w:eastAsia="仿宋" w:cs="仿宋"/>
          <w:sz w:val="24"/>
          <w:szCs w:val="24"/>
        </w:rPr>
        <w:t>，应</w:t>
      </w:r>
      <w:r>
        <w:rPr>
          <w:rFonts w:hint="eastAsia" w:ascii="仿宋" w:hAnsi="仿宋" w:eastAsia="仿宋" w:cs="仿宋"/>
          <w:sz w:val="24"/>
          <w:szCs w:val="24"/>
          <w:lang w:val="en-US" w:eastAsia="zh-CN"/>
        </w:rPr>
        <w:t>当场</w:t>
      </w:r>
      <w:r>
        <w:rPr>
          <w:rFonts w:hint="eastAsia" w:ascii="仿宋" w:hAnsi="仿宋" w:eastAsia="仿宋" w:cs="仿宋"/>
          <w:sz w:val="24"/>
          <w:szCs w:val="24"/>
        </w:rPr>
        <w:t>退还，无法退还的，须如实向医院纪检监察部门反映情况</w:t>
      </w:r>
      <w:r>
        <w:rPr>
          <w:rFonts w:hint="eastAsia" w:ascii="仿宋" w:hAnsi="仿宋" w:eastAsia="仿宋" w:cs="仿宋"/>
          <w:sz w:val="24"/>
          <w:szCs w:val="24"/>
          <w:lang w:val="en-US" w:eastAsia="zh-CN"/>
        </w:rPr>
        <w:t>并及时退还</w:t>
      </w:r>
      <w:r>
        <w:rPr>
          <w:rFonts w:hint="eastAsia" w:ascii="仿宋" w:hAnsi="仿宋" w:eastAsia="仿宋" w:cs="仿宋"/>
          <w:sz w:val="24"/>
          <w:szCs w:val="24"/>
          <w:lang w:eastAsia="zh-CN"/>
        </w:rPr>
        <w:t>；</w:t>
      </w:r>
    </w:p>
    <w:p w14:paraId="37C6D887">
      <w:pPr>
        <w:spacing w:line="560" w:lineRule="exact"/>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（二）不得以咨询费、劳务费等名义向乙方索要费用，不在乙方报销应由本单位或个人承担的费用</w:t>
      </w:r>
      <w:r>
        <w:rPr>
          <w:rFonts w:hint="eastAsia" w:ascii="仿宋" w:hAnsi="仿宋" w:eastAsia="仿宋" w:cs="仿宋"/>
          <w:sz w:val="24"/>
          <w:szCs w:val="24"/>
          <w:lang w:eastAsia="zh-CN"/>
        </w:rPr>
        <w:t>；</w:t>
      </w:r>
    </w:p>
    <w:p w14:paraId="782ADA99">
      <w:pPr>
        <w:spacing w:line="56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（三）不得接受乙方提供</w:t>
      </w:r>
      <w:r>
        <w:rPr>
          <w:rFonts w:hint="eastAsia" w:ascii="仿宋" w:hAnsi="仿宋" w:eastAsia="仿宋" w:cs="仿宋"/>
          <w:sz w:val="24"/>
          <w:szCs w:val="24"/>
          <w:lang w:val="en-US" w:eastAsia="zh-CN"/>
        </w:rPr>
        <w:t>或支付费用</w:t>
      </w:r>
      <w:r>
        <w:rPr>
          <w:rFonts w:hint="eastAsia" w:ascii="仿宋" w:hAnsi="仿宋" w:eastAsia="仿宋" w:cs="仿宋"/>
          <w:sz w:val="24"/>
          <w:szCs w:val="24"/>
        </w:rPr>
        <w:t>的公款旅游和高消费健身、娱乐等活动，不参加乙方组织</w:t>
      </w:r>
      <w:r>
        <w:rPr>
          <w:rFonts w:hint="eastAsia" w:ascii="仿宋" w:hAnsi="仿宋" w:eastAsia="仿宋" w:cs="仿宋"/>
          <w:sz w:val="24"/>
          <w:szCs w:val="24"/>
          <w:lang w:val="en-US" w:eastAsia="zh-CN"/>
        </w:rPr>
        <w:t>或支付费用</w:t>
      </w:r>
      <w:r>
        <w:rPr>
          <w:rFonts w:hint="eastAsia" w:ascii="仿宋" w:hAnsi="仿宋" w:eastAsia="仿宋" w:cs="仿宋"/>
          <w:sz w:val="24"/>
          <w:szCs w:val="24"/>
        </w:rPr>
        <w:t>的有可能影响公正履行合同的宴请等活动</w:t>
      </w:r>
      <w:r>
        <w:rPr>
          <w:rFonts w:hint="eastAsia" w:ascii="仿宋" w:hAnsi="仿宋" w:eastAsia="仿宋" w:cs="仿宋"/>
          <w:sz w:val="24"/>
          <w:szCs w:val="24"/>
          <w:lang w:eastAsia="zh-CN"/>
        </w:rPr>
        <w:t>；</w:t>
      </w:r>
    </w:p>
    <w:p w14:paraId="712B2D60">
      <w:pPr>
        <w:spacing w:line="56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（四）不得要求乙方为自己亲友的经营活动提供便利条件</w:t>
      </w:r>
      <w:r>
        <w:rPr>
          <w:rFonts w:hint="eastAsia" w:ascii="仿宋" w:hAnsi="仿宋" w:eastAsia="仿宋" w:cs="仿宋"/>
          <w:sz w:val="24"/>
          <w:szCs w:val="24"/>
          <w:lang w:eastAsia="zh-CN"/>
        </w:rPr>
        <w:t>；</w:t>
      </w:r>
    </w:p>
    <w:p w14:paraId="44128BDA">
      <w:pPr>
        <w:spacing w:line="560" w:lineRule="exact"/>
        <w:ind w:firstLine="480" w:firstLineChars="200"/>
        <w:rPr>
          <w:rFonts w:hint="eastAsia" w:ascii="仿宋" w:hAnsi="仿宋" w:eastAsia="仿宋" w:cs="仿宋"/>
          <w:sz w:val="24"/>
          <w:szCs w:val="24"/>
          <w:lang w:eastAsia="zh-CN"/>
        </w:rPr>
      </w:pPr>
      <w:r>
        <w:rPr>
          <w:rFonts w:hint="eastAsia" w:ascii="仿宋" w:hAnsi="仿宋" w:eastAsia="仿宋" w:cs="仿宋"/>
          <w:sz w:val="24"/>
          <w:szCs w:val="24"/>
        </w:rPr>
        <w:t>（五）甲方应遵守合同相关约定，不</w:t>
      </w:r>
      <w:r>
        <w:rPr>
          <w:rFonts w:hint="eastAsia" w:ascii="仿宋" w:hAnsi="仿宋" w:eastAsia="仿宋" w:cs="仿宋"/>
          <w:sz w:val="24"/>
          <w:szCs w:val="24"/>
          <w:lang w:eastAsia="zh-CN"/>
        </w:rPr>
        <w:t>得</w:t>
      </w:r>
      <w:r>
        <w:rPr>
          <w:rFonts w:hint="eastAsia" w:ascii="仿宋" w:hAnsi="仿宋" w:eastAsia="仿宋" w:cs="仿宋"/>
          <w:sz w:val="24"/>
          <w:szCs w:val="24"/>
        </w:rPr>
        <w:t>在乙方合同签订、验收、付款等正常按约履行时推诿扯皮、借故刁难</w:t>
      </w:r>
      <w:r>
        <w:rPr>
          <w:rFonts w:hint="eastAsia" w:ascii="仿宋" w:hAnsi="仿宋" w:eastAsia="仿宋" w:cs="仿宋"/>
          <w:sz w:val="24"/>
          <w:szCs w:val="24"/>
          <w:lang w:eastAsia="zh-CN"/>
        </w:rPr>
        <w:t>；</w:t>
      </w:r>
    </w:p>
    <w:p w14:paraId="68E3FBB8">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（六）严禁甲方工作人员利用任何途径和方式，为乙方统计医师个人及临床科室有关医药产品和耗材、设备等使用信息，或为乙方统计提供便利。</w:t>
      </w:r>
    </w:p>
    <w:p w14:paraId="734C2E92">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三、乙方（供应商及其授权委托人、利益相关方）责任和义务：</w:t>
      </w:r>
    </w:p>
    <w:p w14:paraId="765A5D08">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（一）遵守依法合规经营、诚实守信原则及廉洁从业有关规定</w:t>
      </w:r>
      <w:r>
        <w:rPr>
          <w:rFonts w:hint="eastAsia" w:ascii="仿宋" w:hAnsi="仿宋" w:eastAsia="仿宋" w:cs="仿宋"/>
          <w:sz w:val="24"/>
          <w:szCs w:val="24"/>
          <w:lang w:eastAsia="zh-CN"/>
        </w:rPr>
        <w:t>；</w:t>
      </w:r>
    </w:p>
    <w:p w14:paraId="5C30AD50">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（二）不向甲方及甲方人员赠送任何形式的现金、礼品、支付凭证、消费卡和有价证券等</w:t>
      </w:r>
      <w:r>
        <w:rPr>
          <w:rFonts w:hint="eastAsia" w:ascii="仿宋" w:hAnsi="仿宋" w:eastAsia="仿宋" w:cs="仿宋"/>
          <w:sz w:val="24"/>
          <w:szCs w:val="24"/>
          <w:lang w:eastAsia="zh-CN"/>
        </w:rPr>
        <w:t>；不</w:t>
      </w:r>
      <w:r>
        <w:rPr>
          <w:rFonts w:hint="eastAsia" w:ascii="仿宋" w:hAnsi="仿宋" w:eastAsia="仿宋" w:cs="仿宋"/>
          <w:sz w:val="24"/>
          <w:szCs w:val="24"/>
        </w:rPr>
        <w:t>向甲方及甲方人员提供可能影响正常业务开展的无偿或象征性低价付费的物品或服务；不为甲方及甲方人员报销各种费用；</w:t>
      </w:r>
      <w:r>
        <w:rPr>
          <w:rFonts w:hint="eastAsia" w:ascii="仿宋" w:hAnsi="仿宋" w:eastAsia="仿宋" w:cs="仿宋"/>
          <w:sz w:val="24"/>
          <w:szCs w:val="24"/>
          <w:lang w:val="en-US" w:eastAsia="zh-CN"/>
        </w:rPr>
        <w:t>除合同约定内容外，</w:t>
      </w:r>
      <w:r>
        <w:rPr>
          <w:rFonts w:hint="eastAsia" w:ascii="仿宋" w:hAnsi="仿宋" w:eastAsia="仿宋" w:cs="仿宋"/>
          <w:sz w:val="24"/>
          <w:szCs w:val="24"/>
        </w:rPr>
        <w:t>不为甲方及甲方人员提供任何形式的赞助、捐赠等</w:t>
      </w:r>
      <w:r>
        <w:rPr>
          <w:rFonts w:hint="eastAsia" w:ascii="仿宋" w:hAnsi="仿宋" w:eastAsia="仿宋" w:cs="仿宋"/>
          <w:sz w:val="24"/>
          <w:szCs w:val="24"/>
          <w:lang w:eastAsia="zh-CN"/>
        </w:rPr>
        <w:t>；</w:t>
      </w:r>
    </w:p>
    <w:p w14:paraId="0DBD688A">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（三）不向甲方及甲方人员以出借、赠予或象征性低价付费等方式提供房屋、机器设备、交通工具、通信设备等资产；不向甲方及甲方人员提供</w:t>
      </w:r>
      <w:r>
        <w:rPr>
          <w:rFonts w:hint="eastAsia" w:ascii="仿宋" w:hAnsi="仿宋" w:eastAsia="仿宋" w:cs="仿宋"/>
          <w:sz w:val="24"/>
          <w:szCs w:val="24"/>
          <w:lang w:eastAsia="zh-CN"/>
        </w:rPr>
        <w:t>、</w:t>
      </w:r>
      <w:r>
        <w:rPr>
          <w:rFonts w:hint="eastAsia" w:ascii="仿宋" w:hAnsi="仿宋" w:eastAsia="仿宋" w:cs="仿宋"/>
          <w:sz w:val="24"/>
          <w:szCs w:val="24"/>
        </w:rPr>
        <w:t>组织</w:t>
      </w:r>
      <w:r>
        <w:rPr>
          <w:rFonts w:hint="eastAsia" w:ascii="仿宋" w:hAnsi="仿宋" w:eastAsia="仿宋" w:cs="仿宋"/>
          <w:sz w:val="24"/>
          <w:szCs w:val="24"/>
          <w:lang w:val="en-US" w:eastAsia="zh-CN"/>
        </w:rPr>
        <w:t>或支付费用的</w:t>
      </w:r>
      <w:r>
        <w:rPr>
          <w:rFonts w:hint="eastAsia" w:ascii="仿宋" w:hAnsi="仿宋" w:eastAsia="仿宋" w:cs="仿宋"/>
          <w:sz w:val="24"/>
          <w:szCs w:val="24"/>
        </w:rPr>
        <w:t>可能影响正常业务开展的宴请、培训、工作考察；不向甲方及甲方人员直接或变相提供</w:t>
      </w:r>
      <w:r>
        <w:rPr>
          <w:rFonts w:hint="eastAsia" w:ascii="仿宋" w:hAnsi="仿宋" w:eastAsia="仿宋" w:cs="仿宋"/>
          <w:sz w:val="24"/>
          <w:szCs w:val="24"/>
          <w:lang w:eastAsia="zh-CN"/>
        </w:rPr>
        <w:t>、</w:t>
      </w:r>
      <w:r>
        <w:rPr>
          <w:rFonts w:hint="eastAsia" w:ascii="仿宋" w:hAnsi="仿宋" w:eastAsia="仿宋" w:cs="仿宋"/>
          <w:sz w:val="24"/>
          <w:szCs w:val="24"/>
        </w:rPr>
        <w:t>组织</w:t>
      </w:r>
      <w:r>
        <w:rPr>
          <w:rFonts w:hint="eastAsia" w:ascii="仿宋" w:hAnsi="仿宋" w:eastAsia="仿宋" w:cs="仿宋"/>
          <w:sz w:val="24"/>
          <w:szCs w:val="24"/>
          <w:lang w:val="en-US" w:eastAsia="zh-CN"/>
        </w:rPr>
        <w:t>或支付费用的</w:t>
      </w:r>
      <w:r>
        <w:rPr>
          <w:rFonts w:hint="eastAsia" w:ascii="仿宋" w:hAnsi="仿宋" w:eastAsia="仿宋" w:cs="仿宋"/>
          <w:sz w:val="24"/>
          <w:szCs w:val="24"/>
        </w:rPr>
        <w:t>娱乐、健身、旅游观光、休闲度假、上学、装修等活动</w:t>
      </w:r>
      <w:r>
        <w:rPr>
          <w:rFonts w:hint="eastAsia" w:ascii="仿宋" w:hAnsi="仿宋" w:eastAsia="仿宋" w:cs="仿宋"/>
          <w:sz w:val="24"/>
          <w:szCs w:val="24"/>
          <w:lang w:eastAsia="zh-CN"/>
        </w:rPr>
        <w:t>；</w:t>
      </w:r>
    </w:p>
    <w:p w14:paraId="52F76059">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（四）不为甲方人员及其配偶、子女及其配偶和其他特定关系人（包括但不限于其他近亲属，下同）谋取不正当利益</w:t>
      </w:r>
      <w:r>
        <w:rPr>
          <w:rFonts w:hint="eastAsia" w:ascii="仿宋" w:hAnsi="仿宋" w:eastAsia="仿宋" w:cs="仿宋"/>
          <w:sz w:val="24"/>
          <w:szCs w:val="24"/>
          <w:lang w:eastAsia="zh-CN"/>
        </w:rPr>
        <w:t>；</w:t>
      </w:r>
    </w:p>
    <w:p w14:paraId="494ABCE3">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（五）不向甲方人员及其配偶、子女及其配偶和其他特定关系人提供借款、租赁或担保</w:t>
      </w:r>
      <w:r>
        <w:rPr>
          <w:rFonts w:hint="eastAsia" w:ascii="仿宋" w:hAnsi="仿宋" w:eastAsia="仿宋" w:cs="仿宋"/>
          <w:sz w:val="24"/>
          <w:szCs w:val="24"/>
          <w:lang w:eastAsia="zh-CN"/>
        </w:rPr>
        <w:t>；</w:t>
      </w:r>
    </w:p>
    <w:p w14:paraId="6E79D29C">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（六）不向甲方人员直接或间接打听、询问办理业务过程中涉及甲方内部秘密的信息</w:t>
      </w:r>
      <w:r>
        <w:rPr>
          <w:rFonts w:hint="eastAsia" w:ascii="仿宋" w:hAnsi="仿宋" w:eastAsia="仿宋" w:cs="仿宋"/>
          <w:sz w:val="24"/>
          <w:szCs w:val="24"/>
          <w:lang w:eastAsia="zh-CN"/>
        </w:rPr>
        <w:t>；</w:t>
      </w:r>
    </w:p>
    <w:p w14:paraId="320F6DCB">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（七）不得要求甲方人员为乙方违规或越权开展相关工作</w:t>
      </w:r>
      <w:r>
        <w:rPr>
          <w:rFonts w:hint="eastAsia" w:ascii="仿宋" w:hAnsi="仿宋" w:eastAsia="仿宋" w:cs="仿宋"/>
          <w:sz w:val="24"/>
          <w:szCs w:val="24"/>
          <w:lang w:eastAsia="zh-CN"/>
        </w:rPr>
        <w:t>；</w:t>
      </w:r>
    </w:p>
    <w:p w14:paraId="4708CFA2">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（八）乙方如发现甲方人员索要、收受贿赂或其他</w:t>
      </w:r>
      <w:r>
        <w:rPr>
          <w:rFonts w:hint="eastAsia" w:ascii="仿宋" w:hAnsi="仿宋" w:eastAsia="仿宋" w:cs="仿宋"/>
          <w:sz w:val="24"/>
          <w:szCs w:val="24"/>
          <w:lang w:val="en-US" w:eastAsia="zh-CN"/>
        </w:rPr>
        <w:t>违规</w:t>
      </w:r>
      <w:r>
        <w:rPr>
          <w:rFonts w:hint="eastAsia" w:ascii="仿宋" w:hAnsi="仿宋" w:eastAsia="仿宋" w:cs="仿宋"/>
          <w:sz w:val="24"/>
          <w:szCs w:val="24"/>
        </w:rPr>
        <w:t>违纪违法行为，有及时向甲方本合同指定的监督部门报告的</w:t>
      </w:r>
      <w:r>
        <w:rPr>
          <w:rFonts w:hint="eastAsia" w:ascii="仿宋" w:hAnsi="仿宋" w:eastAsia="仿宋" w:cs="仿宋"/>
          <w:sz w:val="24"/>
          <w:szCs w:val="24"/>
          <w:lang w:eastAsia="zh-CN"/>
        </w:rPr>
        <w:t>责任和</w:t>
      </w:r>
      <w:r>
        <w:rPr>
          <w:rFonts w:hint="eastAsia" w:ascii="仿宋" w:hAnsi="仿宋" w:eastAsia="仿宋" w:cs="仿宋"/>
          <w:sz w:val="24"/>
          <w:szCs w:val="24"/>
        </w:rPr>
        <w:t>义务</w:t>
      </w:r>
      <w:r>
        <w:rPr>
          <w:rFonts w:hint="eastAsia" w:ascii="仿宋" w:hAnsi="仿宋" w:eastAsia="仿宋" w:cs="仿宋"/>
          <w:sz w:val="24"/>
          <w:szCs w:val="24"/>
          <w:lang w:eastAsia="zh-CN"/>
        </w:rPr>
        <w:t>；</w:t>
      </w:r>
    </w:p>
    <w:p w14:paraId="7D1F8163">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（九）甲方对涉嫌不廉洁的商业行为进行调查时，乙方有积极配合甲方并提供相关证据、作证的义务</w:t>
      </w:r>
      <w:r>
        <w:rPr>
          <w:rFonts w:hint="eastAsia" w:ascii="仿宋" w:hAnsi="仿宋" w:eastAsia="仿宋" w:cs="仿宋"/>
          <w:sz w:val="24"/>
          <w:szCs w:val="24"/>
          <w:lang w:eastAsia="zh-CN"/>
        </w:rPr>
        <w:t>；</w:t>
      </w:r>
    </w:p>
    <w:p w14:paraId="1C5BE9D8">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（十）未经甲方书面同意，乙方不得向任何新闻媒体、第三</w:t>
      </w:r>
      <w:r>
        <w:rPr>
          <w:rFonts w:hint="eastAsia" w:ascii="仿宋" w:hAnsi="仿宋" w:eastAsia="仿宋" w:cs="仿宋"/>
          <w:sz w:val="24"/>
          <w:szCs w:val="24"/>
          <w:lang w:eastAsia="zh-CN"/>
        </w:rPr>
        <w:t>方</w:t>
      </w:r>
      <w:r>
        <w:rPr>
          <w:rFonts w:hint="eastAsia" w:ascii="仿宋" w:hAnsi="仿宋" w:eastAsia="仿宋" w:cs="仿宋"/>
          <w:sz w:val="24"/>
          <w:szCs w:val="24"/>
        </w:rPr>
        <w:t>披露有关医院人员商业道德方面的评价、信息，也不得披露本廉洁购销合同书内容及乙方与甲方具体商业合作的内容，严格遵守保密义务</w:t>
      </w:r>
      <w:r>
        <w:rPr>
          <w:rFonts w:hint="eastAsia" w:ascii="仿宋" w:hAnsi="仿宋" w:eastAsia="仿宋" w:cs="仿宋"/>
          <w:sz w:val="24"/>
          <w:szCs w:val="24"/>
          <w:lang w:eastAsia="zh-CN"/>
        </w:rPr>
        <w:t>；</w:t>
      </w:r>
    </w:p>
    <w:p w14:paraId="799FBE5D">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（十一）不得为甲方人员提供专职或兼职的工作岗位或向甲方人员发放各种形式的薪酬、奖金、分红等</w:t>
      </w:r>
      <w:r>
        <w:rPr>
          <w:rFonts w:hint="eastAsia" w:ascii="仿宋" w:hAnsi="仿宋" w:eastAsia="仿宋" w:cs="仿宋"/>
          <w:sz w:val="24"/>
          <w:szCs w:val="24"/>
          <w:lang w:eastAsia="zh-CN"/>
        </w:rPr>
        <w:t>；</w:t>
      </w:r>
    </w:p>
    <w:p w14:paraId="33DE3104">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（十二）不得以不正当渠道或非法手段干预及影响甲方干部人事任免、公共决策等内部行为</w:t>
      </w:r>
      <w:r>
        <w:rPr>
          <w:rFonts w:hint="eastAsia" w:ascii="仿宋" w:hAnsi="仿宋" w:eastAsia="仿宋" w:cs="仿宋"/>
          <w:sz w:val="24"/>
          <w:szCs w:val="24"/>
          <w:lang w:eastAsia="zh-CN"/>
        </w:rPr>
        <w:t>；</w:t>
      </w:r>
    </w:p>
    <w:p w14:paraId="33DE5D65">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（十三）不得组织甲方人员及亲属参与赌博等非法活动</w:t>
      </w:r>
      <w:r>
        <w:rPr>
          <w:rFonts w:hint="eastAsia" w:ascii="仿宋" w:hAnsi="仿宋" w:eastAsia="仿宋" w:cs="仿宋"/>
          <w:sz w:val="24"/>
          <w:szCs w:val="24"/>
          <w:lang w:eastAsia="zh-CN"/>
        </w:rPr>
        <w:t>；</w:t>
      </w:r>
    </w:p>
    <w:p w14:paraId="43FFB31D">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（十四）不得</w:t>
      </w:r>
      <w:r>
        <w:rPr>
          <w:rFonts w:hint="eastAsia" w:ascii="仿宋" w:hAnsi="仿宋" w:eastAsia="仿宋" w:cs="仿宋"/>
          <w:sz w:val="24"/>
          <w:szCs w:val="24"/>
          <w:lang w:eastAsia="zh-CN"/>
        </w:rPr>
        <w:t>以任何方式要求甲方人员</w:t>
      </w:r>
      <w:r>
        <w:rPr>
          <w:rFonts w:hint="eastAsia" w:ascii="仿宋" w:hAnsi="仿宋" w:eastAsia="仿宋" w:cs="仿宋"/>
          <w:sz w:val="24"/>
          <w:szCs w:val="24"/>
        </w:rPr>
        <w:t>做其他违反相关法律法规、规章</w:t>
      </w:r>
      <w:r>
        <w:rPr>
          <w:rFonts w:hint="eastAsia" w:ascii="仿宋" w:hAnsi="仿宋" w:eastAsia="仿宋" w:cs="仿宋"/>
          <w:sz w:val="24"/>
          <w:szCs w:val="24"/>
          <w:lang w:val="en-US" w:eastAsia="zh-CN"/>
        </w:rPr>
        <w:t>制度</w:t>
      </w:r>
      <w:r>
        <w:rPr>
          <w:rFonts w:hint="eastAsia" w:ascii="仿宋" w:hAnsi="仿宋" w:eastAsia="仿宋" w:cs="仿宋"/>
          <w:sz w:val="24"/>
          <w:szCs w:val="24"/>
        </w:rPr>
        <w:t>、中国共产党纪律规定的行为</w:t>
      </w:r>
      <w:r>
        <w:rPr>
          <w:rFonts w:hint="eastAsia" w:ascii="仿宋" w:hAnsi="仿宋" w:eastAsia="仿宋" w:cs="仿宋"/>
          <w:sz w:val="24"/>
          <w:szCs w:val="24"/>
          <w:lang w:eastAsia="zh-CN"/>
        </w:rPr>
        <w:t>；</w:t>
      </w:r>
    </w:p>
    <w:p w14:paraId="64A9AEEE">
      <w:pPr>
        <w:widowControl/>
        <w:adjustRightInd w:val="0"/>
        <w:snapToGrid w:val="0"/>
        <w:spacing w:line="500" w:lineRule="exact"/>
        <w:ind w:firstLine="480" w:firstLineChars="200"/>
        <w:jc w:val="left"/>
        <w:rPr>
          <w:rFonts w:hint="eastAsia" w:ascii="仿宋" w:hAnsi="仿宋" w:eastAsia="仿宋" w:cs="仿宋"/>
          <w:sz w:val="24"/>
          <w:szCs w:val="24"/>
          <w:lang w:eastAsia="zh-CN"/>
        </w:rPr>
      </w:pPr>
      <w:r>
        <w:rPr>
          <w:rFonts w:hint="eastAsia" w:ascii="仿宋" w:hAnsi="仿宋" w:eastAsia="仿宋" w:cs="仿宋"/>
          <w:sz w:val="24"/>
          <w:szCs w:val="24"/>
        </w:rPr>
        <w:t>（十五）不得在合同签订、验收、使用、付款等履行环节为获得便利向甲方任何人支付任何合同约定以外的费用</w:t>
      </w:r>
      <w:r>
        <w:rPr>
          <w:rFonts w:hint="eastAsia" w:ascii="仿宋" w:hAnsi="仿宋" w:eastAsia="仿宋" w:cs="仿宋"/>
          <w:sz w:val="24"/>
          <w:szCs w:val="24"/>
          <w:lang w:eastAsia="zh-CN"/>
        </w:rPr>
        <w:t>；</w:t>
      </w:r>
    </w:p>
    <w:p w14:paraId="3A970EA9">
      <w:pPr>
        <w:widowControl/>
        <w:adjustRightInd w:val="0"/>
        <w:snapToGrid w:val="0"/>
        <w:spacing w:line="500" w:lineRule="exact"/>
        <w:ind w:firstLine="480" w:firstLineChars="200"/>
        <w:jc w:val="left"/>
        <w:rPr>
          <w:rFonts w:hint="eastAsia" w:ascii="仿宋" w:hAnsi="仿宋" w:eastAsia="仿宋" w:cs="仿宋"/>
          <w:sz w:val="24"/>
          <w:szCs w:val="24"/>
          <w:u w:val="single"/>
          <w:lang w:val="en-US" w:eastAsia="zh-CN"/>
        </w:rPr>
      </w:pPr>
      <w:r>
        <w:rPr>
          <w:rFonts w:hint="eastAsia" w:ascii="仿宋" w:hAnsi="仿宋" w:eastAsia="仿宋" w:cs="仿宋"/>
          <w:sz w:val="24"/>
          <w:szCs w:val="24"/>
        </w:rPr>
        <w:t>（十六）乙方指定</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p>
    <w:p w14:paraId="5F83C847">
      <w:pPr>
        <w:widowControl/>
        <w:adjustRightInd w:val="0"/>
        <w:snapToGrid w:val="0"/>
        <w:spacing w:line="500" w:lineRule="exact"/>
        <w:ind w:firstLine="480" w:firstLineChars="200"/>
        <w:jc w:val="left"/>
        <w:rPr>
          <w:rFonts w:hint="eastAsia" w:ascii="仿宋" w:hAnsi="仿宋" w:eastAsia="仿宋" w:cs="仿宋"/>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w:t>
      </w:r>
      <w:r>
        <w:rPr>
          <w:rFonts w:hint="eastAsia" w:ascii="仿宋" w:hAnsi="仿宋" w:eastAsia="仿宋" w:cs="仿宋"/>
          <w:sz w:val="24"/>
          <w:szCs w:val="24"/>
          <w:u w:val="none"/>
          <w:lang w:val="en-US" w:eastAsia="zh-CN"/>
        </w:rPr>
        <w:t>姓名+身份证号码+联系方式</w:t>
      </w:r>
      <w:r>
        <w:rPr>
          <w:rFonts w:hint="eastAsia" w:ascii="仿宋" w:hAnsi="仿宋" w:eastAsia="仿宋" w:cs="仿宋"/>
          <w:sz w:val="24"/>
          <w:szCs w:val="24"/>
          <w:u w:val="none"/>
          <w:lang w:eastAsia="zh-CN"/>
        </w:rPr>
        <w:t>）</w:t>
      </w:r>
      <w:r>
        <w:rPr>
          <w:rFonts w:hint="eastAsia" w:ascii="仿宋" w:hAnsi="仿宋" w:eastAsia="仿宋" w:cs="仿宋"/>
          <w:sz w:val="24"/>
          <w:szCs w:val="24"/>
        </w:rPr>
        <w:t>作为销售代表洽谈业务，销售代表必须在工作时间到甲方纪检监察部门指定地点联系商谈，</w:t>
      </w:r>
      <w:r>
        <w:rPr>
          <w:rFonts w:hint="eastAsia" w:ascii="仿宋" w:hAnsi="仿宋" w:eastAsia="仿宋" w:cs="仿宋"/>
          <w:spacing w:val="0"/>
          <w:sz w:val="24"/>
          <w:szCs w:val="24"/>
          <w:shd w:val="clear" w:color="auto" w:fill="auto"/>
          <w:lang w:bidi="he-IL"/>
        </w:rPr>
        <w:t>不得擅自到门（急）诊、</w:t>
      </w:r>
      <w:r>
        <w:rPr>
          <w:rFonts w:hint="eastAsia" w:ascii="仿宋" w:hAnsi="仿宋" w:eastAsia="仿宋" w:cs="仿宋"/>
          <w:spacing w:val="0"/>
          <w:sz w:val="24"/>
          <w:szCs w:val="24"/>
          <w:shd w:val="clear" w:color="auto" w:fill="auto"/>
          <w:lang w:val="en-US" w:eastAsia="zh-CN" w:bidi="he-IL"/>
        </w:rPr>
        <w:t>医护办公室、职能重点部门等</w:t>
      </w:r>
      <w:r>
        <w:rPr>
          <w:rFonts w:hint="eastAsia" w:ascii="仿宋" w:hAnsi="仿宋" w:eastAsia="仿宋" w:cs="仿宋"/>
          <w:sz w:val="24"/>
          <w:szCs w:val="24"/>
          <w:shd w:val="clear" w:color="auto" w:fill="auto"/>
          <w:lang w:bidi="he-IL"/>
        </w:rPr>
        <w:t>重点区域开展相关业务活动</w:t>
      </w:r>
      <w:r>
        <w:rPr>
          <w:rFonts w:hint="eastAsia" w:ascii="仿宋" w:hAnsi="仿宋" w:eastAsia="仿宋" w:cs="仿宋"/>
          <w:sz w:val="24"/>
          <w:szCs w:val="24"/>
          <w:shd w:val="clear" w:color="auto" w:fill="auto"/>
          <w:lang w:eastAsia="zh-CN" w:bidi="he-IL"/>
        </w:rPr>
        <w:t>，</w:t>
      </w:r>
      <w:r>
        <w:rPr>
          <w:rFonts w:hint="eastAsia" w:ascii="仿宋" w:hAnsi="仿宋" w:eastAsia="仿宋" w:cs="仿宋"/>
          <w:sz w:val="24"/>
          <w:szCs w:val="24"/>
        </w:rPr>
        <w:t>，不得借故到甲方相关领导、部门负责人及相关工作人员家中访谈并提供任何好处费。</w:t>
      </w:r>
    </w:p>
    <w:p w14:paraId="474BF164">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四、违约责任</w:t>
      </w:r>
    </w:p>
    <w:p w14:paraId="6CB7AE66">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一）乙方人员如从事上述行为，均视为乙方谋取不法利益，甲方有权决定是否解除采购合同。情节轻微的，由甲方纪检监察部门按照医药购销商业贿赂不良记录有关规定进行登记、约谈；构成违法犯罪的，甲方将线索提供给司法机关</w:t>
      </w:r>
      <w:r>
        <w:rPr>
          <w:rFonts w:hint="eastAsia" w:ascii="仿宋" w:hAnsi="仿宋" w:eastAsia="仿宋" w:cs="仿宋"/>
          <w:sz w:val="24"/>
          <w:szCs w:val="24"/>
          <w:lang w:val="en-US" w:eastAsia="zh-CN"/>
        </w:rPr>
        <w:t>或</w:t>
      </w:r>
      <w:r>
        <w:rPr>
          <w:rFonts w:hint="eastAsia" w:ascii="仿宋" w:hAnsi="仿宋" w:eastAsia="仿宋" w:cs="仿宋"/>
          <w:sz w:val="24"/>
          <w:szCs w:val="24"/>
        </w:rPr>
        <w:t>有关执纪部门，按管辖权依法依纪追究其法律责任。</w:t>
      </w:r>
    </w:p>
    <w:p w14:paraId="4E5D4001">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二）如乙方被列入商业贿赂不良记录，则严格按照《国家卫生计生委关于建立医药购销领域商业贿赂不良记录的规定》（国卫法制发[2013]50号）相关规定处理。对列入商业贿赂不良记录的货物、服务供应商及工程项目中标人，</w:t>
      </w:r>
      <w:r>
        <w:rPr>
          <w:rFonts w:hint="eastAsia" w:ascii="仿宋" w:hAnsi="仿宋" w:eastAsia="仿宋" w:cs="仿宋"/>
          <w:sz w:val="24"/>
          <w:szCs w:val="24"/>
          <w:lang w:eastAsia="zh-CN"/>
        </w:rPr>
        <w:t>安宁市</w:t>
      </w:r>
      <w:r>
        <w:rPr>
          <w:rFonts w:hint="eastAsia" w:ascii="仿宋" w:hAnsi="仿宋" w:eastAsia="仿宋" w:cs="仿宋"/>
          <w:sz w:val="24"/>
          <w:szCs w:val="24"/>
        </w:rPr>
        <w:t>医共体各医院在两年内（从被确认录入商业贿赂不良记录之日起，下同）不得以任何名义、任何形式采购其货物、服务及从事相关工程项目。</w:t>
      </w:r>
    </w:p>
    <w:p w14:paraId="43B73EF4">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（三）甲方人员如违反本廉洁购销合同有关条款，甲方将依据医院管理制度对违纪人员问责，情节严重，涉嫌违法犯罪的依法移交司法机关处理。</w:t>
      </w:r>
    </w:p>
    <w:p w14:paraId="5F010A89">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四）双方应自觉履行本廉洁购销合同并互相监督，一方不履行合同的，另一方有权利和义务进行提醒，对于提醒仍未纠正的，可进行举报。乙方举报甲方人员违规违纪行为，甲方保证乙方不会在正常业务中受不公平待遇。</w:t>
      </w:r>
    </w:p>
    <w:p w14:paraId="18756E52">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（五）由于双方单位或工作人员个人行为造成违约的，双方单位承担上述约定的违约责任。</w:t>
      </w:r>
    </w:p>
    <w:p w14:paraId="4B2D41BB">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五、双方在履行本廉洁购销合同中发生争议，一方有权向对方的上级主管部门</w:t>
      </w:r>
      <w:r>
        <w:rPr>
          <w:rFonts w:hint="eastAsia" w:ascii="仿宋" w:hAnsi="仿宋" w:eastAsia="仿宋" w:cs="仿宋"/>
          <w:sz w:val="24"/>
          <w:szCs w:val="24"/>
          <w:lang w:val="en-US" w:eastAsia="zh-CN"/>
        </w:rPr>
        <w:t>或</w:t>
      </w:r>
      <w:r>
        <w:rPr>
          <w:rFonts w:hint="eastAsia" w:ascii="仿宋" w:hAnsi="仿宋" w:eastAsia="仿宋" w:cs="仿宋"/>
          <w:sz w:val="24"/>
          <w:szCs w:val="24"/>
        </w:rPr>
        <w:t>执纪部门反映情况，并要求帮助解决争议。</w:t>
      </w:r>
    </w:p>
    <w:p w14:paraId="02F13DEE">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六、甲乙双方有其</w:t>
      </w:r>
      <w:r>
        <w:rPr>
          <w:rFonts w:hint="eastAsia" w:ascii="仿宋" w:hAnsi="仿宋" w:eastAsia="仿宋" w:cs="仿宋"/>
          <w:sz w:val="24"/>
          <w:szCs w:val="24"/>
          <w:lang w:val="en-US" w:eastAsia="zh-CN"/>
        </w:rPr>
        <w:t>它</w:t>
      </w:r>
      <w:r>
        <w:rPr>
          <w:rFonts w:hint="eastAsia" w:ascii="仿宋" w:hAnsi="仿宋" w:eastAsia="仿宋" w:cs="仿宋"/>
          <w:sz w:val="24"/>
          <w:szCs w:val="24"/>
        </w:rPr>
        <w:t>违反廉政规定的行为，影响正确履行采购合同的，按国家的有关法令、法规，对相关方予以追究责任。</w:t>
      </w:r>
    </w:p>
    <w:p w14:paraId="00C3248D">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七、本廉洁购销合同作为采购合同不可分割的组成部分，与采购合同具有同等的法律效力。</w:t>
      </w:r>
    </w:p>
    <w:p w14:paraId="74FBE477">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八、本廉洁购销合同一式三份，甲乙双方各执一份，甲方纪检监察部门执一份，合同自签订之日起生效。</w:t>
      </w:r>
    </w:p>
    <w:p w14:paraId="7C938107">
      <w:pPr>
        <w:spacing w:line="5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九、本廉洁购销合同有效期限为采购合同签署之日起，至采购合同履行期满止。  </w:t>
      </w:r>
    </w:p>
    <w:p w14:paraId="25319B44">
      <w:pPr>
        <w:spacing w:line="560" w:lineRule="exact"/>
        <w:ind w:firstLine="480" w:firstLineChars="200"/>
        <w:rPr>
          <w:rFonts w:hint="eastAsia" w:ascii="仿宋" w:hAnsi="仿宋" w:eastAsia="仿宋" w:cs="仿宋"/>
          <w:sz w:val="24"/>
          <w:szCs w:val="24"/>
          <w:vertAlign w:val="baseline"/>
        </w:rPr>
      </w:pPr>
      <w:r>
        <w:rPr>
          <w:rFonts w:hint="eastAsia" w:ascii="仿宋" w:hAnsi="仿宋" w:eastAsia="仿宋" w:cs="仿宋"/>
          <w:sz w:val="24"/>
          <w:szCs w:val="24"/>
        </w:rPr>
        <w:t>    </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6"/>
        <w:gridCol w:w="2625"/>
        <w:gridCol w:w="1950"/>
        <w:gridCol w:w="2311"/>
      </w:tblGrid>
      <w:tr w14:paraId="193B7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6" w:type="dxa"/>
          </w:tcPr>
          <w:p w14:paraId="6D02E691">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 xml:space="preserve">甲方（盖章） </w:t>
            </w:r>
          </w:p>
        </w:tc>
        <w:tc>
          <w:tcPr>
            <w:tcW w:w="2625" w:type="dxa"/>
          </w:tcPr>
          <w:p w14:paraId="422851CA">
            <w:pPr>
              <w:spacing w:line="560" w:lineRule="exact"/>
              <w:jc w:val="both"/>
              <w:rPr>
                <w:rFonts w:hint="eastAsia" w:ascii="仿宋" w:hAnsi="仿宋" w:eastAsia="仿宋" w:cs="仿宋"/>
                <w:sz w:val="24"/>
                <w:szCs w:val="24"/>
                <w:vertAlign w:val="baseline"/>
                <w:lang w:eastAsia="zh-CN"/>
              </w:rPr>
            </w:pPr>
          </w:p>
        </w:tc>
        <w:tc>
          <w:tcPr>
            <w:tcW w:w="1950" w:type="dxa"/>
            <w:vAlign w:val="top"/>
          </w:tcPr>
          <w:p w14:paraId="32BAD77B">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lang w:eastAsia="zh-CN"/>
              </w:rPr>
              <w:t>乙</w:t>
            </w:r>
            <w:r>
              <w:rPr>
                <w:rFonts w:hint="eastAsia" w:ascii="仿宋" w:hAnsi="仿宋" w:eastAsia="仿宋" w:cs="仿宋"/>
                <w:sz w:val="24"/>
                <w:szCs w:val="24"/>
              </w:rPr>
              <w:t xml:space="preserve">方（盖章） </w:t>
            </w:r>
          </w:p>
        </w:tc>
        <w:tc>
          <w:tcPr>
            <w:tcW w:w="2311" w:type="dxa"/>
          </w:tcPr>
          <w:p w14:paraId="78537C70">
            <w:pPr>
              <w:spacing w:line="560" w:lineRule="exact"/>
              <w:jc w:val="both"/>
              <w:rPr>
                <w:rFonts w:hint="eastAsia" w:ascii="仿宋" w:hAnsi="仿宋" w:eastAsia="仿宋" w:cs="仿宋"/>
                <w:sz w:val="24"/>
                <w:szCs w:val="24"/>
                <w:vertAlign w:val="baseline"/>
                <w:lang w:eastAsia="zh-CN"/>
              </w:rPr>
            </w:pPr>
          </w:p>
        </w:tc>
      </w:tr>
      <w:tr w14:paraId="26648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6" w:type="dxa"/>
          </w:tcPr>
          <w:p w14:paraId="444AB4EC">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 xml:space="preserve">法定代表人 </w:t>
            </w:r>
          </w:p>
        </w:tc>
        <w:tc>
          <w:tcPr>
            <w:tcW w:w="2625" w:type="dxa"/>
          </w:tcPr>
          <w:p w14:paraId="68DC7208">
            <w:pPr>
              <w:spacing w:line="560" w:lineRule="exact"/>
              <w:jc w:val="both"/>
              <w:rPr>
                <w:rFonts w:hint="eastAsia" w:ascii="仿宋" w:hAnsi="仿宋" w:eastAsia="仿宋" w:cs="仿宋"/>
                <w:sz w:val="24"/>
                <w:szCs w:val="24"/>
                <w:vertAlign w:val="baseline"/>
                <w:lang w:eastAsia="zh-CN"/>
              </w:rPr>
            </w:pPr>
          </w:p>
        </w:tc>
        <w:tc>
          <w:tcPr>
            <w:tcW w:w="1950" w:type="dxa"/>
            <w:vAlign w:val="top"/>
          </w:tcPr>
          <w:p w14:paraId="77068B19">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 xml:space="preserve">法定代表人 </w:t>
            </w:r>
          </w:p>
        </w:tc>
        <w:tc>
          <w:tcPr>
            <w:tcW w:w="2311" w:type="dxa"/>
          </w:tcPr>
          <w:p w14:paraId="57CC1B45">
            <w:pPr>
              <w:spacing w:line="560" w:lineRule="exact"/>
              <w:jc w:val="both"/>
              <w:rPr>
                <w:rFonts w:hint="eastAsia" w:ascii="仿宋" w:hAnsi="仿宋" w:eastAsia="仿宋" w:cs="仿宋"/>
                <w:sz w:val="24"/>
                <w:szCs w:val="24"/>
                <w:vertAlign w:val="baseline"/>
                <w:lang w:eastAsia="zh-CN"/>
              </w:rPr>
            </w:pPr>
          </w:p>
        </w:tc>
      </w:tr>
      <w:tr w14:paraId="68F1D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6" w:type="dxa"/>
          </w:tcPr>
          <w:p w14:paraId="332EF491">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经办人签名</w:t>
            </w:r>
          </w:p>
        </w:tc>
        <w:tc>
          <w:tcPr>
            <w:tcW w:w="2625" w:type="dxa"/>
          </w:tcPr>
          <w:p w14:paraId="700B0447">
            <w:pPr>
              <w:spacing w:line="560" w:lineRule="exact"/>
              <w:jc w:val="both"/>
              <w:rPr>
                <w:rFonts w:hint="eastAsia" w:ascii="仿宋" w:hAnsi="仿宋" w:eastAsia="仿宋" w:cs="仿宋"/>
                <w:sz w:val="24"/>
                <w:szCs w:val="24"/>
                <w:vertAlign w:val="baseline"/>
                <w:lang w:eastAsia="zh-CN"/>
              </w:rPr>
            </w:pPr>
          </w:p>
        </w:tc>
        <w:tc>
          <w:tcPr>
            <w:tcW w:w="1950" w:type="dxa"/>
            <w:vAlign w:val="top"/>
          </w:tcPr>
          <w:p w14:paraId="0587B61A">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经办人签名</w:t>
            </w:r>
          </w:p>
        </w:tc>
        <w:tc>
          <w:tcPr>
            <w:tcW w:w="2311" w:type="dxa"/>
          </w:tcPr>
          <w:p w14:paraId="0DF016D6">
            <w:pPr>
              <w:spacing w:line="560" w:lineRule="exact"/>
              <w:jc w:val="both"/>
              <w:rPr>
                <w:rFonts w:hint="eastAsia" w:ascii="仿宋" w:hAnsi="仿宋" w:eastAsia="仿宋" w:cs="仿宋"/>
                <w:sz w:val="24"/>
                <w:szCs w:val="24"/>
                <w:vertAlign w:val="baseline"/>
                <w:lang w:eastAsia="zh-CN"/>
              </w:rPr>
            </w:pPr>
          </w:p>
        </w:tc>
      </w:tr>
      <w:tr w14:paraId="4E48E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6" w:type="dxa"/>
          </w:tcPr>
          <w:p w14:paraId="56583083">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甲方纪检监察部门</w:t>
            </w:r>
          </w:p>
        </w:tc>
        <w:tc>
          <w:tcPr>
            <w:tcW w:w="2625" w:type="dxa"/>
          </w:tcPr>
          <w:p w14:paraId="5B01679C">
            <w:pPr>
              <w:spacing w:line="560" w:lineRule="exact"/>
              <w:jc w:val="both"/>
              <w:rPr>
                <w:rFonts w:hint="eastAsia" w:ascii="仿宋" w:hAnsi="仿宋" w:eastAsia="仿宋" w:cs="仿宋"/>
                <w:sz w:val="24"/>
                <w:szCs w:val="24"/>
                <w:vertAlign w:val="baseline"/>
                <w:lang w:eastAsia="zh-CN"/>
              </w:rPr>
            </w:pPr>
          </w:p>
        </w:tc>
        <w:tc>
          <w:tcPr>
            <w:tcW w:w="1950" w:type="dxa"/>
            <w:vAlign w:val="top"/>
          </w:tcPr>
          <w:p w14:paraId="32EBB380">
            <w:pPr>
              <w:spacing w:line="240" w:lineRule="auto"/>
              <w:jc w:val="both"/>
              <w:rPr>
                <w:rFonts w:hint="eastAsia" w:ascii="仿宋" w:hAnsi="仿宋" w:eastAsia="仿宋" w:cs="仿宋"/>
                <w:sz w:val="24"/>
                <w:szCs w:val="24"/>
                <w:vertAlign w:val="baseline"/>
              </w:rPr>
            </w:pPr>
            <w:r>
              <w:rPr>
                <w:rFonts w:hint="eastAsia" w:ascii="仿宋" w:hAnsi="仿宋" w:eastAsia="仿宋" w:cs="仿宋"/>
                <w:sz w:val="24"/>
                <w:szCs w:val="24"/>
                <w:lang w:eastAsia="zh-CN"/>
              </w:rPr>
              <w:t>乙</w:t>
            </w:r>
            <w:r>
              <w:rPr>
                <w:rFonts w:hint="eastAsia" w:ascii="仿宋" w:hAnsi="仿宋" w:eastAsia="仿宋" w:cs="仿宋"/>
                <w:sz w:val="24"/>
                <w:szCs w:val="24"/>
              </w:rPr>
              <w:t>方</w:t>
            </w:r>
            <w:r>
              <w:rPr>
                <w:rFonts w:hint="eastAsia" w:ascii="仿宋" w:hAnsi="仿宋" w:eastAsia="仿宋" w:cs="仿宋"/>
                <w:sz w:val="24"/>
                <w:szCs w:val="24"/>
                <w:lang w:eastAsia="zh-CN"/>
              </w:rPr>
              <w:t>监督</w:t>
            </w:r>
            <w:r>
              <w:rPr>
                <w:rFonts w:hint="eastAsia" w:ascii="仿宋" w:hAnsi="仿宋" w:eastAsia="仿宋" w:cs="仿宋"/>
                <w:sz w:val="24"/>
                <w:szCs w:val="24"/>
              </w:rPr>
              <w:t>部门</w:t>
            </w:r>
          </w:p>
        </w:tc>
        <w:tc>
          <w:tcPr>
            <w:tcW w:w="2311" w:type="dxa"/>
          </w:tcPr>
          <w:p w14:paraId="09696C26">
            <w:pPr>
              <w:spacing w:line="560" w:lineRule="exact"/>
              <w:jc w:val="both"/>
              <w:rPr>
                <w:rFonts w:hint="eastAsia" w:ascii="仿宋" w:hAnsi="仿宋" w:eastAsia="仿宋" w:cs="仿宋"/>
                <w:sz w:val="24"/>
                <w:szCs w:val="24"/>
                <w:vertAlign w:val="baseline"/>
              </w:rPr>
            </w:pPr>
          </w:p>
        </w:tc>
      </w:tr>
      <w:tr w14:paraId="2E95A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6" w:type="dxa"/>
          </w:tcPr>
          <w:p w14:paraId="0A37DDAA">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通信地址</w:t>
            </w:r>
          </w:p>
        </w:tc>
        <w:tc>
          <w:tcPr>
            <w:tcW w:w="2625" w:type="dxa"/>
          </w:tcPr>
          <w:p w14:paraId="279D4146">
            <w:pPr>
              <w:spacing w:line="560" w:lineRule="exact"/>
              <w:jc w:val="both"/>
              <w:rPr>
                <w:rFonts w:hint="eastAsia" w:ascii="仿宋" w:hAnsi="仿宋" w:eastAsia="仿宋" w:cs="仿宋"/>
                <w:sz w:val="24"/>
                <w:szCs w:val="24"/>
                <w:vertAlign w:val="baseline"/>
              </w:rPr>
            </w:pPr>
          </w:p>
        </w:tc>
        <w:tc>
          <w:tcPr>
            <w:tcW w:w="1950" w:type="dxa"/>
            <w:vAlign w:val="top"/>
          </w:tcPr>
          <w:p w14:paraId="7E4A67DD">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通信地址</w:t>
            </w:r>
          </w:p>
        </w:tc>
        <w:tc>
          <w:tcPr>
            <w:tcW w:w="2311" w:type="dxa"/>
          </w:tcPr>
          <w:p w14:paraId="125BA2AD">
            <w:pPr>
              <w:spacing w:line="560" w:lineRule="exact"/>
              <w:jc w:val="both"/>
              <w:rPr>
                <w:rFonts w:hint="eastAsia" w:ascii="仿宋" w:hAnsi="仿宋" w:eastAsia="仿宋" w:cs="仿宋"/>
                <w:sz w:val="24"/>
                <w:szCs w:val="24"/>
                <w:vertAlign w:val="baseline"/>
              </w:rPr>
            </w:pPr>
          </w:p>
        </w:tc>
      </w:tr>
      <w:tr w14:paraId="2D638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6" w:type="dxa"/>
          </w:tcPr>
          <w:p w14:paraId="7394592E">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邮编</w:t>
            </w:r>
          </w:p>
        </w:tc>
        <w:tc>
          <w:tcPr>
            <w:tcW w:w="2625" w:type="dxa"/>
          </w:tcPr>
          <w:p w14:paraId="3A7725A8">
            <w:pPr>
              <w:spacing w:line="560" w:lineRule="exact"/>
              <w:jc w:val="both"/>
              <w:rPr>
                <w:rFonts w:hint="eastAsia" w:ascii="仿宋" w:hAnsi="仿宋" w:eastAsia="仿宋" w:cs="仿宋"/>
                <w:sz w:val="24"/>
                <w:szCs w:val="24"/>
                <w:vertAlign w:val="baseline"/>
              </w:rPr>
            </w:pPr>
          </w:p>
        </w:tc>
        <w:tc>
          <w:tcPr>
            <w:tcW w:w="1950" w:type="dxa"/>
            <w:vAlign w:val="top"/>
          </w:tcPr>
          <w:p w14:paraId="4DB42C5D">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邮编</w:t>
            </w:r>
          </w:p>
        </w:tc>
        <w:tc>
          <w:tcPr>
            <w:tcW w:w="2311" w:type="dxa"/>
          </w:tcPr>
          <w:p w14:paraId="4E5CEB56">
            <w:pPr>
              <w:spacing w:line="560" w:lineRule="exact"/>
              <w:jc w:val="both"/>
              <w:rPr>
                <w:rFonts w:hint="eastAsia" w:ascii="仿宋" w:hAnsi="仿宋" w:eastAsia="仿宋" w:cs="仿宋"/>
                <w:sz w:val="24"/>
                <w:szCs w:val="24"/>
                <w:vertAlign w:val="baseline"/>
              </w:rPr>
            </w:pPr>
          </w:p>
        </w:tc>
      </w:tr>
      <w:tr w14:paraId="3913B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6" w:type="dxa"/>
          </w:tcPr>
          <w:p w14:paraId="55AA317E">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电话</w:t>
            </w:r>
          </w:p>
        </w:tc>
        <w:tc>
          <w:tcPr>
            <w:tcW w:w="2625" w:type="dxa"/>
          </w:tcPr>
          <w:p w14:paraId="56251E7A">
            <w:pPr>
              <w:spacing w:line="560" w:lineRule="exact"/>
              <w:jc w:val="both"/>
              <w:rPr>
                <w:rFonts w:hint="eastAsia" w:ascii="仿宋" w:hAnsi="仿宋" w:eastAsia="仿宋" w:cs="仿宋"/>
                <w:sz w:val="24"/>
                <w:szCs w:val="24"/>
                <w:vertAlign w:val="baseline"/>
              </w:rPr>
            </w:pPr>
          </w:p>
        </w:tc>
        <w:tc>
          <w:tcPr>
            <w:tcW w:w="1950" w:type="dxa"/>
            <w:vAlign w:val="top"/>
          </w:tcPr>
          <w:p w14:paraId="69D91FCC">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电话</w:t>
            </w:r>
          </w:p>
        </w:tc>
        <w:tc>
          <w:tcPr>
            <w:tcW w:w="2311" w:type="dxa"/>
          </w:tcPr>
          <w:p w14:paraId="5A7CA445">
            <w:pPr>
              <w:spacing w:line="560" w:lineRule="exact"/>
              <w:jc w:val="both"/>
              <w:rPr>
                <w:rFonts w:hint="eastAsia" w:ascii="仿宋" w:hAnsi="仿宋" w:eastAsia="仿宋" w:cs="仿宋"/>
                <w:sz w:val="24"/>
                <w:szCs w:val="24"/>
                <w:vertAlign w:val="baseline"/>
              </w:rPr>
            </w:pPr>
          </w:p>
        </w:tc>
      </w:tr>
      <w:tr w14:paraId="7804A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36" w:type="dxa"/>
          </w:tcPr>
          <w:p w14:paraId="6A7FF9AA">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邮箱</w:t>
            </w:r>
          </w:p>
        </w:tc>
        <w:tc>
          <w:tcPr>
            <w:tcW w:w="2625" w:type="dxa"/>
          </w:tcPr>
          <w:p w14:paraId="128454B8">
            <w:pPr>
              <w:spacing w:line="560" w:lineRule="exact"/>
              <w:jc w:val="both"/>
              <w:rPr>
                <w:rFonts w:hint="eastAsia" w:ascii="仿宋" w:hAnsi="仿宋" w:eastAsia="仿宋" w:cs="仿宋"/>
                <w:sz w:val="24"/>
                <w:szCs w:val="24"/>
                <w:vertAlign w:val="baseline"/>
              </w:rPr>
            </w:pPr>
          </w:p>
        </w:tc>
        <w:tc>
          <w:tcPr>
            <w:tcW w:w="1950" w:type="dxa"/>
            <w:vAlign w:val="top"/>
          </w:tcPr>
          <w:p w14:paraId="288C0E91">
            <w:pPr>
              <w:spacing w:line="560" w:lineRule="exact"/>
              <w:jc w:val="both"/>
              <w:rPr>
                <w:rFonts w:hint="eastAsia" w:ascii="仿宋" w:hAnsi="仿宋" w:eastAsia="仿宋" w:cs="仿宋"/>
                <w:sz w:val="24"/>
                <w:szCs w:val="24"/>
                <w:vertAlign w:val="baseline"/>
              </w:rPr>
            </w:pPr>
            <w:r>
              <w:rPr>
                <w:rFonts w:hint="eastAsia" w:ascii="仿宋" w:hAnsi="仿宋" w:eastAsia="仿宋" w:cs="仿宋"/>
                <w:sz w:val="24"/>
                <w:szCs w:val="24"/>
              </w:rPr>
              <w:t>邮箱</w:t>
            </w:r>
          </w:p>
        </w:tc>
        <w:tc>
          <w:tcPr>
            <w:tcW w:w="2311" w:type="dxa"/>
          </w:tcPr>
          <w:p w14:paraId="0E817E63">
            <w:pPr>
              <w:spacing w:line="560" w:lineRule="exact"/>
              <w:jc w:val="both"/>
              <w:rPr>
                <w:rFonts w:hint="eastAsia" w:ascii="仿宋" w:hAnsi="仿宋" w:eastAsia="仿宋" w:cs="仿宋"/>
                <w:sz w:val="24"/>
                <w:szCs w:val="24"/>
                <w:vertAlign w:val="baseline"/>
              </w:rPr>
            </w:pPr>
          </w:p>
        </w:tc>
      </w:tr>
    </w:tbl>
    <w:p w14:paraId="0B66B605">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签订日期：    年  月  日               </w:t>
      </w:r>
    </w:p>
    <w:p w14:paraId="5588D07E">
      <w:pPr>
        <w:widowControl/>
        <w:adjustRightInd w:val="0"/>
        <w:snapToGrid w:val="0"/>
        <w:spacing w:line="500" w:lineRule="exact"/>
        <w:jc w:val="left"/>
        <w:rPr>
          <w:rFonts w:hint="eastAsia" w:ascii="仿宋" w:hAnsi="仿宋" w:eastAsia="仿宋" w:cs="仿宋"/>
          <w:sz w:val="24"/>
          <w:szCs w:val="24"/>
        </w:rPr>
      </w:pPr>
      <w:r>
        <w:rPr>
          <w:rFonts w:hint="eastAsia" w:ascii="仿宋" w:hAnsi="仿宋" w:eastAsia="仿宋" w:cs="仿宋"/>
          <w:sz w:val="24"/>
          <w:szCs w:val="24"/>
        </w:rPr>
        <w:t>签订地点：</w:t>
      </w:r>
    </w:p>
    <w:p w14:paraId="3C1789FC">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465C1F7B">
      <w:pPr>
        <w:pStyle w:val="2"/>
        <w:spacing w:line="360" w:lineRule="auto"/>
        <w:jc w:val="center"/>
        <w:rPr>
          <w:rFonts w:hint="eastAsia" w:ascii="仿宋" w:hAnsi="仿宋" w:eastAsia="仿宋" w:cs="仿宋"/>
          <w:color w:val="auto"/>
          <w:highlight w:val="none"/>
        </w:rPr>
      </w:pPr>
      <w:bookmarkStart w:id="73" w:name="_Toc17813"/>
      <w:r>
        <w:rPr>
          <w:rFonts w:hint="eastAsia" w:ascii="仿宋" w:hAnsi="仿宋" w:eastAsia="仿宋" w:cs="仿宋"/>
          <w:color w:val="auto"/>
          <w:highlight w:val="none"/>
        </w:rPr>
        <w:t>第四章 投标文件格式</w:t>
      </w:r>
      <w:bookmarkEnd w:id="72"/>
      <w:bookmarkEnd w:id="73"/>
    </w:p>
    <w:p w14:paraId="0781C549">
      <w:pPr>
        <w:pStyle w:val="3"/>
        <w:spacing w:line="360" w:lineRule="auto"/>
        <w:jc w:val="center"/>
        <w:rPr>
          <w:rFonts w:hint="eastAsia" w:ascii="仿宋" w:hAnsi="仿宋" w:eastAsia="仿宋" w:cs="仿宋"/>
          <w:color w:val="auto"/>
          <w:sz w:val="24"/>
          <w:highlight w:val="none"/>
        </w:rPr>
      </w:pPr>
      <w:bookmarkStart w:id="74" w:name="_Toc9685"/>
      <w:bookmarkStart w:id="75" w:name="_Toc32760"/>
      <w:bookmarkStart w:id="76" w:name="_Toc20671"/>
      <w:bookmarkStart w:id="77" w:name="_Toc141099651"/>
      <w:bookmarkStart w:id="78" w:name="_Toc101004092"/>
      <w:r>
        <w:rPr>
          <w:rFonts w:hint="eastAsia" w:ascii="仿宋" w:hAnsi="仿宋" w:eastAsia="仿宋" w:cs="仿宋"/>
          <w:color w:val="auto"/>
          <w:highlight w:val="none"/>
        </w:rPr>
        <w:t>一、开标一览表</w:t>
      </w:r>
      <w:bookmarkEnd w:id="74"/>
      <w:bookmarkEnd w:id="75"/>
      <w:bookmarkEnd w:id="76"/>
      <w:bookmarkEnd w:id="77"/>
      <w:bookmarkEnd w:id="78"/>
      <w:bookmarkStart w:id="79" w:name="_Toc213141093"/>
      <w:bookmarkStart w:id="80" w:name="_Toc13665001"/>
    </w:p>
    <w:bookmarkEnd w:id="79"/>
    <w:bookmarkEnd w:id="80"/>
    <w:p w14:paraId="494BC4A7">
      <w:pPr>
        <w:spacing w:line="360" w:lineRule="auto"/>
        <w:rPr>
          <w:rFonts w:hint="eastAsia" w:ascii="仿宋" w:hAnsi="仿宋" w:eastAsia="仿宋" w:cs="仿宋"/>
          <w:color w:val="auto"/>
          <w:highlight w:val="none"/>
        </w:rPr>
      </w:pPr>
    </w:p>
    <w:p w14:paraId="7E64CEA0">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                                </w:t>
      </w:r>
    </w:p>
    <w:p w14:paraId="6A4A14BF">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编号：</w:t>
      </w:r>
    </w:p>
    <w:tbl>
      <w:tblPr>
        <w:tblStyle w:val="20"/>
        <w:tblW w:w="432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2615"/>
        <w:gridCol w:w="1957"/>
        <w:gridCol w:w="1343"/>
        <w:gridCol w:w="1423"/>
      </w:tblGrid>
      <w:tr w14:paraId="7C02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757" w:type="pct"/>
            <w:vAlign w:val="center"/>
          </w:tcPr>
          <w:p w14:paraId="3FE081F5">
            <w:pPr>
              <w:pStyle w:val="1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投标人名称</w:t>
            </w:r>
          </w:p>
        </w:tc>
        <w:tc>
          <w:tcPr>
            <w:tcW w:w="1511" w:type="pct"/>
            <w:vAlign w:val="center"/>
          </w:tcPr>
          <w:p w14:paraId="0AD13D56">
            <w:pPr>
              <w:pStyle w:val="1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投标总报价（元）</w:t>
            </w:r>
          </w:p>
        </w:tc>
        <w:tc>
          <w:tcPr>
            <w:tcW w:w="1131" w:type="pct"/>
            <w:vAlign w:val="center"/>
          </w:tcPr>
          <w:p w14:paraId="4AD7ED53">
            <w:pPr>
              <w:pStyle w:val="1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合同履行期限承诺</w:t>
            </w:r>
          </w:p>
        </w:tc>
        <w:tc>
          <w:tcPr>
            <w:tcW w:w="776" w:type="pct"/>
            <w:vAlign w:val="center"/>
          </w:tcPr>
          <w:p w14:paraId="19ECCC96">
            <w:pPr>
              <w:pStyle w:val="10"/>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质量承诺</w:t>
            </w:r>
          </w:p>
        </w:tc>
        <w:tc>
          <w:tcPr>
            <w:tcW w:w="822" w:type="pct"/>
            <w:vAlign w:val="center"/>
          </w:tcPr>
          <w:p w14:paraId="1E343911">
            <w:pPr>
              <w:pStyle w:val="1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1CDA7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jc w:val="center"/>
        </w:trPr>
        <w:tc>
          <w:tcPr>
            <w:tcW w:w="757" w:type="pct"/>
            <w:vAlign w:val="center"/>
          </w:tcPr>
          <w:p w14:paraId="6CF3867D">
            <w:pPr>
              <w:pStyle w:val="10"/>
              <w:spacing w:line="360" w:lineRule="auto"/>
              <w:rPr>
                <w:rFonts w:hint="eastAsia" w:ascii="仿宋" w:hAnsi="仿宋" w:eastAsia="仿宋" w:cs="仿宋"/>
                <w:color w:val="auto"/>
                <w:sz w:val="24"/>
                <w:szCs w:val="24"/>
                <w:highlight w:val="none"/>
              </w:rPr>
            </w:pPr>
          </w:p>
        </w:tc>
        <w:tc>
          <w:tcPr>
            <w:tcW w:w="1511" w:type="pct"/>
            <w:vAlign w:val="center"/>
          </w:tcPr>
          <w:p w14:paraId="04EC174C">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p>
          <w:p w14:paraId="789344E3">
            <w:pPr>
              <w:pStyle w:val="1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w:t>
            </w:r>
          </w:p>
        </w:tc>
        <w:tc>
          <w:tcPr>
            <w:tcW w:w="1131" w:type="pct"/>
            <w:vAlign w:val="center"/>
          </w:tcPr>
          <w:p w14:paraId="1E464262">
            <w:pPr>
              <w:pStyle w:val="10"/>
              <w:spacing w:line="360" w:lineRule="auto"/>
              <w:rPr>
                <w:rFonts w:hint="eastAsia" w:ascii="仿宋" w:hAnsi="仿宋" w:eastAsia="仿宋" w:cs="仿宋"/>
                <w:color w:val="auto"/>
                <w:sz w:val="24"/>
                <w:szCs w:val="24"/>
                <w:highlight w:val="none"/>
              </w:rPr>
            </w:pPr>
          </w:p>
        </w:tc>
        <w:tc>
          <w:tcPr>
            <w:tcW w:w="776" w:type="pct"/>
            <w:vAlign w:val="center"/>
          </w:tcPr>
          <w:p w14:paraId="5A0A7298">
            <w:pPr>
              <w:pStyle w:val="10"/>
              <w:spacing w:line="360" w:lineRule="auto"/>
              <w:rPr>
                <w:rFonts w:hint="eastAsia" w:ascii="仿宋" w:hAnsi="仿宋" w:eastAsia="仿宋" w:cs="仿宋"/>
                <w:color w:val="auto"/>
                <w:sz w:val="24"/>
                <w:szCs w:val="24"/>
                <w:highlight w:val="none"/>
              </w:rPr>
            </w:pPr>
          </w:p>
        </w:tc>
        <w:tc>
          <w:tcPr>
            <w:tcW w:w="822" w:type="pct"/>
            <w:vAlign w:val="center"/>
          </w:tcPr>
          <w:p w14:paraId="52F79F22">
            <w:pPr>
              <w:pStyle w:val="10"/>
              <w:spacing w:line="360" w:lineRule="auto"/>
              <w:rPr>
                <w:rFonts w:hint="eastAsia" w:ascii="仿宋" w:hAnsi="仿宋" w:eastAsia="仿宋" w:cs="仿宋"/>
                <w:color w:val="auto"/>
                <w:sz w:val="24"/>
                <w:szCs w:val="24"/>
                <w:highlight w:val="none"/>
              </w:rPr>
            </w:pPr>
          </w:p>
        </w:tc>
      </w:tr>
    </w:tbl>
    <w:p w14:paraId="3C3712A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205488B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本次投标报价为综合报价，报价应为人民币含税价，包括货物价格（含利润）、运输、保险、税收、技术培训、中标服务费、人员工资等所需全部费用。</w:t>
      </w:r>
    </w:p>
    <w:p w14:paraId="2AB67AE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应承担所有与参加本次项目有关的自身的所有费用，不论采购的结果如何，代理机构和采购人在任何情况下均无义务和责任承担这些费用。</w:t>
      </w:r>
    </w:p>
    <w:p w14:paraId="22C9A12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投标报价单位为元，小数点后保留两位。</w:t>
      </w:r>
    </w:p>
    <w:p w14:paraId="05CFD555">
      <w:pPr>
        <w:spacing w:line="360" w:lineRule="auto"/>
        <w:rPr>
          <w:rFonts w:hint="eastAsia" w:ascii="仿宋" w:hAnsi="仿宋" w:eastAsia="仿宋" w:cs="仿宋"/>
          <w:color w:val="auto"/>
          <w:sz w:val="24"/>
          <w:szCs w:val="24"/>
          <w:highlight w:val="none"/>
        </w:rPr>
      </w:pPr>
    </w:p>
    <w:p w14:paraId="11BDC65D">
      <w:pPr>
        <w:spacing w:line="360" w:lineRule="auto"/>
        <w:rPr>
          <w:rFonts w:hint="eastAsia" w:ascii="仿宋" w:hAnsi="仿宋" w:eastAsia="仿宋" w:cs="仿宋"/>
          <w:color w:val="auto"/>
          <w:sz w:val="24"/>
          <w:szCs w:val="24"/>
          <w:highlight w:val="none"/>
        </w:rPr>
      </w:pPr>
    </w:p>
    <w:p w14:paraId="74658298">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7C02B860">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法定代表人：（电子签名）</w:t>
      </w:r>
    </w:p>
    <w:p w14:paraId="6B306551">
      <w:pPr>
        <w:spacing w:line="360" w:lineRule="auto"/>
        <w:jc w:val="righ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456072F2">
      <w:pPr>
        <w:pStyle w:val="10"/>
        <w:spacing w:line="360" w:lineRule="auto"/>
        <w:rPr>
          <w:rFonts w:hint="eastAsia" w:ascii="仿宋" w:hAnsi="仿宋" w:eastAsia="仿宋" w:cs="仿宋"/>
          <w:color w:val="auto"/>
          <w:highlight w:val="none"/>
        </w:rPr>
      </w:pPr>
    </w:p>
    <w:p w14:paraId="7B16A23E">
      <w:pPr>
        <w:pStyle w:val="3"/>
        <w:spacing w:line="360" w:lineRule="auto"/>
        <w:jc w:val="center"/>
        <w:rPr>
          <w:rFonts w:hint="eastAsia" w:ascii="仿宋" w:hAnsi="仿宋" w:eastAsia="仿宋" w:cs="仿宋"/>
          <w:color w:val="auto"/>
          <w:highlight w:val="none"/>
        </w:rPr>
      </w:pPr>
      <w:r>
        <w:rPr>
          <w:rFonts w:hint="eastAsia" w:ascii="仿宋" w:hAnsi="仿宋" w:eastAsia="仿宋" w:cs="仿宋"/>
          <w:color w:val="auto"/>
          <w:szCs w:val="21"/>
          <w:highlight w:val="none"/>
        </w:rPr>
        <w:br w:type="page"/>
      </w:r>
      <w:bookmarkStart w:id="81" w:name="_Toc19567"/>
      <w:bookmarkStart w:id="82" w:name="_Toc2453"/>
      <w:bookmarkStart w:id="83" w:name="_Toc101004094"/>
      <w:bookmarkStart w:id="84" w:name="_Toc11209"/>
      <w:bookmarkStart w:id="85" w:name="_Toc141099652"/>
      <w:bookmarkStart w:id="86" w:name="_Toc13665002"/>
      <w:r>
        <w:rPr>
          <w:rFonts w:hint="eastAsia" w:ascii="仿宋" w:hAnsi="仿宋" w:eastAsia="仿宋" w:cs="仿宋"/>
          <w:color w:val="auto"/>
          <w:highlight w:val="none"/>
        </w:rPr>
        <w:t>二、资格证明文件</w:t>
      </w:r>
      <w:bookmarkEnd w:id="81"/>
      <w:bookmarkEnd w:id="82"/>
      <w:bookmarkEnd w:id="83"/>
      <w:bookmarkEnd w:id="84"/>
      <w:bookmarkEnd w:id="85"/>
      <w:bookmarkEnd w:id="86"/>
    </w:p>
    <w:p w14:paraId="0B398113">
      <w:pPr>
        <w:pStyle w:val="3"/>
        <w:spacing w:line="360" w:lineRule="auto"/>
        <w:rPr>
          <w:rFonts w:hint="eastAsia" w:ascii="仿宋" w:hAnsi="仿宋" w:eastAsia="仿宋" w:cs="仿宋"/>
          <w:color w:val="auto"/>
          <w:highlight w:val="none"/>
        </w:rPr>
      </w:pPr>
      <w:bookmarkStart w:id="87" w:name="_Toc17649"/>
      <w:bookmarkStart w:id="88" w:name="_Toc10555"/>
      <w:bookmarkStart w:id="89" w:name="_Toc2053"/>
      <w:r>
        <w:rPr>
          <w:rFonts w:hint="eastAsia" w:ascii="仿宋" w:hAnsi="仿宋" w:eastAsia="仿宋" w:cs="仿宋"/>
          <w:color w:val="auto"/>
          <w:highlight w:val="none"/>
        </w:rPr>
        <w:t>（一）营业执照或其他组织证明文件或自然人身份证</w:t>
      </w:r>
      <w:bookmarkEnd w:id="87"/>
      <w:bookmarkEnd w:id="88"/>
      <w:bookmarkEnd w:id="89"/>
    </w:p>
    <w:p w14:paraId="0D5A5D5F">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投标人根据自身实际情况提供下述证明材料之一：</w:t>
      </w:r>
    </w:p>
    <w:p w14:paraId="046040E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1）投标人是企业（包括合伙企业）的，应提供其在市场监督管理部门注册的有效“企业法人营业执照”或“营业执照”；</w:t>
      </w:r>
    </w:p>
    <w:p w14:paraId="55A01E6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2）投标人是事业单位的，应提供其有效的“事业单位法人证书”； </w:t>
      </w:r>
    </w:p>
    <w:p w14:paraId="39A4E40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3）投标人是个体工商户的，应提供其有效的“个体工商户营业执照”； </w:t>
      </w:r>
    </w:p>
    <w:p w14:paraId="658614E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4）投标人是自然人的，应提供其有效的自然人身份证明；</w:t>
      </w:r>
    </w:p>
    <w:p w14:paraId="6015597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5）其他。</w:t>
      </w:r>
    </w:p>
    <w:p w14:paraId="11DA20A3">
      <w:pPr>
        <w:pStyle w:val="1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43FFF811">
      <w:pPr>
        <w:spacing w:line="360" w:lineRule="auto"/>
        <w:rPr>
          <w:rFonts w:hint="eastAsia" w:ascii="仿宋" w:hAnsi="仿宋" w:eastAsia="仿宋" w:cs="仿宋"/>
          <w:color w:val="auto"/>
          <w:kern w:val="0"/>
          <w:highlight w:val="none"/>
        </w:rPr>
      </w:pPr>
      <w:bookmarkStart w:id="90" w:name="_Toc141099657"/>
      <w:bookmarkStart w:id="91" w:name="_Toc13665008"/>
      <w:bookmarkStart w:id="92" w:name="_Toc101004099"/>
      <w:bookmarkStart w:id="93" w:name="_Toc493600020"/>
      <w:r>
        <w:rPr>
          <w:rFonts w:hint="eastAsia" w:ascii="仿宋" w:hAnsi="仿宋" w:eastAsia="仿宋" w:cs="仿宋"/>
          <w:color w:val="auto"/>
          <w:highlight w:val="none"/>
        </w:rPr>
        <w:br w:type="page"/>
      </w:r>
    </w:p>
    <w:p w14:paraId="570A2B49">
      <w:pPr>
        <w:pStyle w:val="3"/>
        <w:spacing w:line="360" w:lineRule="auto"/>
        <w:rPr>
          <w:rFonts w:hint="eastAsia" w:ascii="仿宋" w:hAnsi="仿宋" w:eastAsia="仿宋" w:cs="仿宋"/>
          <w:color w:val="auto"/>
          <w:highlight w:val="none"/>
        </w:rPr>
      </w:pPr>
      <w:bookmarkStart w:id="94" w:name="_Toc26086"/>
      <w:bookmarkStart w:id="95" w:name="_Toc17019"/>
      <w:bookmarkStart w:id="96" w:name="_Toc12613"/>
      <w:r>
        <w:rPr>
          <w:rFonts w:hint="eastAsia" w:ascii="仿宋" w:hAnsi="仿宋" w:eastAsia="仿宋" w:cs="仿宋"/>
          <w:color w:val="auto"/>
          <w:highlight w:val="none"/>
        </w:rPr>
        <w:t>（二）投标人</w:t>
      </w:r>
      <w:bookmarkEnd w:id="90"/>
      <w:bookmarkEnd w:id="91"/>
      <w:bookmarkEnd w:id="92"/>
      <w:bookmarkEnd w:id="93"/>
      <w:bookmarkEnd w:id="94"/>
      <w:r>
        <w:rPr>
          <w:rFonts w:hint="eastAsia" w:ascii="仿宋" w:hAnsi="仿宋" w:eastAsia="仿宋" w:cs="仿宋"/>
          <w:color w:val="auto"/>
          <w:highlight w:val="none"/>
        </w:rPr>
        <w:t>具有良好的商业信誉和健全的财务会计制度</w:t>
      </w:r>
      <w:bookmarkEnd w:id="95"/>
      <w:bookmarkEnd w:id="96"/>
    </w:p>
    <w:p w14:paraId="11576BE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eastAsia="zh-CN"/>
        </w:rPr>
        <w:t>人在本项目投标文件提交截止时间前，在“中国政府采购网”（www.ccgp.gov.cn）“政府采购严重违法失信行为记录名单”及“信用中国”网站（www.creditchina.gov.cn）“信用服务”查询栏中查询的信息记录（重大税收违法失信主体)及“中国执行信息公开网（zxgk.court.gov.cn）”查询栏中查询的信息记录（包括失信被执行人)未出现不良信用信息查询记录（查询结果以采购人、采购代理机构查询结果为准)</w:t>
      </w:r>
      <w:r>
        <w:rPr>
          <w:rFonts w:hint="eastAsia" w:ascii="仿宋" w:hAnsi="仿宋" w:eastAsia="仿宋" w:cs="仿宋"/>
          <w:color w:val="auto"/>
          <w:sz w:val="24"/>
          <w:szCs w:val="24"/>
          <w:highlight w:val="none"/>
        </w:rPr>
        <w:t>。</w:t>
      </w:r>
    </w:p>
    <w:p w14:paraId="57A5F0B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kern w:val="0"/>
          <w:sz w:val="24"/>
          <w:szCs w:val="24"/>
          <w:highlight w:val="none"/>
          <w:lang w:val="en-US" w:eastAsia="zh-CN"/>
        </w:rPr>
        <w:t>投标人成立一年以上的，提供近3年“2022年—2024年”任意一年的财务报告及财务报表(至少包括资产负债表、利润表、现金流量表)；若成立时间不足1年的，提供银行发出的资信证明或提供具有良好的商业信誉和健全的财务会计制度的承诺书（其一即可）。</w:t>
      </w:r>
    </w:p>
    <w:p w14:paraId="451A7D0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kern w:val="0"/>
          <w:sz w:val="24"/>
          <w:szCs w:val="24"/>
          <w:highlight w:val="none"/>
          <w:lang w:val="en-US" w:eastAsia="zh-CN"/>
        </w:rPr>
      </w:pPr>
    </w:p>
    <w:p w14:paraId="052430F2">
      <w:pPr>
        <w:spacing w:line="360" w:lineRule="auto"/>
        <w:ind w:firstLine="420" w:firstLineChars="200"/>
        <w:rPr>
          <w:rFonts w:hint="eastAsia" w:ascii="仿宋" w:hAnsi="仿宋" w:eastAsia="仿宋" w:cs="仿宋"/>
          <w:color w:val="auto"/>
          <w:highlight w:val="none"/>
        </w:rPr>
      </w:pPr>
    </w:p>
    <w:p w14:paraId="48DF2B53">
      <w:pPr>
        <w:pStyle w:val="1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5DECE146">
      <w:pPr>
        <w:spacing w:line="360" w:lineRule="auto"/>
        <w:rPr>
          <w:rFonts w:hint="eastAsia" w:ascii="仿宋" w:hAnsi="仿宋" w:eastAsia="仿宋" w:cs="仿宋"/>
          <w:color w:val="auto"/>
          <w:kern w:val="0"/>
          <w:highlight w:val="none"/>
        </w:rPr>
      </w:pPr>
      <w:bookmarkStart w:id="97" w:name="_Toc101004100"/>
      <w:bookmarkStart w:id="98" w:name="_Toc493600021"/>
      <w:bookmarkStart w:id="99" w:name="_Toc141099658"/>
      <w:bookmarkStart w:id="100" w:name="_Toc13665009"/>
      <w:r>
        <w:rPr>
          <w:rFonts w:hint="eastAsia" w:ascii="仿宋" w:hAnsi="仿宋" w:eastAsia="仿宋" w:cs="仿宋"/>
          <w:color w:val="auto"/>
          <w:highlight w:val="none"/>
        </w:rPr>
        <w:br w:type="page"/>
      </w:r>
    </w:p>
    <w:p w14:paraId="18D92006">
      <w:pPr>
        <w:pStyle w:val="3"/>
        <w:spacing w:line="360" w:lineRule="auto"/>
        <w:rPr>
          <w:rFonts w:hint="eastAsia" w:ascii="仿宋" w:hAnsi="仿宋" w:eastAsia="仿宋" w:cs="仿宋"/>
          <w:color w:val="auto"/>
          <w:highlight w:val="none"/>
        </w:rPr>
      </w:pPr>
      <w:bookmarkStart w:id="101" w:name="_Toc15367"/>
      <w:bookmarkStart w:id="102" w:name="_Toc20199"/>
      <w:bookmarkStart w:id="103" w:name="_Toc6476"/>
      <w:r>
        <w:rPr>
          <w:rFonts w:hint="eastAsia" w:ascii="仿宋" w:hAnsi="仿宋" w:eastAsia="仿宋" w:cs="仿宋"/>
          <w:color w:val="auto"/>
          <w:highlight w:val="none"/>
        </w:rPr>
        <w:t>（三）</w:t>
      </w:r>
      <w:bookmarkEnd w:id="97"/>
      <w:bookmarkEnd w:id="98"/>
      <w:bookmarkEnd w:id="99"/>
      <w:bookmarkEnd w:id="100"/>
      <w:bookmarkEnd w:id="101"/>
      <w:r>
        <w:rPr>
          <w:rFonts w:hint="eastAsia" w:ascii="仿宋" w:hAnsi="仿宋" w:eastAsia="仿宋" w:cs="仿宋"/>
          <w:color w:val="auto"/>
          <w:highlight w:val="none"/>
        </w:rPr>
        <w:t>具有履行合同所必需的设备和专业技术能力</w:t>
      </w:r>
      <w:bookmarkEnd w:id="102"/>
      <w:bookmarkEnd w:id="103"/>
    </w:p>
    <w:p w14:paraId="212E4CD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具有履行合同所必需的设备和专业技术能力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具备</w:t>
      </w:r>
      <w:r>
        <w:rPr>
          <w:rFonts w:hint="eastAsia" w:ascii="仿宋" w:hAnsi="仿宋" w:eastAsia="仿宋" w:cs="仿宋"/>
          <w:color w:val="auto"/>
          <w:sz w:val="24"/>
          <w:szCs w:val="24"/>
          <w:highlight w:val="none"/>
          <w:lang w:eastAsia="zh-CN"/>
        </w:rPr>
        <w:t>优良的售后服务能力，能满足本项目的供货和后续服务</w:t>
      </w:r>
      <w:r>
        <w:rPr>
          <w:rFonts w:hint="eastAsia" w:ascii="仿宋" w:hAnsi="仿宋" w:eastAsia="仿宋" w:cs="仿宋"/>
          <w:color w:val="auto"/>
          <w:sz w:val="24"/>
          <w:szCs w:val="24"/>
          <w:highlight w:val="none"/>
        </w:rPr>
        <w:t>（提供证明材料或相关承诺</w:t>
      </w:r>
      <w:r>
        <w:rPr>
          <w:rFonts w:hint="eastAsia" w:ascii="仿宋" w:hAnsi="仿宋" w:eastAsia="仿宋" w:cs="仿宋"/>
          <w:color w:val="auto"/>
          <w:sz w:val="24"/>
          <w:szCs w:val="24"/>
          <w:highlight w:val="none"/>
          <w:lang w:eastAsia="zh-CN"/>
        </w:rPr>
        <w:t>）；</w:t>
      </w:r>
    </w:p>
    <w:p w14:paraId="3E9F5E46">
      <w:pPr>
        <w:pStyle w:val="10"/>
        <w:spacing w:line="360" w:lineRule="auto"/>
        <w:rPr>
          <w:rFonts w:hint="eastAsia" w:ascii="仿宋" w:hAnsi="仿宋" w:eastAsia="仿宋" w:cs="仿宋"/>
          <w:color w:val="auto"/>
          <w:highlight w:val="none"/>
        </w:rPr>
      </w:pPr>
    </w:p>
    <w:p w14:paraId="4A973767">
      <w:pPr>
        <w:spacing w:line="360" w:lineRule="auto"/>
        <w:rPr>
          <w:rFonts w:hint="eastAsia" w:ascii="仿宋" w:hAnsi="仿宋" w:eastAsia="仿宋" w:cs="仿宋"/>
          <w:color w:val="auto"/>
          <w:kern w:val="0"/>
          <w:highlight w:val="none"/>
        </w:rPr>
      </w:pPr>
      <w:bookmarkStart w:id="104" w:name="_Toc493600022"/>
      <w:bookmarkStart w:id="105" w:name="_Toc141099659"/>
      <w:bookmarkStart w:id="106" w:name="_Toc13665010"/>
      <w:bookmarkStart w:id="107" w:name="_Toc101004101"/>
      <w:r>
        <w:rPr>
          <w:rFonts w:hint="eastAsia" w:ascii="仿宋" w:hAnsi="仿宋" w:eastAsia="仿宋" w:cs="仿宋"/>
          <w:color w:val="auto"/>
          <w:highlight w:val="none"/>
        </w:rPr>
        <w:br w:type="page"/>
      </w:r>
    </w:p>
    <w:p w14:paraId="48B39395">
      <w:pPr>
        <w:pStyle w:val="3"/>
        <w:spacing w:line="360" w:lineRule="auto"/>
        <w:rPr>
          <w:rFonts w:hint="eastAsia" w:ascii="仿宋" w:hAnsi="仿宋" w:eastAsia="仿宋" w:cs="仿宋"/>
          <w:color w:val="auto"/>
          <w:highlight w:val="none"/>
        </w:rPr>
      </w:pPr>
      <w:bookmarkStart w:id="108" w:name="_Toc17755"/>
      <w:bookmarkStart w:id="109" w:name="_Toc26413"/>
      <w:bookmarkStart w:id="110" w:name="_Toc21682"/>
      <w:r>
        <w:rPr>
          <w:rFonts w:hint="eastAsia" w:ascii="仿宋" w:hAnsi="仿宋" w:eastAsia="仿宋" w:cs="仿宋"/>
          <w:color w:val="auto"/>
          <w:highlight w:val="none"/>
        </w:rPr>
        <w:t>（四）</w:t>
      </w:r>
      <w:bookmarkEnd w:id="104"/>
      <w:bookmarkEnd w:id="105"/>
      <w:bookmarkEnd w:id="106"/>
      <w:bookmarkEnd w:id="107"/>
      <w:bookmarkEnd w:id="108"/>
      <w:r>
        <w:rPr>
          <w:rFonts w:hint="eastAsia" w:ascii="仿宋" w:hAnsi="仿宋" w:eastAsia="仿宋" w:cs="仿宋"/>
          <w:color w:val="auto"/>
          <w:highlight w:val="none"/>
        </w:rPr>
        <w:t>具有依法缴纳税收和社会保障资金的良好记录；</w:t>
      </w:r>
      <w:bookmarkEnd w:id="109"/>
      <w:bookmarkEnd w:id="110"/>
    </w:p>
    <w:p w14:paraId="019FCEB9">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eastAsia="zh-CN"/>
        </w:rPr>
        <w:t>人</w:t>
      </w:r>
      <w:r>
        <w:rPr>
          <w:rFonts w:hint="eastAsia" w:ascii="仿宋" w:hAnsi="仿宋" w:eastAsia="仿宋" w:cs="仿宋"/>
          <w:color w:val="auto"/>
          <w:sz w:val="24"/>
          <w:szCs w:val="24"/>
          <w:highlight w:val="none"/>
        </w:rPr>
        <w:t>须提供在投标截止之日前十二个月内（税款所属时期）任意1个月的税务局税收通用缴款书复印件或银行电子缴税（费）凭证复印件或税务局出具纳税情况的相关证明。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成立未满1年的提供成立以来的税收缴纳凭证或相关情况说明；依法免税的，应提供相应文件证明）；</w:t>
      </w:r>
    </w:p>
    <w:p w14:paraId="612ACD01">
      <w:pPr>
        <w:keepNext w:val="0"/>
        <w:keepLines w:val="0"/>
        <w:pageBreakBefore w:val="0"/>
        <w:widowControl w:val="0"/>
        <w:tabs>
          <w:tab w:val="left" w:pos="360"/>
          <w:tab w:val="left" w:pos="1021"/>
        </w:tabs>
        <w:kinsoku/>
        <w:wordWrap/>
        <w:overflowPunct/>
        <w:topLinePunct w:val="0"/>
        <w:autoSpaceDE/>
        <w:autoSpaceDN/>
        <w:bidi w:val="0"/>
        <w:adjustRightInd/>
        <w:snapToGrid w:val="0"/>
        <w:spacing w:line="360" w:lineRule="auto"/>
        <w:ind w:firstLine="480" w:firstLineChars="200"/>
        <w:jc w:val="left"/>
        <w:textAlignment w:val="auto"/>
        <w:outlineLvl w:val="9"/>
        <w:rPr>
          <w:rFonts w:hint="eastAsia" w:ascii="仿宋" w:hAnsi="仿宋" w:eastAsia="仿宋" w:cs="仿宋"/>
          <w:b w:val="0"/>
          <w:color w:val="auto"/>
          <w:kern w:val="2"/>
          <w:sz w:val="24"/>
          <w:szCs w:val="24"/>
          <w:highlight w:val="none"/>
          <w:lang w:val="en-US" w:eastAsia="zh-CN" w:bidi="ar-SA"/>
        </w:rPr>
      </w:pPr>
      <w:r>
        <w:rPr>
          <w:rFonts w:hint="eastAsia" w:ascii="仿宋" w:hAnsi="仿宋" w:eastAsia="仿宋" w:cs="仿宋"/>
          <w:b w:val="0"/>
          <w:color w:val="auto"/>
          <w:kern w:val="2"/>
          <w:sz w:val="24"/>
          <w:szCs w:val="24"/>
          <w:highlight w:val="none"/>
          <w:lang w:val="en-US" w:eastAsia="zh-CN" w:bidi="ar-SA"/>
        </w:rPr>
        <w:t>（2）投标人须提供在投标截止之日前十二个月内（费款所属时期）任意1个月的社会保险费缴款书复印件或银行电子缴税（费）凭证复印件或社保管理部门出具的有效的缴款证明。（成立未满1年的提供成立以来的社保资金缴纳凭证或相关情况说明，依法免缴的，应提供依法免缴的相关证明文件)；</w:t>
      </w:r>
    </w:p>
    <w:p w14:paraId="13F221A0">
      <w:pPr>
        <w:pStyle w:val="1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7A479CC3">
      <w:pPr>
        <w:spacing w:line="360" w:lineRule="auto"/>
        <w:rPr>
          <w:rFonts w:hint="eastAsia" w:ascii="仿宋" w:hAnsi="仿宋" w:eastAsia="仿宋" w:cs="仿宋"/>
          <w:color w:val="auto"/>
          <w:kern w:val="0"/>
          <w:highlight w:val="none"/>
        </w:rPr>
      </w:pPr>
      <w:bookmarkStart w:id="111" w:name="_Toc141099660"/>
      <w:bookmarkStart w:id="112" w:name="_Toc13665011"/>
      <w:bookmarkStart w:id="113" w:name="_Toc101004102"/>
      <w:bookmarkStart w:id="114" w:name="_Toc493600023"/>
      <w:r>
        <w:rPr>
          <w:rFonts w:hint="eastAsia" w:ascii="仿宋" w:hAnsi="仿宋" w:eastAsia="仿宋" w:cs="仿宋"/>
          <w:color w:val="auto"/>
          <w:highlight w:val="none"/>
        </w:rPr>
        <w:br w:type="page"/>
      </w:r>
    </w:p>
    <w:p w14:paraId="41BAAD0B">
      <w:pPr>
        <w:pStyle w:val="3"/>
        <w:spacing w:line="360" w:lineRule="auto"/>
        <w:jc w:val="center"/>
        <w:rPr>
          <w:rFonts w:hint="eastAsia" w:ascii="仿宋" w:hAnsi="仿宋" w:eastAsia="仿宋" w:cs="仿宋"/>
          <w:color w:val="auto"/>
          <w:highlight w:val="none"/>
        </w:rPr>
      </w:pPr>
      <w:bookmarkStart w:id="115" w:name="_Toc8747"/>
      <w:bookmarkStart w:id="116" w:name="_Toc6082"/>
      <w:bookmarkStart w:id="117" w:name="_Toc26475"/>
      <w:r>
        <w:rPr>
          <w:rFonts w:hint="eastAsia" w:ascii="仿宋" w:hAnsi="仿宋" w:eastAsia="仿宋" w:cs="仿宋"/>
          <w:color w:val="auto"/>
          <w:highlight w:val="none"/>
        </w:rPr>
        <w:t>（五）</w:t>
      </w:r>
      <w:bookmarkEnd w:id="111"/>
      <w:bookmarkEnd w:id="112"/>
      <w:bookmarkEnd w:id="113"/>
      <w:bookmarkEnd w:id="114"/>
      <w:bookmarkEnd w:id="115"/>
      <w:bookmarkStart w:id="118" w:name="_Toc3459"/>
      <w:bookmarkStart w:id="119" w:name="_Toc101004103"/>
      <w:bookmarkStart w:id="120" w:name="_Toc493600024"/>
      <w:bookmarkStart w:id="121" w:name="_Toc13665012"/>
      <w:bookmarkStart w:id="122" w:name="_Toc141099661"/>
      <w:r>
        <w:rPr>
          <w:rFonts w:hint="eastAsia" w:ascii="仿宋" w:hAnsi="仿宋" w:eastAsia="仿宋" w:cs="仿宋"/>
          <w:color w:val="auto"/>
          <w:highlight w:val="none"/>
        </w:rPr>
        <w:t>参加政府采购活动前3年内在经营活动中没有重大违法记录的书面声明</w:t>
      </w:r>
      <w:bookmarkEnd w:id="116"/>
      <w:bookmarkEnd w:id="117"/>
      <w:bookmarkEnd w:id="118"/>
      <w:bookmarkEnd w:id="119"/>
      <w:bookmarkEnd w:id="120"/>
      <w:bookmarkEnd w:id="121"/>
      <w:bookmarkEnd w:id="122"/>
    </w:p>
    <w:p w14:paraId="53554E60">
      <w:pPr>
        <w:spacing w:line="360" w:lineRule="auto"/>
        <w:jc w:val="center"/>
        <w:rPr>
          <w:rFonts w:hint="eastAsia" w:ascii="仿宋" w:hAnsi="仿宋" w:eastAsia="仿宋" w:cs="仿宋"/>
          <w:color w:val="auto"/>
          <w:highlight w:val="none"/>
        </w:rPr>
      </w:pPr>
    </w:p>
    <w:p w14:paraId="5CC32B2C">
      <w:pPr>
        <w:spacing w:line="360" w:lineRule="auto"/>
        <w:jc w:val="center"/>
        <w:rPr>
          <w:rFonts w:hint="eastAsia" w:ascii="仿宋" w:hAnsi="仿宋" w:eastAsia="仿宋" w:cs="仿宋"/>
          <w:color w:val="auto"/>
          <w:sz w:val="24"/>
          <w:szCs w:val="24"/>
          <w:highlight w:val="none"/>
        </w:rPr>
      </w:pPr>
    </w:p>
    <w:p w14:paraId="70E3CAC5">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（投标自行承诺及说明，内容自拟）</w:t>
      </w:r>
    </w:p>
    <w:p w14:paraId="6DBAE495">
      <w:pPr>
        <w:spacing w:line="360" w:lineRule="auto"/>
        <w:jc w:val="center"/>
        <w:rPr>
          <w:rFonts w:hint="eastAsia" w:ascii="仿宋" w:hAnsi="仿宋" w:eastAsia="仿宋" w:cs="仿宋"/>
          <w:color w:val="auto"/>
          <w:sz w:val="24"/>
          <w:szCs w:val="24"/>
          <w:highlight w:val="none"/>
        </w:rPr>
      </w:pPr>
    </w:p>
    <w:p w14:paraId="0538E5E8">
      <w:pPr>
        <w:spacing w:line="360" w:lineRule="auto"/>
        <w:rPr>
          <w:rFonts w:hint="eastAsia" w:ascii="仿宋" w:hAnsi="仿宋" w:eastAsia="仿宋" w:cs="仿宋"/>
          <w:color w:val="auto"/>
          <w:sz w:val="24"/>
          <w:szCs w:val="24"/>
          <w:highlight w:val="none"/>
        </w:rPr>
      </w:pPr>
    </w:p>
    <w:p w14:paraId="32F94556">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79DFA0F1">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法定代表人：（电子签名）</w:t>
      </w:r>
    </w:p>
    <w:p w14:paraId="5E23E13B">
      <w:pPr>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51EBD1CA">
      <w:pPr>
        <w:spacing w:line="360" w:lineRule="auto"/>
        <w:rPr>
          <w:rFonts w:hint="eastAsia" w:ascii="仿宋" w:hAnsi="仿宋" w:eastAsia="仿宋" w:cs="仿宋"/>
          <w:color w:val="auto"/>
          <w:sz w:val="24"/>
          <w:szCs w:val="24"/>
          <w:highlight w:val="none"/>
        </w:rPr>
      </w:pPr>
    </w:p>
    <w:p w14:paraId="68A0955A">
      <w:pPr>
        <w:spacing w:line="360" w:lineRule="auto"/>
        <w:rPr>
          <w:rFonts w:hint="eastAsia" w:ascii="仿宋" w:hAnsi="仿宋" w:eastAsia="仿宋" w:cs="仿宋"/>
          <w:color w:val="auto"/>
          <w:sz w:val="24"/>
          <w:szCs w:val="24"/>
          <w:highlight w:val="none"/>
        </w:rPr>
      </w:pPr>
    </w:p>
    <w:p w14:paraId="76CBE0EB">
      <w:pPr>
        <w:spacing w:line="360" w:lineRule="auto"/>
        <w:rPr>
          <w:rFonts w:hint="eastAsia" w:ascii="仿宋" w:hAnsi="仿宋" w:eastAsia="仿宋" w:cs="仿宋"/>
          <w:color w:val="auto"/>
          <w:sz w:val="24"/>
          <w:szCs w:val="24"/>
          <w:highlight w:val="none"/>
        </w:rPr>
      </w:pPr>
    </w:p>
    <w:p w14:paraId="35D5C7F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0907AED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1、重大违法记录，是指供应商因违法经营受到刑事处罚或者责令停产停业、吊销许可证或者执照、较大数额罚款等行政处罚。</w:t>
      </w:r>
    </w:p>
    <w:p w14:paraId="62632CF5">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68F50E0A">
      <w:pPr>
        <w:pStyle w:val="3"/>
        <w:spacing w:line="360" w:lineRule="auto"/>
        <w:jc w:val="center"/>
        <w:rPr>
          <w:rFonts w:hint="eastAsia" w:ascii="仿宋" w:hAnsi="仿宋" w:eastAsia="仿宋" w:cs="仿宋"/>
          <w:color w:val="auto"/>
          <w:sz w:val="30"/>
          <w:szCs w:val="30"/>
          <w:highlight w:val="none"/>
        </w:rPr>
      </w:pPr>
      <w:bookmarkStart w:id="123" w:name="_Toc16996"/>
      <w:bookmarkStart w:id="124" w:name="_Toc16788"/>
      <w:bookmarkStart w:id="125" w:name="_Toc17354"/>
      <w:r>
        <w:rPr>
          <w:rFonts w:hint="eastAsia" w:ascii="仿宋" w:hAnsi="仿宋" w:eastAsia="仿宋" w:cs="仿宋"/>
          <w:color w:val="auto"/>
          <w:highlight w:val="none"/>
        </w:rPr>
        <w:t>（</w:t>
      </w:r>
      <w:r>
        <w:rPr>
          <w:rFonts w:hint="eastAsia" w:ascii="仿宋" w:hAnsi="仿宋" w:eastAsia="仿宋" w:cs="仿宋"/>
          <w:color w:val="auto"/>
          <w:highlight w:val="none"/>
          <w:lang w:eastAsia="zh-CN"/>
        </w:rPr>
        <w:t>六</w:t>
      </w:r>
      <w:r>
        <w:rPr>
          <w:rFonts w:hint="eastAsia" w:ascii="仿宋" w:hAnsi="仿宋" w:eastAsia="仿宋" w:cs="仿宋"/>
          <w:color w:val="auto"/>
          <w:highlight w:val="none"/>
        </w:rPr>
        <w:t>）投标人无直接控股、管理关系书面声明函</w:t>
      </w:r>
      <w:bookmarkEnd w:id="123"/>
      <w:bookmarkEnd w:id="124"/>
      <w:bookmarkEnd w:id="125"/>
    </w:p>
    <w:p w14:paraId="401A26A0">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p w14:paraId="032074E9">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（采购人名称）：</w:t>
      </w:r>
    </w:p>
    <w:p w14:paraId="2494A76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一、下述公司负责人与我公司单位负责人为同一人：（如无则本项填写“无”）  </w:t>
      </w:r>
    </w:p>
    <w:p w14:paraId="56C129F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p>
    <w:p w14:paraId="5E92D3A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w:t>
      </w:r>
    </w:p>
    <w:p w14:paraId="4998C58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w:t>
      </w:r>
    </w:p>
    <w:p w14:paraId="38D5F23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2BC195B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二、我公司与下述公司存在直接控股关系：（如无则本项填写“无”） </w:t>
      </w:r>
    </w:p>
    <w:p w14:paraId="4C4C905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p>
    <w:p w14:paraId="36A2D58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w:t>
      </w:r>
    </w:p>
    <w:p w14:paraId="7A031A1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w:t>
      </w:r>
    </w:p>
    <w:p w14:paraId="29A8C81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729D7FA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三、我公司与下述公司存在直接管理关系：（如无则本项填写“无”） </w:t>
      </w:r>
    </w:p>
    <w:p w14:paraId="61035E9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p>
    <w:p w14:paraId="78DDDB8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w:t>
      </w:r>
    </w:p>
    <w:p w14:paraId="2EB717D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w:t>
      </w:r>
    </w:p>
    <w:p w14:paraId="08EF5BA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5F210EE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我单位郑重声明：与本单位负责人为同一人或者与本单位存在直接控股关系、管理关系的投标人未参与本项目同一合同项下的投标。 </w:t>
      </w:r>
    </w:p>
    <w:p w14:paraId="4CBA6E3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我单位保证上述声明真实、有效、可查。 </w:t>
      </w:r>
    </w:p>
    <w:p w14:paraId="1249EAB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特此声明。 </w:t>
      </w:r>
    </w:p>
    <w:p w14:paraId="684E7BF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2DA7F28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1637A47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法定代表人：（电子签名）</w:t>
      </w:r>
    </w:p>
    <w:p w14:paraId="573C492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eastAsia="zh-CN"/>
        </w:rPr>
        <w:t>日期：       年   月    日</w:t>
      </w:r>
    </w:p>
    <w:p w14:paraId="779C959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5A9DBA0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4F2DDED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1、单位负责人，是指单位法定代表人或者法律、行政法规规定代表单位行使职权的主要负责人。</w:t>
      </w:r>
    </w:p>
    <w:p w14:paraId="672D358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2、直接控股关系，</w:t>
      </w:r>
      <w:r>
        <w:rPr>
          <w:rFonts w:hint="eastAsia" w:ascii="仿宋" w:hAnsi="仿宋" w:eastAsia="仿宋" w:cs="仿宋"/>
          <w:color w:val="auto"/>
          <w:sz w:val="24"/>
          <w:szCs w:val="24"/>
          <w:highlight w:val="none"/>
          <w:shd w:val="clear" w:color="auto" w:fill="FFFFFF"/>
        </w:rPr>
        <w:t>是指单位或个人股东的直接控股关系；控股股东，是指其出资额占有限责任公司资本总额</w:t>
      </w:r>
      <w:r>
        <w:rPr>
          <w:rFonts w:hint="eastAsia" w:ascii="仿宋" w:hAnsi="仿宋" w:eastAsia="仿宋" w:cs="仿宋"/>
          <w:color w:val="auto"/>
          <w:sz w:val="24"/>
          <w:szCs w:val="24"/>
          <w:highlight w:val="none"/>
          <w:shd w:val="clear" w:color="auto" w:fill="FFFFFF"/>
          <w:lang w:eastAsia="zh-CN"/>
        </w:rPr>
        <w:t>50%</w:t>
      </w:r>
      <w:r>
        <w:rPr>
          <w:rFonts w:hint="eastAsia" w:ascii="仿宋" w:hAnsi="仿宋" w:eastAsia="仿宋" w:cs="仿宋"/>
          <w:color w:val="auto"/>
          <w:sz w:val="24"/>
          <w:szCs w:val="24"/>
          <w:highlight w:val="none"/>
          <w:shd w:val="clear" w:color="auto" w:fill="FFFFFF"/>
        </w:rPr>
        <w:t>以上或者其持有的股份占股份有限公司股本总额</w:t>
      </w:r>
      <w:r>
        <w:rPr>
          <w:rFonts w:hint="eastAsia" w:ascii="仿宋" w:hAnsi="仿宋" w:eastAsia="仿宋" w:cs="仿宋"/>
          <w:color w:val="auto"/>
          <w:sz w:val="24"/>
          <w:szCs w:val="24"/>
          <w:highlight w:val="none"/>
          <w:shd w:val="clear" w:color="auto" w:fill="FFFFFF"/>
          <w:lang w:eastAsia="zh-CN"/>
        </w:rPr>
        <w:t>50%</w:t>
      </w:r>
      <w:r>
        <w:rPr>
          <w:rFonts w:hint="eastAsia" w:ascii="仿宋" w:hAnsi="仿宋" w:eastAsia="仿宋" w:cs="仿宋"/>
          <w:color w:val="auto"/>
          <w:sz w:val="24"/>
          <w:szCs w:val="24"/>
          <w:highlight w:val="none"/>
          <w:shd w:val="clear" w:color="auto" w:fill="FFFFFF"/>
        </w:rPr>
        <w:t>以上的股东；出资额或者持有股份的比例虽然不足</w:t>
      </w:r>
      <w:r>
        <w:rPr>
          <w:rFonts w:hint="eastAsia" w:ascii="仿宋" w:hAnsi="仿宋" w:eastAsia="仿宋" w:cs="仿宋"/>
          <w:color w:val="auto"/>
          <w:sz w:val="24"/>
          <w:szCs w:val="24"/>
          <w:highlight w:val="none"/>
          <w:shd w:val="clear" w:color="auto" w:fill="FFFFFF"/>
          <w:lang w:eastAsia="zh-CN"/>
        </w:rPr>
        <w:t>50%</w:t>
      </w:r>
      <w:r>
        <w:rPr>
          <w:rFonts w:hint="eastAsia" w:ascii="仿宋" w:hAnsi="仿宋" w:eastAsia="仿宋" w:cs="仿宋"/>
          <w:color w:val="auto"/>
          <w:sz w:val="24"/>
          <w:szCs w:val="24"/>
          <w:highlight w:val="none"/>
          <w:shd w:val="clear" w:color="auto" w:fill="FFFFFF"/>
        </w:rPr>
        <w:t>，但依其出资额或者持有的股份所享有的表决权已足以对股东会、股东大会的决议产生重大影响的股东</w:t>
      </w:r>
      <w:r>
        <w:rPr>
          <w:rFonts w:hint="eastAsia" w:ascii="仿宋" w:hAnsi="仿宋" w:eastAsia="仿宋" w:cs="仿宋"/>
          <w:color w:val="auto"/>
          <w:sz w:val="24"/>
          <w:szCs w:val="24"/>
          <w:highlight w:val="none"/>
        </w:rPr>
        <w:t>。</w:t>
      </w:r>
    </w:p>
    <w:p w14:paraId="1F0B675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3、直接管理关系，是指不具有出资持股关系的其他单位之间存在的直接管理与被管理关系，如上下级关系的事业单位和团体组织。</w:t>
      </w:r>
    </w:p>
    <w:p w14:paraId="5CCDBB9E">
      <w:pPr>
        <w:pStyle w:val="10"/>
        <w:spacing w:line="360" w:lineRule="auto"/>
        <w:rPr>
          <w:rFonts w:hint="eastAsia" w:ascii="仿宋" w:hAnsi="仿宋" w:eastAsia="仿宋" w:cs="仿宋"/>
          <w:color w:val="auto"/>
          <w:highlight w:val="none"/>
        </w:rPr>
      </w:pPr>
    </w:p>
    <w:p w14:paraId="437D723B">
      <w:pPr>
        <w:rPr>
          <w:rFonts w:hint="eastAsia" w:ascii="仿宋" w:hAnsi="仿宋" w:eastAsia="仿宋" w:cs="仿宋"/>
          <w:color w:val="auto"/>
          <w:highlight w:val="none"/>
        </w:rPr>
      </w:pPr>
      <w:bookmarkStart w:id="126" w:name="_Toc4297"/>
      <w:r>
        <w:rPr>
          <w:rFonts w:hint="eastAsia" w:ascii="仿宋" w:hAnsi="仿宋" w:eastAsia="仿宋" w:cs="仿宋"/>
          <w:color w:val="auto"/>
          <w:highlight w:val="none"/>
        </w:rPr>
        <w:br w:type="page"/>
      </w:r>
    </w:p>
    <w:p w14:paraId="40BFB9FB">
      <w:pPr>
        <w:pStyle w:val="3"/>
        <w:spacing w:line="360" w:lineRule="auto"/>
        <w:jc w:val="center"/>
        <w:rPr>
          <w:rFonts w:hint="eastAsia" w:ascii="仿宋" w:hAnsi="仿宋" w:eastAsia="仿宋" w:cs="仿宋"/>
          <w:color w:val="auto"/>
          <w:highlight w:val="none"/>
        </w:rPr>
      </w:pPr>
      <w:bookmarkStart w:id="127" w:name="_Toc14779"/>
      <w:bookmarkStart w:id="128" w:name="_Toc8462"/>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七</w:t>
      </w:r>
      <w:r>
        <w:rPr>
          <w:rFonts w:hint="eastAsia" w:ascii="仿宋" w:hAnsi="仿宋" w:eastAsia="仿宋" w:cs="仿宋"/>
          <w:color w:val="auto"/>
          <w:highlight w:val="none"/>
        </w:rPr>
        <w:t>）为本项目提供整体设计、规范编制或者项目管理、监理、检测等服务的供应商，不得再参加本项目的采购活动说明</w:t>
      </w:r>
      <w:bookmarkEnd w:id="126"/>
      <w:bookmarkEnd w:id="127"/>
      <w:bookmarkEnd w:id="128"/>
    </w:p>
    <w:p w14:paraId="43C1BBA3">
      <w:pPr>
        <w:spacing w:line="360" w:lineRule="auto"/>
        <w:jc w:val="center"/>
        <w:rPr>
          <w:rFonts w:hint="eastAsia" w:ascii="仿宋" w:hAnsi="仿宋" w:eastAsia="仿宋" w:cs="仿宋"/>
          <w:color w:val="auto"/>
          <w:highlight w:val="none"/>
        </w:rPr>
      </w:pPr>
    </w:p>
    <w:p w14:paraId="24D6BE95">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（投标自行承诺及说明，内容自拟）</w:t>
      </w:r>
    </w:p>
    <w:p w14:paraId="5ADD1E28">
      <w:pPr>
        <w:spacing w:line="360" w:lineRule="auto"/>
        <w:rPr>
          <w:rFonts w:hint="eastAsia" w:ascii="仿宋" w:hAnsi="仿宋" w:eastAsia="仿宋" w:cs="仿宋"/>
          <w:color w:val="auto"/>
          <w:highlight w:val="none"/>
        </w:rPr>
      </w:pPr>
    </w:p>
    <w:p w14:paraId="303655FE">
      <w:pPr>
        <w:spacing w:line="360" w:lineRule="auto"/>
        <w:rPr>
          <w:rFonts w:hint="eastAsia" w:ascii="仿宋" w:hAnsi="仿宋" w:eastAsia="仿宋" w:cs="仿宋"/>
          <w:color w:val="auto"/>
          <w:highlight w:val="none"/>
        </w:rPr>
      </w:pPr>
    </w:p>
    <w:p w14:paraId="2AC1083A">
      <w:pPr>
        <w:spacing w:line="360" w:lineRule="auto"/>
        <w:rPr>
          <w:rFonts w:hint="eastAsia" w:ascii="仿宋" w:hAnsi="仿宋" w:eastAsia="仿宋" w:cs="仿宋"/>
          <w:color w:val="auto"/>
          <w:highlight w:val="none"/>
        </w:rPr>
      </w:pPr>
    </w:p>
    <w:p w14:paraId="5C162BA6">
      <w:pPr>
        <w:spacing w:line="360" w:lineRule="auto"/>
        <w:rPr>
          <w:rFonts w:hint="eastAsia" w:ascii="仿宋" w:hAnsi="仿宋" w:eastAsia="仿宋" w:cs="仿宋"/>
          <w:color w:val="auto"/>
          <w:highlight w:val="none"/>
        </w:rPr>
      </w:pPr>
    </w:p>
    <w:p w14:paraId="58ED2F1A">
      <w:pPr>
        <w:keepNext w:val="0"/>
        <w:keepLines w:val="0"/>
        <w:pageBreakBefore w:val="0"/>
        <w:widowControl w:val="0"/>
        <w:kinsoku/>
        <w:wordWrap/>
        <w:overflowPunct/>
        <w:topLinePunct w:val="0"/>
        <w:autoSpaceDE/>
        <w:autoSpaceDN/>
        <w:bidi w:val="0"/>
        <w:adjustRightInd/>
        <w:snapToGrid w:val="0"/>
        <w:spacing w:line="360" w:lineRule="auto"/>
        <w:ind w:firstLine="720" w:firstLineChars="3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投标人：（电子签章）</w:t>
      </w:r>
    </w:p>
    <w:p w14:paraId="7DE07C90">
      <w:pPr>
        <w:keepNext w:val="0"/>
        <w:keepLines w:val="0"/>
        <w:pageBreakBefore w:val="0"/>
        <w:widowControl w:val="0"/>
        <w:kinsoku/>
        <w:wordWrap/>
        <w:overflowPunct/>
        <w:topLinePunct w:val="0"/>
        <w:autoSpaceDE/>
        <w:autoSpaceDN/>
        <w:bidi w:val="0"/>
        <w:adjustRightInd/>
        <w:snapToGrid w:val="0"/>
        <w:spacing w:line="360" w:lineRule="auto"/>
        <w:ind w:firstLine="720" w:firstLineChars="3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法定代表人：（电子签名）</w:t>
      </w:r>
    </w:p>
    <w:p w14:paraId="4F9C857E">
      <w:pPr>
        <w:keepNext w:val="0"/>
        <w:keepLines w:val="0"/>
        <w:pageBreakBefore w:val="0"/>
        <w:widowControl w:val="0"/>
        <w:kinsoku/>
        <w:wordWrap/>
        <w:overflowPunct/>
        <w:topLinePunct w:val="0"/>
        <w:autoSpaceDE/>
        <w:autoSpaceDN/>
        <w:bidi w:val="0"/>
        <w:adjustRightInd/>
        <w:snapToGrid w:val="0"/>
        <w:spacing w:line="360" w:lineRule="auto"/>
        <w:ind w:firstLine="720" w:firstLineChars="30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日期：  年  月  日</w:t>
      </w:r>
    </w:p>
    <w:p w14:paraId="0F0294C5">
      <w:pPr>
        <w:spacing w:line="360" w:lineRule="auto"/>
        <w:rPr>
          <w:rFonts w:hint="eastAsia" w:ascii="仿宋" w:hAnsi="仿宋" w:eastAsia="仿宋" w:cs="仿宋"/>
          <w:color w:val="auto"/>
          <w:highlight w:val="none"/>
        </w:rPr>
      </w:pPr>
    </w:p>
    <w:p w14:paraId="7CFEC1E9">
      <w:pPr>
        <w:spacing w:line="360" w:lineRule="auto"/>
        <w:rPr>
          <w:rFonts w:hint="eastAsia" w:ascii="仿宋" w:hAnsi="仿宋" w:eastAsia="仿宋" w:cs="仿宋"/>
          <w:color w:val="auto"/>
          <w:highlight w:val="none"/>
        </w:rPr>
      </w:pPr>
    </w:p>
    <w:p w14:paraId="67216180">
      <w:pPr>
        <w:spacing w:line="360" w:lineRule="auto"/>
        <w:rPr>
          <w:rFonts w:hint="eastAsia" w:ascii="仿宋" w:hAnsi="仿宋" w:eastAsia="仿宋" w:cs="仿宋"/>
          <w:color w:val="auto"/>
          <w:highlight w:val="none"/>
        </w:rPr>
      </w:pPr>
    </w:p>
    <w:p w14:paraId="3F15E5EA">
      <w:pPr>
        <w:spacing w:line="360" w:lineRule="auto"/>
        <w:rPr>
          <w:rFonts w:hint="eastAsia" w:ascii="仿宋" w:hAnsi="仿宋" w:eastAsia="仿宋" w:cs="仿宋"/>
          <w:color w:val="auto"/>
          <w:highlight w:val="none"/>
        </w:rPr>
      </w:pPr>
    </w:p>
    <w:p w14:paraId="211A2F13">
      <w:pPr>
        <w:spacing w:line="360" w:lineRule="auto"/>
        <w:rPr>
          <w:rFonts w:hint="eastAsia" w:ascii="仿宋" w:hAnsi="仿宋" w:eastAsia="仿宋" w:cs="仿宋"/>
          <w:color w:val="auto"/>
          <w:highlight w:val="none"/>
        </w:rPr>
      </w:pPr>
    </w:p>
    <w:p w14:paraId="443FA7B6">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highlight w:val="none"/>
        </w:rPr>
        <w:br w:type="page"/>
      </w:r>
      <w:bookmarkStart w:id="129" w:name="_Toc13665018"/>
      <w:bookmarkStart w:id="130" w:name="_Toc101004107"/>
      <w:bookmarkStart w:id="131" w:name="_Toc141099666"/>
      <w:bookmarkStart w:id="132" w:name="_Toc327190555"/>
    </w:p>
    <w:p w14:paraId="7DAF3DDA">
      <w:pPr>
        <w:pStyle w:val="3"/>
        <w:spacing w:line="360" w:lineRule="auto"/>
        <w:jc w:val="center"/>
        <w:rPr>
          <w:rFonts w:hint="eastAsia" w:ascii="仿宋" w:hAnsi="仿宋" w:eastAsia="仿宋" w:cs="仿宋"/>
          <w:color w:val="auto"/>
          <w:highlight w:val="none"/>
        </w:rPr>
      </w:pPr>
      <w:bookmarkStart w:id="133" w:name="_Toc13791"/>
      <w:bookmarkStart w:id="134" w:name="_Toc21792"/>
      <w:bookmarkStart w:id="135" w:name="_Toc14304"/>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八</w:t>
      </w:r>
      <w:r>
        <w:rPr>
          <w:rFonts w:hint="eastAsia" w:ascii="仿宋" w:hAnsi="仿宋" w:eastAsia="仿宋" w:cs="仿宋"/>
          <w:color w:val="auto"/>
          <w:highlight w:val="none"/>
        </w:rPr>
        <w:t>）非联合体投标声明</w:t>
      </w:r>
      <w:bookmarkEnd w:id="133"/>
      <w:bookmarkEnd w:id="134"/>
      <w:bookmarkEnd w:id="135"/>
    </w:p>
    <w:p w14:paraId="5762D39D">
      <w:pPr>
        <w:keepNext w:val="0"/>
        <w:keepLines w:val="0"/>
        <w:pageBreakBefore w:val="0"/>
        <w:widowControl w:val="0"/>
        <w:kinsoku/>
        <w:wordWrap/>
        <w:overflowPunct/>
        <w:topLinePunct w:val="0"/>
        <w:autoSpaceDE/>
        <w:autoSpaceDN/>
        <w:bidi w:val="0"/>
        <w:adjustRightInd/>
        <w:snapToGrid w:val="0"/>
        <w:spacing w:line="360" w:lineRule="auto"/>
        <w:ind w:firstLine="720" w:firstLineChars="30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（格式自拟）</w:t>
      </w:r>
    </w:p>
    <w:p w14:paraId="121D4A70">
      <w:pPr>
        <w:spacing w:line="360" w:lineRule="auto"/>
        <w:rPr>
          <w:rFonts w:hint="eastAsia" w:ascii="仿宋" w:hAnsi="仿宋" w:eastAsia="仿宋" w:cs="仿宋"/>
          <w:color w:val="auto"/>
          <w:highlight w:val="none"/>
        </w:rPr>
      </w:pPr>
    </w:p>
    <w:p w14:paraId="779F42D9">
      <w:pPr>
        <w:spacing w:line="360" w:lineRule="auto"/>
        <w:rPr>
          <w:rFonts w:hint="eastAsia" w:ascii="仿宋" w:hAnsi="仿宋" w:eastAsia="仿宋" w:cs="仿宋"/>
          <w:color w:val="auto"/>
          <w:highlight w:val="none"/>
        </w:rPr>
      </w:pPr>
    </w:p>
    <w:p w14:paraId="7BA22FB8">
      <w:pPr>
        <w:spacing w:line="360" w:lineRule="auto"/>
        <w:rPr>
          <w:rFonts w:hint="eastAsia" w:ascii="仿宋" w:hAnsi="仿宋" w:eastAsia="仿宋" w:cs="仿宋"/>
          <w:color w:val="auto"/>
          <w:highlight w:val="none"/>
        </w:rPr>
      </w:pPr>
    </w:p>
    <w:p w14:paraId="133A2A38">
      <w:pPr>
        <w:spacing w:line="360" w:lineRule="auto"/>
        <w:rPr>
          <w:rFonts w:hint="eastAsia" w:ascii="仿宋" w:hAnsi="仿宋" w:eastAsia="仿宋" w:cs="仿宋"/>
          <w:color w:val="auto"/>
          <w:highlight w:val="none"/>
        </w:rPr>
      </w:pPr>
    </w:p>
    <w:p w14:paraId="757675CD">
      <w:pPr>
        <w:spacing w:line="360" w:lineRule="auto"/>
        <w:rPr>
          <w:rFonts w:hint="eastAsia" w:ascii="仿宋" w:hAnsi="仿宋" w:eastAsia="仿宋" w:cs="仿宋"/>
          <w:color w:val="auto"/>
          <w:highlight w:val="none"/>
        </w:rPr>
      </w:pPr>
    </w:p>
    <w:p w14:paraId="378EF5E9">
      <w:pPr>
        <w:spacing w:line="360" w:lineRule="auto"/>
        <w:rPr>
          <w:rFonts w:hint="eastAsia" w:ascii="仿宋" w:hAnsi="仿宋" w:eastAsia="仿宋" w:cs="仿宋"/>
          <w:color w:val="auto"/>
          <w:highlight w:val="none"/>
        </w:rPr>
      </w:pPr>
    </w:p>
    <w:p w14:paraId="3D92D981">
      <w:pPr>
        <w:keepNext w:val="0"/>
        <w:keepLines w:val="0"/>
        <w:pageBreakBefore w:val="0"/>
        <w:widowControl w:val="0"/>
        <w:kinsoku/>
        <w:wordWrap/>
        <w:overflowPunct/>
        <w:topLinePunct w:val="0"/>
        <w:autoSpaceDE/>
        <w:autoSpaceDN/>
        <w:bidi w:val="0"/>
        <w:adjustRightInd/>
        <w:snapToGrid w:val="0"/>
        <w:spacing w:line="360" w:lineRule="auto"/>
        <w:ind w:firstLine="720" w:firstLineChars="300"/>
        <w:textAlignment w:val="auto"/>
        <w:rPr>
          <w:rFonts w:hint="eastAsia" w:ascii="仿宋" w:hAnsi="仿宋" w:eastAsia="仿宋" w:cs="仿宋"/>
          <w:color w:val="auto"/>
          <w:sz w:val="24"/>
          <w:szCs w:val="24"/>
          <w:highlight w:val="none"/>
          <w:lang w:val="en-US" w:eastAsia="zh-CN"/>
        </w:rPr>
      </w:pPr>
    </w:p>
    <w:p w14:paraId="1527D2FD">
      <w:pPr>
        <w:keepNext w:val="0"/>
        <w:keepLines w:val="0"/>
        <w:pageBreakBefore w:val="0"/>
        <w:widowControl w:val="0"/>
        <w:kinsoku/>
        <w:wordWrap/>
        <w:overflowPunct/>
        <w:topLinePunct w:val="0"/>
        <w:autoSpaceDE/>
        <w:autoSpaceDN/>
        <w:bidi w:val="0"/>
        <w:adjustRightInd/>
        <w:snapToGrid w:val="0"/>
        <w:spacing w:line="360" w:lineRule="auto"/>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投标人：（电子签章）</w:t>
      </w:r>
    </w:p>
    <w:p w14:paraId="2728D93A">
      <w:pPr>
        <w:keepNext w:val="0"/>
        <w:keepLines w:val="0"/>
        <w:pageBreakBefore w:val="0"/>
        <w:widowControl w:val="0"/>
        <w:kinsoku/>
        <w:wordWrap/>
        <w:overflowPunct/>
        <w:topLinePunct w:val="0"/>
        <w:autoSpaceDE/>
        <w:autoSpaceDN/>
        <w:bidi w:val="0"/>
        <w:adjustRightInd/>
        <w:snapToGrid w:val="0"/>
        <w:spacing w:line="360" w:lineRule="auto"/>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法定代表人：（电子签名）</w:t>
      </w:r>
    </w:p>
    <w:p w14:paraId="640EDD74">
      <w:pPr>
        <w:keepNext w:val="0"/>
        <w:keepLines w:val="0"/>
        <w:pageBreakBefore w:val="0"/>
        <w:widowControl w:val="0"/>
        <w:kinsoku/>
        <w:wordWrap/>
        <w:overflowPunct/>
        <w:topLinePunct w:val="0"/>
        <w:autoSpaceDE/>
        <w:autoSpaceDN/>
        <w:bidi w:val="0"/>
        <w:adjustRightInd/>
        <w:snapToGrid w:val="0"/>
        <w:spacing w:line="360" w:lineRule="auto"/>
        <w:ind w:firstLine="720" w:firstLineChars="3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日期：       年   月    日</w:t>
      </w:r>
    </w:p>
    <w:p w14:paraId="6955B387">
      <w:pPr>
        <w:spacing w:line="360" w:lineRule="auto"/>
        <w:rPr>
          <w:rFonts w:hint="eastAsia" w:ascii="仿宋" w:hAnsi="仿宋" w:eastAsia="仿宋" w:cs="仿宋"/>
          <w:color w:val="auto"/>
          <w:highlight w:val="none"/>
        </w:rPr>
      </w:pPr>
    </w:p>
    <w:p w14:paraId="7D589006">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r>
    </w:p>
    <w:p w14:paraId="0CBD663D">
      <w:pPr>
        <w:pStyle w:val="3"/>
        <w:spacing w:line="360" w:lineRule="auto"/>
        <w:jc w:val="center"/>
        <w:rPr>
          <w:rFonts w:hint="eastAsia" w:ascii="仿宋" w:hAnsi="仿宋" w:eastAsia="仿宋" w:cs="仿宋"/>
          <w:color w:val="auto"/>
          <w:highlight w:val="none"/>
        </w:rPr>
      </w:pPr>
      <w:bookmarkStart w:id="136" w:name="_Toc27175"/>
      <w:bookmarkStart w:id="137" w:name="_Toc17790"/>
      <w:bookmarkStart w:id="138" w:name="_Toc16300"/>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九</w:t>
      </w:r>
      <w:r>
        <w:rPr>
          <w:rFonts w:hint="eastAsia" w:ascii="仿宋" w:hAnsi="仿宋" w:eastAsia="仿宋" w:cs="仿宋"/>
          <w:color w:val="auto"/>
          <w:highlight w:val="none"/>
        </w:rPr>
        <w:t>）本项目的特定资格要求：</w:t>
      </w:r>
      <w:bookmarkEnd w:id="136"/>
      <w:bookmarkEnd w:id="137"/>
    </w:p>
    <w:p w14:paraId="4DF8E8D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lang w:val="en-US" w:eastAsia="zh-CN"/>
        </w:rPr>
        <w:t>投标人如果是代理商或经销商，须提供医疗器械经营许可证/备案，所投产品制造商医疗器械生产许可证（制造商工商注册地在中华人民共和国境外的，不作此要求）、所投产品的医疗器械注册证及附件；投标人如果是制造商，须提供医疗器械生产许可证（制造商工商注册地在中华人民共和国境外的，不作此要求）、所投产品的医疗器械注册证及附件。医疗器械生产或经营许可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p w14:paraId="0F5980C7">
      <w:pPr>
        <w:spacing w:line="360" w:lineRule="auto"/>
        <w:rPr>
          <w:rFonts w:hint="eastAsia" w:ascii="仿宋" w:hAnsi="仿宋" w:eastAsia="仿宋" w:cs="仿宋"/>
          <w:color w:val="auto"/>
          <w:highlight w:val="none"/>
        </w:rPr>
      </w:pPr>
    </w:p>
    <w:p w14:paraId="2B595E7B">
      <w:pPr>
        <w:spacing w:line="360" w:lineRule="auto"/>
        <w:rPr>
          <w:rFonts w:hint="eastAsia" w:ascii="仿宋" w:hAnsi="仿宋" w:eastAsia="仿宋" w:cs="仿宋"/>
          <w:color w:val="auto"/>
          <w:highlight w:val="none"/>
        </w:rPr>
      </w:pPr>
    </w:p>
    <w:p w14:paraId="70BF10FB">
      <w:pPr>
        <w:spacing w:line="360" w:lineRule="auto"/>
        <w:rPr>
          <w:rFonts w:hint="eastAsia" w:ascii="仿宋" w:hAnsi="仿宋" w:eastAsia="仿宋" w:cs="仿宋"/>
          <w:color w:val="auto"/>
          <w:highlight w:val="none"/>
        </w:rPr>
      </w:pPr>
    </w:p>
    <w:p w14:paraId="6809FD2B">
      <w:pPr>
        <w:spacing w:line="360" w:lineRule="auto"/>
        <w:rPr>
          <w:rFonts w:hint="eastAsia" w:ascii="仿宋" w:hAnsi="仿宋" w:eastAsia="仿宋" w:cs="仿宋"/>
          <w:color w:val="auto"/>
          <w:highlight w:val="none"/>
        </w:rPr>
      </w:pPr>
    </w:p>
    <w:p w14:paraId="543BE8D6">
      <w:pPr>
        <w:spacing w:line="360" w:lineRule="auto"/>
        <w:rPr>
          <w:rFonts w:hint="eastAsia" w:ascii="仿宋" w:hAnsi="仿宋" w:eastAsia="仿宋" w:cs="仿宋"/>
          <w:color w:val="auto"/>
          <w:highlight w:val="none"/>
        </w:rPr>
      </w:pPr>
    </w:p>
    <w:p w14:paraId="291336C4">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B43166D">
      <w:pPr>
        <w:pStyle w:val="3"/>
        <w:spacing w:line="360" w:lineRule="auto"/>
        <w:jc w:val="center"/>
        <w:rPr>
          <w:rFonts w:hint="eastAsia" w:ascii="仿宋" w:hAnsi="仿宋" w:eastAsia="仿宋" w:cs="仿宋"/>
          <w:color w:val="auto"/>
          <w:sz w:val="30"/>
          <w:szCs w:val="30"/>
          <w:highlight w:val="none"/>
        </w:rPr>
      </w:pPr>
      <w:bookmarkStart w:id="139" w:name="_Toc15894"/>
      <w:bookmarkStart w:id="140" w:name="_Toc9642"/>
      <w:r>
        <w:rPr>
          <w:rFonts w:hint="eastAsia" w:ascii="仿宋" w:hAnsi="仿宋" w:eastAsia="仿宋" w:cs="仿宋"/>
          <w:color w:val="auto"/>
          <w:highlight w:val="none"/>
        </w:rPr>
        <w:t>三、商务部分</w:t>
      </w:r>
      <w:bookmarkEnd w:id="129"/>
      <w:bookmarkEnd w:id="130"/>
      <w:bookmarkEnd w:id="131"/>
      <w:bookmarkEnd w:id="138"/>
      <w:bookmarkEnd w:id="139"/>
      <w:bookmarkEnd w:id="140"/>
    </w:p>
    <w:p w14:paraId="2B335952">
      <w:pPr>
        <w:pStyle w:val="3"/>
        <w:spacing w:line="360" w:lineRule="auto"/>
        <w:jc w:val="center"/>
        <w:rPr>
          <w:rFonts w:hint="eastAsia" w:ascii="仿宋" w:hAnsi="仿宋" w:eastAsia="仿宋" w:cs="仿宋"/>
          <w:color w:val="auto"/>
          <w:highlight w:val="none"/>
        </w:rPr>
      </w:pPr>
      <w:bookmarkStart w:id="141" w:name="_Toc16261"/>
      <w:bookmarkStart w:id="142" w:name="_Toc101004108"/>
      <w:bookmarkStart w:id="143" w:name="_Toc13665019"/>
      <w:bookmarkStart w:id="144" w:name="_Toc12992"/>
      <w:bookmarkStart w:id="145" w:name="_Toc493600031"/>
      <w:bookmarkStart w:id="146" w:name="_Toc26859"/>
      <w:bookmarkStart w:id="147" w:name="_Toc141099667"/>
      <w:r>
        <w:rPr>
          <w:rFonts w:hint="eastAsia" w:ascii="仿宋" w:hAnsi="仿宋" w:eastAsia="仿宋" w:cs="仿宋"/>
          <w:color w:val="auto"/>
          <w:highlight w:val="none"/>
        </w:rPr>
        <w:t>（一）投 标 函</w:t>
      </w:r>
      <w:bookmarkEnd w:id="141"/>
      <w:bookmarkEnd w:id="142"/>
      <w:bookmarkEnd w:id="143"/>
      <w:bookmarkEnd w:id="144"/>
      <w:bookmarkEnd w:id="145"/>
      <w:bookmarkEnd w:id="146"/>
      <w:bookmarkEnd w:id="147"/>
    </w:p>
    <w:p w14:paraId="44041F7E">
      <w:pPr>
        <w:pStyle w:val="10"/>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采购人名称</w:t>
      </w:r>
      <w:r>
        <w:rPr>
          <w:rFonts w:hint="eastAsia" w:ascii="仿宋" w:hAnsi="仿宋" w:eastAsia="仿宋" w:cs="仿宋"/>
          <w:color w:val="auto"/>
          <w:sz w:val="24"/>
          <w:szCs w:val="24"/>
          <w:highlight w:val="none"/>
          <w:u w:val="single"/>
          <w:lang w:eastAsia="zh-CN"/>
        </w:rPr>
        <w:t>）</w:t>
      </w:r>
    </w:p>
    <w:p w14:paraId="2D02F805">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我方仔细研究了</w:t>
      </w:r>
      <w:r>
        <w:rPr>
          <w:rFonts w:hint="eastAsia" w:ascii="仿宋" w:hAnsi="仿宋" w:eastAsia="仿宋" w:cs="仿宋"/>
          <w:color w:val="auto"/>
          <w:sz w:val="24"/>
          <w:szCs w:val="24"/>
          <w:highlight w:val="none"/>
          <w:u w:val="single"/>
        </w:rPr>
        <w:t>（采购项目名称）</w:t>
      </w:r>
      <w:r>
        <w:rPr>
          <w:rFonts w:hint="eastAsia" w:ascii="仿宋" w:hAnsi="仿宋" w:eastAsia="仿宋" w:cs="仿宋"/>
          <w:color w:val="auto"/>
          <w:sz w:val="24"/>
          <w:szCs w:val="24"/>
          <w:highlight w:val="none"/>
          <w:u w:val="single"/>
          <w:lang w:val="en-US" w:eastAsia="zh-CN"/>
        </w:rPr>
        <w:t>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）项目招标文件的全部内容，我公司愿意参加本次投标活动，并提交电子投标文件。</w:t>
      </w:r>
    </w:p>
    <w:p w14:paraId="34F96E28">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据此函，我方同意如下：</w:t>
      </w:r>
    </w:p>
    <w:p w14:paraId="4F754D78">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1、按招标文件项目需求及技术要求和投标报价汇总表，投标总报价为：</w:t>
      </w:r>
      <w:r>
        <w:rPr>
          <w:rFonts w:hint="eastAsia" w:ascii="仿宋" w:hAnsi="仿宋" w:eastAsia="仿宋" w:cs="仿宋"/>
          <w:color w:val="auto"/>
          <w:sz w:val="24"/>
          <w:szCs w:val="24"/>
          <w:highlight w:val="none"/>
          <w:u w:val="single"/>
        </w:rPr>
        <w:t>（大写）</w:t>
      </w:r>
      <w:r>
        <w:rPr>
          <w:rFonts w:hint="eastAsia" w:ascii="仿宋" w:hAnsi="仿宋" w:eastAsia="仿宋" w:cs="仿宋"/>
          <w:color w:val="auto"/>
          <w:sz w:val="24"/>
          <w:szCs w:val="24"/>
          <w:highlight w:val="none"/>
        </w:rPr>
        <w:t>元，人民币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)，并在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合同履行期限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26FBE0F5">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2、我方已详细审查全部招标文件，包括</w:t>
      </w:r>
      <w:r>
        <w:rPr>
          <w:rFonts w:hint="eastAsia" w:ascii="仿宋" w:hAnsi="仿宋" w:eastAsia="仿宋" w:cs="仿宋"/>
          <w:i/>
          <w:color w:val="auto"/>
          <w:sz w:val="24"/>
          <w:szCs w:val="24"/>
          <w:highlight w:val="none"/>
          <w:u w:val="single"/>
        </w:rPr>
        <w:t>（澄清文件）</w:t>
      </w:r>
      <w:r>
        <w:rPr>
          <w:rFonts w:hint="eastAsia" w:ascii="仿宋" w:hAnsi="仿宋" w:eastAsia="仿宋" w:cs="仿宋"/>
          <w:i/>
          <w:color w:val="auto"/>
          <w:sz w:val="24"/>
          <w:szCs w:val="24"/>
          <w:highlight w:val="none"/>
          <w:u w:val="single"/>
          <w:lang w:eastAsia="zh-CN"/>
        </w:rPr>
        <w:t>（</w:t>
      </w:r>
      <w:r>
        <w:rPr>
          <w:rFonts w:hint="eastAsia" w:ascii="仿宋" w:hAnsi="仿宋" w:eastAsia="仿宋" w:cs="仿宋"/>
          <w:color w:val="auto"/>
          <w:sz w:val="24"/>
          <w:szCs w:val="24"/>
          <w:highlight w:val="none"/>
          <w:u w:val="single"/>
        </w:rPr>
        <w:t>如果有的话)</w:t>
      </w:r>
      <w:r>
        <w:rPr>
          <w:rFonts w:hint="eastAsia" w:ascii="仿宋" w:hAnsi="仿宋" w:eastAsia="仿宋" w:cs="仿宋"/>
          <w:color w:val="auto"/>
          <w:sz w:val="24"/>
          <w:szCs w:val="24"/>
          <w:highlight w:val="none"/>
        </w:rPr>
        <w:t>。我方完全理解相关文件要求，并承担对这方面有不明及误解的后果。</w:t>
      </w:r>
    </w:p>
    <w:p w14:paraId="1C608B36">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3、在投标人须知规定的开标日期起遵循本投标文件，并在投标人须知第17.1条规定的投标文件有效期满之前均具有约束力。</w:t>
      </w:r>
    </w:p>
    <w:p w14:paraId="14168893">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4、同意投标人须知中关于投标保证金不予退还的规定。</w:t>
      </w:r>
    </w:p>
    <w:p w14:paraId="6C2791FC">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5、同意应贵方要求提供与本投标有关的任何数据或资料，并保证数据和资料的完整性和真实性。</w:t>
      </w:r>
    </w:p>
    <w:p w14:paraId="0DCD7170">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6、完全理解贵方不一定要接受最低报价的投标人为中标人的行为。</w:t>
      </w:r>
    </w:p>
    <w:p w14:paraId="16B3C6FA">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7．如我方中标：</w:t>
      </w:r>
    </w:p>
    <w:p w14:paraId="799C0C57">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（1）我方承诺在收到中标通知书后，在中标通知书规定的期限内与你方签订合同，并履行相应的合同责任和义务。</w:t>
      </w:r>
    </w:p>
    <w:p w14:paraId="178800ED">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（2）我方承诺按照招标文件规定向你方递交履约担保。</w:t>
      </w:r>
    </w:p>
    <w:p w14:paraId="71B66F17">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（3）我方承诺将承担售后服务及保修责任。</w:t>
      </w:r>
    </w:p>
    <w:p w14:paraId="4124F03F">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8．我方在此声明，所递交的投标文件及有关资料内容完整、真实和准确。</w:t>
      </w:r>
    </w:p>
    <w:p w14:paraId="0ADCE8E1">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9．（其他补充说明）。</w:t>
      </w:r>
    </w:p>
    <w:p w14:paraId="5FF43938">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790A404C">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与本投标有关的正式通讯地址为：</w:t>
      </w:r>
    </w:p>
    <w:p w14:paraId="46C5FC34">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 邮政编码：</w:t>
      </w:r>
    </w:p>
    <w:p w14:paraId="653F78A0">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电话：传真：</w:t>
      </w:r>
    </w:p>
    <w:p w14:paraId="2C0B7F34">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开户名称：</w:t>
      </w:r>
    </w:p>
    <w:p w14:paraId="185AE8DC">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开户银行：</w:t>
      </w:r>
    </w:p>
    <w:p w14:paraId="579E64EA">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val="en-US" w:eastAsia="zh-CN"/>
        </w:rPr>
        <w:t>账</w:t>
      </w:r>
      <w:r>
        <w:rPr>
          <w:rFonts w:hint="eastAsia" w:ascii="仿宋" w:hAnsi="仿宋" w:eastAsia="仿宋" w:cs="仿宋"/>
          <w:color w:val="auto"/>
          <w:sz w:val="24"/>
          <w:szCs w:val="24"/>
          <w:highlight w:val="none"/>
        </w:rPr>
        <w:t xml:space="preserve">    号：</w:t>
      </w:r>
    </w:p>
    <w:p w14:paraId="290C90A0">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79E9C3E6">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法定代表人（电子签名）：</w:t>
      </w:r>
    </w:p>
    <w:p w14:paraId="576C7A3A">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p>
    <w:p w14:paraId="3934DAD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60A49C8">
      <w:pPr>
        <w:pStyle w:val="3"/>
        <w:spacing w:line="360" w:lineRule="auto"/>
        <w:jc w:val="center"/>
        <w:rPr>
          <w:rFonts w:hint="eastAsia" w:ascii="仿宋" w:hAnsi="仿宋" w:eastAsia="仿宋" w:cs="仿宋"/>
          <w:color w:val="auto"/>
          <w:highlight w:val="none"/>
        </w:rPr>
      </w:pPr>
      <w:bookmarkStart w:id="148" w:name="_Toc3824"/>
      <w:bookmarkStart w:id="149" w:name="_Toc12940"/>
      <w:bookmarkStart w:id="150" w:name="_Toc5505"/>
      <w:r>
        <w:rPr>
          <w:rFonts w:hint="eastAsia" w:ascii="仿宋" w:hAnsi="仿宋" w:eastAsia="仿宋" w:cs="仿宋"/>
          <w:color w:val="auto"/>
          <w:highlight w:val="none"/>
        </w:rPr>
        <w:t>（二）声 明 函</w:t>
      </w:r>
      <w:bookmarkEnd w:id="148"/>
      <w:bookmarkEnd w:id="149"/>
      <w:bookmarkEnd w:id="150"/>
    </w:p>
    <w:p w14:paraId="6FB0AF87">
      <w:pPr>
        <w:pStyle w:val="1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lang w:eastAsia="zh-CN"/>
        </w:rPr>
        <w:t>）</w:t>
      </w:r>
    </w:p>
    <w:p w14:paraId="2571D2CD">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针对本项目，本格式提出</w:t>
      </w:r>
      <w:r>
        <w:rPr>
          <w:rFonts w:hint="eastAsia" w:ascii="仿宋" w:hAnsi="仿宋" w:eastAsia="仿宋" w:cs="仿宋"/>
          <w:color w:val="auto"/>
          <w:sz w:val="24"/>
          <w:szCs w:val="24"/>
          <w:highlight w:val="none"/>
          <w:lang w:val="en-US" w:eastAsia="zh-CN"/>
        </w:rPr>
        <w:t>以下</w:t>
      </w:r>
      <w:r>
        <w:rPr>
          <w:rFonts w:hint="eastAsia" w:ascii="仿宋" w:hAnsi="仿宋" w:eastAsia="仿宋" w:cs="仿宋"/>
          <w:color w:val="auto"/>
          <w:sz w:val="24"/>
          <w:szCs w:val="24"/>
          <w:highlight w:val="none"/>
        </w:rPr>
        <w:t>声明：</w:t>
      </w:r>
    </w:p>
    <w:p w14:paraId="38FDB205">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我方承诺所递交的投标文件及有关资料内容完整、真实和准确，不存在虚假应标的情形。若经查实存在以下虚假应标的情形，我方愿意承担一切后果。</w:t>
      </w:r>
    </w:p>
    <w:p w14:paraId="7CE266D2">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（一）提供虚假材料谋取中标、成交的；</w:t>
      </w:r>
    </w:p>
    <w:p w14:paraId="2FA5BB2C">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（二）采取不正当手段诋毁、排挤其他供应商的；</w:t>
      </w:r>
    </w:p>
    <w:p w14:paraId="2A893D10">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（三）与采购人、其他供应商或者采购代理机构恶意串通的；</w:t>
      </w:r>
    </w:p>
    <w:p w14:paraId="7F4DFCF1">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（四）向采购人、采购代理机构行贿或者提供其他不正当利益的；</w:t>
      </w:r>
    </w:p>
    <w:p w14:paraId="7E346228">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（五）在招标采购过程中与采购人进行协商谈判的；</w:t>
      </w:r>
    </w:p>
    <w:p w14:paraId="177EBA11">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（六）拒绝有关部门监督检查或者提供虚假情况的。</w:t>
      </w:r>
    </w:p>
    <w:p w14:paraId="08B2B62A">
      <w:pPr>
        <w:pStyle w:val="10"/>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459B594F">
      <w:pPr>
        <w:pStyle w:val="10"/>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法定代表人（电子签名）：</w:t>
      </w:r>
    </w:p>
    <w:p w14:paraId="09D3ACD1">
      <w:pPr>
        <w:pStyle w:val="10"/>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p>
    <w:p w14:paraId="2615EEC5">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305356D1">
      <w:pPr>
        <w:pStyle w:val="3"/>
        <w:spacing w:line="360" w:lineRule="auto"/>
        <w:jc w:val="center"/>
        <w:rPr>
          <w:rFonts w:hint="eastAsia" w:ascii="仿宋" w:hAnsi="仿宋" w:eastAsia="仿宋" w:cs="仿宋"/>
          <w:color w:val="auto"/>
          <w:highlight w:val="none"/>
        </w:rPr>
      </w:pPr>
      <w:bookmarkStart w:id="151" w:name="_Toc1965"/>
      <w:bookmarkStart w:id="152" w:name="_Toc19503"/>
      <w:r>
        <w:rPr>
          <w:rFonts w:hint="eastAsia" w:ascii="仿宋" w:hAnsi="仿宋" w:eastAsia="仿宋" w:cs="仿宋"/>
          <w:color w:val="auto"/>
          <w:highlight w:val="none"/>
        </w:rPr>
        <w:t>（三）</w:t>
      </w:r>
      <w:r>
        <w:rPr>
          <w:rFonts w:hint="eastAsia" w:ascii="仿宋" w:hAnsi="仿宋" w:eastAsia="仿宋" w:cs="仿宋"/>
          <w:color w:val="auto"/>
          <w:highlight w:val="none"/>
          <w:lang w:val="en-US" w:eastAsia="zh-CN"/>
        </w:rPr>
        <w:t>分项</w:t>
      </w:r>
      <w:r>
        <w:rPr>
          <w:rFonts w:hint="eastAsia" w:ascii="仿宋" w:hAnsi="仿宋" w:eastAsia="仿宋" w:cs="仿宋"/>
          <w:color w:val="auto"/>
          <w:highlight w:val="none"/>
        </w:rPr>
        <w:t>报价表</w:t>
      </w:r>
      <w:bookmarkEnd w:id="151"/>
      <w:bookmarkEnd w:id="152"/>
    </w:p>
    <w:p w14:paraId="0D2B6908">
      <w:pPr>
        <w:pStyle w:val="1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                </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  </w:t>
      </w:r>
    </w:p>
    <w:p w14:paraId="01652253">
      <w:pPr>
        <w:pStyle w:val="10"/>
        <w:spacing w:line="360" w:lineRule="auto"/>
        <w:rPr>
          <w:rFonts w:hint="eastAsia" w:ascii="仿宋" w:hAnsi="仿宋" w:eastAsia="仿宋" w:cs="仿宋"/>
          <w:color w:val="auto"/>
          <w:szCs w:val="24"/>
          <w:highlight w:val="none"/>
          <w:u w:val="single"/>
        </w:rPr>
      </w:pPr>
      <w:r>
        <w:rPr>
          <w:rFonts w:hint="eastAsia" w:ascii="仿宋" w:hAnsi="仿宋" w:eastAsia="仿宋" w:cs="仿宋"/>
          <w:color w:val="auto"/>
          <w:highlight w:val="none"/>
          <w:lang w:val="en-US" w:eastAsia="zh-CN"/>
        </w:rPr>
        <w:t>项目</w:t>
      </w:r>
      <w:r>
        <w:rPr>
          <w:rFonts w:hint="eastAsia" w:ascii="仿宋" w:hAnsi="仿宋" w:eastAsia="仿宋" w:cs="仿宋"/>
          <w:color w:val="auto"/>
          <w:highlight w:val="none"/>
        </w:rPr>
        <w:t>编号：</w:t>
      </w:r>
    </w:p>
    <w:tbl>
      <w:tblPr>
        <w:tblStyle w:val="20"/>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77"/>
        <w:gridCol w:w="1269"/>
        <w:gridCol w:w="1205"/>
        <w:gridCol w:w="548"/>
        <w:gridCol w:w="876"/>
        <w:gridCol w:w="1670"/>
        <w:gridCol w:w="678"/>
        <w:gridCol w:w="729"/>
        <w:gridCol w:w="894"/>
        <w:gridCol w:w="926"/>
        <w:gridCol w:w="753"/>
      </w:tblGrid>
      <w:tr w14:paraId="23918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41" w:type="pct"/>
            <w:vAlign w:val="center"/>
          </w:tcPr>
          <w:p w14:paraId="5EA4845E">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646" w:type="pct"/>
            <w:vAlign w:val="center"/>
          </w:tcPr>
          <w:p w14:paraId="75086354">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货物名称</w:t>
            </w:r>
          </w:p>
        </w:tc>
        <w:tc>
          <w:tcPr>
            <w:tcW w:w="613" w:type="pct"/>
            <w:vAlign w:val="center"/>
          </w:tcPr>
          <w:p w14:paraId="096335C9">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制造商/生产厂商名称</w:t>
            </w:r>
          </w:p>
        </w:tc>
        <w:tc>
          <w:tcPr>
            <w:tcW w:w="279" w:type="pct"/>
            <w:vAlign w:val="center"/>
          </w:tcPr>
          <w:p w14:paraId="797708F2">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品牌</w:t>
            </w:r>
          </w:p>
        </w:tc>
        <w:tc>
          <w:tcPr>
            <w:tcW w:w="446" w:type="pct"/>
            <w:vAlign w:val="center"/>
          </w:tcPr>
          <w:p w14:paraId="36C1725D">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型号和规格</w:t>
            </w:r>
          </w:p>
        </w:tc>
        <w:tc>
          <w:tcPr>
            <w:tcW w:w="850" w:type="pct"/>
            <w:vAlign w:val="center"/>
          </w:tcPr>
          <w:p w14:paraId="68320D16">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是否小型或微型企业、残疾人福利性单位或监狱企业制造的货物</w:t>
            </w:r>
          </w:p>
        </w:tc>
        <w:tc>
          <w:tcPr>
            <w:tcW w:w="345" w:type="pct"/>
            <w:vAlign w:val="center"/>
          </w:tcPr>
          <w:p w14:paraId="752A505F">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单位</w:t>
            </w:r>
          </w:p>
        </w:tc>
        <w:tc>
          <w:tcPr>
            <w:tcW w:w="371" w:type="pct"/>
            <w:vAlign w:val="center"/>
          </w:tcPr>
          <w:p w14:paraId="35605873">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数量</w:t>
            </w:r>
          </w:p>
        </w:tc>
        <w:tc>
          <w:tcPr>
            <w:tcW w:w="455" w:type="pct"/>
            <w:vAlign w:val="center"/>
          </w:tcPr>
          <w:p w14:paraId="30980626">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单价（元）</w:t>
            </w:r>
          </w:p>
        </w:tc>
        <w:tc>
          <w:tcPr>
            <w:tcW w:w="471" w:type="pct"/>
            <w:vAlign w:val="center"/>
          </w:tcPr>
          <w:p w14:paraId="3253DDCD">
            <w:pPr>
              <w:spacing w:line="360" w:lineRule="auto"/>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合价（元）</w:t>
            </w:r>
          </w:p>
        </w:tc>
        <w:tc>
          <w:tcPr>
            <w:tcW w:w="378" w:type="pct"/>
            <w:vAlign w:val="center"/>
          </w:tcPr>
          <w:p w14:paraId="426611DB">
            <w:pPr>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备注</w:t>
            </w:r>
          </w:p>
        </w:tc>
      </w:tr>
      <w:tr w14:paraId="57CE2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jc w:val="center"/>
        </w:trPr>
        <w:tc>
          <w:tcPr>
            <w:tcW w:w="141" w:type="pct"/>
            <w:vAlign w:val="center"/>
          </w:tcPr>
          <w:p w14:paraId="245AFB41">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1</w:t>
            </w:r>
          </w:p>
        </w:tc>
        <w:tc>
          <w:tcPr>
            <w:tcW w:w="646" w:type="pct"/>
            <w:vAlign w:val="center"/>
          </w:tcPr>
          <w:p w14:paraId="568EDE15">
            <w:pPr>
              <w:spacing w:line="360" w:lineRule="auto"/>
              <w:jc w:val="center"/>
              <w:rPr>
                <w:rFonts w:hint="eastAsia" w:ascii="仿宋" w:hAnsi="仿宋" w:eastAsia="仿宋" w:cs="仿宋"/>
                <w:color w:val="auto"/>
                <w:highlight w:val="none"/>
              </w:rPr>
            </w:pPr>
          </w:p>
        </w:tc>
        <w:tc>
          <w:tcPr>
            <w:tcW w:w="613" w:type="pct"/>
            <w:vAlign w:val="center"/>
          </w:tcPr>
          <w:p w14:paraId="0302B285">
            <w:pPr>
              <w:spacing w:line="360" w:lineRule="auto"/>
              <w:jc w:val="center"/>
              <w:rPr>
                <w:rFonts w:hint="eastAsia" w:ascii="仿宋" w:hAnsi="仿宋" w:eastAsia="仿宋" w:cs="仿宋"/>
                <w:color w:val="auto"/>
                <w:highlight w:val="none"/>
              </w:rPr>
            </w:pPr>
          </w:p>
        </w:tc>
        <w:tc>
          <w:tcPr>
            <w:tcW w:w="279" w:type="pct"/>
            <w:vAlign w:val="center"/>
          </w:tcPr>
          <w:p w14:paraId="64DF224F">
            <w:pPr>
              <w:spacing w:line="360" w:lineRule="auto"/>
              <w:jc w:val="center"/>
              <w:rPr>
                <w:rFonts w:hint="eastAsia" w:ascii="仿宋" w:hAnsi="仿宋" w:eastAsia="仿宋" w:cs="仿宋"/>
                <w:color w:val="auto"/>
                <w:highlight w:val="none"/>
              </w:rPr>
            </w:pPr>
          </w:p>
        </w:tc>
        <w:tc>
          <w:tcPr>
            <w:tcW w:w="446" w:type="pct"/>
            <w:vAlign w:val="center"/>
          </w:tcPr>
          <w:p w14:paraId="5DFF0080">
            <w:pPr>
              <w:spacing w:line="360" w:lineRule="auto"/>
              <w:jc w:val="center"/>
              <w:rPr>
                <w:rFonts w:hint="eastAsia" w:ascii="仿宋" w:hAnsi="仿宋" w:eastAsia="仿宋" w:cs="仿宋"/>
                <w:color w:val="auto"/>
                <w:highlight w:val="none"/>
              </w:rPr>
            </w:pPr>
          </w:p>
        </w:tc>
        <w:tc>
          <w:tcPr>
            <w:tcW w:w="850" w:type="pct"/>
            <w:vAlign w:val="center"/>
          </w:tcPr>
          <w:p w14:paraId="026E324E">
            <w:pPr>
              <w:spacing w:line="360" w:lineRule="auto"/>
              <w:jc w:val="center"/>
              <w:rPr>
                <w:rFonts w:hint="eastAsia" w:ascii="仿宋" w:hAnsi="仿宋" w:eastAsia="仿宋" w:cs="仿宋"/>
                <w:color w:val="auto"/>
                <w:highlight w:val="none"/>
              </w:rPr>
            </w:pPr>
          </w:p>
        </w:tc>
        <w:tc>
          <w:tcPr>
            <w:tcW w:w="345" w:type="pct"/>
            <w:vAlign w:val="center"/>
          </w:tcPr>
          <w:p w14:paraId="14CDF3C1">
            <w:pPr>
              <w:spacing w:line="360" w:lineRule="auto"/>
              <w:jc w:val="center"/>
              <w:rPr>
                <w:rFonts w:hint="eastAsia" w:ascii="仿宋" w:hAnsi="仿宋" w:eastAsia="仿宋" w:cs="仿宋"/>
                <w:color w:val="auto"/>
                <w:highlight w:val="none"/>
              </w:rPr>
            </w:pPr>
          </w:p>
        </w:tc>
        <w:tc>
          <w:tcPr>
            <w:tcW w:w="371" w:type="pct"/>
            <w:vAlign w:val="center"/>
          </w:tcPr>
          <w:p w14:paraId="020EBEB0">
            <w:pPr>
              <w:spacing w:line="360" w:lineRule="auto"/>
              <w:jc w:val="center"/>
              <w:rPr>
                <w:rFonts w:hint="eastAsia" w:ascii="仿宋" w:hAnsi="仿宋" w:eastAsia="仿宋" w:cs="仿宋"/>
                <w:color w:val="auto"/>
                <w:highlight w:val="none"/>
              </w:rPr>
            </w:pPr>
          </w:p>
        </w:tc>
        <w:tc>
          <w:tcPr>
            <w:tcW w:w="455" w:type="pct"/>
            <w:vAlign w:val="center"/>
          </w:tcPr>
          <w:p w14:paraId="507E06CF">
            <w:pPr>
              <w:spacing w:line="360" w:lineRule="auto"/>
              <w:jc w:val="center"/>
              <w:rPr>
                <w:rFonts w:hint="eastAsia" w:ascii="仿宋" w:hAnsi="仿宋" w:eastAsia="仿宋" w:cs="仿宋"/>
                <w:color w:val="auto"/>
                <w:highlight w:val="none"/>
              </w:rPr>
            </w:pPr>
          </w:p>
        </w:tc>
        <w:tc>
          <w:tcPr>
            <w:tcW w:w="471" w:type="pct"/>
            <w:vAlign w:val="center"/>
          </w:tcPr>
          <w:p w14:paraId="0CAFE488">
            <w:pPr>
              <w:spacing w:line="360" w:lineRule="auto"/>
              <w:jc w:val="center"/>
              <w:rPr>
                <w:rFonts w:hint="eastAsia" w:ascii="仿宋" w:hAnsi="仿宋" w:eastAsia="仿宋" w:cs="仿宋"/>
                <w:color w:val="auto"/>
                <w:highlight w:val="none"/>
              </w:rPr>
            </w:pPr>
          </w:p>
        </w:tc>
        <w:tc>
          <w:tcPr>
            <w:tcW w:w="378" w:type="pct"/>
            <w:vAlign w:val="center"/>
          </w:tcPr>
          <w:p w14:paraId="6D03BC0D">
            <w:pPr>
              <w:spacing w:line="360" w:lineRule="auto"/>
              <w:jc w:val="center"/>
              <w:rPr>
                <w:rFonts w:hint="eastAsia" w:ascii="仿宋" w:hAnsi="仿宋" w:eastAsia="仿宋" w:cs="仿宋"/>
                <w:color w:val="auto"/>
                <w:highlight w:val="none"/>
              </w:rPr>
            </w:pPr>
          </w:p>
        </w:tc>
      </w:tr>
      <w:tr w14:paraId="25409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jc w:val="center"/>
        </w:trPr>
        <w:tc>
          <w:tcPr>
            <w:tcW w:w="141" w:type="pct"/>
            <w:vAlign w:val="center"/>
          </w:tcPr>
          <w:p w14:paraId="0EE9AE99">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2</w:t>
            </w:r>
          </w:p>
        </w:tc>
        <w:tc>
          <w:tcPr>
            <w:tcW w:w="646" w:type="pct"/>
            <w:vAlign w:val="center"/>
          </w:tcPr>
          <w:p w14:paraId="2B6DEEE4">
            <w:pPr>
              <w:spacing w:line="360" w:lineRule="auto"/>
              <w:jc w:val="center"/>
              <w:rPr>
                <w:rFonts w:hint="eastAsia" w:ascii="仿宋" w:hAnsi="仿宋" w:eastAsia="仿宋" w:cs="仿宋"/>
                <w:color w:val="auto"/>
                <w:highlight w:val="none"/>
              </w:rPr>
            </w:pPr>
          </w:p>
        </w:tc>
        <w:tc>
          <w:tcPr>
            <w:tcW w:w="613" w:type="pct"/>
            <w:vAlign w:val="center"/>
          </w:tcPr>
          <w:p w14:paraId="4DDED2FA">
            <w:pPr>
              <w:spacing w:line="360" w:lineRule="auto"/>
              <w:jc w:val="center"/>
              <w:rPr>
                <w:rFonts w:hint="eastAsia" w:ascii="仿宋" w:hAnsi="仿宋" w:eastAsia="仿宋" w:cs="仿宋"/>
                <w:color w:val="auto"/>
                <w:highlight w:val="none"/>
              </w:rPr>
            </w:pPr>
          </w:p>
        </w:tc>
        <w:tc>
          <w:tcPr>
            <w:tcW w:w="279" w:type="pct"/>
            <w:vAlign w:val="center"/>
          </w:tcPr>
          <w:p w14:paraId="2F20FAE9">
            <w:pPr>
              <w:spacing w:line="360" w:lineRule="auto"/>
              <w:jc w:val="center"/>
              <w:rPr>
                <w:rFonts w:hint="eastAsia" w:ascii="仿宋" w:hAnsi="仿宋" w:eastAsia="仿宋" w:cs="仿宋"/>
                <w:color w:val="auto"/>
                <w:highlight w:val="none"/>
              </w:rPr>
            </w:pPr>
          </w:p>
        </w:tc>
        <w:tc>
          <w:tcPr>
            <w:tcW w:w="446" w:type="pct"/>
            <w:vAlign w:val="center"/>
          </w:tcPr>
          <w:p w14:paraId="40227A16">
            <w:pPr>
              <w:spacing w:line="360" w:lineRule="auto"/>
              <w:jc w:val="center"/>
              <w:rPr>
                <w:rFonts w:hint="eastAsia" w:ascii="仿宋" w:hAnsi="仿宋" w:eastAsia="仿宋" w:cs="仿宋"/>
                <w:color w:val="auto"/>
                <w:highlight w:val="none"/>
              </w:rPr>
            </w:pPr>
          </w:p>
        </w:tc>
        <w:tc>
          <w:tcPr>
            <w:tcW w:w="850" w:type="pct"/>
            <w:vAlign w:val="center"/>
          </w:tcPr>
          <w:p w14:paraId="5B96655E">
            <w:pPr>
              <w:spacing w:line="360" w:lineRule="auto"/>
              <w:jc w:val="center"/>
              <w:rPr>
                <w:rFonts w:hint="eastAsia" w:ascii="仿宋" w:hAnsi="仿宋" w:eastAsia="仿宋" w:cs="仿宋"/>
                <w:color w:val="auto"/>
                <w:highlight w:val="none"/>
              </w:rPr>
            </w:pPr>
          </w:p>
        </w:tc>
        <w:tc>
          <w:tcPr>
            <w:tcW w:w="345" w:type="pct"/>
            <w:vAlign w:val="center"/>
          </w:tcPr>
          <w:p w14:paraId="20AC9AAD">
            <w:pPr>
              <w:spacing w:line="360" w:lineRule="auto"/>
              <w:jc w:val="center"/>
              <w:rPr>
                <w:rFonts w:hint="eastAsia" w:ascii="仿宋" w:hAnsi="仿宋" w:eastAsia="仿宋" w:cs="仿宋"/>
                <w:color w:val="auto"/>
                <w:highlight w:val="none"/>
              </w:rPr>
            </w:pPr>
          </w:p>
        </w:tc>
        <w:tc>
          <w:tcPr>
            <w:tcW w:w="371" w:type="pct"/>
            <w:vAlign w:val="center"/>
          </w:tcPr>
          <w:p w14:paraId="13B6C5D9">
            <w:pPr>
              <w:spacing w:line="360" w:lineRule="auto"/>
              <w:jc w:val="center"/>
              <w:rPr>
                <w:rFonts w:hint="eastAsia" w:ascii="仿宋" w:hAnsi="仿宋" w:eastAsia="仿宋" w:cs="仿宋"/>
                <w:color w:val="auto"/>
                <w:highlight w:val="none"/>
              </w:rPr>
            </w:pPr>
          </w:p>
        </w:tc>
        <w:tc>
          <w:tcPr>
            <w:tcW w:w="455" w:type="pct"/>
            <w:vAlign w:val="center"/>
          </w:tcPr>
          <w:p w14:paraId="5FCA36C1">
            <w:pPr>
              <w:spacing w:line="360" w:lineRule="auto"/>
              <w:jc w:val="center"/>
              <w:rPr>
                <w:rFonts w:hint="eastAsia" w:ascii="仿宋" w:hAnsi="仿宋" w:eastAsia="仿宋" w:cs="仿宋"/>
                <w:color w:val="auto"/>
                <w:highlight w:val="none"/>
              </w:rPr>
            </w:pPr>
          </w:p>
        </w:tc>
        <w:tc>
          <w:tcPr>
            <w:tcW w:w="471" w:type="pct"/>
            <w:vAlign w:val="center"/>
          </w:tcPr>
          <w:p w14:paraId="188C88D1">
            <w:pPr>
              <w:spacing w:line="360" w:lineRule="auto"/>
              <w:jc w:val="center"/>
              <w:rPr>
                <w:rFonts w:hint="eastAsia" w:ascii="仿宋" w:hAnsi="仿宋" w:eastAsia="仿宋" w:cs="仿宋"/>
                <w:color w:val="auto"/>
                <w:highlight w:val="none"/>
              </w:rPr>
            </w:pPr>
          </w:p>
        </w:tc>
        <w:tc>
          <w:tcPr>
            <w:tcW w:w="378" w:type="pct"/>
            <w:vAlign w:val="center"/>
          </w:tcPr>
          <w:p w14:paraId="3E03DD5E">
            <w:pPr>
              <w:spacing w:line="360" w:lineRule="auto"/>
              <w:jc w:val="center"/>
              <w:rPr>
                <w:rFonts w:hint="eastAsia" w:ascii="仿宋" w:hAnsi="仿宋" w:eastAsia="仿宋" w:cs="仿宋"/>
                <w:color w:val="auto"/>
                <w:highlight w:val="none"/>
              </w:rPr>
            </w:pPr>
          </w:p>
        </w:tc>
      </w:tr>
      <w:tr w14:paraId="4FCA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jc w:val="center"/>
        </w:trPr>
        <w:tc>
          <w:tcPr>
            <w:tcW w:w="141" w:type="pct"/>
            <w:vAlign w:val="center"/>
          </w:tcPr>
          <w:p w14:paraId="3D19127B">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3</w:t>
            </w:r>
          </w:p>
        </w:tc>
        <w:tc>
          <w:tcPr>
            <w:tcW w:w="646" w:type="pct"/>
            <w:vAlign w:val="center"/>
          </w:tcPr>
          <w:p w14:paraId="5DD06132">
            <w:pPr>
              <w:spacing w:line="360" w:lineRule="auto"/>
              <w:jc w:val="center"/>
              <w:rPr>
                <w:rFonts w:hint="eastAsia" w:ascii="仿宋" w:hAnsi="仿宋" w:eastAsia="仿宋" w:cs="仿宋"/>
                <w:color w:val="auto"/>
                <w:highlight w:val="none"/>
              </w:rPr>
            </w:pPr>
          </w:p>
        </w:tc>
        <w:tc>
          <w:tcPr>
            <w:tcW w:w="613" w:type="pct"/>
            <w:vAlign w:val="center"/>
          </w:tcPr>
          <w:p w14:paraId="4803C551">
            <w:pPr>
              <w:spacing w:line="360" w:lineRule="auto"/>
              <w:jc w:val="center"/>
              <w:rPr>
                <w:rFonts w:hint="eastAsia" w:ascii="仿宋" w:hAnsi="仿宋" w:eastAsia="仿宋" w:cs="仿宋"/>
                <w:color w:val="auto"/>
                <w:highlight w:val="none"/>
              </w:rPr>
            </w:pPr>
          </w:p>
        </w:tc>
        <w:tc>
          <w:tcPr>
            <w:tcW w:w="279" w:type="pct"/>
            <w:vAlign w:val="center"/>
          </w:tcPr>
          <w:p w14:paraId="6AFA7D1F">
            <w:pPr>
              <w:spacing w:line="360" w:lineRule="auto"/>
              <w:jc w:val="center"/>
              <w:rPr>
                <w:rFonts w:hint="eastAsia" w:ascii="仿宋" w:hAnsi="仿宋" w:eastAsia="仿宋" w:cs="仿宋"/>
                <w:color w:val="auto"/>
                <w:highlight w:val="none"/>
              </w:rPr>
            </w:pPr>
          </w:p>
        </w:tc>
        <w:tc>
          <w:tcPr>
            <w:tcW w:w="446" w:type="pct"/>
            <w:vAlign w:val="center"/>
          </w:tcPr>
          <w:p w14:paraId="318E60AD">
            <w:pPr>
              <w:spacing w:line="360" w:lineRule="auto"/>
              <w:jc w:val="center"/>
              <w:rPr>
                <w:rFonts w:hint="eastAsia" w:ascii="仿宋" w:hAnsi="仿宋" w:eastAsia="仿宋" w:cs="仿宋"/>
                <w:color w:val="auto"/>
                <w:highlight w:val="none"/>
              </w:rPr>
            </w:pPr>
          </w:p>
        </w:tc>
        <w:tc>
          <w:tcPr>
            <w:tcW w:w="850" w:type="pct"/>
            <w:vAlign w:val="center"/>
          </w:tcPr>
          <w:p w14:paraId="56735D64">
            <w:pPr>
              <w:spacing w:line="360" w:lineRule="auto"/>
              <w:jc w:val="center"/>
              <w:rPr>
                <w:rFonts w:hint="eastAsia" w:ascii="仿宋" w:hAnsi="仿宋" w:eastAsia="仿宋" w:cs="仿宋"/>
                <w:color w:val="auto"/>
                <w:highlight w:val="none"/>
              </w:rPr>
            </w:pPr>
          </w:p>
        </w:tc>
        <w:tc>
          <w:tcPr>
            <w:tcW w:w="345" w:type="pct"/>
            <w:vAlign w:val="center"/>
          </w:tcPr>
          <w:p w14:paraId="3952F5A5">
            <w:pPr>
              <w:spacing w:line="360" w:lineRule="auto"/>
              <w:jc w:val="center"/>
              <w:rPr>
                <w:rFonts w:hint="eastAsia" w:ascii="仿宋" w:hAnsi="仿宋" w:eastAsia="仿宋" w:cs="仿宋"/>
                <w:color w:val="auto"/>
                <w:highlight w:val="none"/>
              </w:rPr>
            </w:pPr>
          </w:p>
        </w:tc>
        <w:tc>
          <w:tcPr>
            <w:tcW w:w="371" w:type="pct"/>
            <w:vAlign w:val="center"/>
          </w:tcPr>
          <w:p w14:paraId="452BAB21">
            <w:pPr>
              <w:spacing w:line="360" w:lineRule="auto"/>
              <w:jc w:val="center"/>
              <w:rPr>
                <w:rFonts w:hint="eastAsia" w:ascii="仿宋" w:hAnsi="仿宋" w:eastAsia="仿宋" w:cs="仿宋"/>
                <w:color w:val="auto"/>
                <w:highlight w:val="none"/>
              </w:rPr>
            </w:pPr>
          </w:p>
        </w:tc>
        <w:tc>
          <w:tcPr>
            <w:tcW w:w="455" w:type="pct"/>
            <w:vAlign w:val="center"/>
          </w:tcPr>
          <w:p w14:paraId="3D1B424B">
            <w:pPr>
              <w:spacing w:line="360" w:lineRule="auto"/>
              <w:jc w:val="center"/>
              <w:rPr>
                <w:rFonts w:hint="eastAsia" w:ascii="仿宋" w:hAnsi="仿宋" w:eastAsia="仿宋" w:cs="仿宋"/>
                <w:color w:val="auto"/>
                <w:highlight w:val="none"/>
              </w:rPr>
            </w:pPr>
          </w:p>
        </w:tc>
        <w:tc>
          <w:tcPr>
            <w:tcW w:w="471" w:type="pct"/>
            <w:vAlign w:val="center"/>
          </w:tcPr>
          <w:p w14:paraId="043912FA">
            <w:pPr>
              <w:spacing w:line="360" w:lineRule="auto"/>
              <w:jc w:val="center"/>
              <w:rPr>
                <w:rFonts w:hint="eastAsia" w:ascii="仿宋" w:hAnsi="仿宋" w:eastAsia="仿宋" w:cs="仿宋"/>
                <w:color w:val="auto"/>
                <w:highlight w:val="none"/>
              </w:rPr>
            </w:pPr>
          </w:p>
        </w:tc>
        <w:tc>
          <w:tcPr>
            <w:tcW w:w="378" w:type="pct"/>
            <w:vAlign w:val="center"/>
          </w:tcPr>
          <w:p w14:paraId="334DB8CC">
            <w:pPr>
              <w:spacing w:line="360" w:lineRule="auto"/>
              <w:jc w:val="center"/>
              <w:rPr>
                <w:rFonts w:hint="eastAsia" w:ascii="仿宋" w:hAnsi="仿宋" w:eastAsia="仿宋" w:cs="仿宋"/>
                <w:color w:val="auto"/>
                <w:highlight w:val="none"/>
              </w:rPr>
            </w:pPr>
          </w:p>
        </w:tc>
      </w:tr>
      <w:tr w14:paraId="441A6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jc w:val="center"/>
        </w:trPr>
        <w:tc>
          <w:tcPr>
            <w:tcW w:w="141" w:type="pct"/>
            <w:vAlign w:val="center"/>
          </w:tcPr>
          <w:p w14:paraId="4D46614E">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4</w:t>
            </w:r>
          </w:p>
        </w:tc>
        <w:tc>
          <w:tcPr>
            <w:tcW w:w="646" w:type="pct"/>
            <w:vAlign w:val="center"/>
          </w:tcPr>
          <w:p w14:paraId="3F9CE84E">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613" w:type="pct"/>
            <w:vAlign w:val="center"/>
          </w:tcPr>
          <w:p w14:paraId="0B237A63">
            <w:pPr>
              <w:spacing w:line="360" w:lineRule="auto"/>
              <w:jc w:val="center"/>
              <w:rPr>
                <w:rFonts w:hint="eastAsia" w:ascii="仿宋" w:hAnsi="仿宋" w:eastAsia="仿宋" w:cs="仿宋"/>
                <w:color w:val="auto"/>
                <w:highlight w:val="none"/>
              </w:rPr>
            </w:pPr>
          </w:p>
        </w:tc>
        <w:tc>
          <w:tcPr>
            <w:tcW w:w="279" w:type="pct"/>
            <w:vAlign w:val="center"/>
          </w:tcPr>
          <w:p w14:paraId="4B2FD123">
            <w:pPr>
              <w:spacing w:line="360" w:lineRule="auto"/>
              <w:jc w:val="center"/>
              <w:rPr>
                <w:rFonts w:hint="eastAsia" w:ascii="仿宋" w:hAnsi="仿宋" w:eastAsia="仿宋" w:cs="仿宋"/>
                <w:color w:val="auto"/>
                <w:highlight w:val="none"/>
              </w:rPr>
            </w:pPr>
          </w:p>
        </w:tc>
        <w:tc>
          <w:tcPr>
            <w:tcW w:w="446" w:type="pct"/>
            <w:vAlign w:val="center"/>
          </w:tcPr>
          <w:p w14:paraId="689C9E69">
            <w:pPr>
              <w:spacing w:line="360" w:lineRule="auto"/>
              <w:jc w:val="center"/>
              <w:rPr>
                <w:rFonts w:hint="eastAsia" w:ascii="仿宋" w:hAnsi="仿宋" w:eastAsia="仿宋" w:cs="仿宋"/>
                <w:color w:val="auto"/>
                <w:highlight w:val="none"/>
              </w:rPr>
            </w:pPr>
          </w:p>
        </w:tc>
        <w:tc>
          <w:tcPr>
            <w:tcW w:w="850" w:type="pct"/>
            <w:vAlign w:val="center"/>
          </w:tcPr>
          <w:p w14:paraId="08F83F07">
            <w:pPr>
              <w:spacing w:line="360" w:lineRule="auto"/>
              <w:jc w:val="center"/>
              <w:rPr>
                <w:rFonts w:hint="eastAsia" w:ascii="仿宋" w:hAnsi="仿宋" w:eastAsia="仿宋" w:cs="仿宋"/>
                <w:color w:val="auto"/>
                <w:highlight w:val="none"/>
              </w:rPr>
            </w:pPr>
          </w:p>
        </w:tc>
        <w:tc>
          <w:tcPr>
            <w:tcW w:w="345" w:type="pct"/>
            <w:vAlign w:val="center"/>
          </w:tcPr>
          <w:p w14:paraId="39CDCEC8">
            <w:pPr>
              <w:spacing w:line="360" w:lineRule="auto"/>
              <w:jc w:val="center"/>
              <w:rPr>
                <w:rFonts w:hint="eastAsia" w:ascii="仿宋" w:hAnsi="仿宋" w:eastAsia="仿宋" w:cs="仿宋"/>
                <w:color w:val="auto"/>
                <w:highlight w:val="none"/>
              </w:rPr>
            </w:pPr>
          </w:p>
        </w:tc>
        <w:tc>
          <w:tcPr>
            <w:tcW w:w="371" w:type="pct"/>
            <w:vAlign w:val="center"/>
          </w:tcPr>
          <w:p w14:paraId="034ABFED">
            <w:pPr>
              <w:spacing w:line="360" w:lineRule="auto"/>
              <w:jc w:val="center"/>
              <w:rPr>
                <w:rFonts w:hint="eastAsia" w:ascii="仿宋" w:hAnsi="仿宋" w:eastAsia="仿宋" w:cs="仿宋"/>
                <w:color w:val="auto"/>
                <w:highlight w:val="none"/>
              </w:rPr>
            </w:pPr>
          </w:p>
        </w:tc>
        <w:tc>
          <w:tcPr>
            <w:tcW w:w="455" w:type="pct"/>
            <w:vAlign w:val="center"/>
          </w:tcPr>
          <w:p w14:paraId="28FD05AF">
            <w:pPr>
              <w:spacing w:line="360" w:lineRule="auto"/>
              <w:jc w:val="center"/>
              <w:rPr>
                <w:rFonts w:hint="eastAsia" w:ascii="仿宋" w:hAnsi="仿宋" w:eastAsia="仿宋" w:cs="仿宋"/>
                <w:color w:val="auto"/>
                <w:highlight w:val="none"/>
              </w:rPr>
            </w:pPr>
          </w:p>
        </w:tc>
        <w:tc>
          <w:tcPr>
            <w:tcW w:w="471" w:type="pct"/>
            <w:vAlign w:val="center"/>
          </w:tcPr>
          <w:p w14:paraId="2D7BB1AE">
            <w:pPr>
              <w:spacing w:line="360" w:lineRule="auto"/>
              <w:jc w:val="center"/>
              <w:rPr>
                <w:rFonts w:hint="eastAsia" w:ascii="仿宋" w:hAnsi="仿宋" w:eastAsia="仿宋" w:cs="仿宋"/>
                <w:color w:val="auto"/>
                <w:highlight w:val="none"/>
              </w:rPr>
            </w:pPr>
          </w:p>
        </w:tc>
        <w:tc>
          <w:tcPr>
            <w:tcW w:w="378" w:type="pct"/>
            <w:vAlign w:val="center"/>
          </w:tcPr>
          <w:p w14:paraId="2FC9224C">
            <w:pPr>
              <w:spacing w:line="360" w:lineRule="auto"/>
              <w:jc w:val="center"/>
              <w:rPr>
                <w:rFonts w:hint="eastAsia" w:ascii="仿宋" w:hAnsi="仿宋" w:eastAsia="仿宋" w:cs="仿宋"/>
                <w:color w:val="auto"/>
                <w:highlight w:val="none"/>
              </w:rPr>
            </w:pPr>
          </w:p>
        </w:tc>
      </w:tr>
      <w:tr w14:paraId="3AF2C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4" w:hRule="atLeast"/>
          <w:jc w:val="center"/>
        </w:trPr>
        <w:tc>
          <w:tcPr>
            <w:tcW w:w="5000" w:type="pct"/>
            <w:gridSpan w:val="11"/>
            <w:vAlign w:val="center"/>
          </w:tcPr>
          <w:p w14:paraId="5753710C">
            <w:pPr>
              <w:spacing w:line="360" w:lineRule="auto"/>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总价（元）：</w:t>
            </w:r>
          </w:p>
        </w:tc>
      </w:tr>
    </w:tbl>
    <w:p w14:paraId="6F73C080">
      <w:pPr>
        <w:spacing w:line="360" w:lineRule="auto"/>
        <w:rPr>
          <w:rFonts w:hint="eastAsia" w:ascii="仿宋" w:hAnsi="仿宋" w:eastAsia="仿宋" w:cs="仿宋"/>
          <w:color w:val="auto"/>
          <w:highlight w:val="none"/>
        </w:rPr>
      </w:pPr>
    </w:p>
    <w:p w14:paraId="6EE2B4D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注：1、投标人必须将招标文件第五章“</w:t>
      </w:r>
      <w:r>
        <w:rPr>
          <w:rFonts w:hint="eastAsia" w:ascii="仿宋" w:hAnsi="仿宋" w:eastAsia="仿宋" w:cs="仿宋"/>
          <w:color w:val="auto"/>
          <w:sz w:val="24"/>
          <w:szCs w:val="24"/>
          <w:highlight w:val="none"/>
          <w:lang w:val="en-US" w:eastAsia="zh-CN"/>
        </w:rPr>
        <w:t>采购需求</w:t>
      </w:r>
      <w:r>
        <w:rPr>
          <w:rFonts w:hint="eastAsia" w:ascii="仿宋" w:hAnsi="仿宋" w:eastAsia="仿宋" w:cs="仿宋"/>
          <w:color w:val="auto"/>
          <w:sz w:val="24"/>
          <w:szCs w:val="24"/>
          <w:highlight w:val="none"/>
        </w:rPr>
        <w:t>”中采购货物按顺序逐项填报此表，不得缺项漏项或任意合并项目报价，必须按本表格式填写，否则评委可视为未响应招标文件实质性要求。</w:t>
      </w:r>
    </w:p>
    <w:p w14:paraId="107571D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2、招标范围中所投产品的税金、技术服务费、其它费用、安装调试费包含在其单价中。</w:t>
      </w:r>
    </w:p>
    <w:p w14:paraId="6069921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在“是否小型或微型企业、残疾人福利性单位或监狱企业制造的货物”项中如实填写“小型企业”、“微型企业”、“残疾人福利性单位”或“监狱企业”，并按招标文件要求提供《中小企业声明函》或其他证明材料，否则不予进行投标报价扣除。</w:t>
      </w:r>
    </w:p>
    <w:p w14:paraId="5DEA39E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4、若投标人的投标报价超过最高限价或预算单价的，按不实质性响应招标文件要求处理。</w:t>
      </w:r>
    </w:p>
    <w:p w14:paraId="59FA43C7">
      <w:pPr>
        <w:spacing w:line="360" w:lineRule="auto"/>
        <w:rPr>
          <w:rFonts w:hint="eastAsia" w:ascii="仿宋" w:hAnsi="仿宋" w:eastAsia="仿宋" w:cs="仿宋"/>
          <w:color w:val="auto"/>
          <w:sz w:val="24"/>
          <w:szCs w:val="24"/>
          <w:highlight w:val="none"/>
        </w:rPr>
      </w:pPr>
    </w:p>
    <w:p w14:paraId="1B2706CB">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11E882A6">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法定代表人：（电子签名）</w:t>
      </w:r>
    </w:p>
    <w:p w14:paraId="32BE05ED">
      <w:pPr>
        <w:spacing w:line="360" w:lineRule="auto"/>
        <w:jc w:val="righ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1967871C">
      <w:pPr>
        <w:pStyle w:val="10"/>
        <w:spacing w:line="360" w:lineRule="auto"/>
        <w:jc w:val="right"/>
        <w:rPr>
          <w:rFonts w:hint="eastAsia" w:ascii="仿宋" w:hAnsi="仿宋" w:eastAsia="仿宋" w:cs="仿宋"/>
          <w:color w:val="auto"/>
          <w:sz w:val="24"/>
          <w:szCs w:val="24"/>
          <w:highlight w:val="none"/>
        </w:rPr>
      </w:pPr>
    </w:p>
    <w:p w14:paraId="20B56B94">
      <w:pPr>
        <w:pStyle w:val="7"/>
        <w:rPr>
          <w:rFonts w:hint="eastAsia" w:ascii="仿宋" w:hAnsi="仿宋" w:eastAsia="仿宋" w:cs="仿宋"/>
          <w:color w:val="auto"/>
          <w:sz w:val="24"/>
          <w:szCs w:val="24"/>
          <w:highlight w:val="none"/>
        </w:rPr>
      </w:pPr>
    </w:p>
    <w:p w14:paraId="4628C6F3">
      <w:pPr>
        <w:pStyle w:val="7"/>
        <w:rPr>
          <w:rFonts w:hint="eastAsia" w:ascii="仿宋" w:hAnsi="仿宋" w:eastAsia="仿宋" w:cs="仿宋"/>
          <w:color w:val="auto"/>
          <w:sz w:val="24"/>
          <w:szCs w:val="24"/>
          <w:highlight w:val="none"/>
        </w:rPr>
      </w:pPr>
    </w:p>
    <w:p w14:paraId="7C5943D0">
      <w:pPr>
        <w:pStyle w:val="7"/>
        <w:rPr>
          <w:rFonts w:hint="eastAsia" w:ascii="仿宋" w:hAnsi="仿宋" w:eastAsia="仿宋" w:cs="仿宋"/>
          <w:color w:val="auto"/>
          <w:sz w:val="24"/>
          <w:szCs w:val="24"/>
          <w:highlight w:val="none"/>
        </w:rPr>
        <w:sectPr>
          <w:headerReference r:id="rId8" w:type="first"/>
          <w:pgSz w:w="11906" w:h="16838"/>
          <w:pgMar w:top="1134" w:right="851" w:bottom="1304" w:left="1276" w:header="680" w:footer="680" w:gutter="0"/>
          <w:pgNumType w:fmt="decimal"/>
          <w:cols w:space="720" w:num="1"/>
          <w:titlePg/>
          <w:docGrid w:linePitch="331" w:charSpace="0"/>
        </w:sectPr>
      </w:pPr>
      <w:r>
        <w:rPr>
          <w:rFonts w:hint="eastAsia" w:ascii="仿宋" w:hAnsi="仿宋" w:eastAsia="仿宋" w:cs="仿宋"/>
          <w:sz w:val="24"/>
          <w:szCs w:val="24"/>
        </w:rPr>
        <w:br w:type="page"/>
      </w:r>
    </w:p>
    <w:bookmarkEnd w:id="132"/>
    <w:p w14:paraId="55F3A44B">
      <w:pPr>
        <w:pStyle w:val="3"/>
        <w:spacing w:line="360" w:lineRule="auto"/>
        <w:jc w:val="center"/>
        <w:rPr>
          <w:rFonts w:hint="eastAsia" w:ascii="仿宋" w:hAnsi="仿宋" w:eastAsia="仿宋" w:cs="仿宋"/>
          <w:color w:val="auto"/>
          <w:highlight w:val="none"/>
        </w:rPr>
      </w:pPr>
      <w:bookmarkStart w:id="153" w:name="_Toc3024"/>
      <w:bookmarkStart w:id="154" w:name="_Toc15480"/>
      <w:bookmarkStart w:id="155" w:name="_Toc18851"/>
      <w:bookmarkStart w:id="156" w:name="_Toc101004110"/>
      <w:bookmarkStart w:id="157" w:name="_Toc141099669"/>
      <w:r>
        <w:rPr>
          <w:rFonts w:hint="eastAsia" w:ascii="仿宋" w:hAnsi="仿宋" w:eastAsia="仿宋" w:cs="仿宋"/>
          <w:color w:val="auto"/>
          <w:highlight w:val="none"/>
        </w:rPr>
        <w:t>（四）法定代表人身份证明书</w:t>
      </w:r>
      <w:bookmarkEnd w:id="153"/>
      <w:bookmarkEnd w:id="154"/>
      <w:bookmarkEnd w:id="155"/>
    </w:p>
    <w:p w14:paraId="319C422F">
      <w:pPr>
        <w:adjustRightInd w:val="0"/>
        <w:snapToGrid w:val="0"/>
        <w:spacing w:line="360" w:lineRule="auto"/>
        <w:ind w:firstLine="612"/>
        <w:rPr>
          <w:rFonts w:hint="eastAsia" w:ascii="仿宋" w:hAnsi="仿宋" w:eastAsia="仿宋" w:cs="仿宋"/>
          <w:sz w:val="24"/>
        </w:rPr>
      </w:pPr>
      <w:r>
        <w:rPr>
          <w:rFonts w:hint="eastAsia" w:ascii="仿宋" w:hAnsi="仿宋" w:eastAsia="仿宋" w:cs="仿宋"/>
          <w:position w:val="-6"/>
          <w:sz w:val="24"/>
        </w:rPr>
        <w:t>单位名称：</w:t>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p>
    <w:p w14:paraId="116226F1">
      <w:pPr>
        <w:adjustRightInd w:val="0"/>
        <w:snapToGrid w:val="0"/>
        <w:spacing w:line="360" w:lineRule="auto"/>
        <w:ind w:firstLine="610"/>
        <w:rPr>
          <w:rFonts w:hint="eastAsia" w:ascii="仿宋" w:hAnsi="仿宋" w:eastAsia="仿宋" w:cs="仿宋"/>
          <w:sz w:val="24"/>
          <w:u w:val="single"/>
        </w:rPr>
      </w:pPr>
      <w:r>
        <w:rPr>
          <w:rFonts w:hint="eastAsia" w:ascii="仿宋" w:hAnsi="仿宋" w:eastAsia="仿宋" w:cs="仿宋"/>
          <w:position w:val="-6"/>
          <w:sz w:val="24"/>
        </w:rPr>
        <w:t>单位性质：</w:t>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p>
    <w:p w14:paraId="229724C4">
      <w:pPr>
        <w:adjustRightInd w:val="0"/>
        <w:snapToGrid w:val="0"/>
        <w:spacing w:line="360" w:lineRule="auto"/>
        <w:ind w:firstLine="610"/>
        <w:rPr>
          <w:rFonts w:hint="eastAsia" w:ascii="仿宋" w:hAnsi="仿宋" w:eastAsia="仿宋" w:cs="仿宋"/>
          <w:sz w:val="24"/>
          <w:u w:val="single"/>
        </w:rPr>
      </w:pPr>
      <w:r>
        <w:rPr>
          <w:rFonts w:hint="eastAsia" w:ascii="仿宋" w:hAnsi="仿宋" w:eastAsia="仿宋" w:cs="仿宋"/>
          <w:position w:val="-6"/>
          <w:sz w:val="24"/>
        </w:rPr>
        <w:t>地    址：</w:t>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u w:val="single"/>
        </w:rPr>
        <w:t xml:space="preserve">     </w:t>
      </w:r>
      <w:r>
        <w:rPr>
          <w:rFonts w:hint="eastAsia" w:ascii="仿宋" w:hAnsi="仿宋" w:eastAsia="仿宋" w:cs="仿宋"/>
          <w:position w:val="-6"/>
          <w:sz w:val="24"/>
          <w:u w:val="single"/>
        </w:rPr>
        <w:tab/>
      </w:r>
      <w:r>
        <w:rPr>
          <w:rFonts w:hint="eastAsia" w:ascii="仿宋" w:hAnsi="仿宋" w:eastAsia="仿宋" w:cs="仿宋"/>
          <w:position w:val="-6"/>
          <w:sz w:val="24"/>
          <w:u w:val="single"/>
        </w:rPr>
        <w:tab/>
      </w:r>
    </w:p>
    <w:p w14:paraId="73813958">
      <w:pPr>
        <w:adjustRightInd w:val="0"/>
        <w:snapToGrid w:val="0"/>
        <w:spacing w:line="360" w:lineRule="auto"/>
        <w:ind w:firstLine="610"/>
        <w:rPr>
          <w:rFonts w:hint="eastAsia" w:ascii="仿宋" w:hAnsi="仿宋" w:eastAsia="仿宋" w:cs="仿宋"/>
          <w:position w:val="-6"/>
          <w:sz w:val="24"/>
        </w:rPr>
      </w:pPr>
      <w:r>
        <w:rPr>
          <w:rFonts w:hint="eastAsia" w:ascii="仿宋" w:hAnsi="仿宋" w:eastAsia="仿宋" w:cs="仿宋"/>
          <w:position w:val="-6"/>
          <w:sz w:val="24"/>
        </w:rPr>
        <w:t>成立时间：</w:t>
      </w:r>
      <w:r>
        <w:rPr>
          <w:rFonts w:hint="eastAsia" w:ascii="仿宋" w:hAnsi="仿宋" w:eastAsia="仿宋" w:cs="仿宋"/>
          <w:position w:val="-6"/>
          <w:sz w:val="24"/>
          <w:u w:val="single"/>
        </w:rPr>
        <w:t xml:space="preserve">     </w:t>
      </w:r>
      <w:r>
        <w:rPr>
          <w:rFonts w:hint="eastAsia" w:ascii="仿宋" w:hAnsi="仿宋" w:eastAsia="仿宋" w:cs="仿宋"/>
          <w:position w:val="-6"/>
          <w:sz w:val="24"/>
        </w:rPr>
        <w:t>年</w:t>
      </w:r>
      <w:r>
        <w:rPr>
          <w:rFonts w:hint="eastAsia" w:ascii="仿宋" w:hAnsi="仿宋" w:eastAsia="仿宋" w:cs="仿宋"/>
          <w:position w:val="-6"/>
          <w:sz w:val="24"/>
          <w:u w:val="single"/>
        </w:rPr>
        <w:t xml:space="preserve">     </w:t>
      </w:r>
      <w:r>
        <w:rPr>
          <w:rFonts w:hint="eastAsia" w:ascii="仿宋" w:hAnsi="仿宋" w:eastAsia="仿宋" w:cs="仿宋"/>
          <w:position w:val="-6"/>
          <w:sz w:val="24"/>
        </w:rPr>
        <w:t>月</w:t>
      </w:r>
      <w:r>
        <w:rPr>
          <w:rFonts w:hint="eastAsia" w:ascii="仿宋" w:hAnsi="仿宋" w:eastAsia="仿宋" w:cs="仿宋"/>
          <w:position w:val="-6"/>
          <w:sz w:val="24"/>
          <w:u w:val="single"/>
        </w:rPr>
        <w:t xml:space="preserve">     </w:t>
      </w:r>
      <w:r>
        <w:rPr>
          <w:rFonts w:hint="eastAsia" w:ascii="仿宋" w:hAnsi="仿宋" w:eastAsia="仿宋" w:cs="仿宋"/>
          <w:position w:val="-6"/>
          <w:sz w:val="24"/>
        </w:rPr>
        <w:t>日</w:t>
      </w:r>
    </w:p>
    <w:p w14:paraId="0C83272C">
      <w:pPr>
        <w:adjustRightInd w:val="0"/>
        <w:snapToGrid w:val="0"/>
        <w:spacing w:line="360" w:lineRule="auto"/>
        <w:ind w:firstLine="610"/>
        <w:rPr>
          <w:rFonts w:hint="eastAsia" w:ascii="仿宋" w:hAnsi="仿宋" w:eastAsia="仿宋" w:cs="仿宋"/>
          <w:sz w:val="24"/>
          <w:u w:val="single"/>
        </w:rPr>
      </w:pPr>
      <w:r>
        <w:rPr>
          <w:rFonts w:hint="eastAsia" w:ascii="仿宋" w:hAnsi="仿宋" w:eastAsia="仿宋" w:cs="仿宋"/>
          <w:position w:val="-6"/>
          <w:sz w:val="24"/>
        </w:rPr>
        <w:t>经营期限：</w:t>
      </w:r>
      <w:r>
        <w:rPr>
          <w:rFonts w:hint="eastAsia" w:ascii="仿宋" w:hAnsi="仿宋" w:eastAsia="仿宋" w:cs="仿宋"/>
          <w:position w:val="-6"/>
          <w:sz w:val="24"/>
          <w:u w:val="single"/>
        </w:rPr>
        <w:tab/>
      </w:r>
      <w:r>
        <w:rPr>
          <w:rFonts w:hint="eastAsia" w:ascii="仿宋" w:hAnsi="仿宋" w:eastAsia="仿宋" w:cs="仿宋"/>
          <w:position w:val="-6"/>
          <w:sz w:val="24"/>
          <w:u w:val="single"/>
        </w:rPr>
        <w:tab/>
      </w:r>
    </w:p>
    <w:p w14:paraId="1C1D6CD4">
      <w:pPr>
        <w:adjustRightInd w:val="0"/>
        <w:snapToGrid w:val="0"/>
        <w:spacing w:line="360" w:lineRule="auto"/>
        <w:ind w:firstLine="610"/>
        <w:rPr>
          <w:rFonts w:hint="eastAsia" w:ascii="仿宋" w:hAnsi="仿宋" w:eastAsia="仿宋" w:cs="仿宋"/>
          <w:sz w:val="24"/>
          <w:u w:val="single"/>
        </w:rPr>
      </w:pPr>
      <w:r>
        <w:rPr>
          <w:rFonts w:hint="eastAsia" w:ascii="仿宋" w:hAnsi="仿宋" w:eastAsia="仿宋" w:cs="仿宋"/>
          <w:position w:val="-6"/>
          <w:sz w:val="24"/>
        </w:rPr>
        <w:t>姓    名：</w:t>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rPr>
        <w:t>性别：</w:t>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rPr>
        <w:t>年龄：</w:t>
      </w:r>
      <w:r>
        <w:rPr>
          <w:rFonts w:hint="eastAsia" w:ascii="仿宋" w:hAnsi="仿宋" w:eastAsia="仿宋" w:cs="仿宋"/>
          <w:position w:val="-6"/>
          <w:sz w:val="24"/>
          <w:u w:val="single"/>
        </w:rPr>
        <w:tab/>
      </w:r>
      <w:r>
        <w:rPr>
          <w:rFonts w:hint="eastAsia" w:ascii="仿宋" w:hAnsi="仿宋" w:eastAsia="仿宋" w:cs="仿宋"/>
          <w:position w:val="-6"/>
          <w:sz w:val="24"/>
          <w:u w:val="single"/>
        </w:rPr>
        <w:tab/>
      </w:r>
      <w:r>
        <w:rPr>
          <w:rFonts w:hint="eastAsia" w:ascii="仿宋" w:hAnsi="仿宋" w:eastAsia="仿宋" w:cs="仿宋"/>
          <w:position w:val="-6"/>
          <w:sz w:val="24"/>
        </w:rPr>
        <w:t>职务：</w:t>
      </w:r>
      <w:r>
        <w:rPr>
          <w:rFonts w:hint="eastAsia" w:ascii="仿宋" w:hAnsi="仿宋" w:eastAsia="仿宋" w:cs="仿宋"/>
          <w:position w:val="-6"/>
          <w:sz w:val="24"/>
          <w:u w:val="single"/>
        </w:rPr>
        <w:tab/>
      </w:r>
      <w:r>
        <w:rPr>
          <w:rFonts w:hint="eastAsia" w:ascii="仿宋" w:hAnsi="仿宋" w:eastAsia="仿宋" w:cs="仿宋"/>
          <w:position w:val="-6"/>
          <w:sz w:val="24"/>
          <w:u w:val="single"/>
        </w:rPr>
        <w:tab/>
      </w:r>
    </w:p>
    <w:p w14:paraId="5B32FC22">
      <w:pPr>
        <w:adjustRightInd w:val="0"/>
        <w:snapToGrid w:val="0"/>
        <w:spacing w:line="360" w:lineRule="auto"/>
        <w:ind w:firstLine="610"/>
        <w:rPr>
          <w:rFonts w:hint="eastAsia" w:ascii="仿宋" w:hAnsi="仿宋" w:eastAsia="仿宋" w:cs="仿宋"/>
          <w:sz w:val="24"/>
        </w:rPr>
      </w:pPr>
      <w:r>
        <w:rPr>
          <w:rFonts w:hint="eastAsia" w:ascii="仿宋" w:hAnsi="仿宋" w:eastAsia="仿宋" w:cs="仿宋"/>
          <w:position w:val="-6"/>
          <w:sz w:val="24"/>
        </w:rPr>
        <w:t>系</w:t>
      </w:r>
      <w:r>
        <w:rPr>
          <w:rFonts w:hint="eastAsia" w:ascii="仿宋" w:hAnsi="仿宋" w:eastAsia="仿宋" w:cs="仿宋"/>
          <w:position w:val="-6"/>
          <w:sz w:val="24"/>
          <w:u w:val="single"/>
        </w:rPr>
        <w:t xml:space="preserve">          （投标人名称）         </w:t>
      </w:r>
      <w:r>
        <w:rPr>
          <w:rFonts w:hint="eastAsia" w:ascii="仿宋" w:hAnsi="仿宋" w:eastAsia="仿宋" w:cs="仿宋"/>
          <w:position w:val="-6"/>
          <w:sz w:val="24"/>
        </w:rPr>
        <w:t>的法定代表人。</w:t>
      </w:r>
    </w:p>
    <w:p w14:paraId="66A039C2">
      <w:pPr>
        <w:adjustRightInd w:val="0"/>
        <w:snapToGrid w:val="0"/>
        <w:spacing w:line="360" w:lineRule="auto"/>
        <w:ind w:firstLine="610"/>
        <w:rPr>
          <w:rFonts w:hint="eastAsia" w:ascii="仿宋" w:hAnsi="仿宋" w:eastAsia="仿宋" w:cs="仿宋"/>
          <w:sz w:val="24"/>
        </w:rPr>
      </w:pPr>
    </w:p>
    <w:p w14:paraId="1ED1B3F7">
      <w:pPr>
        <w:pStyle w:val="19"/>
        <w:ind w:firstLine="480"/>
        <w:rPr>
          <w:rFonts w:hint="eastAsia" w:ascii="仿宋" w:hAnsi="仿宋" w:eastAsia="仿宋" w:cs="仿宋"/>
          <w:sz w:val="24"/>
          <w:lang w:val="en-US" w:eastAsia="zh-CN"/>
        </w:rPr>
      </w:pPr>
      <w:r>
        <w:rPr>
          <w:rFonts w:hint="eastAsia" w:ascii="仿宋" w:hAnsi="仿宋" w:eastAsia="仿宋" w:cs="仿宋"/>
          <w:position w:val="-6"/>
          <w:sz w:val="24"/>
        </w:rPr>
        <w:t>特此证明。</w:t>
      </w:r>
    </w:p>
    <w:p w14:paraId="16182D8C">
      <w:pPr>
        <w:pStyle w:val="19"/>
        <w:ind w:firstLine="480"/>
        <w:rPr>
          <w:rFonts w:hint="eastAsia" w:ascii="仿宋" w:hAnsi="仿宋" w:eastAsia="仿宋" w:cs="仿宋"/>
          <w:sz w:val="24"/>
          <w:lang w:val="en-US" w:eastAsia="zh-CN"/>
        </w:rPr>
      </w:pPr>
    </w:p>
    <w:p w14:paraId="062C3279">
      <w:pPr>
        <w:pStyle w:val="19"/>
        <w:ind w:firstLine="480"/>
        <w:rPr>
          <w:rFonts w:hint="eastAsia" w:ascii="仿宋" w:hAnsi="仿宋" w:eastAsia="仿宋" w:cs="仿宋"/>
          <w:sz w:val="24"/>
          <w:lang w:val="en-US" w:eastAsia="zh-CN"/>
        </w:rPr>
      </w:pPr>
    </w:p>
    <w:p w14:paraId="0F167F35">
      <w:pPr>
        <w:pStyle w:val="19"/>
        <w:ind w:firstLine="480"/>
        <w:rPr>
          <w:rFonts w:hint="eastAsia" w:ascii="仿宋" w:hAnsi="仿宋" w:eastAsia="仿宋" w:cs="仿宋"/>
          <w:sz w:val="24"/>
          <w:lang w:val="en-US" w:eastAsia="zh-CN"/>
        </w:rPr>
      </w:pPr>
    </w:p>
    <w:p w14:paraId="70B3CACE">
      <w:pPr>
        <w:adjustRightInd w:val="0"/>
        <w:snapToGrid w:val="0"/>
        <w:spacing w:line="360" w:lineRule="auto"/>
        <w:ind w:firstLine="610"/>
        <w:rPr>
          <w:rFonts w:hint="eastAsia" w:ascii="仿宋" w:hAnsi="仿宋" w:eastAsia="仿宋" w:cs="仿宋"/>
          <w:position w:val="-6"/>
          <w:sz w:val="24"/>
        </w:rPr>
      </w:pPr>
      <w:r>
        <w:rPr>
          <w:rFonts w:hint="eastAsia" w:ascii="仿宋" w:hAnsi="仿宋" w:eastAsia="仿宋" w:cs="仿宋"/>
          <w:position w:val="-6"/>
          <w:sz w:val="24"/>
        </w:rPr>
        <w:t xml:space="preserve">投标人： </w:t>
      </w:r>
      <w:r>
        <w:rPr>
          <w:rFonts w:hint="eastAsia" w:ascii="仿宋" w:hAnsi="仿宋" w:eastAsia="仿宋" w:cs="仿宋"/>
          <w:position w:val="-6"/>
          <w:sz w:val="24"/>
          <w:u w:val="single"/>
        </w:rPr>
        <w:t xml:space="preserve">            </w:t>
      </w:r>
      <w:r>
        <w:rPr>
          <w:rFonts w:hint="eastAsia" w:ascii="仿宋" w:hAnsi="仿宋" w:eastAsia="仿宋" w:cs="仿宋"/>
          <w:position w:val="-6"/>
          <w:sz w:val="24"/>
        </w:rPr>
        <w:t>（电子签章）</w:t>
      </w:r>
    </w:p>
    <w:p w14:paraId="1923C131">
      <w:pPr>
        <w:adjustRightInd w:val="0"/>
        <w:snapToGrid w:val="0"/>
        <w:spacing w:line="360" w:lineRule="auto"/>
        <w:ind w:firstLine="610"/>
        <w:rPr>
          <w:rFonts w:hint="eastAsia" w:ascii="仿宋" w:hAnsi="仿宋" w:eastAsia="仿宋" w:cs="仿宋"/>
          <w:sz w:val="24"/>
        </w:rPr>
      </w:pPr>
      <w:r>
        <w:rPr>
          <w:rFonts w:hint="eastAsia" w:ascii="仿宋" w:hAnsi="仿宋" w:eastAsia="仿宋" w:cs="仿宋"/>
          <w:position w:val="-6"/>
          <w:sz w:val="24"/>
        </w:rPr>
        <w:t>日  期：  年  月  日</w:t>
      </w:r>
    </w:p>
    <w:p w14:paraId="4369FC92">
      <w:pPr>
        <w:adjustRightInd w:val="0"/>
        <w:snapToGrid w:val="0"/>
        <w:spacing w:line="360" w:lineRule="auto"/>
        <w:ind w:firstLine="2426" w:firstLineChars="1011"/>
        <w:rPr>
          <w:rFonts w:hint="eastAsia" w:ascii="仿宋" w:hAnsi="仿宋" w:eastAsia="仿宋" w:cs="仿宋"/>
          <w:sz w:val="24"/>
        </w:rPr>
      </w:pPr>
    </w:p>
    <w:p w14:paraId="247D9909">
      <w:pPr>
        <w:adjustRightInd w:val="0"/>
        <w:snapToGrid w:val="0"/>
        <w:spacing w:line="360" w:lineRule="auto"/>
        <w:ind w:firstLine="2426" w:firstLineChars="1011"/>
        <w:rPr>
          <w:rFonts w:hint="eastAsia" w:ascii="仿宋" w:hAnsi="仿宋" w:eastAsia="仿宋" w:cs="仿宋"/>
          <w:sz w:val="24"/>
        </w:rPr>
      </w:pPr>
    </w:p>
    <w:p w14:paraId="2BD82CFB">
      <w:pPr>
        <w:adjustRightInd w:val="0"/>
        <w:snapToGrid w:val="0"/>
        <w:spacing w:line="360" w:lineRule="auto"/>
        <w:ind w:firstLine="410" w:firstLineChars="170"/>
        <w:rPr>
          <w:rFonts w:hint="eastAsia" w:ascii="仿宋" w:hAnsi="仿宋" w:eastAsia="仿宋" w:cs="仿宋"/>
          <w:b/>
          <w:position w:val="-6"/>
          <w:sz w:val="24"/>
        </w:rPr>
      </w:pPr>
      <w:r>
        <w:rPr>
          <w:rFonts w:hint="eastAsia" w:ascii="仿宋" w:hAnsi="仿宋" w:eastAsia="仿宋" w:cs="仿宋"/>
          <w:b/>
          <w:position w:val="-6"/>
          <w:sz w:val="24"/>
        </w:rPr>
        <w:t>注：附法定代表人身份证正反面原件扫描件。</w:t>
      </w:r>
    </w:p>
    <w:p w14:paraId="5D3582A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33F0CCD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0531F8C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7B1FD4B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04721FA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p>
    <w:p w14:paraId="1EED23D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40DFE1E5">
      <w:pPr>
        <w:spacing w:line="360" w:lineRule="auto"/>
        <w:rPr>
          <w:rFonts w:hint="eastAsia" w:ascii="仿宋" w:hAnsi="仿宋" w:eastAsia="仿宋" w:cs="仿宋"/>
          <w:color w:val="auto"/>
          <w:highlight w:val="none"/>
        </w:rPr>
      </w:pPr>
    </w:p>
    <w:p w14:paraId="2C583D2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04005B9E">
      <w:pPr>
        <w:pStyle w:val="3"/>
        <w:spacing w:line="360" w:lineRule="auto"/>
        <w:jc w:val="center"/>
        <w:rPr>
          <w:rFonts w:hint="eastAsia" w:ascii="仿宋" w:hAnsi="仿宋" w:eastAsia="仿宋" w:cs="仿宋"/>
          <w:color w:val="auto"/>
          <w:sz w:val="24"/>
          <w:szCs w:val="24"/>
          <w:highlight w:val="none"/>
        </w:rPr>
      </w:pPr>
      <w:bookmarkStart w:id="158" w:name="_Toc18535"/>
      <w:bookmarkStart w:id="159" w:name="_Toc29154"/>
      <w:bookmarkStart w:id="160" w:name="_Toc26659"/>
      <w:r>
        <w:rPr>
          <w:rFonts w:hint="eastAsia" w:ascii="仿宋" w:hAnsi="仿宋" w:eastAsia="仿宋" w:cs="仿宋"/>
          <w:color w:val="auto"/>
          <w:sz w:val="24"/>
          <w:szCs w:val="24"/>
          <w:highlight w:val="none"/>
        </w:rPr>
        <w:t>（五）法定代表人授权委托书</w:t>
      </w:r>
      <w:bookmarkEnd w:id="158"/>
      <w:bookmarkEnd w:id="159"/>
      <w:bookmarkEnd w:id="160"/>
    </w:p>
    <w:p w14:paraId="66CE48B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本授权书声明：</w:t>
      </w:r>
      <w:r>
        <w:rPr>
          <w:rFonts w:hint="eastAsia" w:ascii="仿宋" w:hAnsi="仿宋" w:eastAsia="仿宋" w:cs="仿宋"/>
          <w:color w:val="auto"/>
          <w:sz w:val="24"/>
          <w:szCs w:val="24"/>
          <w:highlight w:val="none"/>
          <w:u w:val="single"/>
        </w:rPr>
        <w:t xml:space="preserve">  （投标人全称） </w:t>
      </w:r>
      <w:r>
        <w:rPr>
          <w:rFonts w:hint="eastAsia" w:ascii="仿宋" w:hAnsi="仿宋" w:eastAsia="仿宋" w:cs="仿宋"/>
          <w:color w:val="auto"/>
          <w:sz w:val="24"/>
          <w:szCs w:val="24"/>
          <w:highlight w:val="none"/>
        </w:rPr>
        <w:t>的法定代表人代表本公司授权</w:t>
      </w:r>
      <w:r>
        <w:rPr>
          <w:rFonts w:hint="eastAsia" w:ascii="仿宋" w:hAnsi="仿宋" w:eastAsia="仿宋" w:cs="仿宋"/>
          <w:color w:val="auto"/>
          <w:sz w:val="24"/>
          <w:szCs w:val="24"/>
          <w:highlight w:val="none"/>
          <w:u w:val="single"/>
        </w:rPr>
        <w:t>（委托代理人姓名）</w:t>
      </w:r>
      <w:r>
        <w:rPr>
          <w:rFonts w:hint="eastAsia" w:ascii="仿宋" w:hAnsi="仿宋" w:eastAsia="仿宋" w:cs="仿宋"/>
          <w:color w:val="auto"/>
          <w:sz w:val="24"/>
          <w:szCs w:val="24"/>
          <w:highlight w:val="none"/>
        </w:rPr>
        <w:t>为本公司合法代理人，就贵方组织的有关</w:t>
      </w:r>
      <w:r>
        <w:rPr>
          <w:rFonts w:hint="eastAsia" w:ascii="仿宋" w:hAnsi="仿宋" w:eastAsia="仿宋" w:cs="仿宋"/>
          <w:color w:val="auto"/>
          <w:sz w:val="24"/>
          <w:szCs w:val="24"/>
          <w:highlight w:val="none"/>
          <w:u w:val="single"/>
        </w:rPr>
        <w:t>（采购项目名称）</w:t>
      </w:r>
      <w:r>
        <w:rPr>
          <w:rFonts w:hint="eastAsia" w:ascii="仿宋" w:hAnsi="仿宋" w:eastAsia="仿宋" w:cs="仿宋"/>
          <w:color w:val="auto"/>
          <w:sz w:val="24"/>
          <w:szCs w:val="24"/>
          <w:highlight w:val="none"/>
        </w:rPr>
        <w:t>项目（</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）的招标，以本单位名义投标。代理人在本项目投标过程中所签署的一切文件和处理与之有关的一切事务，我方均予承认。</w:t>
      </w:r>
    </w:p>
    <w:p w14:paraId="54DB957F">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14:paraId="2FA04B88">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46247630">
      <w:pPr>
        <w:pStyle w:val="7"/>
        <w:rPr>
          <w:rFonts w:hint="eastAsia" w:ascii="仿宋" w:hAnsi="仿宋" w:eastAsia="仿宋" w:cs="仿宋"/>
        </w:rPr>
      </w:pPr>
    </w:p>
    <w:p w14:paraId="3164840F">
      <w:pPr>
        <w:adjustRightInd w:val="0"/>
        <w:snapToGrid w:val="0"/>
        <w:spacing w:line="360" w:lineRule="auto"/>
        <w:jc w:val="left"/>
        <w:rPr>
          <w:rFonts w:hint="eastAsia" w:ascii="仿宋" w:hAnsi="仿宋" w:eastAsia="仿宋" w:cs="仿宋"/>
          <w:b w:val="0"/>
          <w:bCs w:val="0"/>
          <w:sz w:val="24"/>
          <w:u w:val="single"/>
        </w:rPr>
      </w:pPr>
      <w:r>
        <w:rPr>
          <w:rFonts w:hint="eastAsia" w:ascii="仿宋" w:hAnsi="仿宋" w:eastAsia="仿宋" w:cs="仿宋"/>
          <w:b w:val="0"/>
          <w:bCs w:val="0"/>
          <w:position w:val="-6"/>
          <w:sz w:val="24"/>
        </w:rPr>
        <w:t>代理人：</w:t>
      </w:r>
      <w:r>
        <w:rPr>
          <w:rFonts w:hint="eastAsia" w:ascii="仿宋" w:hAnsi="仿宋" w:eastAsia="仿宋" w:cs="仿宋"/>
          <w:b w:val="0"/>
          <w:bCs w:val="0"/>
          <w:position w:val="-6"/>
          <w:sz w:val="24"/>
          <w:u w:val="single"/>
        </w:rPr>
        <w:t xml:space="preserve">     （姓名）</w:t>
      </w:r>
      <w:r>
        <w:rPr>
          <w:rFonts w:hint="eastAsia" w:ascii="仿宋" w:hAnsi="仿宋" w:eastAsia="仿宋" w:cs="仿宋"/>
          <w:b w:val="0"/>
          <w:bCs w:val="0"/>
          <w:position w:val="-6"/>
          <w:sz w:val="24"/>
        </w:rPr>
        <w:t>性别：</w:t>
      </w:r>
      <w:r>
        <w:rPr>
          <w:rFonts w:hint="eastAsia" w:ascii="仿宋" w:hAnsi="仿宋" w:eastAsia="仿宋" w:cs="仿宋"/>
          <w:b w:val="0"/>
          <w:bCs w:val="0"/>
          <w:position w:val="-6"/>
          <w:sz w:val="24"/>
          <w:u w:val="single"/>
        </w:rPr>
        <w:t xml:space="preserve">     </w:t>
      </w:r>
      <w:r>
        <w:rPr>
          <w:rFonts w:hint="eastAsia" w:ascii="仿宋" w:hAnsi="仿宋" w:eastAsia="仿宋" w:cs="仿宋"/>
          <w:b w:val="0"/>
          <w:bCs w:val="0"/>
          <w:position w:val="-6"/>
          <w:sz w:val="24"/>
        </w:rPr>
        <w:t xml:space="preserve"> 年龄：</w:t>
      </w:r>
      <w:r>
        <w:rPr>
          <w:rFonts w:hint="eastAsia" w:ascii="仿宋" w:hAnsi="仿宋" w:eastAsia="仿宋" w:cs="仿宋"/>
          <w:b w:val="0"/>
          <w:bCs w:val="0"/>
          <w:position w:val="-6"/>
          <w:sz w:val="24"/>
          <w:u w:val="single"/>
        </w:rPr>
        <w:t xml:space="preserve">     </w:t>
      </w:r>
    </w:p>
    <w:p w14:paraId="334D98E3">
      <w:pPr>
        <w:adjustRightInd w:val="0"/>
        <w:snapToGrid w:val="0"/>
        <w:spacing w:line="360" w:lineRule="auto"/>
        <w:jc w:val="left"/>
        <w:rPr>
          <w:rFonts w:hint="eastAsia" w:ascii="仿宋" w:hAnsi="仿宋" w:eastAsia="仿宋" w:cs="仿宋"/>
          <w:b w:val="0"/>
          <w:bCs w:val="0"/>
          <w:sz w:val="24"/>
          <w:u w:val="single"/>
        </w:rPr>
      </w:pPr>
      <w:r>
        <w:rPr>
          <w:rFonts w:hint="eastAsia" w:ascii="仿宋" w:hAnsi="仿宋" w:eastAsia="仿宋" w:cs="仿宋"/>
          <w:b w:val="0"/>
          <w:bCs w:val="0"/>
          <w:position w:val="-6"/>
          <w:sz w:val="24"/>
        </w:rPr>
        <w:t>身份证号码：</w:t>
      </w:r>
      <w:r>
        <w:rPr>
          <w:rFonts w:hint="eastAsia" w:ascii="仿宋" w:hAnsi="仿宋" w:eastAsia="仿宋" w:cs="仿宋"/>
          <w:b w:val="0"/>
          <w:bCs w:val="0"/>
          <w:position w:val="-6"/>
          <w:sz w:val="24"/>
          <w:u w:val="single"/>
        </w:rPr>
        <w:t xml:space="preserve">                      </w:t>
      </w:r>
      <w:r>
        <w:rPr>
          <w:rFonts w:hint="eastAsia" w:ascii="仿宋" w:hAnsi="仿宋" w:eastAsia="仿宋" w:cs="仿宋"/>
          <w:b w:val="0"/>
          <w:bCs w:val="0"/>
          <w:position w:val="-6"/>
          <w:sz w:val="24"/>
        </w:rPr>
        <w:t>职务：</w:t>
      </w:r>
      <w:r>
        <w:rPr>
          <w:rFonts w:hint="eastAsia" w:ascii="仿宋" w:hAnsi="仿宋" w:eastAsia="仿宋" w:cs="仿宋"/>
          <w:b w:val="0"/>
          <w:bCs w:val="0"/>
          <w:position w:val="-6"/>
          <w:sz w:val="24"/>
          <w:u w:val="single"/>
        </w:rPr>
        <w:t xml:space="preserve">     </w:t>
      </w:r>
    </w:p>
    <w:p w14:paraId="64479804">
      <w:pPr>
        <w:adjustRightInd w:val="0"/>
        <w:snapToGrid w:val="0"/>
        <w:spacing w:line="360" w:lineRule="auto"/>
        <w:jc w:val="left"/>
        <w:rPr>
          <w:rFonts w:hint="eastAsia" w:ascii="仿宋" w:hAnsi="仿宋" w:eastAsia="仿宋" w:cs="仿宋"/>
          <w:b w:val="0"/>
          <w:bCs w:val="0"/>
          <w:sz w:val="24"/>
        </w:rPr>
      </w:pPr>
      <w:r>
        <w:rPr>
          <w:rFonts w:hint="eastAsia" w:ascii="仿宋" w:hAnsi="仿宋" w:eastAsia="仿宋" w:cs="仿宋"/>
          <w:b w:val="0"/>
          <w:bCs w:val="0"/>
          <w:position w:val="-6"/>
          <w:sz w:val="24"/>
        </w:rPr>
        <w:t>投标人：</w:t>
      </w:r>
      <w:r>
        <w:rPr>
          <w:rFonts w:hint="eastAsia" w:ascii="仿宋" w:hAnsi="仿宋" w:eastAsia="仿宋" w:cs="仿宋"/>
          <w:b w:val="0"/>
          <w:bCs w:val="0"/>
          <w:position w:val="-6"/>
          <w:sz w:val="24"/>
          <w:u w:val="single"/>
        </w:rPr>
        <w:t xml:space="preserve">                            （电子签章）  </w:t>
      </w:r>
    </w:p>
    <w:p w14:paraId="0970E427">
      <w:pPr>
        <w:spacing w:line="360" w:lineRule="auto"/>
        <w:jc w:val="left"/>
        <w:rPr>
          <w:rFonts w:hint="eastAsia" w:ascii="仿宋" w:hAnsi="仿宋" w:eastAsia="仿宋" w:cs="仿宋"/>
          <w:b w:val="0"/>
          <w:bCs w:val="0"/>
          <w:sz w:val="24"/>
        </w:rPr>
      </w:pPr>
      <w:r>
        <w:rPr>
          <w:rFonts w:hint="eastAsia" w:ascii="仿宋" w:hAnsi="仿宋" w:eastAsia="仿宋" w:cs="仿宋"/>
          <w:b w:val="0"/>
          <w:bCs w:val="0"/>
          <w:sz w:val="24"/>
        </w:rPr>
        <w:t>法定代表人(单位负责人)或其委托代理人（电子签章）：</w:t>
      </w:r>
      <w:r>
        <w:rPr>
          <w:rFonts w:hint="eastAsia" w:ascii="仿宋" w:hAnsi="仿宋" w:eastAsia="仿宋" w:cs="仿宋"/>
          <w:b w:val="0"/>
          <w:bCs w:val="0"/>
          <w:sz w:val="24"/>
          <w:u w:val="single"/>
        </w:rPr>
        <w:t xml:space="preserve">         </w:t>
      </w:r>
    </w:p>
    <w:p w14:paraId="1D530249">
      <w:pPr>
        <w:adjustRightInd w:val="0"/>
        <w:snapToGrid w:val="0"/>
        <w:spacing w:line="360" w:lineRule="auto"/>
        <w:jc w:val="left"/>
        <w:rPr>
          <w:rFonts w:hint="eastAsia" w:ascii="仿宋" w:hAnsi="仿宋" w:eastAsia="仿宋" w:cs="仿宋"/>
          <w:b w:val="0"/>
          <w:bCs w:val="0"/>
          <w:sz w:val="24"/>
        </w:rPr>
      </w:pPr>
      <w:r>
        <w:rPr>
          <w:rFonts w:hint="eastAsia" w:ascii="仿宋" w:hAnsi="仿宋" w:eastAsia="仿宋" w:cs="仿宋"/>
          <w:b w:val="0"/>
          <w:bCs w:val="0"/>
          <w:position w:val="-6"/>
          <w:sz w:val="24"/>
        </w:rPr>
        <w:t>授权委托日期：  年  月   日</w:t>
      </w:r>
    </w:p>
    <w:p w14:paraId="326B4AD1">
      <w:pPr>
        <w:adjustRightInd w:val="0"/>
        <w:snapToGrid w:val="0"/>
        <w:spacing w:line="360" w:lineRule="auto"/>
        <w:ind w:right="26" w:firstLine="480"/>
        <w:rPr>
          <w:rFonts w:hint="eastAsia" w:ascii="仿宋" w:hAnsi="仿宋" w:eastAsia="仿宋" w:cs="仿宋"/>
          <w:b w:val="0"/>
          <w:bCs w:val="0"/>
          <w:sz w:val="24"/>
        </w:rPr>
      </w:pPr>
      <w:r>
        <w:rPr>
          <w:rFonts w:hint="eastAsia" w:ascii="仿宋" w:hAnsi="仿宋" w:eastAsia="仿宋" w:cs="仿宋"/>
          <w:b w:val="0"/>
          <w:bCs w:val="0"/>
          <w:sz w:val="24"/>
        </w:rPr>
        <w:t xml:space="preserve">                                            </w:t>
      </w:r>
    </w:p>
    <w:p w14:paraId="7464BD56">
      <w:pPr>
        <w:adjustRightInd w:val="0"/>
        <w:snapToGrid w:val="0"/>
        <w:spacing w:line="360" w:lineRule="auto"/>
        <w:ind w:right="26"/>
        <w:rPr>
          <w:rFonts w:hint="eastAsia" w:ascii="仿宋" w:hAnsi="仿宋" w:eastAsia="仿宋" w:cs="仿宋"/>
          <w:b w:val="0"/>
          <w:bCs w:val="0"/>
          <w:sz w:val="24"/>
        </w:rPr>
      </w:pPr>
    </w:p>
    <w:p w14:paraId="394DFB31">
      <w:pPr>
        <w:adjustRightInd w:val="0"/>
        <w:snapToGrid w:val="0"/>
        <w:spacing w:line="360" w:lineRule="auto"/>
        <w:ind w:right="26"/>
        <w:rPr>
          <w:rFonts w:hint="eastAsia" w:ascii="仿宋" w:hAnsi="仿宋" w:eastAsia="仿宋" w:cs="仿宋"/>
          <w:b w:val="0"/>
          <w:bCs w:val="0"/>
          <w:sz w:val="24"/>
        </w:rPr>
      </w:pPr>
    </w:p>
    <w:p w14:paraId="13E1926C">
      <w:pPr>
        <w:adjustRightInd w:val="0"/>
        <w:snapToGrid w:val="0"/>
        <w:spacing w:line="360" w:lineRule="auto"/>
        <w:ind w:right="26"/>
        <w:rPr>
          <w:rFonts w:hint="eastAsia" w:ascii="仿宋" w:hAnsi="仿宋" w:eastAsia="仿宋" w:cs="仿宋"/>
          <w:b w:val="0"/>
          <w:bCs w:val="0"/>
          <w:sz w:val="24"/>
        </w:rPr>
      </w:pPr>
    </w:p>
    <w:p w14:paraId="46F3E157">
      <w:pPr>
        <w:adjustRightInd w:val="0"/>
        <w:snapToGrid w:val="0"/>
        <w:spacing w:line="360" w:lineRule="auto"/>
        <w:ind w:right="26"/>
        <w:rPr>
          <w:rFonts w:hint="eastAsia" w:ascii="仿宋" w:hAnsi="仿宋" w:eastAsia="仿宋" w:cs="仿宋"/>
          <w:b w:val="0"/>
          <w:bCs w:val="0"/>
          <w:sz w:val="24"/>
        </w:rPr>
      </w:pPr>
    </w:p>
    <w:p w14:paraId="56132D1E">
      <w:pPr>
        <w:adjustRightInd w:val="0"/>
        <w:snapToGrid w:val="0"/>
        <w:spacing w:line="360" w:lineRule="auto"/>
        <w:ind w:right="26"/>
        <w:rPr>
          <w:rFonts w:hint="eastAsia" w:ascii="仿宋" w:hAnsi="仿宋" w:eastAsia="仿宋" w:cs="仿宋"/>
          <w:b w:val="0"/>
          <w:bCs w:val="0"/>
          <w:sz w:val="24"/>
          <w:highlight w:val="none"/>
        </w:rPr>
      </w:pPr>
    </w:p>
    <w:p w14:paraId="44FE069C">
      <w:pPr>
        <w:adjustRightInd w:val="0"/>
        <w:snapToGrid w:val="0"/>
        <w:spacing w:line="360" w:lineRule="auto"/>
        <w:rPr>
          <w:rFonts w:hint="eastAsia" w:ascii="仿宋" w:hAnsi="仿宋" w:eastAsia="仿宋" w:cs="仿宋"/>
          <w:b w:val="0"/>
          <w:bCs w:val="0"/>
          <w:position w:val="-6"/>
          <w:sz w:val="24"/>
          <w:highlight w:val="yellow"/>
        </w:rPr>
      </w:pPr>
      <w:r>
        <w:rPr>
          <w:rFonts w:hint="eastAsia" w:ascii="仿宋" w:hAnsi="仿宋" w:eastAsia="仿宋" w:cs="仿宋"/>
          <w:b w:val="0"/>
          <w:bCs w:val="0"/>
          <w:position w:val="-6"/>
          <w:sz w:val="24"/>
          <w:highlight w:val="none"/>
        </w:rPr>
        <w:t>注：附授权委托人身份证正反</w:t>
      </w:r>
      <w:r>
        <w:rPr>
          <w:rFonts w:hint="eastAsia" w:ascii="仿宋" w:hAnsi="仿宋" w:eastAsia="仿宋" w:cs="仿宋"/>
          <w:b w:val="0"/>
          <w:bCs w:val="0"/>
          <w:color w:val="000000"/>
          <w:position w:val="-6"/>
          <w:sz w:val="24"/>
          <w:highlight w:val="none"/>
        </w:rPr>
        <w:t>面原件扫描件，</w:t>
      </w:r>
      <w:r>
        <w:rPr>
          <w:rFonts w:hint="eastAsia" w:ascii="仿宋" w:hAnsi="仿宋" w:eastAsia="仿宋" w:cs="仿宋"/>
          <w:b w:val="0"/>
          <w:bCs w:val="0"/>
          <w:position w:val="-6"/>
          <w:sz w:val="24"/>
          <w:highlight w:val="none"/>
        </w:rPr>
        <w:t>如投标人由法定代表人亲自签署投标文件并参与相关活动，则不需要办理授权。</w:t>
      </w:r>
    </w:p>
    <w:p w14:paraId="148BE2B9">
      <w:pPr>
        <w:spacing w:line="360" w:lineRule="auto"/>
        <w:rPr>
          <w:rFonts w:hint="eastAsia" w:ascii="仿宋" w:hAnsi="仿宋" w:eastAsia="仿宋" w:cs="仿宋"/>
          <w:color w:val="auto"/>
          <w:sz w:val="24"/>
          <w:szCs w:val="24"/>
          <w:highlight w:val="none"/>
        </w:rPr>
      </w:pPr>
    </w:p>
    <w:p w14:paraId="2C93B924">
      <w:pPr>
        <w:pStyle w:val="10"/>
        <w:spacing w:line="360" w:lineRule="auto"/>
        <w:rPr>
          <w:rFonts w:hint="eastAsia" w:ascii="仿宋" w:hAnsi="仿宋" w:eastAsia="仿宋" w:cs="仿宋"/>
          <w:color w:val="auto"/>
          <w:sz w:val="24"/>
          <w:szCs w:val="24"/>
          <w:highlight w:val="none"/>
        </w:rPr>
      </w:pPr>
    </w:p>
    <w:p w14:paraId="2333C509">
      <w:pPr>
        <w:pStyle w:val="10"/>
        <w:spacing w:line="360" w:lineRule="auto"/>
        <w:rPr>
          <w:rFonts w:hint="eastAsia" w:ascii="仿宋" w:hAnsi="仿宋" w:eastAsia="仿宋" w:cs="仿宋"/>
          <w:color w:val="auto"/>
          <w:sz w:val="24"/>
          <w:szCs w:val="24"/>
          <w:highlight w:val="none"/>
        </w:rPr>
      </w:pPr>
    </w:p>
    <w:p w14:paraId="045CB74E">
      <w:pPr>
        <w:spacing w:line="360" w:lineRule="auto"/>
        <w:jc w:val="center"/>
        <w:outlineLvl w:val="1"/>
        <w:rPr>
          <w:rFonts w:hint="eastAsia" w:ascii="仿宋" w:hAnsi="仿宋" w:eastAsia="仿宋" w:cs="仿宋"/>
          <w:color w:val="auto"/>
          <w:sz w:val="28"/>
          <w:szCs w:val="28"/>
          <w:highlight w:val="none"/>
        </w:rPr>
      </w:pPr>
      <w:bookmarkStart w:id="161" w:name="_Toc20412"/>
      <w:bookmarkStart w:id="162" w:name="_Toc22594"/>
      <w:r>
        <w:rPr>
          <w:rFonts w:hint="eastAsia" w:ascii="仿宋" w:hAnsi="仿宋" w:eastAsia="仿宋" w:cs="仿宋"/>
          <w:color w:val="auto"/>
          <w:highlight w:val="none"/>
        </w:rPr>
        <w:br w:type="page"/>
      </w:r>
      <w:bookmarkStart w:id="163" w:name="_Toc23015"/>
      <w:bookmarkStart w:id="164" w:name="_Toc5027"/>
      <w:bookmarkStart w:id="165" w:name="_Toc28388"/>
      <w:r>
        <w:rPr>
          <w:rFonts w:hint="eastAsia" w:ascii="仿宋" w:hAnsi="仿宋" w:eastAsia="仿宋" w:cs="仿宋"/>
          <w:b/>
          <w:bCs/>
          <w:color w:val="auto"/>
          <w:sz w:val="28"/>
          <w:szCs w:val="28"/>
          <w:highlight w:val="none"/>
          <w:lang w:val="en-US" w:eastAsia="zh-CN" w:bidi="ar-SA"/>
        </w:rPr>
        <w:t>（六）</w:t>
      </w:r>
      <w:bookmarkEnd w:id="163"/>
      <w:r>
        <w:rPr>
          <w:rFonts w:hint="eastAsia" w:ascii="仿宋" w:hAnsi="仿宋" w:eastAsia="仿宋" w:cs="仿宋"/>
          <w:b/>
          <w:bCs/>
          <w:color w:val="auto"/>
          <w:sz w:val="28"/>
          <w:szCs w:val="28"/>
          <w:highlight w:val="none"/>
          <w:lang w:val="en-US" w:eastAsia="zh-CN" w:bidi="ar-SA"/>
        </w:rPr>
        <w:t>投标保证金</w:t>
      </w:r>
      <w:bookmarkEnd w:id="164"/>
      <w:bookmarkEnd w:id="165"/>
    </w:p>
    <w:p w14:paraId="6654B20C">
      <w:pPr>
        <w:autoSpaceDE w:val="0"/>
        <w:spacing w:line="360" w:lineRule="auto"/>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0F822D50">
      <w:pPr>
        <w:jc w:val="center"/>
        <w:rPr>
          <w:rFonts w:hint="eastAsia" w:ascii="仿宋" w:hAnsi="仿宋" w:eastAsia="仿宋" w:cs="仿宋"/>
          <w:color w:val="auto"/>
          <w:highlight w:val="none"/>
        </w:rPr>
      </w:pPr>
      <w:r>
        <w:rPr>
          <w:rFonts w:hint="eastAsia" w:ascii="仿宋" w:hAnsi="仿宋" w:eastAsia="仿宋" w:cs="仿宋"/>
          <w:color w:val="auto"/>
          <w:sz w:val="24"/>
          <w:szCs w:val="24"/>
          <w:highlight w:val="none"/>
        </w:rPr>
        <w:t>提供</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eastAsia="zh-CN"/>
        </w:rPr>
        <w:t>保证金</w:t>
      </w:r>
      <w:r>
        <w:rPr>
          <w:rFonts w:hint="eastAsia" w:ascii="仿宋" w:hAnsi="仿宋" w:eastAsia="仿宋" w:cs="仿宋"/>
          <w:color w:val="auto"/>
          <w:sz w:val="24"/>
          <w:szCs w:val="24"/>
          <w:highlight w:val="none"/>
        </w:rPr>
        <w:t>缴纳凭证的证明材料</w:t>
      </w:r>
    </w:p>
    <w:p w14:paraId="5ABA4AD7">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1566495">
      <w:pPr>
        <w:pStyle w:val="3"/>
        <w:spacing w:line="360" w:lineRule="auto"/>
        <w:jc w:val="center"/>
        <w:rPr>
          <w:rFonts w:hint="eastAsia" w:ascii="仿宋" w:hAnsi="仿宋" w:eastAsia="仿宋" w:cs="仿宋"/>
          <w:color w:val="auto"/>
          <w:highlight w:val="none"/>
        </w:rPr>
      </w:pPr>
      <w:bookmarkStart w:id="166" w:name="_Toc17829"/>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七</w:t>
      </w:r>
      <w:r>
        <w:rPr>
          <w:rFonts w:hint="eastAsia" w:ascii="仿宋" w:hAnsi="仿宋" w:eastAsia="仿宋" w:cs="仿宋"/>
          <w:color w:val="auto"/>
          <w:highlight w:val="none"/>
        </w:rPr>
        <w:t>）无串通投标行为的承诺函</w:t>
      </w:r>
      <w:bookmarkEnd w:id="161"/>
      <w:bookmarkEnd w:id="162"/>
      <w:bookmarkEnd w:id="166"/>
    </w:p>
    <w:p w14:paraId="6F0B2F7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一、有下列情形之一的，属于恶意串通投标：</w:t>
      </w:r>
    </w:p>
    <w:p w14:paraId="3130F90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（一）投标人直接或者间接从采购人或者采购代理机构处获得其他投标人的相关情况并修改其投标文件或者响应文件；</w:t>
      </w:r>
    </w:p>
    <w:p w14:paraId="7CD622A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（二）投标人按照采购人或者采购代理机构的授意撤换、修改投标文件或者响应文件；</w:t>
      </w:r>
    </w:p>
    <w:p w14:paraId="0AA8AA9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（三）投标人之间协商报价、技术方案等投标文件或者响应文件的实质性内容；</w:t>
      </w:r>
    </w:p>
    <w:p w14:paraId="1E6F1A9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（四）属于同一集团、协会、商会等组织成员的投标人按照该组织要求协同参加政府采购活动；</w:t>
      </w:r>
    </w:p>
    <w:p w14:paraId="30140FF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（五）投标人之间事先约定由某一特定投标人中标、成交；</w:t>
      </w:r>
    </w:p>
    <w:p w14:paraId="317ADDE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（六）投标人之间商定部分投标人放弃参加政府采购活动或者放弃中标、成交；</w:t>
      </w:r>
    </w:p>
    <w:p w14:paraId="77C2898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（七）投标人与采购人或者采购代理机构之间、供应商相互之间，为谋求特定供应商中标、成交或者排斥其他投标人的其他串通行为。</w:t>
      </w:r>
    </w:p>
    <w:p w14:paraId="204C504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二、有下列情形之一的，视为供应商串通投标，其投标无效：</w:t>
      </w:r>
    </w:p>
    <w:p w14:paraId="55556D1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（一）不同投标人的响应文件由同一单位或者个人编制；</w:t>
      </w:r>
    </w:p>
    <w:p w14:paraId="60010F3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（二）不同投标人委托同一单位或者个人办理投标事宜；</w:t>
      </w:r>
    </w:p>
    <w:p w14:paraId="505E9ED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（三）不同投标人的响应文件载明的项目管理成员或者联系人员为同一人；</w:t>
      </w:r>
    </w:p>
    <w:p w14:paraId="3CA707C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（四）不同投标人的响应文件异常一致或者投标报价呈规律性差异；</w:t>
      </w:r>
    </w:p>
    <w:p w14:paraId="729C82B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（五）不同投标人的响应文件相互混装；</w:t>
      </w:r>
    </w:p>
    <w:p w14:paraId="106A3FA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（六）不同投标人的投标保证金从同一单位或者个人的账户转出。</w:t>
      </w:r>
    </w:p>
    <w:p w14:paraId="5758331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0761F2D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请投标人出具是否存在上述情形的承诺函。如出现上述情形的，依照政府采购法第七十七条第一款的规定追究法律责任。  </w:t>
      </w:r>
    </w:p>
    <w:p w14:paraId="199DB6A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61018A5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6004ECB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法定代表人：（电子签名）</w:t>
      </w:r>
    </w:p>
    <w:p w14:paraId="29574DA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075B765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bookmarkEnd w:id="156"/>
    <w:bookmarkEnd w:id="157"/>
    <w:p w14:paraId="565327A1">
      <w:pPr>
        <w:pStyle w:val="3"/>
        <w:spacing w:line="360" w:lineRule="auto"/>
        <w:jc w:val="center"/>
        <w:rPr>
          <w:rFonts w:hint="eastAsia" w:ascii="仿宋" w:hAnsi="仿宋" w:eastAsia="仿宋" w:cs="仿宋"/>
          <w:color w:val="auto"/>
          <w:highlight w:val="none"/>
        </w:rPr>
      </w:pPr>
      <w:bookmarkStart w:id="167" w:name="_Toc2552"/>
      <w:bookmarkStart w:id="168" w:name="_Toc141099670"/>
      <w:bookmarkStart w:id="169" w:name="_Toc13665024"/>
      <w:bookmarkStart w:id="170" w:name="_Toc1480"/>
      <w:bookmarkStart w:id="171" w:name="_Toc101004111"/>
      <w:bookmarkStart w:id="172" w:name="_Toc10173"/>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八</w:t>
      </w:r>
      <w:r>
        <w:rPr>
          <w:rFonts w:hint="eastAsia" w:ascii="仿宋" w:hAnsi="仿宋" w:eastAsia="仿宋" w:cs="仿宋"/>
          <w:color w:val="auto"/>
          <w:highlight w:val="none"/>
        </w:rPr>
        <w:t>）残疾人福利性单位声明函</w:t>
      </w:r>
      <w:bookmarkEnd w:id="167"/>
      <w:bookmarkEnd w:id="168"/>
      <w:bookmarkEnd w:id="169"/>
      <w:bookmarkEnd w:id="170"/>
      <w:bookmarkEnd w:id="171"/>
      <w:bookmarkEnd w:id="172"/>
    </w:p>
    <w:p w14:paraId="34DEBB87">
      <w:pPr>
        <w:spacing w:line="360" w:lineRule="auto"/>
        <w:rPr>
          <w:rFonts w:hint="eastAsia" w:ascii="仿宋" w:hAnsi="仿宋" w:eastAsia="仿宋" w:cs="仿宋"/>
          <w:color w:val="auto"/>
          <w:highlight w:val="none"/>
        </w:rPr>
      </w:pPr>
    </w:p>
    <w:p w14:paraId="481B0047">
      <w:pPr>
        <w:spacing w:line="360" w:lineRule="auto"/>
        <w:ind w:firstLine="720" w:firstLineChars="3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E76533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0047558C">
      <w:pPr>
        <w:spacing w:line="360" w:lineRule="auto"/>
        <w:rPr>
          <w:rFonts w:hint="eastAsia" w:ascii="仿宋" w:hAnsi="仿宋" w:eastAsia="仿宋" w:cs="仿宋"/>
          <w:color w:val="auto"/>
          <w:sz w:val="24"/>
          <w:szCs w:val="24"/>
          <w:highlight w:val="none"/>
        </w:rPr>
      </w:pPr>
    </w:p>
    <w:p w14:paraId="52D90509">
      <w:pPr>
        <w:spacing w:line="360" w:lineRule="auto"/>
        <w:rPr>
          <w:rFonts w:hint="eastAsia" w:ascii="仿宋" w:hAnsi="仿宋" w:eastAsia="仿宋" w:cs="仿宋"/>
          <w:color w:val="auto"/>
          <w:sz w:val="24"/>
          <w:szCs w:val="24"/>
          <w:highlight w:val="none"/>
        </w:rPr>
      </w:pPr>
    </w:p>
    <w:p w14:paraId="541A454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单位名称（电子签章）：</w:t>
      </w:r>
    </w:p>
    <w:p w14:paraId="792A750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p>
    <w:p w14:paraId="59B24429">
      <w:pPr>
        <w:spacing w:line="360" w:lineRule="auto"/>
        <w:rPr>
          <w:rFonts w:hint="eastAsia" w:ascii="仿宋" w:hAnsi="仿宋" w:eastAsia="仿宋" w:cs="仿宋"/>
          <w:color w:val="auto"/>
          <w:sz w:val="24"/>
          <w:szCs w:val="24"/>
          <w:highlight w:val="none"/>
        </w:rPr>
      </w:pPr>
    </w:p>
    <w:p w14:paraId="28B84691">
      <w:pPr>
        <w:spacing w:line="360" w:lineRule="auto"/>
        <w:rPr>
          <w:rFonts w:hint="eastAsia" w:ascii="仿宋" w:hAnsi="仿宋" w:eastAsia="仿宋" w:cs="仿宋"/>
          <w:color w:val="auto"/>
          <w:sz w:val="24"/>
          <w:szCs w:val="24"/>
          <w:highlight w:val="none"/>
        </w:rPr>
      </w:pPr>
    </w:p>
    <w:p w14:paraId="07FC7B0C">
      <w:pPr>
        <w:spacing w:line="360" w:lineRule="auto"/>
        <w:rPr>
          <w:rFonts w:hint="eastAsia" w:ascii="仿宋" w:hAnsi="仿宋" w:eastAsia="仿宋" w:cs="仿宋"/>
          <w:color w:val="auto"/>
          <w:sz w:val="24"/>
          <w:szCs w:val="24"/>
          <w:highlight w:val="none"/>
        </w:rPr>
      </w:pPr>
    </w:p>
    <w:p w14:paraId="7F73C828">
      <w:pPr>
        <w:spacing w:line="360" w:lineRule="auto"/>
        <w:rPr>
          <w:rFonts w:hint="eastAsia" w:ascii="仿宋" w:hAnsi="仿宋" w:eastAsia="仿宋" w:cs="仿宋"/>
          <w:color w:val="auto"/>
          <w:sz w:val="24"/>
          <w:szCs w:val="24"/>
          <w:highlight w:val="none"/>
        </w:rPr>
      </w:pPr>
    </w:p>
    <w:p w14:paraId="2E61D20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中标供应商为残疾人福利性单位的，其《残疾人福利性单位声明函》将随中标结果同时公告，接受社会监督。供应商提供的《残疾人福利性单位声明函》与事实不符的，依照《政府采购法》第七十七条第一款的规定追究法律责任。</w:t>
      </w:r>
    </w:p>
    <w:p w14:paraId="4D54E74D">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05B93DA4">
      <w:pPr>
        <w:spacing w:line="360" w:lineRule="auto"/>
        <w:rPr>
          <w:rFonts w:hint="eastAsia" w:ascii="仿宋" w:hAnsi="仿宋" w:eastAsia="仿宋" w:cs="仿宋"/>
          <w:color w:val="auto"/>
          <w:kern w:val="0"/>
          <w:highlight w:val="none"/>
        </w:rPr>
      </w:pPr>
      <w:bookmarkStart w:id="173" w:name="_Toc141099671"/>
      <w:bookmarkStart w:id="174" w:name="_Toc13665025"/>
      <w:bookmarkStart w:id="175" w:name="_Toc101004112"/>
      <w:r>
        <w:rPr>
          <w:rFonts w:hint="eastAsia" w:ascii="仿宋" w:hAnsi="仿宋" w:eastAsia="仿宋" w:cs="仿宋"/>
          <w:color w:val="auto"/>
          <w:highlight w:val="none"/>
        </w:rPr>
        <w:br w:type="page"/>
      </w:r>
    </w:p>
    <w:p w14:paraId="67C4689B">
      <w:pPr>
        <w:pStyle w:val="3"/>
        <w:spacing w:line="360" w:lineRule="auto"/>
        <w:jc w:val="center"/>
        <w:rPr>
          <w:rFonts w:hint="eastAsia" w:ascii="仿宋" w:hAnsi="仿宋" w:eastAsia="仿宋" w:cs="仿宋"/>
          <w:color w:val="auto"/>
          <w:highlight w:val="none"/>
        </w:rPr>
      </w:pPr>
      <w:bookmarkStart w:id="176" w:name="_Toc1273"/>
      <w:bookmarkStart w:id="177" w:name="_Toc10199"/>
      <w:bookmarkStart w:id="178" w:name="_Toc23361"/>
      <w:bookmarkStart w:id="179" w:name="_Toc28284"/>
      <w:bookmarkStart w:id="180" w:name="_Toc11109"/>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九</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小微</w:t>
      </w:r>
      <w:r>
        <w:rPr>
          <w:rFonts w:hint="eastAsia" w:ascii="仿宋" w:hAnsi="仿宋" w:eastAsia="仿宋" w:cs="仿宋"/>
          <w:color w:val="auto"/>
          <w:highlight w:val="none"/>
        </w:rPr>
        <w:t>企业声明函（货物）</w:t>
      </w:r>
      <w:bookmarkEnd w:id="176"/>
      <w:bookmarkEnd w:id="177"/>
      <w:bookmarkEnd w:id="178"/>
    </w:p>
    <w:p w14:paraId="153F46C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0B7A69C5">
      <w:pPr>
        <w:pStyle w:val="7"/>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rPr>
        <w:t xml:space="preserve"> （单位名称）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u w:val="single"/>
          <w:lang w:val="en-US" w:eastAsia="zh-CN"/>
        </w:rPr>
        <w:t>的</w:t>
      </w:r>
      <w:r>
        <w:rPr>
          <w:rFonts w:hint="eastAsia" w:ascii="仿宋" w:hAnsi="仿宋" w:eastAsia="仿宋" w:cs="仿宋"/>
          <w:color w:val="auto"/>
          <w:sz w:val="24"/>
          <w:szCs w:val="24"/>
          <w:highlight w:val="none"/>
        </w:rPr>
        <w:t>采购活动，提供的货物全部由符合政策要求的中小企业制造。相关企业（含联合体中的中小企业、签订分包意向协议的中小企业）的具体情况如下：</w:t>
      </w:r>
    </w:p>
    <w:p w14:paraId="6B4A5DFD">
      <w:pPr>
        <w:pStyle w:val="7"/>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行业 ；制造商为</w:t>
      </w:r>
      <w:r>
        <w:rPr>
          <w:rFonts w:hint="eastAsia" w:ascii="仿宋" w:hAnsi="仿宋" w:eastAsia="仿宋" w:cs="仿宋"/>
          <w:color w:val="auto"/>
          <w:sz w:val="24"/>
          <w:szCs w:val="24"/>
          <w:highlight w:val="none"/>
          <w:u w:val="single"/>
        </w:rPr>
        <w:t xml:space="preserve"> （企业名称） </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 xml:space="preserve"> （中型企业、小型企业、微型企业）</w:t>
      </w:r>
      <w:r>
        <w:rPr>
          <w:rFonts w:hint="eastAsia" w:ascii="仿宋" w:hAnsi="仿宋" w:eastAsia="仿宋" w:cs="仿宋"/>
          <w:color w:val="auto"/>
          <w:sz w:val="24"/>
          <w:szCs w:val="24"/>
          <w:highlight w:val="none"/>
        </w:rPr>
        <w:t xml:space="preserve"> ；</w:t>
      </w:r>
    </w:p>
    <w:p w14:paraId="5C61D7CB">
      <w:pPr>
        <w:pStyle w:val="7"/>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（标的名称） ，属于 （采购文件中明确的所属行业）行业 ；制造商为 （企业名称） ，从业人员     人，营业收入为       万元，资产总额为     万元，属于 （中型企业、小型企业、微型企业） ；</w:t>
      </w:r>
    </w:p>
    <w:p w14:paraId="3573FB6D">
      <w:pPr>
        <w:pStyle w:val="7"/>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p w14:paraId="3252D8C5">
      <w:pPr>
        <w:pStyle w:val="7"/>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3CC74308">
      <w:pPr>
        <w:pStyle w:val="7"/>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1024123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3BFBD30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企业名称（电子签章）：</w:t>
      </w:r>
    </w:p>
    <w:p w14:paraId="386B175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日 期</w:t>
      </w:r>
    </w:p>
    <w:p w14:paraId="7BFADD7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77593DF1">
      <w:pPr>
        <w:pStyle w:val="7"/>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从业人员、营业收入、资产总额填报上一年度数据，无上一年度数据的新成立企业可不填报。</w:t>
      </w:r>
    </w:p>
    <w:p w14:paraId="1285A2E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041DCA1A">
      <w:pPr>
        <w:pStyle w:val="7"/>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7148DC2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上表中从业人员、营业收入、资产总额填报上一年度数据，无上一年度数据的新成立企业可不填报。</w:t>
      </w:r>
    </w:p>
    <w:p w14:paraId="471277F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33F10DC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867530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人须核对《关于印发中小企业划型标准规定的通知》（工信部联企业〔2011〕300号）规定的中小企业划型标准，如实填写声明函。所声明的从业人员人数或营业收入金额不符合中小企业划型标准规定或未按招标文件明确的所属行业填写的，评标委员会将不予进行价格扣除。根据政府采购主管部门关于政府采购信息公示的相关要求，如中标单位为小型（或微型）企业，其投标文件中所提供的中小企业声明</w:t>
      </w:r>
      <w:r>
        <w:rPr>
          <w:rFonts w:hint="eastAsia" w:ascii="仿宋" w:hAnsi="仿宋" w:eastAsia="仿宋" w:cs="仿宋"/>
          <w:color w:val="auto"/>
          <w:sz w:val="24"/>
          <w:szCs w:val="24"/>
          <w:highlight w:val="none"/>
          <w:lang w:val="en-US" w:eastAsia="zh-CN"/>
        </w:rPr>
        <w:t>函</w:t>
      </w:r>
      <w:r>
        <w:rPr>
          <w:rFonts w:hint="eastAsia" w:ascii="仿宋" w:hAnsi="仿宋" w:eastAsia="仿宋" w:cs="仿宋"/>
          <w:color w:val="auto"/>
          <w:sz w:val="24"/>
          <w:szCs w:val="24"/>
          <w:highlight w:val="none"/>
          <w:lang w:eastAsia="zh-CN"/>
        </w:rPr>
        <w:t>还需在</w:t>
      </w:r>
      <w:r>
        <w:rPr>
          <w:rFonts w:hint="eastAsia" w:ascii="仿宋" w:hAnsi="仿宋" w:eastAsia="仿宋" w:cs="仿宋"/>
          <w:color w:val="auto"/>
          <w:sz w:val="24"/>
          <w:szCs w:val="24"/>
          <w:highlight w:val="none"/>
        </w:rPr>
        <w:t>云南省政府采购网随中标结果一并公示，请各投标单位如实提供及填写本单位企业情况</w:t>
      </w:r>
    </w:p>
    <w:p w14:paraId="3B60E3D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4.大型、中型和小型企业须同时满足所列指标的下限，否则下划一档；微型企业</w:t>
      </w:r>
      <w:r>
        <w:rPr>
          <w:rFonts w:hint="eastAsia" w:ascii="仿宋" w:hAnsi="仿宋" w:eastAsia="仿宋" w:cs="仿宋"/>
          <w:color w:val="auto"/>
          <w:sz w:val="24"/>
          <w:szCs w:val="24"/>
          <w:highlight w:val="none"/>
          <w:lang w:eastAsia="zh-CN"/>
        </w:rPr>
        <w:t>只需</w:t>
      </w:r>
      <w:r>
        <w:rPr>
          <w:rFonts w:hint="eastAsia" w:ascii="仿宋" w:hAnsi="仿宋" w:eastAsia="仿宋" w:cs="仿宋"/>
          <w:color w:val="auto"/>
          <w:sz w:val="24"/>
          <w:szCs w:val="24"/>
          <w:highlight w:val="none"/>
        </w:rPr>
        <w:t>满足所列指标中的一项即可。</w:t>
      </w:r>
    </w:p>
    <w:p w14:paraId="66B948F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5.本项目属于《关于印发中小企业划型标准规定的通知》（工信部联企业〔2011〕300号）规定中的</w:t>
      </w:r>
      <w:r>
        <w:rPr>
          <w:rFonts w:hint="eastAsia" w:ascii="仿宋" w:hAnsi="仿宋" w:eastAsia="仿宋" w:cs="仿宋"/>
          <w:color w:val="auto"/>
          <w:sz w:val="24"/>
          <w:szCs w:val="24"/>
          <w:highlight w:val="none"/>
          <w:lang w:val="en-US" w:eastAsia="zh-CN"/>
        </w:rPr>
        <w:t>行业详见招标文件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第五章  </w:t>
      </w:r>
      <w:r>
        <w:rPr>
          <w:rFonts w:hint="eastAsia" w:ascii="仿宋" w:hAnsi="仿宋" w:eastAsia="仿宋" w:cs="仿宋"/>
          <w:color w:val="auto"/>
          <w:sz w:val="24"/>
          <w:szCs w:val="24"/>
          <w:highlight w:val="none"/>
          <w:lang w:eastAsia="zh-CN"/>
        </w:rPr>
        <w:t>采购需求”</w:t>
      </w:r>
      <w:r>
        <w:rPr>
          <w:rFonts w:hint="eastAsia" w:ascii="仿宋" w:hAnsi="仿宋" w:eastAsia="仿宋" w:cs="仿宋"/>
          <w:color w:val="auto"/>
          <w:sz w:val="24"/>
          <w:szCs w:val="24"/>
          <w:highlight w:val="none"/>
        </w:rPr>
        <w:t>。</w:t>
      </w:r>
    </w:p>
    <w:p w14:paraId="77DEF96A">
      <w:pPr>
        <w:pStyle w:val="7"/>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.若供应商并非小微企业，则无需填写此</w:t>
      </w:r>
      <w:r>
        <w:rPr>
          <w:rFonts w:hint="eastAsia" w:ascii="仿宋" w:hAnsi="仿宋" w:eastAsia="仿宋" w:cs="仿宋"/>
          <w:color w:val="auto"/>
          <w:sz w:val="24"/>
          <w:szCs w:val="24"/>
          <w:highlight w:val="none"/>
          <w:lang w:val="en-US" w:eastAsia="zh-CN"/>
        </w:rPr>
        <w:t>声明函</w:t>
      </w:r>
      <w:r>
        <w:rPr>
          <w:rFonts w:hint="eastAsia" w:ascii="仿宋" w:hAnsi="仿宋" w:eastAsia="仿宋" w:cs="仿宋"/>
          <w:color w:val="auto"/>
          <w:sz w:val="24"/>
          <w:szCs w:val="24"/>
          <w:highlight w:val="none"/>
        </w:rPr>
        <w:t>内容，但仍需保留原</w:t>
      </w:r>
      <w:r>
        <w:rPr>
          <w:rFonts w:hint="eastAsia" w:ascii="仿宋" w:hAnsi="仿宋" w:eastAsia="仿宋" w:cs="仿宋"/>
          <w:color w:val="auto"/>
          <w:sz w:val="24"/>
          <w:szCs w:val="24"/>
          <w:highlight w:val="none"/>
          <w:lang w:val="en-US" w:eastAsia="zh-CN"/>
        </w:rPr>
        <w:t>声明函</w:t>
      </w:r>
      <w:r>
        <w:rPr>
          <w:rFonts w:hint="eastAsia" w:ascii="仿宋" w:hAnsi="仿宋" w:eastAsia="仿宋" w:cs="仿宋"/>
          <w:color w:val="auto"/>
          <w:sz w:val="24"/>
          <w:szCs w:val="24"/>
          <w:highlight w:val="none"/>
        </w:rPr>
        <w:t>格式</w:t>
      </w:r>
      <w:r>
        <w:rPr>
          <w:rFonts w:hint="eastAsia" w:ascii="仿宋" w:hAnsi="仿宋" w:eastAsia="仿宋" w:cs="仿宋"/>
          <w:color w:val="auto"/>
          <w:sz w:val="24"/>
          <w:szCs w:val="24"/>
          <w:highlight w:val="none"/>
          <w:lang w:val="en-US" w:eastAsia="zh-CN"/>
        </w:rPr>
        <w:t>。</w:t>
      </w:r>
    </w:p>
    <w:p w14:paraId="0D5ECA0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green"/>
          <w:lang w:val="en-US" w:eastAsia="zh-CN"/>
        </w:rPr>
      </w:pPr>
      <w:r>
        <w:rPr>
          <w:rFonts w:hint="eastAsia" w:ascii="仿宋" w:hAnsi="仿宋" w:eastAsia="仿宋" w:cs="仿宋"/>
          <w:color w:val="auto"/>
          <w:sz w:val="24"/>
          <w:szCs w:val="24"/>
          <w:highlight w:val="none"/>
          <w:lang w:val="en-US" w:eastAsia="zh-CN"/>
        </w:rPr>
        <w:t>7.本项目小微企业行业划分为</w:t>
      </w:r>
      <w:r>
        <w:rPr>
          <w:rFonts w:hint="eastAsia" w:ascii="仿宋" w:hAnsi="仿宋" w:eastAsia="仿宋" w:cs="仿宋"/>
          <w:b/>
          <w:bCs/>
          <w:color w:val="auto"/>
          <w:sz w:val="24"/>
          <w:szCs w:val="24"/>
          <w:highlight w:val="none"/>
          <w:u w:val="single"/>
          <w:lang w:val="en-US" w:eastAsia="zh-CN"/>
        </w:rPr>
        <w:t>工</w:t>
      </w:r>
      <w:r>
        <w:rPr>
          <w:rFonts w:hint="eastAsia" w:ascii="仿宋" w:hAnsi="仿宋" w:eastAsia="仿宋" w:cs="仿宋"/>
          <w:b/>
          <w:bCs/>
          <w:color w:val="auto"/>
          <w:sz w:val="24"/>
          <w:szCs w:val="24"/>
          <w:highlight w:val="none"/>
          <w:u w:val="single"/>
        </w:rPr>
        <w:t>业</w:t>
      </w:r>
      <w:r>
        <w:rPr>
          <w:rFonts w:hint="eastAsia" w:ascii="仿宋" w:hAnsi="仿宋" w:eastAsia="仿宋" w:cs="仿宋"/>
          <w:color w:val="auto"/>
          <w:sz w:val="24"/>
          <w:szCs w:val="24"/>
          <w:highlight w:val="none"/>
          <w:lang w:val="en-US" w:eastAsia="zh-CN"/>
        </w:rPr>
        <w:t>。</w:t>
      </w:r>
    </w:p>
    <w:p w14:paraId="7E5DC82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br w:type="page"/>
      </w:r>
      <w:r>
        <w:rPr>
          <w:rFonts w:hint="eastAsia" w:ascii="仿宋" w:hAnsi="仿宋" w:eastAsia="仿宋" w:cs="仿宋"/>
          <w:color w:val="auto"/>
          <w:sz w:val="24"/>
          <w:szCs w:val="24"/>
          <w:highlight w:val="none"/>
        </w:rPr>
        <w:t>附件：</w:t>
      </w:r>
    </w:p>
    <w:p w14:paraId="20A93796">
      <w:pPr>
        <w:pStyle w:val="7"/>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《关于印发中小企业划型标准规定的通知》（工信部联企业〔2011〕300号）中小企业划型标准规定节选：</w:t>
      </w:r>
    </w:p>
    <w:p w14:paraId="0060BAAD">
      <w:pPr>
        <w:pStyle w:val="7"/>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kern w:val="0"/>
          <w:sz w:val="24"/>
          <w:szCs w:val="24"/>
          <w:highlight w:val="none"/>
        </w:rPr>
        <w:sectPr>
          <w:headerReference r:id="rId9" w:type="first"/>
          <w:pgSz w:w="11906" w:h="16838"/>
          <w:pgMar w:top="1134" w:right="851" w:bottom="1304" w:left="1276" w:header="720" w:footer="720" w:gutter="0"/>
          <w:pgNumType w:fmt="decimal"/>
          <w:cols w:space="0" w:num="1"/>
          <w:rtlGutter w:val="0"/>
          <w:docGrid w:linePitch="331" w:charSpace="0"/>
        </w:sectPr>
      </w:pPr>
      <w:r>
        <w:rPr>
          <w:rFonts w:hint="eastAsia" w:ascii="仿宋" w:hAnsi="仿宋" w:eastAsia="仿宋" w:cs="仿宋"/>
          <w:color w:val="auto"/>
          <w:sz w:val="24"/>
          <w:szCs w:val="24"/>
          <w:highlight w:val="none"/>
        </w:rPr>
        <w:t>四、各行业划型标准为：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（七）仓储业。从业人员200人以下或营业收入30000万元以下的为中小微型企业。其中，从业人员100人及以上，且营业收入1000万元及以上的为中型</w:t>
      </w:r>
      <w:r>
        <w:rPr>
          <w:rFonts w:hint="eastAsia" w:ascii="仿宋" w:hAnsi="仿宋" w:eastAsia="仿宋" w:cs="仿宋"/>
          <w:color w:val="auto"/>
          <w:kern w:val="2"/>
          <w:sz w:val="24"/>
          <w:szCs w:val="24"/>
          <w:highlight w:val="none"/>
          <w:lang w:val="en-US" w:eastAsia="zh-CN" w:bidi="ar-SA"/>
        </w:rPr>
        <w:t>企业；从业人员20人及以上，且营业收入100万元及以上的为小型企业；从业人员20人以下或营业收入100万元以下的为微型企业。</w:t>
      </w:r>
      <w:r>
        <w:rPr>
          <w:rFonts w:hint="eastAsia" w:ascii="仿宋" w:hAnsi="仿宋" w:eastAsia="仿宋" w:cs="仿宋"/>
          <w:color w:val="auto"/>
          <w:kern w:val="2"/>
          <w:sz w:val="24"/>
          <w:szCs w:val="24"/>
          <w:highlight w:val="none"/>
          <w:lang w:val="en-US" w:eastAsia="zh-CN" w:bidi="ar-SA"/>
        </w:rPr>
        <w:br w:type="textWrapping"/>
      </w:r>
      <w:r>
        <w:rPr>
          <w:rFonts w:hint="eastAsia" w:ascii="仿宋" w:hAnsi="仿宋" w:eastAsia="仿宋" w:cs="仿宋"/>
          <w:color w:val="auto"/>
          <w:kern w:val="2"/>
          <w:sz w:val="24"/>
          <w:szCs w:val="24"/>
          <w:highlight w:val="none"/>
          <w:lang w:val="en-US" w:eastAsia="zh-CN" w:bidi="ar-SA"/>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color w:val="auto"/>
          <w:kern w:val="2"/>
          <w:sz w:val="24"/>
          <w:szCs w:val="24"/>
          <w:highlight w:val="none"/>
          <w:lang w:val="en-US" w:eastAsia="zh-CN" w:bidi="ar-SA"/>
        </w:rPr>
        <w:br w:type="textWrapping"/>
      </w:r>
      <w:r>
        <w:rPr>
          <w:rFonts w:hint="eastAsia" w:ascii="仿宋" w:hAnsi="仿宋" w:eastAsia="仿宋" w:cs="仿宋"/>
          <w:color w:val="auto"/>
          <w:kern w:val="2"/>
          <w:sz w:val="24"/>
          <w:szCs w:val="24"/>
          <w:highlight w:val="none"/>
          <w:lang w:val="en-US" w:eastAsia="zh-CN" w:bidi="ar-SA"/>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kern w:val="2"/>
          <w:sz w:val="24"/>
          <w:szCs w:val="24"/>
          <w:highlight w:val="none"/>
          <w:lang w:val="en-US" w:eastAsia="zh-CN" w:bidi="ar-SA"/>
        </w:rPr>
        <w:br w:type="textWrapping"/>
      </w:r>
      <w:r>
        <w:rPr>
          <w:rFonts w:hint="eastAsia" w:ascii="仿宋" w:hAnsi="仿宋" w:eastAsia="仿宋" w:cs="仿宋"/>
          <w:color w:val="auto"/>
          <w:kern w:val="2"/>
          <w:sz w:val="24"/>
          <w:szCs w:val="24"/>
          <w:highlight w:val="none"/>
          <w:lang w:val="en-US" w:eastAsia="zh-CN" w:bidi="ar-SA"/>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kern w:val="2"/>
          <w:sz w:val="24"/>
          <w:szCs w:val="24"/>
          <w:highlight w:val="none"/>
          <w:lang w:val="en-US" w:eastAsia="zh-CN" w:bidi="ar-SA"/>
        </w:rPr>
        <w:br w:type="textWrapping"/>
      </w:r>
      <w:r>
        <w:rPr>
          <w:rFonts w:hint="eastAsia" w:ascii="仿宋" w:hAnsi="仿宋" w:eastAsia="仿宋" w:cs="仿宋"/>
          <w:color w:val="auto"/>
          <w:kern w:val="2"/>
          <w:sz w:val="24"/>
          <w:szCs w:val="24"/>
          <w:highlight w:val="none"/>
          <w:lang w:val="en-US" w:eastAsia="zh-CN" w:bidi="ar-SA"/>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color w:val="auto"/>
          <w:kern w:val="2"/>
          <w:sz w:val="24"/>
          <w:szCs w:val="24"/>
          <w:highlight w:val="none"/>
          <w:lang w:val="en-US" w:eastAsia="zh-CN" w:bidi="ar-SA"/>
        </w:rPr>
        <w:br w:type="textWrapping"/>
      </w:r>
      <w:r>
        <w:rPr>
          <w:rFonts w:hint="eastAsia" w:ascii="仿宋" w:hAnsi="仿宋" w:eastAsia="仿宋" w:cs="仿宋"/>
          <w:color w:val="auto"/>
          <w:kern w:val="2"/>
          <w:sz w:val="24"/>
          <w:szCs w:val="24"/>
          <w:highlight w:val="none"/>
          <w:lang w:val="en-US" w:eastAsia="zh-CN" w:bidi="ar-SA"/>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color w:val="auto"/>
          <w:kern w:val="2"/>
          <w:sz w:val="24"/>
          <w:szCs w:val="24"/>
          <w:highlight w:val="none"/>
          <w:lang w:val="en-US" w:eastAsia="zh-CN" w:bidi="ar-SA"/>
        </w:rPr>
        <w:br w:type="textWrapping"/>
      </w:r>
      <w:r>
        <w:rPr>
          <w:rFonts w:hint="eastAsia" w:ascii="仿宋" w:hAnsi="仿宋" w:eastAsia="仿宋" w:cs="仿宋"/>
          <w:color w:val="auto"/>
          <w:kern w:val="2"/>
          <w:sz w:val="24"/>
          <w:szCs w:val="24"/>
          <w:highlight w:val="none"/>
          <w:lang w:val="en-US" w:eastAsia="zh-CN" w:bidi="ar-SA"/>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color w:val="auto"/>
          <w:kern w:val="2"/>
          <w:sz w:val="24"/>
          <w:szCs w:val="24"/>
          <w:highlight w:val="none"/>
          <w:lang w:val="en-US" w:eastAsia="zh-CN" w:bidi="ar-SA"/>
        </w:rPr>
        <w:br w:type="textWrapping"/>
      </w:r>
      <w:r>
        <w:rPr>
          <w:rFonts w:hint="eastAsia" w:ascii="仿宋" w:hAnsi="仿宋" w:eastAsia="仿宋" w:cs="仿宋"/>
          <w:color w:val="auto"/>
          <w:kern w:val="2"/>
          <w:sz w:val="24"/>
          <w:szCs w:val="24"/>
          <w:highlight w:val="none"/>
          <w:lang w:val="en-US" w:eastAsia="zh-CN" w:bidi="ar-SA"/>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color w:val="auto"/>
          <w:kern w:val="2"/>
          <w:sz w:val="24"/>
          <w:szCs w:val="24"/>
          <w:highlight w:val="none"/>
          <w:lang w:val="en-US" w:eastAsia="zh-CN" w:bidi="ar-SA"/>
        </w:rPr>
        <w:br w:type="textWrapping"/>
      </w:r>
      <w:r>
        <w:rPr>
          <w:rFonts w:hint="eastAsia" w:ascii="仿宋" w:hAnsi="仿宋" w:eastAsia="仿宋" w:cs="仿宋"/>
          <w:color w:val="auto"/>
          <w:kern w:val="2"/>
          <w:sz w:val="24"/>
          <w:szCs w:val="24"/>
          <w:highlight w:val="none"/>
          <w:lang w:val="en-US" w:eastAsia="zh-CN" w:bidi="ar-SA"/>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auto"/>
          <w:kern w:val="2"/>
          <w:sz w:val="24"/>
          <w:szCs w:val="24"/>
          <w:highlight w:val="none"/>
          <w:lang w:val="en-US" w:eastAsia="zh-CN" w:bidi="ar-SA"/>
        </w:rPr>
        <w:br w:type="textWrapping"/>
      </w:r>
      <w:r>
        <w:rPr>
          <w:rFonts w:hint="eastAsia" w:ascii="仿宋" w:hAnsi="仿宋" w:eastAsia="仿宋" w:cs="仿宋"/>
          <w:color w:val="auto"/>
          <w:kern w:val="2"/>
          <w:sz w:val="24"/>
          <w:szCs w:val="24"/>
          <w:highlight w:val="none"/>
          <w:lang w:val="en-US" w:eastAsia="zh-CN" w:bidi="ar-SA"/>
        </w:rPr>
        <w:t>　　（十六）其他未列明行业。从业人员300人以下的为中小微型企业。其中，从业人员100人及以上的为中型企业；</w:t>
      </w:r>
      <w:r>
        <w:rPr>
          <w:rFonts w:hint="eastAsia" w:ascii="仿宋" w:hAnsi="仿宋" w:eastAsia="仿宋" w:cs="仿宋"/>
          <w:color w:val="auto"/>
          <w:sz w:val="24"/>
          <w:szCs w:val="24"/>
          <w:highlight w:val="none"/>
        </w:rPr>
        <w:t>从业人员10人及以上的为小型企业；从业人员10人以下的为微型企业</w:t>
      </w:r>
    </w:p>
    <w:p w14:paraId="05E96B44">
      <w:pPr>
        <w:pStyle w:val="3"/>
        <w:spacing w:line="360" w:lineRule="auto"/>
        <w:jc w:val="center"/>
        <w:rPr>
          <w:rFonts w:hint="eastAsia" w:ascii="仿宋" w:hAnsi="仿宋" w:eastAsia="仿宋" w:cs="仿宋"/>
          <w:color w:val="auto"/>
          <w:highlight w:val="none"/>
        </w:rPr>
      </w:pPr>
      <w:bookmarkStart w:id="181" w:name="_Toc19252"/>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十</w:t>
      </w:r>
      <w:r>
        <w:rPr>
          <w:rFonts w:hint="eastAsia" w:ascii="仿宋" w:hAnsi="仿宋" w:eastAsia="仿宋" w:cs="仿宋"/>
          <w:color w:val="auto"/>
          <w:highlight w:val="none"/>
        </w:rPr>
        <w:t>）监狱企业证明文件</w:t>
      </w:r>
      <w:bookmarkEnd w:id="173"/>
      <w:bookmarkEnd w:id="174"/>
      <w:bookmarkEnd w:id="175"/>
      <w:bookmarkEnd w:id="179"/>
      <w:bookmarkEnd w:id="180"/>
      <w:bookmarkEnd w:id="181"/>
    </w:p>
    <w:p w14:paraId="63D11A1A">
      <w:pPr>
        <w:spacing w:line="360" w:lineRule="auto"/>
        <w:rPr>
          <w:rFonts w:hint="eastAsia" w:ascii="仿宋" w:hAnsi="仿宋" w:eastAsia="仿宋" w:cs="仿宋"/>
          <w:color w:val="auto"/>
          <w:highlight w:val="none"/>
        </w:rPr>
      </w:pPr>
    </w:p>
    <w:p w14:paraId="70E5D430">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D09C3B3">
      <w:pPr>
        <w:pStyle w:val="3"/>
        <w:kinsoku/>
        <w:autoSpaceDE/>
        <w:autoSpaceDN/>
        <w:bidi w:val="0"/>
        <w:adjustRightInd/>
        <w:snapToGrid/>
        <w:spacing w:line="360" w:lineRule="auto"/>
        <w:jc w:val="center"/>
        <w:textAlignment w:val="auto"/>
        <w:outlineLvl w:val="1"/>
        <w:rPr>
          <w:rFonts w:hint="eastAsia" w:ascii="仿宋" w:hAnsi="仿宋" w:eastAsia="仿宋" w:cs="仿宋"/>
          <w:b/>
          <w:bCs/>
          <w:snapToGrid/>
          <w:color w:val="auto"/>
          <w:kern w:val="0"/>
          <w:sz w:val="28"/>
          <w:szCs w:val="28"/>
          <w:highlight w:val="none"/>
          <w:lang w:eastAsia="zh-CN"/>
        </w:rPr>
      </w:pPr>
      <w:r>
        <w:rPr>
          <w:rFonts w:hint="eastAsia" w:ascii="仿宋" w:hAnsi="仿宋" w:eastAsia="仿宋" w:cs="仿宋"/>
          <w:color w:val="auto"/>
          <w:highlight w:val="none"/>
        </w:rPr>
        <w:br w:type="page"/>
      </w:r>
      <w:bookmarkStart w:id="182" w:name="_Toc15336"/>
      <w:bookmarkStart w:id="183" w:name="_Toc29104"/>
      <w:r>
        <w:rPr>
          <w:rFonts w:hint="eastAsia" w:ascii="仿宋" w:hAnsi="仿宋" w:eastAsia="仿宋" w:cs="仿宋"/>
          <w:b/>
          <w:bCs/>
          <w:color w:val="auto"/>
          <w:spacing w:val="6"/>
          <w:kern w:val="2"/>
          <w:sz w:val="24"/>
          <w:szCs w:val="24"/>
          <w:highlight w:val="none"/>
          <w:lang w:val="en-US" w:eastAsia="zh-CN"/>
        </w:rPr>
        <w:t>（十一）</w:t>
      </w:r>
      <w:r>
        <w:rPr>
          <w:rFonts w:hint="eastAsia" w:ascii="仿宋" w:hAnsi="仿宋" w:eastAsia="仿宋" w:cs="仿宋"/>
          <w:b/>
          <w:bCs/>
          <w:snapToGrid/>
          <w:color w:val="auto"/>
          <w:kern w:val="0"/>
          <w:sz w:val="28"/>
          <w:szCs w:val="28"/>
          <w:highlight w:val="none"/>
          <w:lang w:eastAsia="zh-CN"/>
        </w:rPr>
        <w:t>不参与围标串标承诺书</w:t>
      </w:r>
      <w:bookmarkEnd w:id="182"/>
      <w:bookmarkEnd w:id="183"/>
    </w:p>
    <w:p w14:paraId="739E5E3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u w:val="single"/>
          <w:lang w:eastAsia="zh-CN"/>
        </w:rPr>
      </w:pPr>
      <w:r>
        <w:rPr>
          <w:rFonts w:hint="eastAsia" w:ascii="仿宋" w:hAnsi="仿宋" w:eastAsia="仿宋" w:cs="仿宋"/>
          <w:snapToGrid/>
          <w:color w:val="auto"/>
          <w:kern w:val="0"/>
          <w:sz w:val="24"/>
          <w:highlight w:val="none"/>
          <w:lang w:eastAsia="zh-CN"/>
        </w:rPr>
        <w:t>致：（</w:t>
      </w:r>
      <w:r>
        <w:rPr>
          <w:rFonts w:hint="eastAsia" w:ascii="仿宋" w:hAnsi="仿宋" w:eastAsia="仿宋" w:cs="仿宋"/>
          <w:snapToGrid/>
          <w:color w:val="auto"/>
          <w:kern w:val="0"/>
          <w:sz w:val="24"/>
          <w:highlight w:val="none"/>
          <w:u w:val="single"/>
          <w:lang w:eastAsia="zh-CN"/>
        </w:rPr>
        <w:t>采购人名称)</w:t>
      </w:r>
    </w:p>
    <w:p w14:paraId="0222105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u w:val="none"/>
          <w:lang w:val="en-US" w:eastAsia="zh-CN"/>
        </w:rPr>
      </w:pPr>
      <w:r>
        <w:rPr>
          <w:rFonts w:hint="eastAsia" w:ascii="仿宋" w:hAnsi="仿宋" w:eastAsia="仿宋" w:cs="仿宋"/>
          <w:snapToGrid/>
          <w:color w:val="auto"/>
          <w:kern w:val="0"/>
          <w:sz w:val="24"/>
          <w:highlight w:val="none"/>
          <w:u w:val="none"/>
          <w:lang w:val="en-US" w:eastAsia="zh-CN"/>
        </w:rPr>
        <w:t>本承诺作为</w:t>
      </w:r>
      <w:r>
        <w:rPr>
          <w:rFonts w:hint="eastAsia" w:ascii="仿宋" w:hAnsi="仿宋" w:eastAsia="仿宋" w:cs="仿宋"/>
          <w:snapToGrid/>
          <w:color w:val="auto"/>
          <w:kern w:val="0"/>
          <w:sz w:val="24"/>
          <w:highlight w:val="none"/>
          <w:u w:val="single"/>
          <w:lang w:val="en-US" w:eastAsia="zh-CN"/>
        </w:rPr>
        <w:t>（投标人名称）</w:t>
      </w:r>
      <w:r>
        <w:rPr>
          <w:rFonts w:hint="eastAsia" w:ascii="仿宋" w:hAnsi="仿宋" w:eastAsia="仿宋" w:cs="仿宋"/>
          <w:snapToGrid/>
          <w:color w:val="auto"/>
          <w:kern w:val="0"/>
          <w:sz w:val="24"/>
          <w:highlight w:val="none"/>
          <w:u w:val="none"/>
          <w:lang w:val="en-US" w:eastAsia="zh-CN"/>
        </w:rPr>
        <w:t>对</w:t>
      </w:r>
      <w:r>
        <w:rPr>
          <w:rFonts w:hint="eastAsia" w:ascii="仿宋" w:hAnsi="仿宋" w:eastAsia="仿宋" w:cs="仿宋"/>
          <w:snapToGrid/>
          <w:color w:val="auto"/>
          <w:kern w:val="0"/>
          <w:sz w:val="24"/>
          <w:highlight w:val="none"/>
          <w:u w:val="single"/>
          <w:lang w:val="en-US" w:eastAsia="zh-CN"/>
        </w:rPr>
        <w:t>（项目名称）（项目编号）</w:t>
      </w:r>
      <w:r>
        <w:rPr>
          <w:rFonts w:hint="eastAsia" w:ascii="仿宋" w:hAnsi="仿宋" w:eastAsia="仿宋" w:cs="仿宋"/>
          <w:snapToGrid/>
          <w:color w:val="auto"/>
          <w:kern w:val="0"/>
          <w:sz w:val="24"/>
          <w:highlight w:val="none"/>
          <w:u w:val="none"/>
          <w:lang w:val="en-US" w:eastAsia="zh-CN"/>
        </w:rPr>
        <w:t>的承诺。</w:t>
      </w:r>
      <w:r>
        <w:rPr>
          <w:rFonts w:hint="eastAsia" w:ascii="仿宋" w:hAnsi="仿宋" w:eastAsia="仿宋" w:cs="仿宋"/>
          <w:snapToGrid/>
          <w:color w:val="auto"/>
          <w:kern w:val="0"/>
          <w:sz w:val="24"/>
          <w:highlight w:val="none"/>
          <w:u w:val="single"/>
          <w:lang w:val="en-US" w:eastAsia="zh-CN"/>
        </w:rPr>
        <w:t>（投标人名称）</w:t>
      </w:r>
      <w:r>
        <w:rPr>
          <w:rFonts w:hint="eastAsia" w:ascii="仿宋" w:hAnsi="仿宋" w:eastAsia="仿宋" w:cs="仿宋"/>
          <w:snapToGrid/>
          <w:color w:val="auto"/>
          <w:kern w:val="0"/>
          <w:sz w:val="24"/>
          <w:highlight w:val="none"/>
          <w:u w:val="none"/>
          <w:lang w:val="en-US" w:eastAsia="zh-CN"/>
        </w:rPr>
        <w:t>在此承诺：</w:t>
      </w:r>
    </w:p>
    <w:p w14:paraId="7B30EEE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一、我单位遵循公开、公平、公正、诚实守信的原则，依法依规参与本项目竞标。</w:t>
      </w:r>
    </w:p>
    <w:p w14:paraId="2B1DBC3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二、我单位在本项目招标投标活动中，未参与围标串标。</w:t>
      </w:r>
    </w:p>
    <w:p w14:paraId="5BA401D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三、我单位如被查实在本项目招标投标活动中存在围标串标的，递交投标文件行为作为实施串通投标违法行为的关键环节，承担直接责任人员法律责任，接受相应行政处罚和失信惩戒。</w:t>
      </w:r>
    </w:p>
    <w:p w14:paraId="3BFCC40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四、处理方式：</w:t>
      </w:r>
    </w:p>
    <w:p w14:paraId="241A972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一)依据最高人民检察院、公安部关于公安机关管辖的刑事案件立案追诉标准的规定（二)》（公通字〔2022〕12号，2022年4月6日公布)申请人相互串通投标报价，或者申请人与采购人串通投标，涉嫌下列情形之一的，应予立案追诉：（1)损害采购人、申请人或者国家、集体、公民的合法利益，造成直接经济损失数额在五十万元以上的；（2)违法所得数额在二十万元以上的；（3)中标项目金额在四百万元以上的；（4)采取威胁、欺骗或者贿赂等非法手段的；（5)虽未达到上述数额标准，但二年内因串通投标受过二次以上行政处罚，又串通投标的；（6)其他情节严重的情形。</w:t>
      </w:r>
    </w:p>
    <w:p w14:paraId="2364999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（二)我单位及其人员如有违规违纪等不当行为的，可及时向有关的监督部门进行投诉或举报，对于情节严重的有权移送司法机关处置。</w:t>
      </w:r>
    </w:p>
    <w:p w14:paraId="48AC23A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特此承诺。</w:t>
      </w:r>
    </w:p>
    <w:p w14:paraId="5A795E5E">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p>
    <w:p w14:paraId="405F878F">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3E9EFC44">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法定代表人：（电子签名）</w:t>
      </w:r>
    </w:p>
    <w:p w14:paraId="497EA4A8">
      <w:pPr>
        <w:spacing w:line="360" w:lineRule="auto"/>
        <w:jc w:val="righ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58BFC300">
      <w:pPr>
        <w:keepNext w:val="0"/>
        <w:keepLines w:val="0"/>
        <w:pageBreakBefore w:val="0"/>
        <w:widowControl/>
        <w:wordWrap/>
        <w:overflowPunct/>
        <w:topLinePunct w:val="0"/>
        <w:bidi w:val="0"/>
        <w:spacing w:line="360" w:lineRule="auto"/>
        <w:ind w:firstLine="540" w:firstLineChars="200"/>
        <w:rPr>
          <w:rFonts w:hint="eastAsia" w:ascii="仿宋" w:hAnsi="仿宋" w:eastAsia="仿宋" w:cs="仿宋"/>
          <w:color w:val="auto"/>
          <w:sz w:val="27"/>
          <w:szCs w:val="27"/>
          <w:highlight w:val="none"/>
        </w:rPr>
        <w:sectPr>
          <w:footerReference r:id="rId10" w:type="default"/>
          <w:pgSz w:w="11910" w:h="16840"/>
          <w:pgMar w:top="1134" w:right="851" w:bottom="1304" w:left="1276" w:header="0" w:footer="1430" w:gutter="0"/>
          <w:pgNumType w:fmt="decimal"/>
          <w:cols w:space="720" w:num="1"/>
        </w:sectPr>
      </w:pPr>
    </w:p>
    <w:p w14:paraId="1AFFD932">
      <w:pPr>
        <w:pStyle w:val="3"/>
        <w:kinsoku/>
        <w:autoSpaceDE/>
        <w:autoSpaceDN/>
        <w:bidi w:val="0"/>
        <w:adjustRightInd/>
        <w:snapToGrid/>
        <w:spacing w:line="360" w:lineRule="auto"/>
        <w:jc w:val="center"/>
        <w:textAlignment w:val="auto"/>
        <w:outlineLvl w:val="1"/>
        <w:rPr>
          <w:rFonts w:hint="eastAsia" w:ascii="仿宋" w:hAnsi="仿宋" w:eastAsia="仿宋" w:cs="仿宋"/>
          <w:b/>
          <w:bCs/>
          <w:snapToGrid/>
          <w:color w:val="auto"/>
          <w:kern w:val="0"/>
          <w:sz w:val="28"/>
          <w:szCs w:val="28"/>
          <w:highlight w:val="none"/>
          <w:lang w:eastAsia="zh-CN"/>
        </w:rPr>
      </w:pPr>
      <w:bookmarkStart w:id="184" w:name="_Toc1265"/>
      <w:bookmarkStart w:id="185" w:name="_Toc6515"/>
      <w:r>
        <w:rPr>
          <w:rFonts w:hint="eastAsia" w:ascii="仿宋" w:hAnsi="仿宋" w:eastAsia="仿宋" w:cs="仿宋"/>
          <w:b/>
          <w:bCs/>
          <w:snapToGrid/>
          <w:color w:val="auto"/>
          <w:kern w:val="0"/>
          <w:sz w:val="28"/>
          <w:szCs w:val="28"/>
          <w:highlight w:val="none"/>
          <w:lang w:val="en-US" w:eastAsia="zh-CN"/>
        </w:rPr>
        <w:t>（十二）</w:t>
      </w:r>
      <w:r>
        <w:rPr>
          <w:rFonts w:hint="eastAsia" w:ascii="仿宋" w:hAnsi="仿宋" w:eastAsia="仿宋" w:cs="仿宋"/>
          <w:b/>
          <w:bCs/>
          <w:snapToGrid/>
          <w:color w:val="auto"/>
          <w:kern w:val="0"/>
          <w:sz w:val="28"/>
          <w:szCs w:val="28"/>
          <w:highlight w:val="none"/>
          <w:lang w:eastAsia="zh-CN"/>
        </w:rPr>
        <w:t>廉洁自律承诺书</w:t>
      </w:r>
      <w:bookmarkEnd w:id="184"/>
      <w:bookmarkEnd w:id="185"/>
    </w:p>
    <w:p w14:paraId="1B96033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致：</w:t>
      </w:r>
      <w:r>
        <w:rPr>
          <w:rFonts w:hint="eastAsia" w:ascii="仿宋" w:hAnsi="仿宋" w:eastAsia="仿宋" w:cs="仿宋"/>
          <w:snapToGrid/>
          <w:color w:val="auto"/>
          <w:kern w:val="0"/>
          <w:sz w:val="24"/>
          <w:highlight w:val="none"/>
          <w:u w:val="single"/>
          <w:lang w:eastAsia="zh-CN"/>
        </w:rPr>
        <w:t>（采购人名称)</w:t>
      </w:r>
    </w:p>
    <w:p w14:paraId="47B34019">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我方承诺如下：</w:t>
      </w:r>
    </w:p>
    <w:p w14:paraId="7C38621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一、我方保证并要求我方人员及利益相关方做到：</w:t>
      </w:r>
    </w:p>
    <w:p w14:paraId="26904A4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（一)遵守依法合规经营、诚实守信原则及廉洁从业有关规定。</w:t>
      </w:r>
    </w:p>
    <w:p w14:paraId="347CF3E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二)不向贵方及贵方人员赠送任何形式的现金、礼品、支付凭证、消费卡和有价证券等，以及向贵方及贵方人员提供可能影响正常业务开展的无偿或象征性低价付费的物品或服务；不为贵方及贵方人员报销各种费用（法律法规另有规定、贵我双方签署的合同/协议或其他文件另有约定的除外)；不为贵方及贵方人员提供任何形式的赞助、捐赠等。</w:t>
      </w:r>
    </w:p>
    <w:p w14:paraId="25FC0A2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三)不向贵方及贵方人员以出借、赠予或象征性低价付费等方式提供房屋、机器设备、交通工具、通信设备等资产；不向贵方及贵方人员提供或组织可能影响正常业务开展的宴请、培训、工作考察；不向贵方及贵方人员直接或变相提供或组织娱乐、健身、旅游观光、休闲度假、上学、装修等活动或支付相关费用。</w:t>
      </w:r>
    </w:p>
    <w:p w14:paraId="32C7973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（四)不为贵方及贵方人员及其配偶、子女及其配偶和其他特定关系人（包括但不限于其他近亲属，下同)谋取不正当利益。</w:t>
      </w:r>
    </w:p>
    <w:p w14:paraId="7F3223F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（五)不向贵方人员及其配偶、子女及其配偶和其他特定关系人提供借款、租赁或担保。</w:t>
      </w:r>
    </w:p>
    <w:p w14:paraId="16C1C07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（六)不向贵方人员直接或间接打听、询问办理业务过程中涉及贵方内部秘密的信息。</w:t>
      </w:r>
    </w:p>
    <w:p w14:paraId="1CC2B5F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（七)不要求贵方人员为我方违规或越权开展相关工作。</w:t>
      </w:r>
    </w:p>
    <w:p w14:paraId="11FB3A6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（八)贵方对涉嫌不廉洁的商业行为进行调查时，我方有积极配合贵方并提供相关证据、作证的义务。</w:t>
      </w:r>
    </w:p>
    <w:p w14:paraId="2CD04E8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（九)未经贵方书面同意，我方不得向任何新闻媒体、第三人披露有关医院人员关于商业道德方面的评价、信息，也不得披露本承诺书内容及我方与贵方具体商业合作的内容。</w:t>
      </w:r>
    </w:p>
    <w:p w14:paraId="5D7D74B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（十)未经贵方同意，不为贵方人员提供专职或兼职的工作岗位或向贵方人员发放各种形式的薪酬、奖金、分红。</w:t>
      </w:r>
    </w:p>
    <w:p w14:paraId="0CB97AF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（十一)不得以不正当渠道或非法手段影响贵方干部人事任免、公共决策等内部行为。</w:t>
      </w:r>
    </w:p>
    <w:p w14:paraId="477D775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（十二)不组织贵方人员及亲属参与赌博等与职务、身份不相称的活动。</w:t>
      </w:r>
    </w:p>
    <w:p w14:paraId="4E487D7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（十三)不得做出其他违反相关法律法规、规章规定的行为。</w:t>
      </w:r>
    </w:p>
    <w:p w14:paraId="62B4151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r>
        <w:rPr>
          <w:rFonts w:hint="eastAsia" w:ascii="仿宋" w:hAnsi="仿宋" w:eastAsia="仿宋" w:cs="仿宋"/>
          <w:snapToGrid/>
          <w:color w:val="auto"/>
          <w:kern w:val="0"/>
          <w:sz w:val="24"/>
          <w:highlight w:val="none"/>
          <w:lang w:eastAsia="zh-CN"/>
        </w:rPr>
        <w:t>本承诺书系无条件不可撤销承诺，贵我双方在任何领域、层次、方面的所有合作保持过程中，本承诺书持续有效。</w:t>
      </w:r>
    </w:p>
    <w:p w14:paraId="34C7607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napToGrid/>
          <w:color w:val="auto"/>
          <w:kern w:val="0"/>
          <w:sz w:val="24"/>
          <w:highlight w:val="none"/>
          <w:lang w:eastAsia="zh-CN"/>
        </w:rPr>
      </w:pPr>
    </w:p>
    <w:p w14:paraId="7BCA3A9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1CA3835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法定代表人：（电子签名）</w:t>
      </w:r>
    </w:p>
    <w:p w14:paraId="1F753EA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jc w:val="righ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018AA01F">
      <w:pPr>
        <w:keepNext w:val="0"/>
        <w:keepLines w:val="0"/>
        <w:pageBreakBefore w:val="0"/>
        <w:widowControl/>
        <w:kinsoku/>
        <w:wordWrap/>
        <w:overflowPunct/>
        <w:topLinePunct w:val="0"/>
        <w:autoSpaceDE/>
        <w:autoSpaceDN/>
        <w:bidi w:val="0"/>
        <w:adjustRightInd/>
        <w:snapToGrid/>
        <w:spacing w:line="360" w:lineRule="auto"/>
        <w:ind w:firstLine="540" w:firstLineChars="200"/>
        <w:jc w:val="left"/>
        <w:textAlignment w:val="auto"/>
        <w:rPr>
          <w:rFonts w:hint="eastAsia" w:ascii="仿宋" w:hAnsi="仿宋" w:eastAsia="仿宋" w:cs="仿宋"/>
          <w:color w:val="auto"/>
          <w:sz w:val="27"/>
          <w:szCs w:val="27"/>
          <w:highlight w:val="none"/>
        </w:rPr>
        <w:sectPr>
          <w:footerReference r:id="rId11" w:type="default"/>
          <w:pgSz w:w="11910" w:h="16840"/>
          <w:pgMar w:top="1134" w:right="851" w:bottom="1304" w:left="1276" w:header="0" w:footer="1441" w:gutter="0"/>
          <w:pgNumType w:fmt="decimal"/>
          <w:cols w:space="720" w:num="1"/>
        </w:sectPr>
      </w:pPr>
    </w:p>
    <w:p w14:paraId="2134FC7E">
      <w:pPr>
        <w:pStyle w:val="3"/>
        <w:numPr>
          <w:ilvl w:val="0"/>
          <w:numId w:val="0"/>
        </w:numPr>
        <w:spacing w:line="360" w:lineRule="auto"/>
        <w:jc w:val="center"/>
        <w:rPr>
          <w:rFonts w:hint="eastAsia" w:ascii="仿宋" w:hAnsi="仿宋" w:eastAsia="仿宋" w:cs="仿宋"/>
          <w:color w:val="auto"/>
          <w:highlight w:val="none"/>
        </w:rPr>
      </w:pPr>
      <w:bookmarkStart w:id="186" w:name="_Toc141099672"/>
      <w:bookmarkStart w:id="187" w:name="_Toc5862"/>
      <w:bookmarkStart w:id="188" w:name="_Toc19902"/>
      <w:bookmarkStart w:id="189" w:name="_Toc493600035"/>
      <w:bookmarkStart w:id="190" w:name="_Toc13665026"/>
      <w:bookmarkStart w:id="191" w:name="_Toc101004113"/>
      <w:bookmarkStart w:id="192" w:name="_Toc213141100"/>
      <w:bookmarkStart w:id="193" w:name="_Toc26759"/>
      <w:r>
        <w:rPr>
          <w:rFonts w:hint="eastAsia" w:ascii="仿宋" w:hAnsi="仿宋" w:eastAsia="仿宋" w:cs="仿宋"/>
          <w:b/>
          <w:color w:val="auto"/>
          <w:kern w:val="0"/>
          <w:sz w:val="28"/>
          <w:szCs w:val="20"/>
          <w:lang w:val="en-US" w:eastAsia="zh-CN" w:bidi="ar-SA"/>
        </w:rPr>
        <w:t>（十三）</w:t>
      </w:r>
      <w:r>
        <w:rPr>
          <w:rFonts w:hint="eastAsia" w:ascii="仿宋" w:hAnsi="仿宋" w:eastAsia="仿宋" w:cs="仿宋"/>
          <w:color w:val="auto"/>
          <w:highlight w:val="none"/>
        </w:rPr>
        <w:t>商务条款偏离表</w:t>
      </w:r>
      <w:bookmarkEnd w:id="186"/>
      <w:bookmarkEnd w:id="187"/>
      <w:bookmarkEnd w:id="188"/>
      <w:bookmarkEnd w:id="189"/>
      <w:bookmarkEnd w:id="190"/>
      <w:bookmarkEnd w:id="191"/>
      <w:bookmarkEnd w:id="192"/>
      <w:bookmarkEnd w:id="193"/>
    </w:p>
    <w:p w14:paraId="381E794D">
      <w:pPr>
        <w:pStyle w:val="10"/>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投标人须逐条对应招标文件中要求的商务条款，认真填写该表。</w:t>
      </w:r>
    </w:p>
    <w:p w14:paraId="70EBE6FA">
      <w:pPr>
        <w:pStyle w:val="10"/>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商务条款是指：招标文件第五章《采购需求》和《合同条款资料表》等招标文件中要求的商务条款进行填写。</w:t>
      </w:r>
    </w:p>
    <w:p w14:paraId="1200B629">
      <w:pPr>
        <w:pStyle w:val="10"/>
        <w:rPr>
          <w:rFonts w:hint="eastAsia" w:ascii="仿宋" w:hAnsi="仿宋" w:eastAsia="仿宋" w:cs="仿宋"/>
          <w:color w:val="auto"/>
          <w:kern w:val="2"/>
          <w:sz w:val="24"/>
          <w:szCs w:val="24"/>
          <w:highlight w:val="none"/>
          <w:lang w:val="en-US" w:eastAsia="zh-CN" w:bidi="ar-SA"/>
        </w:rPr>
      </w:pPr>
    </w:p>
    <w:p w14:paraId="6908C768">
      <w:pPr>
        <w:pStyle w:val="1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 xml:space="preserve">项目名称：           </w:t>
      </w:r>
    </w:p>
    <w:p w14:paraId="0E974A47">
      <w:pPr>
        <w:numPr>
          <w:ilvl w:val="0"/>
          <w:numId w:val="0"/>
        </w:numP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项目编号：</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3"/>
        <w:gridCol w:w="4074"/>
        <w:gridCol w:w="4650"/>
      </w:tblGrid>
      <w:tr w14:paraId="4799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03" w:type="dxa"/>
            <w:tcBorders>
              <w:top w:val="single" w:color="auto" w:sz="4" w:space="0"/>
              <w:left w:val="single" w:color="auto" w:sz="4" w:space="0"/>
              <w:bottom w:val="single" w:color="auto" w:sz="4" w:space="0"/>
              <w:right w:val="single" w:color="auto" w:sz="4" w:space="0"/>
            </w:tcBorders>
            <w:vAlign w:val="center"/>
          </w:tcPr>
          <w:p w14:paraId="1AA5ABE9">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序号</w:t>
            </w:r>
          </w:p>
        </w:tc>
        <w:tc>
          <w:tcPr>
            <w:tcW w:w="4074" w:type="dxa"/>
            <w:tcBorders>
              <w:top w:val="single" w:color="auto" w:sz="4" w:space="0"/>
              <w:left w:val="single" w:color="auto" w:sz="4" w:space="0"/>
              <w:bottom w:val="single" w:color="auto" w:sz="4" w:space="0"/>
              <w:right w:val="single" w:color="auto" w:sz="4" w:space="0"/>
            </w:tcBorders>
            <w:vAlign w:val="center"/>
          </w:tcPr>
          <w:p w14:paraId="2705ADAD">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的商务条款要求</w:t>
            </w:r>
          </w:p>
        </w:tc>
        <w:tc>
          <w:tcPr>
            <w:tcW w:w="4650" w:type="dxa"/>
            <w:tcBorders>
              <w:top w:val="single" w:color="auto" w:sz="4" w:space="0"/>
              <w:left w:val="single" w:color="auto" w:sz="4" w:space="0"/>
              <w:bottom w:val="single" w:color="auto" w:sz="4" w:space="0"/>
              <w:right w:val="single" w:color="auto" w:sz="4" w:space="0"/>
            </w:tcBorders>
            <w:vAlign w:val="center"/>
          </w:tcPr>
          <w:p w14:paraId="3A36171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文件的商务条款</w:t>
            </w:r>
          </w:p>
        </w:tc>
      </w:tr>
      <w:tr w14:paraId="1CB3B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03" w:type="dxa"/>
            <w:tcBorders>
              <w:top w:val="single" w:color="auto" w:sz="4" w:space="0"/>
              <w:left w:val="single" w:color="auto" w:sz="4" w:space="0"/>
              <w:bottom w:val="single" w:color="auto" w:sz="4" w:space="0"/>
              <w:right w:val="single" w:color="auto" w:sz="4" w:space="0"/>
            </w:tcBorders>
            <w:vAlign w:val="center"/>
          </w:tcPr>
          <w:p w14:paraId="0AC260E0">
            <w:pPr>
              <w:spacing w:line="360" w:lineRule="auto"/>
              <w:jc w:val="center"/>
              <w:rPr>
                <w:rFonts w:hint="eastAsia" w:ascii="仿宋" w:hAnsi="仿宋" w:eastAsia="仿宋" w:cs="仿宋"/>
                <w:color w:val="auto"/>
                <w:sz w:val="24"/>
                <w:highlight w:val="none"/>
              </w:rPr>
            </w:pPr>
          </w:p>
        </w:tc>
        <w:tc>
          <w:tcPr>
            <w:tcW w:w="4074" w:type="dxa"/>
            <w:tcBorders>
              <w:top w:val="single" w:color="auto" w:sz="4" w:space="0"/>
              <w:left w:val="single" w:color="auto" w:sz="4" w:space="0"/>
              <w:bottom w:val="single" w:color="auto" w:sz="4" w:space="0"/>
              <w:right w:val="single" w:color="auto" w:sz="4" w:space="0"/>
            </w:tcBorders>
            <w:vAlign w:val="center"/>
          </w:tcPr>
          <w:p w14:paraId="4DEEEF41">
            <w:pPr>
              <w:spacing w:line="360" w:lineRule="auto"/>
              <w:jc w:val="center"/>
              <w:rPr>
                <w:rFonts w:hint="eastAsia" w:ascii="仿宋" w:hAnsi="仿宋" w:eastAsia="仿宋" w:cs="仿宋"/>
                <w:color w:val="auto"/>
                <w:sz w:val="24"/>
                <w:highlight w:val="none"/>
              </w:rPr>
            </w:pPr>
          </w:p>
        </w:tc>
        <w:tc>
          <w:tcPr>
            <w:tcW w:w="4650" w:type="dxa"/>
            <w:tcBorders>
              <w:top w:val="single" w:color="auto" w:sz="4" w:space="0"/>
              <w:left w:val="single" w:color="auto" w:sz="4" w:space="0"/>
              <w:bottom w:val="single" w:color="auto" w:sz="4" w:space="0"/>
              <w:right w:val="single" w:color="auto" w:sz="4" w:space="0"/>
            </w:tcBorders>
            <w:vAlign w:val="center"/>
          </w:tcPr>
          <w:p w14:paraId="0D945C8D">
            <w:pPr>
              <w:spacing w:line="360" w:lineRule="auto"/>
              <w:jc w:val="center"/>
              <w:rPr>
                <w:rFonts w:hint="eastAsia" w:ascii="仿宋" w:hAnsi="仿宋" w:eastAsia="仿宋" w:cs="仿宋"/>
                <w:color w:val="auto"/>
                <w:sz w:val="24"/>
                <w:highlight w:val="none"/>
              </w:rPr>
            </w:pPr>
          </w:p>
        </w:tc>
      </w:tr>
      <w:tr w14:paraId="72DC2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03" w:type="dxa"/>
            <w:tcBorders>
              <w:top w:val="single" w:color="auto" w:sz="4" w:space="0"/>
              <w:left w:val="single" w:color="auto" w:sz="4" w:space="0"/>
              <w:bottom w:val="single" w:color="auto" w:sz="4" w:space="0"/>
              <w:right w:val="single" w:color="auto" w:sz="4" w:space="0"/>
            </w:tcBorders>
            <w:vAlign w:val="center"/>
          </w:tcPr>
          <w:p w14:paraId="718FDBFD">
            <w:pPr>
              <w:spacing w:line="360" w:lineRule="auto"/>
              <w:jc w:val="center"/>
              <w:rPr>
                <w:rFonts w:hint="eastAsia" w:ascii="仿宋" w:hAnsi="仿宋" w:eastAsia="仿宋" w:cs="仿宋"/>
                <w:color w:val="auto"/>
                <w:sz w:val="24"/>
                <w:highlight w:val="none"/>
              </w:rPr>
            </w:pPr>
          </w:p>
        </w:tc>
        <w:tc>
          <w:tcPr>
            <w:tcW w:w="4074" w:type="dxa"/>
            <w:tcBorders>
              <w:top w:val="single" w:color="auto" w:sz="4" w:space="0"/>
              <w:left w:val="single" w:color="auto" w:sz="4" w:space="0"/>
              <w:bottom w:val="single" w:color="auto" w:sz="4" w:space="0"/>
              <w:right w:val="single" w:color="auto" w:sz="4" w:space="0"/>
            </w:tcBorders>
            <w:vAlign w:val="center"/>
          </w:tcPr>
          <w:p w14:paraId="63D930EF">
            <w:pPr>
              <w:spacing w:line="360" w:lineRule="auto"/>
              <w:jc w:val="center"/>
              <w:rPr>
                <w:rFonts w:hint="eastAsia" w:ascii="仿宋" w:hAnsi="仿宋" w:eastAsia="仿宋" w:cs="仿宋"/>
                <w:color w:val="auto"/>
                <w:sz w:val="24"/>
                <w:highlight w:val="none"/>
              </w:rPr>
            </w:pPr>
          </w:p>
        </w:tc>
        <w:tc>
          <w:tcPr>
            <w:tcW w:w="4650" w:type="dxa"/>
            <w:tcBorders>
              <w:top w:val="single" w:color="auto" w:sz="4" w:space="0"/>
              <w:left w:val="single" w:color="auto" w:sz="4" w:space="0"/>
              <w:bottom w:val="single" w:color="auto" w:sz="4" w:space="0"/>
              <w:right w:val="single" w:color="auto" w:sz="4" w:space="0"/>
            </w:tcBorders>
            <w:vAlign w:val="center"/>
          </w:tcPr>
          <w:p w14:paraId="1488B2C3">
            <w:pPr>
              <w:spacing w:line="360" w:lineRule="auto"/>
              <w:jc w:val="center"/>
              <w:rPr>
                <w:rFonts w:hint="eastAsia" w:ascii="仿宋" w:hAnsi="仿宋" w:eastAsia="仿宋" w:cs="仿宋"/>
                <w:color w:val="auto"/>
                <w:sz w:val="24"/>
                <w:highlight w:val="none"/>
              </w:rPr>
            </w:pPr>
          </w:p>
        </w:tc>
      </w:tr>
      <w:tr w14:paraId="1484D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10" w:hRule="atLeast"/>
          <w:jc w:val="center"/>
        </w:trPr>
        <w:tc>
          <w:tcPr>
            <w:tcW w:w="903" w:type="dxa"/>
            <w:tcBorders>
              <w:top w:val="single" w:color="auto" w:sz="4" w:space="0"/>
              <w:left w:val="single" w:color="auto" w:sz="4" w:space="0"/>
              <w:bottom w:val="single" w:color="auto" w:sz="4" w:space="0"/>
              <w:right w:val="single" w:color="auto" w:sz="4" w:space="0"/>
            </w:tcBorders>
            <w:vAlign w:val="center"/>
          </w:tcPr>
          <w:p w14:paraId="4CB78359">
            <w:pPr>
              <w:spacing w:line="360" w:lineRule="auto"/>
              <w:jc w:val="center"/>
              <w:rPr>
                <w:rFonts w:hint="eastAsia" w:ascii="仿宋" w:hAnsi="仿宋" w:eastAsia="仿宋" w:cs="仿宋"/>
                <w:color w:val="auto"/>
                <w:sz w:val="24"/>
                <w:highlight w:val="none"/>
              </w:rPr>
            </w:pPr>
          </w:p>
        </w:tc>
        <w:tc>
          <w:tcPr>
            <w:tcW w:w="4074" w:type="dxa"/>
            <w:tcBorders>
              <w:top w:val="single" w:color="auto" w:sz="4" w:space="0"/>
              <w:left w:val="single" w:color="auto" w:sz="4" w:space="0"/>
              <w:bottom w:val="single" w:color="auto" w:sz="4" w:space="0"/>
              <w:right w:val="single" w:color="auto" w:sz="4" w:space="0"/>
            </w:tcBorders>
            <w:vAlign w:val="center"/>
          </w:tcPr>
          <w:p w14:paraId="04C8D2A7">
            <w:pPr>
              <w:spacing w:line="360" w:lineRule="auto"/>
              <w:jc w:val="center"/>
              <w:rPr>
                <w:rFonts w:hint="eastAsia" w:ascii="仿宋" w:hAnsi="仿宋" w:eastAsia="仿宋" w:cs="仿宋"/>
                <w:color w:val="auto"/>
                <w:sz w:val="24"/>
                <w:highlight w:val="none"/>
              </w:rPr>
            </w:pPr>
          </w:p>
        </w:tc>
        <w:tc>
          <w:tcPr>
            <w:tcW w:w="4650" w:type="dxa"/>
            <w:tcBorders>
              <w:top w:val="single" w:color="auto" w:sz="4" w:space="0"/>
              <w:left w:val="single" w:color="auto" w:sz="4" w:space="0"/>
              <w:bottom w:val="single" w:color="auto" w:sz="4" w:space="0"/>
              <w:right w:val="single" w:color="auto" w:sz="4" w:space="0"/>
            </w:tcBorders>
            <w:vAlign w:val="center"/>
          </w:tcPr>
          <w:p w14:paraId="60CA0396">
            <w:pPr>
              <w:spacing w:line="360" w:lineRule="auto"/>
              <w:jc w:val="center"/>
              <w:rPr>
                <w:rFonts w:hint="eastAsia" w:ascii="仿宋" w:hAnsi="仿宋" w:eastAsia="仿宋" w:cs="仿宋"/>
                <w:color w:val="auto"/>
                <w:sz w:val="24"/>
                <w:highlight w:val="none"/>
              </w:rPr>
            </w:pPr>
          </w:p>
        </w:tc>
      </w:tr>
      <w:tr w14:paraId="6C02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03" w:type="dxa"/>
            <w:tcBorders>
              <w:top w:val="single" w:color="auto" w:sz="4" w:space="0"/>
              <w:left w:val="single" w:color="auto" w:sz="4" w:space="0"/>
              <w:bottom w:val="single" w:color="auto" w:sz="4" w:space="0"/>
              <w:right w:val="single" w:color="auto" w:sz="4" w:space="0"/>
            </w:tcBorders>
            <w:vAlign w:val="center"/>
          </w:tcPr>
          <w:p w14:paraId="589F6DA8">
            <w:pPr>
              <w:spacing w:line="360" w:lineRule="auto"/>
              <w:jc w:val="center"/>
              <w:rPr>
                <w:rFonts w:hint="eastAsia" w:ascii="仿宋" w:hAnsi="仿宋" w:eastAsia="仿宋" w:cs="仿宋"/>
                <w:color w:val="auto"/>
                <w:sz w:val="24"/>
                <w:highlight w:val="none"/>
              </w:rPr>
            </w:pPr>
          </w:p>
        </w:tc>
        <w:tc>
          <w:tcPr>
            <w:tcW w:w="4074" w:type="dxa"/>
            <w:tcBorders>
              <w:top w:val="single" w:color="auto" w:sz="4" w:space="0"/>
              <w:left w:val="single" w:color="auto" w:sz="4" w:space="0"/>
              <w:bottom w:val="single" w:color="auto" w:sz="4" w:space="0"/>
              <w:right w:val="single" w:color="auto" w:sz="4" w:space="0"/>
            </w:tcBorders>
            <w:vAlign w:val="center"/>
          </w:tcPr>
          <w:p w14:paraId="3DBB581D">
            <w:pPr>
              <w:spacing w:line="360" w:lineRule="auto"/>
              <w:jc w:val="center"/>
              <w:rPr>
                <w:rFonts w:hint="eastAsia" w:ascii="仿宋" w:hAnsi="仿宋" w:eastAsia="仿宋" w:cs="仿宋"/>
                <w:color w:val="auto"/>
                <w:sz w:val="24"/>
                <w:highlight w:val="none"/>
              </w:rPr>
            </w:pPr>
          </w:p>
        </w:tc>
        <w:tc>
          <w:tcPr>
            <w:tcW w:w="4650" w:type="dxa"/>
            <w:tcBorders>
              <w:top w:val="single" w:color="auto" w:sz="4" w:space="0"/>
              <w:left w:val="single" w:color="auto" w:sz="4" w:space="0"/>
              <w:bottom w:val="single" w:color="auto" w:sz="4" w:space="0"/>
              <w:right w:val="single" w:color="auto" w:sz="4" w:space="0"/>
            </w:tcBorders>
            <w:vAlign w:val="center"/>
          </w:tcPr>
          <w:p w14:paraId="5005A3C6">
            <w:pPr>
              <w:spacing w:line="360" w:lineRule="auto"/>
              <w:jc w:val="center"/>
              <w:rPr>
                <w:rFonts w:hint="eastAsia" w:ascii="仿宋" w:hAnsi="仿宋" w:eastAsia="仿宋" w:cs="仿宋"/>
                <w:color w:val="auto"/>
                <w:sz w:val="24"/>
                <w:highlight w:val="none"/>
              </w:rPr>
            </w:pPr>
          </w:p>
        </w:tc>
      </w:tr>
    </w:tbl>
    <w:p w14:paraId="049F7DF4">
      <w:pPr>
        <w:spacing w:line="360" w:lineRule="auto"/>
        <w:rPr>
          <w:rFonts w:hint="eastAsia" w:ascii="仿宋" w:hAnsi="仿宋" w:eastAsia="仿宋" w:cs="仿宋"/>
          <w:color w:val="auto"/>
          <w:sz w:val="24"/>
          <w:highlight w:val="none"/>
        </w:rPr>
      </w:pPr>
    </w:p>
    <w:p w14:paraId="5707EA49">
      <w:pPr>
        <w:spacing w:line="360" w:lineRule="auto"/>
        <w:ind w:firstLine="360" w:firstLineChars="150"/>
        <w:rPr>
          <w:rFonts w:hint="eastAsia" w:ascii="仿宋" w:hAnsi="仿宋" w:eastAsia="仿宋" w:cs="仿宋"/>
          <w:color w:val="auto"/>
          <w:highlight w:val="none"/>
        </w:rPr>
      </w:pPr>
      <w:r>
        <w:rPr>
          <w:rFonts w:hint="eastAsia" w:ascii="仿宋" w:hAnsi="仿宋" w:eastAsia="仿宋" w:cs="仿宋"/>
          <w:color w:val="auto"/>
          <w:sz w:val="24"/>
          <w:highlight w:val="none"/>
        </w:rPr>
        <w:t>我公司已详细阅读</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中各项商务要求，除上述条款有偏离外，其余条款我公司均予以认可，中标后将严格遵照执行。</w:t>
      </w:r>
    </w:p>
    <w:p w14:paraId="2D870A74">
      <w:pPr>
        <w:autoSpaceDE w:val="0"/>
        <w:spacing w:line="360" w:lineRule="auto"/>
        <w:ind w:firstLine="960" w:firstLineChars="400"/>
        <w:rPr>
          <w:rFonts w:hint="eastAsia" w:ascii="仿宋" w:hAnsi="仿宋" w:eastAsia="仿宋" w:cs="仿宋"/>
          <w:color w:val="auto"/>
          <w:sz w:val="24"/>
          <w:szCs w:val="24"/>
          <w:highlight w:val="none"/>
        </w:rPr>
      </w:pPr>
    </w:p>
    <w:p w14:paraId="6AE174A2">
      <w:pPr>
        <w:pStyle w:val="10"/>
        <w:spacing w:line="360" w:lineRule="auto"/>
        <w:rPr>
          <w:rFonts w:hint="eastAsia" w:ascii="仿宋" w:hAnsi="仿宋" w:eastAsia="仿宋" w:cs="仿宋"/>
          <w:color w:val="auto"/>
          <w:sz w:val="24"/>
          <w:szCs w:val="24"/>
          <w:highlight w:val="none"/>
        </w:rPr>
      </w:pPr>
    </w:p>
    <w:p w14:paraId="6953A0B3">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16451363">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法定代表人：（电子签名）</w:t>
      </w:r>
    </w:p>
    <w:p w14:paraId="0F3710CD">
      <w:pPr>
        <w:spacing w:line="360" w:lineRule="auto"/>
        <w:jc w:val="righ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日</w:t>
      </w:r>
    </w:p>
    <w:p w14:paraId="27F97344">
      <w:pPr>
        <w:pStyle w:val="1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586ADB43">
      <w:pPr>
        <w:spacing w:line="360" w:lineRule="auto"/>
        <w:rPr>
          <w:rFonts w:hint="eastAsia" w:ascii="仿宋" w:hAnsi="仿宋" w:eastAsia="仿宋" w:cs="仿宋"/>
          <w:color w:val="auto"/>
          <w:highlight w:val="none"/>
        </w:rPr>
      </w:pPr>
    </w:p>
    <w:p w14:paraId="02203663">
      <w:pPr>
        <w:pStyle w:val="10"/>
        <w:spacing w:line="360" w:lineRule="auto"/>
        <w:rPr>
          <w:rFonts w:hint="eastAsia" w:ascii="仿宋" w:hAnsi="仿宋" w:eastAsia="仿宋" w:cs="仿宋"/>
          <w:color w:val="auto"/>
          <w:highlight w:val="none"/>
        </w:rPr>
      </w:pPr>
    </w:p>
    <w:p w14:paraId="51B2F24C">
      <w:pPr>
        <w:spacing w:line="360" w:lineRule="auto"/>
        <w:rPr>
          <w:rFonts w:hint="eastAsia" w:ascii="仿宋" w:hAnsi="仿宋" w:eastAsia="仿宋" w:cs="仿宋"/>
          <w:color w:val="auto"/>
          <w:highlight w:val="none"/>
        </w:rPr>
      </w:pPr>
    </w:p>
    <w:p w14:paraId="61C3E5F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1F2A9E9D">
      <w:pPr>
        <w:pStyle w:val="3"/>
        <w:spacing w:line="360" w:lineRule="auto"/>
        <w:jc w:val="center"/>
        <w:rPr>
          <w:rFonts w:hint="eastAsia" w:ascii="仿宋" w:hAnsi="仿宋" w:eastAsia="仿宋" w:cs="仿宋"/>
          <w:color w:val="auto"/>
          <w:highlight w:val="none"/>
        </w:rPr>
      </w:pPr>
      <w:bookmarkStart w:id="194" w:name="_Toc4401"/>
      <w:bookmarkStart w:id="195" w:name="_Toc26525"/>
      <w:bookmarkStart w:id="196" w:name="_Toc29957"/>
      <w:r>
        <w:rPr>
          <w:rFonts w:hint="eastAsia" w:ascii="仿宋" w:hAnsi="仿宋" w:eastAsia="仿宋" w:cs="仿宋"/>
          <w:color w:val="auto"/>
          <w:highlight w:val="none"/>
        </w:rPr>
        <w:t>（十</w:t>
      </w:r>
      <w:r>
        <w:rPr>
          <w:rFonts w:hint="eastAsia" w:ascii="仿宋" w:hAnsi="仿宋" w:eastAsia="仿宋" w:cs="仿宋"/>
          <w:color w:val="auto"/>
          <w:highlight w:val="none"/>
          <w:lang w:val="en-US" w:eastAsia="zh-CN"/>
        </w:rPr>
        <w:t>四</w:t>
      </w:r>
      <w:r>
        <w:rPr>
          <w:rFonts w:hint="eastAsia" w:ascii="仿宋" w:hAnsi="仿宋" w:eastAsia="仿宋" w:cs="仿宋"/>
          <w:color w:val="auto"/>
          <w:highlight w:val="none"/>
        </w:rPr>
        <w:t>）</w:t>
      </w:r>
      <w:bookmarkStart w:id="197" w:name="_Toc71626203"/>
      <w:bookmarkStart w:id="198" w:name="_Toc21439443"/>
      <w:r>
        <w:rPr>
          <w:rFonts w:hint="eastAsia" w:ascii="仿宋" w:hAnsi="仿宋" w:eastAsia="仿宋" w:cs="仿宋"/>
          <w:color w:val="auto"/>
          <w:highlight w:val="none"/>
        </w:rPr>
        <w:t>节能产品/环境标志产品承诺书（按需提供）</w:t>
      </w:r>
      <w:bookmarkEnd w:id="194"/>
      <w:bookmarkEnd w:id="195"/>
      <w:bookmarkEnd w:id="196"/>
      <w:bookmarkEnd w:id="197"/>
      <w:bookmarkEnd w:id="198"/>
    </w:p>
    <w:p w14:paraId="0D68F36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 </w:t>
      </w:r>
      <w:r>
        <w:rPr>
          <w:rFonts w:hint="eastAsia" w:ascii="仿宋" w:hAnsi="仿宋" w:eastAsia="仿宋" w:cs="仿宋"/>
          <w:color w:val="auto"/>
          <w:sz w:val="24"/>
          <w:szCs w:val="24"/>
          <w:highlight w:val="none"/>
          <w:u w:val="single"/>
        </w:rPr>
        <w:t xml:space="preserve">    （采购人名称）        </w:t>
      </w:r>
      <w:r>
        <w:rPr>
          <w:rFonts w:hint="eastAsia" w:ascii="仿宋" w:hAnsi="仿宋" w:eastAsia="仿宋" w:cs="仿宋"/>
          <w:color w:val="auto"/>
          <w:sz w:val="24"/>
          <w:szCs w:val="24"/>
          <w:highlight w:val="none"/>
        </w:rPr>
        <w:t>：</w:t>
      </w:r>
    </w:p>
    <w:p w14:paraId="5A5CE5D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本单位承诺，根据《财政部 发展改革委 生态环境部 市场监管总局 关于调整优化节能产品、环境标志产品政府采购执行机制的通知》（财库〔2019〕9号）的规定，本单位提供的</w:t>
      </w:r>
      <w:r>
        <w:rPr>
          <w:rFonts w:hint="eastAsia" w:ascii="仿宋" w:hAnsi="仿宋" w:eastAsia="仿宋" w:cs="仿宋"/>
          <w:color w:val="auto"/>
          <w:sz w:val="24"/>
          <w:szCs w:val="24"/>
          <w:highlight w:val="none"/>
          <w:u w:val="single"/>
        </w:rPr>
        <w:t xml:space="preserve">     （产品名称）     </w:t>
      </w:r>
      <w:r>
        <w:rPr>
          <w:rFonts w:hint="eastAsia" w:ascii="仿宋" w:hAnsi="仿宋" w:eastAsia="仿宋" w:cs="仿宋"/>
          <w:color w:val="auto"/>
          <w:sz w:val="24"/>
          <w:szCs w:val="24"/>
          <w:highlight w:val="none"/>
        </w:rPr>
        <w:t>为取得国家确定的认证机构出具的、处于有效期之内的节能产品/环境标志产品认证证书的节能产品/环境标志产品，且产品认证依据《节能产品政府采购品目清单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环境标志产品政府采购品目清单》中相关标准的最新版本，并可在市场监管总局组织建立节能产品、环境标志产品认证结果信息发布平台中查询、了解认证机构和获证产品相关情况。</w:t>
      </w:r>
    </w:p>
    <w:p w14:paraId="59275D3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本单位对上述承诺的真实性负责。如有虚假，将依法承担相应责任。</w:t>
      </w:r>
    </w:p>
    <w:p w14:paraId="49534CA3">
      <w:pPr>
        <w:pStyle w:val="7"/>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仿宋" w:hAnsi="仿宋" w:eastAsia="仿宋" w:cs="仿宋"/>
          <w:color w:val="auto"/>
          <w:sz w:val="24"/>
          <w:szCs w:val="24"/>
          <w:highlight w:val="none"/>
        </w:rPr>
      </w:pPr>
    </w:p>
    <w:p w14:paraId="2BEA5A08">
      <w:pPr>
        <w:pStyle w:val="7"/>
        <w:keepNext w:val="0"/>
        <w:keepLines w:val="0"/>
        <w:pageBreakBefore w:val="0"/>
        <w:widowControl w:val="0"/>
        <w:kinsoku/>
        <w:wordWrap/>
        <w:overflowPunct/>
        <w:topLinePunct w:val="0"/>
        <w:autoSpaceDE/>
        <w:autoSpaceDN/>
        <w:bidi w:val="0"/>
        <w:adjustRightInd/>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注：后附节能产品/环境标志产品认证证书或相关截图；</w:t>
      </w:r>
    </w:p>
    <w:p w14:paraId="5DF1FB26">
      <w:pPr>
        <w:pStyle w:val="7"/>
        <w:spacing w:line="360" w:lineRule="auto"/>
        <w:rPr>
          <w:rFonts w:hint="eastAsia" w:ascii="仿宋" w:hAnsi="仿宋" w:eastAsia="仿宋" w:cs="仿宋"/>
          <w:color w:val="auto"/>
          <w:highlight w:val="none"/>
        </w:rPr>
      </w:pPr>
    </w:p>
    <w:p w14:paraId="4D83A9F5">
      <w:pPr>
        <w:pStyle w:val="7"/>
        <w:spacing w:line="360" w:lineRule="auto"/>
        <w:rPr>
          <w:rFonts w:hint="eastAsia" w:ascii="仿宋" w:hAnsi="仿宋" w:eastAsia="仿宋" w:cs="仿宋"/>
          <w:color w:val="auto"/>
          <w:highlight w:val="none"/>
        </w:rPr>
      </w:pPr>
    </w:p>
    <w:p w14:paraId="51D624CE">
      <w:pPr>
        <w:spacing w:line="360" w:lineRule="auto"/>
        <w:rPr>
          <w:rFonts w:hint="eastAsia" w:ascii="仿宋" w:hAnsi="仿宋" w:eastAsia="仿宋" w:cs="仿宋"/>
          <w:color w:val="auto"/>
          <w:kern w:val="0"/>
          <w:highlight w:val="none"/>
        </w:rPr>
      </w:pPr>
      <w:bookmarkStart w:id="199" w:name="_Toc101004117"/>
      <w:bookmarkStart w:id="200" w:name="_Toc141099677"/>
      <w:bookmarkStart w:id="201" w:name="_Toc507408991"/>
      <w:bookmarkStart w:id="202" w:name="_Toc493600039"/>
      <w:bookmarkStart w:id="203" w:name="_Toc13665030"/>
      <w:r>
        <w:rPr>
          <w:rFonts w:hint="eastAsia" w:ascii="仿宋" w:hAnsi="仿宋" w:eastAsia="仿宋" w:cs="仿宋"/>
          <w:color w:val="auto"/>
          <w:highlight w:val="none"/>
        </w:rPr>
        <w:br w:type="page"/>
      </w:r>
    </w:p>
    <w:p w14:paraId="39E41029">
      <w:pPr>
        <w:pStyle w:val="3"/>
        <w:spacing w:line="360" w:lineRule="auto"/>
        <w:jc w:val="center"/>
        <w:rPr>
          <w:rFonts w:hint="eastAsia" w:ascii="仿宋" w:hAnsi="仿宋" w:eastAsia="仿宋" w:cs="仿宋"/>
          <w:color w:val="auto"/>
          <w:highlight w:val="none"/>
        </w:rPr>
      </w:pPr>
      <w:bookmarkStart w:id="204" w:name="_Toc2400"/>
      <w:bookmarkStart w:id="205" w:name="_Toc28495"/>
      <w:bookmarkStart w:id="206" w:name="_Toc21979"/>
      <w:r>
        <w:rPr>
          <w:rFonts w:hint="eastAsia" w:ascii="仿宋" w:hAnsi="仿宋" w:eastAsia="仿宋" w:cs="仿宋"/>
          <w:color w:val="auto"/>
          <w:highlight w:val="none"/>
        </w:rPr>
        <w:t>（十</w:t>
      </w:r>
      <w:r>
        <w:rPr>
          <w:rFonts w:hint="eastAsia" w:ascii="仿宋" w:hAnsi="仿宋" w:eastAsia="仿宋" w:cs="仿宋"/>
          <w:color w:val="auto"/>
          <w:highlight w:val="none"/>
          <w:lang w:val="en-US" w:eastAsia="zh-CN"/>
        </w:rPr>
        <w:t>五</w:t>
      </w:r>
      <w:r>
        <w:rPr>
          <w:rFonts w:hint="eastAsia" w:ascii="仿宋" w:hAnsi="仿宋" w:eastAsia="仿宋" w:cs="仿宋"/>
          <w:color w:val="auto"/>
          <w:highlight w:val="none"/>
        </w:rPr>
        <w:t>）投标人信息表</w:t>
      </w:r>
      <w:bookmarkEnd w:id="204"/>
      <w:bookmarkEnd w:id="205"/>
      <w:bookmarkEnd w:id="206"/>
    </w:p>
    <w:tbl>
      <w:tblPr>
        <w:tblStyle w:val="2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87"/>
        <w:gridCol w:w="1531"/>
        <w:gridCol w:w="1867"/>
        <w:gridCol w:w="1139"/>
        <w:gridCol w:w="1239"/>
        <w:gridCol w:w="2730"/>
      </w:tblGrid>
      <w:tr w14:paraId="0AE87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1510" w:type="pct"/>
            <w:gridSpan w:val="2"/>
            <w:vAlign w:val="center"/>
          </w:tcPr>
          <w:p w14:paraId="4C21A052">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公司名称</w:t>
            </w:r>
          </w:p>
        </w:tc>
        <w:tc>
          <w:tcPr>
            <w:tcW w:w="3489" w:type="pct"/>
            <w:gridSpan w:val="4"/>
            <w:vAlign w:val="center"/>
          </w:tcPr>
          <w:p w14:paraId="6852A07D">
            <w:pPr>
              <w:spacing w:line="360" w:lineRule="auto"/>
              <w:rPr>
                <w:rFonts w:hint="eastAsia" w:ascii="仿宋" w:hAnsi="仿宋" w:eastAsia="仿宋" w:cs="仿宋"/>
                <w:color w:val="auto"/>
                <w:highlight w:val="none"/>
              </w:rPr>
            </w:pPr>
          </w:p>
        </w:tc>
      </w:tr>
      <w:tr w14:paraId="4EB4E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1510" w:type="pct"/>
            <w:gridSpan w:val="2"/>
            <w:vAlign w:val="center"/>
          </w:tcPr>
          <w:p w14:paraId="4FDD20A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公司地址</w:t>
            </w:r>
          </w:p>
        </w:tc>
        <w:tc>
          <w:tcPr>
            <w:tcW w:w="3489" w:type="pct"/>
            <w:gridSpan w:val="4"/>
            <w:vAlign w:val="center"/>
          </w:tcPr>
          <w:p w14:paraId="727479B0">
            <w:pPr>
              <w:spacing w:line="360" w:lineRule="auto"/>
              <w:rPr>
                <w:rFonts w:hint="eastAsia" w:ascii="仿宋" w:hAnsi="仿宋" w:eastAsia="仿宋" w:cs="仿宋"/>
                <w:color w:val="auto"/>
                <w:highlight w:val="none"/>
              </w:rPr>
            </w:pPr>
          </w:p>
        </w:tc>
      </w:tr>
      <w:tr w14:paraId="0560B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1510" w:type="pct"/>
            <w:gridSpan w:val="2"/>
            <w:vAlign w:val="center"/>
          </w:tcPr>
          <w:p w14:paraId="6BD7C98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公司性质</w:t>
            </w:r>
          </w:p>
        </w:tc>
        <w:tc>
          <w:tcPr>
            <w:tcW w:w="934" w:type="pct"/>
            <w:vAlign w:val="center"/>
          </w:tcPr>
          <w:p w14:paraId="2AF847DE">
            <w:pPr>
              <w:spacing w:line="360" w:lineRule="auto"/>
              <w:rPr>
                <w:rFonts w:hint="eastAsia" w:ascii="仿宋" w:hAnsi="仿宋" w:eastAsia="仿宋" w:cs="仿宋"/>
                <w:color w:val="auto"/>
                <w:highlight w:val="none"/>
              </w:rPr>
            </w:pPr>
          </w:p>
        </w:tc>
        <w:tc>
          <w:tcPr>
            <w:tcW w:w="1190" w:type="pct"/>
            <w:gridSpan w:val="2"/>
            <w:vAlign w:val="center"/>
          </w:tcPr>
          <w:p w14:paraId="61D2EA2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公司类型</w:t>
            </w:r>
          </w:p>
        </w:tc>
        <w:tc>
          <w:tcPr>
            <w:tcW w:w="1364" w:type="pct"/>
            <w:vAlign w:val="center"/>
          </w:tcPr>
          <w:p w14:paraId="3B8331A7">
            <w:pPr>
              <w:spacing w:line="360" w:lineRule="auto"/>
              <w:rPr>
                <w:rFonts w:hint="eastAsia" w:ascii="仿宋" w:hAnsi="仿宋" w:eastAsia="仿宋" w:cs="仿宋"/>
                <w:color w:val="auto"/>
                <w:highlight w:val="none"/>
              </w:rPr>
            </w:pPr>
          </w:p>
        </w:tc>
      </w:tr>
      <w:tr w14:paraId="24996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510" w:type="pct"/>
            <w:gridSpan w:val="2"/>
            <w:vAlign w:val="center"/>
          </w:tcPr>
          <w:p w14:paraId="50F2F35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法定代表人</w:t>
            </w:r>
          </w:p>
        </w:tc>
        <w:tc>
          <w:tcPr>
            <w:tcW w:w="934" w:type="pct"/>
            <w:vAlign w:val="center"/>
          </w:tcPr>
          <w:p w14:paraId="61F41636">
            <w:pPr>
              <w:spacing w:line="360" w:lineRule="auto"/>
              <w:rPr>
                <w:rFonts w:hint="eastAsia" w:ascii="仿宋" w:hAnsi="仿宋" w:eastAsia="仿宋" w:cs="仿宋"/>
                <w:color w:val="auto"/>
                <w:highlight w:val="none"/>
              </w:rPr>
            </w:pPr>
          </w:p>
        </w:tc>
        <w:tc>
          <w:tcPr>
            <w:tcW w:w="1190" w:type="pct"/>
            <w:gridSpan w:val="2"/>
            <w:vAlign w:val="center"/>
          </w:tcPr>
          <w:p w14:paraId="2B367A03">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注册资金</w:t>
            </w:r>
          </w:p>
        </w:tc>
        <w:tc>
          <w:tcPr>
            <w:tcW w:w="1364" w:type="pct"/>
            <w:vAlign w:val="center"/>
          </w:tcPr>
          <w:p w14:paraId="092EA092">
            <w:pPr>
              <w:spacing w:line="360" w:lineRule="auto"/>
              <w:rPr>
                <w:rFonts w:hint="eastAsia" w:ascii="仿宋" w:hAnsi="仿宋" w:eastAsia="仿宋" w:cs="仿宋"/>
                <w:color w:val="auto"/>
                <w:highlight w:val="none"/>
              </w:rPr>
            </w:pPr>
          </w:p>
        </w:tc>
      </w:tr>
      <w:tr w14:paraId="355B0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510" w:type="pct"/>
            <w:gridSpan w:val="2"/>
            <w:vMerge w:val="restart"/>
            <w:vAlign w:val="center"/>
          </w:tcPr>
          <w:p w14:paraId="51CA5C4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注册日期</w:t>
            </w:r>
          </w:p>
        </w:tc>
        <w:tc>
          <w:tcPr>
            <w:tcW w:w="934" w:type="pct"/>
            <w:vMerge w:val="restart"/>
            <w:vAlign w:val="center"/>
          </w:tcPr>
          <w:p w14:paraId="42A11227">
            <w:pPr>
              <w:spacing w:line="360" w:lineRule="auto"/>
              <w:rPr>
                <w:rFonts w:hint="eastAsia" w:ascii="仿宋" w:hAnsi="仿宋" w:eastAsia="仿宋" w:cs="仿宋"/>
                <w:color w:val="auto"/>
                <w:highlight w:val="none"/>
              </w:rPr>
            </w:pPr>
          </w:p>
        </w:tc>
        <w:tc>
          <w:tcPr>
            <w:tcW w:w="1190" w:type="pct"/>
            <w:gridSpan w:val="2"/>
            <w:vAlign w:val="center"/>
          </w:tcPr>
          <w:p w14:paraId="5A3CF78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开户银行</w:t>
            </w:r>
          </w:p>
        </w:tc>
        <w:tc>
          <w:tcPr>
            <w:tcW w:w="1364" w:type="pct"/>
            <w:vAlign w:val="center"/>
          </w:tcPr>
          <w:p w14:paraId="02D71656">
            <w:pPr>
              <w:spacing w:line="360" w:lineRule="auto"/>
              <w:rPr>
                <w:rFonts w:hint="eastAsia" w:ascii="仿宋" w:hAnsi="仿宋" w:eastAsia="仿宋" w:cs="仿宋"/>
                <w:color w:val="auto"/>
                <w:highlight w:val="none"/>
              </w:rPr>
            </w:pPr>
          </w:p>
        </w:tc>
      </w:tr>
      <w:tr w14:paraId="162C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510" w:type="pct"/>
            <w:gridSpan w:val="2"/>
            <w:vMerge w:val="continue"/>
            <w:vAlign w:val="center"/>
          </w:tcPr>
          <w:p w14:paraId="09B6D9A9">
            <w:pPr>
              <w:spacing w:line="360" w:lineRule="auto"/>
              <w:rPr>
                <w:rFonts w:hint="eastAsia" w:ascii="仿宋" w:hAnsi="仿宋" w:eastAsia="仿宋" w:cs="仿宋"/>
                <w:color w:val="auto"/>
                <w:highlight w:val="none"/>
              </w:rPr>
            </w:pPr>
          </w:p>
        </w:tc>
        <w:tc>
          <w:tcPr>
            <w:tcW w:w="934" w:type="pct"/>
            <w:vMerge w:val="continue"/>
            <w:vAlign w:val="center"/>
          </w:tcPr>
          <w:p w14:paraId="3892C947">
            <w:pPr>
              <w:spacing w:line="360" w:lineRule="auto"/>
              <w:rPr>
                <w:rFonts w:hint="eastAsia" w:ascii="仿宋" w:hAnsi="仿宋" w:eastAsia="仿宋" w:cs="仿宋"/>
                <w:color w:val="auto"/>
                <w:highlight w:val="none"/>
              </w:rPr>
            </w:pPr>
          </w:p>
        </w:tc>
        <w:tc>
          <w:tcPr>
            <w:tcW w:w="1190" w:type="pct"/>
            <w:gridSpan w:val="2"/>
            <w:vAlign w:val="center"/>
          </w:tcPr>
          <w:p w14:paraId="7815CEE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开户基本账号</w:t>
            </w:r>
          </w:p>
        </w:tc>
        <w:tc>
          <w:tcPr>
            <w:tcW w:w="1364" w:type="pct"/>
            <w:vAlign w:val="center"/>
          </w:tcPr>
          <w:p w14:paraId="30CA4154">
            <w:pPr>
              <w:spacing w:line="360" w:lineRule="auto"/>
              <w:rPr>
                <w:rFonts w:hint="eastAsia" w:ascii="仿宋" w:hAnsi="仿宋" w:eastAsia="仿宋" w:cs="仿宋"/>
                <w:color w:val="auto"/>
                <w:highlight w:val="none"/>
              </w:rPr>
            </w:pPr>
          </w:p>
        </w:tc>
      </w:tr>
      <w:tr w14:paraId="72B66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510" w:type="pct"/>
            <w:gridSpan w:val="2"/>
            <w:vMerge w:val="restart"/>
            <w:vAlign w:val="center"/>
          </w:tcPr>
          <w:p w14:paraId="0F4C4AA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联系人</w:t>
            </w:r>
          </w:p>
        </w:tc>
        <w:tc>
          <w:tcPr>
            <w:tcW w:w="934" w:type="pct"/>
            <w:vMerge w:val="restart"/>
            <w:vAlign w:val="center"/>
          </w:tcPr>
          <w:p w14:paraId="1C6CEA73">
            <w:pPr>
              <w:spacing w:line="360" w:lineRule="auto"/>
              <w:rPr>
                <w:rFonts w:hint="eastAsia" w:ascii="仿宋" w:hAnsi="仿宋" w:eastAsia="仿宋" w:cs="仿宋"/>
                <w:color w:val="auto"/>
                <w:highlight w:val="none"/>
              </w:rPr>
            </w:pPr>
          </w:p>
        </w:tc>
        <w:tc>
          <w:tcPr>
            <w:tcW w:w="570" w:type="pct"/>
            <w:vMerge w:val="restart"/>
            <w:vAlign w:val="center"/>
          </w:tcPr>
          <w:p w14:paraId="753C980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联系电话</w:t>
            </w:r>
          </w:p>
        </w:tc>
        <w:tc>
          <w:tcPr>
            <w:tcW w:w="620" w:type="pct"/>
            <w:vAlign w:val="center"/>
          </w:tcPr>
          <w:p w14:paraId="30B313C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手机</w:t>
            </w:r>
          </w:p>
        </w:tc>
        <w:tc>
          <w:tcPr>
            <w:tcW w:w="1364" w:type="pct"/>
            <w:vAlign w:val="center"/>
          </w:tcPr>
          <w:p w14:paraId="7F8ADA98">
            <w:pPr>
              <w:spacing w:line="360" w:lineRule="auto"/>
              <w:rPr>
                <w:rFonts w:hint="eastAsia" w:ascii="仿宋" w:hAnsi="仿宋" w:eastAsia="仿宋" w:cs="仿宋"/>
                <w:color w:val="auto"/>
                <w:highlight w:val="none"/>
              </w:rPr>
            </w:pPr>
          </w:p>
        </w:tc>
      </w:tr>
      <w:tr w14:paraId="56017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1510" w:type="pct"/>
            <w:gridSpan w:val="2"/>
            <w:vMerge w:val="continue"/>
            <w:vAlign w:val="center"/>
          </w:tcPr>
          <w:p w14:paraId="6C85BC6D">
            <w:pPr>
              <w:spacing w:line="360" w:lineRule="auto"/>
              <w:rPr>
                <w:rFonts w:hint="eastAsia" w:ascii="仿宋" w:hAnsi="仿宋" w:eastAsia="仿宋" w:cs="仿宋"/>
                <w:color w:val="auto"/>
                <w:highlight w:val="none"/>
              </w:rPr>
            </w:pPr>
          </w:p>
        </w:tc>
        <w:tc>
          <w:tcPr>
            <w:tcW w:w="934" w:type="pct"/>
            <w:vMerge w:val="continue"/>
            <w:vAlign w:val="center"/>
          </w:tcPr>
          <w:p w14:paraId="597A16E7">
            <w:pPr>
              <w:spacing w:line="360" w:lineRule="auto"/>
              <w:rPr>
                <w:rFonts w:hint="eastAsia" w:ascii="仿宋" w:hAnsi="仿宋" w:eastAsia="仿宋" w:cs="仿宋"/>
                <w:color w:val="auto"/>
                <w:highlight w:val="none"/>
              </w:rPr>
            </w:pPr>
          </w:p>
        </w:tc>
        <w:tc>
          <w:tcPr>
            <w:tcW w:w="570" w:type="pct"/>
            <w:vMerge w:val="continue"/>
            <w:vAlign w:val="center"/>
          </w:tcPr>
          <w:p w14:paraId="26E05952">
            <w:pPr>
              <w:spacing w:line="360" w:lineRule="auto"/>
              <w:rPr>
                <w:rFonts w:hint="eastAsia" w:ascii="仿宋" w:hAnsi="仿宋" w:eastAsia="仿宋" w:cs="仿宋"/>
                <w:color w:val="auto"/>
                <w:highlight w:val="none"/>
              </w:rPr>
            </w:pPr>
          </w:p>
        </w:tc>
        <w:tc>
          <w:tcPr>
            <w:tcW w:w="620" w:type="pct"/>
            <w:vAlign w:val="center"/>
          </w:tcPr>
          <w:p w14:paraId="0FC3255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固话</w:t>
            </w:r>
          </w:p>
        </w:tc>
        <w:tc>
          <w:tcPr>
            <w:tcW w:w="1364" w:type="pct"/>
            <w:vAlign w:val="center"/>
          </w:tcPr>
          <w:p w14:paraId="1DC33876">
            <w:pPr>
              <w:spacing w:line="360" w:lineRule="auto"/>
              <w:rPr>
                <w:rFonts w:hint="eastAsia" w:ascii="仿宋" w:hAnsi="仿宋" w:eastAsia="仿宋" w:cs="仿宋"/>
                <w:color w:val="auto"/>
                <w:highlight w:val="none"/>
              </w:rPr>
            </w:pPr>
          </w:p>
        </w:tc>
      </w:tr>
      <w:tr w14:paraId="3E2AB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510" w:type="pct"/>
            <w:gridSpan w:val="2"/>
            <w:vAlign w:val="center"/>
          </w:tcPr>
          <w:p w14:paraId="62A6F5F9">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联系传真</w:t>
            </w:r>
          </w:p>
        </w:tc>
        <w:tc>
          <w:tcPr>
            <w:tcW w:w="934" w:type="pct"/>
            <w:vAlign w:val="center"/>
          </w:tcPr>
          <w:p w14:paraId="2443CC02">
            <w:pPr>
              <w:spacing w:line="360" w:lineRule="auto"/>
              <w:rPr>
                <w:rFonts w:hint="eastAsia" w:ascii="仿宋" w:hAnsi="仿宋" w:eastAsia="仿宋" w:cs="仿宋"/>
                <w:color w:val="auto"/>
                <w:highlight w:val="none"/>
              </w:rPr>
            </w:pPr>
          </w:p>
        </w:tc>
        <w:tc>
          <w:tcPr>
            <w:tcW w:w="1190" w:type="pct"/>
            <w:gridSpan w:val="2"/>
            <w:vAlign w:val="center"/>
          </w:tcPr>
          <w:p w14:paraId="084334A5">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联系邮箱</w:t>
            </w:r>
          </w:p>
        </w:tc>
        <w:tc>
          <w:tcPr>
            <w:tcW w:w="1364" w:type="pct"/>
            <w:vAlign w:val="center"/>
          </w:tcPr>
          <w:p w14:paraId="285AEFE1">
            <w:pPr>
              <w:spacing w:line="360" w:lineRule="auto"/>
              <w:rPr>
                <w:rFonts w:hint="eastAsia" w:ascii="仿宋" w:hAnsi="仿宋" w:eastAsia="仿宋" w:cs="仿宋"/>
                <w:color w:val="auto"/>
                <w:highlight w:val="none"/>
              </w:rPr>
            </w:pPr>
          </w:p>
        </w:tc>
      </w:tr>
      <w:tr w14:paraId="31074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510" w:type="pct"/>
            <w:gridSpan w:val="2"/>
            <w:vAlign w:val="center"/>
          </w:tcPr>
          <w:p w14:paraId="1DF3B5BD">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经营范围</w:t>
            </w:r>
          </w:p>
        </w:tc>
        <w:tc>
          <w:tcPr>
            <w:tcW w:w="3489" w:type="pct"/>
            <w:gridSpan w:val="4"/>
            <w:vAlign w:val="center"/>
          </w:tcPr>
          <w:p w14:paraId="38D52825">
            <w:pPr>
              <w:spacing w:line="360" w:lineRule="auto"/>
              <w:rPr>
                <w:rFonts w:hint="eastAsia" w:ascii="仿宋" w:hAnsi="仿宋" w:eastAsia="仿宋" w:cs="仿宋"/>
                <w:color w:val="auto"/>
                <w:highlight w:val="none"/>
              </w:rPr>
            </w:pPr>
          </w:p>
        </w:tc>
      </w:tr>
      <w:tr w14:paraId="5B0C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510" w:type="pct"/>
            <w:gridSpan w:val="2"/>
            <w:vAlign w:val="center"/>
          </w:tcPr>
          <w:p w14:paraId="716D24E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公司管理体系认证</w:t>
            </w:r>
          </w:p>
        </w:tc>
        <w:tc>
          <w:tcPr>
            <w:tcW w:w="3489" w:type="pct"/>
            <w:gridSpan w:val="4"/>
            <w:vAlign w:val="center"/>
          </w:tcPr>
          <w:p w14:paraId="4B965EA6">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（质量、职业、环境管理体系）</w:t>
            </w:r>
          </w:p>
        </w:tc>
      </w:tr>
      <w:tr w14:paraId="6552B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5000" w:type="pct"/>
            <w:gridSpan w:val="6"/>
            <w:vAlign w:val="center"/>
          </w:tcPr>
          <w:p w14:paraId="197B092E">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公司资质及各类生产、经营许可</w:t>
            </w:r>
          </w:p>
        </w:tc>
      </w:tr>
      <w:tr w14:paraId="60AFD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3" w:hRule="atLeast"/>
          <w:jc w:val="center"/>
        </w:trPr>
        <w:tc>
          <w:tcPr>
            <w:tcW w:w="5000" w:type="pct"/>
            <w:gridSpan w:val="6"/>
            <w:vAlign w:val="center"/>
          </w:tcPr>
          <w:p w14:paraId="6FE9B78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如：工程类资质（工程单位）、设备制造商、经销商（生产、经营许可证、产品认证）、</w:t>
            </w:r>
            <w:r>
              <w:rPr>
                <w:rFonts w:hint="eastAsia" w:ascii="仿宋" w:hAnsi="仿宋" w:eastAsia="仿宋" w:cs="仿宋"/>
                <w:color w:val="auto"/>
                <w:highlight w:val="none"/>
                <w:lang w:eastAsia="zh-CN"/>
              </w:rPr>
              <w:t>其他</w:t>
            </w:r>
            <w:r>
              <w:rPr>
                <w:rFonts w:hint="eastAsia" w:ascii="仿宋" w:hAnsi="仿宋" w:eastAsia="仿宋" w:cs="仿宋"/>
                <w:color w:val="auto"/>
                <w:highlight w:val="none"/>
              </w:rPr>
              <w:t>资质。</w:t>
            </w:r>
          </w:p>
        </w:tc>
      </w:tr>
      <w:tr w14:paraId="72F8F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44" w:type="pct"/>
            <w:vAlign w:val="center"/>
          </w:tcPr>
          <w:p w14:paraId="32F15431">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备注</w:t>
            </w:r>
          </w:p>
        </w:tc>
        <w:tc>
          <w:tcPr>
            <w:tcW w:w="4255" w:type="pct"/>
            <w:gridSpan w:val="5"/>
            <w:vAlign w:val="center"/>
          </w:tcPr>
          <w:p w14:paraId="2A49D39B">
            <w:pPr>
              <w:spacing w:line="360" w:lineRule="auto"/>
              <w:rPr>
                <w:rFonts w:hint="eastAsia" w:ascii="仿宋" w:hAnsi="仿宋" w:eastAsia="仿宋" w:cs="仿宋"/>
                <w:color w:val="auto"/>
                <w:highlight w:val="none"/>
              </w:rPr>
            </w:pPr>
          </w:p>
        </w:tc>
      </w:tr>
    </w:tbl>
    <w:p w14:paraId="03D4C149">
      <w:pPr>
        <w:pStyle w:val="10"/>
        <w:spacing w:line="360" w:lineRule="auto"/>
        <w:jc w:val="right"/>
        <w:rPr>
          <w:rFonts w:hint="eastAsia" w:ascii="仿宋" w:hAnsi="仿宋" w:eastAsia="仿宋" w:cs="仿宋"/>
          <w:color w:val="auto"/>
          <w:highlight w:val="none"/>
        </w:rPr>
      </w:pPr>
    </w:p>
    <w:p w14:paraId="501DE240">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6329CB29">
      <w:pPr>
        <w:pStyle w:val="3"/>
        <w:spacing w:line="360" w:lineRule="auto"/>
        <w:jc w:val="center"/>
        <w:rPr>
          <w:rFonts w:hint="eastAsia" w:ascii="仿宋" w:hAnsi="仿宋" w:eastAsia="仿宋" w:cs="仿宋"/>
          <w:color w:val="auto"/>
          <w:highlight w:val="none"/>
        </w:rPr>
      </w:pPr>
      <w:bookmarkStart w:id="207" w:name="_Toc12644"/>
      <w:bookmarkStart w:id="208" w:name="_Toc7894"/>
      <w:bookmarkStart w:id="209" w:name="_Toc17899"/>
      <w:r>
        <w:rPr>
          <w:rFonts w:hint="eastAsia" w:ascii="仿宋" w:hAnsi="仿宋" w:eastAsia="仿宋" w:cs="仿宋"/>
          <w:color w:val="auto"/>
          <w:highlight w:val="none"/>
        </w:rPr>
        <w:t>（十</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）构成投标文件商务部分的其他资料</w:t>
      </w:r>
      <w:bookmarkEnd w:id="199"/>
      <w:bookmarkEnd w:id="200"/>
      <w:bookmarkEnd w:id="201"/>
      <w:bookmarkEnd w:id="202"/>
      <w:bookmarkEnd w:id="203"/>
      <w:bookmarkEnd w:id="207"/>
      <w:bookmarkEnd w:id="208"/>
      <w:bookmarkEnd w:id="209"/>
    </w:p>
    <w:p w14:paraId="2BF85709">
      <w:pPr>
        <w:pStyle w:val="10"/>
        <w:spacing w:line="360" w:lineRule="auto"/>
        <w:rPr>
          <w:rFonts w:hint="eastAsia" w:ascii="仿宋" w:hAnsi="仿宋" w:eastAsia="仿宋" w:cs="仿宋"/>
          <w:color w:val="auto"/>
          <w:highlight w:val="none"/>
        </w:rPr>
      </w:pPr>
    </w:p>
    <w:p w14:paraId="3A712212">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详见第二章“投标人须知前附表”第13.1条，请自拟格式。</w:t>
      </w:r>
    </w:p>
    <w:p w14:paraId="4416A37E">
      <w:pPr>
        <w:pStyle w:val="10"/>
        <w:spacing w:line="360" w:lineRule="auto"/>
        <w:rPr>
          <w:rFonts w:hint="eastAsia" w:ascii="仿宋" w:hAnsi="仿宋" w:eastAsia="仿宋" w:cs="仿宋"/>
          <w:color w:val="auto"/>
          <w:highlight w:val="none"/>
        </w:rPr>
      </w:pPr>
    </w:p>
    <w:p w14:paraId="5940AC7A">
      <w:pPr>
        <w:pStyle w:val="3"/>
        <w:spacing w:line="360" w:lineRule="auto"/>
        <w:jc w:val="center"/>
        <w:rPr>
          <w:rFonts w:hint="eastAsia" w:ascii="仿宋" w:hAnsi="仿宋" w:eastAsia="仿宋" w:cs="仿宋"/>
          <w:color w:val="auto"/>
          <w:highlight w:val="none"/>
        </w:rPr>
      </w:pPr>
      <w:r>
        <w:rPr>
          <w:rFonts w:hint="eastAsia" w:ascii="仿宋" w:hAnsi="仿宋" w:eastAsia="仿宋" w:cs="仿宋"/>
          <w:color w:val="auto"/>
          <w:sz w:val="24"/>
          <w:szCs w:val="24"/>
          <w:highlight w:val="none"/>
        </w:rPr>
        <w:br w:type="page"/>
      </w:r>
      <w:bookmarkStart w:id="210" w:name="_Toc16153"/>
      <w:bookmarkStart w:id="211" w:name="_Toc101004118"/>
      <w:bookmarkStart w:id="212" w:name="_Toc141099678"/>
      <w:bookmarkStart w:id="213" w:name="_Toc13665031"/>
      <w:bookmarkStart w:id="214" w:name="_Toc4805"/>
      <w:bookmarkStart w:id="215" w:name="_Toc31746"/>
      <w:r>
        <w:rPr>
          <w:rFonts w:hint="eastAsia" w:ascii="仿宋" w:hAnsi="仿宋" w:eastAsia="仿宋" w:cs="仿宋"/>
          <w:color w:val="auto"/>
          <w:highlight w:val="none"/>
        </w:rPr>
        <w:t>四、技术部分</w:t>
      </w:r>
      <w:bookmarkEnd w:id="210"/>
      <w:bookmarkEnd w:id="211"/>
      <w:bookmarkEnd w:id="212"/>
      <w:bookmarkEnd w:id="213"/>
      <w:bookmarkEnd w:id="214"/>
      <w:bookmarkEnd w:id="215"/>
    </w:p>
    <w:p w14:paraId="0479A1A1">
      <w:pPr>
        <w:pStyle w:val="3"/>
        <w:spacing w:line="360" w:lineRule="auto"/>
        <w:jc w:val="center"/>
        <w:rPr>
          <w:rFonts w:hint="eastAsia" w:ascii="仿宋" w:hAnsi="仿宋" w:eastAsia="仿宋" w:cs="仿宋"/>
          <w:color w:val="auto"/>
          <w:highlight w:val="none"/>
        </w:rPr>
      </w:pPr>
      <w:bookmarkStart w:id="216" w:name="_Toc493600041"/>
      <w:bookmarkStart w:id="217" w:name="_Toc3972"/>
      <w:bookmarkStart w:id="218" w:name="_Toc213141099"/>
      <w:bookmarkStart w:id="219" w:name="_Toc141099679"/>
      <w:bookmarkStart w:id="220" w:name="_Toc3179"/>
      <w:bookmarkStart w:id="221" w:name="_Toc15272"/>
      <w:bookmarkStart w:id="222" w:name="_Toc101004119"/>
      <w:bookmarkStart w:id="223" w:name="_Toc13665032"/>
      <w:r>
        <w:rPr>
          <w:rFonts w:hint="eastAsia" w:ascii="仿宋" w:hAnsi="仿宋" w:eastAsia="仿宋" w:cs="仿宋"/>
          <w:color w:val="auto"/>
          <w:highlight w:val="none"/>
        </w:rPr>
        <w:t>（一）技术规格偏离表</w:t>
      </w:r>
      <w:bookmarkEnd w:id="216"/>
      <w:bookmarkEnd w:id="217"/>
      <w:bookmarkEnd w:id="218"/>
      <w:bookmarkEnd w:id="219"/>
      <w:bookmarkEnd w:id="220"/>
      <w:bookmarkEnd w:id="221"/>
      <w:bookmarkEnd w:id="222"/>
      <w:bookmarkEnd w:id="223"/>
    </w:p>
    <w:p w14:paraId="43891340">
      <w:pPr>
        <w:spacing w:line="360" w:lineRule="auto"/>
        <w:rPr>
          <w:rFonts w:hint="eastAsia" w:ascii="仿宋" w:hAnsi="仿宋" w:eastAsia="仿宋" w:cs="仿宋"/>
          <w:color w:val="auto"/>
          <w:highlight w:val="none"/>
        </w:rPr>
      </w:pPr>
    </w:p>
    <w:p w14:paraId="5E7738EB">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请按投标产品的实际技术参数，逐条对应招标文件的“</w:t>
      </w:r>
      <w:r>
        <w:rPr>
          <w:rFonts w:hint="eastAsia" w:ascii="仿宋" w:hAnsi="仿宋" w:eastAsia="仿宋" w:cs="仿宋"/>
          <w:b/>
          <w:color w:val="auto"/>
          <w:sz w:val="24"/>
          <w:szCs w:val="24"/>
          <w:highlight w:val="none"/>
          <w:lang w:val="en-US" w:eastAsia="zh-CN"/>
        </w:rPr>
        <w:t>采购需求</w:t>
      </w:r>
      <w:r>
        <w:rPr>
          <w:rFonts w:hint="eastAsia" w:ascii="仿宋" w:hAnsi="仿宋" w:eastAsia="仿宋" w:cs="仿宋"/>
          <w:color w:val="auto"/>
          <w:sz w:val="24"/>
          <w:szCs w:val="24"/>
          <w:highlight w:val="none"/>
        </w:rPr>
        <w:t>”中要求的技术规范认真填写该表，该表不能作为投标产品的技术文件。</w:t>
      </w:r>
    </w:p>
    <w:p w14:paraId="622E9187">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126D187F">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          </w:t>
      </w:r>
    </w:p>
    <w:p w14:paraId="0BD7FF48">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rPr>
        <w:t>：</w:t>
      </w:r>
    </w:p>
    <w:tbl>
      <w:tblPr>
        <w:tblStyle w:val="2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0"/>
        <w:gridCol w:w="1082"/>
        <w:gridCol w:w="2345"/>
        <w:gridCol w:w="2489"/>
        <w:gridCol w:w="1262"/>
        <w:gridCol w:w="1803"/>
      </w:tblGrid>
      <w:tr w14:paraId="2147C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trPr>
        <w:tc>
          <w:tcPr>
            <w:tcW w:w="505" w:type="pct"/>
            <w:vAlign w:val="center"/>
          </w:tcPr>
          <w:p w14:paraId="33BBA8BB">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产品名称</w:t>
            </w:r>
          </w:p>
        </w:tc>
        <w:tc>
          <w:tcPr>
            <w:tcW w:w="541" w:type="pct"/>
            <w:vAlign w:val="center"/>
          </w:tcPr>
          <w:p w14:paraId="2E84C070">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序号</w:t>
            </w:r>
          </w:p>
        </w:tc>
        <w:tc>
          <w:tcPr>
            <w:tcW w:w="1173" w:type="pct"/>
            <w:vAlign w:val="center"/>
          </w:tcPr>
          <w:p w14:paraId="71C4BB30">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招标文件技术规范、要求</w:t>
            </w:r>
          </w:p>
        </w:tc>
        <w:tc>
          <w:tcPr>
            <w:tcW w:w="1245" w:type="pct"/>
            <w:vAlign w:val="center"/>
          </w:tcPr>
          <w:p w14:paraId="4C2BA13D">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投标品牌、型号、技术参数及配置</w:t>
            </w:r>
          </w:p>
        </w:tc>
        <w:tc>
          <w:tcPr>
            <w:tcW w:w="631" w:type="pct"/>
            <w:vAlign w:val="center"/>
          </w:tcPr>
          <w:p w14:paraId="3D1C37C0">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偏离</w:t>
            </w:r>
          </w:p>
        </w:tc>
        <w:tc>
          <w:tcPr>
            <w:tcW w:w="902" w:type="pct"/>
            <w:vAlign w:val="center"/>
          </w:tcPr>
          <w:p w14:paraId="3B936BB7">
            <w:pPr>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技术支持资料索引（页码及条目号等）</w:t>
            </w:r>
          </w:p>
        </w:tc>
      </w:tr>
      <w:tr w14:paraId="5C7A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5" w:hRule="atLeast"/>
        </w:trPr>
        <w:tc>
          <w:tcPr>
            <w:tcW w:w="505" w:type="pct"/>
            <w:vAlign w:val="center"/>
          </w:tcPr>
          <w:p w14:paraId="7CF0359B">
            <w:pPr>
              <w:spacing w:line="360" w:lineRule="auto"/>
              <w:rPr>
                <w:rFonts w:hint="eastAsia" w:ascii="仿宋" w:hAnsi="仿宋" w:eastAsia="仿宋" w:cs="仿宋"/>
                <w:color w:val="auto"/>
                <w:highlight w:val="none"/>
              </w:rPr>
            </w:pPr>
          </w:p>
        </w:tc>
        <w:tc>
          <w:tcPr>
            <w:tcW w:w="541" w:type="pct"/>
            <w:vAlign w:val="center"/>
          </w:tcPr>
          <w:p w14:paraId="76EFF685">
            <w:pPr>
              <w:spacing w:line="360" w:lineRule="auto"/>
              <w:rPr>
                <w:rFonts w:hint="eastAsia" w:ascii="仿宋" w:hAnsi="仿宋" w:eastAsia="仿宋" w:cs="仿宋"/>
                <w:color w:val="auto"/>
                <w:highlight w:val="none"/>
              </w:rPr>
            </w:pPr>
          </w:p>
        </w:tc>
        <w:tc>
          <w:tcPr>
            <w:tcW w:w="1173" w:type="pct"/>
            <w:vAlign w:val="center"/>
          </w:tcPr>
          <w:p w14:paraId="385AF849">
            <w:pPr>
              <w:spacing w:line="360" w:lineRule="auto"/>
              <w:rPr>
                <w:rFonts w:hint="eastAsia" w:ascii="仿宋" w:hAnsi="仿宋" w:eastAsia="仿宋" w:cs="仿宋"/>
                <w:color w:val="auto"/>
                <w:highlight w:val="none"/>
              </w:rPr>
            </w:pPr>
          </w:p>
        </w:tc>
        <w:tc>
          <w:tcPr>
            <w:tcW w:w="1245" w:type="pct"/>
            <w:vAlign w:val="center"/>
          </w:tcPr>
          <w:p w14:paraId="11041FAA">
            <w:pPr>
              <w:spacing w:line="360" w:lineRule="auto"/>
              <w:rPr>
                <w:rFonts w:hint="eastAsia" w:ascii="仿宋" w:hAnsi="仿宋" w:eastAsia="仿宋" w:cs="仿宋"/>
                <w:color w:val="auto"/>
                <w:highlight w:val="none"/>
              </w:rPr>
            </w:pPr>
          </w:p>
        </w:tc>
        <w:tc>
          <w:tcPr>
            <w:tcW w:w="631" w:type="pct"/>
          </w:tcPr>
          <w:p w14:paraId="6ACFCE25">
            <w:pPr>
              <w:spacing w:line="360" w:lineRule="auto"/>
              <w:rPr>
                <w:rFonts w:hint="eastAsia" w:ascii="仿宋" w:hAnsi="仿宋" w:eastAsia="仿宋" w:cs="仿宋"/>
                <w:color w:val="auto"/>
                <w:highlight w:val="none"/>
              </w:rPr>
            </w:pPr>
          </w:p>
        </w:tc>
        <w:tc>
          <w:tcPr>
            <w:tcW w:w="902" w:type="pct"/>
            <w:vAlign w:val="center"/>
          </w:tcPr>
          <w:p w14:paraId="18ED4970">
            <w:pPr>
              <w:spacing w:line="360" w:lineRule="auto"/>
              <w:rPr>
                <w:rFonts w:hint="eastAsia" w:ascii="仿宋" w:hAnsi="仿宋" w:eastAsia="仿宋" w:cs="仿宋"/>
                <w:color w:val="auto"/>
                <w:highlight w:val="none"/>
              </w:rPr>
            </w:pPr>
          </w:p>
        </w:tc>
      </w:tr>
      <w:tr w14:paraId="2F277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505" w:type="pct"/>
            <w:vAlign w:val="center"/>
          </w:tcPr>
          <w:p w14:paraId="31A1305A">
            <w:pPr>
              <w:spacing w:line="360" w:lineRule="auto"/>
              <w:rPr>
                <w:rFonts w:hint="eastAsia" w:ascii="仿宋" w:hAnsi="仿宋" w:eastAsia="仿宋" w:cs="仿宋"/>
                <w:color w:val="auto"/>
                <w:highlight w:val="none"/>
              </w:rPr>
            </w:pPr>
          </w:p>
        </w:tc>
        <w:tc>
          <w:tcPr>
            <w:tcW w:w="541" w:type="pct"/>
            <w:vAlign w:val="center"/>
          </w:tcPr>
          <w:p w14:paraId="30DD81AB">
            <w:pPr>
              <w:spacing w:line="360" w:lineRule="auto"/>
              <w:rPr>
                <w:rFonts w:hint="eastAsia" w:ascii="仿宋" w:hAnsi="仿宋" w:eastAsia="仿宋" w:cs="仿宋"/>
                <w:color w:val="auto"/>
                <w:highlight w:val="none"/>
              </w:rPr>
            </w:pPr>
          </w:p>
        </w:tc>
        <w:tc>
          <w:tcPr>
            <w:tcW w:w="1173" w:type="pct"/>
            <w:vAlign w:val="center"/>
          </w:tcPr>
          <w:p w14:paraId="2ED9A2B5">
            <w:pPr>
              <w:spacing w:line="360" w:lineRule="auto"/>
              <w:rPr>
                <w:rFonts w:hint="eastAsia" w:ascii="仿宋" w:hAnsi="仿宋" w:eastAsia="仿宋" w:cs="仿宋"/>
                <w:color w:val="auto"/>
                <w:highlight w:val="none"/>
              </w:rPr>
            </w:pPr>
          </w:p>
        </w:tc>
        <w:tc>
          <w:tcPr>
            <w:tcW w:w="1245" w:type="pct"/>
            <w:vAlign w:val="center"/>
          </w:tcPr>
          <w:p w14:paraId="384BE1E0">
            <w:pPr>
              <w:spacing w:line="360" w:lineRule="auto"/>
              <w:rPr>
                <w:rFonts w:hint="eastAsia" w:ascii="仿宋" w:hAnsi="仿宋" w:eastAsia="仿宋" w:cs="仿宋"/>
                <w:color w:val="auto"/>
                <w:highlight w:val="none"/>
              </w:rPr>
            </w:pPr>
          </w:p>
        </w:tc>
        <w:tc>
          <w:tcPr>
            <w:tcW w:w="631" w:type="pct"/>
          </w:tcPr>
          <w:p w14:paraId="3B96A4DD">
            <w:pPr>
              <w:spacing w:line="360" w:lineRule="auto"/>
              <w:rPr>
                <w:rFonts w:hint="eastAsia" w:ascii="仿宋" w:hAnsi="仿宋" w:eastAsia="仿宋" w:cs="仿宋"/>
                <w:color w:val="auto"/>
                <w:highlight w:val="none"/>
              </w:rPr>
            </w:pPr>
          </w:p>
        </w:tc>
        <w:tc>
          <w:tcPr>
            <w:tcW w:w="902" w:type="pct"/>
            <w:vAlign w:val="center"/>
          </w:tcPr>
          <w:p w14:paraId="18235243">
            <w:pPr>
              <w:spacing w:line="360" w:lineRule="auto"/>
              <w:rPr>
                <w:rFonts w:hint="eastAsia" w:ascii="仿宋" w:hAnsi="仿宋" w:eastAsia="仿宋" w:cs="仿宋"/>
                <w:color w:val="auto"/>
                <w:highlight w:val="none"/>
              </w:rPr>
            </w:pPr>
          </w:p>
        </w:tc>
      </w:tr>
      <w:tr w14:paraId="2BEF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505" w:type="pct"/>
            <w:vAlign w:val="center"/>
          </w:tcPr>
          <w:p w14:paraId="57A05F5E">
            <w:pPr>
              <w:spacing w:line="360" w:lineRule="auto"/>
              <w:rPr>
                <w:rFonts w:hint="eastAsia" w:ascii="仿宋" w:hAnsi="仿宋" w:eastAsia="仿宋" w:cs="仿宋"/>
                <w:color w:val="auto"/>
                <w:highlight w:val="none"/>
              </w:rPr>
            </w:pPr>
          </w:p>
        </w:tc>
        <w:tc>
          <w:tcPr>
            <w:tcW w:w="541" w:type="pct"/>
            <w:vAlign w:val="center"/>
          </w:tcPr>
          <w:p w14:paraId="4A1CA4E6">
            <w:pPr>
              <w:spacing w:line="360" w:lineRule="auto"/>
              <w:rPr>
                <w:rFonts w:hint="eastAsia" w:ascii="仿宋" w:hAnsi="仿宋" w:eastAsia="仿宋" w:cs="仿宋"/>
                <w:color w:val="auto"/>
                <w:highlight w:val="none"/>
              </w:rPr>
            </w:pPr>
          </w:p>
        </w:tc>
        <w:tc>
          <w:tcPr>
            <w:tcW w:w="1173" w:type="pct"/>
            <w:vAlign w:val="center"/>
          </w:tcPr>
          <w:p w14:paraId="68505F99">
            <w:pPr>
              <w:spacing w:line="360" w:lineRule="auto"/>
              <w:rPr>
                <w:rFonts w:hint="eastAsia" w:ascii="仿宋" w:hAnsi="仿宋" w:eastAsia="仿宋" w:cs="仿宋"/>
                <w:color w:val="auto"/>
                <w:highlight w:val="none"/>
              </w:rPr>
            </w:pPr>
          </w:p>
        </w:tc>
        <w:tc>
          <w:tcPr>
            <w:tcW w:w="1245" w:type="pct"/>
            <w:vAlign w:val="center"/>
          </w:tcPr>
          <w:p w14:paraId="34956D41">
            <w:pPr>
              <w:spacing w:line="360" w:lineRule="auto"/>
              <w:rPr>
                <w:rFonts w:hint="eastAsia" w:ascii="仿宋" w:hAnsi="仿宋" w:eastAsia="仿宋" w:cs="仿宋"/>
                <w:color w:val="auto"/>
                <w:highlight w:val="none"/>
              </w:rPr>
            </w:pPr>
          </w:p>
        </w:tc>
        <w:tc>
          <w:tcPr>
            <w:tcW w:w="631" w:type="pct"/>
          </w:tcPr>
          <w:p w14:paraId="5E274F53">
            <w:pPr>
              <w:spacing w:line="360" w:lineRule="auto"/>
              <w:rPr>
                <w:rFonts w:hint="eastAsia" w:ascii="仿宋" w:hAnsi="仿宋" w:eastAsia="仿宋" w:cs="仿宋"/>
                <w:color w:val="auto"/>
                <w:highlight w:val="none"/>
              </w:rPr>
            </w:pPr>
          </w:p>
        </w:tc>
        <w:tc>
          <w:tcPr>
            <w:tcW w:w="902" w:type="pct"/>
            <w:vAlign w:val="center"/>
          </w:tcPr>
          <w:p w14:paraId="7E77A94C">
            <w:pPr>
              <w:spacing w:line="360" w:lineRule="auto"/>
              <w:rPr>
                <w:rFonts w:hint="eastAsia" w:ascii="仿宋" w:hAnsi="仿宋" w:eastAsia="仿宋" w:cs="仿宋"/>
                <w:color w:val="auto"/>
                <w:highlight w:val="none"/>
              </w:rPr>
            </w:pPr>
          </w:p>
        </w:tc>
      </w:tr>
      <w:tr w14:paraId="343FA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505" w:type="pct"/>
            <w:vAlign w:val="center"/>
          </w:tcPr>
          <w:p w14:paraId="78BA19A8">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w:t>
            </w:r>
          </w:p>
        </w:tc>
        <w:tc>
          <w:tcPr>
            <w:tcW w:w="541" w:type="pct"/>
            <w:vAlign w:val="center"/>
          </w:tcPr>
          <w:p w14:paraId="2061FBA8">
            <w:pPr>
              <w:spacing w:line="360" w:lineRule="auto"/>
              <w:rPr>
                <w:rFonts w:hint="eastAsia" w:ascii="仿宋" w:hAnsi="仿宋" w:eastAsia="仿宋" w:cs="仿宋"/>
                <w:color w:val="auto"/>
                <w:highlight w:val="none"/>
              </w:rPr>
            </w:pPr>
          </w:p>
        </w:tc>
        <w:tc>
          <w:tcPr>
            <w:tcW w:w="1173" w:type="pct"/>
            <w:vAlign w:val="center"/>
          </w:tcPr>
          <w:p w14:paraId="711788A6">
            <w:pPr>
              <w:spacing w:line="360" w:lineRule="auto"/>
              <w:rPr>
                <w:rFonts w:hint="eastAsia" w:ascii="仿宋" w:hAnsi="仿宋" w:eastAsia="仿宋" w:cs="仿宋"/>
                <w:color w:val="auto"/>
                <w:highlight w:val="none"/>
              </w:rPr>
            </w:pPr>
          </w:p>
        </w:tc>
        <w:tc>
          <w:tcPr>
            <w:tcW w:w="1245" w:type="pct"/>
            <w:vAlign w:val="center"/>
          </w:tcPr>
          <w:p w14:paraId="318B452A">
            <w:pPr>
              <w:spacing w:line="360" w:lineRule="auto"/>
              <w:rPr>
                <w:rFonts w:hint="eastAsia" w:ascii="仿宋" w:hAnsi="仿宋" w:eastAsia="仿宋" w:cs="仿宋"/>
                <w:color w:val="auto"/>
                <w:highlight w:val="none"/>
              </w:rPr>
            </w:pPr>
          </w:p>
        </w:tc>
        <w:tc>
          <w:tcPr>
            <w:tcW w:w="631" w:type="pct"/>
          </w:tcPr>
          <w:p w14:paraId="2F70C6A5">
            <w:pPr>
              <w:spacing w:line="360" w:lineRule="auto"/>
              <w:rPr>
                <w:rFonts w:hint="eastAsia" w:ascii="仿宋" w:hAnsi="仿宋" w:eastAsia="仿宋" w:cs="仿宋"/>
                <w:color w:val="auto"/>
                <w:highlight w:val="none"/>
              </w:rPr>
            </w:pPr>
          </w:p>
        </w:tc>
        <w:tc>
          <w:tcPr>
            <w:tcW w:w="902" w:type="pct"/>
            <w:vAlign w:val="center"/>
          </w:tcPr>
          <w:p w14:paraId="58043E25">
            <w:pPr>
              <w:spacing w:line="360" w:lineRule="auto"/>
              <w:rPr>
                <w:rFonts w:hint="eastAsia" w:ascii="仿宋" w:hAnsi="仿宋" w:eastAsia="仿宋" w:cs="仿宋"/>
                <w:color w:val="auto"/>
                <w:highlight w:val="none"/>
              </w:rPr>
            </w:pPr>
          </w:p>
        </w:tc>
      </w:tr>
    </w:tbl>
    <w:p w14:paraId="43519FAE">
      <w:pPr>
        <w:pStyle w:val="1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1、表格中“偏离”一列，投标人只能如实填写“正偏离”、“负偏离”或“无偏离”。凡投标内容高于招标文件要求的，按“正偏离”填写；低于招标文件要求的，按“负偏离”填写；满足招标文件要求的，按“无偏离”填写。并在“</w:t>
      </w:r>
      <w:r>
        <w:rPr>
          <w:rFonts w:hint="eastAsia" w:ascii="仿宋" w:hAnsi="仿宋" w:eastAsia="仿宋" w:cs="仿宋"/>
          <w:b/>
          <w:color w:val="auto"/>
          <w:sz w:val="21"/>
          <w:szCs w:val="21"/>
          <w:highlight w:val="none"/>
        </w:rPr>
        <w:t>投标品牌、型号、技术参数及配置”一列中</w:t>
      </w:r>
      <w:r>
        <w:rPr>
          <w:rFonts w:hint="eastAsia" w:ascii="仿宋" w:hAnsi="仿宋" w:eastAsia="仿宋" w:cs="仿宋"/>
          <w:color w:val="auto"/>
          <w:sz w:val="21"/>
          <w:szCs w:val="21"/>
          <w:highlight w:val="none"/>
        </w:rPr>
        <w:t>写明技术参数。</w:t>
      </w:r>
    </w:p>
    <w:p w14:paraId="4C463551">
      <w:pPr>
        <w:pStyle w:val="1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2、序号应对应该产品在第五章《</w:t>
      </w:r>
      <w:r>
        <w:rPr>
          <w:rFonts w:hint="eastAsia" w:ascii="仿宋" w:hAnsi="仿宋" w:eastAsia="仿宋" w:cs="仿宋"/>
          <w:color w:val="auto"/>
          <w:sz w:val="21"/>
          <w:szCs w:val="21"/>
          <w:highlight w:val="none"/>
          <w:lang w:val="en-US" w:eastAsia="zh-CN"/>
        </w:rPr>
        <w:t>采购需求</w:t>
      </w:r>
      <w:r>
        <w:rPr>
          <w:rFonts w:hint="eastAsia" w:ascii="仿宋" w:hAnsi="仿宋" w:eastAsia="仿宋" w:cs="仿宋"/>
          <w:color w:val="auto"/>
          <w:sz w:val="21"/>
          <w:szCs w:val="21"/>
          <w:highlight w:val="none"/>
        </w:rPr>
        <w:t>》中的序号。</w:t>
      </w:r>
    </w:p>
    <w:p w14:paraId="008C1FD1">
      <w:pPr>
        <w:pStyle w:val="10"/>
        <w:spacing w:line="360" w:lineRule="auto"/>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3、各投标人必须对招标文件第五章项目需求及技术要求中的技术参数要求作出全面、真实的反映，投标人除如实填写技术规格偏离表外，投标文件中必须提供最新技术支持资料支持参数技术规格偏离表应答（技术支持资料包括但不限于所投货物的技术白皮书、产品相关鉴定资料、试验报告、检验报告、技术彩页、宣传资料、图纸资料等）。</w:t>
      </w:r>
      <w:r>
        <w:rPr>
          <w:rFonts w:hint="eastAsia" w:ascii="仿宋" w:hAnsi="仿宋" w:eastAsia="仿宋" w:cs="仿宋"/>
          <w:b/>
          <w:color w:val="auto"/>
          <w:sz w:val="21"/>
          <w:szCs w:val="21"/>
          <w:highlight w:val="none"/>
        </w:rPr>
        <w:t>若投标文件中最新技术支持资料参数与技术规格偏离表应答不符或无技术资料应答，而投标人又未在投标文件中作出说明和解释的，视为</w:t>
      </w:r>
      <w:r>
        <w:rPr>
          <w:rFonts w:hint="eastAsia" w:ascii="仿宋" w:hAnsi="仿宋" w:eastAsia="仿宋" w:cs="仿宋"/>
          <w:b/>
          <w:color w:val="auto"/>
          <w:sz w:val="21"/>
          <w:szCs w:val="21"/>
          <w:highlight w:val="none"/>
          <w:u w:val="single"/>
        </w:rPr>
        <w:t>不响应该条技术参数要求</w:t>
      </w:r>
      <w:r>
        <w:rPr>
          <w:rFonts w:hint="eastAsia" w:ascii="仿宋" w:hAnsi="仿宋" w:eastAsia="仿宋" w:cs="仿宋"/>
          <w:b/>
          <w:color w:val="auto"/>
          <w:sz w:val="21"/>
          <w:szCs w:val="21"/>
          <w:highlight w:val="none"/>
        </w:rPr>
        <w:t>。</w:t>
      </w:r>
    </w:p>
    <w:p w14:paraId="64390E16">
      <w:pPr>
        <w:pStyle w:val="1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4.投标人应将支持该项技术要求响应的技术支持资料在投标文件中的索引（页码及条目号等）标注在“技术支持资料索引”一栏中。</w:t>
      </w:r>
    </w:p>
    <w:p w14:paraId="31221CD4">
      <w:pPr>
        <w:spacing w:line="360" w:lineRule="auto"/>
        <w:rPr>
          <w:rFonts w:hint="eastAsia" w:ascii="仿宋" w:hAnsi="仿宋" w:eastAsia="仿宋" w:cs="仿宋"/>
          <w:color w:val="auto"/>
          <w:sz w:val="24"/>
          <w:szCs w:val="24"/>
          <w:highlight w:val="none"/>
        </w:rPr>
      </w:pPr>
    </w:p>
    <w:p w14:paraId="7F3BF450">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投标人：（电子签章）</w:t>
      </w:r>
    </w:p>
    <w:p w14:paraId="6AEC99E8">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法定代表人：（电子签名）</w:t>
      </w:r>
    </w:p>
    <w:p w14:paraId="1D959E73">
      <w:pPr>
        <w:spacing w:line="360" w:lineRule="auto"/>
        <w:jc w:val="right"/>
        <w:rPr>
          <w:rFonts w:hint="eastAsia" w:ascii="仿宋" w:hAnsi="仿宋" w:eastAsia="仿宋" w:cs="仿宋"/>
          <w:b/>
          <w:color w:val="auto"/>
          <w:sz w:val="24"/>
          <w:szCs w:val="24"/>
          <w:highlight w:val="none"/>
          <w:lang w:eastAsia="zh-CN"/>
        </w:rPr>
      </w:pPr>
      <w:r>
        <w:rPr>
          <w:rFonts w:hint="eastAsia" w:ascii="仿宋" w:hAnsi="仿宋" w:eastAsia="仿宋" w:cs="仿宋"/>
          <w:color w:val="auto"/>
          <w:sz w:val="24"/>
          <w:szCs w:val="24"/>
          <w:highlight w:val="none"/>
          <w:lang w:eastAsia="zh-CN"/>
        </w:rPr>
        <w:t>日期：       年   月    日</w:t>
      </w:r>
    </w:p>
    <w:p w14:paraId="21F9E307">
      <w:pPr>
        <w:pStyle w:val="1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6EB53767">
      <w:pPr>
        <w:spacing w:line="360" w:lineRule="auto"/>
        <w:rPr>
          <w:rFonts w:hint="eastAsia" w:ascii="仿宋" w:hAnsi="仿宋" w:eastAsia="仿宋" w:cs="仿宋"/>
          <w:color w:val="auto"/>
          <w:highlight w:val="none"/>
        </w:rPr>
      </w:pPr>
      <w:bookmarkStart w:id="224" w:name="_Toc101004120"/>
      <w:bookmarkStart w:id="225" w:name="_Toc493600042"/>
      <w:bookmarkStart w:id="226" w:name="_Toc13665033"/>
      <w:bookmarkStart w:id="227" w:name="_Toc141099680"/>
      <w:r>
        <w:rPr>
          <w:rFonts w:hint="eastAsia" w:ascii="仿宋" w:hAnsi="仿宋" w:eastAsia="仿宋" w:cs="仿宋"/>
          <w:color w:val="auto"/>
          <w:highlight w:val="none"/>
        </w:rPr>
        <w:br w:type="page"/>
      </w:r>
    </w:p>
    <w:p w14:paraId="12E050AF">
      <w:pPr>
        <w:pStyle w:val="3"/>
        <w:spacing w:line="360" w:lineRule="auto"/>
        <w:jc w:val="center"/>
        <w:rPr>
          <w:rFonts w:hint="eastAsia" w:ascii="仿宋" w:hAnsi="仿宋" w:eastAsia="仿宋" w:cs="仿宋"/>
          <w:color w:val="auto"/>
          <w:highlight w:val="none"/>
        </w:rPr>
      </w:pPr>
      <w:bookmarkStart w:id="228" w:name="_Toc25049"/>
      <w:bookmarkStart w:id="229" w:name="_Toc28707"/>
      <w:bookmarkStart w:id="230" w:name="_Toc17"/>
      <w:r>
        <w:rPr>
          <w:rFonts w:hint="eastAsia" w:ascii="仿宋" w:hAnsi="仿宋" w:eastAsia="仿宋" w:cs="仿宋"/>
          <w:color w:val="auto"/>
          <w:highlight w:val="none"/>
        </w:rPr>
        <w:t>（二）技 术 文 件</w:t>
      </w:r>
      <w:bookmarkEnd w:id="224"/>
      <w:bookmarkEnd w:id="225"/>
      <w:bookmarkEnd w:id="226"/>
      <w:bookmarkEnd w:id="227"/>
      <w:bookmarkEnd w:id="228"/>
      <w:bookmarkEnd w:id="229"/>
      <w:bookmarkEnd w:id="230"/>
    </w:p>
    <w:p w14:paraId="7F7E15E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应包括（但不限于）以下内容：</w:t>
      </w:r>
    </w:p>
    <w:p w14:paraId="79E70B2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1.投标人基本情况（组织机构、服务能力、为保证项目运行所</w:t>
      </w:r>
      <w:r>
        <w:rPr>
          <w:rFonts w:hint="eastAsia" w:ascii="仿宋" w:hAnsi="仿宋" w:eastAsia="仿宋" w:cs="仿宋"/>
          <w:color w:val="auto"/>
          <w:sz w:val="24"/>
          <w:szCs w:val="24"/>
          <w:highlight w:val="none"/>
          <w:lang w:eastAsia="zh-CN"/>
        </w:rPr>
        <w:t>必需</w:t>
      </w:r>
      <w:r>
        <w:rPr>
          <w:rFonts w:hint="eastAsia" w:ascii="仿宋" w:hAnsi="仿宋" w:eastAsia="仿宋" w:cs="仿宋"/>
          <w:color w:val="auto"/>
          <w:sz w:val="24"/>
          <w:szCs w:val="24"/>
          <w:highlight w:val="none"/>
        </w:rPr>
        <w:t>的人员等）概述；</w:t>
      </w:r>
    </w:p>
    <w:p w14:paraId="2BA22A1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2.投标人技术支持资料（包括但不限于所投</w:t>
      </w:r>
      <w:r>
        <w:rPr>
          <w:rFonts w:hint="eastAsia" w:ascii="仿宋" w:hAnsi="仿宋" w:eastAsia="仿宋" w:cs="仿宋"/>
          <w:color w:val="auto"/>
          <w:sz w:val="24"/>
          <w:szCs w:val="24"/>
          <w:highlight w:val="none"/>
          <w:lang w:val="en-US" w:eastAsia="zh-CN"/>
        </w:rPr>
        <w:t>产品</w:t>
      </w:r>
      <w:r>
        <w:rPr>
          <w:rFonts w:hint="eastAsia" w:ascii="仿宋" w:hAnsi="仿宋" w:eastAsia="仿宋" w:cs="仿宋"/>
          <w:color w:val="auto"/>
          <w:sz w:val="24"/>
          <w:szCs w:val="24"/>
          <w:highlight w:val="none"/>
        </w:rPr>
        <w:t>的技术白皮书、产品相关鉴定资料、检验报告、技术彩页、宣传资料等）；</w:t>
      </w:r>
    </w:p>
    <w:p w14:paraId="3B72BAE6">
      <w:pPr>
        <w:pStyle w:val="10"/>
        <w:spacing w:line="360" w:lineRule="auto"/>
        <w:ind w:firstLine="480" w:firstLineChars="200"/>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b w:val="0"/>
          <w:bCs w:val="0"/>
          <w:color w:val="auto"/>
          <w:sz w:val="24"/>
          <w:szCs w:val="24"/>
          <w:highlight w:val="none"/>
        </w:rPr>
        <w:t>项目实施方案评审评分</w:t>
      </w:r>
      <w:r>
        <w:rPr>
          <w:rFonts w:hint="eastAsia" w:ascii="仿宋" w:hAnsi="仿宋" w:eastAsia="仿宋" w:cs="仿宋"/>
          <w:b w:val="0"/>
          <w:bCs w:val="0"/>
          <w:color w:val="auto"/>
          <w:kern w:val="2"/>
          <w:sz w:val="24"/>
          <w:szCs w:val="24"/>
          <w:highlight w:val="none"/>
          <w:lang w:val="en-US" w:eastAsia="zh-CN" w:bidi="ar-SA"/>
        </w:rPr>
        <w:t>（格式自拟）</w:t>
      </w:r>
    </w:p>
    <w:p w14:paraId="03EE4A61">
      <w:pPr>
        <w:pStyle w:val="7"/>
        <w:ind w:firstLine="480" w:firstLineChars="20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4.质量保证措施及承诺（格式自拟）</w:t>
      </w:r>
    </w:p>
    <w:p w14:paraId="14E03832">
      <w:pPr>
        <w:pStyle w:val="7"/>
        <w:ind w:firstLine="480" w:firstLineChars="20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5.售后服务保证措施及承诺（格式自拟）</w:t>
      </w:r>
    </w:p>
    <w:p w14:paraId="402039D0">
      <w:pPr>
        <w:pStyle w:val="7"/>
        <w:ind w:firstLine="480" w:firstLineChars="20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6.节能、环保产品评审（格式自拟）</w:t>
      </w:r>
    </w:p>
    <w:p w14:paraId="2E01CD99">
      <w:pPr>
        <w:pStyle w:val="7"/>
        <w:ind w:firstLine="480" w:firstLineChars="200"/>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7.安装培训方案（格式自拟）</w:t>
      </w:r>
    </w:p>
    <w:p w14:paraId="2C78E06B">
      <w:pPr>
        <w:pStyle w:val="7"/>
        <w:ind w:firstLine="480" w:firstLineChars="200"/>
        <w:rPr>
          <w:rFonts w:hint="default"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kern w:val="2"/>
          <w:sz w:val="24"/>
          <w:szCs w:val="24"/>
          <w:highlight w:val="none"/>
          <w:lang w:val="en-US" w:eastAsia="zh-CN" w:bidi="ar-SA"/>
        </w:rPr>
        <w:t>8、类似业绩（格式自拟）</w:t>
      </w:r>
    </w:p>
    <w:p w14:paraId="5B51FC75">
      <w:pPr>
        <w:pStyle w:val="23"/>
        <w:outlineLvl w:val="9"/>
        <w:rPr>
          <w:rFonts w:hint="eastAsia" w:ascii="仿宋" w:hAnsi="仿宋" w:eastAsia="仿宋" w:cs="仿宋"/>
          <w:lang w:val="en-US" w:eastAsia="zh-CN"/>
        </w:rPr>
      </w:pPr>
      <w:r>
        <w:rPr>
          <w:rFonts w:hint="eastAsia" w:ascii="仿宋" w:hAnsi="仿宋" w:eastAsia="仿宋" w:cs="仿宋"/>
          <w:lang w:val="en-US" w:eastAsia="zh-CN"/>
        </w:rPr>
        <w:t>。。。。。。。。。</w:t>
      </w:r>
    </w:p>
    <w:p w14:paraId="0AF7DA53">
      <w:pPr>
        <w:pStyle w:val="10"/>
        <w:spacing w:line="360" w:lineRule="auto"/>
        <w:rPr>
          <w:rFonts w:hint="eastAsia" w:ascii="仿宋" w:hAnsi="仿宋" w:eastAsia="仿宋" w:cs="仿宋"/>
          <w:color w:val="auto"/>
          <w:highlight w:val="none"/>
          <w:lang w:val="en-US" w:eastAsia="zh-CN"/>
        </w:rPr>
      </w:pPr>
      <w:bookmarkStart w:id="231" w:name="_Toc101004122"/>
      <w:bookmarkStart w:id="232" w:name="_Toc141099682"/>
      <w:bookmarkStart w:id="233" w:name="_Toc13665035"/>
      <w:bookmarkStart w:id="234" w:name="_Toc493600044"/>
      <w:r>
        <w:rPr>
          <w:rFonts w:hint="eastAsia" w:ascii="仿宋" w:hAnsi="仿宋" w:eastAsia="仿宋" w:cs="仿宋"/>
          <w:color w:val="auto"/>
          <w:highlight w:val="none"/>
          <w:lang w:val="en-US" w:eastAsia="zh-CN"/>
        </w:rPr>
        <w:br w:type="page"/>
      </w:r>
    </w:p>
    <w:p w14:paraId="2ACBD7BE">
      <w:pPr>
        <w:pStyle w:val="10"/>
        <w:spacing w:line="360" w:lineRule="auto"/>
        <w:rPr>
          <w:rFonts w:hint="eastAsia" w:ascii="仿宋" w:hAnsi="仿宋" w:eastAsia="仿宋" w:cs="仿宋"/>
          <w:color w:val="auto"/>
          <w:highlight w:val="none"/>
        </w:rPr>
      </w:pPr>
    </w:p>
    <w:p w14:paraId="7348EF1B">
      <w:pPr>
        <w:pStyle w:val="3"/>
        <w:spacing w:line="360" w:lineRule="auto"/>
        <w:jc w:val="center"/>
        <w:rPr>
          <w:rFonts w:hint="eastAsia" w:ascii="仿宋" w:hAnsi="仿宋" w:eastAsia="仿宋" w:cs="仿宋"/>
          <w:color w:val="auto"/>
          <w:highlight w:val="none"/>
        </w:rPr>
      </w:pPr>
      <w:bookmarkStart w:id="235" w:name="_Toc17064"/>
      <w:bookmarkStart w:id="236" w:name="_Toc4673"/>
      <w:bookmarkStart w:id="237" w:name="_Toc31166"/>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rPr>
        <w:t>）构成投标文件技术部分的其他资料</w:t>
      </w:r>
      <w:bookmarkEnd w:id="231"/>
      <w:bookmarkEnd w:id="232"/>
      <w:bookmarkEnd w:id="233"/>
      <w:bookmarkEnd w:id="234"/>
      <w:bookmarkEnd w:id="235"/>
      <w:bookmarkEnd w:id="236"/>
      <w:bookmarkEnd w:id="237"/>
    </w:p>
    <w:p w14:paraId="1B955E4C">
      <w:pPr>
        <w:spacing w:line="360" w:lineRule="auto"/>
        <w:jc w:val="center"/>
        <w:rPr>
          <w:rFonts w:hint="eastAsia" w:ascii="仿宋" w:hAnsi="仿宋" w:eastAsia="仿宋" w:cs="仿宋"/>
          <w:color w:val="auto"/>
          <w:highlight w:val="none"/>
        </w:rPr>
      </w:pPr>
    </w:p>
    <w:p w14:paraId="27C08417">
      <w:pPr>
        <w:pStyle w:val="10"/>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详见第二章“投标人须知前附表”第13.1条，请自拟格式。</w:t>
      </w:r>
    </w:p>
    <w:p w14:paraId="371D4550">
      <w:pPr>
        <w:spacing w:line="360" w:lineRule="auto"/>
        <w:rPr>
          <w:rFonts w:hint="eastAsia" w:ascii="仿宋" w:hAnsi="仿宋" w:eastAsia="仿宋" w:cs="仿宋"/>
          <w:color w:val="auto"/>
          <w:highlight w:val="none"/>
        </w:rPr>
      </w:pPr>
    </w:p>
    <w:p w14:paraId="30D2CD3A">
      <w:pPr>
        <w:pStyle w:val="2"/>
        <w:numPr>
          <w:ilvl w:val="0"/>
          <w:numId w:val="2"/>
        </w:numPr>
        <w:spacing w:line="360" w:lineRule="auto"/>
        <w:jc w:val="center"/>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rPr>
        <w:br w:type="page"/>
      </w:r>
      <w:r>
        <w:rPr>
          <w:rFonts w:hint="eastAsia" w:ascii="仿宋" w:hAnsi="仿宋" w:eastAsia="仿宋" w:cs="仿宋"/>
          <w:color w:val="auto"/>
          <w:highlight w:val="none"/>
        </w:rPr>
        <w:t xml:space="preserve"> </w:t>
      </w:r>
      <w:bookmarkStart w:id="238" w:name="_Toc28649"/>
      <w:r>
        <w:rPr>
          <w:rFonts w:hint="eastAsia" w:ascii="仿宋" w:hAnsi="仿宋" w:eastAsia="仿宋" w:cs="仿宋"/>
          <w:color w:val="auto"/>
          <w:highlight w:val="none"/>
          <w:lang w:val="en-US" w:eastAsia="zh-CN"/>
        </w:rPr>
        <w:t>采购需求及技术要求</w:t>
      </w:r>
      <w:bookmarkEnd w:id="238"/>
    </w:p>
    <w:p w14:paraId="4543982E">
      <w:pPr>
        <w:spacing w:line="360" w:lineRule="auto"/>
        <w:ind w:firstLine="422"/>
        <w:rPr>
          <w:rFonts w:hint="eastAsia" w:ascii="仿宋" w:hAnsi="仿宋" w:eastAsia="仿宋" w:cs="仿宋"/>
          <w:b/>
        </w:rPr>
      </w:pPr>
      <w:r>
        <w:rPr>
          <w:rFonts w:hint="eastAsia" w:ascii="仿宋" w:hAnsi="仿宋" w:eastAsia="仿宋" w:cs="仿宋"/>
          <w:b/>
        </w:rPr>
        <w:t>说明：</w:t>
      </w:r>
    </w:p>
    <w:p w14:paraId="51B68D11">
      <w:pPr>
        <w:spacing w:line="360" w:lineRule="auto"/>
        <w:ind w:firstLine="422"/>
        <w:rPr>
          <w:rFonts w:hint="eastAsia" w:ascii="仿宋" w:hAnsi="仿宋" w:eastAsia="仿宋" w:cs="仿宋"/>
          <w:b/>
          <w:bCs/>
        </w:rPr>
      </w:pPr>
      <w:r>
        <w:rPr>
          <w:rFonts w:hint="eastAsia" w:ascii="仿宋" w:hAnsi="仿宋" w:eastAsia="仿宋" w:cs="仿宋"/>
          <w:b/>
        </w:rPr>
        <w:t>1.各</w:t>
      </w:r>
      <w:r>
        <w:rPr>
          <w:rFonts w:hint="eastAsia" w:ascii="仿宋" w:hAnsi="仿宋" w:eastAsia="仿宋" w:cs="仿宋"/>
          <w:b/>
          <w:lang w:val="en-US" w:eastAsia="zh-CN"/>
        </w:rPr>
        <w:t>响应</w:t>
      </w:r>
      <w:r>
        <w:rPr>
          <w:rFonts w:hint="eastAsia" w:ascii="仿宋" w:hAnsi="仿宋" w:eastAsia="仿宋" w:cs="仿宋"/>
          <w:b/>
        </w:rPr>
        <w:t>人必须对</w:t>
      </w:r>
      <w:r>
        <w:rPr>
          <w:rFonts w:hint="eastAsia" w:ascii="仿宋" w:hAnsi="仿宋" w:eastAsia="仿宋" w:cs="仿宋"/>
          <w:b/>
          <w:lang w:val="en-US" w:eastAsia="zh-CN"/>
        </w:rPr>
        <w:t>招标</w:t>
      </w:r>
      <w:r>
        <w:rPr>
          <w:rFonts w:hint="eastAsia" w:ascii="仿宋" w:hAnsi="仿宋" w:eastAsia="仿宋" w:cs="仿宋"/>
          <w:b/>
        </w:rPr>
        <w:t>文件第五章《</w:t>
      </w:r>
      <w:r>
        <w:rPr>
          <w:rFonts w:hint="eastAsia" w:ascii="仿宋" w:hAnsi="仿宋" w:eastAsia="仿宋" w:cs="仿宋"/>
          <w:b/>
          <w:bCs/>
          <w:color w:val="auto"/>
          <w:highlight w:val="none"/>
          <w:lang w:val="en-US" w:eastAsia="zh-CN"/>
        </w:rPr>
        <w:t>采购需求及技术要求</w:t>
      </w:r>
      <w:r>
        <w:rPr>
          <w:rFonts w:hint="eastAsia" w:ascii="仿宋" w:hAnsi="仿宋" w:eastAsia="仿宋" w:cs="仿宋"/>
          <w:b/>
        </w:rPr>
        <w:t>》中的技术、服务要求作出全面、真实的反映，同时填写技术规格偏离表。若投标文件中响应情况与招标文件采购需求内容不符或无有效证明，而投标人又未在投标文件中作出说明和解释的，</w:t>
      </w:r>
      <w:r>
        <w:rPr>
          <w:rFonts w:hint="eastAsia" w:ascii="仿宋" w:hAnsi="仿宋" w:eastAsia="仿宋" w:cs="仿宋"/>
          <w:b/>
          <w:lang w:val="en-US" w:eastAsia="zh-CN"/>
        </w:rPr>
        <w:t>评标</w:t>
      </w:r>
      <w:r>
        <w:rPr>
          <w:rFonts w:hint="eastAsia" w:ascii="仿宋" w:hAnsi="仿宋" w:eastAsia="仿宋" w:cs="仿宋"/>
          <w:b/>
          <w:lang w:eastAsia="zh-CN"/>
        </w:rPr>
        <w:t>小组</w:t>
      </w:r>
      <w:r>
        <w:rPr>
          <w:rFonts w:hint="eastAsia" w:ascii="仿宋" w:hAnsi="仿宋" w:eastAsia="仿宋" w:cs="仿宋"/>
          <w:b/>
        </w:rPr>
        <w:t>在评审时将视为不响应该条技术、服务要求的规定。</w:t>
      </w:r>
    </w:p>
    <w:p w14:paraId="5C930546">
      <w:pPr>
        <w:spacing w:line="360" w:lineRule="auto"/>
        <w:ind w:firstLine="422"/>
        <w:rPr>
          <w:rFonts w:hint="eastAsia" w:ascii="仿宋" w:hAnsi="仿宋" w:eastAsia="仿宋" w:cs="仿宋"/>
          <w:b/>
        </w:rPr>
      </w:pPr>
      <w:r>
        <w:rPr>
          <w:rFonts w:hint="eastAsia" w:ascii="仿宋" w:hAnsi="仿宋" w:eastAsia="仿宋" w:cs="仿宋"/>
          <w:b/>
        </w:rPr>
        <w:t>2.本章各项技术参数、规格和性能要求如出现引用某一特定的专利技术、商标、名称、设计、尺寸重量、颜色、原产地或供应者等情况，则仅起参考作用。投标人可选用实质上“相当于”或“优于”该参考技术规格要求的产品投标。</w:t>
      </w:r>
    </w:p>
    <w:p w14:paraId="1382D1C7">
      <w:pPr>
        <w:spacing w:line="360" w:lineRule="auto"/>
        <w:ind w:firstLine="422"/>
        <w:rPr>
          <w:rFonts w:hint="eastAsia" w:ascii="仿宋" w:hAnsi="仿宋" w:eastAsia="仿宋" w:cs="仿宋"/>
          <w:b/>
        </w:rPr>
      </w:pPr>
      <w:r>
        <w:rPr>
          <w:rFonts w:hint="eastAsia" w:ascii="仿宋" w:hAnsi="仿宋" w:eastAsia="仿宋" w:cs="仿宋"/>
          <w:b/>
        </w:rPr>
        <w:t>3.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工程或者服务进行验收，一旦发现虚假应标行为，采购人将如实向主管部门上报情况，投标人自行承担后果，并保留追究其法律责任的权利。</w:t>
      </w:r>
    </w:p>
    <w:p w14:paraId="7511440E">
      <w:pPr>
        <w:rPr>
          <w:rFonts w:hint="eastAsia" w:ascii="仿宋" w:hAnsi="仿宋" w:eastAsia="仿宋" w:cs="仿宋"/>
          <w:lang w:val="en-US" w:eastAsia="zh-CN"/>
        </w:rPr>
      </w:pPr>
    </w:p>
    <w:p w14:paraId="0EDB2D1B">
      <w:pP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 xml:space="preserve">     </w:t>
      </w:r>
    </w:p>
    <w:p w14:paraId="7408C9CC">
      <w:pP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br w:type="page"/>
      </w:r>
    </w:p>
    <w:p w14:paraId="28C111F6">
      <w:pPr>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采购需求：</w:t>
      </w:r>
    </w:p>
    <w:tbl>
      <w:tblPr>
        <w:tblStyle w:val="21"/>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5"/>
        <w:gridCol w:w="3135"/>
        <w:gridCol w:w="885"/>
        <w:gridCol w:w="1005"/>
        <w:gridCol w:w="1425"/>
        <w:gridCol w:w="1320"/>
        <w:gridCol w:w="1320"/>
      </w:tblGrid>
      <w:tr w14:paraId="4E44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7" w:hRule="atLeast"/>
          <w:jc w:val="center"/>
        </w:trPr>
        <w:tc>
          <w:tcPr>
            <w:tcW w:w="555" w:type="dxa"/>
            <w:noWrap w:val="0"/>
            <w:vAlign w:val="center"/>
          </w:tcPr>
          <w:p w14:paraId="003F772A">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3135" w:type="dxa"/>
            <w:noWrap w:val="0"/>
            <w:vAlign w:val="center"/>
          </w:tcPr>
          <w:p w14:paraId="05432CDE">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设备名称</w:t>
            </w:r>
          </w:p>
        </w:tc>
        <w:tc>
          <w:tcPr>
            <w:tcW w:w="885" w:type="dxa"/>
            <w:noWrap w:val="0"/>
            <w:vAlign w:val="center"/>
          </w:tcPr>
          <w:p w14:paraId="257A8B4F">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数量</w:t>
            </w:r>
          </w:p>
        </w:tc>
        <w:tc>
          <w:tcPr>
            <w:tcW w:w="1005" w:type="dxa"/>
            <w:noWrap w:val="0"/>
            <w:vAlign w:val="center"/>
          </w:tcPr>
          <w:p w14:paraId="4EF6AD32">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1425" w:type="dxa"/>
            <w:noWrap w:val="0"/>
            <w:vAlign w:val="center"/>
          </w:tcPr>
          <w:p w14:paraId="67B94294">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预算</w:t>
            </w:r>
            <w:r>
              <w:rPr>
                <w:rFonts w:hint="eastAsia" w:ascii="仿宋" w:hAnsi="仿宋" w:eastAsia="仿宋" w:cs="仿宋"/>
                <w:color w:val="auto"/>
                <w:sz w:val="24"/>
                <w:szCs w:val="24"/>
                <w:highlight w:val="none"/>
                <w:lang w:val="en-US" w:eastAsia="zh-CN"/>
              </w:rPr>
              <w:t>单价（元）</w:t>
            </w:r>
          </w:p>
        </w:tc>
        <w:tc>
          <w:tcPr>
            <w:tcW w:w="1320" w:type="dxa"/>
            <w:noWrap w:val="0"/>
            <w:vAlign w:val="center"/>
          </w:tcPr>
          <w:p w14:paraId="6EBE7202">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预算金额</w:t>
            </w:r>
            <w:r>
              <w:rPr>
                <w:rFonts w:hint="eastAsia" w:ascii="仿宋" w:hAnsi="仿宋" w:eastAsia="仿宋" w:cs="仿宋"/>
                <w:color w:val="auto"/>
                <w:sz w:val="24"/>
                <w:szCs w:val="24"/>
                <w:highlight w:val="none"/>
                <w:lang w:val="en-US" w:eastAsia="zh-CN"/>
              </w:rPr>
              <w:t>总价（元）</w:t>
            </w:r>
          </w:p>
        </w:tc>
        <w:tc>
          <w:tcPr>
            <w:tcW w:w="1320" w:type="dxa"/>
            <w:noWrap w:val="0"/>
            <w:vAlign w:val="center"/>
          </w:tcPr>
          <w:p w14:paraId="372140AF">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是否进口</w:t>
            </w:r>
          </w:p>
        </w:tc>
      </w:tr>
      <w:tr w14:paraId="01ABF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4" w:hRule="atLeast"/>
          <w:jc w:val="center"/>
        </w:trPr>
        <w:tc>
          <w:tcPr>
            <w:tcW w:w="555" w:type="dxa"/>
            <w:noWrap w:val="0"/>
            <w:vAlign w:val="center"/>
          </w:tcPr>
          <w:p w14:paraId="298D00BA">
            <w:pPr>
              <w:numPr>
                <w:ilvl w:val="0"/>
                <w:numId w:val="0"/>
              </w:numPr>
              <w:ind w:lef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3135" w:type="dxa"/>
            <w:noWrap w:val="0"/>
            <w:vAlign w:val="center"/>
          </w:tcPr>
          <w:p w14:paraId="36573E73">
            <w:pPr>
              <w:widowControl w:val="0"/>
              <w:spacing w:line="360" w:lineRule="auto"/>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u w:val="none"/>
                <w:lang w:val="en-US" w:eastAsia="zh-CN"/>
              </w:rPr>
              <w:t>专科手术器械</w:t>
            </w:r>
          </w:p>
        </w:tc>
        <w:tc>
          <w:tcPr>
            <w:tcW w:w="885" w:type="dxa"/>
            <w:noWrap w:val="0"/>
            <w:vAlign w:val="center"/>
          </w:tcPr>
          <w:p w14:paraId="1D80D435">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05" w:type="dxa"/>
            <w:noWrap w:val="0"/>
            <w:vAlign w:val="center"/>
          </w:tcPr>
          <w:p w14:paraId="2AAA72AC">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批</w:t>
            </w:r>
          </w:p>
        </w:tc>
        <w:tc>
          <w:tcPr>
            <w:tcW w:w="1425" w:type="dxa"/>
            <w:noWrap w:val="0"/>
            <w:vAlign w:val="center"/>
          </w:tcPr>
          <w:p w14:paraId="6AB50609">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400000</w:t>
            </w:r>
          </w:p>
        </w:tc>
        <w:tc>
          <w:tcPr>
            <w:tcW w:w="1320" w:type="dxa"/>
            <w:noWrap w:val="0"/>
            <w:vAlign w:val="center"/>
          </w:tcPr>
          <w:p w14:paraId="336C1CD7">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400000</w:t>
            </w:r>
          </w:p>
        </w:tc>
        <w:tc>
          <w:tcPr>
            <w:tcW w:w="1320" w:type="dxa"/>
            <w:noWrap w:val="0"/>
            <w:vAlign w:val="center"/>
          </w:tcPr>
          <w:p w14:paraId="2EC098AB">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r>
      <w:tr w14:paraId="55440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555" w:type="dxa"/>
            <w:noWrap w:val="0"/>
            <w:vAlign w:val="center"/>
          </w:tcPr>
          <w:p w14:paraId="1B2A96D1">
            <w:pPr>
              <w:numPr>
                <w:ilvl w:val="0"/>
                <w:numId w:val="0"/>
              </w:numPr>
              <w:ind w:leftChars="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3135" w:type="dxa"/>
            <w:noWrap w:val="0"/>
            <w:vAlign w:val="center"/>
          </w:tcPr>
          <w:p w14:paraId="14E12E88">
            <w:pPr>
              <w:widowControl w:val="0"/>
              <w:spacing w:line="360" w:lineRule="auto"/>
              <w:jc w:val="center"/>
              <w:outlineLvl w:val="9"/>
              <w:rPr>
                <w:rFonts w:hint="eastAsia" w:ascii="仿宋" w:hAnsi="仿宋" w:eastAsia="仿宋" w:cs="仿宋"/>
                <w:color w:val="auto"/>
                <w:sz w:val="24"/>
                <w:szCs w:val="24"/>
                <w:highlight w:val="none"/>
                <w:lang w:val="en-US" w:eastAsia="zh-CN"/>
              </w:rPr>
            </w:pPr>
            <w:r>
              <w:rPr>
                <w:rStyle w:val="29"/>
                <w:rFonts w:hint="eastAsia" w:eastAsia="仿宋"/>
                <w:color w:val="auto"/>
                <w:sz w:val="24"/>
                <w:szCs w:val="24"/>
                <w:highlight w:val="none"/>
                <w:lang w:val="en-US" w:eastAsia="zh-CN" w:bidi="ar"/>
              </w:rPr>
              <w:t>神经监护系统</w:t>
            </w:r>
          </w:p>
        </w:tc>
        <w:tc>
          <w:tcPr>
            <w:tcW w:w="885" w:type="dxa"/>
            <w:noWrap w:val="0"/>
            <w:vAlign w:val="center"/>
          </w:tcPr>
          <w:p w14:paraId="114E2A4A">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05" w:type="dxa"/>
            <w:noWrap w:val="0"/>
            <w:vAlign w:val="center"/>
          </w:tcPr>
          <w:p w14:paraId="165F51E9">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1425" w:type="dxa"/>
            <w:noWrap w:val="0"/>
            <w:vAlign w:val="center"/>
          </w:tcPr>
          <w:p w14:paraId="352A9F1B">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750000</w:t>
            </w:r>
          </w:p>
        </w:tc>
        <w:tc>
          <w:tcPr>
            <w:tcW w:w="1320" w:type="dxa"/>
            <w:noWrap w:val="0"/>
            <w:vAlign w:val="center"/>
          </w:tcPr>
          <w:p w14:paraId="0CEB5C8A">
            <w:pPr>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750000</w:t>
            </w:r>
          </w:p>
        </w:tc>
        <w:tc>
          <w:tcPr>
            <w:tcW w:w="1320" w:type="dxa"/>
            <w:noWrap w:val="0"/>
            <w:vAlign w:val="center"/>
          </w:tcPr>
          <w:p w14:paraId="48B0F72E">
            <w:pPr>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否</w:t>
            </w:r>
          </w:p>
        </w:tc>
      </w:tr>
      <w:tr w14:paraId="7F24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7005" w:type="dxa"/>
            <w:gridSpan w:val="5"/>
            <w:noWrap w:val="0"/>
            <w:vAlign w:val="center"/>
          </w:tcPr>
          <w:p w14:paraId="2D855325">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合计（元）</w:t>
            </w:r>
          </w:p>
        </w:tc>
        <w:tc>
          <w:tcPr>
            <w:tcW w:w="2640" w:type="dxa"/>
            <w:gridSpan w:val="2"/>
            <w:noWrap w:val="0"/>
            <w:vAlign w:val="center"/>
          </w:tcPr>
          <w:p w14:paraId="7E758B3A">
            <w:pPr>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1150000</w:t>
            </w:r>
          </w:p>
        </w:tc>
      </w:tr>
    </w:tbl>
    <w:p w14:paraId="58F97273">
      <w:pPr>
        <w:rPr>
          <w:rFonts w:hint="eastAsia" w:ascii="仿宋" w:hAnsi="仿宋" w:eastAsia="仿宋" w:cs="仿宋"/>
          <w:b/>
          <w:bCs/>
          <w:color w:val="000000"/>
          <w:sz w:val="24"/>
          <w:highlight w:val="none"/>
          <w:lang w:val="en-US" w:eastAsia="zh-CN"/>
        </w:rPr>
      </w:pPr>
    </w:p>
    <w:p w14:paraId="3E27018D">
      <w:pPr>
        <w:keepNext w:val="0"/>
        <w:keepLines w:val="0"/>
        <w:widowControl/>
        <w:suppressLineNumbers w:val="0"/>
        <w:jc w:val="left"/>
        <w:textAlignment w:val="center"/>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注：投标总价及投标单价均不得超过最高限价。</w:t>
      </w:r>
    </w:p>
    <w:p w14:paraId="0A35D3B6">
      <w:pPr>
        <w:jc w:val="center"/>
        <w:rPr>
          <w:rFonts w:hint="eastAsia" w:ascii="仿宋" w:hAnsi="仿宋" w:eastAsia="仿宋" w:cs="仿宋"/>
          <w:b/>
          <w:bCs/>
          <w:sz w:val="32"/>
          <w:szCs w:val="32"/>
          <w:highlight w:val="none"/>
          <w:lang w:val="en-US" w:eastAsia="zh-CN"/>
        </w:rPr>
      </w:pPr>
      <w:r>
        <w:rPr>
          <w:rFonts w:hint="eastAsia" w:ascii="仿宋" w:hAnsi="仿宋" w:eastAsia="仿宋" w:cs="仿宋"/>
          <w:b/>
          <w:bCs/>
          <w:color w:val="auto"/>
          <w:sz w:val="24"/>
          <w:highlight w:val="none"/>
          <w:lang w:val="en-US" w:eastAsia="zh-CN"/>
        </w:rPr>
        <w:br w:type="page"/>
      </w:r>
      <w:r>
        <w:rPr>
          <w:rFonts w:hint="eastAsia" w:ascii="仿宋" w:hAnsi="仿宋" w:eastAsia="仿宋" w:cs="仿宋"/>
          <w:b/>
          <w:bCs/>
          <w:sz w:val="32"/>
          <w:szCs w:val="32"/>
          <w:highlight w:val="none"/>
          <w:lang w:val="en-US" w:eastAsia="zh-CN"/>
        </w:rPr>
        <w:t>专科手术器械</w:t>
      </w:r>
    </w:p>
    <w:tbl>
      <w:tblPr>
        <w:tblStyle w:val="20"/>
        <w:tblW w:w="9612"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94"/>
        <w:gridCol w:w="1053"/>
        <w:gridCol w:w="696"/>
        <w:gridCol w:w="6569"/>
      </w:tblGrid>
      <w:tr w14:paraId="6191B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678475D">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经蝶包</w:t>
            </w:r>
          </w:p>
        </w:tc>
      </w:tr>
      <w:tr w14:paraId="17CC6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38823">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名称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2D036">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规格型号</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9AA3B">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789DE">
            <w:pPr>
              <w:keepNext w:val="0"/>
              <w:keepLines w:val="0"/>
              <w:widowControl/>
              <w:suppressLineNumbers w:val="0"/>
              <w:jc w:val="left"/>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技术参数及要求</w:t>
            </w:r>
          </w:p>
        </w:tc>
      </w:tr>
      <w:tr w14:paraId="67566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57D0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手术刀柄</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07B9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 xml:space="preserve">7#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E0C3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3B997">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1.总长160mm，7#，可安装9-17#手术刀片。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2.采用医用不锈钢材料17-4制造，该材料化学成分符合YY/T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3.器械外表面亮光，不得有锋棱、毛刺及明显的碰伤和划痕，其表面粗糙度不大于0.8μmm。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D0D0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D9C3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手术刀柄</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EDC7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C27B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3AE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1.总长140mm，4#，可安装20-39#手术刀片。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2.采用医用不锈钢材料17-4制造，该材料化学成分符合YY/T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3.器械外表面亮光，不得有锋棱、毛刺及明显的碰伤和划痕，其表面粗糙度不大于0.4μmm。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743A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6B66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FB1A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E6A9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19977">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1.长度140mm，直型。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2.与患者接触部分采用医用不锈钢30Cr13制造，该材料化学成分符合YY/T 0294.1-2016《外科器械金属材料第1部分：不锈钢》，应经热处理，硬度为48-56HRC。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FD6D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D762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821A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140，弯</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A14A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ACCB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1.长度140mm，弯型。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2.与患者接触部分采用医用不锈钢30Cr13制造，该材料化学成分符合YY/T 0294.1-2016《外科器械金属材料第1部分：不锈钢》，应经热处理，硬度为48-56HRC。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4388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3E0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9259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180，弯，综合</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2EF5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9110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1.长度180mm，弯型，综合。</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2.与患者接触部分采用医用不锈钢30Cr13制造，该材料化学成分符合YY/T 0294.1-2016《外科器械金属材料第1部分：不锈钢》，应经热处理，硬度为48-56HRC。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6188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84C5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9680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 xml:space="preserve">140，1×2钩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91DA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193C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1.长140mm，1*2钩，直。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569D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945C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脑部解剖镊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6FF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200×1，直形，有齿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9973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EF028">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1.长度200mm，头部有齿，带定位销。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43A5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55B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脑部解剖镊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0321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200×1，枪状，有齿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21F7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E4D2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1.长度200mm，头部有齿，枪形，工作长度90mm。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656A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5890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9CF0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240×2，枪状，环形有齿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BCEA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C6D1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1.长度240mm，头部环形有齿，头宽2mm，枪状，工作长度115mm，扁柄带孔。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2.与人体接触部位材料采用医用不锈钢20Cr13制造，该材料化学成分符合YY/T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3.器械外表面纳米陶瓷涂层处理，不得有锋棱、毛刺及明显的碰伤和划痕，其表面粗糙度不大于0.8μmm。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1CAA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6FDA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1FCD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240×2，枪状，碗形有孔</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6CAD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5936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1.长度240mm，头部碗形有孔，头宽2mm，枪状，工作长度115mm，扁柄带孔。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2.与人体接触部位材料采用医用不锈钢20Cr13制造，该材料化学成分符合YY/T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3.器械外表面纳米陶瓷涂层处理，不得有锋棱、毛刺及明显的碰伤和划痕，其表面粗糙度不大于0.8μmm。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7D4C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A9B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B778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210×3，双头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781D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2D0C7">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1.总长210mm，双头，头宽3mm。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C238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5E82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骨凿</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8E3C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200×4，枪形，方柄，半圆</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E7F5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0EF1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1.总长200mm，宽度4mm，柄部枪形，半圆型，方柄。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2.与患者接触部分采用医用不锈钢40Cr13制造，该材料化学成分符合YY/T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A131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B7EC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平骨凿</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1FFD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180×4，枪形，圆柄</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B190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620A7">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1.总长180mm，头宽4mm，工作杆枪形，圆柄。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2.采用医用不锈钢40Cr13制造，该材料化学成分符合YY/T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CE31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8242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骨锤</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1AEF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180/50g</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EB44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D377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1.总长180mm，锤头重量50g，金属手柄。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2.与患者接触部分的金属材料采用20Cr13制造，该材料化学成分符合GB/T 3280-2015，应经热处理，其硬度为40-48HRC。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3.产品表面电镀处理，不得有锋棱、毛刺、裂纹及明显的碰伤和划伤，其表面粗糙度不大于0.4umm。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4.产品应有良好的耐腐蚀性能：产品按《YY/T 0149 - 2006不锈钢医用器械耐腐蚀性能试验方法》规定的“5 沸水试验法”进行试验时，外表面不低于“b级”的要求。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5.产品采用高压蒸汽灭菌。</w:t>
            </w:r>
          </w:p>
        </w:tc>
      </w:tr>
      <w:tr w14:paraId="5943D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0108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鼻中隔剥离器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33C6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240×3，枪型，下弯，单头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CE41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6E6A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1.240×3，枪型，下弯，单头。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6310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18E5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D162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240×Ф2.5，枪状，圆头，角弯</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FAF3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9192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1.总长240mm，头宽φ2.5，角弯，工作杆枪型，工作长度117mm。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5DB9A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9BCF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显微刀</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9FA5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230×3.5，枪状，下弯</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BD12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1A60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1.长度230mm，枪状，头部下弯，头宽3.5mm。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3.与人体接触部位采用医用不锈钢32Cr13mmo制造，该材料化学成分符合YY/T 0294.1-2016《外科器械金属材料第1部分：不锈钢》，材料应经热处理，硬度48-56HRC。。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71929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CD12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手术刀柄</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4BE2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210，7#，枪形</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3BAB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2AD7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1.长度210mm，7#，工作杆枪形。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3.工作端材料采用医用不锈钢32Cr13mmo制造，该材料化学成分符合YY/T 0294.1-2016《外科器械金属材料第1部分：不锈钢》，应经热处理，硬度48-56HRC。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738FD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5A96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显微刮匙</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8BB0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240×3，枪形，下弯，环状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EC17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DD7E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1.长度240mm，头部环状，下弯，单刃，内径φ3mm，工作杆枪形，工作长度130mm。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69350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DAE8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显微刮匙</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BA08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240×4，枪形，上弯，环状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EB20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4A81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1.长度240mm，头部环状，上弯，单刃，内径φ4mm，工作杆枪形，工作长度130mm。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659EB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2FFE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FB69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250×Φ2.5，可控缩口</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0E86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6E9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1.长度250mm，管体直径φ2.5mm，水滴形控制孔，管体柔性可塑，管体头端缩口，工作长度180mm；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AD91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4491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B03C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250×Φ3，可控缩口</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5D36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EC07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1.长度250mm，管体直径φ3mm，水滴形控制孔，管体柔性可塑，管体头端缩口，工作长度180mm；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8652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1C21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6E46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250×Φ4，可控缩口</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95C2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900F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1.长度250mm，管体直径φ4mm，水滴形控制孔，管体柔性可塑，管体头端缩口，工作长度180mm；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F61C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7282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垂体窥镜</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E3C6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80×11，无齿，内收口</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92DD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CC96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1.总长136mm，头宽11mm，无齿。</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2.与患者接触部分采用医用不锈钢40Cr13制造，该材料化学成分符合YY/T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C66B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789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甲状腺拉钩</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611A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95，10×20/10×29，一副</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4CC9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C34B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1.总长95mm，1副两支，头宽10mm，弯高20/29mm。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2.与患者接触部分的金属材料采用医用不锈钢材料20Cr13制造，该材料化学成分符合GB/T 3280-2015，应经热处理，其硬度为40HRC-48HRC。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3.器械表面电镀处理，不得有锋棱、毛刺及明显的碰伤和划痕，其表面粗糙度Ra之值为：不大于0.4μmm。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1420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F511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海绵钳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0974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250×10，弯有齿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4B60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05088">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1.总长250mm，弯形，有齿，头宽10mm。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E364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4C12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止血钳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A228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140，弯，全齿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E521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6109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1.总长140mm，弯型，弯头高度8mm，全齿，头宽2.2mm，头厚2mm。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7F66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AFFB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持针钳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10D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180，直，细针</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B11E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562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1.总长180mm，直头，细针，网纹齿，齿距0.4。</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AF35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C866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止血钳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40BC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180，直，全齿，有钩</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777D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17C78">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1.总长180mm，直型，全齿，有钩，头宽3.8mm，头厚3mm。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D37E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0543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818B7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160，直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35F5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EDF4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1.总长160mm，直型。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1DCB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CA25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帕巾钳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EB1F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110，尖头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72FC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2C0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1.总长110mm，尖头。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FB5F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2609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活组织取样钳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49E0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150×3</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7CDA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325BF">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1.长度150mm，头部宽度3mm。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2.与患者接触部分采用医用不锈钢40Cr13制造，该材料化学成分符合YY/T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548B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D673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活组织取样钳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5EDB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150×6</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3BC6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6C06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1.长度150mm，头部宽度3mm。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2.与患者接触部分采用医用不锈钢40Cr13制造，该材料化学成分符合YY/T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FFA1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7CA4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3F88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180×3，枪状，直型，匙形</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1211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541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1.长度180mm，头部直型、匙形，头宽3mm，枪状，工作长度55mm，扁柄带孔。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2.与人体接触部位材料采用医用不锈钢20Cr13制造，该材料化学成分符合YY/T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3.器械外表面纳米陶瓷涂层处理，不得有锋棱、毛刺及明显的碰伤和划痕，其表面粗糙度不大于0.8μmm。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FC42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7D4A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转换式咬骨钳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4CF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180×2.5×120°</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3F30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2764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1.长度180mm，头宽2.5mm，头部120°咬切，工作杆360°旋转。</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2.与患者接触部分采用医用不锈钢32Cr13mmo制造，该材料化学成分符合YY/T 0294.1-2016《外科器械金属材料第1部分：不锈钢》，应经热处理，其硬度为48-56HRC。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EDB3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2C77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转换式咬骨钳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5AD1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180×3×90°</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AA3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0B52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1.长度180mm，头宽3mm，头部90°咬切，工作杆360°旋转。</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2.与患者接触部分采用医用不锈钢32Cr13mmo制造，该材料化学成分符合YY/T 0294.1-2016《外科器械金属材料第1部分：不锈钢》，应经热处理，其硬度为48-56HRC。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2B53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24DD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垂体窥镜</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C91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90×13，有齿，双外翻</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DC92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3E69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1.总长136mm，头宽13mm，头部外翻，有齿。</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2.与患者接触部分采用医用不锈钢40Cr13制造，该材料化学成分符合YY/T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D8D0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3732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垂体窥镜</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BF3F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85×13，有齿，双外翻</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CED8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6FDC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1.总长131mm，头宽13mm，头部外翻，有齿。</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2.与患者接触部分采用医用不锈钢40Cr13制造，该材料化学成分符合YY/T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5D3F5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AF4D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垂体窥镜</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36D0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70×8，无齿，双外翻</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87C1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F3D8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1.总长116mm，头宽8mm，头部外翻，无齿。</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2.与患者接触部分采用医用不锈钢40Cr13制造，该材料化学成分符合YY/T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5832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96E996E">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前开包</w:t>
            </w:r>
          </w:p>
        </w:tc>
      </w:tr>
      <w:tr w14:paraId="1EF33C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78EC6">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名称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2BA3B">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规格型号</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10CAE">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9B9124">
            <w:pPr>
              <w:keepNext w:val="0"/>
              <w:keepLines w:val="0"/>
              <w:widowControl/>
              <w:suppressLineNumbers w:val="0"/>
              <w:jc w:val="left"/>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技术参数及要求</w:t>
            </w:r>
          </w:p>
        </w:tc>
      </w:tr>
      <w:tr w14:paraId="68060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6D11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手术刀柄</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80BA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1FAC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4B2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1.总长140mm，4#，可安装20-39#手术刀片。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2.采用医用不锈钢材料17-4制造，该材料化学成分符合YY/T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3.器械外表面亮光，不得有锋棱、毛刺及明显的碰伤和划痕，其表面粗糙度不大于0.4μmm。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B147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3418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手术刀柄</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7D45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 xml:space="preserve">7#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685D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ED1A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1.总长160mm，7#，可安装9-17#手术刀片。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2.采用医用不锈钢材料17-4制造，该材料化学成分符合YY/T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3.器械外表面亮光，不得有锋棱、毛刺及明显的碰伤和划痕，其表面粗糙度不大于0.8μmm。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53FA7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2602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60C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 xml:space="preserve">140，1×2钩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74BF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4FBB8">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1.长140mm，1*2钩，直。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53BF2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17BE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脑部解剖镊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4E28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200×1，直形，有齿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43F0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85ED7">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1.长度200mm，头部有齿，带定位销。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55DA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A893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脑部解剖镊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188B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200×1，枪状，有齿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D73C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2E4B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1.长度200mm，头部有齿，枪形，工作长度90mm。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07D57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2FBD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脑膜镊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29A4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200×2×3钩</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A7B2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7496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1.长度200mm，头部2×3钩，柄部有大柄花。</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6C12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4D31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8E86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C021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B3E8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1.长度140mm，直型。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2.与患者接触部分采用医用不锈钢30Cr13制造，该材料化学成分符合YY/T 0294.1-2016《外科器械金属材料第1部分：不锈钢》，应经热处理，硬度为48-56HRC。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36ED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9BE3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977F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140，弯</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A21B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632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1.长度140mm，弯型。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2.与患者接触部分采用医用不锈钢30Cr13制造，该材料化学成分符合YY/T 0294.1-2016《外科器械金属材料第1部分：不锈钢》，应经热处理，硬度为48-56HRC。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38BC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48E2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2399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180，弯，综合</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054D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FCA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1.长度180mm，弯型，综合。</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2.与患者接触部分采用医用不锈钢30Cr13制造，该材料化学成分符合YY/T 0294.1-2016《外科器械金属材料第1部分：不锈钢》，应经热处理，硬度为48-56HRC。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6AD5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D0EB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4FC8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200×Ф5，直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2EBC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2E6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1.长度200mm，管体直径φ5mm，直形，平板控制片，圆形控制孔，管体柔性可塑，工作长度130mm；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6A00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E8F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703F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200×Ф3，直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E2B3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1B87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1.长度210mm，管体直径φ3mm，直型，有控制片，圆形控制孔；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39133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168B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脑膜剥离器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B08C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BE334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58BA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1.长度240mm，双头，头部宽度4mm。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5298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3604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D780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240×5，双头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7EEB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9654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1.总长240mm，双头，头宽5mm。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2832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EBE3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颅骨骨膜剥离器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2D87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220×10，微弯头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872E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662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1.长度220mm，宽度10mm，微弯头，铝柄。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1371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98E5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颅骨骨膜剥离器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384A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220×15，微弯头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0046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D8C9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1.长度220mm，宽度15mm，微弯头，铝柄。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2CF5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E72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脑压板</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679A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200×7×9</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FEC2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ADFE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1.长度200mm，两头带凹，一头宽7mm，另一头宽9mm，柔性可塑；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3E8C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C002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脑压板</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1089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200×11×13</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71AA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1938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1.长度200mm，两头带凹，一头宽11mm，另一头宽13mm，柔性可塑；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D5FD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6F38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脑压板</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7979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200×20×22</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100B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C5FF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1.长度200mm，两头带凹，一头宽20mm，另一头宽22mm，柔性可塑；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FD6E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68A6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脑压板</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D9FC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230×7×9</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3533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CCB8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1.长度230mm，两头带凹，一头宽7mm，另一头宽9mm，柔性可塑；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4F9F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2671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止血钳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9EFB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140，直，全齿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0396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7C9D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1.总长140mm，直型，全齿，头宽2.2mm，头厚2mm。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15EA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FBE4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止血钳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A498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140，弯，全齿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D61F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BA3A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1.总长140mm，弯型，弯头高度8mm，全齿，头宽2.2mm，头厚2mm。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7D15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02A1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持针钳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0F04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180，直，粗针</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64F6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3138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1.总长180mm，直头，粗针，网纹齿，齿距0.6。</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58421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C624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持针钳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647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180，直，细针</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B95B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353C7">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1.总长180mm，直头，细针，网纹齿，齿距0.4。</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7566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78D2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止血钳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DC4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180，直，全齿，有钩</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1D3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F9B7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1.总长180mm，直型，全齿，有钩，头宽3.8mm，头厚3mm。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5060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629A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EF9D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160，直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714F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8944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1.总长160mm，直型。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F420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0F5A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头皮夹钳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B8DB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160</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419D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1D13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1.长度160mm。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2.与头皮夹接触部分采用医用不锈钢20Cr13制造，该材料化学成分符合YY/T 0294.1-2016《外科器械金属材料第1部分：不锈钢》，应经热处理，硬度40-48HRC。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F5726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E979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帕巾钳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529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110，尖头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EDB1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3ED2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1.总长110mm，尖头。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A0FB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3E6C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海绵钳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3A9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250×10，直无齿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8F41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B12B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1.总长250mm，直形，无齿，头宽10mm。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129E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074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海绵钳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798C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250×10，弯有齿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C595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89B4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1.总长250mm，弯形，有齿，头宽10mm。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CC7A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2983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针盒</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DCDF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10cm</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C04E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8679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1、产品长度100mm，高度30mm。带盖。</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2、铝合金材质，材料应符合GB/T 3191-2019。</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3.外表面刷光处理，着色表面色泽应均匀，无明显色差。不得有锋棱、毛刺及明显的碰伤和划痕，其表面粗糙度Ra之值为：不大于0.8µmm。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440C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CF92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头皮拉钩</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B47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180，钝</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933E3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5792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1.长度180mm，钩端钝头，带弹簧。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2.与人体接触部分采用医用不锈钢20Cr13制造，该材料化学成分符合YY/T 0294.1-2016《外科器械金属材料第1部分：不锈钢》，应经热处理，硬度40-48HRC。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C1E5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B9BD4D">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后开包</w:t>
            </w:r>
          </w:p>
        </w:tc>
      </w:tr>
      <w:tr w14:paraId="56F31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2717C">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名称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00CF7">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规格型号</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E2099">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45102">
            <w:pPr>
              <w:keepNext w:val="0"/>
              <w:keepLines w:val="0"/>
              <w:widowControl/>
              <w:suppressLineNumbers w:val="0"/>
              <w:jc w:val="left"/>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技术参数及要求</w:t>
            </w:r>
          </w:p>
        </w:tc>
      </w:tr>
      <w:tr w14:paraId="02EE7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F0C2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手术刀柄</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8826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17E7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2DA4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1.总长140mm，4#，可安装20-39#手术刀片。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2.采用医用不锈钢材料17-4制造，该材料化学成分符合YY/T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3.器械外表面亮光，不得有锋棱、毛刺及明显的碰伤和划痕，其表面粗糙度不大于0.4μmm。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98EE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E2D8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手术刀柄</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A02A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 xml:space="preserve">7#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F29E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C32B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1.总长160mm，7#，可安装9-17#手术刀片。</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2.采用医用不锈钢材料17-4制造，该材料化学成分符合YY/T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3.器械外表面亮光，不得有锋棱、毛刺及明显的碰伤和划痕，其表面粗糙度不大于0.8μmm。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4951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A10A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CE80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 xml:space="preserve">140，1×2钩 </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C1D5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ECF9F">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1.长140mm，1*2钩，直。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E679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76A8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脑部解剖镊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8F4E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200，直形</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D631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76F38">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1.长度200mm，头部有齿，带定位销。</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1036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511F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脑部解剖镊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5FC6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200，枪形</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5AB2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BC52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1.长度200mm，头部有齿，枪形，工作长度90mm。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D3B4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BD11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脑膜镊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F723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200×2×3钩</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765E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81A7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1.长度200mm，头部2×3钩，柄部有大柄花。</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AFA5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4D1F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4A42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CBB3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6C0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1.长度140mm，直型。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2.与患者接触部分采用医用不锈钢30Cr13制造，该材料化学成分符合YY/T 0294.1-2016《外科器械金属材料第1部分：不锈钢》，应经热处理，硬度为48-56HRC。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B72A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ACBB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2785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140，弯</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409F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204B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1.长度140mm，弯型。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2.与患者接触部分采用医用不锈钢30Cr13制造，该材料化学成分符合YY/T 0294.1-2016《外科器械金属材料第1部分：不锈钢》，应经热处理，硬度为48-56HRC。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F936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9C2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7A28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180，弯，综合</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F914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3423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1.长度180mm，弯型，综合。</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2.与患者接触部分采用医用不锈钢30Cr13制造，该材料化学成分符合YY/T 0294.1-2016《外科器械金属材料第1部分：不锈钢》，应经热处理，硬度为48-56HRC。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D533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3D2F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C04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200×Ф5，斜口，柔性</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6686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8B26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1.长度200mm，管体直径φ5mm，平板控制片，圆形控制孔，管体柔性可塑，管口为斜口，工作长度130mm；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70C7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B6D1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B9A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200×Φ3  ，斜口，柔性</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E475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1344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1.长度200mm，管体直径φ3mm，平板控制片，圆形控制孔，管体柔性可塑，管口为斜口，工作长度130mm；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A4B45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C196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9F80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260×Φ5  ，斜口，柔性</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5DB7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4D2C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1.长度260mm，管体直径φ5mm，平板控制片，圆形控制孔，管体柔性可塑，管口为斜口，工作长度190mm；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5AA9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9"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81FB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9BD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260×Φ3  ，斜口，柔性</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DC47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018B8">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1.长度260mm，管体直径φ3mm，平板控制片，圆形控制孔，管体柔性可塑，管口为斜口，工作长度190mm；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72D3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79B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D1AC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240×1.5，枪状，半圆头，角弯</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7CE4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5C17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1.总长240mm，头宽1.5，半圆头，角弯，工作杆枪型，工作长度117mm。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65266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5345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脑膜剥离器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DCED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1E12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25C7">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1.长度240mm，双头，头部宽度4mm。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D1E1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DE47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颅骨骨膜剥离器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8762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220×10，微弯头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B89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2C5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1.长度220mm，宽度10mm，微弯头，铝柄。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9ED9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EF19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颅骨骨膜剥离器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EE9B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220×15，微弯头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F492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ED72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1.长度220mm，宽度15mm，微弯头，铝柄。</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54F49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703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脑压板</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DCC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200×7×9</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2B26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42B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1.长度200mm，两头带凹，一头宽7mm，另一头宽9mm，柔性可塑；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4126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BC1B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脑压板</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2D7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200×11×13</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1F43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3853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1.长度200mm，两头带凹，一头宽11mm，另一头宽13mm，柔性可塑；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8363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7DD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脑压板</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0F47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200×20×22</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2116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A042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1.长度200mm，两头带凹，一头宽20mm，另一头宽22mm，柔性可塑；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11C7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8D7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脑压板</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6F9F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230×7×9</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A1DE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7300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1.长度230mm，两头带凹，一头宽7mm，另一头宽9mm，柔性可塑；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FB21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A970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止血钳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397D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140，直，全齿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FCC7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6662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1.总长140mm，直型，全齿，头宽2.2mm，头厚2mm。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3029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7709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止血钳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6D1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140，弯，全齿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A484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8</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734FF">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1.总长140mm，弯型，弯头高度8mm，全齿，头宽2.2mm，头厚2mm。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C09A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0C31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持针钳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BF0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180，直，粗针</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607B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C972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1.总长180mm，直头，粗针，网纹齿，齿距0.6。</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70D1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C650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持针钳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4E28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180，直，细针</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499B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0E53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1.总长180mm，直头，细针，网纹齿，齿距0.4。</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63A5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92E5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止血钳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44D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180，直，全齿，有钩</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E20A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0C82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1.总长180mm，直型，全齿，有钩，头宽3.8mm，头厚3mm。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5A428C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3C54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组织钳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2283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160，直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577E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0AC6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1.总长160mm，直型。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459A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B541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头皮夹钳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C280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160</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288F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FD11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1.长度160mm。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2.与头皮夹接触部分采用医用不锈钢20Cr13制造，该材料化学成分符合YY/T 0294.1-2016《外科器械金属材料第1部分：不锈钢》，应经热处理，硬度40-48HRC。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9226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B646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帕巾钳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C5DC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110，尖头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650F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4</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B214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1.总长110mm，尖头。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F9BB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3A49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海绵钳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0C2C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250×10，直无齿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357B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3A56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1.总长250mm，直形，无齿，头宽10mm。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C551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6DB8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海绵钳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6770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250×10，弯有齿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1984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57A1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1.总长250mm，弯形，有齿，头宽10mm。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5B977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60F1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乳突牵开器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A7D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105×3×3</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8D52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2D71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1.长度105mm，3×3钩，钩深13mm，左右钩交叉闭合。</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2.与人体接触部位材料采用医用不锈钢20Cr13制造，该材料化学成分符合YY/T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08C9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DC7A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乳突牵开器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C40B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170×18，固定式3×4钩，直型</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1883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4BDF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1.长度170mm，固定式3×4钩，钩深18mm，左右钩交叉闭合。</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2.与人体接触部位材料采用医用不锈钢20Cr13制造，该材料化学成分符合YY/T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43F1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D647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乳突牵开器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0DC8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170，单钩</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751A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9244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1.长度170mm，单钩，弯型。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2.与人体接触部位材料采用医用不锈钢20Cr13制造，该材料化学成分符合YY/T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3CCC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8257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椎板牵开器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07D5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300×45，活动式，5×5，钝钩，直型</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45AB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42F7">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1.300×45，活动式，5×5，钝钩，直型。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2.与患者接触部分采用医用不锈钢05Cr17Ni4Cu4Nb制造，该材料化学成分符合YY/T 0294.1-2016《外科器械金属材料第1部分：不锈钢》，应经热处理，其硬度为35-46HRC。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35AB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08AF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后颅凹牵开器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C508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200×18，固定式，4×4钩，头弯45°</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E42B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1759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1.长度280mm，头部宽度18mm，固定式，卡爪4×4钩，头弯45°，钩深20mm。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FF39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732C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后颅凹咬骨钳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6C5C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230，双关节</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E489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AF36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1.长度230mm，头部宽度8mm，双关节。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2.与患者接触部分采用医用不锈钢40Cr13制造，该材料化学成分符合YY/T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A9E4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0B03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咬骨钳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26C4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220×6，侧角头，双关节</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C19B7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EB51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1.总长220mm，头宽6mm，直头，左侧角40°，双关节。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2.与患者接触部分采用医用不锈钢32Cr13mmo制造，该材料化学成分符合YY/T 0294.1-2016《外科器械金属材料第1部分：不锈钢》，应经热处理，其硬度为48-56HRC。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A4AE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D9E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咬骨钳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1F82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240×8，直头，右侧角13°，双关节</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7600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64F8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1.总长240mm，头宽8mm，直头，右侧角13°，双关节。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2.与患者接触部分采用医用不锈钢40Cr13制造，该材料化学成分符合YY/T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212F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A489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咬骨钳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67C4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240×4，直头，右侧角40°，双关节</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FA20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7079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1.总长240mm，头宽4mm，侧角头，双关节。</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2.与患者接触部分采用医用不锈钢40Cr13制造，该材料化学成分符合YY/T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C4BD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50C3A3A">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细吸引器</w:t>
            </w:r>
          </w:p>
        </w:tc>
      </w:tr>
      <w:tr w14:paraId="1958D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7B7AC">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产品名称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DA98A">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规格型号</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612EF">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AC4CD">
            <w:pPr>
              <w:keepNext w:val="0"/>
              <w:keepLines w:val="0"/>
              <w:widowControl/>
              <w:suppressLineNumbers w:val="0"/>
              <w:jc w:val="left"/>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技术参数及要求</w:t>
            </w:r>
          </w:p>
        </w:tc>
      </w:tr>
      <w:tr w14:paraId="3DC56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8751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543C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240×Φ3，直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807E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9254F">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1.长度240mm，管体直径φ3mm，直形，平板控制片，圆形控制孔，管体柔性可塑，工作长度170mm；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075A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B385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8072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240×Φ5，直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0E6C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1D2C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1.长度240mm，管体直径φ5mm，直形，平板控制片，圆形控制孔，管体柔性可塑，工作长度170mm；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3.器械外表面电镀处理，不得有锋棱、毛刺及明显的碰伤和划痕，其表面粗糙度不大于0.4μmm。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66DF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477849C">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亚光吸引器</w:t>
            </w:r>
          </w:p>
        </w:tc>
      </w:tr>
      <w:tr w14:paraId="51EA7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ED791">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产品名称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F32A7">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规格型号</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153AF">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8D7BA">
            <w:pPr>
              <w:keepNext w:val="0"/>
              <w:keepLines w:val="0"/>
              <w:widowControl/>
              <w:suppressLineNumbers w:val="0"/>
              <w:jc w:val="left"/>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技术参数及要求</w:t>
            </w:r>
          </w:p>
        </w:tc>
      </w:tr>
      <w:tr w14:paraId="7B49F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A26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6BC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270×Φ2.5，可控缩口</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4435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06FEF">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1.长度270mm，管体直径φ2.5mm，水滴形控制孔，管体柔性可塑，管体头端缩口，工作长度170mm；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DA3F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7BBF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1471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270×Φ3，可控缩口</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C5A1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D592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1.长度270mm，管体直径φ3mm，水滴形控制孔，管体柔性可塑，管体头端缩口，工作长度170mm；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649F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0BCC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DDA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270×Φ3.5，可控缩口</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7F59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C432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1.长度270mm，管体直径φ3.5mm，水滴形控制孔，管体柔性可塑，管体头端缩口，工作长度170mm；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4EC3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91F704">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亚光吸引器</w:t>
            </w:r>
          </w:p>
        </w:tc>
      </w:tr>
      <w:tr w14:paraId="4A63B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CF1BC">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产品名称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B72E8">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规格型号</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A01C3">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A6520">
            <w:pPr>
              <w:keepNext w:val="0"/>
              <w:keepLines w:val="0"/>
              <w:widowControl/>
              <w:suppressLineNumbers w:val="0"/>
              <w:jc w:val="left"/>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技术参数及要求</w:t>
            </w:r>
          </w:p>
        </w:tc>
      </w:tr>
      <w:tr w14:paraId="78618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4CF7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9F07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270×Φ1.5，可控缩口</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9A4A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2C890">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1.长度270mm，管体直径φ1.5mm，水滴形控制孔，管体柔性可塑，管体头端缩口，工作长度170mm；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8952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AD81803">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保护头吸引器</w:t>
            </w:r>
          </w:p>
        </w:tc>
      </w:tr>
      <w:tr w14:paraId="6D170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3FD57">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产品名称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88C54">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规格型号</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5A9F7">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608A">
            <w:pPr>
              <w:keepNext w:val="0"/>
              <w:keepLines w:val="0"/>
              <w:widowControl/>
              <w:suppressLineNumbers w:val="0"/>
              <w:jc w:val="left"/>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技术参数及要求</w:t>
            </w:r>
          </w:p>
        </w:tc>
      </w:tr>
      <w:tr w14:paraId="647B7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FB71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63D5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270×Φ2.5，可控带套</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7057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25E9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1.长度270mm，管体直径φ2.5mm，有控制片，工作端带套；</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BFD3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4BA6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脑吸引管</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80BF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270×Φ3.5，可控带套</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32A2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9984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1.长度270mm，管体直径φ3.5mm，有控制片，工作端带套；</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2.与患者接触部分采用医用不锈钢12Cr18Ni9制造，该材料化学成分符合YY/T 0294.1-2016《外科器械金属材料第1部分：不锈钢》。</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C3A9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15AE61">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显微器械包</w:t>
            </w:r>
          </w:p>
        </w:tc>
      </w:tr>
      <w:tr w14:paraId="7BBE4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DADCC">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名称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B3B5">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规格型号</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ABD07">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319AA">
            <w:pPr>
              <w:keepNext w:val="0"/>
              <w:keepLines w:val="0"/>
              <w:widowControl/>
              <w:suppressLineNumbers w:val="0"/>
              <w:jc w:val="left"/>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技术参数及要求</w:t>
            </w:r>
          </w:p>
        </w:tc>
      </w:tr>
      <w:tr w14:paraId="5571D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818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9AC2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200，枪状，尖直头，短头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2695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949C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1.长度200mm，尖直头，短头，工作杆枪状，工作长度90mm。手柄扁柄带孔。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2.与人体接触部位采用医用不锈钢40Cr13制造，该材料化学成分符合YY/T 0294.1-2016《外科器械金属材料第1部分：不锈钢》，材料应经热处理，硬度48-58HRC。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3.器械外表面纳米陶瓷涂层，不得有锋棱、毛刺及明显的碰伤和划痕，其表面粗糙度不大于0.8μmm。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4A53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0C15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C1F5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200，枪状，上尖弯，短头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E082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3456F">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1.长度200mm，头部上尖弯，短头，工作杆枪状，工作长度90mm。手柄扁柄带孔。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2.与人体接触部位采用医用不锈钢40Cr13制造，该材料化学成分符合YY/T 0294.1-2016《外科器械金属材料第1部分：不锈钢》，材料应经热处理，硬度48-58HRC。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3.器械外表面纳米陶瓷涂层，不得有锋棱、毛刺及明显的碰伤和划痕，其表面粗糙度不大于0.8μmm。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59FFC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ABB2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C81A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225×0.6，枪状，无齿</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BEAE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6498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1.长度225mm，头宽0.6mm，头部无齿，枪状，工作长度100mm，扁柄带孔。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2.与人体接触部位采用进口医用不锈钢20Cr13制造，该材料化学成分符合YY/T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8661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72DD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1CC6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225×3，枪状，碗形有孔</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E406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091FF">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1.长度225mm，头部碗形有孔，头宽3mm，枪状，工作长度100mm，扁柄带孔。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2.与人体接触部位采用进口医用不锈钢20Cr13制造，该材料化学成分符合YY/T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0A3E0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EFEA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F56C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225×5，枪状，碗形有孔</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9C01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24F4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1.长度225mm，头部碗形有孔，头宽5mm，枪状，工作长度100mm，扁柄带孔。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2.与人体接触部位采用进口医用不锈钢20Cr13制造，该材料化学成分符合YY/T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E0CC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E7B6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B953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225×5，枪状，直型，匙形</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964B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1C33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1.长度225mm，头部直型、匙形，头宽5mm，枪状，工作长度100mm，扁柄带孔。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2.与人体接触部位采用进口医用不锈钢20Cr13制造，该材料化学成分符合YY/T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54C60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EF59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显微钩</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0056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210×Ф1×2.5×90°，直型，球头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96BD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A31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1.长度210mm，直型，球头，直径φ1mm，头部90°弯曲，弯曲后高度2.5mm。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37C50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94E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B2E0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240×Ф1，枪形，球头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E2E6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9C463">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1.总长210mm，头宽φ1，工作杆枪型，工作长度117mm。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2D756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8146F7">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肿瘤器械</w:t>
            </w:r>
          </w:p>
        </w:tc>
      </w:tr>
      <w:tr w14:paraId="01D6BF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D6C69">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名称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52EEF">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规格型号</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B5E78">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44E0B">
            <w:pPr>
              <w:keepNext w:val="0"/>
              <w:keepLines w:val="0"/>
              <w:widowControl/>
              <w:suppressLineNumbers w:val="0"/>
              <w:jc w:val="left"/>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技术参数及要求</w:t>
            </w:r>
          </w:p>
        </w:tc>
      </w:tr>
      <w:tr w14:paraId="442CF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88AD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显微钩</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E4F1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240×Ф1×2.5×45°，枪形，球头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514B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9D5C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1.长度240mm，枪状，球头，直径φ1mm，头部45°弯曲，弯曲后高度2.5mm。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3C32A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3042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显微持针钳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8F3F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225，枪状直头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CBB7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F10C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1.长度225mm，直头，枪状，工作长度100mm，扁柄带孔。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2.头部采用医用不锈钢20Cr13制造，该材料化学成分符合YY/T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726C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4F4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显微持针钳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F043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225，弯头，簧式</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C048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05D7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1.长度225mm，弯头，枪状，工作长度100mm，扁柄带孔，簧式。</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2.头部采用医用不锈钢20Cr13制造，该材料化学成分符合YY/T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7107DC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21F6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肿瘤摘除镊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6BA8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240×3，枪状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A47D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49FB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1.总长240mm，头宽3mm，工作杆枪状。</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0FF5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CA0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肿瘤摘除镊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D18E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240×5，枪状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71A2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D08F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1.总长240mm，头宽5mm，工作杆枪状。</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0F48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F9F4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肿瘤摘除镊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D15C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240×3，直型，垂体瘤</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591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3B1A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1.总长240mm，头宽3mm，工作杆枪状，垂体瘤。</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5BDDD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2040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肿瘤摘除镊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821E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240×4，上弯，垂体瘤</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75CF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E37F8">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1.总长240mm，头宽4mm，工作杆枪状，上弯。</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981F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4040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肿瘤摘除镊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E7F3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240×2，下弯，垂体瘤</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5C72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44A3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1.总长240mm，头宽2mm，工作杆枪状，下弯。</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097E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E1F0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3C11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230×2.5，圆头，角形</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1BDC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EA3D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1.总长230mm，头宽2.5mm，圆头，角形，工作杆直型。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758FB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D516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7987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230×2.5，叶片状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AD36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FA5A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1.总长230mm，头宽2.5mm，叶片状，工作杆直型。</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593E5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0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CDBD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73B8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230×2，枪形，叶片状，上弯</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85D8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66758">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1.总长230mm，头宽2mm，叶片状，上弯，工作杆枪型，工作长度107mm。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37D02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61AA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4969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230×1.5，叶片状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E1FB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AD4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1.总长230mm，头宽1.5mm，叶片状，工作杆直型，工作长度130mm。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4C06C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A8D8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显微刀</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F5C8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230×3.5，枪状，上弯</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7FBE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6579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1.长度230mm，枪状，头部上弯，头宽3.5mm。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3.与人体接触部位采用医用不锈钢32Cr13mmo制造，该材料化学成分符合YY/T 0294.1-2016《外科器械金属材料第1部分：不锈钢》，材料应经热处理，硬度48-56HRC。。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12E2F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9"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8C36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显微刀</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B515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230×3.5，枪状，下弯</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8E4B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47CD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1.长度230mm，枪状，头部下弯，头宽3.5mm。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3.与人体接触部位采用医用不锈钢32Cr13mmo制造，该材料化学成分符合YY/T 0294.1-2016《外科器械金属材料第1部分：不锈钢》，材料应经热处理，硬度48-56HRC。。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0206A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6A9A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剥离器</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F5A8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230×4.5，枪形，叶片状，下弯</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78B5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44C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1.总长230mm，头宽4.5mm，叶片状，下弯，工作杆枪型，工作长度107mm。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1BFDA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658C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显微钩</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6DBC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230×1×2.5，球头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20AB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A57B6">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1.长度230mm，直型，球头直径φ1mm，头部90°弯曲，高度2.5mm。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7E5A7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1"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AD5A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显微刮匙</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EE9B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230×3，直型，匙形</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59CD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F719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1.长度230mm，头宽3mm，匙形，工作杆直型，工作长度130mm。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60D52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5139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探针</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98C8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230×0.7，血管</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CBD8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0A272">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1.长度230mm，头部直径0.7mm，工作杆直型，用于探、拨血管。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3.与人体接触部分采用医用不锈钢20Cr13制造，该材料化学成分符合YY/T 0294.1-2016《外科器械金属材料第1部分：不锈钢》，应经热处理，硬度40-48HRC。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32628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74A9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显微钩</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4D9C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230×0.6×2.5，钝头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2A82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EF0A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1.长度230mm，直型，钝头，直径φ0.6mm，头部90°弯曲，高度2.5mm。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6A4A3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9"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DA2F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显微刮匙</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1F9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230×2，枪状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B038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F06C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1.长度230mm，头宽2mm，匙形，工作杆枪状。</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2625F1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681D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显微刮匙</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C7B6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230×3，枪状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3F64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714A1">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1.长度230mm，头宽3mm，匙形，工作杆枪状。</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2991D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815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显微刮匙</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676D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240×3，枪形，右弯，环状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DBD2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ADEC5">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1.长度240mm，头部环状，右弯，单刃，内径φ3mm，工作杆枪形，工作长度130mm。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4D41A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D8EE4">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显微刮匙</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6CFDF">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230×3，直型，环状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0E116">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BF0EA">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1.长度230mm，头部环状，单刃，内径φ3mm，工作杆直型，工作长度130mm。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40746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C08B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显微刮匙</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DF58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240×4，枪形，左弯，环状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4A83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BFF0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1.长度240mm，头部环状，左弯，单刃，内径φ4mm，工作杆枪形，工作长度130mm。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29D4A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7845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肿瘤摘除钳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DC08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200×3，左向</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7E9E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A883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1.长度200mm，头宽3mm，左向，上弯，长圆头。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1E33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3E76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肿瘤摘除钳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C526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200×3  直头</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D5D5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350E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1.长度200mm，头宽3mm，直头。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AAC9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D0DF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肿瘤摘除钳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F2F4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200×3  右向</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75A7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85CF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1.长度200mm，头宽3mm，右向。</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4BC01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8362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显微刮匙</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F0B8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260×4，枪状，直角，环状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D42E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295C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1.长度260mm，头部环状，直角，单刃，内径φ4mm，工作杆枪状，工作长度150mm。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265EB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04"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2CDF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显微刮匙</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FCC1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260×2.5，枪状，钝角，环状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B749D">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B91E9">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1.长度260mm，头部环状，钝角，单刃，内径φ2.5mm，工作杆枪状，工作长度150mm。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★2.双螺旋线花纹手柄，手柄带有触摸方向性设计。</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3.与人体接触部位采用医用不锈钢20Cr13制造，该材料化学成分符合YY/T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6.产品适用高温高压、低温等离子、环氧乙烷灭菌。</w:t>
            </w:r>
          </w:p>
        </w:tc>
      </w:tr>
      <w:tr w14:paraId="6DA01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E1E1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E6F2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240×0.6，无齿，枪状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17B28">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B0BC">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1.长度240mm，头宽0.6mm，头部无齿，枪状，工作长度115mm，扁柄带孔。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2.与人体接触部位采用进口医用不锈钢20Cr13制造，该材料化学成分符合YY/T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31EEB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9912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638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240×0.9，有齿，枪状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CB23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9B56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1.长度240mm，头宽0.6mm，头部无齿，枪状，工作长度115mm，扁柄带孔。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2.与人体接触部位采用进口医用不锈钢20Cr13制造，该材料化学成分符合YY/T 0294.1-2016《外科器械金属材料第1部分：不锈钢》，材料应经热处理，硬度40-48HRC。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64C6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93A2">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显微组织镊</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3D39">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240，1×2钩，枪状</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FA48C">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272DD">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1.长度240mm，头部1×2钩，枪状，工作长度115mm，扁柄带孔。</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2.与患者接触部分采用医用不锈钢20Cr13制造，该材料化学成分符合YY/T 0294.1-2016《外科器械金属材料第1部分：不锈钢》，应经热处理，其硬度为40-48HRC。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3.器械外表面亚光，不得有锋棱、毛刺及明显的碰伤和划痕，其表面粗糙度不大于0.8μmm。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6357E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720AD44">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 xml:space="preserve">颈动脉内膜剥脱专用手术器械      </w:t>
            </w:r>
          </w:p>
        </w:tc>
      </w:tr>
      <w:tr w14:paraId="6B814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E13AA">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名称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6393B">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规格型号</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899B">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6C475">
            <w:pPr>
              <w:keepNext w:val="0"/>
              <w:keepLines w:val="0"/>
              <w:widowControl/>
              <w:suppressLineNumbers w:val="0"/>
              <w:jc w:val="left"/>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技术参数及要求</w:t>
            </w:r>
          </w:p>
        </w:tc>
      </w:tr>
      <w:tr w14:paraId="088A8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35C60">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精细剪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D0DA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180，弯，尖头，镶片</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AABE1">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445A4">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1.长度180mm，弯，尖头。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2.与患者接触部分采用医用不锈钢CGP336制造，该材料化学成分符合YY/T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3.器械外表面刷光处理，不得有锋棱、毛刺及明显的碰伤和划痕，其表面粗糙度不大于0.8μmm。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2CBEC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16"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0FE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精细剪</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DC63B">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180，弯，宽头，镶片</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3736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AB0CF">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1.长度180mm，弯，宽头。</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2.与患者接触部分采用医用不锈钢CGP336制造，该材料化学成分符合YY/T 0294.1-2016《外科器械金属材料第1部分：不锈钢》，应经热处理，其硬度为48-58HRC。</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3.器械外表面刷光处理，不得有锋棱、毛刺及明显的碰伤和划痕，其表面粗糙度不大于0.8μmm。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4.应有良好的耐腐蚀性能：产品按YY/T 0149–2006《不锈钢医用器械耐腐蚀性能试验方法》规定的“5 沸水试验法”进行试验时，外表面应达到“b级”。</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5.产品适用高温高压、低温等离子、环氧乙烷灭菌。</w:t>
            </w:r>
          </w:p>
        </w:tc>
      </w:tr>
      <w:tr w14:paraId="1D2AE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 w:hRule="atLeast"/>
        </w:trPr>
        <w:tc>
          <w:tcPr>
            <w:tcW w:w="96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FF51A0E">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 xml:space="preserve">动脉瘤手术专用显微器械       </w:t>
            </w:r>
          </w:p>
        </w:tc>
      </w:tr>
      <w:tr w14:paraId="113C4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6F2A6">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名称</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84238">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规格型号</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EC886">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数量</w:t>
            </w:r>
          </w:p>
        </w:tc>
        <w:tc>
          <w:tcPr>
            <w:tcW w:w="6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0B99B">
            <w:pPr>
              <w:keepNext w:val="0"/>
              <w:keepLines w:val="0"/>
              <w:widowControl/>
              <w:suppressLineNumbers w:val="0"/>
              <w:jc w:val="left"/>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技术参数及要求</w:t>
            </w:r>
          </w:p>
        </w:tc>
      </w:tr>
      <w:tr w14:paraId="7895A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F577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动脉瘤夹钳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BD73E">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210，枪型，双关节，标准型，360°旋转</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E6443">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84BBB">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1.总长210mm，枪型，双关节，标准型，360°旋转。</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2.本产品不与患者接触。</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3.器械外表面刷光处理，不得有锋棱、毛刺及明显的碰伤和划痕，其表面粗糙度不大于0.4μmm。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4.产品适用高温高压、低温等离子、环氧乙烷灭菌。</w:t>
            </w:r>
          </w:p>
        </w:tc>
      </w:tr>
      <w:tr w14:paraId="73721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0" w:hRule="atLeast"/>
        </w:trPr>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30A87">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动脉瘤夹钳</w:t>
            </w:r>
          </w:p>
        </w:tc>
        <w:tc>
          <w:tcPr>
            <w:tcW w:w="10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C8205">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210，枪型，双关节，迷你型，360°旋转</w:t>
            </w:r>
          </w:p>
        </w:tc>
        <w:tc>
          <w:tcPr>
            <w:tcW w:w="6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4A71A">
            <w:pPr>
              <w:keepNext w:val="0"/>
              <w:keepLines w:val="0"/>
              <w:widowControl/>
              <w:suppressLineNumbers w:val="0"/>
              <w:jc w:val="center"/>
              <w:textAlignment w:val="center"/>
              <w:rPr>
                <w:rFonts w:hint="eastAsia" w:ascii="仿宋" w:hAnsi="仿宋" w:eastAsia="仿宋" w:cs="仿宋"/>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1</w:t>
            </w:r>
          </w:p>
        </w:tc>
        <w:tc>
          <w:tcPr>
            <w:tcW w:w="65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A619E">
            <w:pPr>
              <w:keepNext w:val="0"/>
              <w:keepLines w:val="0"/>
              <w:widowControl/>
              <w:suppressLineNumbers w:val="0"/>
              <w:jc w:val="left"/>
              <w:textAlignment w:val="center"/>
              <w:rPr>
                <w:rFonts w:hint="eastAsia" w:ascii="仿宋" w:hAnsi="仿宋" w:eastAsia="仿宋" w:cs="仿宋"/>
                <w:i w:val="0"/>
                <w:iCs w:val="0"/>
                <w:color w:val="000000"/>
                <w:sz w:val="22"/>
                <w:szCs w:val="22"/>
                <w:highlight w:val="none"/>
                <w:u w:val="none"/>
              </w:rPr>
            </w:pPr>
            <w:r>
              <w:rPr>
                <w:rFonts w:hint="eastAsia" w:ascii="仿宋" w:hAnsi="仿宋" w:eastAsia="仿宋" w:cs="仿宋"/>
                <w:i w:val="0"/>
                <w:iCs w:val="0"/>
                <w:color w:val="000000"/>
                <w:kern w:val="0"/>
                <w:sz w:val="22"/>
                <w:szCs w:val="22"/>
                <w:highlight w:val="none"/>
                <w:u w:val="none"/>
                <w:lang w:val="en-US" w:eastAsia="zh-CN" w:bidi="ar"/>
              </w:rPr>
              <w:t>1.总长210mm，枪型，双关节，迷你型，360°旋转。</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2.本产品不与患者接触。</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3.器械外表面刷光处理，不得有锋棱、毛刺及明显的碰伤和划痕，其表面粗糙度不大于0.4μmm。</w:t>
            </w:r>
            <w:r>
              <w:rPr>
                <w:rFonts w:hint="eastAsia" w:ascii="仿宋" w:hAnsi="仿宋" w:eastAsia="仿宋" w:cs="仿宋"/>
                <w:i w:val="0"/>
                <w:iCs w:val="0"/>
                <w:color w:val="000000"/>
                <w:kern w:val="0"/>
                <w:sz w:val="22"/>
                <w:szCs w:val="22"/>
                <w:highlight w:val="none"/>
                <w:u w:val="none"/>
                <w:lang w:val="en-US" w:eastAsia="zh-CN" w:bidi="ar"/>
              </w:rPr>
              <w:br w:type="textWrapping"/>
            </w:r>
            <w:r>
              <w:rPr>
                <w:rFonts w:hint="eastAsia" w:ascii="仿宋" w:hAnsi="仿宋" w:eastAsia="仿宋" w:cs="仿宋"/>
                <w:i w:val="0"/>
                <w:iCs w:val="0"/>
                <w:color w:val="000000"/>
                <w:kern w:val="0"/>
                <w:sz w:val="22"/>
                <w:szCs w:val="22"/>
                <w:highlight w:val="none"/>
                <w:u w:val="none"/>
                <w:lang w:val="en-US" w:eastAsia="zh-CN" w:bidi="ar"/>
              </w:rPr>
              <w:t>4.产品适用高温高压、低温等离子、环氧乙烷灭菌。</w:t>
            </w:r>
          </w:p>
        </w:tc>
      </w:tr>
    </w:tbl>
    <w:p w14:paraId="501F7A62">
      <w:pPr>
        <w:jc w:val="both"/>
        <w:rPr>
          <w:rFonts w:hint="eastAsia" w:ascii="仿宋" w:hAnsi="仿宋" w:eastAsia="仿宋" w:cs="仿宋"/>
          <w:b/>
          <w:bCs/>
          <w:sz w:val="32"/>
          <w:szCs w:val="32"/>
          <w:highlight w:val="none"/>
          <w:lang w:val="en-US" w:eastAsia="zh-CN"/>
        </w:rPr>
      </w:pPr>
    </w:p>
    <w:p w14:paraId="798333AC">
      <w:pPr>
        <w:spacing w:line="360" w:lineRule="auto"/>
        <w:jc w:val="center"/>
        <w:rPr>
          <w:rFonts w:hint="eastAsia" w:ascii="仿宋" w:hAnsi="仿宋" w:eastAsia="仿宋" w:cs="仿宋"/>
          <w:b/>
          <w:bCs/>
          <w:sz w:val="36"/>
          <w:szCs w:val="36"/>
          <w:highlight w:val="none"/>
          <w:lang w:val="en-US" w:eastAsia="zh-CN"/>
        </w:rPr>
      </w:pPr>
      <w:r>
        <w:rPr>
          <w:rFonts w:hint="eastAsia" w:ascii="仿宋" w:hAnsi="仿宋" w:eastAsia="仿宋" w:cs="仿宋"/>
          <w:b/>
          <w:bCs/>
          <w:sz w:val="36"/>
          <w:szCs w:val="36"/>
          <w:highlight w:val="none"/>
          <w:lang w:val="en-US" w:eastAsia="zh-CN"/>
        </w:rPr>
        <w:t>神经监护系统</w:t>
      </w:r>
    </w:p>
    <w:p w14:paraId="0822BC9C">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一、功能需求：</w:t>
      </w:r>
    </w:p>
    <w:p w14:paraId="0C4A477D">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通过脑电、TOF、诱发电位及肌电图等项目，为医生提供中枢神经、周围神经、肌肉及麻醉用药的客观评价指标，实时反馈手术过程中神经的活动情况，对外科手术医生中是否触及神经或对神经有无损伤及损伤的部位进行指导。</w:t>
      </w:r>
    </w:p>
    <w:p w14:paraId="46F0B520">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二、技术参数</w:t>
      </w:r>
    </w:p>
    <w:p w14:paraId="14E4DA2A">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1、硬件功能</w:t>
      </w:r>
    </w:p>
    <w:p w14:paraId="24694950">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★放大器：信号采集≥32通道，支持多个通道集合成为一个输出端口与器械相连，支持采集电极快速连接，同时具备通用接口，双屏显示台车。</w:t>
      </w:r>
    </w:p>
    <w:p w14:paraId="021212DD">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前置放大盒技术参数：</w:t>
      </w:r>
    </w:p>
    <w:p w14:paraId="5023700E">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(1)带宽：0.4Hz-7kHz</w:t>
      </w:r>
    </w:p>
    <w:p w14:paraId="4C0F19A6">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(2)隔离电源：配备专用医用隔离电源，防高压专用隔离</w:t>
      </w:r>
    </w:p>
    <w:p w14:paraId="7E542971">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(3)采样频率：25KHz/通道</w:t>
      </w:r>
    </w:p>
    <w:p w14:paraId="6570C764">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(4)灵敏度：0.01μV/D- 30mV/div 分档控制</w:t>
      </w:r>
    </w:p>
    <w:p w14:paraId="5AE993F4">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(5)滤波功能：具有高低通滤波功能、多档可调。高频滤波，10-7000HZ，低频滤波0.1-500Hz</w:t>
      </w:r>
    </w:p>
    <w:p w14:paraId="5BF94F22">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(6)共模抑制比</w:t>
      </w:r>
      <w:r>
        <w:rPr>
          <w:rFonts w:hint="eastAsia" w:ascii="仿宋" w:hAnsi="仿宋" w:eastAsia="仿宋" w:cs="仿宋"/>
          <w:b w:val="0"/>
          <w:bCs w:val="0"/>
          <w:sz w:val="24"/>
          <w:szCs w:val="24"/>
          <w:highlight w:val="none"/>
          <w:lang w:val="en-US" w:eastAsia="zh-CN"/>
        </w:rPr>
        <w:tab/>
      </w:r>
      <w:r>
        <w:rPr>
          <w:rFonts w:hint="eastAsia" w:ascii="仿宋" w:hAnsi="仿宋" w:eastAsia="仿宋" w:cs="仿宋"/>
          <w:b w:val="0"/>
          <w:bCs w:val="0"/>
          <w:sz w:val="24"/>
          <w:szCs w:val="24"/>
          <w:highlight w:val="none"/>
          <w:lang w:val="en-US" w:eastAsia="zh-CN"/>
        </w:rPr>
        <w:t>：≥120dB</w:t>
      </w:r>
    </w:p>
    <w:p w14:paraId="1E615B98">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(7)噪声电压：≤2.0 uV p-p</w:t>
      </w:r>
    </w:p>
    <w:p w14:paraId="14DA437D">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(8)A/D 转换：≥24 位 </w:t>
      </w:r>
    </w:p>
    <w:p w14:paraId="672E6294">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(10)输入抗阻：≥ 3000MΩ</w:t>
      </w:r>
    </w:p>
    <w:p w14:paraId="7A25D91C">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(11)扫描速度：0.1-30000mS/D，≥20 级可调</w:t>
      </w:r>
    </w:p>
    <w:p w14:paraId="6D854284">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(12)阻抗测量：所有输入的电极可检测实时阻抗</w:t>
      </w:r>
    </w:p>
    <w:p w14:paraId="25336BFD">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(13)低电流刺激器：0-8mA电流刺激，步进0.01mA每步。</w:t>
      </w:r>
    </w:p>
    <w:p w14:paraId="4B9C1D20">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电刺激器：</w:t>
      </w:r>
    </w:p>
    <w:p w14:paraId="3A11F841">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(1)恒流恒压两种</w:t>
      </w:r>
    </w:p>
    <w:p w14:paraId="0CAAFF7F">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(2)输出方式：重复、不重复、单一脉冲串等</w:t>
      </w:r>
    </w:p>
    <w:p w14:paraId="1CDE4DE5">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(3)安全性：开机后可自检进行测试</w:t>
      </w:r>
    </w:p>
    <w:p w14:paraId="0AD367A5">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(4)刺激级性：正相，负相，双相等</w:t>
      </w:r>
    </w:p>
    <w:p w14:paraId="45800333">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(5)刺激脉宽：0.010 – 1.0 ms</w:t>
      </w:r>
    </w:p>
    <w:p w14:paraId="2D96E213">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(6)脉冲串频率：1Hz-1000Hz</w:t>
      </w:r>
    </w:p>
    <w:p w14:paraId="624728CA">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(7)恒流刺激器：≥8个高电流刺激端口</w:t>
      </w:r>
    </w:p>
    <w:p w14:paraId="1C016C75">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(8)刺激强度：最大刺激电压1000V，最大输出电流1000mA </w:t>
      </w:r>
    </w:p>
    <w:p w14:paraId="48C92482">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(9)刺激频率：0.01Hz～100Hz   </w:t>
      </w:r>
    </w:p>
    <w:p w14:paraId="552D2162">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配置声刺激器：</w:t>
      </w:r>
    </w:p>
    <w:p w14:paraId="0F9A87DC">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(1)刺激类型:短音、纯音、白噪音等</w:t>
      </w:r>
    </w:p>
    <w:p w14:paraId="2C19C9F8">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(2)刺激输出：左耳、右耳、双耳交替</w:t>
      </w:r>
    </w:p>
    <w:p w14:paraId="33179488">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(3)最大短音 声强≤125dB </w:t>
      </w:r>
    </w:p>
    <w:p w14:paraId="2655257B">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(4)最大纯音 声强≤125dB</w:t>
      </w:r>
    </w:p>
    <w:p w14:paraId="0D892E9D">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(5)最大白噪音 声强≤125dB</w:t>
      </w:r>
    </w:p>
    <w:p w14:paraId="25CA89D4">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(6)刺激频率：0.1Hz-100Hz   </w:t>
      </w:r>
    </w:p>
    <w:p w14:paraId="5469A6E0">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2、软件功能 </w:t>
      </w:r>
    </w:p>
    <w:p w14:paraId="7C3F36D9">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1.计算机操作系统软件：Windows系统、专业版Office 办公软件；</w:t>
      </w:r>
    </w:p>
    <w:p w14:paraId="4B414BF4">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神经监测项目：脑电图、肌电图、皮层定位、体感诱发电位、运动诱发电位、椎弓根自动刺激程序、听觉诱发电位、视觉诱发电位等。多项目同步监测及信号采集：脑电、诱发电位及肌电图同步并行监测及信号采集；</w:t>
      </w:r>
    </w:p>
    <w:p w14:paraId="2BEFA279">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同一个画面上多种检查同时进行并能够自由切换；自由设置检查顺序功能，能进行一定间隔不同的监测顺序检查。监测显示窗口多种排列形式，支持各监测模块显示窗口横向平铺、纵向平铺、矩阵平铺、层叠显示等多形式。</w:t>
      </w:r>
    </w:p>
    <w:p w14:paraId="564FDF75">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脑电图功能：频谱图:通过对波形数据的频谱分析计算出整个病例的各频段δ、θ、a、β相对能量占比、中频指数、边频指数、快慢波相对能量比、爆发抑制比、振幅整合、双频指数，最终以趋势图的形式表现出来。</w:t>
      </w:r>
    </w:p>
    <w:p w14:paraId="65C16235">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肌电图功能：由自扫描肌电波形窗口、触发肌电窗口及肌电波形堆栈窗口组成，实时显示采集到的肌电波形数据，并具备临时回放功能，可切换单区域和横向平铺双区域显示窗口布局类型。自动捕获肌电图动作单位电位，包括单次刺激触发的数据捕获；保存时同时保存波形Label、捕获时间、捕获源等信息。</w:t>
      </w:r>
    </w:p>
    <w:p w14:paraId="16069338">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5.诱发电位功能：以多实时显示波形数据进行显示，包括：1、数据绝对值；2,、每个波形与基线的差值；3、每个波形与基线的百分比数据。</w:t>
      </w:r>
    </w:p>
    <w:p w14:paraId="7056CEE5">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6.椎弓根螺钉探测功能：椎弓根钉自动测试及自动调节功能。</w:t>
      </w:r>
    </w:p>
    <w:p w14:paraId="5392FF90">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7.噪声分析屏蔽软件：软件具备干噪声分析功能，可分析手术室双极电凝等噪声；</w:t>
      </w:r>
    </w:p>
    <w:p w14:paraId="77D28A42">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8.窗口显示：实时波形、趋势图、数据表格、视频图像、事件窗口等，同时同屏显示，并可分屏逐窗浏览；</w:t>
      </w:r>
    </w:p>
    <w:p w14:paraId="2050BB48">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9.监测模板编辑保存：具有各种监测模式，可根据不同的手术方式进行编辑，添加监测模式，数目不限。</w:t>
      </w:r>
    </w:p>
    <w:p w14:paraId="7937C1D5">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10.TOF监测：显示病人肌肉松弛度，显示方式有柱状图、百分比、真实波形三种形式。</w:t>
      </w:r>
    </w:p>
    <w:p w14:paraId="3AB799BA">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11.报告出具：具有模板功能，可一键生成报告，也可自行编辑，保存，支持中文报告，能与 word 的文档处理软件兼容，各显示窗口可复制并粘贴至其他应用软件。</w:t>
      </w:r>
    </w:p>
    <w:p w14:paraId="6FA3C0D0">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12.屏幕打印功能：能将监测波形拷贝并自动导入报告中或存为图片格式</w:t>
      </w:r>
    </w:p>
    <w:p w14:paraId="541EF6B6">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★14.云监测功能：一台主机可通过云监测软件实现多台设备同时远程监测，从而实现多个手术间同时监测。</w:t>
      </w:r>
    </w:p>
    <w:p w14:paraId="53DEB525">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3.其他</w:t>
      </w:r>
    </w:p>
    <w:p w14:paraId="588606AE">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(1)支持对系统窗口、光标、诱发模块、肌电模块的不同显示进行个性化设置。</w:t>
      </w:r>
    </w:p>
    <w:p w14:paraId="1C21BAC2">
      <w:pPr>
        <w:spacing w:line="360" w:lineRule="auto"/>
        <w:jc w:val="both"/>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sz w:val="24"/>
          <w:szCs w:val="24"/>
          <w:highlight w:val="none"/>
          <w:lang w:val="en-US" w:eastAsia="zh-CN"/>
        </w:rPr>
        <w:t>(2)任何一台计算机均可以通过 LAN 或 VPN 进行远程数据监视，实现即时网络功能</w:t>
      </w:r>
      <w:r>
        <w:rPr>
          <w:rFonts w:hint="eastAsia" w:ascii="仿宋" w:hAnsi="仿宋" w:eastAsia="仿宋" w:cs="仿宋"/>
          <w:b w:val="0"/>
          <w:bCs w:val="0"/>
          <w:color w:val="auto"/>
          <w:sz w:val="24"/>
          <w:szCs w:val="24"/>
          <w:highlight w:val="none"/>
          <w:lang w:val="en-US" w:eastAsia="zh-CN"/>
        </w:rPr>
        <w:t xml:space="preserve">，并负责承担相关接口费用。 </w:t>
      </w:r>
    </w:p>
    <w:p w14:paraId="1203CAFE">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(3)设备有自动储存功能，有效避免意外断电后监测数据丢失，无需重新开始，自动持续上一次监测。</w:t>
      </w:r>
    </w:p>
    <w:p w14:paraId="0D8BBC36">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三、配置要求</w:t>
      </w:r>
    </w:p>
    <w:tbl>
      <w:tblPr>
        <w:tblStyle w:val="21"/>
        <w:tblW w:w="92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4788"/>
        <w:gridCol w:w="1776"/>
        <w:gridCol w:w="1783"/>
      </w:tblGrid>
      <w:tr w14:paraId="1B0A8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4B52DEE1">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4788" w:type="dxa"/>
            <w:vAlign w:val="center"/>
          </w:tcPr>
          <w:p w14:paraId="6254E626">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名称</w:t>
            </w:r>
          </w:p>
        </w:tc>
        <w:tc>
          <w:tcPr>
            <w:tcW w:w="1776" w:type="dxa"/>
            <w:vAlign w:val="center"/>
          </w:tcPr>
          <w:p w14:paraId="2AB7B16E">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数量</w:t>
            </w:r>
          </w:p>
        </w:tc>
        <w:tc>
          <w:tcPr>
            <w:tcW w:w="1783" w:type="dxa"/>
            <w:vAlign w:val="center"/>
          </w:tcPr>
          <w:p w14:paraId="528C4F3C">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r>
      <w:tr w14:paraId="70009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317F3EDB">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788" w:type="dxa"/>
            <w:vAlign w:val="center"/>
          </w:tcPr>
          <w:p w14:paraId="407E887D">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电生理监测仪主机</w:t>
            </w:r>
          </w:p>
        </w:tc>
        <w:tc>
          <w:tcPr>
            <w:tcW w:w="1776" w:type="dxa"/>
            <w:vAlign w:val="center"/>
          </w:tcPr>
          <w:p w14:paraId="36BD1739">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783" w:type="dxa"/>
            <w:vAlign w:val="center"/>
          </w:tcPr>
          <w:p w14:paraId="03FE2A31">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39FB8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7751508C">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4788" w:type="dxa"/>
            <w:vAlign w:val="center"/>
          </w:tcPr>
          <w:p w14:paraId="1BCA360F">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电生理监测仪软件</w:t>
            </w:r>
          </w:p>
        </w:tc>
        <w:tc>
          <w:tcPr>
            <w:tcW w:w="1776" w:type="dxa"/>
            <w:vAlign w:val="center"/>
          </w:tcPr>
          <w:p w14:paraId="3D26B0F0">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783" w:type="dxa"/>
            <w:vAlign w:val="center"/>
          </w:tcPr>
          <w:p w14:paraId="529B363B">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0F7C6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308A4FBE">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4788" w:type="dxa"/>
            <w:vAlign w:val="center"/>
          </w:tcPr>
          <w:p w14:paraId="1915AF6B">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双屏移动台车</w:t>
            </w:r>
          </w:p>
        </w:tc>
        <w:tc>
          <w:tcPr>
            <w:tcW w:w="1776" w:type="dxa"/>
            <w:vAlign w:val="center"/>
          </w:tcPr>
          <w:p w14:paraId="31D0FAB5">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783" w:type="dxa"/>
            <w:vAlign w:val="center"/>
          </w:tcPr>
          <w:p w14:paraId="4EC7542F">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67EE9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78B0F105">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4788" w:type="dxa"/>
            <w:vAlign w:val="center"/>
          </w:tcPr>
          <w:p w14:paraId="0382A72F">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视频采集卡</w:t>
            </w:r>
          </w:p>
        </w:tc>
        <w:tc>
          <w:tcPr>
            <w:tcW w:w="1776" w:type="dxa"/>
            <w:vAlign w:val="center"/>
          </w:tcPr>
          <w:p w14:paraId="5301EE04">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783" w:type="dxa"/>
            <w:vAlign w:val="center"/>
          </w:tcPr>
          <w:p w14:paraId="2F78F9F6">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5D6DF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7CE5600F">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4788" w:type="dxa"/>
            <w:vAlign w:val="center"/>
          </w:tcPr>
          <w:p w14:paraId="37285652">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SDI转HDMI转换器</w:t>
            </w:r>
          </w:p>
        </w:tc>
        <w:tc>
          <w:tcPr>
            <w:tcW w:w="1776" w:type="dxa"/>
            <w:vAlign w:val="center"/>
          </w:tcPr>
          <w:p w14:paraId="2BA06355">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783" w:type="dxa"/>
            <w:vAlign w:val="center"/>
          </w:tcPr>
          <w:p w14:paraId="4623F05B">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723B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03071B19">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4788" w:type="dxa"/>
            <w:vAlign w:val="center"/>
          </w:tcPr>
          <w:p w14:paraId="127454FD">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SDI连接线</w:t>
            </w:r>
          </w:p>
        </w:tc>
        <w:tc>
          <w:tcPr>
            <w:tcW w:w="1776" w:type="dxa"/>
            <w:vAlign w:val="center"/>
          </w:tcPr>
          <w:p w14:paraId="39A57F91">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783" w:type="dxa"/>
            <w:vAlign w:val="center"/>
          </w:tcPr>
          <w:p w14:paraId="17E32A4A">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w:t>
            </w:r>
          </w:p>
        </w:tc>
      </w:tr>
      <w:tr w14:paraId="45B8C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0C9FFD51">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4788" w:type="dxa"/>
            <w:vAlign w:val="center"/>
          </w:tcPr>
          <w:p w14:paraId="5E4BABCE">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表面电极</w:t>
            </w:r>
          </w:p>
        </w:tc>
        <w:tc>
          <w:tcPr>
            <w:tcW w:w="1776" w:type="dxa"/>
            <w:vAlign w:val="center"/>
          </w:tcPr>
          <w:p w14:paraId="2CBFF711">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783" w:type="dxa"/>
            <w:vAlign w:val="center"/>
          </w:tcPr>
          <w:p w14:paraId="350CBDD8">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w:t>
            </w:r>
          </w:p>
        </w:tc>
      </w:tr>
      <w:tr w14:paraId="3446A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3C8E230C">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4788" w:type="dxa"/>
            <w:vAlign w:val="center"/>
          </w:tcPr>
          <w:p w14:paraId="0C1C000B">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一次性针电极</w:t>
            </w:r>
          </w:p>
        </w:tc>
        <w:tc>
          <w:tcPr>
            <w:tcW w:w="1776" w:type="dxa"/>
            <w:vAlign w:val="center"/>
          </w:tcPr>
          <w:p w14:paraId="07889C7B">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783" w:type="dxa"/>
            <w:vAlign w:val="center"/>
          </w:tcPr>
          <w:p w14:paraId="49FC5140">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w:t>
            </w:r>
          </w:p>
        </w:tc>
      </w:tr>
      <w:tr w14:paraId="70D4F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4800ED6F">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4788" w:type="dxa"/>
            <w:vAlign w:val="center"/>
          </w:tcPr>
          <w:p w14:paraId="0E6ECE49">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一次性神经探头</w:t>
            </w:r>
          </w:p>
        </w:tc>
        <w:tc>
          <w:tcPr>
            <w:tcW w:w="1776" w:type="dxa"/>
            <w:vAlign w:val="center"/>
          </w:tcPr>
          <w:p w14:paraId="72190B6D">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783" w:type="dxa"/>
            <w:vAlign w:val="center"/>
          </w:tcPr>
          <w:p w14:paraId="27C58487">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w:t>
            </w:r>
          </w:p>
        </w:tc>
      </w:tr>
      <w:tr w14:paraId="6FCF8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2FEEDCED">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4788" w:type="dxa"/>
            <w:vAlign w:val="center"/>
          </w:tcPr>
          <w:p w14:paraId="10C1C883">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一次性针电极双绞线</w:t>
            </w:r>
          </w:p>
        </w:tc>
        <w:tc>
          <w:tcPr>
            <w:tcW w:w="1776" w:type="dxa"/>
            <w:vAlign w:val="center"/>
          </w:tcPr>
          <w:p w14:paraId="0240DB2B">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783" w:type="dxa"/>
            <w:vAlign w:val="center"/>
          </w:tcPr>
          <w:p w14:paraId="4573CE5A">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w:t>
            </w:r>
          </w:p>
        </w:tc>
      </w:tr>
      <w:tr w14:paraId="5F251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0468F8F3">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4788" w:type="dxa"/>
            <w:vAlign w:val="center"/>
          </w:tcPr>
          <w:p w14:paraId="1DA5C0AC">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激光打印机</w:t>
            </w:r>
          </w:p>
        </w:tc>
        <w:tc>
          <w:tcPr>
            <w:tcW w:w="1776" w:type="dxa"/>
            <w:vAlign w:val="center"/>
          </w:tcPr>
          <w:p w14:paraId="193EB651">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783" w:type="dxa"/>
            <w:vAlign w:val="center"/>
          </w:tcPr>
          <w:p w14:paraId="1E8CB8BE">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7CD49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276FF463">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4788" w:type="dxa"/>
            <w:vAlign w:val="center"/>
          </w:tcPr>
          <w:p w14:paraId="69DEB32E">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金属链条</w:t>
            </w:r>
          </w:p>
        </w:tc>
        <w:tc>
          <w:tcPr>
            <w:tcW w:w="1776" w:type="dxa"/>
            <w:vAlign w:val="center"/>
          </w:tcPr>
          <w:p w14:paraId="1941FC9E">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783" w:type="dxa"/>
            <w:vAlign w:val="center"/>
          </w:tcPr>
          <w:p w14:paraId="1BA3A639">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w:t>
            </w:r>
          </w:p>
        </w:tc>
      </w:tr>
      <w:tr w14:paraId="7414F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458580C5">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4788" w:type="dxa"/>
            <w:vAlign w:val="center"/>
          </w:tcPr>
          <w:p w14:paraId="78CC1180">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USB无线网卡</w:t>
            </w:r>
          </w:p>
        </w:tc>
        <w:tc>
          <w:tcPr>
            <w:tcW w:w="1776" w:type="dxa"/>
            <w:vAlign w:val="center"/>
          </w:tcPr>
          <w:p w14:paraId="025DFEAE">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783" w:type="dxa"/>
            <w:vAlign w:val="center"/>
          </w:tcPr>
          <w:p w14:paraId="0A48321E">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3431F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8" w:type="dxa"/>
            <w:vAlign w:val="center"/>
          </w:tcPr>
          <w:p w14:paraId="2998217D">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4788" w:type="dxa"/>
            <w:vAlign w:val="center"/>
          </w:tcPr>
          <w:p w14:paraId="47C39C91">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HDMI连接线</w:t>
            </w:r>
          </w:p>
        </w:tc>
        <w:tc>
          <w:tcPr>
            <w:tcW w:w="1776" w:type="dxa"/>
            <w:vAlign w:val="center"/>
          </w:tcPr>
          <w:p w14:paraId="4E77C067">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783" w:type="dxa"/>
            <w:vAlign w:val="center"/>
          </w:tcPr>
          <w:p w14:paraId="6F2EF3B9">
            <w:pPr>
              <w:spacing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w:t>
            </w:r>
          </w:p>
        </w:tc>
      </w:tr>
    </w:tbl>
    <w:p w14:paraId="556F9D3F">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四、售后服务</w:t>
      </w:r>
    </w:p>
    <w:p w14:paraId="53BA9DF5">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1、质保期（全保，包含人工、零配件及耗材等更换所有费用）：≥3年，从验收合格后起算；</w:t>
      </w:r>
    </w:p>
    <w:p w14:paraId="5C58F05B">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2、仪器故障要求1小时内响应，12小时内到达现场维修；48小时内不能修复的提供备用机；</w:t>
      </w:r>
    </w:p>
    <w:p w14:paraId="56029943">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3、每年提供不少于两次巡检、维护、保养；</w:t>
      </w:r>
    </w:p>
    <w:p w14:paraId="7283D9F0">
      <w:pPr>
        <w:spacing w:line="360" w:lineRule="auto"/>
        <w:jc w:val="both"/>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4、培训：根据使用单位需要免费提供现场或集中技术培训，包括操作培训和维修培训等。</w:t>
      </w:r>
    </w:p>
    <w:p w14:paraId="6AACBCA1">
      <w:pPr>
        <w:spacing w:line="360" w:lineRule="auto"/>
        <w:jc w:val="both"/>
        <w:rPr>
          <w:rFonts w:hint="eastAsia" w:ascii="仿宋" w:hAnsi="仿宋" w:eastAsia="仿宋" w:cs="仿宋"/>
          <w:b w:val="0"/>
          <w:bCs w:val="0"/>
          <w:sz w:val="24"/>
          <w:szCs w:val="24"/>
          <w:lang w:val="en-US" w:eastAsia="zh-CN"/>
        </w:rPr>
      </w:pPr>
    </w:p>
    <w:p w14:paraId="665A9A1A">
      <w:pPr>
        <w:spacing w:line="360" w:lineRule="auto"/>
        <w:jc w:val="both"/>
        <w:rPr>
          <w:rFonts w:hint="eastAsia" w:ascii="仿宋" w:hAnsi="仿宋" w:eastAsia="仿宋" w:cs="仿宋"/>
          <w:b w:val="0"/>
          <w:bCs w:val="0"/>
          <w:sz w:val="24"/>
          <w:szCs w:val="24"/>
          <w:lang w:val="en-US" w:eastAsia="zh-CN"/>
        </w:rPr>
      </w:pPr>
    </w:p>
    <w:p w14:paraId="4C1DB3CA">
      <w:pPr>
        <w:rPr>
          <w:rFonts w:hint="eastAsia" w:ascii="仿宋" w:hAnsi="仿宋" w:eastAsia="仿宋" w:cs="仿宋"/>
          <w:b/>
          <w:bCs/>
          <w:color w:val="auto"/>
          <w:sz w:val="24"/>
          <w:highlight w:val="none"/>
          <w:lang w:val="en-US" w:eastAsia="zh-CN"/>
        </w:rPr>
      </w:pPr>
    </w:p>
    <w:p w14:paraId="7F5C4FC4">
      <w:pPr>
        <w:rPr>
          <w:rFonts w:hint="eastAsia" w:ascii="仿宋" w:hAnsi="仿宋" w:eastAsia="仿宋" w:cs="仿宋"/>
          <w:color w:val="auto"/>
          <w:highlight w:val="none"/>
        </w:rPr>
      </w:pPr>
      <w:bookmarkStart w:id="239" w:name="_Toc23464"/>
      <w:bookmarkStart w:id="240" w:name="_Toc16310"/>
      <w:r>
        <w:rPr>
          <w:rFonts w:hint="eastAsia" w:ascii="仿宋" w:hAnsi="仿宋" w:eastAsia="仿宋" w:cs="仿宋"/>
          <w:color w:val="auto"/>
          <w:highlight w:val="none"/>
        </w:rPr>
        <w:br w:type="page"/>
      </w:r>
    </w:p>
    <w:p w14:paraId="2E6E5C60">
      <w:pPr>
        <w:pStyle w:val="2"/>
        <w:spacing w:line="360" w:lineRule="auto"/>
        <w:jc w:val="center"/>
        <w:rPr>
          <w:rFonts w:hint="eastAsia" w:ascii="仿宋" w:hAnsi="仿宋" w:eastAsia="仿宋" w:cs="仿宋"/>
          <w:color w:val="auto"/>
          <w:szCs w:val="28"/>
          <w:highlight w:val="none"/>
        </w:rPr>
      </w:pPr>
      <w:r>
        <w:rPr>
          <w:rFonts w:hint="eastAsia" w:ascii="仿宋" w:hAnsi="仿宋" w:eastAsia="仿宋" w:cs="仿宋"/>
          <w:color w:val="auto"/>
          <w:highlight w:val="none"/>
        </w:rPr>
        <w:t>第六章 资格评审标准</w:t>
      </w:r>
      <w:bookmarkEnd w:id="239"/>
      <w:bookmarkEnd w:id="240"/>
    </w:p>
    <w:p w14:paraId="1BE1F895">
      <w:pPr>
        <w:pStyle w:val="1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出现不满足下列各项评审内容及标准要求之一的，则资格评审为不合格。合格投标人不足3家的，不得评标。下列各项评审内容及标准均为招标文件的实质性要求，投标文件响应各款所列材料在开标后不得澄清、后补。</w:t>
      </w:r>
    </w:p>
    <w:tbl>
      <w:tblPr>
        <w:tblStyle w:val="2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1581"/>
        <w:gridCol w:w="7687"/>
      </w:tblGrid>
      <w:tr w14:paraId="10B19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62" w:type="pct"/>
            <w:tcBorders>
              <w:top w:val="single" w:color="auto" w:sz="4" w:space="0"/>
              <w:left w:val="single" w:color="auto" w:sz="4" w:space="0"/>
              <w:bottom w:val="single" w:color="auto" w:sz="4" w:space="0"/>
              <w:right w:val="single" w:color="auto" w:sz="4" w:space="0"/>
            </w:tcBorders>
            <w:noWrap w:val="0"/>
            <w:vAlign w:val="center"/>
          </w:tcPr>
          <w:p w14:paraId="6279D165">
            <w:pPr>
              <w:pStyle w:val="8"/>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序号</w:t>
            </w:r>
          </w:p>
        </w:tc>
        <w:tc>
          <w:tcPr>
            <w:tcW w:w="791" w:type="pct"/>
            <w:tcBorders>
              <w:top w:val="single" w:color="auto" w:sz="4" w:space="0"/>
              <w:left w:val="single" w:color="auto" w:sz="4" w:space="0"/>
              <w:bottom w:val="single" w:color="auto" w:sz="4" w:space="0"/>
              <w:right w:val="single" w:color="auto" w:sz="4" w:space="0"/>
            </w:tcBorders>
            <w:noWrap w:val="0"/>
            <w:vAlign w:val="center"/>
          </w:tcPr>
          <w:p w14:paraId="33F914B8">
            <w:pPr>
              <w:pStyle w:val="8"/>
              <w:keepNext w:val="0"/>
              <w:keepLines w:val="0"/>
              <w:pageBreakBefore w:val="0"/>
              <w:widowControl w:val="0"/>
              <w:kinsoku/>
              <w:wordWrap/>
              <w:overflowPunct/>
              <w:topLinePunct w:val="0"/>
              <w:autoSpaceDE/>
              <w:autoSpaceDN/>
              <w:bidi w:val="0"/>
              <w:adjustRightInd/>
              <w:snapToGrid w:val="0"/>
              <w:spacing w:line="360" w:lineRule="auto"/>
              <w:ind w:firstLine="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评审因素</w:t>
            </w:r>
          </w:p>
        </w:tc>
        <w:tc>
          <w:tcPr>
            <w:tcW w:w="3846" w:type="pct"/>
            <w:tcBorders>
              <w:top w:val="single" w:color="auto" w:sz="4" w:space="0"/>
              <w:left w:val="single" w:color="auto" w:sz="4" w:space="0"/>
              <w:bottom w:val="single" w:color="auto" w:sz="4" w:space="0"/>
              <w:right w:val="single" w:color="auto" w:sz="4" w:space="0"/>
            </w:tcBorders>
            <w:noWrap w:val="0"/>
            <w:vAlign w:val="center"/>
          </w:tcPr>
          <w:p w14:paraId="467B850A">
            <w:pPr>
              <w:pStyle w:val="8"/>
              <w:keepNext w:val="0"/>
              <w:keepLines w:val="0"/>
              <w:pageBreakBefore w:val="0"/>
              <w:widowControl w:val="0"/>
              <w:kinsoku/>
              <w:wordWrap/>
              <w:overflowPunct/>
              <w:topLinePunct w:val="0"/>
              <w:autoSpaceDE/>
              <w:autoSpaceDN/>
              <w:bidi w:val="0"/>
              <w:adjustRightInd/>
              <w:snapToGrid w:val="0"/>
              <w:spacing w:line="360" w:lineRule="auto"/>
              <w:ind w:firstLine="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评审标准</w:t>
            </w:r>
          </w:p>
        </w:tc>
      </w:tr>
      <w:tr w14:paraId="24769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62" w:type="pct"/>
            <w:tcBorders>
              <w:top w:val="single" w:color="auto" w:sz="4" w:space="0"/>
              <w:left w:val="single" w:color="auto" w:sz="4" w:space="0"/>
              <w:bottom w:val="single" w:color="auto" w:sz="4" w:space="0"/>
              <w:right w:val="single" w:color="auto" w:sz="4" w:space="0"/>
            </w:tcBorders>
            <w:noWrap w:val="0"/>
            <w:vAlign w:val="center"/>
          </w:tcPr>
          <w:p w14:paraId="1DC4F195">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791" w:type="pct"/>
            <w:tcBorders>
              <w:top w:val="single" w:color="auto" w:sz="4" w:space="0"/>
              <w:left w:val="single" w:color="auto" w:sz="4" w:space="0"/>
              <w:bottom w:val="single" w:color="auto" w:sz="4" w:space="0"/>
              <w:right w:val="single" w:color="auto" w:sz="4" w:space="0"/>
            </w:tcBorders>
            <w:noWrap w:val="0"/>
            <w:vAlign w:val="center"/>
          </w:tcPr>
          <w:p w14:paraId="795D4C32">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具有独立承担民事责任的能力</w:t>
            </w:r>
          </w:p>
        </w:tc>
        <w:tc>
          <w:tcPr>
            <w:tcW w:w="3846" w:type="pct"/>
            <w:tcBorders>
              <w:top w:val="single" w:color="auto" w:sz="4" w:space="0"/>
              <w:left w:val="single" w:color="auto" w:sz="4" w:space="0"/>
              <w:bottom w:val="single" w:color="auto" w:sz="4" w:space="0"/>
              <w:right w:val="single" w:color="auto" w:sz="4" w:space="0"/>
            </w:tcBorders>
            <w:noWrap w:val="0"/>
            <w:vAlign w:val="center"/>
          </w:tcPr>
          <w:p w14:paraId="23354841">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具有独立承担民事责任的能力：提供企业有效的法人营业执照、社团组织法人营业执照、事业单位法人证书或自然人证明材料；</w:t>
            </w:r>
          </w:p>
        </w:tc>
      </w:tr>
      <w:tr w14:paraId="1E6BD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62" w:type="pct"/>
            <w:tcBorders>
              <w:top w:val="single" w:color="auto" w:sz="4" w:space="0"/>
              <w:left w:val="single" w:color="auto" w:sz="4" w:space="0"/>
              <w:bottom w:val="single" w:color="auto" w:sz="4" w:space="0"/>
              <w:right w:val="single" w:color="auto" w:sz="4" w:space="0"/>
            </w:tcBorders>
            <w:noWrap w:val="0"/>
            <w:vAlign w:val="center"/>
          </w:tcPr>
          <w:p w14:paraId="5DC64CA9">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791" w:type="pct"/>
            <w:tcBorders>
              <w:top w:val="single" w:color="auto" w:sz="4" w:space="0"/>
              <w:left w:val="single" w:color="auto" w:sz="4" w:space="0"/>
              <w:bottom w:val="single" w:color="auto" w:sz="4" w:space="0"/>
              <w:right w:val="single" w:color="auto" w:sz="4" w:space="0"/>
            </w:tcBorders>
            <w:noWrap w:val="0"/>
            <w:vAlign w:val="center"/>
          </w:tcPr>
          <w:p w14:paraId="2F78DDA1">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具有良好的商业信誉和健全的财务会计制度</w:t>
            </w:r>
          </w:p>
        </w:tc>
        <w:tc>
          <w:tcPr>
            <w:tcW w:w="3846" w:type="pct"/>
            <w:tcBorders>
              <w:top w:val="single" w:color="auto" w:sz="4" w:space="0"/>
              <w:left w:val="single" w:color="auto" w:sz="4" w:space="0"/>
              <w:bottom w:val="single" w:color="auto" w:sz="4" w:space="0"/>
              <w:right w:val="single" w:color="auto" w:sz="4" w:space="0"/>
            </w:tcBorders>
            <w:noWrap w:val="0"/>
            <w:vAlign w:val="center"/>
          </w:tcPr>
          <w:p w14:paraId="62F6CE3A">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投标人在本项目投标文件提交截止时间前，在“中国政府采购网”（www.ccgp.gov.cn）“政府采购严重违法失信行为记录名单”及“信用中国”网站（www.creditchina.gov.cn）“信用服务”查询栏中查询的信息记录（重大税收违法失信主体)及“中国执行信息公开网（zxgk.court.gov.cn）”查询栏中查询的信息记录（包括失信被执行人)未出现不良信用信息查询记录（查询结果以采购人、采购代理机构查询结果为准)。</w:t>
            </w:r>
          </w:p>
          <w:p w14:paraId="694684C6">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投标人成立一年以上的，提供近3年“2022年—2024年”任意一年的财务报告及财务报表(至少包括资产负债表、利润表、现金流量表)；若成立时间不足1年的，提供银行发出的资信证明或提供具有良好的商业信誉和健全的财务会计制度的承诺书（其一即可）。</w:t>
            </w:r>
          </w:p>
        </w:tc>
      </w:tr>
      <w:tr w14:paraId="4A33B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62" w:type="pct"/>
            <w:tcBorders>
              <w:top w:val="single" w:color="auto" w:sz="4" w:space="0"/>
              <w:left w:val="single" w:color="auto" w:sz="4" w:space="0"/>
              <w:bottom w:val="single" w:color="auto" w:sz="4" w:space="0"/>
              <w:right w:val="single" w:color="auto" w:sz="4" w:space="0"/>
            </w:tcBorders>
            <w:noWrap w:val="0"/>
            <w:vAlign w:val="center"/>
          </w:tcPr>
          <w:p w14:paraId="7EE12962">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791" w:type="pct"/>
            <w:tcBorders>
              <w:top w:val="single" w:color="auto" w:sz="4" w:space="0"/>
              <w:left w:val="single" w:color="auto" w:sz="4" w:space="0"/>
              <w:bottom w:val="single" w:color="auto" w:sz="4" w:space="0"/>
              <w:right w:val="single" w:color="auto" w:sz="4" w:space="0"/>
            </w:tcBorders>
            <w:noWrap w:val="0"/>
            <w:vAlign w:val="center"/>
          </w:tcPr>
          <w:p w14:paraId="115A37DC">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具有依法缴纳税收和社会保障资金的良好记录</w:t>
            </w:r>
          </w:p>
        </w:tc>
        <w:tc>
          <w:tcPr>
            <w:tcW w:w="3846" w:type="pct"/>
            <w:tcBorders>
              <w:top w:val="single" w:color="auto" w:sz="4" w:space="0"/>
              <w:left w:val="single" w:color="auto" w:sz="4" w:space="0"/>
              <w:bottom w:val="single" w:color="auto" w:sz="4" w:space="0"/>
              <w:right w:val="single" w:color="auto" w:sz="4" w:space="0"/>
            </w:tcBorders>
            <w:noWrap w:val="0"/>
            <w:vAlign w:val="center"/>
          </w:tcPr>
          <w:p w14:paraId="6A923BD9">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投标人须提供在投标截止之日前十二个月内（税款所属时期）任意1个月的税务局税收通用缴款书复印件或银行电子缴税（费）凭证复印件或税务局出具纳税情况的相关证明。（成立未满1年的提供成立以来的税收缴纳凭证或相关情况说明；依法免税的，应提供相应文件证明）；</w:t>
            </w:r>
          </w:p>
          <w:p w14:paraId="64E08C06">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投标人须提供在投标截止之日前十二个月内（费款所属时期）任意1个月的社会保险费缴款书复印件或银行电子缴税（费）凭证复印件或社保管理部门出具的有效的缴款证明。（成立未满1年的提供成立以来的社保资金缴纳凭证或相关情况说明，依法免缴的，应提供依法免缴的相关证明文件)；</w:t>
            </w:r>
          </w:p>
        </w:tc>
      </w:tr>
      <w:tr w14:paraId="530DB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62" w:type="pct"/>
            <w:tcBorders>
              <w:top w:val="single" w:color="auto" w:sz="4" w:space="0"/>
              <w:left w:val="single" w:color="auto" w:sz="4" w:space="0"/>
              <w:bottom w:val="single" w:color="auto" w:sz="4" w:space="0"/>
              <w:right w:val="single" w:color="auto" w:sz="4" w:space="0"/>
            </w:tcBorders>
            <w:noWrap w:val="0"/>
            <w:vAlign w:val="center"/>
          </w:tcPr>
          <w:p w14:paraId="0FDF2A2D">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791" w:type="pct"/>
            <w:tcBorders>
              <w:top w:val="single" w:color="auto" w:sz="4" w:space="0"/>
              <w:left w:val="single" w:color="auto" w:sz="4" w:space="0"/>
              <w:bottom w:val="single" w:color="auto" w:sz="4" w:space="0"/>
              <w:right w:val="single" w:color="auto" w:sz="4" w:space="0"/>
            </w:tcBorders>
            <w:noWrap w:val="0"/>
            <w:vAlign w:val="center"/>
          </w:tcPr>
          <w:p w14:paraId="1B8891CE">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具有履行合同所必需的设备和专业技术能力</w:t>
            </w:r>
          </w:p>
        </w:tc>
        <w:tc>
          <w:tcPr>
            <w:tcW w:w="3846" w:type="pct"/>
            <w:tcBorders>
              <w:top w:val="single" w:color="auto" w:sz="4" w:space="0"/>
              <w:left w:val="single" w:color="auto" w:sz="4" w:space="0"/>
              <w:bottom w:val="single" w:color="auto" w:sz="4" w:space="0"/>
              <w:right w:val="single" w:color="auto" w:sz="4" w:space="0"/>
            </w:tcBorders>
            <w:noWrap w:val="0"/>
            <w:vAlign w:val="center"/>
          </w:tcPr>
          <w:p w14:paraId="5E51896B">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具有履行合同所必需的设备和专业技术能力，具备优良的售后服务能力，能满足本项目的供货和后续服务（提供证明材料或相关承诺）；</w:t>
            </w:r>
          </w:p>
        </w:tc>
      </w:tr>
      <w:tr w14:paraId="54F71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62" w:type="pct"/>
            <w:tcBorders>
              <w:top w:val="single" w:color="auto" w:sz="4" w:space="0"/>
              <w:left w:val="single" w:color="auto" w:sz="4" w:space="0"/>
              <w:bottom w:val="single" w:color="auto" w:sz="4" w:space="0"/>
              <w:right w:val="single" w:color="auto" w:sz="4" w:space="0"/>
            </w:tcBorders>
            <w:noWrap w:val="0"/>
            <w:vAlign w:val="center"/>
          </w:tcPr>
          <w:p w14:paraId="3CA82CB4">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791" w:type="pct"/>
            <w:tcBorders>
              <w:top w:val="single" w:color="auto" w:sz="4" w:space="0"/>
              <w:left w:val="single" w:color="auto" w:sz="4" w:space="0"/>
              <w:bottom w:val="single" w:color="auto" w:sz="4" w:space="0"/>
              <w:right w:val="single" w:color="auto" w:sz="4" w:space="0"/>
            </w:tcBorders>
            <w:noWrap w:val="0"/>
            <w:vAlign w:val="center"/>
          </w:tcPr>
          <w:p w14:paraId="3BA0B847">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参与本次政府采购活动前三年内，在经营活动中没有重大违法违纪记录</w:t>
            </w:r>
          </w:p>
        </w:tc>
        <w:tc>
          <w:tcPr>
            <w:tcW w:w="3846" w:type="pct"/>
            <w:tcBorders>
              <w:top w:val="single" w:color="auto" w:sz="4" w:space="0"/>
              <w:left w:val="single" w:color="auto" w:sz="4" w:space="0"/>
              <w:bottom w:val="single" w:color="auto" w:sz="4" w:space="0"/>
              <w:right w:val="single" w:color="auto" w:sz="4" w:space="0"/>
            </w:tcBorders>
            <w:noWrap w:val="0"/>
            <w:vAlign w:val="center"/>
          </w:tcPr>
          <w:p w14:paraId="65432CE3">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提供参加本次政府采购活动前三年内在经营活动中没有重大违法记录的书面声明；</w:t>
            </w:r>
          </w:p>
        </w:tc>
      </w:tr>
      <w:tr w14:paraId="1FC40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62" w:type="pct"/>
            <w:tcBorders>
              <w:top w:val="single" w:color="auto" w:sz="4" w:space="0"/>
              <w:left w:val="single" w:color="auto" w:sz="4" w:space="0"/>
              <w:bottom w:val="single" w:color="auto" w:sz="4" w:space="0"/>
              <w:right w:val="single" w:color="auto" w:sz="4" w:space="0"/>
            </w:tcBorders>
            <w:noWrap w:val="0"/>
            <w:vAlign w:val="center"/>
          </w:tcPr>
          <w:p w14:paraId="53CF9C6F">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791" w:type="pct"/>
            <w:tcBorders>
              <w:top w:val="single" w:color="auto" w:sz="4" w:space="0"/>
              <w:left w:val="single" w:color="auto" w:sz="4" w:space="0"/>
              <w:bottom w:val="single" w:color="auto" w:sz="4" w:space="0"/>
              <w:right w:val="single" w:color="auto" w:sz="4" w:space="0"/>
            </w:tcBorders>
            <w:noWrap w:val="0"/>
            <w:vAlign w:val="center"/>
          </w:tcPr>
          <w:p w14:paraId="7ECBB24A">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法律、行政法规规定的其他条件</w:t>
            </w:r>
          </w:p>
        </w:tc>
        <w:tc>
          <w:tcPr>
            <w:tcW w:w="3846" w:type="pct"/>
            <w:tcBorders>
              <w:top w:val="single" w:color="auto" w:sz="4" w:space="0"/>
              <w:left w:val="single" w:color="auto" w:sz="4" w:space="0"/>
              <w:bottom w:val="single" w:color="auto" w:sz="4" w:space="0"/>
              <w:right w:val="single" w:color="auto" w:sz="4" w:space="0"/>
            </w:tcBorders>
            <w:noWrap w:val="0"/>
            <w:vAlign w:val="center"/>
          </w:tcPr>
          <w:p w14:paraId="15B28F4A">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（1）单位负责人为同一人或者存在直接控股、管理关系的不同投标人不得参加同一合同项下的政府采购活动的。</w:t>
            </w:r>
          </w:p>
          <w:p w14:paraId="15FE91B6">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（2）为采购项目提供整体设计、规范编制或者项目管理、监理、检测等服务的投标人不得再参加该采购项目的其他采购活动的。</w:t>
            </w:r>
          </w:p>
        </w:tc>
      </w:tr>
      <w:tr w14:paraId="016C3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62" w:type="pct"/>
            <w:tcBorders>
              <w:top w:val="single" w:color="auto" w:sz="4" w:space="0"/>
              <w:left w:val="single" w:color="auto" w:sz="4" w:space="0"/>
              <w:bottom w:val="single" w:color="auto" w:sz="4" w:space="0"/>
              <w:right w:val="single" w:color="auto" w:sz="4" w:space="0"/>
            </w:tcBorders>
            <w:noWrap w:val="0"/>
            <w:vAlign w:val="center"/>
          </w:tcPr>
          <w:p w14:paraId="3497305E">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w:t>
            </w:r>
          </w:p>
        </w:tc>
        <w:tc>
          <w:tcPr>
            <w:tcW w:w="791" w:type="pct"/>
            <w:tcBorders>
              <w:top w:val="single" w:color="auto" w:sz="4" w:space="0"/>
              <w:left w:val="single" w:color="auto" w:sz="4" w:space="0"/>
              <w:bottom w:val="single" w:color="auto" w:sz="4" w:space="0"/>
              <w:right w:val="single" w:color="auto" w:sz="4" w:space="0"/>
            </w:tcBorders>
            <w:noWrap w:val="0"/>
            <w:vAlign w:val="center"/>
          </w:tcPr>
          <w:p w14:paraId="2FF82A02">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其他资料</w:t>
            </w:r>
          </w:p>
        </w:tc>
        <w:tc>
          <w:tcPr>
            <w:tcW w:w="3846" w:type="pct"/>
            <w:tcBorders>
              <w:top w:val="single" w:color="auto" w:sz="4" w:space="0"/>
              <w:left w:val="single" w:color="auto" w:sz="4" w:space="0"/>
              <w:bottom w:val="single" w:color="auto" w:sz="4" w:space="0"/>
              <w:right w:val="single" w:color="auto" w:sz="4" w:space="0"/>
            </w:tcBorders>
            <w:noWrap w:val="0"/>
            <w:vAlign w:val="center"/>
          </w:tcPr>
          <w:p w14:paraId="3CB7E821">
            <w:pPr>
              <w:pStyle w:val="8"/>
              <w:keepNext w:val="0"/>
              <w:keepLines w:val="0"/>
              <w:pageBreakBefore w:val="0"/>
              <w:widowControl w:val="0"/>
              <w:tabs>
                <w:tab w:val="left" w:pos="1412"/>
              </w:tabs>
              <w:kinsoku/>
              <w:wordWrap/>
              <w:overflowPunct/>
              <w:topLinePunct w:val="0"/>
              <w:autoSpaceDE/>
              <w:autoSpaceDN/>
              <w:bidi w:val="0"/>
              <w:adjustRightInd/>
              <w:snapToGrid w:val="0"/>
              <w:spacing w:line="360" w:lineRule="auto"/>
              <w:ind w:left="0" w:leftChars="0" w:firstLine="0" w:firstLineChars="0"/>
              <w:jc w:val="both"/>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投标人如果是代理商或经销商，须提供医疗器械经营许可证/备案，所投产品制造商医疗器械生产许可证（制造商工商注册地在中华人民共和国境外的，不作此要求）、所投产品的医疗器械注册证及附件；投标人如果是制造商，须提供医疗器械生产许可证（制造商工商注册地在中华人民共和国境外的，不作此要求）、所投产品的医疗器械注册证及附件。医疗器械生产或经营许可证生产或经营范围须覆盖所投第二、三类医疗器械（扫描件加盖电子公章。根据中华人民共和国国务院令第739号《医疗器械监督管理条例》和国家药品监督管理局《医疗器械分类目录》的规定，在《医疗器械分类目录》内的产品必须按照《医疗器械监督管理条例》的要求提供，其他不在《医疗器械分类目录》内的不作强行要求）。</w:t>
            </w:r>
          </w:p>
        </w:tc>
      </w:tr>
    </w:tbl>
    <w:p w14:paraId="25406032">
      <w:pPr>
        <w:spacing w:line="360" w:lineRule="auto"/>
        <w:rPr>
          <w:rFonts w:hint="eastAsia" w:ascii="仿宋" w:hAnsi="仿宋" w:eastAsia="仿宋" w:cs="仿宋"/>
          <w:color w:val="auto"/>
          <w:highlight w:val="none"/>
        </w:rPr>
      </w:pPr>
    </w:p>
    <w:p w14:paraId="0541CCCA">
      <w:pPr>
        <w:spacing w:line="360" w:lineRule="auto"/>
        <w:rPr>
          <w:rFonts w:hint="eastAsia" w:ascii="仿宋" w:hAnsi="仿宋" w:eastAsia="仿宋" w:cs="仿宋"/>
          <w:color w:val="auto"/>
          <w:highlight w:val="none"/>
        </w:rPr>
      </w:pPr>
    </w:p>
    <w:p w14:paraId="7A46DAAE">
      <w:pPr>
        <w:spacing w:line="360" w:lineRule="auto"/>
        <w:rPr>
          <w:rFonts w:hint="eastAsia" w:ascii="仿宋" w:hAnsi="仿宋" w:eastAsia="仿宋" w:cs="仿宋"/>
          <w:color w:val="auto"/>
          <w:kern w:val="44"/>
          <w:highlight w:val="none"/>
        </w:rPr>
      </w:pPr>
      <w:r>
        <w:rPr>
          <w:rFonts w:hint="eastAsia" w:ascii="仿宋" w:hAnsi="仿宋" w:eastAsia="仿宋" w:cs="仿宋"/>
          <w:color w:val="auto"/>
          <w:highlight w:val="none"/>
        </w:rPr>
        <w:br w:type="page"/>
      </w:r>
    </w:p>
    <w:p w14:paraId="60A4FABF">
      <w:pPr>
        <w:pStyle w:val="2"/>
        <w:spacing w:line="360" w:lineRule="auto"/>
        <w:jc w:val="center"/>
        <w:rPr>
          <w:rFonts w:hint="eastAsia" w:ascii="仿宋" w:hAnsi="仿宋" w:eastAsia="仿宋" w:cs="仿宋"/>
          <w:color w:val="auto"/>
          <w:highlight w:val="none"/>
        </w:rPr>
      </w:pPr>
      <w:bookmarkStart w:id="241" w:name="_Toc17550"/>
      <w:bookmarkStart w:id="242" w:name="_Toc22551"/>
      <w:r>
        <w:rPr>
          <w:rFonts w:hint="eastAsia" w:ascii="仿宋" w:hAnsi="仿宋" w:eastAsia="仿宋" w:cs="仿宋"/>
          <w:color w:val="auto"/>
          <w:highlight w:val="none"/>
        </w:rPr>
        <w:t>第七章 评标方法（综合评分法）</w:t>
      </w:r>
      <w:bookmarkEnd w:id="241"/>
      <w:bookmarkEnd w:id="242"/>
    </w:p>
    <w:p w14:paraId="7FAD4569">
      <w:pPr>
        <w:pStyle w:val="3"/>
        <w:keepLines w:val="0"/>
        <w:pageBreakBefore w:val="0"/>
        <w:kinsoku/>
        <w:wordWrap/>
        <w:overflowPunct/>
        <w:topLinePunct w:val="0"/>
        <w:autoSpaceDE/>
        <w:autoSpaceDN/>
        <w:bidi w:val="0"/>
        <w:snapToGrid w:val="0"/>
        <w:spacing w:line="360" w:lineRule="auto"/>
        <w:jc w:val="center"/>
        <w:rPr>
          <w:rFonts w:hint="eastAsia" w:ascii="仿宋" w:hAnsi="仿宋" w:eastAsia="仿宋" w:cs="仿宋"/>
          <w:color w:val="auto"/>
          <w:highlight w:val="none"/>
        </w:rPr>
      </w:pPr>
      <w:bookmarkStart w:id="243" w:name="_Toc33095576"/>
      <w:bookmarkStart w:id="244" w:name="_Toc13594"/>
      <w:bookmarkStart w:id="245" w:name="_Toc3492"/>
      <w:bookmarkStart w:id="246" w:name="_Toc398126394"/>
      <w:bookmarkStart w:id="247" w:name="_Toc5425"/>
      <w:bookmarkStart w:id="248" w:name="_Toc16168596"/>
      <w:bookmarkStart w:id="249" w:name="_Toc402942147"/>
      <w:r>
        <w:rPr>
          <w:rFonts w:hint="eastAsia" w:ascii="仿宋" w:hAnsi="仿宋" w:eastAsia="仿宋" w:cs="仿宋"/>
          <w:color w:val="auto"/>
          <w:highlight w:val="none"/>
        </w:rPr>
        <w:t>评标方法前附表</w:t>
      </w:r>
      <w:bookmarkEnd w:id="243"/>
      <w:bookmarkEnd w:id="244"/>
      <w:bookmarkEnd w:id="245"/>
      <w:bookmarkEnd w:id="246"/>
      <w:bookmarkEnd w:id="247"/>
      <w:bookmarkEnd w:id="248"/>
      <w:bookmarkEnd w:id="249"/>
    </w:p>
    <w:tbl>
      <w:tblPr>
        <w:tblStyle w:val="20"/>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3"/>
        <w:gridCol w:w="990"/>
        <w:gridCol w:w="1671"/>
        <w:gridCol w:w="6637"/>
      </w:tblGrid>
      <w:tr w14:paraId="737E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342" w:type="pct"/>
            <w:vAlign w:val="center"/>
          </w:tcPr>
          <w:p w14:paraId="420FD29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条款号</w:t>
            </w:r>
          </w:p>
        </w:tc>
        <w:tc>
          <w:tcPr>
            <w:tcW w:w="496" w:type="pct"/>
            <w:vAlign w:val="center"/>
          </w:tcPr>
          <w:p w14:paraId="30846CDE">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评审程序</w:t>
            </w:r>
          </w:p>
        </w:tc>
        <w:tc>
          <w:tcPr>
            <w:tcW w:w="4161" w:type="pct"/>
            <w:gridSpan w:val="2"/>
            <w:vAlign w:val="center"/>
          </w:tcPr>
          <w:p w14:paraId="58969C5F">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 审 内 容 及 标 准</w:t>
            </w:r>
          </w:p>
        </w:tc>
      </w:tr>
      <w:tr w14:paraId="14952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restart"/>
            <w:vAlign w:val="center"/>
          </w:tcPr>
          <w:p w14:paraId="58D4DC40">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496" w:type="pct"/>
            <w:vMerge w:val="restart"/>
            <w:vAlign w:val="center"/>
          </w:tcPr>
          <w:p w14:paraId="25A352F1">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符合性评审标准</w:t>
            </w:r>
          </w:p>
        </w:tc>
        <w:tc>
          <w:tcPr>
            <w:tcW w:w="4161" w:type="pct"/>
            <w:gridSpan w:val="2"/>
            <w:vAlign w:val="center"/>
          </w:tcPr>
          <w:p w14:paraId="00D388FC">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投标人存在下列情况之一的，投标无效：</w:t>
            </w:r>
          </w:p>
        </w:tc>
      </w:tr>
      <w:tr w14:paraId="66FE9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42" w:type="pct"/>
            <w:vMerge w:val="continue"/>
            <w:vAlign w:val="center"/>
          </w:tcPr>
          <w:p w14:paraId="53A7292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0C4836E8">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43A91577">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签署、盖章</w:t>
            </w:r>
          </w:p>
        </w:tc>
        <w:tc>
          <w:tcPr>
            <w:tcW w:w="3323" w:type="pct"/>
            <w:vAlign w:val="center"/>
          </w:tcPr>
          <w:p w14:paraId="55FF679B">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投标文件未按招标文件要求签署、盖章的；</w:t>
            </w:r>
          </w:p>
        </w:tc>
      </w:tr>
      <w:tr w14:paraId="2418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continue"/>
            <w:vAlign w:val="center"/>
          </w:tcPr>
          <w:p w14:paraId="6AE6708E">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27E1B31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5D29AD0C">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3323" w:type="pct"/>
            <w:vAlign w:val="center"/>
          </w:tcPr>
          <w:p w14:paraId="03F000EB">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超过最高限价或预算单价，出现缺项、漏项，未对所投项目的所有内容作出完整唯一的投标报价；</w:t>
            </w:r>
          </w:p>
        </w:tc>
      </w:tr>
      <w:tr w14:paraId="1FCA4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continue"/>
            <w:vAlign w:val="center"/>
          </w:tcPr>
          <w:p w14:paraId="06097A12">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7A237CC5">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64448A34">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不能接受的附加条件</w:t>
            </w:r>
          </w:p>
        </w:tc>
        <w:tc>
          <w:tcPr>
            <w:tcW w:w="3323" w:type="pct"/>
            <w:vAlign w:val="center"/>
          </w:tcPr>
          <w:p w14:paraId="5DC1D91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投标文件含有采购人不能接受的附加条件的</w:t>
            </w:r>
            <w:r>
              <w:rPr>
                <w:rFonts w:hint="eastAsia" w:ascii="仿宋" w:hAnsi="仿宋" w:eastAsia="仿宋" w:cs="仿宋"/>
                <w:color w:val="auto"/>
                <w:sz w:val="24"/>
                <w:szCs w:val="24"/>
                <w:highlight w:val="none"/>
                <w:lang w:eastAsia="zh-CN"/>
              </w:rPr>
              <w:t>；</w:t>
            </w:r>
          </w:p>
        </w:tc>
      </w:tr>
      <w:tr w14:paraId="1341C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continue"/>
            <w:vAlign w:val="center"/>
          </w:tcPr>
          <w:p w14:paraId="2AAB4E97">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3A4CD0F8">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099ADE87">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其他</w:t>
            </w:r>
            <w:r>
              <w:rPr>
                <w:rFonts w:hint="eastAsia" w:ascii="仿宋" w:hAnsi="仿宋" w:eastAsia="仿宋" w:cs="仿宋"/>
                <w:color w:val="auto"/>
                <w:sz w:val="24"/>
                <w:szCs w:val="24"/>
                <w:highlight w:val="none"/>
              </w:rPr>
              <w:t>实质性条件</w:t>
            </w:r>
          </w:p>
        </w:tc>
        <w:tc>
          <w:tcPr>
            <w:tcW w:w="3323" w:type="pct"/>
            <w:vAlign w:val="center"/>
          </w:tcPr>
          <w:p w14:paraId="0FC933F4">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未实质性响应招标文件内容的；</w:t>
            </w:r>
          </w:p>
        </w:tc>
      </w:tr>
      <w:tr w14:paraId="45567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continue"/>
            <w:vAlign w:val="center"/>
          </w:tcPr>
          <w:p w14:paraId="34A43E98">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65937472">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13189C2D">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其他无效情形</w:t>
            </w:r>
          </w:p>
        </w:tc>
        <w:tc>
          <w:tcPr>
            <w:tcW w:w="3323" w:type="pct"/>
            <w:vAlign w:val="center"/>
          </w:tcPr>
          <w:p w14:paraId="1DEDD7C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和招标文件规定的其他无效情形。</w:t>
            </w:r>
          </w:p>
        </w:tc>
      </w:tr>
      <w:tr w14:paraId="6ADBF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restart"/>
            <w:vAlign w:val="center"/>
          </w:tcPr>
          <w:p w14:paraId="49FC5583">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w:t>
            </w:r>
          </w:p>
        </w:tc>
        <w:tc>
          <w:tcPr>
            <w:tcW w:w="496" w:type="pct"/>
            <w:vMerge w:val="restart"/>
            <w:vAlign w:val="center"/>
          </w:tcPr>
          <w:p w14:paraId="2145EE3D">
            <w:pPr>
              <w:keepNext w:val="0"/>
              <w:keepLines w:val="0"/>
              <w:pageBreakBefore w:val="0"/>
              <w:kinsoku/>
              <w:wordWrap/>
              <w:overflowPunct/>
              <w:topLinePunct w:val="0"/>
              <w:autoSpaceDE/>
              <w:autoSpaceDN/>
              <w:bidi w:val="0"/>
              <w:adjustRightInd/>
              <w:snapToGrid w:val="0"/>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详细评审标准</w:t>
            </w:r>
          </w:p>
        </w:tc>
        <w:tc>
          <w:tcPr>
            <w:tcW w:w="837" w:type="pct"/>
            <w:vAlign w:val="center"/>
          </w:tcPr>
          <w:p w14:paraId="4E5CFCD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1、评标总得分计算公式</w:t>
            </w:r>
          </w:p>
        </w:tc>
        <w:tc>
          <w:tcPr>
            <w:tcW w:w="3323" w:type="pct"/>
            <w:vAlign w:val="center"/>
          </w:tcPr>
          <w:p w14:paraId="0C7621BC">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投标人的评标总得分＝F1＋F2＋F3</w:t>
            </w:r>
          </w:p>
          <w:p w14:paraId="7D39D10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其中：</w:t>
            </w:r>
          </w:p>
          <w:p w14:paraId="713F10DC">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①F1、F2、F3分别为投标报价、技术部分、商务部分3项评分因素的汇总得分；</w:t>
            </w:r>
          </w:p>
        </w:tc>
      </w:tr>
      <w:tr w14:paraId="59B86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continue"/>
            <w:vAlign w:val="center"/>
          </w:tcPr>
          <w:p w14:paraId="3ED3124D">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05C38277">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5879DD65">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2、评分因素分值及权重</w:t>
            </w:r>
          </w:p>
        </w:tc>
        <w:tc>
          <w:tcPr>
            <w:tcW w:w="3323" w:type="pct"/>
            <w:vAlign w:val="center"/>
          </w:tcPr>
          <w:p w14:paraId="576C797A">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投标报价F1：满分30分。</w:t>
            </w:r>
          </w:p>
          <w:p w14:paraId="20B10DF8">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技术部分F2：满分</w:t>
            </w:r>
            <w:r>
              <w:rPr>
                <w:rFonts w:hint="eastAsia" w:ascii="仿宋" w:hAnsi="仿宋" w:eastAsia="仿宋" w:cs="仿宋"/>
                <w:color w:val="auto"/>
                <w:sz w:val="24"/>
                <w:szCs w:val="24"/>
                <w:highlight w:val="none"/>
                <w:lang w:val="en-US" w:eastAsia="zh-CN"/>
              </w:rPr>
              <w:t>70</w:t>
            </w:r>
            <w:r>
              <w:rPr>
                <w:rFonts w:hint="eastAsia" w:ascii="仿宋" w:hAnsi="仿宋" w:eastAsia="仿宋" w:cs="仿宋"/>
                <w:color w:val="auto"/>
                <w:sz w:val="24"/>
                <w:szCs w:val="24"/>
                <w:highlight w:val="none"/>
              </w:rPr>
              <w:t>分。</w:t>
            </w:r>
          </w:p>
        </w:tc>
      </w:tr>
      <w:tr w14:paraId="6A583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continue"/>
            <w:vAlign w:val="center"/>
          </w:tcPr>
          <w:p w14:paraId="600015AE">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7F352805">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4B68E0FF">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3、投标报价</w:t>
            </w:r>
          </w:p>
          <w:p w14:paraId="3A0CE115">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评审F1</w:t>
            </w:r>
          </w:p>
          <w:p w14:paraId="15498FCF">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（满分30分）</w:t>
            </w:r>
          </w:p>
        </w:tc>
        <w:tc>
          <w:tcPr>
            <w:tcW w:w="3323" w:type="pct"/>
            <w:vAlign w:val="center"/>
          </w:tcPr>
          <w:p w14:paraId="35BD079D">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投标报价计算公式= （评标基准价/该投标人报价）×30</w:t>
            </w:r>
          </w:p>
          <w:p w14:paraId="28C974D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即：F1=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C/（B1，B2，…，Bn）</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×30</w:t>
            </w:r>
          </w:p>
          <w:p w14:paraId="02AAD7EA">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注：C为评标基准价，即符合性审查合格且投标价格最低的有效投标报价；</w:t>
            </w:r>
          </w:p>
          <w:p w14:paraId="1D00F0A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B1，B2，…，Bn为第n个符合性审查合格的有效投标报价。</w:t>
            </w:r>
          </w:p>
          <w:p w14:paraId="18FFAD5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p>
          <w:p w14:paraId="3B4E462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1、在计算投标报价得分时，对小型或微型企业产品（货物或服务）的价格给予10%的扣除。</w:t>
            </w:r>
          </w:p>
          <w:p w14:paraId="61B1938E">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2、残疾人福利性单位、监狱企业视同小型、微型企业。</w:t>
            </w:r>
          </w:p>
          <w:p w14:paraId="6603A84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3、监狱企业或残疾人福利性单位属于小型、微型企业的，不重复享受政策，只进行一次价格扣除。</w:t>
            </w:r>
          </w:p>
          <w:p w14:paraId="75F8F21A">
            <w:pPr>
              <w:pStyle w:val="7"/>
              <w:keepNext w:val="0"/>
              <w:keepLines w:val="0"/>
              <w:pageBreakBefore w:val="0"/>
              <w:kinsoku/>
              <w:wordWrap/>
              <w:overflowPunct/>
              <w:topLinePunct w:val="0"/>
              <w:autoSpaceDE/>
              <w:autoSpaceDN/>
              <w:bidi w:val="0"/>
              <w:adjustRightInd/>
              <w:snapToGrid w:val="0"/>
              <w:spacing w:after="0"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明显低于其他供应商报价的处理</w:t>
            </w:r>
          </w:p>
          <w:p w14:paraId="4787DD54">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在评审过程中，评审小组认为供应商的报价明显低于其他有效供应商的报价，有可能影响产品质量或者不能诚信履约的，评审小组应当要求其在评标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14:paraId="55DDA72D">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14:paraId="1ADA3857">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提供书面说明后，评审小组应当结合采购项目采购需求、专业实际情况、供应商财务状况报告、与其他供应商比较情况等就供应商书面说明进行审查评价。供应商拒绝或者变相拒绝提供有效书面说明或者响应文件作为无效处理。</w:t>
            </w:r>
          </w:p>
        </w:tc>
      </w:tr>
      <w:tr w14:paraId="33B67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continue"/>
            <w:vAlign w:val="center"/>
          </w:tcPr>
          <w:p w14:paraId="23C0F1B2">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2A2CDF60">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15F68E3B">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kern w:val="0"/>
                <w:sz w:val="24"/>
                <w:szCs w:val="24"/>
                <w:highlight w:val="none"/>
              </w:rPr>
              <w:t>技术规格、参数、要求响应程度</w:t>
            </w:r>
            <w:r>
              <w:rPr>
                <w:rFonts w:hint="eastAsia" w:ascii="仿宋" w:hAnsi="仿宋" w:eastAsia="仿宋" w:cs="仿宋"/>
                <w:color w:val="auto"/>
                <w:kern w:val="0"/>
                <w:sz w:val="24"/>
                <w:szCs w:val="24"/>
                <w:highlight w:val="none"/>
                <w:lang w:eastAsia="zh-CN"/>
              </w:rPr>
              <w:t>（</w:t>
            </w:r>
            <w:r>
              <w:rPr>
                <w:rFonts w:hint="eastAsia" w:ascii="仿宋" w:hAnsi="仿宋" w:eastAsia="仿宋" w:cs="仿宋"/>
                <w:color w:val="auto"/>
                <w:kern w:val="0"/>
                <w:sz w:val="24"/>
                <w:szCs w:val="24"/>
                <w:highlight w:val="none"/>
                <w:lang w:val="en-US" w:eastAsia="zh-CN"/>
              </w:rPr>
              <w:t>30分</w:t>
            </w:r>
            <w:r>
              <w:rPr>
                <w:rFonts w:hint="eastAsia" w:ascii="仿宋" w:hAnsi="仿宋" w:eastAsia="仿宋" w:cs="仿宋"/>
                <w:color w:val="auto"/>
                <w:kern w:val="0"/>
                <w:sz w:val="24"/>
                <w:szCs w:val="24"/>
                <w:highlight w:val="none"/>
                <w:lang w:eastAsia="zh-CN"/>
              </w:rPr>
              <w:t>）</w:t>
            </w:r>
          </w:p>
        </w:tc>
        <w:tc>
          <w:tcPr>
            <w:tcW w:w="3323" w:type="pct"/>
            <w:vAlign w:val="center"/>
          </w:tcPr>
          <w:p w14:paraId="16BEF25A">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lang w:val="en-US" w:eastAsia="zh-CN"/>
              </w:rPr>
              <w:t>1</w:t>
            </w: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rPr>
              <w:t>投标人所投产品技术参数完全满足第四章“技术参数及要求”的得</w:t>
            </w:r>
            <w:r>
              <w:rPr>
                <w:rFonts w:hint="eastAsia" w:ascii="仿宋" w:hAnsi="仿宋" w:eastAsia="仿宋" w:cs="仿宋"/>
                <w:color w:val="000000"/>
                <w:kern w:val="0"/>
                <w:sz w:val="24"/>
                <w:lang w:val="en-US" w:eastAsia="zh-CN"/>
              </w:rPr>
              <w:t>30</w:t>
            </w:r>
            <w:r>
              <w:rPr>
                <w:rFonts w:hint="eastAsia" w:ascii="仿宋" w:hAnsi="仿宋" w:eastAsia="仿宋" w:cs="仿宋"/>
                <w:color w:val="000000"/>
                <w:kern w:val="0"/>
                <w:sz w:val="24"/>
              </w:rPr>
              <w:t>分；</w:t>
            </w:r>
          </w:p>
          <w:p w14:paraId="570CC825">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lang w:val="en-US" w:eastAsia="zh-CN"/>
              </w:rPr>
              <w:t>2</w:t>
            </w: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rPr>
              <w:t>投标人每出现1条标记“</w:t>
            </w:r>
            <w:r>
              <w:rPr>
                <w:rFonts w:hint="eastAsia" w:ascii="仿宋" w:hAnsi="仿宋" w:eastAsia="仿宋" w:cs="仿宋"/>
                <w:sz w:val="24"/>
              </w:rPr>
              <w:t>★</w:t>
            </w:r>
            <w:r>
              <w:rPr>
                <w:rFonts w:hint="eastAsia" w:ascii="仿宋" w:hAnsi="仿宋" w:eastAsia="仿宋" w:cs="仿宋"/>
                <w:color w:val="000000"/>
                <w:kern w:val="0"/>
                <w:sz w:val="24"/>
              </w:rPr>
              <w:t>”的重要参数要求未响应或不满足</w:t>
            </w:r>
            <w:r>
              <w:rPr>
                <w:rFonts w:hint="eastAsia" w:ascii="仿宋" w:hAnsi="仿宋" w:eastAsia="仿宋" w:cs="仿宋"/>
                <w:color w:val="000000"/>
                <w:kern w:val="0"/>
                <w:sz w:val="24"/>
                <w:highlight w:val="none"/>
              </w:rPr>
              <w:t>要求的扣5分，分数扣完为止；投标人每出现1条未标记“★”的一般参数要求未响应或不满足要求的扣3分，分数</w:t>
            </w:r>
            <w:r>
              <w:rPr>
                <w:rFonts w:hint="eastAsia" w:ascii="仿宋" w:hAnsi="仿宋" w:eastAsia="仿宋" w:cs="仿宋"/>
                <w:color w:val="000000"/>
                <w:kern w:val="0"/>
                <w:sz w:val="24"/>
              </w:rPr>
              <w:t>扣完为止。</w:t>
            </w:r>
          </w:p>
          <w:p w14:paraId="7A38A6A8">
            <w:pPr>
              <w:widowControl/>
              <w:spacing w:line="360" w:lineRule="auto"/>
              <w:jc w:val="left"/>
              <w:rPr>
                <w:rFonts w:hint="eastAsia" w:ascii="仿宋" w:hAnsi="仿宋" w:eastAsia="仿宋" w:cs="仿宋"/>
                <w:color w:val="000000"/>
                <w:kern w:val="0"/>
                <w:sz w:val="24"/>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技术参数内要求提供的制造厂商提供的技术参数资料（包括检验报告、认证证书等）或彩页等资料与“技术规格偏离表”内的参数指标不相符（技术指标性参数一致，描述性参数可不一致），又未加以说明的每项扣</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分（且技术参数的打分以指标较低的进行计算）。</w:t>
            </w:r>
          </w:p>
          <w:p w14:paraId="0032B35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b/>
                <w:sz w:val="24"/>
              </w:rPr>
              <w:t>注：投标人除如实填写技术要求偏离表外，若采购需求中明确要求提供证明材料的，投标文件中还需提供证明材料，否则不予认可</w:t>
            </w:r>
            <w:r>
              <w:rPr>
                <w:rFonts w:hint="eastAsia" w:ascii="仿宋" w:hAnsi="仿宋" w:eastAsia="仿宋" w:cs="仿宋"/>
                <w:bCs/>
                <w:sz w:val="24"/>
              </w:rPr>
              <w:t>。</w:t>
            </w:r>
          </w:p>
        </w:tc>
      </w:tr>
      <w:tr w14:paraId="68610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continue"/>
            <w:vAlign w:val="center"/>
          </w:tcPr>
          <w:p w14:paraId="2D7024D8">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2A5AA01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2D955654">
            <w:pPr>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lang w:val="en-US" w:eastAsia="zh-CN"/>
              </w:rPr>
              <w:t>3</w:t>
            </w:r>
            <w:r>
              <w:rPr>
                <w:rFonts w:hint="eastAsia" w:ascii="仿宋" w:hAnsi="仿宋" w:eastAsia="仿宋" w:cs="仿宋"/>
                <w:b w:val="0"/>
                <w:bCs w:val="0"/>
                <w:color w:val="auto"/>
                <w:sz w:val="24"/>
                <w:szCs w:val="24"/>
                <w:highlight w:val="none"/>
              </w:rPr>
              <w:t>项目实施方案评审评分</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12分</w:t>
            </w:r>
            <w:r>
              <w:rPr>
                <w:rFonts w:hint="eastAsia" w:ascii="仿宋" w:hAnsi="仿宋" w:eastAsia="仿宋" w:cs="仿宋"/>
                <w:b w:val="0"/>
                <w:bCs w:val="0"/>
                <w:color w:val="auto"/>
                <w:sz w:val="24"/>
                <w:szCs w:val="24"/>
                <w:highlight w:val="none"/>
                <w:lang w:eastAsia="zh-CN"/>
              </w:rPr>
              <w:t>）</w:t>
            </w:r>
          </w:p>
        </w:tc>
        <w:tc>
          <w:tcPr>
            <w:tcW w:w="3323" w:type="pct"/>
            <w:vAlign w:val="center"/>
          </w:tcPr>
          <w:p w14:paraId="5D0FD0DA">
            <w:pPr>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根据</w:t>
            </w:r>
            <w:r>
              <w:rPr>
                <w:rFonts w:hint="eastAsia" w:ascii="仿宋" w:hAnsi="仿宋" w:eastAsia="仿宋" w:cs="仿宋"/>
                <w:b w:val="0"/>
                <w:bCs w:val="0"/>
                <w:color w:val="auto"/>
                <w:sz w:val="24"/>
                <w:szCs w:val="24"/>
                <w:highlight w:val="none"/>
                <w:lang w:eastAsia="zh-CN"/>
              </w:rPr>
              <w:t>响应文件</w:t>
            </w:r>
            <w:r>
              <w:rPr>
                <w:rFonts w:hint="eastAsia" w:ascii="仿宋" w:hAnsi="仿宋" w:eastAsia="仿宋" w:cs="仿宋"/>
                <w:b w:val="0"/>
                <w:bCs w:val="0"/>
                <w:color w:val="auto"/>
                <w:sz w:val="24"/>
                <w:szCs w:val="24"/>
                <w:highlight w:val="none"/>
              </w:rPr>
              <w:t>中提供的项目实施方案评审评分，至少包括“</w:t>
            </w:r>
            <w:r>
              <w:rPr>
                <w:rFonts w:hint="eastAsia" w:ascii="仿宋" w:hAnsi="仿宋" w:eastAsia="仿宋" w:cs="仿宋"/>
                <w:b/>
                <w:bCs/>
                <w:color w:val="auto"/>
                <w:sz w:val="24"/>
                <w:szCs w:val="24"/>
                <w:highlight w:val="none"/>
              </w:rPr>
              <w:t>项目实施方案、实施过程中的重点、实施过程中的难点、对应的解决方案、实施保障措施、应急预案</w:t>
            </w:r>
            <w:r>
              <w:rPr>
                <w:rFonts w:hint="eastAsia" w:ascii="仿宋" w:hAnsi="仿宋" w:eastAsia="仿宋" w:cs="仿宋"/>
                <w:b w:val="0"/>
                <w:bCs w:val="0"/>
                <w:color w:val="auto"/>
                <w:sz w:val="24"/>
                <w:szCs w:val="24"/>
                <w:highlight w:val="none"/>
              </w:rPr>
              <w:t>”6项内容</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以上6项内容均提供，并且</w:t>
            </w:r>
            <w:r>
              <w:rPr>
                <w:rFonts w:hint="eastAsia" w:ascii="仿宋" w:hAnsi="仿宋" w:eastAsia="仿宋" w:cs="仿宋"/>
                <w:b w:val="0"/>
                <w:bCs w:val="0"/>
                <w:color w:val="auto"/>
                <w:sz w:val="24"/>
                <w:szCs w:val="24"/>
                <w:highlight w:val="none"/>
                <w:lang w:eastAsia="zh-CN"/>
              </w:rPr>
              <w:t>响应人</w:t>
            </w:r>
            <w:r>
              <w:rPr>
                <w:rFonts w:hint="eastAsia" w:ascii="仿宋" w:hAnsi="仿宋" w:eastAsia="仿宋" w:cs="仿宋"/>
                <w:b w:val="0"/>
                <w:bCs w:val="0"/>
                <w:color w:val="auto"/>
                <w:sz w:val="24"/>
                <w:szCs w:val="24"/>
                <w:highlight w:val="none"/>
              </w:rPr>
              <w:t>对本项目重点把握准确，条理清晰,对项目实施过程中的难点分析准确，符合项目实际情况，对工作职责、服务范围有清晰的分析，提供了建设性意见及对应的解决方案，提供了健全的实施保障措施，有适宜的应急预案的得</w:t>
            </w:r>
            <w:r>
              <w:rPr>
                <w:rFonts w:hint="eastAsia" w:ascii="仿宋" w:hAnsi="仿宋" w:eastAsia="仿宋" w:cs="仿宋"/>
                <w:b w:val="0"/>
                <w:bCs w:val="0"/>
                <w:color w:val="auto"/>
                <w:sz w:val="24"/>
                <w:szCs w:val="24"/>
                <w:highlight w:val="none"/>
                <w:lang w:val="en-US" w:eastAsia="zh-CN"/>
              </w:rPr>
              <w:t>12</w:t>
            </w:r>
            <w:r>
              <w:rPr>
                <w:rFonts w:hint="eastAsia" w:ascii="仿宋" w:hAnsi="仿宋" w:eastAsia="仿宋" w:cs="仿宋"/>
                <w:b w:val="0"/>
                <w:bCs w:val="0"/>
                <w:color w:val="auto"/>
                <w:sz w:val="24"/>
                <w:szCs w:val="24"/>
                <w:highlight w:val="none"/>
              </w:rPr>
              <w:t>分。每少提供一项内容扣</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分。有一项存在缺陷（缺陷是指不适用项目实际情况、凭空编造、存在逻辑漏洞、科学原理错误、不可能实现的夸大情形以及涉及的规范、标准与本项目要求不一致等）扣</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分。</w:t>
            </w:r>
          </w:p>
        </w:tc>
      </w:tr>
      <w:tr w14:paraId="07FFA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continue"/>
            <w:vAlign w:val="center"/>
          </w:tcPr>
          <w:p w14:paraId="66EB3074">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10DB81DF">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3EEE97AC">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kern w:val="0"/>
                <w:sz w:val="24"/>
                <w:szCs w:val="24"/>
                <w:highlight w:val="none"/>
                <w:lang w:bidi="ar"/>
              </w:rPr>
              <w:t>质量保证措施及承诺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8分</w:t>
            </w:r>
            <w:r>
              <w:rPr>
                <w:rFonts w:hint="eastAsia" w:ascii="仿宋" w:hAnsi="仿宋" w:eastAsia="仿宋" w:cs="仿宋"/>
                <w:color w:val="auto"/>
                <w:kern w:val="0"/>
                <w:sz w:val="24"/>
                <w:szCs w:val="24"/>
                <w:highlight w:val="none"/>
                <w:lang w:eastAsia="zh-CN" w:bidi="ar"/>
              </w:rPr>
              <w:t>）</w:t>
            </w:r>
          </w:p>
        </w:tc>
        <w:tc>
          <w:tcPr>
            <w:tcW w:w="3323" w:type="pct"/>
            <w:vAlign w:val="center"/>
          </w:tcPr>
          <w:p w14:paraId="7F44FAFC">
            <w:pPr>
              <w:keepLines/>
              <w:topLinePunct/>
              <w:adjustRightInd w:val="0"/>
              <w:snapToGrid w:val="0"/>
              <w:spacing w:line="360" w:lineRule="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根据投标人提供的质量保证措施及承诺进行评审，内容包含但不限于：</w:t>
            </w:r>
          </w:p>
          <w:p w14:paraId="4FC019FB">
            <w:pPr>
              <w:keepLines/>
              <w:topLinePunct/>
              <w:adjustRightInd w:val="0"/>
              <w:snapToGrid w:val="0"/>
              <w:spacing w:line="360" w:lineRule="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1、产品来源渠道；</w:t>
            </w:r>
          </w:p>
          <w:p w14:paraId="13B427AD">
            <w:pPr>
              <w:keepLines/>
              <w:topLinePunct/>
              <w:adjustRightInd w:val="0"/>
              <w:snapToGrid w:val="0"/>
              <w:spacing w:line="360" w:lineRule="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2、货物质量管理</w:t>
            </w:r>
            <w:r>
              <w:rPr>
                <w:rFonts w:hint="eastAsia" w:ascii="仿宋" w:hAnsi="仿宋" w:eastAsia="仿宋" w:cs="仿宋"/>
                <w:color w:val="auto"/>
                <w:kern w:val="0"/>
                <w:sz w:val="24"/>
                <w:szCs w:val="24"/>
                <w:highlight w:val="none"/>
                <w:lang w:val="en-US" w:eastAsia="zh-CN" w:bidi="ar"/>
              </w:rPr>
              <w:t>保障</w:t>
            </w:r>
            <w:r>
              <w:rPr>
                <w:rFonts w:hint="eastAsia" w:ascii="仿宋" w:hAnsi="仿宋" w:eastAsia="仿宋" w:cs="仿宋"/>
                <w:color w:val="auto"/>
                <w:kern w:val="0"/>
                <w:sz w:val="24"/>
                <w:szCs w:val="24"/>
                <w:highlight w:val="none"/>
                <w:lang w:bidi="ar"/>
              </w:rPr>
              <w:t>措施；</w:t>
            </w:r>
          </w:p>
          <w:p w14:paraId="7D547D4A">
            <w:pPr>
              <w:keepLines/>
              <w:topLinePunct/>
              <w:adjustRightInd w:val="0"/>
              <w:snapToGrid w:val="0"/>
              <w:spacing w:line="360" w:lineRule="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val="en-US" w:eastAsia="zh-CN" w:bidi="ar"/>
              </w:rPr>
              <w:t>3</w:t>
            </w:r>
            <w:r>
              <w:rPr>
                <w:rFonts w:hint="eastAsia" w:ascii="仿宋" w:hAnsi="仿宋" w:eastAsia="仿宋" w:cs="仿宋"/>
                <w:color w:val="auto"/>
                <w:kern w:val="0"/>
                <w:sz w:val="24"/>
                <w:szCs w:val="24"/>
                <w:highlight w:val="none"/>
                <w:lang w:bidi="ar"/>
              </w:rPr>
              <w:t>、货物安全性保障措施；</w:t>
            </w:r>
          </w:p>
          <w:p w14:paraId="78A6E39D">
            <w:pPr>
              <w:keepLines/>
              <w:topLinePunct/>
              <w:adjustRightInd w:val="0"/>
              <w:snapToGrid w:val="0"/>
              <w:spacing w:line="360" w:lineRule="auto"/>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val="en-US" w:eastAsia="zh-CN" w:bidi="ar"/>
              </w:rPr>
              <w:t>4</w:t>
            </w:r>
            <w:r>
              <w:rPr>
                <w:rFonts w:hint="eastAsia" w:ascii="仿宋" w:hAnsi="仿宋" w:eastAsia="仿宋" w:cs="仿宋"/>
                <w:color w:val="auto"/>
                <w:kern w:val="0"/>
                <w:sz w:val="24"/>
                <w:szCs w:val="24"/>
                <w:highlight w:val="none"/>
                <w:lang w:bidi="ar"/>
              </w:rPr>
              <w:t>、质量保证承诺及处罚措施。</w:t>
            </w:r>
          </w:p>
          <w:p w14:paraId="2771A5F6">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质量保证措施及承诺中以上</w:t>
            </w:r>
            <w:r>
              <w:rPr>
                <w:rFonts w:hint="eastAsia" w:ascii="仿宋" w:hAnsi="仿宋" w:eastAsia="仿宋" w:cs="仿宋"/>
                <w:color w:val="auto"/>
                <w:kern w:val="0"/>
                <w:sz w:val="24"/>
                <w:szCs w:val="24"/>
                <w:highlight w:val="none"/>
                <w:lang w:val="en-US" w:eastAsia="zh-CN" w:bidi="ar"/>
              </w:rPr>
              <w:t>4</w:t>
            </w:r>
            <w:r>
              <w:rPr>
                <w:rFonts w:hint="eastAsia" w:ascii="仿宋" w:hAnsi="仿宋" w:eastAsia="仿宋" w:cs="仿宋"/>
                <w:color w:val="auto"/>
                <w:kern w:val="0"/>
                <w:sz w:val="24"/>
                <w:szCs w:val="24"/>
                <w:highlight w:val="none"/>
                <w:lang w:bidi="ar"/>
              </w:rPr>
              <w:t>个方面均包含，措施及承诺阐述详细、全面、清晰且可行性、有效性、可操作性强，能够完全满足项目需求的得满</w:t>
            </w:r>
            <w:r>
              <w:rPr>
                <w:rFonts w:hint="eastAsia" w:ascii="仿宋" w:hAnsi="仿宋" w:eastAsia="仿宋" w:cs="仿宋"/>
                <w:color w:val="auto"/>
                <w:kern w:val="0"/>
                <w:sz w:val="24"/>
                <w:szCs w:val="24"/>
                <w:highlight w:val="none"/>
                <w:lang w:val="en-US" w:eastAsia="zh-CN" w:bidi="ar"/>
              </w:rPr>
              <w:t>8</w:t>
            </w:r>
            <w:r>
              <w:rPr>
                <w:rFonts w:hint="eastAsia" w:ascii="仿宋" w:hAnsi="仿宋" w:eastAsia="仿宋" w:cs="仿宋"/>
                <w:color w:val="auto"/>
                <w:kern w:val="0"/>
                <w:sz w:val="24"/>
                <w:szCs w:val="24"/>
                <w:highlight w:val="none"/>
                <w:lang w:bidi="ar"/>
              </w:rPr>
              <w:t>分；有一项内容缺失的扣</w:t>
            </w:r>
            <w:r>
              <w:rPr>
                <w:rFonts w:hint="eastAsia" w:ascii="仿宋" w:hAnsi="仿宋" w:eastAsia="仿宋" w:cs="仿宋"/>
                <w:color w:val="auto"/>
                <w:kern w:val="0"/>
                <w:sz w:val="24"/>
                <w:szCs w:val="24"/>
                <w:highlight w:val="none"/>
                <w:lang w:val="en-US" w:eastAsia="zh-CN" w:bidi="ar"/>
              </w:rPr>
              <w:t>2</w:t>
            </w:r>
            <w:r>
              <w:rPr>
                <w:rFonts w:hint="eastAsia" w:ascii="仿宋" w:hAnsi="仿宋" w:eastAsia="仿宋" w:cs="仿宋"/>
                <w:color w:val="auto"/>
                <w:kern w:val="0"/>
                <w:sz w:val="24"/>
                <w:szCs w:val="24"/>
                <w:highlight w:val="none"/>
                <w:lang w:bidi="ar"/>
              </w:rPr>
              <w:t>分；有一项存在缺陷（缺陷是指不适用项目实际情况、凭空编造、存在逻辑漏洞、科学原理错误、不可能实现的夸大情形以及涉及的规范、标准与本项目要求不一致等）扣</w:t>
            </w:r>
            <w:r>
              <w:rPr>
                <w:rFonts w:hint="eastAsia" w:ascii="仿宋" w:hAnsi="仿宋" w:eastAsia="仿宋" w:cs="仿宋"/>
                <w:color w:val="auto"/>
                <w:kern w:val="0"/>
                <w:sz w:val="24"/>
                <w:szCs w:val="24"/>
                <w:highlight w:val="none"/>
                <w:lang w:val="en-US" w:eastAsia="zh-CN" w:bidi="ar"/>
              </w:rPr>
              <w:t>1</w:t>
            </w:r>
            <w:r>
              <w:rPr>
                <w:rFonts w:hint="eastAsia" w:ascii="仿宋" w:hAnsi="仿宋" w:eastAsia="仿宋" w:cs="仿宋"/>
                <w:color w:val="auto"/>
                <w:kern w:val="0"/>
                <w:sz w:val="24"/>
                <w:szCs w:val="24"/>
                <w:highlight w:val="none"/>
                <w:lang w:bidi="ar"/>
              </w:rPr>
              <w:t>分。</w:t>
            </w:r>
          </w:p>
        </w:tc>
      </w:tr>
      <w:tr w14:paraId="2108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continue"/>
            <w:vAlign w:val="center"/>
          </w:tcPr>
          <w:p w14:paraId="3817067D">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60A3ACBC">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5AE44DB1">
            <w:pPr>
              <w:keepLines/>
              <w:wordWrap w:val="0"/>
              <w:topLinePunct/>
              <w:adjustRightInd w:val="0"/>
              <w:snapToGrid w:val="0"/>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kern w:val="0"/>
                <w:sz w:val="24"/>
                <w:szCs w:val="24"/>
                <w:highlight w:val="none"/>
                <w:lang w:bidi="ar"/>
              </w:rPr>
              <w:t>售后服务保证措施及承诺</w:t>
            </w:r>
            <w:r>
              <w:rPr>
                <w:rFonts w:hint="eastAsia" w:ascii="仿宋" w:hAnsi="仿宋" w:eastAsia="仿宋" w:cs="仿宋"/>
                <w:color w:val="auto"/>
                <w:kern w:val="0"/>
                <w:sz w:val="24"/>
                <w:szCs w:val="24"/>
                <w:highlight w:val="none"/>
                <w:lang w:eastAsia="zh-CN" w:bidi="ar"/>
              </w:rPr>
              <w:t>（</w:t>
            </w:r>
            <w:r>
              <w:rPr>
                <w:rFonts w:hint="eastAsia" w:ascii="仿宋" w:hAnsi="仿宋" w:eastAsia="仿宋" w:cs="仿宋"/>
                <w:color w:val="auto"/>
                <w:kern w:val="0"/>
                <w:sz w:val="24"/>
                <w:szCs w:val="24"/>
                <w:highlight w:val="none"/>
                <w:lang w:val="en-US" w:eastAsia="zh-CN" w:bidi="ar"/>
              </w:rPr>
              <w:t>6分</w:t>
            </w:r>
            <w:r>
              <w:rPr>
                <w:rFonts w:hint="eastAsia" w:ascii="仿宋" w:hAnsi="仿宋" w:eastAsia="仿宋" w:cs="仿宋"/>
                <w:color w:val="auto"/>
                <w:kern w:val="0"/>
                <w:sz w:val="24"/>
                <w:szCs w:val="24"/>
                <w:highlight w:val="none"/>
                <w:lang w:eastAsia="zh-CN" w:bidi="ar"/>
              </w:rPr>
              <w:t>）</w:t>
            </w:r>
          </w:p>
        </w:tc>
        <w:tc>
          <w:tcPr>
            <w:tcW w:w="3323" w:type="pct"/>
            <w:vAlign w:val="center"/>
          </w:tcPr>
          <w:p w14:paraId="2367B4A7">
            <w:pPr>
              <w:keepLines/>
              <w:topLinePunct/>
              <w:adjustRightInd w:val="0"/>
              <w:snapToGrid w:val="0"/>
              <w:spacing w:line="360" w:lineRule="auto"/>
              <w:ind w:left="2" w:hanging="2"/>
              <w:jc w:val="left"/>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根据投标人提供的售后服务保证措施及承诺进行评审，内容包含但不限于：</w:t>
            </w:r>
          </w:p>
          <w:p w14:paraId="46A7F1E6">
            <w:pPr>
              <w:keepLines/>
              <w:topLinePunct/>
              <w:adjustRightInd w:val="0"/>
              <w:snapToGrid w:val="0"/>
              <w:spacing w:line="360" w:lineRule="auto"/>
              <w:ind w:left="2" w:hanging="2"/>
              <w:jc w:val="left"/>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1、售后服务组织机构；</w:t>
            </w:r>
          </w:p>
          <w:p w14:paraId="15D232F3">
            <w:pPr>
              <w:keepLines/>
              <w:topLinePunct/>
              <w:adjustRightInd w:val="0"/>
              <w:snapToGrid w:val="0"/>
              <w:spacing w:line="360" w:lineRule="auto"/>
              <w:ind w:left="2" w:hanging="2"/>
              <w:jc w:val="left"/>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2、售后服务方式与流程；</w:t>
            </w:r>
          </w:p>
          <w:p w14:paraId="450C35AB">
            <w:pPr>
              <w:keepLines/>
              <w:topLinePunct/>
              <w:adjustRightInd w:val="0"/>
              <w:snapToGrid w:val="0"/>
              <w:spacing w:line="360" w:lineRule="auto"/>
              <w:ind w:left="2" w:hanging="2"/>
              <w:jc w:val="left"/>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eastAsia="zh-CN" w:bidi="ar"/>
              </w:rPr>
              <w:t>3</w:t>
            </w:r>
            <w:r>
              <w:rPr>
                <w:rFonts w:hint="eastAsia" w:ascii="仿宋" w:hAnsi="仿宋" w:eastAsia="仿宋" w:cs="仿宋"/>
                <w:color w:val="auto"/>
                <w:kern w:val="0"/>
                <w:sz w:val="24"/>
                <w:szCs w:val="24"/>
                <w:highlight w:val="none"/>
                <w:lang w:bidi="ar"/>
              </w:rPr>
              <w:t>、售后响应时限及承诺；</w:t>
            </w:r>
          </w:p>
          <w:p w14:paraId="31D7F3B5">
            <w:pPr>
              <w:keepLines/>
              <w:topLinePunct/>
              <w:adjustRightInd w:val="0"/>
              <w:snapToGrid w:val="0"/>
              <w:spacing w:line="360" w:lineRule="auto"/>
              <w:ind w:left="2" w:hanging="2"/>
              <w:jc w:val="left"/>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eastAsia="zh-CN" w:bidi="ar"/>
              </w:rPr>
              <w:t>4</w:t>
            </w:r>
            <w:r>
              <w:rPr>
                <w:rFonts w:hint="eastAsia" w:ascii="仿宋" w:hAnsi="仿宋" w:eastAsia="仿宋" w:cs="仿宋"/>
                <w:color w:val="auto"/>
                <w:kern w:val="0"/>
                <w:sz w:val="24"/>
                <w:szCs w:val="24"/>
                <w:highlight w:val="none"/>
                <w:lang w:bidi="ar"/>
              </w:rPr>
              <w:t>、售后违约处罚措施及承诺；</w:t>
            </w:r>
          </w:p>
          <w:p w14:paraId="23C8FB5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售后服务保证措施及承诺中以上</w:t>
            </w:r>
            <w:r>
              <w:rPr>
                <w:rFonts w:hint="eastAsia" w:ascii="仿宋" w:hAnsi="仿宋" w:eastAsia="仿宋" w:cs="仿宋"/>
                <w:color w:val="auto"/>
                <w:kern w:val="0"/>
                <w:sz w:val="24"/>
                <w:szCs w:val="24"/>
                <w:highlight w:val="none"/>
                <w:lang w:eastAsia="zh-CN" w:bidi="ar"/>
              </w:rPr>
              <w:t>4</w:t>
            </w:r>
            <w:r>
              <w:rPr>
                <w:rFonts w:hint="eastAsia" w:ascii="仿宋" w:hAnsi="仿宋" w:eastAsia="仿宋" w:cs="仿宋"/>
                <w:color w:val="auto"/>
                <w:kern w:val="0"/>
                <w:sz w:val="24"/>
                <w:szCs w:val="24"/>
                <w:highlight w:val="none"/>
                <w:lang w:bidi="ar"/>
              </w:rPr>
              <w:t>个方面均包含，措施及承诺阐述详细、全面、清晰且可行性、有效性、可操作性强，能够完全满足项目需求的得满分</w:t>
            </w:r>
            <w:r>
              <w:rPr>
                <w:rFonts w:hint="eastAsia" w:ascii="仿宋" w:hAnsi="仿宋" w:eastAsia="仿宋" w:cs="仿宋"/>
                <w:color w:val="auto"/>
                <w:kern w:val="0"/>
                <w:sz w:val="24"/>
                <w:szCs w:val="24"/>
                <w:highlight w:val="none"/>
                <w:lang w:val="en-US" w:eastAsia="zh-CN" w:bidi="ar"/>
              </w:rPr>
              <w:t>6</w:t>
            </w:r>
            <w:r>
              <w:rPr>
                <w:rFonts w:hint="eastAsia" w:ascii="仿宋" w:hAnsi="仿宋" w:eastAsia="仿宋" w:cs="仿宋"/>
                <w:color w:val="auto"/>
                <w:kern w:val="0"/>
                <w:sz w:val="24"/>
                <w:szCs w:val="24"/>
                <w:highlight w:val="none"/>
                <w:lang w:bidi="ar"/>
              </w:rPr>
              <w:t>分；有一项内容缺失的扣</w:t>
            </w:r>
            <w:r>
              <w:rPr>
                <w:rFonts w:hint="eastAsia" w:ascii="仿宋" w:hAnsi="仿宋" w:eastAsia="仿宋" w:cs="仿宋"/>
                <w:color w:val="auto"/>
                <w:kern w:val="0"/>
                <w:sz w:val="24"/>
                <w:szCs w:val="24"/>
                <w:highlight w:val="none"/>
                <w:lang w:val="en-US" w:eastAsia="zh-CN" w:bidi="ar"/>
              </w:rPr>
              <w:t>1.5</w:t>
            </w:r>
            <w:r>
              <w:rPr>
                <w:rFonts w:hint="eastAsia" w:ascii="仿宋" w:hAnsi="仿宋" w:eastAsia="仿宋" w:cs="仿宋"/>
                <w:color w:val="auto"/>
                <w:kern w:val="0"/>
                <w:sz w:val="24"/>
                <w:szCs w:val="24"/>
                <w:highlight w:val="none"/>
                <w:lang w:bidi="ar"/>
              </w:rPr>
              <w:t>分；有一项存在缺陷（缺陷是指不适用 项目实际情况、凭空编造、存在逻辑漏洞、科学原理错误、不可能实现的夸大情形以及涉及的规范、标准与本项目要求不一致等）扣1分。</w:t>
            </w:r>
          </w:p>
        </w:tc>
      </w:tr>
      <w:tr w14:paraId="4AF22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Merge w:val="continue"/>
            <w:vAlign w:val="center"/>
          </w:tcPr>
          <w:p w14:paraId="629E7C0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Merge w:val="continue"/>
            <w:vAlign w:val="center"/>
          </w:tcPr>
          <w:p w14:paraId="28BB32F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vAlign w:val="center"/>
          </w:tcPr>
          <w:p w14:paraId="58E04C94">
            <w:pPr>
              <w:keepLines/>
              <w:wordWrap w:val="0"/>
              <w:topLinePunct/>
              <w:adjustRightInd w:val="0"/>
              <w:snapToGrid w:val="0"/>
              <w:spacing w:line="360" w:lineRule="auto"/>
              <w:jc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lang w:val="en-US" w:eastAsia="zh-CN"/>
              </w:rPr>
              <w:t>6</w:t>
            </w:r>
            <w:r>
              <w:rPr>
                <w:rFonts w:hint="eastAsia" w:ascii="仿宋" w:hAnsi="仿宋" w:eastAsia="仿宋" w:cs="仿宋"/>
                <w:b w:val="0"/>
                <w:bCs w:val="0"/>
                <w:color w:val="auto"/>
                <w:sz w:val="24"/>
                <w:szCs w:val="24"/>
                <w:highlight w:val="none"/>
              </w:rPr>
              <w:t>节能、环保产品评审</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2分</w:t>
            </w:r>
            <w:r>
              <w:rPr>
                <w:rFonts w:hint="eastAsia" w:ascii="仿宋" w:hAnsi="仿宋" w:eastAsia="仿宋" w:cs="仿宋"/>
                <w:b w:val="0"/>
                <w:bCs w:val="0"/>
                <w:color w:val="auto"/>
                <w:sz w:val="24"/>
                <w:szCs w:val="24"/>
                <w:highlight w:val="none"/>
                <w:lang w:eastAsia="zh-CN"/>
              </w:rPr>
              <w:t>）</w:t>
            </w:r>
          </w:p>
        </w:tc>
        <w:tc>
          <w:tcPr>
            <w:tcW w:w="3323" w:type="pct"/>
            <w:vAlign w:val="center"/>
          </w:tcPr>
          <w:p w14:paraId="539F331F">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1.产品被认定为节能产品（非政府强制采购节能产品）的得1分；</w:t>
            </w:r>
          </w:p>
          <w:p w14:paraId="35587499">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2.产品被认定为环境标志产品的得1分；</w:t>
            </w:r>
          </w:p>
          <w:p w14:paraId="3716480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kern w:val="0"/>
                <w:sz w:val="24"/>
                <w:szCs w:val="24"/>
                <w:highlight w:val="none"/>
                <w:lang w:bidi="ar"/>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eastAsia="zh-CN"/>
              </w:rPr>
              <w:t>响应人</w:t>
            </w:r>
            <w:r>
              <w:rPr>
                <w:rFonts w:hint="eastAsia" w:ascii="仿宋" w:hAnsi="仿宋" w:eastAsia="仿宋" w:cs="仿宋"/>
                <w:color w:val="auto"/>
                <w:sz w:val="24"/>
                <w:szCs w:val="24"/>
                <w:highlight w:val="none"/>
              </w:rPr>
              <w:t>需在</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中提供有效期内经国家确定的参与实施政府采购节能产品或环境标志产品认证机构依据标准出具的节能产品或环境标志产品认证证书并标注具体型号。</w:t>
            </w:r>
          </w:p>
        </w:tc>
      </w:tr>
      <w:tr w14:paraId="3E334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Align w:val="center"/>
          </w:tcPr>
          <w:p w14:paraId="738CC757">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Align w:val="center"/>
          </w:tcPr>
          <w:p w14:paraId="74545B7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shd w:val="clear" w:color="auto" w:fill="auto"/>
            <w:vAlign w:val="center"/>
          </w:tcPr>
          <w:p w14:paraId="1B85F08B">
            <w:pPr>
              <w:keepLines/>
              <w:wordWrap w:val="0"/>
              <w:topLinePunct/>
              <w:adjustRightInd w:val="0"/>
              <w:spacing w:line="36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color w:val="auto"/>
                <w:sz w:val="24"/>
                <w:szCs w:val="24"/>
                <w:highlight w:val="none"/>
              </w:rPr>
              <w:t>F</w:t>
            </w:r>
            <w:r>
              <w:rPr>
                <w:rFonts w:hint="eastAsia" w:ascii="仿宋" w:hAnsi="仿宋" w:eastAsia="仿宋" w:cs="仿宋"/>
                <w:color w:val="auto"/>
                <w:sz w:val="24"/>
                <w:szCs w:val="24"/>
                <w:highlight w:val="none"/>
                <w:lang w:val="en-US" w:eastAsia="zh-CN"/>
              </w:rPr>
              <w:t>7</w:t>
            </w:r>
            <w:r>
              <w:rPr>
                <w:rFonts w:hint="eastAsia" w:ascii="仿宋" w:hAnsi="仿宋" w:eastAsia="仿宋" w:cs="仿宋"/>
                <w:b w:val="0"/>
                <w:bCs w:val="0"/>
                <w:color w:val="auto"/>
                <w:sz w:val="24"/>
                <w:szCs w:val="24"/>
                <w:highlight w:val="none"/>
                <w:lang w:eastAsia="zh-CN"/>
              </w:rPr>
              <w:t>安装培训方案</w:t>
            </w:r>
            <w:r>
              <w:rPr>
                <w:rFonts w:hint="eastAsia" w:ascii="仿宋" w:hAnsi="仿宋" w:eastAsia="仿宋" w:cs="仿宋"/>
                <w:b w:val="0"/>
                <w:bCs w:val="0"/>
                <w:color w:val="auto"/>
                <w:sz w:val="24"/>
                <w:szCs w:val="24"/>
                <w:highlight w:val="none"/>
              </w:rPr>
              <w:t>（满分</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分）</w:t>
            </w:r>
          </w:p>
        </w:tc>
        <w:tc>
          <w:tcPr>
            <w:tcW w:w="3323" w:type="pct"/>
            <w:shd w:val="clear" w:color="auto" w:fill="auto"/>
            <w:vAlign w:val="top"/>
          </w:tcPr>
          <w:p w14:paraId="11286201">
            <w:pPr>
              <w:keepLines/>
              <w:wordWrap w:val="0"/>
              <w:topLinePunct/>
              <w:adjustRightInd w:val="0"/>
              <w:spacing w:line="360" w:lineRule="auto"/>
              <w:jc w:val="center"/>
              <w:rPr>
                <w:rFonts w:hint="eastAsia" w:ascii="仿宋" w:hAnsi="仿宋" w:eastAsia="仿宋" w:cs="仿宋"/>
                <w:b w:val="0"/>
                <w:bCs w:val="0"/>
                <w:color w:val="auto"/>
                <w:kern w:val="2"/>
                <w:sz w:val="24"/>
                <w:szCs w:val="24"/>
                <w:highlight w:val="none"/>
                <w:lang w:val="en-US" w:eastAsia="zh-CN" w:bidi="ar-SA"/>
              </w:rPr>
            </w:pPr>
            <w:r>
              <w:rPr>
                <w:rFonts w:hint="eastAsia" w:ascii="仿宋" w:hAnsi="仿宋" w:eastAsia="仿宋" w:cs="仿宋"/>
                <w:b w:val="0"/>
                <w:bCs w:val="0"/>
                <w:color w:val="auto"/>
                <w:sz w:val="24"/>
                <w:szCs w:val="24"/>
                <w:highlight w:val="none"/>
              </w:rPr>
              <w:t>根据</w:t>
            </w:r>
            <w:r>
              <w:rPr>
                <w:rFonts w:hint="eastAsia" w:ascii="仿宋" w:hAnsi="仿宋" w:eastAsia="仿宋" w:cs="仿宋"/>
                <w:b w:val="0"/>
                <w:bCs w:val="0"/>
                <w:color w:val="auto"/>
                <w:sz w:val="24"/>
                <w:szCs w:val="24"/>
                <w:highlight w:val="none"/>
                <w:lang w:eastAsia="zh-CN"/>
              </w:rPr>
              <w:t>响应文件</w:t>
            </w:r>
            <w:r>
              <w:rPr>
                <w:rFonts w:hint="eastAsia" w:ascii="仿宋" w:hAnsi="仿宋" w:eastAsia="仿宋" w:cs="仿宋"/>
                <w:b w:val="0"/>
                <w:bCs w:val="0"/>
                <w:color w:val="auto"/>
                <w:sz w:val="24"/>
                <w:szCs w:val="24"/>
                <w:highlight w:val="none"/>
              </w:rPr>
              <w:t>中提供有效的安装培训方案评审，至少包括安装培训计划、培训方案、培训服务承诺、处罚措施4项内容。以上4项方案内容均有描述且符合项目需求的得</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分</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每缺少一项要求的内容扣</w:t>
            </w: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b w:val="0"/>
                <w:bCs w:val="0"/>
                <w:color w:val="auto"/>
                <w:sz w:val="24"/>
                <w:szCs w:val="24"/>
                <w:highlight w:val="none"/>
              </w:rPr>
              <w:t>分；每有一项要求的方案内容有错误或逻辑错误的扣</w:t>
            </w:r>
            <w:r>
              <w:rPr>
                <w:rFonts w:hint="eastAsia" w:ascii="仿宋" w:hAnsi="仿宋" w:eastAsia="仿宋" w:cs="仿宋"/>
                <w:b w:val="0"/>
                <w:bCs w:val="0"/>
                <w:color w:val="auto"/>
                <w:sz w:val="24"/>
                <w:szCs w:val="24"/>
                <w:highlight w:val="none"/>
                <w:lang w:val="en-US" w:eastAsia="zh-CN"/>
              </w:rPr>
              <w:t>0.5</w:t>
            </w:r>
            <w:r>
              <w:rPr>
                <w:rFonts w:hint="eastAsia" w:ascii="仿宋" w:hAnsi="仿宋" w:eastAsia="仿宋" w:cs="仿宋"/>
                <w:b w:val="0"/>
                <w:bCs w:val="0"/>
                <w:color w:val="auto"/>
                <w:sz w:val="24"/>
                <w:szCs w:val="24"/>
                <w:highlight w:val="none"/>
              </w:rPr>
              <w:t>分</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每有一项要求的方案内容有缺漏或不切合项目实际的扣</w:t>
            </w:r>
            <w:r>
              <w:rPr>
                <w:rFonts w:hint="eastAsia" w:ascii="仿宋" w:hAnsi="仿宋" w:eastAsia="仿宋" w:cs="仿宋"/>
                <w:b w:val="0"/>
                <w:bCs w:val="0"/>
                <w:color w:val="auto"/>
                <w:sz w:val="24"/>
                <w:szCs w:val="24"/>
                <w:highlight w:val="none"/>
                <w:lang w:val="en-US" w:eastAsia="zh-CN"/>
              </w:rPr>
              <w:t>1</w:t>
            </w:r>
            <w:r>
              <w:rPr>
                <w:rFonts w:hint="eastAsia" w:ascii="仿宋" w:hAnsi="仿宋" w:eastAsia="仿宋" w:cs="仿宋"/>
                <w:b w:val="0"/>
                <w:bCs w:val="0"/>
                <w:color w:val="auto"/>
                <w:sz w:val="24"/>
                <w:szCs w:val="24"/>
                <w:highlight w:val="none"/>
              </w:rPr>
              <w:t>分</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扣完为止，</w:t>
            </w:r>
            <w:r>
              <w:rPr>
                <w:rFonts w:hint="eastAsia" w:ascii="仿宋" w:hAnsi="仿宋" w:eastAsia="仿宋" w:cs="仿宋"/>
                <w:b w:val="0"/>
                <w:bCs w:val="0"/>
                <w:color w:val="auto"/>
                <w:sz w:val="24"/>
                <w:szCs w:val="24"/>
                <w:highlight w:val="none"/>
              </w:rPr>
              <w:t>不提供方案的不得分。</w:t>
            </w:r>
          </w:p>
        </w:tc>
      </w:tr>
      <w:tr w14:paraId="1BB6B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42" w:type="pct"/>
            <w:vAlign w:val="center"/>
          </w:tcPr>
          <w:p w14:paraId="1A5AF523">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496" w:type="pct"/>
            <w:vAlign w:val="center"/>
          </w:tcPr>
          <w:p w14:paraId="05B91D71">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p>
        </w:tc>
        <w:tc>
          <w:tcPr>
            <w:tcW w:w="837" w:type="pct"/>
            <w:shd w:val="clear" w:color="auto" w:fill="auto"/>
            <w:vAlign w:val="center"/>
          </w:tcPr>
          <w:p w14:paraId="2D88C8E2">
            <w:pPr>
              <w:keepLines/>
              <w:wordWrap w:val="0"/>
              <w:topLinePunct/>
              <w:adjustRightInd w:val="0"/>
              <w:spacing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F</w:t>
            </w:r>
            <w:r>
              <w:rPr>
                <w:rFonts w:hint="eastAsia" w:ascii="仿宋" w:hAnsi="仿宋" w:eastAsia="仿宋" w:cs="仿宋"/>
                <w:b w:val="0"/>
                <w:bCs w:val="0"/>
                <w:color w:val="auto"/>
                <w:sz w:val="24"/>
                <w:szCs w:val="24"/>
                <w:highlight w:val="none"/>
                <w:lang w:val="en-US" w:eastAsia="zh-CN"/>
              </w:rPr>
              <w:t>8</w:t>
            </w:r>
            <w:r>
              <w:rPr>
                <w:rFonts w:hint="eastAsia" w:ascii="仿宋" w:hAnsi="仿宋" w:eastAsia="仿宋" w:cs="仿宋"/>
                <w:b w:val="0"/>
                <w:bCs w:val="0"/>
                <w:color w:val="auto"/>
                <w:sz w:val="24"/>
                <w:szCs w:val="24"/>
                <w:highlight w:val="none"/>
              </w:rPr>
              <w:t>类似业绩（满分</w:t>
            </w:r>
            <w:r>
              <w:rPr>
                <w:rFonts w:hint="eastAsia" w:ascii="仿宋" w:hAnsi="仿宋" w:eastAsia="仿宋" w:cs="仿宋"/>
                <w:b w:val="0"/>
                <w:bCs w:val="0"/>
                <w:color w:val="auto"/>
                <w:sz w:val="24"/>
                <w:szCs w:val="24"/>
                <w:highlight w:val="none"/>
                <w:lang w:val="en-US" w:eastAsia="zh-CN"/>
              </w:rPr>
              <w:t>4</w:t>
            </w:r>
            <w:r>
              <w:rPr>
                <w:rFonts w:hint="eastAsia" w:ascii="仿宋" w:hAnsi="仿宋" w:eastAsia="仿宋" w:cs="仿宋"/>
                <w:b w:val="0"/>
                <w:bCs w:val="0"/>
                <w:color w:val="auto"/>
                <w:sz w:val="24"/>
                <w:szCs w:val="24"/>
                <w:highlight w:val="none"/>
              </w:rPr>
              <w:t>分）</w:t>
            </w:r>
          </w:p>
        </w:tc>
        <w:tc>
          <w:tcPr>
            <w:tcW w:w="3323" w:type="pct"/>
            <w:shd w:val="clear" w:color="auto" w:fill="auto"/>
            <w:vAlign w:val="center"/>
          </w:tcPr>
          <w:p w14:paraId="15C27822">
            <w:pPr>
              <w:keepLines/>
              <w:wordWrap w:val="0"/>
              <w:topLinePunct/>
              <w:adjustRightInd w:val="0"/>
              <w:spacing w:line="360" w:lineRule="auto"/>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投标人自2022年以来，具有与本项目类似的设备供货业绩，每提供1个得0.5分，满分4分。【提供合同扫描件或中标（成交）通知书扫描件，未提供证明文件不计分】</w:t>
            </w:r>
          </w:p>
        </w:tc>
      </w:tr>
    </w:tbl>
    <w:p w14:paraId="28DADA30">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1.评标方法：</w:t>
      </w:r>
    </w:p>
    <w:p w14:paraId="24AFF78C">
      <w:pPr>
        <w:pStyle w:val="11"/>
        <w:keepNext w:val="0"/>
        <w:keepLines w:val="0"/>
        <w:pageBreakBefore w:val="0"/>
        <w:widowControl w:val="0"/>
        <w:kinsoku/>
        <w:wordWrap/>
        <w:overflowPunct/>
        <w:topLinePunct w:val="0"/>
        <w:autoSpaceDE/>
        <w:autoSpaceDN/>
        <w:bidi w:val="0"/>
        <w:adjustRightInd/>
        <w:snapToGrid w:val="0"/>
        <w:spacing w:after="0" w:line="360" w:lineRule="auto"/>
        <w:ind w:left="0" w:leftChars="0" w:firstLine="482" w:firstLineChars="20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1.1本次评标采用综合评分法。</w:t>
      </w:r>
      <w:r>
        <w:rPr>
          <w:rFonts w:hint="eastAsia" w:ascii="仿宋" w:hAnsi="仿宋" w:eastAsia="仿宋" w:cs="仿宋"/>
          <w:color w:val="auto"/>
          <w:sz w:val="24"/>
          <w:szCs w:val="24"/>
          <w:highlight w:val="none"/>
        </w:rPr>
        <w:t>评标委员会对满足招标文件全部实质性要求（即通过资格性评审及符合性评审）的投标文件，按照本章前附表规定的评分标准进行打分，并按评标总得分计算公式计算评标总得分，按总得分由高到低的顺序推荐3名中标候选人；得分相同的，按投标报价由低到高顺序推荐</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评标总得分及投标报价相等时，评标委员会将依次按技术部分得分高优先、商务部分得分高优先的顺序推荐；所有得分均相等的，</w:t>
      </w:r>
      <w:r>
        <w:rPr>
          <w:rFonts w:hint="eastAsia" w:ascii="仿宋" w:hAnsi="仿宋" w:eastAsia="仿宋" w:cs="仿宋"/>
          <w:color w:val="auto"/>
          <w:kern w:val="0"/>
          <w:sz w:val="24"/>
          <w:szCs w:val="24"/>
          <w:highlight w:val="none"/>
        </w:rPr>
        <w:t>按优先采购监狱企业、残疾人福利性单位的原则推荐中标候选人，上述条件均相同，由评标委员会通过记名投票的方式推荐中标候选人</w:t>
      </w:r>
      <w:r>
        <w:rPr>
          <w:rFonts w:hint="eastAsia" w:ascii="仿宋" w:hAnsi="仿宋" w:eastAsia="仿宋" w:cs="仿宋"/>
          <w:color w:val="auto"/>
          <w:sz w:val="24"/>
          <w:szCs w:val="24"/>
          <w:highlight w:val="none"/>
        </w:rPr>
        <w:t>。</w:t>
      </w:r>
    </w:p>
    <w:p w14:paraId="587AF3C8">
      <w:pPr>
        <w:pStyle w:val="11"/>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2.政府采购政策：</w:t>
      </w:r>
    </w:p>
    <w:p w14:paraId="026F2430">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2.1中小企业扶持政策</w:t>
      </w:r>
    </w:p>
    <w:p w14:paraId="5990FBB2">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2.1.1根据《关于印发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政府采购促进中小企业发展管理办法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的通知》（财库【2020】46号）的规定，供应商提供的货物、工程或者服务符合下列情形的，享受评标方法中小企业扶持政策：</w:t>
      </w:r>
    </w:p>
    <w:p w14:paraId="7B66BCE4">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（一）在货物采购项目中，货物由中小企业制造，即货物由中小企业生产且使用该中小企业商号或者注册商标；</w:t>
      </w:r>
    </w:p>
    <w:p w14:paraId="7028257C">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（二）在工程采购项目中，工程由中小企业承建，即工程施工单位为中小企业；</w:t>
      </w:r>
    </w:p>
    <w:p w14:paraId="5DA709CC">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（三）在服务采购项目中，服务由中小企业承接，即提供服务的人员为中小企业依照《中华人民共和国劳动合同法》订立劳动合同的从业人员。</w:t>
      </w:r>
    </w:p>
    <w:p w14:paraId="4E79447B">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在货物采购项目中，供应商提供的货物既有中小企业制造货物，也有大型企业制造货物的，不享受评标方法规定的中小企业扶持政策。</w:t>
      </w:r>
    </w:p>
    <w:p w14:paraId="7BE9D904">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以联合体形式参加政府采购活动，联合体各方均为中小企业的，联合体视同中小企业。其中，联合体各方均为小微企业的，联合体视同小微企业。</w:t>
      </w:r>
    </w:p>
    <w:p w14:paraId="40C65D38">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74FE0ABF">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符合中小企业划分标准的个体工商户，在政府采购活动中视同中小企业。</w:t>
      </w:r>
    </w:p>
    <w:p w14:paraId="56D180C1">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2.1.3中小企业参加政府采购活动，应当出具《中小企业声明函》（详见《投标文件格式》），否则不得享受相关中小企业扶持政策。</w:t>
      </w:r>
    </w:p>
    <w:p w14:paraId="555EBA58">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2.2监狱企业</w:t>
      </w:r>
    </w:p>
    <w:p w14:paraId="1879D641">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设区的市)监狱、强制隔离戒毒所、戒毒康复所，以及新疆生产建设兵团监狱管理局、戒毒管理局的企业，监狱企业参加政府采购活动时，应当提供由省级以上监狱管理局、戒毒管理局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含新疆生产建设兵团)出具的属于监狱企业的证明文件。</w:t>
      </w:r>
    </w:p>
    <w:p w14:paraId="23931B6F">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2.3残疾人福利性单位</w:t>
      </w:r>
    </w:p>
    <w:p w14:paraId="50D66219">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2.3.1根据《财政部 民政部 中国残疾人联合会关于促进残疾人就业政府采购政策的通知》，享受政府采购支持政策的残疾人福利性单位应当同时满足以下条件：</w:t>
      </w:r>
    </w:p>
    <w:p w14:paraId="14D8EAA1">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（1）安置的残疾人占本单位在职职工人数的比例不低于25%（含25%），并且安置的残疾人人数不少于10人（含10人）；</w:t>
      </w:r>
    </w:p>
    <w:p w14:paraId="1126D0C9">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（2）依法与安置的每位残疾人签订了一年以上（含一年）的劳动合同或服务协议；</w:t>
      </w:r>
    </w:p>
    <w:p w14:paraId="05D2A838">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（3）为安置的每位残疾人按月足额缴纳了基本养老保险、基本医疗保险、失业保险、工伤保险和生育保险等社会保险费；</w:t>
      </w:r>
    </w:p>
    <w:p w14:paraId="60085665">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（4）通过银行等金融机构向安置的每位残疾人，按月支付了不低于单位所在区县适用的经省级人民政府批准的月最低工资标准的工资；</w:t>
      </w:r>
    </w:p>
    <w:p w14:paraId="2DFFC460">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（5）提供本单位制造的货物、承担的工程或者服务（以下简称产品），或者提供其他残疾人福利性单位制造的货物（不包括使用非残疾人福利性单位注册商标的货物）。</w:t>
      </w:r>
    </w:p>
    <w:p w14:paraId="44163616">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DCFB299">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2.3.2符合条件的残疾人福利性单位在参加政府采购活动时，应当提供《残疾人福利性单位声明函》，并对声明的真实性负责。</w:t>
      </w:r>
    </w:p>
    <w:p w14:paraId="6C5D8647">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2.4节能、环境标志产品</w:t>
      </w:r>
    </w:p>
    <w:p w14:paraId="6FFAADE7">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2.4.1节能产品是指列入财政部和国家发改委公布的《节能产品政府采购品目清单》中的货物。政府强制采购节能产品是指《节能产品政府采购品目清单》中以“★”标注类别的产品。</w:t>
      </w:r>
    </w:p>
    <w:p w14:paraId="45862483">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2.4.2环境标志产品是指列入财政部、生态环境部公布的《环境标志产品政府采购品目清单》中的货物。</w:t>
      </w:r>
    </w:p>
    <w:p w14:paraId="256358BE">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2.4.3本项目采购清单中若有政府强制采购节能产品，只接受强制节能产品投标，投标人必须在投标文件中提供国家确定的认证机构出具的、处于有效期之内的节能产品认证证书。投标人必须选报，否则按不实质性响应招标文件要求处理。</w:t>
      </w:r>
    </w:p>
    <w:p w14:paraId="16212670">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2.4.4投标人应在投标文件中提供所投标产品国家确定的认证机构出具的、处于有效期之内的节能产品、环境标志产品认证证书，否则不予认可。</w:t>
      </w:r>
    </w:p>
    <w:p w14:paraId="7E2753C6">
      <w:pPr>
        <w:pStyle w:val="10"/>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2.4.5《节能产品政府采购品目清单》及《环境标志产品政府采购品目清单》可通过中国政府采购网（http://www.ccgp.gov.cn/ ）查阅、下载。 </w:t>
      </w:r>
    </w:p>
    <w:p w14:paraId="364D508E">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 评标程序及标准</w:t>
      </w:r>
    </w:p>
    <w:p w14:paraId="43B0F85F">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3.1符合性评审</w:t>
      </w:r>
    </w:p>
    <w:p w14:paraId="254584C4">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依据招标文件的规定，评标委员会对符合资格的投标人的投标文件从有效性、完整性和对招标文件的实质性响应程度等方面进行审查，见评标方法前附表。通过符合性评审的投标人不足3家的，本项目应予废标。</w:t>
      </w:r>
    </w:p>
    <w:p w14:paraId="7DE45675">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★3.1.2提供相同品牌产品且通过资格审查、符合性审查的不同投标人参加同一招标项目包投标的，按一家投标人计算，执行招标文件第二章投标人须知★26.7项规定。 </w:t>
      </w:r>
    </w:p>
    <w:p w14:paraId="59968940">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★3.1.3若单个项目包为非单一产品采购项目，对于招标文件第五章规定核心产品，多家投标人提供的核心产品品牌有一项品牌相同的，按3.1.2款规定处理。</w:t>
      </w:r>
    </w:p>
    <w:p w14:paraId="7046B8E5">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★3.1.4按上述条款执行后，投标人不足3家的，本项目应予废标。</w:t>
      </w:r>
    </w:p>
    <w:p w14:paraId="3FC6E74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3.2详细评审</w:t>
      </w:r>
    </w:p>
    <w:p w14:paraId="61F9F7AD">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bookmarkStart w:id="250" w:name="_Toc321836408"/>
      <w:r>
        <w:rPr>
          <w:rFonts w:hint="eastAsia" w:ascii="仿宋" w:hAnsi="仿宋" w:eastAsia="仿宋" w:cs="仿宋"/>
          <w:color w:val="auto"/>
          <w:sz w:val="24"/>
          <w:szCs w:val="24"/>
          <w:highlight w:val="none"/>
        </w:rPr>
        <w:t>3.2.1</w:t>
      </w:r>
      <w:bookmarkEnd w:id="250"/>
      <w:r>
        <w:rPr>
          <w:rFonts w:hint="eastAsia" w:ascii="仿宋" w:hAnsi="仿宋" w:eastAsia="仿宋" w:cs="仿宋"/>
          <w:color w:val="auto"/>
          <w:sz w:val="24"/>
          <w:szCs w:val="24"/>
          <w:highlight w:val="none"/>
        </w:rPr>
        <w:t>评标委员会按照招标文件中规定的评标方法和标准，对符合性审查合格的投标文件进行商务和技术评估，综合比较与评价</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见评标方法前附表。</w:t>
      </w:r>
    </w:p>
    <w:p w14:paraId="13FFA3E0">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3.2.2评标委员会各成员要依法独立评审，并对评审意见承担个人责任。对投标人的客观评分项的评分应当一致，对其他需要借助专业知识评判的评分项，应当严格按照评分细则公正评分。</w:t>
      </w:r>
    </w:p>
    <w:p w14:paraId="2B3CDAFF">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3.2.3评标委员会成员对需要共同认定的事项存在争议的，按照少数服从多数的原则做出结论。持不同意见的评标委员会成员应当在评标报告上签署不同意见并说明理由，否则视为同意。</w:t>
      </w:r>
    </w:p>
    <w:p w14:paraId="1EBBB1F8">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3.2.4投标文件报价出现前后不一致的，按照下列规定修正：</w:t>
      </w:r>
    </w:p>
    <w:p w14:paraId="3D3BF999">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（一）投标文件中开标一览表（报价表）内容与投标文件中相应内容不一致的，以开标一览表（报价表）为准；</w:t>
      </w:r>
    </w:p>
    <w:p w14:paraId="5B244A3F">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（二）大写金额和小写金额不一致的，以大写金额为准；</w:t>
      </w:r>
    </w:p>
    <w:p w14:paraId="006369DA">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（三）单价金额小数点或者百分比有明显错位的，以开标一览表的总价为准，并修改单价；</w:t>
      </w:r>
    </w:p>
    <w:p w14:paraId="0280FB55">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（四）总价金额与按单价汇总金额不一致的，以单价金额计算结果为准。</w:t>
      </w:r>
    </w:p>
    <w:p w14:paraId="29E246EF">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★同时出现两种以上不一致的，按照前款规定的顺序修正。修正后的报价按照本章3.2款的规定经投标人确认后产生约束力，投标人不确认的，其投标无效。</w:t>
      </w:r>
    </w:p>
    <w:p w14:paraId="582C067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3.2.5价格部分（F1）按评标方法前附表规定的投标报价计算公式，计算出各投标人价格部分得分。技术部分（F2）和商务部分（F3）得分由评标委员会成员独立评分，投标</w:t>
      </w:r>
      <w:r>
        <w:rPr>
          <w:rFonts w:hint="eastAsia" w:ascii="仿宋" w:hAnsi="仿宋" w:eastAsia="仿宋" w:cs="仿宋"/>
          <w:bCs/>
          <w:color w:val="auto"/>
          <w:sz w:val="24"/>
          <w:szCs w:val="24"/>
          <w:highlight w:val="none"/>
        </w:rPr>
        <w:t>人各项评分因素得分为该项因素各评委评分的算术平均值。所有计算结果均保留小数点后两位</w:t>
      </w:r>
      <w:r>
        <w:rPr>
          <w:rFonts w:hint="eastAsia" w:ascii="仿宋" w:hAnsi="仿宋" w:eastAsia="仿宋" w:cs="仿宋"/>
          <w:color w:val="auto"/>
          <w:sz w:val="24"/>
          <w:szCs w:val="24"/>
          <w:highlight w:val="none"/>
        </w:rPr>
        <w:t>，小数点后第三位“四舍五入”。</w:t>
      </w:r>
    </w:p>
    <w:p w14:paraId="38B9707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★3.2.6评标委员会认为投标人的报价明显低于其他通过符合性审</w:t>
      </w:r>
      <w:r>
        <w:rPr>
          <w:rFonts w:hint="eastAsia" w:ascii="仿宋" w:hAnsi="仿宋" w:eastAsia="仿宋" w:cs="仿宋"/>
          <w:color w:val="auto"/>
          <w:sz w:val="24"/>
          <w:szCs w:val="24"/>
          <w:highlight w:val="none"/>
          <w:lang w:eastAsia="zh-CN"/>
        </w:rPr>
        <w:t>查的</w:t>
      </w:r>
      <w:r>
        <w:rPr>
          <w:rFonts w:hint="eastAsia" w:ascii="仿宋" w:hAnsi="仿宋" w:eastAsia="仿宋" w:cs="仿宋"/>
          <w:color w:val="auto"/>
          <w:sz w:val="24"/>
          <w:szCs w:val="24"/>
          <w:highlight w:val="none"/>
        </w:rPr>
        <w:t>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3772B16">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bookmarkStart w:id="251" w:name="_Toc321836412"/>
      <w:r>
        <w:rPr>
          <w:rFonts w:hint="eastAsia" w:ascii="仿宋" w:hAnsi="仿宋" w:eastAsia="仿宋" w:cs="仿宋"/>
          <w:color w:val="auto"/>
          <w:sz w:val="24"/>
          <w:szCs w:val="24"/>
          <w:highlight w:val="none"/>
        </w:rPr>
        <w:t>4. 投标文件的澄清</w:t>
      </w:r>
      <w:bookmarkEnd w:id="251"/>
    </w:p>
    <w:p w14:paraId="5677710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79769B7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17547A5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 评标委员会对投标人提交的澄清、说明有疑问的，可以要求投标人进一步澄清、说明。</w:t>
      </w:r>
    </w:p>
    <w:p w14:paraId="40F9E2A6">
      <w:pPr>
        <w:pStyle w:val="10"/>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bookmarkStart w:id="252" w:name="_Toc321836413"/>
      <w:r>
        <w:rPr>
          <w:rFonts w:hint="eastAsia" w:ascii="仿宋" w:hAnsi="仿宋" w:eastAsia="仿宋" w:cs="仿宋"/>
          <w:color w:val="auto"/>
          <w:sz w:val="24"/>
          <w:szCs w:val="24"/>
          <w:highlight w:val="none"/>
        </w:rPr>
        <w:t>5.评标结果</w:t>
      </w:r>
      <w:bookmarkEnd w:id="252"/>
    </w:p>
    <w:p w14:paraId="20AA750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5.1评标委员会按最终得分由高到低顺序推荐3名中标候选人，并提出书面评标报告。</w:t>
      </w:r>
    </w:p>
    <w:p w14:paraId="3E4A452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 采购人根据评标委员会提出的书面评标报告和推荐的中标候选人名单，确定中标人。</w:t>
      </w:r>
    </w:p>
    <w:p w14:paraId="44F8181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提供相同品牌产品的不同投标人，评审后得分最高的同品牌投标人获得中标人推荐资格；评审得分相同的，评标委员会将依次按价格部分得分高优先、技术部分得分高优先、商务部分得分高优先的顺序确定；所有得分均相等的，主要技术指标高优先、质保期长优先、交货时间短优先、故障到达时间短优先的顺序确定一个投标人获得中标人推荐资格，其他同品牌投标人不作为中标候选人。</w:t>
      </w:r>
    </w:p>
    <w:p w14:paraId="103AAA5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5.4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投标人提供虚假材料、串通等违法违规行为的，要及时向采购人或采购代理机构报告。</w:t>
      </w:r>
    </w:p>
    <w:p w14:paraId="07E5898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仿宋" w:hAnsi="仿宋" w:eastAsia="仿宋" w:cs="仿宋"/>
          <w:color w:val="auto"/>
          <w:highlight w:val="none"/>
        </w:rPr>
      </w:pPr>
    </w:p>
    <w:p w14:paraId="0794BE35">
      <w:pPr>
        <w:rPr>
          <w:rFonts w:hint="eastAsia" w:ascii="仿宋" w:hAnsi="仿宋" w:eastAsia="仿宋" w:cs="仿宋"/>
          <w:color w:val="auto"/>
          <w:highlight w:val="none"/>
        </w:rPr>
      </w:pPr>
    </w:p>
    <w:sectPr>
      <w:headerReference r:id="rId12" w:type="first"/>
      <w:pgSz w:w="11906" w:h="16838"/>
      <w:pgMar w:top="1134" w:right="851" w:bottom="1304" w:left="1276" w:header="720" w:footer="720" w:gutter="0"/>
      <w:pgNumType w:fmt="decimal"/>
      <w:cols w:space="720" w:num="1"/>
      <w:docGrid w:linePitch="33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9BE76">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685544">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8685544">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46644">
    <w:pPr>
      <w:pStyle w:val="12"/>
    </w:pPr>
  </w:p>
  <w:p w14:paraId="697B4102">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FECE62">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C3C85D">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C3C85D">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BEAF5">
    <w:pPr>
      <w:spacing w:line="177" w:lineRule="auto"/>
      <w:ind w:left="253"/>
      <w:rPr>
        <w:rFonts w:ascii="宋体" w:hAnsi="宋体" w:eastAsia="宋体" w:cs="宋体"/>
        <w:sz w:val="31"/>
        <w:szCs w:val="31"/>
      </w:rPr>
    </w:pPr>
    <w:r>
      <w:rPr>
        <w:sz w:val="3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915391">
                          <w:pPr>
                            <w:pStyle w:val="12"/>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4915391">
                    <w:pPr>
                      <w:pStyle w:val="12"/>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EF14C">
    <w:pPr>
      <w:spacing w:line="176" w:lineRule="auto"/>
      <w:rPr>
        <w:rFonts w:ascii="宋体" w:hAnsi="宋体" w:eastAsia="宋体" w:cs="宋体"/>
        <w:sz w:val="27"/>
        <w:szCs w:val="27"/>
      </w:rPr>
    </w:pPr>
    <w:r>
      <w:rPr>
        <w:sz w:val="2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B4C401">
                          <w:pPr>
                            <w:pStyle w:val="12"/>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0B4C401">
                    <w:pPr>
                      <w:pStyle w:val="12"/>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BF607">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6B914">
    <w:pPr>
      <w:pStyle w:val="14"/>
    </w:pPr>
    <w:r>
      <w:rPr>
        <w:rFonts w:hint="eastAsia"/>
        <w:lang w:val="en-GB"/>
      </w:rPr>
      <w:t xml:space="preserve">（项目名称）                                </w:t>
    </w:r>
    <w:r>
      <w:rPr>
        <w:rFonts w:hint="eastAsia"/>
      </w:rPr>
      <w:t xml:space="preserve">                                           </w:t>
    </w:r>
    <w:r>
      <w:rPr>
        <w:rFonts w:hint="eastAsia"/>
        <w:lang w:eastAsia="zh-CN"/>
      </w:rPr>
      <w:t>项目编号</w:t>
    </w:r>
    <w:r>
      <w:rPr>
        <w:rFonts w:hint="eastAsia"/>
      </w:rPr>
      <w:t>：</w:t>
    </w:r>
    <w:r>
      <w:rPr>
        <w:rFonts w:hint="eastAsia"/>
        <w:bC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8BB65">
    <w:pPr>
      <w:pStyle w:val="14"/>
    </w:pPr>
    <w:r>
      <w:rPr>
        <w:rFonts w:hint="eastAsia"/>
        <w:lang w:val="en-GB"/>
      </w:rPr>
      <w:t xml:space="preserve">（项目名称）                                </w:t>
    </w:r>
    <w:r>
      <w:rPr>
        <w:rFonts w:hint="eastAsia"/>
      </w:rPr>
      <w:t xml:space="preserve">                                           </w:t>
    </w:r>
    <w:r>
      <w:rPr>
        <w:rFonts w:hint="eastAsia"/>
        <w:lang w:eastAsia="zh-CN"/>
      </w:rPr>
      <w:t>项目编号</w:t>
    </w:r>
    <w:r>
      <w:rPr>
        <w:rFonts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53D2F7"/>
    <w:multiLevelType w:val="singleLevel"/>
    <w:tmpl w:val="EE53D2F7"/>
    <w:lvl w:ilvl="0" w:tentative="0">
      <w:start w:val="5"/>
      <w:numFmt w:val="chineseCounting"/>
      <w:suff w:val="space"/>
      <w:lvlText w:val="第%1章"/>
      <w:lvlJc w:val="left"/>
      <w:rPr>
        <w:rFonts w:hint="eastAsia"/>
      </w:rPr>
    </w:lvl>
  </w:abstractNum>
  <w:abstractNum w:abstractNumId="1">
    <w:nsid w:val="19AE6BE5"/>
    <w:multiLevelType w:val="multilevel"/>
    <w:tmpl w:val="19AE6BE5"/>
    <w:lvl w:ilvl="0" w:tentative="0">
      <w:start w:val="1"/>
      <w:numFmt w:val="decimal"/>
      <w:lvlText w:val="%1."/>
      <w:lvlJc w:val="left"/>
      <w:pPr>
        <w:tabs>
          <w:tab w:val="left" w:pos="200"/>
        </w:tabs>
        <w:ind w:left="100" w:hanging="100"/>
      </w:pPr>
      <w:rPr>
        <w:rFonts w:hint="eastAsia" w:ascii="宋体" w:eastAsia="宋体"/>
        <w:b/>
        <w:i w:val="0"/>
        <w:caps w:val="0"/>
        <w:strike w:val="0"/>
        <w:dstrike w:val="0"/>
        <w:vanish w:val="0"/>
        <w:color w:val="auto"/>
        <w:sz w:val="24"/>
        <w:vertAlign w:val="baseline"/>
      </w:rPr>
    </w:lvl>
    <w:lvl w:ilvl="1" w:tentative="0">
      <w:start w:val="1"/>
      <w:numFmt w:val="decimal"/>
      <w:suff w:val="space"/>
      <w:lvlText w:val="%1.%2"/>
      <w:lvlJc w:val="left"/>
      <w:pPr>
        <w:ind w:left="4352" w:hanging="100"/>
      </w:pPr>
      <w:rPr>
        <w:rFonts w:hint="eastAsia" w:ascii="宋体" w:eastAsia="宋体"/>
        <w:b w:val="0"/>
        <w:i w:val="0"/>
        <w:caps w:val="0"/>
        <w:strike w:val="0"/>
        <w:dstrike w:val="0"/>
        <w:vanish w:val="0"/>
        <w:color w:val="auto"/>
        <w:sz w:val="24"/>
        <w:vertAlign w:val="baseline"/>
      </w:rPr>
    </w:lvl>
    <w:lvl w:ilvl="2" w:tentative="0">
      <w:start w:val="1"/>
      <w:numFmt w:val="decimal"/>
      <w:pStyle w:val="25"/>
      <w:suff w:val="space"/>
      <w:lvlText w:val="%1.%2.%3"/>
      <w:lvlJc w:val="left"/>
      <w:pPr>
        <w:ind w:left="5770" w:hanging="100"/>
      </w:pPr>
      <w:rPr>
        <w:rFonts w:hint="eastAsia" w:ascii="宋体" w:eastAsia="宋体"/>
        <w:b w:val="0"/>
        <w:i w:val="0"/>
        <w:caps w:val="0"/>
        <w:strike w:val="0"/>
        <w:dstrike w:val="0"/>
        <w:vanish w:val="0"/>
        <w:color w:val="auto"/>
        <w:sz w:val="24"/>
        <w:vertAlign w:val="baseline"/>
      </w:rPr>
    </w:lvl>
    <w:lvl w:ilvl="3" w:tentative="0">
      <w:start w:val="1"/>
      <w:numFmt w:val="decimal"/>
      <w:lvlText w:val="%1.%2.%3.%4"/>
      <w:lvlJc w:val="left"/>
      <w:pPr>
        <w:ind w:left="100" w:hanging="100"/>
      </w:pPr>
      <w:rPr>
        <w:rFonts w:hint="eastAsia"/>
      </w:rPr>
    </w:lvl>
    <w:lvl w:ilvl="4" w:tentative="0">
      <w:start w:val="1"/>
      <w:numFmt w:val="decimal"/>
      <w:lvlText w:val="%1.%2.%3.%4.%5"/>
      <w:lvlJc w:val="left"/>
      <w:pPr>
        <w:ind w:left="100" w:hanging="100"/>
      </w:pPr>
      <w:rPr>
        <w:rFonts w:hint="eastAsia"/>
      </w:rPr>
    </w:lvl>
    <w:lvl w:ilvl="5" w:tentative="0">
      <w:start w:val="1"/>
      <w:numFmt w:val="decimal"/>
      <w:lvlText w:val="%1.%2.%3.%4.%5.%6"/>
      <w:lvlJc w:val="left"/>
      <w:pPr>
        <w:ind w:left="100" w:hanging="100"/>
      </w:pPr>
      <w:rPr>
        <w:rFonts w:hint="eastAsia"/>
      </w:rPr>
    </w:lvl>
    <w:lvl w:ilvl="6" w:tentative="0">
      <w:start w:val="1"/>
      <w:numFmt w:val="decimal"/>
      <w:lvlText w:val="%1.%2.%3.%4.%5.%6.%7"/>
      <w:lvlJc w:val="left"/>
      <w:pPr>
        <w:ind w:left="100" w:hanging="100"/>
      </w:pPr>
      <w:rPr>
        <w:rFonts w:hint="eastAsia"/>
      </w:rPr>
    </w:lvl>
    <w:lvl w:ilvl="7" w:tentative="0">
      <w:start w:val="1"/>
      <w:numFmt w:val="decimal"/>
      <w:lvlText w:val="%1.%2.%3.%4.%5.%6.%7.%8"/>
      <w:lvlJc w:val="left"/>
      <w:pPr>
        <w:ind w:left="100" w:hanging="100"/>
      </w:pPr>
      <w:rPr>
        <w:rFonts w:hint="eastAsia"/>
      </w:rPr>
    </w:lvl>
    <w:lvl w:ilvl="8" w:tentative="0">
      <w:start w:val="1"/>
      <w:numFmt w:val="decimal"/>
      <w:lvlText w:val="%1.%2.%3.%4.%5.%6.%7.%8.%9"/>
      <w:lvlJc w:val="left"/>
      <w:pPr>
        <w:ind w:left="100" w:hanging="1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jYzUzMWQ4OWI0YzBkYjYzMDRhZTY5ZjZkYmFmYTgifQ=="/>
  </w:docVars>
  <w:rsids>
    <w:rsidRoot w:val="00000000"/>
    <w:rsid w:val="006360BD"/>
    <w:rsid w:val="00BA1A55"/>
    <w:rsid w:val="00E32D5A"/>
    <w:rsid w:val="016E2F6B"/>
    <w:rsid w:val="01D405EA"/>
    <w:rsid w:val="026C169C"/>
    <w:rsid w:val="02E37E70"/>
    <w:rsid w:val="0341020B"/>
    <w:rsid w:val="0397607D"/>
    <w:rsid w:val="03C50E3C"/>
    <w:rsid w:val="04D806FC"/>
    <w:rsid w:val="0571302A"/>
    <w:rsid w:val="05FD666C"/>
    <w:rsid w:val="061614DB"/>
    <w:rsid w:val="06470B2E"/>
    <w:rsid w:val="068428E9"/>
    <w:rsid w:val="068648B3"/>
    <w:rsid w:val="0715551B"/>
    <w:rsid w:val="074D53D1"/>
    <w:rsid w:val="07910380"/>
    <w:rsid w:val="07A6222D"/>
    <w:rsid w:val="080F2686"/>
    <w:rsid w:val="085D049D"/>
    <w:rsid w:val="0864507C"/>
    <w:rsid w:val="08AF79C5"/>
    <w:rsid w:val="09305F2E"/>
    <w:rsid w:val="09322AD0"/>
    <w:rsid w:val="093F0349"/>
    <w:rsid w:val="0A4C7BC2"/>
    <w:rsid w:val="0A661DAB"/>
    <w:rsid w:val="0B147F71"/>
    <w:rsid w:val="0B495EAF"/>
    <w:rsid w:val="0B505490"/>
    <w:rsid w:val="0BBE4AEF"/>
    <w:rsid w:val="0BC77F22"/>
    <w:rsid w:val="0C0B7609"/>
    <w:rsid w:val="0C4B37F2"/>
    <w:rsid w:val="0C523489"/>
    <w:rsid w:val="0C6969AD"/>
    <w:rsid w:val="0C7B653C"/>
    <w:rsid w:val="0D6E42F3"/>
    <w:rsid w:val="0E197DBB"/>
    <w:rsid w:val="0E1E3623"/>
    <w:rsid w:val="0F1D1B2D"/>
    <w:rsid w:val="0FF7412C"/>
    <w:rsid w:val="10545A22"/>
    <w:rsid w:val="107E363C"/>
    <w:rsid w:val="10E3683D"/>
    <w:rsid w:val="11691059"/>
    <w:rsid w:val="11D0732A"/>
    <w:rsid w:val="11F76665"/>
    <w:rsid w:val="12552BA2"/>
    <w:rsid w:val="13075C9B"/>
    <w:rsid w:val="1406228F"/>
    <w:rsid w:val="142E5135"/>
    <w:rsid w:val="155B6F0B"/>
    <w:rsid w:val="15941093"/>
    <w:rsid w:val="16184DFC"/>
    <w:rsid w:val="161F6F47"/>
    <w:rsid w:val="166E0EC0"/>
    <w:rsid w:val="16897AA8"/>
    <w:rsid w:val="171D26F1"/>
    <w:rsid w:val="17984446"/>
    <w:rsid w:val="185A794E"/>
    <w:rsid w:val="18710E80"/>
    <w:rsid w:val="19A32B32"/>
    <w:rsid w:val="19B95F22"/>
    <w:rsid w:val="19D957C1"/>
    <w:rsid w:val="19FF53BE"/>
    <w:rsid w:val="1A0F29BA"/>
    <w:rsid w:val="1A7D7923"/>
    <w:rsid w:val="1AB75561"/>
    <w:rsid w:val="1B2129A5"/>
    <w:rsid w:val="1B27381F"/>
    <w:rsid w:val="1B472E09"/>
    <w:rsid w:val="1C6C40F3"/>
    <w:rsid w:val="1CAE0268"/>
    <w:rsid w:val="1CE75528"/>
    <w:rsid w:val="1EDE235A"/>
    <w:rsid w:val="1F0B3750"/>
    <w:rsid w:val="1F413615"/>
    <w:rsid w:val="1F794953"/>
    <w:rsid w:val="1FDC6E9A"/>
    <w:rsid w:val="2014726B"/>
    <w:rsid w:val="20934094"/>
    <w:rsid w:val="21645399"/>
    <w:rsid w:val="218E0668"/>
    <w:rsid w:val="2196425A"/>
    <w:rsid w:val="21BD027C"/>
    <w:rsid w:val="22192627"/>
    <w:rsid w:val="226A1E07"/>
    <w:rsid w:val="227D2BB6"/>
    <w:rsid w:val="239401DD"/>
    <w:rsid w:val="247F32D8"/>
    <w:rsid w:val="249D3B6D"/>
    <w:rsid w:val="24CC2511"/>
    <w:rsid w:val="24D57081"/>
    <w:rsid w:val="25EA5D3C"/>
    <w:rsid w:val="261455E0"/>
    <w:rsid w:val="2685337C"/>
    <w:rsid w:val="26B66697"/>
    <w:rsid w:val="26D20FF7"/>
    <w:rsid w:val="273D2914"/>
    <w:rsid w:val="27893DAB"/>
    <w:rsid w:val="2791110F"/>
    <w:rsid w:val="294206B6"/>
    <w:rsid w:val="29F766E0"/>
    <w:rsid w:val="2A0B0AA8"/>
    <w:rsid w:val="2BA67C67"/>
    <w:rsid w:val="2BB25CDB"/>
    <w:rsid w:val="2D0223EB"/>
    <w:rsid w:val="2D695E47"/>
    <w:rsid w:val="2D7A6FE0"/>
    <w:rsid w:val="2DA428D7"/>
    <w:rsid w:val="2DDE509E"/>
    <w:rsid w:val="2E914388"/>
    <w:rsid w:val="2EB711FE"/>
    <w:rsid w:val="2F104B00"/>
    <w:rsid w:val="2F4862FA"/>
    <w:rsid w:val="3038011D"/>
    <w:rsid w:val="30F93D50"/>
    <w:rsid w:val="310E5321"/>
    <w:rsid w:val="31853836"/>
    <w:rsid w:val="319770C5"/>
    <w:rsid w:val="31ED3189"/>
    <w:rsid w:val="31F97D80"/>
    <w:rsid w:val="323808A8"/>
    <w:rsid w:val="323E39E4"/>
    <w:rsid w:val="327D4380"/>
    <w:rsid w:val="32B227EC"/>
    <w:rsid w:val="333A57B7"/>
    <w:rsid w:val="334A4C75"/>
    <w:rsid w:val="33D75E9F"/>
    <w:rsid w:val="343E20D2"/>
    <w:rsid w:val="345C7751"/>
    <w:rsid w:val="34784F8C"/>
    <w:rsid w:val="3485716B"/>
    <w:rsid w:val="34F57DE4"/>
    <w:rsid w:val="359B107B"/>
    <w:rsid w:val="35B91D00"/>
    <w:rsid w:val="35FB40C6"/>
    <w:rsid w:val="36AF014D"/>
    <w:rsid w:val="375F2433"/>
    <w:rsid w:val="379E73FF"/>
    <w:rsid w:val="379F2985"/>
    <w:rsid w:val="37D83F93"/>
    <w:rsid w:val="3876113B"/>
    <w:rsid w:val="388B0DDA"/>
    <w:rsid w:val="388C4ECD"/>
    <w:rsid w:val="39630919"/>
    <w:rsid w:val="3A30455A"/>
    <w:rsid w:val="3A7206CF"/>
    <w:rsid w:val="3A7E7074"/>
    <w:rsid w:val="3C6910F5"/>
    <w:rsid w:val="3C97266F"/>
    <w:rsid w:val="3D2F154E"/>
    <w:rsid w:val="3D89645B"/>
    <w:rsid w:val="3E0C3168"/>
    <w:rsid w:val="3F874C1D"/>
    <w:rsid w:val="3FCD5576"/>
    <w:rsid w:val="40057874"/>
    <w:rsid w:val="400745F3"/>
    <w:rsid w:val="40836138"/>
    <w:rsid w:val="41110C42"/>
    <w:rsid w:val="41807B75"/>
    <w:rsid w:val="41D906E2"/>
    <w:rsid w:val="41D91034"/>
    <w:rsid w:val="41EF442E"/>
    <w:rsid w:val="41FE5E0C"/>
    <w:rsid w:val="4200302C"/>
    <w:rsid w:val="42181B5C"/>
    <w:rsid w:val="428B67D2"/>
    <w:rsid w:val="436808C1"/>
    <w:rsid w:val="437F6B26"/>
    <w:rsid w:val="43B35F95"/>
    <w:rsid w:val="44103433"/>
    <w:rsid w:val="44DF022B"/>
    <w:rsid w:val="45B61DB8"/>
    <w:rsid w:val="45F018CA"/>
    <w:rsid w:val="47484C91"/>
    <w:rsid w:val="48547666"/>
    <w:rsid w:val="48C311D9"/>
    <w:rsid w:val="493D5513"/>
    <w:rsid w:val="49697141"/>
    <w:rsid w:val="49706721"/>
    <w:rsid w:val="49793507"/>
    <w:rsid w:val="4ADD30F4"/>
    <w:rsid w:val="4AF64A04"/>
    <w:rsid w:val="4BA44458"/>
    <w:rsid w:val="4C983286"/>
    <w:rsid w:val="4D0E227B"/>
    <w:rsid w:val="4D553C64"/>
    <w:rsid w:val="4D616AAD"/>
    <w:rsid w:val="4DB27309"/>
    <w:rsid w:val="4E4A12EF"/>
    <w:rsid w:val="4F5B1872"/>
    <w:rsid w:val="50854B05"/>
    <w:rsid w:val="50F11284"/>
    <w:rsid w:val="510C157A"/>
    <w:rsid w:val="52171E30"/>
    <w:rsid w:val="538928BA"/>
    <w:rsid w:val="540E7263"/>
    <w:rsid w:val="54282187"/>
    <w:rsid w:val="54931516"/>
    <w:rsid w:val="54C470AD"/>
    <w:rsid w:val="55393E6B"/>
    <w:rsid w:val="55801A9A"/>
    <w:rsid w:val="55BD3CD6"/>
    <w:rsid w:val="562763BA"/>
    <w:rsid w:val="56360217"/>
    <w:rsid w:val="5737087F"/>
    <w:rsid w:val="5753390A"/>
    <w:rsid w:val="5798124F"/>
    <w:rsid w:val="58E544E8"/>
    <w:rsid w:val="595158B5"/>
    <w:rsid w:val="59ED0D05"/>
    <w:rsid w:val="5A696FA1"/>
    <w:rsid w:val="5C1E200D"/>
    <w:rsid w:val="5C292E8C"/>
    <w:rsid w:val="5CA731C6"/>
    <w:rsid w:val="5CF1327E"/>
    <w:rsid w:val="5E82462C"/>
    <w:rsid w:val="5EB84053"/>
    <w:rsid w:val="5F0D6EDA"/>
    <w:rsid w:val="5F542102"/>
    <w:rsid w:val="5F9920D6"/>
    <w:rsid w:val="5FAB005C"/>
    <w:rsid w:val="5FF92B75"/>
    <w:rsid w:val="60BB23FA"/>
    <w:rsid w:val="62774225"/>
    <w:rsid w:val="62A25746"/>
    <w:rsid w:val="63B177FC"/>
    <w:rsid w:val="64424784"/>
    <w:rsid w:val="644E7F5C"/>
    <w:rsid w:val="653368B4"/>
    <w:rsid w:val="65945EEE"/>
    <w:rsid w:val="65A17F37"/>
    <w:rsid w:val="66134265"/>
    <w:rsid w:val="663C046B"/>
    <w:rsid w:val="66B21CD0"/>
    <w:rsid w:val="66DC7071"/>
    <w:rsid w:val="66F03AA5"/>
    <w:rsid w:val="676B07FC"/>
    <w:rsid w:val="680A672F"/>
    <w:rsid w:val="683A3D2B"/>
    <w:rsid w:val="68FA4DA8"/>
    <w:rsid w:val="692F458B"/>
    <w:rsid w:val="6A3C3E86"/>
    <w:rsid w:val="6B7457A6"/>
    <w:rsid w:val="6BE40092"/>
    <w:rsid w:val="6C35541B"/>
    <w:rsid w:val="6D392803"/>
    <w:rsid w:val="6DF40E20"/>
    <w:rsid w:val="6F1277AF"/>
    <w:rsid w:val="6F4B0F13"/>
    <w:rsid w:val="70A66401"/>
    <w:rsid w:val="717E737E"/>
    <w:rsid w:val="7189187F"/>
    <w:rsid w:val="71973413"/>
    <w:rsid w:val="71AA2B85"/>
    <w:rsid w:val="71F96E88"/>
    <w:rsid w:val="72031996"/>
    <w:rsid w:val="723F27E7"/>
    <w:rsid w:val="72772D2F"/>
    <w:rsid w:val="7285473C"/>
    <w:rsid w:val="735B6AB0"/>
    <w:rsid w:val="73713FF1"/>
    <w:rsid w:val="73D2750D"/>
    <w:rsid w:val="73DA4614"/>
    <w:rsid w:val="73FA2C09"/>
    <w:rsid w:val="743D707D"/>
    <w:rsid w:val="75524DAA"/>
    <w:rsid w:val="75564973"/>
    <w:rsid w:val="75956274"/>
    <w:rsid w:val="76206C56"/>
    <w:rsid w:val="766D79C1"/>
    <w:rsid w:val="768A2321"/>
    <w:rsid w:val="771B11CB"/>
    <w:rsid w:val="77AD4519"/>
    <w:rsid w:val="78425A1E"/>
    <w:rsid w:val="78CD5E3D"/>
    <w:rsid w:val="79425B49"/>
    <w:rsid w:val="795D5ACB"/>
    <w:rsid w:val="799D56F6"/>
    <w:rsid w:val="79C03F87"/>
    <w:rsid w:val="7A3908BA"/>
    <w:rsid w:val="7ABA00D6"/>
    <w:rsid w:val="7B2E771F"/>
    <w:rsid w:val="7B436A63"/>
    <w:rsid w:val="7B971768"/>
    <w:rsid w:val="7BDF7FCA"/>
    <w:rsid w:val="7BE57DD3"/>
    <w:rsid w:val="7C4E5B9F"/>
    <w:rsid w:val="7CCD37F5"/>
    <w:rsid w:val="7D020E63"/>
    <w:rsid w:val="7D735FA3"/>
    <w:rsid w:val="7DFA0FA7"/>
    <w:rsid w:val="7E3314F0"/>
    <w:rsid w:val="7E957AB5"/>
    <w:rsid w:val="7F085D64"/>
    <w:rsid w:val="7F5701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val="0"/>
      <w:spacing w:line="360" w:lineRule="auto"/>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tabs>
        <w:tab w:val="left" w:pos="360"/>
      </w:tabs>
      <w:adjustRightInd w:val="0"/>
      <w:spacing w:before="120"/>
      <w:textAlignment w:val="baseline"/>
      <w:outlineLvl w:val="0"/>
    </w:pPr>
    <w:rPr>
      <w:rFonts w:eastAsia="黑体"/>
      <w:b/>
      <w:kern w:val="44"/>
      <w:sz w:val="28"/>
      <w:szCs w:val="20"/>
    </w:rPr>
  </w:style>
  <w:style w:type="paragraph" w:styleId="3">
    <w:name w:val="heading 2"/>
    <w:basedOn w:val="1"/>
    <w:next w:val="1"/>
    <w:qFormat/>
    <w:uiPriority w:val="0"/>
    <w:pPr>
      <w:keepNext/>
      <w:tabs>
        <w:tab w:val="left" w:pos="360"/>
        <w:tab w:val="left" w:pos="1021"/>
      </w:tabs>
      <w:adjustRightInd w:val="0"/>
      <w:spacing w:before="120"/>
      <w:textAlignment w:val="baseline"/>
      <w:outlineLvl w:val="1"/>
    </w:pPr>
    <w:rPr>
      <w:rFonts w:eastAsia="黑体"/>
      <w:b/>
      <w:kern w:val="0"/>
      <w:sz w:val="28"/>
      <w:szCs w:val="20"/>
    </w:rPr>
  </w:style>
  <w:style w:type="paragraph" w:styleId="4">
    <w:name w:val="heading 3"/>
    <w:basedOn w:val="1"/>
    <w:next w:val="1"/>
    <w:qFormat/>
    <w:uiPriority w:val="99"/>
    <w:pPr>
      <w:keepNext/>
      <w:keepLines/>
      <w:widowControl w:val="0"/>
      <w:spacing w:before="260" w:after="260" w:line="412" w:lineRule="auto"/>
      <w:outlineLvl w:val="2"/>
    </w:pPr>
    <w:rPr>
      <w:rFonts w:ascii="Calibri" w:hAnsi="Calibri"/>
      <w:b/>
      <w:bCs/>
      <w:sz w:val="32"/>
      <w:szCs w:val="32"/>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5">
    <w:name w:val="Document Map"/>
    <w:basedOn w:val="1"/>
    <w:qFormat/>
    <w:uiPriority w:val="99"/>
    <w:pPr>
      <w:shd w:val="clear" w:color="auto" w:fill="000080"/>
    </w:pPr>
  </w:style>
  <w:style w:type="paragraph" w:styleId="6">
    <w:name w:val="annotation text"/>
    <w:basedOn w:val="1"/>
    <w:qFormat/>
    <w:uiPriority w:val="0"/>
  </w:style>
  <w:style w:type="paragraph" w:styleId="7">
    <w:name w:val="Body Text"/>
    <w:basedOn w:val="1"/>
    <w:next w:val="1"/>
    <w:qFormat/>
    <w:uiPriority w:val="99"/>
    <w:pPr>
      <w:spacing w:after="120"/>
    </w:pPr>
  </w:style>
  <w:style w:type="paragraph" w:styleId="8">
    <w:name w:val="Body Text Indent"/>
    <w:basedOn w:val="1"/>
    <w:qFormat/>
    <w:uiPriority w:val="0"/>
    <w:pPr>
      <w:spacing w:after="120"/>
      <w:ind w:left="420" w:leftChars="200"/>
    </w:pPr>
  </w:style>
  <w:style w:type="paragraph" w:styleId="9">
    <w:name w:val="Block Text"/>
    <w:basedOn w:val="1"/>
    <w:next w:val="1"/>
    <w:qFormat/>
    <w:uiPriority w:val="99"/>
    <w:pPr>
      <w:ind w:left="1155" w:right="505" w:hanging="795"/>
    </w:pPr>
    <w:rPr>
      <w:rFonts w:ascii="Arial" w:hAnsi="Arial"/>
      <w:sz w:val="24"/>
      <w:szCs w:val="20"/>
    </w:rPr>
  </w:style>
  <w:style w:type="paragraph" w:styleId="10">
    <w:name w:val="Plain Text"/>
    <w:basedOn w:val="1"/>
    <w:next w:val="7"/>
    <w:qFormat/>
    <w:uiPriority w:val="0"/>
    <w:rPr>
      <w:rFonts w:ascii="宋体"/>
      <w:szCs w:val="20"/>
    </w:rPr>
  </w:style>
  <w:style w:type="paragraph" w:styleId="11">
    <w:name w:val="Body Text Indent 2"/>
    <w:basedOn w:val="1"/>
    <w:qFormat/>
    <w:uiPriority w:val="0"/>
    <w:pPr>
      <w:spacing w:after="120" w:line="480" w:lineRule="auto"/>
      <w:ind w:left="200" w:leftChars="200"/>
    </w:pPr>
  </w:style>
  <w:style w:type="paragraph" w:styleId="12">
    <w:name w:val="footer"/>
    <w:basedOn w:val="1"/>
    <w:qFormat/>
    <w:uiPriority w:val="99"/>
    <w:pPr>
      <w:tabs>
        <w:tab w:val="center" w:pos="4153"/>
        <w:tab w:val="right" w:pos="8306"/>
      </w:tabs>
    </w:pPr>
    <w:rPr>
      <w:rFonts w:ascii="宋体"/>
      <w:sz w:val="18"/>
      <w:szCs w:val="20"/>
    </w:rPr>
  </w:style>
  <w:style w:type="paragraph" w:styleId="13">
    <w:name w:val="envelope return"/>
    <w:basedOn w:val="1"/>
    <w:qFormat/>
    <w:uiPriority w:val="0"/>
    <w:pPr>
      <w:snapToGrid w:val="0"/>
    </w:pPr>
    <w:rPr>
      <w:rFonts w:ascii="Arial" w:hAnsi="Arial"/>
    </w:rPr>
  </w:style>
  <w:style w:type="paragraph" w:styleId="14">
    <w:name w:val="header"/>
    <w:basedOn w:val="1"/>
    <w:qFormat/>
    <w:uiPriority w:val="0"/>
    <w:pPr>
      <w:pBdr>
        <w:bottom w:val="single" w:color="auto" w:sz="6" w:space="1"/>
      </w:pBdr>
      <w:tabs>
        <w:tab w:val="center" w:pos="4153"/>
        <w:tab w:val="right" w:pos="8306"/>
      </w:tabs>
      <w:jc w:val="center"/>
    </w:pPr>
    <w:rPr>
      <w:sz w:val="18"/>
      <w:szCs w:val="18"/>
    </w:rPr>
  </w:style>
  <w:style w:type="paragraph" w:styleId="15">
    <w:name w:val="toc 1"/>
    <w:basedOn w:val="1"/>
    <w:next w:val="1"/>
    <w:qFormat/>
    <w:uiPriority w:val="39"/>
    <w:pPr>
      <w:tabs>
        <w:tab w:val="right" w:leader="dot" w:pos="9628"/>
      </w:tabs>
      <w:spacing w:before="120" w:after="120"/>
      <w:ind w:firstLine="74" w:firstLineChars="74"/>
    </w:pPr>
    <w:rPr>
      <w:b/>
      <w:bCs/>
      <w:caps/>
      <w:sz w:val="20"/>
      <w:szCs w:val="20"/>
    </w:rPr>
  </w:style>
  <w:style w:type="paragraph" w:styleId="16">
    <w:name w:val="toc 2"/>
    <w:basedOn w:val="1"/>
    <w:next w:val="1"/>
    <w:qFormat/>
    <w:uiPriority w:val="39"/>
    <w:pPr>
      <w:tabs>
        <w:tab w:val="right" w:leader="dot" w:pos="9628"/>
      </w:tabs>
      <w:spacing w:line="260" w:lineRule="exact"/>
      <w:ind w:left="210"/>
    </w:pPr>
    <w:rPr>
      <w:smallCaps/>
      <w:sz w:val="20"/>
      <w:szCs w:val="20"/>
    </w:rPr>
  </w:style>
  <w:style w:type="paragraph" w:styleId="17">
    <w:name w:val="Body Text 2"/>
    <w:basedOn w:val="1"/>
    <w:qFormat/>
    <w:uiPriority w:val="0"/>
    <w:pPr>
      <w:spacing w:after="120" w:line="480" w:lineRule="auto"/>
    </w:pPr>
  </w:style>
  <w:style w:type="paragraph" w:styleId="18">
    <w:name w:val="Title"/>
    <w:basedOn w:val="1"/>
    <w:next w:val="1"/>
    <w:qFormat/>
    <w:uiPriority w:val="0"/>
    <w:pPr>
      <w:spacing w:before="240" w:after="60"/>
      <w:jc w:val="center"/>
      <w:outlineLvl w:val="0"/>
    </w:pPr>
    <w:rPr>
      <w:rFonts w:ascii="Cambria" w:hAnsi="Cambria"/>
      <w:b/>
      <w:bCs/>
      <w:sz w:val="32"/>
      <w:szCs w:val="32"/>
    </w:rPr>
  </w:style>
  <w:style w:type="paragraph" w:styleId="19">
    <w:name w:val="Body Text First Indent 2"/>
    <w:basedOn w:val="8"/>
    <w:unhideWhenUsed/>
    <w:qFormat/>
    <w:uiPriority w:val="0"/>
    <w:pPr>
      <w:spacing w:after="120"/>
      <w:ind w:left="420" w:leftChars="200" w:right="0" w:firstLine="420" w:firstLineChars="200"/>
    </w:pPr>
    <w:rPr>
      <w:sz w:val="21"/>
      <w:szCs w:val="24"/>
    </w:rPr>
  </w:style>
  <w:style w:type="table" w:styleId="21">
    <w:name w:val="Table Grid"/>
    <w:basedOn w:val="20"/>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3">
    <w:name w:val="Default"/>
    <w:basedOn w:val="18"/>
    <w:qFormat/>
    <w:uiPriority w:val="0"/>
    <w:pPr>
      <w:widowControl w:val="0"/>
      <w:autoSpaceDE w:val="0"/>
      <w:autoSpaceDN w:val="0"/>
    </w:pPr>
    <w:rPr>
      <w:rFonts w:ascii="宋体" w:hAnsi="Times New Roman" w:eastAsia="宋体" w:cs="Times New Roman"/>
      <w:color w:val="000000"/>
      <w:sz w:val="24"/>
      <w:szCs w:val="24"/>
      <w:lang w:val="en-US" w:eastAsia="zh-CN" w:bidi="ar-SA"/>
    </w:rPr>
  </w:style>
  <w:style w:type="character" w:customStyle="1" w:styleId="24">
    <w:name w:val="grame"/>
    <w:autoRedefine/>
    <w:qFormat/>
    <w:uiPriority w:val="0"/>
  </w:style>
  <w:style w:type="paragraph" w:customStyle="1" w:styleId="25">
    <w:name w:val="技_三级"/>
    <w:basedOn w:val="1"/>
    <w:qFormat/>
    <w:uiPriority w:val="0"/>
    <w:pPr>
      <w:numPr>
        <w:ilvl w:val="2"/>
        <w:numId w:val="1"/>
      </w:numPr>
      <w:tabs>
        <w:tab w:val="left" w:pos="720"/>
      </w:tabs>
      <w:ind w:left="100"/>
      <w:outlineLvl w:val="2"/>
    </w:pPr>
    <w:rPr>
      <w:szCs w:val="24"/>
    </w:rPr>
  </w:style>
  <w:style w:type="paragraph" w:styleId="26">
    <w:name w:val="List Paragraph"/>
    <w:basedOn w:val="1"/>
    <w:qFormat/>
    <w:uiPriority w:val="99"/>
    <w:pPr>
      <w:ind w:firstLine="420"/>
    </w:pPr>
  </w:style>
  <w:style w:type="character" w:customStyle="1" w:styleId="27">
    <w:name w:val="15"/>
    <w:autoRedefine/>
    <w:qFormat/>
    <w:uiPriority w:val="0"/>
    <w:rPr>
      <w:rFonts w:hint="default" w:ascii="Times New Roman" w:hAnsi="Times New Roman" w:cs="Times New Roman"/>
      <w:b/>
      <w:bCs/>
      <w:kern w:val="44"/>
      <w:sz w:val="44"/>
      <w:szCs w:val="44"/>
    </w:rPr>
  </w:style>
  <w:style w:type="paragraph" w:customStyle="1" w:styleId="28">
    <w:name w:val="Normal_1"/>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29">
    <w:name w:val="font11"/>
    <w:basedOn w:val="22"/>
    <w:autoRedefine/>
    <w:qFormat/>
    <w:uiPriority w:val="0"/>
    <w:rPr>
      <w:rFonts w:hint="eastAsia" w:ascii="仿宋" w:hAnsi="仿宋" w:eastAsia="仿宋" w:cs="仿宋"/>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142</Pages>
  <Words>4146</Words>
  <Characters>4616</Characters>
  <Lines>0</Lines>
  <Paragraphs>0</Paragraphs>
  <TotalTime>181</TotalTime>
  <ScaleCrop>false</ScaleCrop>
  <LinksUpToDate>false</LinksUpToDate>
  <CharactersWithSpaces>4751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2024-08-26T07:55:00Z</dcterms:created>
  <dc:creator>12313</dc:creator>
  <cp:lastModifiedBy>漫天守望者</cp:lastModifiedBy>
  <dcterms:modified xsi:type="dcterms:W3CDTF">2025-09-05T07:54:22Z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28A463A73B914CEC8163F1B03096A7F7_13</vt:lpwstr>
  </property>
  <property fmtid="{D5CDD505-2E9C-101B-9397-08002B2CF9AE}" pid="4" name="KSOTemplateDocerSaveRecord">
    <vt:lpwstr>eyJoZGlkIjoiNzJkYzZlMjc1ZDBlNTVhMDBiYzljNGI1ZWRiZDdmZmQiLCJ1c2VySWQiOiI0MTUzNjc1NjIifQ==</vt:lpwstr>
  </property>
</Properties>
</file>